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912D">
      <w:pPr>
        <w:pageBreakBefore/>
        <w:widowControl/>
        <w:numPr>
          <w:ilvl w:val="0"/>
          <w:numId w:val="0"/>
        </w:numPr>
        <w:shd w:val="clear" w:color="auto" w:fill="FFFFFF"/>
        <w:spacing w:line="360" w:lineRule="auto"/>
        <w:jc w:val="center"/>
        <w:outlineLvl w:val="0"/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  <w:t>旅馆业娱乐场所散装汽油治安管理信息系统运维</w:t>
      </w: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  <w:bookmarkStart w:id="34" w:name="_GoBack"/>
      <w:bookmarkEnd w:id="34"/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  <w:t>竞争性磋商公告</w:t>
      </w:r>
    </w:p>
    <w:p w14:paraId="47F19447">
      <w:pPr>
        <w:rPr>
          <w:color w:val="auto"/>
          <w:highlight w:val="none"/>
        </w:rPr>
      </w:pPr>
    </w:p>
    <w:p w14:paraId="75FF7E5E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 w14:paraId="73620B96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旅馆业娱乐场所散装汽油治安管理信息系统运维的潜在供应商应在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驻马店市公共资源交易中心网站(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https://ggzy.zhumadian.gov.cn/TPFront/）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12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6E49A68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_Toc28359012"/>
      <w:bookmarkStart w:id="1" w:name="_Toc28359089"/>
      <w:bookmarkStart w:id="2" w:name="_Toc35393629"/>
      <w:bookmarkStart w:id="3" w:name="_Toc3539379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6FFAE9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项目编号：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驻政采购-202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-1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-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22</w:t>
      </w:r>
    </w:p>
    <w:p w14:paraId="09AF32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项目名称：旅馆业娱乐场所散装汽油治安管理信息系统运维</w:t>
      </w:r>
    </w:p>
    <w:p w14:paraId="10E21EF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采购方式：竞争性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磋商；</w:t>
      </w:r>
    </w:p>
    <w:p w14:paraId="0F613F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预算金额：5760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最高限价：5760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0"/>
        <w:gridCol w:w="6"/>
      </w:tblGrid>
      <w:tr w14:paraId="48A1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2" w:hRule="atLeast"/>
        </w:trPr>
        <w:tc>
          <w:tcPr>
            <w:tcW w:w="8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2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300"/>
            </w:tblGrid>
            <w:tr w14:paraId="6A8398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3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Style w:val="2"/>
                    <w:tblW w:w="0" w:type="auto"/>
                    <w:tblInd w:w="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outset" w:color="auto" w:sz="6" w:space="0"/>
                      <w:insideV w:val="outset" w:color="auto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2"/>
                    <w:gridCol w:w="712"/>
                    <w:gridCol w:w="2538"/>
                    <w:gridCol w:w="2485"/>
                    <w:gridCol w:w="2380"/>
                  </w:tblGrid>
                  <w:tr w14:paraId="2273D6C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92" w:hRule="atLeast"/>
                    </w:trPr>
                    <w:tc>
                      <w:tcPr>
                        <w:tcW w:w="502" w:type="dxa"/>
                        <w:noWrap w:val="0"/>
                        <w:vAlign w:val="center"/>
                      </w:tcPr>
                      <w:p w14:paraId="601CDA64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>序号</w:t>
                        </w:r>
                      </w:p>
                    </w:tc>
                    <w:tc>
                      <w:tcPr>
                        <w:tcW w:w="712" w:type="dxa"/>
                        <w:noWrap w:val="0"/>
                        <w:vAlign w:val="center"/>
                      </w:tcPr>
                      <w:p w14:paraId="0422E7F1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>包号</w:t>
                        </w:r>
                      </w:p>
                    </w:tc>
                    <w:tc>
                      <w:tcPr>
                        <w:tcW w:w="2538" w:type="dxa"/>
                        <w:noWrap w:val="0"/>
                        <w:vAlign w:val="center"/>
                      </w:tcPr>
                      <w:p w14:paraId="45F922F8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>包名称</w:t>
                        </w:r>
                      </w:p>
                    </w:tc>
                    <w:tc>
                      <w:tcPr>
                        <w:tcW w:w="2485" w:type="dxa"/>
                        <w:tcBorders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 w14:paraId="5714FE0F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>包预算（元）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 w14:paraId="2C5FB75C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>包最高限价（元）</w:t>
                        </w:r>
                      </w:p>
                    </w:tc>
                  </w:tr>
                  <w:tr w14:paraId="032F660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0" w:hRule="atLeast"/>
                    </w:trPr>
                    <w:tc>
                      <w:tcPr>
                        <w:tcW w:w="502" w:type="dxa"/>
                        <w:noWrap w:val="0"/>
                        <w:vAlign w:val="center"/>
                      </w:tcPr>
                      <w:p w14:paraId="34955EE2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>1</w:t>
                        </w:r>
                      </w:p>
                    </w:tc>
                    <w:tc>
                      <w:tcPr>
                        <w:tcW w:w="712" w:type="dxa"/>
                        <w:noWrap w:val="0"/>
                        <w:vAlign w:val="center"/>
                      </w:tcPr>
                      <w:p w14:paraId="54D76271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default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eastAsia="zh-CN"/>
                          </w:rPr>
                          <w:t>驻政采购-202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eastAsia="zh-CN"/>
                          </w:rPr>
                          <w:t>-1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eastAsia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22A</w:t>
                        </w:r>
                      </w:p>
                    </w:tc>
                    <w:tc>
                      <w:tcPr>
                        <w:tcW w:w="2538" w:type="dxa"/>
                        <w:noWrap w:val="0"/>
                        <w:vAlign w:val="center"/>
                      </w:tcPr>
                      <w:p w14:paraId="63F4B7D4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1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 xml:space="preserve">旅馆业娱乐场所散装汽油治安管理信息系统运维A包 </w:t>
                        </w:r>
                      </w:p>
                    </w:tc>
                    <w:tc>
                      <w:tcPr>
                        <w:tcW w:w="2485" w:type="dxa"/>
                        <w:tcBorders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 w14:paraId="194537DF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 xml:space="preserve">576000.00 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 w14:paraId="2B7D59C7">
                        <w:pPr>
                          <w:spacing w:before="0" w:beforeAutospacing="0" w:after="0" w:afterAutospacing="0" w:line="18" w:lineRule="atLeas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24"/>
                            <w:szCs w:val="24"/>
                            <w:highlight w:val="none"/>
                            <w:lang w:val="en-US" w:eastAsia="zh-CN" w:bidi="ar-SA"/>
                          </w:rPr>
                          <w:t xml:space="preserve">576000.00 </w:t>
                        </w:r>
                      </w:p>
                    </w:tc>
                  </w:tr>
                </w:tbl>
                <w:p w14:paraId="58C318B0">
                  <w:pPr>
                    <w:spacing w:before="0" w:beforeAutospacing="0" w:after="0" w:afterAutospacing="0" w:line="18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auto"/>
                      <w:highlight w:val="none"/>
                    </w:rPr>
                  </w:pPr>
                </w:p>
              </w:tc>
            </w:tr>
          </w:tbl>
          <w:p w14:paraId="7DF155A4">
            <w:pP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highlight w:val="none"/>
              </w:rPr>
            </w:pPr>
          </w:p>
        </w:tc>
        <w:tc>
          <w:tcPr>
            <w:tcW w:w="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1A08">
            <w:pP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highlight w:val="none"/>
              </w:rPr>
            </w:pPr>
          </w:p>
        </w:tc>
      </w:tr>
    </w:tbl>
    <w:p w14:paraId="3EEF1B6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：（包括但不限于标的的名称、数量、简要技术需求或服务要求等）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采购旅馆业娱乐场所散装汽油治安管理信息系统运维等服务，详见磋商文件采购需求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B007F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合同履行期限：合同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签订之日起一年</w:t>
      </w:r>
    </w:p>
    <w:p w14:paraId="070D24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本项目是否接受联合体：否</w:t>
      </w:r>
    </w:p>
    <w:p w14:paraId="4A53BB6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8、是否接受进口产品：否</w:t>
      </w:r>
    </w:p>
    <w:p w14:paraId="3C9BF1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9、是否专门面向中小企业：否</w:t>
      </w:r>
    </w:p>
    <w:p w14:paraId="7CC52F0D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4" w:name="_Toc28359090"/>
      <w:bookmarkStart w:id="5" w:name="_Toc28359013"/>
      <w:bookmarkStart w:id="6" w:name="_Toc35393799"/>
      <w:bookmarkStart w:id="7" w:name="_Toc3539363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申请人的资格要求</w:t>
      </w:r>
      <w:bookmarkEnd w:id="4"/>
      <w:bookmarkEnd w:id="5"/>
      <w:bookmarkEnd w:id="6"/>
      <w:bookmarkEnd w:id="7"/>
    </w:p>
    <w:p w14:paraId="37247EE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bookmarkStart w:id="8" w:name="_Toc28359091"/>
      <w:bookmarkStart w:id="9" w:name="_Toc28359014"/>
      <w:r>
        <w:rPr>
          <w:rFonts w:hint="eastAsia" w:ascii="宋体" w:hAnsi="宋体" w:cs="宋体"/>
          <w:color w:val="auto"/>
          <w:sz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</w:rPr>
        <w:t>满足《中华人民共和国政府采购法》第二十二条规定；</w:t>
      </w:r>
    </w:p>
    <w:p w14:paraId="67210EE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</w:rPr>
        <w:t>落实政府采购政策需满足的资格要求：本项目落实促进中小企业发展/监狱/残疾人福利性企业发展等政府采购政策；落实《政府采购促进中小企业发展管理办法》财库【2020】46号文件规定；</w:t>
      </w:r>
    </w:p>
    <w:p w14:paraId="771FF636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</w:rPr>
        <w:t>本项目的特定资格要求：</w:t>
      </w:r>
    </w:p>
    <w:p w14:paraId="02708433">
      <w:pPr>
        <w:spacing w:line="360" w:lineRule="auto"/>
        <w:ind w:firstLine="540"/>
        <w:rPr>
          <w:rFonts w:hint="default" w:eastAsia="新宋体"/>
          <w:color w:val="auto"/>
          <w:sz w:val="24"/>
          <w:highlight w:val="none"/>
          <w:lang w:val="en-US" w:eastAsia="zh-CN"/>
        </w:rPr>
      </w:pPr>
      <w:bookmarkStart w:id="10" w:name="_Toc35393631"/>
      <w:bookmarkStart w:id="11" w:name="_Toc35393800"/>
      <w:r>
        <w:rPr>
          <w:rFonts w:hint="eastAsia" w:eastAsia="新宋体"/>
          <w:color w:val="auto"/>
          <w:sz w:val="24"/>
          <w:highlight w:val="none"/>
          <w:lang w:val="en-US" w:eastAsia="zh-CN"/>
        </w:rPr>
        <w:t>3.1根据《关于在政府采购活动中查询及使用信用记录有关问题的通知》(财库[2016]125 号)的规定，对列入失信被执行人、重大税收违法失信主体、政府采购严重违法失信行为记录名单的投标人，拒绝参与本项目政府采购活动【查询渠道 ：“ 信用中国 ”网站 ( www.creditchina.gov.cn ) 、中国政府采购网(www.ccgp.gov.cn)】(提供查询网页截图并加盖单位公章，查询日期需在本项目发布公告日期后)。</w:t>
      </w:r>
    </w:p>
    <w:p w14:paraId="15136425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三、获取采购文件</w:t>
      </w:r>
      <w:bookmarkEnd w:id="8"/>
      <w:bookmarkEnd w:id="9"/>
      <w:bookmarkEnd w:id="10"/>
      <w:bookmarkEnd w:id="11"/>
    </w:p>
    <w:p w14:paraId="10C49E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，下午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17：30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（北京时间，法定节假日除外 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08E491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驻马店市公共资源交易平台网站（https://ggzy.zhumadian.gov.cn/）；</w:t>
      </w:r>
    </w:p>
    <w:p w14:paraId="2DCE18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方式：凭CA密钥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登录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会员系统并按网上提示下载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文件及资料（详见交易平台网站下载中心栏目里操作手册）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711C10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0元。</w:t>
      </w:r>
    </w:p>
    <w:p w14:paraId="64D976CA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2" w:name="_Toc35393632"/>
      <w:bookmarkStart w:id="13" w:name="_Toc28359092"/>
      <w:bookmarkStart w:id="14" w:name="_Toc35393801"/>
      <w:bookmarkStart w:id="15" w:name="_Toc2835901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四、响应文件提交</w:t>
      </w:r>
      <w:bookmarkEnd w:id="12"/>
      <w:bookmarkEnd w:id="13"/>
      <w:bookmarkEnd w:id="14"/>
      <w:bookmarkEnd w:id="15"/>
    </w:p>
    <w:p w14:paraId="1ABB5B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 w14:paraId="78FC9C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驻马店市公共资源交易平台网站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6736E957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6" w:name="_Toc28359093"/>
      <w:bookmarkStart w:id="17" w:name="_Toc35393802"/>
      <w:bookmarkStart w:id="18" w:name="_Toc35393633"/>
      <w:bookmarkStart w:id="19" w:name="_Toc2835901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五、开启</w:t>
      </w:r>
      <w:bookmarkEnd w:id="16"/>
      <w:bookmarkEnd w:id="17"/>
      <w:bookmarkEnd w:id="18"/>
      <w:bookmarkEnd w:id="19"/>
    </w:p>
    <w:p w14:paraId="50B604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 w14:paraId="63D7BB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驻马店市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公共资源交易中心不见面开标厅</w:t>
      </w:r>
      <w:bookmarkStart w:id="20" w:name="_Toc28359017"/>
      <w:bookmarkStart w:id="21" w:name="_Toc35393803"/>
      <w:bookmarkStart w:id="22" w:name="_Toc28359094"/>
      <w:bookmarkStart w:id="23" w:name="_Toc35393634"/>
    </w:p>
    <w:p w14:paraId="74A658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</w:t>
      </w:r>
      <w:bookmarkEnd w:id="20"/>
      <w:bookmarkEnd w:id="21"/>
      <w:bookmarkEnd w:id="22"/>
      <w:bookmarkEnd w:id="2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发布公告的媒介及公告期限</w:t>
      </w:r>
    </w:p>
    <w:p w14:paraId="1F40B1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本次公告在《河南省政府采购网》、《驻马店市公共资源交易平台》上发布，公告期限为五个工作日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378CBE2C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4" w:name="_Toc35393804"/>
      <w:bookmarkStart w:id="25" w:name="_Toc3539363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七、其他补充事宜</w:t>
      </w:r>
      <w:bookmarkEnd w:id="24"/>
      <w:bookmarkEnd w:id="25"/>
    </w:p>
    <w:p w14:paraId="30FEB96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</w:pPr>
      <w:bookmarkStart w:id="26" w:name="_Toc28359018"/>
      <w:bookmarkStart w:id="27" w:name="_Toc35393805"/>
      <w:bookmarkStart w:id="28" w:name="_Toc28359095"/>
      <w:bookmarkStart w:id="29" w:name="_Toc35393636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1.本项目使用远程不见面交易的模式。供应商应于提交响应文件截止时间前将加密电子响应文件(.zmdtf格式)在驻马店市公共资源交易中心电子交易平台加密上传，逾期上传其响应将被拒绝。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2.供应商注册:供应商首先通过“驻马店市公共资源交易中心（http://ggzy.zhumadian.gov.cn/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 CA 密钥，完成注册。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3.采购文件下载: 凡有意参加采购活动者，登录“驻马店市公共资源交易中心（http://ggzy.zhumadian.gov.cn/）”网站，凭领取的企业身份认证锁（CA密钥）登录系统进行网上免费下载采购文件。</w:t>
      </w:r>
    </w:p>
    <w:p w14:paraId="4D996D0C">
      <w:pPr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八、凡对本次采购提出询问，请按以下方式联系</w:t>
      </w:r>
      <w:bookmarkEnd w:id="26"/>
      <w:bookmarkEnd w:id="27"/>
      <w:bookmarkEnd w:id="28"/>
      <w:bookmarkEnd w:id="29"/>
    </w:p>
    <w:p w14:paraId="7F0FF88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0" w:name="_Toc35393637"/>
      <w:bookmarkStart w:id="31" w:name="_Toc28359096"/>
      <w:bookmarkStart w:id="32" w:name="_Toc35393806"/>
      <w:bookmarkStart w:id="33" w:name="_Toc2835901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 w14:paraId="508B5AC4">
      <w:pPr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名称：驻马店市公安局</w:t>
      </w:r>
    </w:p>
    <w:p w14:paraId="66A4030A">
      <w:pPr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地址：驻马店市金水路48号</w:t>
      </w:r>
    </w:p>
    <w:p w14:paraId="11A98907">
      <w:pPr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李女士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</w:p>
    <w:p w14:paraId="102E1976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18639675306</w:t>
      </w:r>
    </w:p>
    <w:p w14:paraId="76922D03">
      <w:pPr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B6DD9B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3BCE2FD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称：河南惠德工程咨询有限公司</w:t>
      </w:r>
    </w:p>
    <w:p w14:paraId="5FD15B66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址：河南省郑州市金水区银河路北中方园路西轻科大厦A座19层</w:t>
      </w:r>
    </w:p>
    <w:p w14:paraId="1EDA7C3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联系人：张先生　　</w:t>
      </w:r>
    </w:p>
    <w:p w14:paraId="1BCF1E5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联系方式：15639678168　</w:t>
      </w:r>
    </w:p>
    <w:p w14:paraId="7E66D3F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A3FBA6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6A19C65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联系人：张先生</w:t>
      </w:r>
    </w:p>
    <w:p w14:paraId="0ABFD22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联系方式：15639678168</w:t>
      </w:r>
    </w:p>
    <w:p w14:paraId="526F6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A6D64"/>
    <w:multiLevelType w:val="singleLevel"/>
    <w:tmpl w:val="2BCA6D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9648D"/>
    <w:rsid w:val="7D3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2025-12-30T08:28:00Z</dcterms:created>
  <dc:creator>闭月羞花</dc:creator>
  <cp:lastModifiedBy>闭月羞花</cp:lastModifiedBy>
  <dcterms:modified xsi:type="dcterms:W3CDTF">2025-12-30T08:29:31Z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5E6B5D694D7E4C5C9556FE04438E2070_11</vt:lpwstr>
  </property>
  <property fmtid="{D5CDD505-2E9C-101B-9397-08002B2CF9AE}" pid="4" name="KSOTemplateDocerSaveRecord">
    <vt:lpwstr>eyJoZGlkIjoiZmJhM2M5MDk0Y2MzOWQwYjAzZmZjMWNjMTlhNDA4YTgiLCJ1c2VySWQiOiIxMTU3MDY3OTgxIn0=</vt:lpwstr>
  </property>
</Properties>
</file>