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77E11AA4">
      <w:pPr>
        <w:pStyle w:val="12"/>
        <w:rPr>
          <w:rFonts w:ascii="宋体" w:hAnsi="宋体"/>
          <w:sz w:val="32"/>
          <w:highlight w:val="none"/>
        </w:rPr>
      </w:pPr>
    </w:p>
    <w:p w14:paraId="479DB073">
      <w:pPr>
        <w:pStyle w:val="13"/>
        <w:rPr>
          <w:rFonts w:ascii="宋体" w:hAnsi="宋体"/>
          <w:sz w:val="32"/>
          <w:highlight w:val="none"/>
        </w:rPr>
      </w:pPr>
    </w:p>
    <w:p w14:paraId="25ECA8C5"/>
    <w:p w14:paraId="5946A4B1"/>
    <w:p w14:paraId="58E63542"/>
    <w:p w14:paraId="60937E31">
      <w:pPr>
        <w:pStyle w:val="12"/>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项城市城市管理局数字化城管系统技术维护外包服务项目</w:t>
      </w:r>
    </w:p>
    <w:p w14:paraId="6886C6F2">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项财磋商采购-2026-14</w:t>
      </w:r>
    </w:p>
    <w:p w14:paraId="6F5A92F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2026年3月</w:t>
      </w:r>
    </w:p>
    <w:p w14:paraId="450A2A74">
      <w:pPr>
        <w:pStyle w:val="11"/>
        <w:jc w:val="center"/>
        <w:rPr>
          <w:rFonts w:ascii="宋体" w:hAnsi="宋体"/>
          <w:b/>
          <w:sz w:val="32"/>
          <w:highlight w:val="none"/>
        </w:rPr>
      </w:pPr>
    </w:p>
    <w:p w14:paraId="1A65CAA0">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1"/>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项城市城市管理局数字化城管系统技术维护外包服务项目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3</w:t>
      </w:r>
      <w:r>
        <w:rPr>
          <w:rFonts w:hint="eastAsia" w:ascii="宋体" w:hAnsi="宋体" w:cs="宋体"/>
          <w:sz w:val="24"/>
          <w:highlight w:val="none"/>
        </w:rPr>
        <w:t>月</w:t>
      </w:r>
      <w:r>
        <w:rPr>
          <w:rFonts w:hint="eastAsia" w:ascii="宋体" w:hAnsi="宋体" w:cs="宋体"/>
          <w:sz w:val="24"/>
          <w:highlight w:val="none"/>
          <w:lang w:val="en-US" w:eastAsia="zh-CN"/>
        </w:rPr>
        <w:t>31</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5"/>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35393629"/>
      <w:bookmarkStart w:id="2" w:name="_Toc35393798"/>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5F4388FB">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项财磋商采购-2026-14</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项城市城市管理局数字化城管系统技术维护外包服务项目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608000.00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608000.00</w:t>
      </w:r>
      <w:r>
        <w:rPr>
          <w:rFonts w:hint="eastAsia" w:asciiTheme="minorEastAsia" w:hAnsiTheme="minorEastAsia" w:eastAsiaTheme="minorEastAsia" w:cstheme="minorEastAsia"/>
          <w:sz w:val="24"/>
          <w:highlight w:val="none"/>
          <w:lang w:eastAsia="zh-CN"/>
        </w:rPr>
        <w:t>元</w:t>
      </w:r>
    </w:p>
    <w:p w14:paraId="39192EAA">
      <w:pPr>
        <w:pStyle w:val="27"/>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项城市城市管理局数字化城管系统技术维护外包服务项目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608000.00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其他运行维护服务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28359013"/>
      <w:bookmarkStart w:id="5" w:name="_Toc28359090"/>
      <w:bookmarkStart w:id="6" w:name="_Toc35393799"/>
      <w:bookmarkStart w:id="7" w:name="_Toc3539363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23C46480">
      <w:pPr>
        <w:spacing w:line="360" w:lineRule="auto"/>
        <w:ind w:firstLine="480" w:firstLineChars="200"/>
        <w:jc w:val="left"/>
        <w:rPr>
          <w:rFonts w:hint="eastAsia" w:ascii="宋体" w:hAnsi="宋体" w:eastAsia="宋体" w:cs="宋体"/>
          <w:color w:val="0000FF"/>
          <w:sz w:val="24"/>
          <w:highlight w:val="yellow"/>
          <w:lang w:val="en-US" w:eastAsia="zh-CN"/>
        </w:rPr>
      </w:pPr>
      <w:r>
        <w:rPr>
          <w:rFonts w:hint="eastAsia" w:ascii="宋体" w:hAnsi="宋体" w:cs="宋体"/>
          <w:sz w:val="24"/>
          <w:highlight w:val="none"/>
        </w:rPr>
        <w:t>本项目是否为只面向中小企业采购：否</w:t>
      </w:r>
    </w:p>
    <w:p w14:paraId="4F6A46BE">
      <w:pPr>
        <w:pStyle w:val="5"/>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D3F7B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5BE11A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sz w:val="24"/>
          <w:highlight w:val="none"/>
        </w:rPr>
      </w:pPr>
      <w:r>
        <w:rPr>
          <w:rFonts w:hint="eastAsia" w:ascii="宋体" w:hAnsi="宋体" w:cs="宋体"/>
          <w:bCs/>
          <w:kern w:val="2"/>
          <w:sz w:val="24"/>
          <w:szCs w:val="24"/>
          <w:highlight w:val="none"/>
          <w:lang w:val="en-US" w:eastAsia="zh-CN" w:bidi="ar-SA"/>
        </w:rPr>
        <w:t>3.2供应商须在中华人民共和国境内注册的企业法人或事业法人，持有有效的企业法人营业执照或事业单位法人证书。（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本项目允许法人的分支机构参加投标，分支机构投标时须取得总公司授权，有且只能有一家授权代表参与本项目投标。</w:t>
      </w:r>
    </w:p>
    <w:p w14:paraId="24573C6F">
      <w:pPr>
        <w:pStyle w:val="29"/>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5"/>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19</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w:t>
      </w:r>
      <w:bookmarkStart w:id="42" w:name="_GoBack"/>
      <w:bookmarkEnd w:id="42"/>
      <w:r>
        <w:rPr>
          <w:rFonts w:hint="eastAsia" w:ascii="宋体" w:hAnsi="宋体" w:cs="宋体"/>
          <w:sz w:val="24"/>
          <w:highlight w:val="none"/>
        </w:rPr>
        <w:t>，具体办理事宜请查阅周口市公共资源交易中心网站。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5"/>
        <w:autoSpaceDE w:val="0"/>
        <w:autoSpaceDN w:val="0"/>
        <w:spacing w:line="360" w:lineRule="auto"/>
        <w:jc w:val="left"/>
        <w:rPr>
          <w:rFonts w:asciiTheme="minorEastAsia" w:hAnsiTheme="minorEastAsia" w:eastAsiaTheme="minorEastAsia" w:cstheme="minorEastAsia"/>
          <w:sz w:val="24"/>
          <w:highlight w:val="none"/>
        </w:rPr>
      </w:pPr>
      <w:bookmarkStart w:id="12" w:name="_Toc28359092"/>
      <w:bookmarkStart w:id="13" w:name="_Toc28359015"/>
      <w:bookmarkStart w:id="14" w:name="_Toc35393801"/>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5"/>
        <w:autoSpaceDE w:val="0"/>
        <w:autoSpaceDN w:val="0"/>
        <w:spacing w:line="360" w:lineRule="auto"/>
        <w:jc w:val="left"/>
        <w:rPr>
          <w:rFonts w:asciiTheme="minorEastAsia" w:hAnsiTheme="minorEastAsia" w:eastAsiaTheme="minorEastAsia" w:cstheme="minorEastAsia"/>
          <w:sz w:val="24"/>
          <w:highlight w:val="none"/>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19B433B1">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5"/>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5"/>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5"/>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28359095"/>
      <w:bookmarkStart w:id="28" w:name="_Toc35393805"/>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项城市城市管理局</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项城市</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sz w:val="24"/>
          <w:szCs w:val="24"/>
          <w:lang w:val="en-US" w:eastAsia="zh-CN"/>
        </w:rPr>
        <w:t>郭旭</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sz w:val="24"/>
          <w:szCs w:val="24"/>
          <w:lang w:val="en-US" w:eastAsia="zh-CN"/>
        </w:rPr>
        <w:t>18339412178</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0394-8106517、19913281180</w:t>
      </w:r>
      <w:r>
        <w:rPr>
          <w:rFonts w:hint="eastAsia" w:ascii="宋体" w:hAnsi="宋体" w:cs="宋体"/>
          <w:sz w:val="24"/>
        </w:rPr>
        <w:t>　　　　　　　　</w:t>
      </w:r>
    </w:p>
    <w:bookmarkEnd w:id="32"/>
    <w:bookmarkEnd w:id="33"/>
    <w:p w14:paraId="6B11F8A4">
      <w:pPr>
        <w:pStyle w:val="2"/>
        <w:ind w:firstLine="480" w:firstLineChars="200"/>
        <w:rPr>
          <w:rFonts w:hint="eastAsia" w:ascii="宋体" w:hAnsi="宋体" w:cs="宋体"/>
          <w:sz w:val="24"/>
        </w:rPr>
      </w:pPr>
      <w:r>
        <w:rPr>
          <w:rFonts w:hint="eastAsia" w:ascii="宋体" w:hAnsi="宋体" w:cs="宋体"/>
          <w:sz w:val="24"/>
        </w:rPr>
        <w:t>3.监督单位：</w:t>
      </w:r>
      <w:r>
        <w:rPr>
          <w:rFonts w:hint="eastAsia" w:ascii="宋体" w:hAnsi="宋体" w:cs="宋体"/>
          <w:sz w:val="24"/>
          <w:lang w:val="en-US" w:eastAsia="zh-CN"/>
        </w:rPr>
        <w:t>项城市财政局</w:t>
      </w:r>
    </w:p>
    <w:p w14:paraId="0EC4CA8E">
      <w:pPr>
        <w:pStyle w:val="2"/>
        <w:ind w:firstLine="480" w:firstLineChars="200"/>
        <w:rPr>
          <w:rFonts w:hint="eastAsia" w:ascii="宋体" w:hAnsi="宋体" w:eastAsia="宋体" w:cs="宋体"/>
          <w:color w:val="auto"/>
          <w:spacing w:val="0"/>
          <w:position w:val="0"/>
          <w:sz w:val="24"/>
          <w:shd w:val="clear" w:fill="auto"/>
        </w:rPr>
      </w:pPr>
      <w:r>
        <w:rPr>
          <w:rFonts w:hint="eastAsia" w:ascii="宋体" w:hAnsi="宋体" w:cs="宋体"/>
          <w:sz w:val="24"/>
        </w:rPr>
        <w:t>联系方式：0394-4315676</w:t>
      </w:r>
    </w:p>
    <w:p w14:paraId="7FAD1289">
      <w:pPr>
        <w:pStyle w:val="2"/>
        <w:ind w:left="0" w:leftChars="0" w:firstLine="0" w:firstLineChars="0"/>
        <w:rPr>
          <w:highlight w:val="none"/>
        </w:rPr>
      </w:pPr>
    </w:p>
    <w:p w14:paraId="32DCD84C">
      <w:pPr>
        <w:pStyle w:val="2"/>
        <w:ind w:left="0" w:leftChars="0" w:firstLine="0" w:firstLineChars="0"/>
        <w:rPr>
          <w:highlight w:val="none"/>
        </w:rPr>
      </w:pPr>
    </w:p>
    <w:p w14:paraId="59FCCA32">
      <w:pPr>
        <w:pStyle w:val="1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206AEE52">
      <w:pPr>
        <w:pStyle w:val="24"/>
        <w:adjustRightInd w:val="0"/>
        <w:spacing w:line="360" w:lineRule="auto"/>
        <w:ind w:left="0" w:leftChars="0" w:firstLine="4324" w:firstLineChars="1802"/>
        <w:rPr>
          <w:rFonts w:hint="eastAsia" w:ascii="宋体" w:hAnsi="宋体" w:cs="宋体"/>
          <w:b/>
          <w:sz w:val="32"/>
          <w:szCs w:val="32"/>
          <w:highlight w:val="none"/>
        </w:rPr>
      </w:pPr>
      <w:r>
        <w:rPr>
          <w:rFonts w:hint="eastAsia" w:ascii="宋体" w:hAnsi="宋体" w:cs="宋体"/>
          <w:color w:val="000000" w:themeColor="text1"/>
          <w:sz w:val="24"/>
          <w:szCs w:val="24"/>
          <w:highlight w:val="none"/>
          <w:lang w:val="en-US" w:eastAsia="zh-CN"/>
        </w:rPr>
        <w:t>2026年3月</w:t>
      </w:r>
      <w:r>
        <w:rPr>
          <w:rFonts w:hint="eastAsia" w:ascii="宋体" w:hAnsi="宋体" w:cs="宋体"/>
          <w:color w:val="000000" w:themeColor="text1"/>
          <w:sz w:val="24"/>
          <w:szCs w:val="24"/>
          <w:highlight w:val="none"/>
        </w:rPr>
        <w:t>　</w:t>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项城市城市管理局数字化城管系统技术维护外包服务项目</w:t>
            </w:r>
          </w:p>
          <w:p w14:paraId="5AB06AC2">
            <w:pPr>
              <w:rPr>
                <w:rFonts w:hint="eastAsia"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宋体" w:hAnsi="宋体" w:cs="宋体"/>
                <w:color w:val="0C0C0C" w:themeColor="text1" w:themeTint="F2"/>
                <w:sz w:val="24"/>
                <w:szCs w:val="24"/>
                <w:highlight w:val="none"/>
                <w:lang w:eastAsia="zh-CN"/>
              </w:rPr>
              <w:t>其他运行维护服务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项城市城市管理局</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宋体" w:hAnsi="宋体" w:eastAsia="宋体" w:cs="宋体"/>
                <w:color w:val="auto"/>
                <w:sz w:val="24"/>
                <w:szCs w:val="24"/>
                <w:lang w:val="en-US" w:eastAsia="zh-CN"/>
              </w:rPr>
              <w:t>1年</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5E7F55E1">
            <w:pPr>
              <w:spacing w:line="360" w:lineRule="auto"/>
              <w:rPr>
                <w:rFonts w:hint="default" w:ascii="宋体" w:hAnsi="宋体" w:cs="宋体"/>
                <w:color w:val="auto"/>
                <w:sz w:val="24"/>
                <w:szCs w:val="24"/>
                <w:highlight w:val="none"/>
                <w:lang w:val="en-US"/>
              </w:rPr>
            </w:pPr>
            <w:r>
              <w:rPr>
                <w:rFonts w:hint="eastAsia" w:asciiTheme="minorEastAsia" w:hAnsiTheme="minorEastAsia" w:cstheme="minorEastAsia"/>
                <w:color w:val="auto"/>
                <w:sz w:val="24"/>
                <w:szCs w:val="24"/>
                <w:highlight w:val="none"/>
                <w:lang w:val="en-US" w:eastAsia="zh-CN"/>
              </w:rPr>
              <w:t>每季度进行考核验收，分四次支付，一年付清。</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sz w:val="24"/>
                <w:szCs w:val="24"/>
                <w:highlight w:val="none"/>
              </w:rPr>
              <w:t>其他未列明行业</w:t>
            </w:r>
          </w:p>
        </w:tc>
      </w:tr>
    </w:tbl>
    <w:p w14:paraId="2BD7ACE3">
      <w:pPr>
        <w:pStyle w:val="29"/>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项城市城市管理局</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786FACD">
      <w:pPr>
        <w:spacing w:line="360" w:lineRule="auto"/>
        <w:ind w:firstLine="55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highlight w:val="none"/>
          <w:lang w:val="zh-CN"/>
        </w:rPr>
        <w:t>。</w:t>
      </w:r>
      <w:r>
        <w:rPr>
          <w:rFonts w:hint="eastAsia" w:ascii="宋体" w:hAnsi="宋体" w:cs="宋体"/>
          <w:color w:val="auto"/>
          <w:sz w:val="24"/>
        </w:rPr>
        <w:t>生成后的电子投标文件需要供应商法定代表人和委托代理人逐页签字并盖公章。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1"/>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1"/>
        <w:rPr>
          <w:rFonts w:ascii="宋体" w:hAnsi="宋体" w:cs="宋体"/>
          <w:sz w:val="24"/>
          <w:szCs w:val="24"/>
          <w:highlight w:val="none"/>
        </w:rPr>
      </w:pPr>
    </w:p>
    <w:p w14:paraId="3C2E2FD7">
      <w:pPr>
        <w:pStyle w:val="41"/>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2"/>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2"/>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8AAC56A">
      <w:pPr>
        <w:pStyle w:val="19"/>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767F526E">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30"/>
        <w:tblW w:w="88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0"/>
        <w:gridCol w:w="1062"/>
        <w:gridCol w:w="3617"/>
        <w:gridCol w:w="2770"/>
      </w:tblGrid>
      <w:tr w14:paraId="73C72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tcBorders>
              <w:left w:val="single" w:color="auto" w:sz="4" w:space="0"/>
            </w:tcBorders>
            <w:noWrap w:val="0"/>
            <w:vAlign w:val="center"/>
          </w:tcPr>
          <w:p w14:paraId="74B9E303">
            <w:pPr>
              <w:keepNext w:val="0"/>
              <w:keepLines w:val="0"/>
              <w:pageBreakBefore w:val="0"/>
              <w:widowControl/>
              <w:kinsoku/>
              <w:wordWrap/>
              <w:overflowPunct/>
              <w:topLinePunct w:val="0"/>
              <w:autoSpaceDE/>
              <w:bidi w:val="0"/>
              <w:snapToGrid w:val="0"/>
              <w:spacing w:line="240" w:lineRule="auto"/>
              <w:jc w:val="center"/>
              <w:rPr>
                <w:rFonts w:hint="eastAsia" w:ascii="宋体" w:hAnsi="宋体" w:eastAsia="宋体" w:cs="宋体"/>
                <w:b/>
                <w:bCs/>
                <w:color w:val="auto"/>
                <w:sz w:val="24"/>
              </w:rPr>
            </w:pPr>
            <w:r>
              <w:rPr>
                <w:rFonts w:hint="eastAsia" w:ascii="宋体" w:hAnsi="宋体" w:eastAsia="宋体" w:cs="宋体"/>
                <w:b/>
                <w:bCs/>
                <w:color w:val="auto"/>
                <w:sz w:val="24"/>
              </w:rPr>
              <w:t>评分指标</w:t>
            </w:r>
          </w:p>
        </w:tc>
        <w:tc>
          <w:tcPr>
            <w:tcW w:w="1062" w:type="dxa"/>
            <w:noWrap w:val="0"/>
            <w:vAlign w:val="center"/>
          </w:tcPr>
          <w:p w14:paraId="42DA5833">
            <w:pPr>
              <w:keepNext w:val="0"/>
              <w:keepLines w:val="0"/>
              <w:pageBreakBefore w:val="0"/>
              <w:widowControl/>
              <w:kinsoku/>
              <w:wordWrap/>
              <w:overflowPunct/>
              <w:topLinePunct w:val="0"/>
              <w:autoSpaceDE/>
              <w:bidi w:val="0"/>
              <w:snapToGrid w:val="0"/>
              <w:spacing w:line="240" w:lineRule="auto"/>
              <w:jc w:val="center"/>
              <w:rPr>
                <w:rFonts w:hint="eastAsia" w:ascii="宋体" w:hAnsi="宋体" w:eastAsia="宋体" w:cs="宋体"/>
                <w:bCs/>
                <w:color w:val="auto"/>
                <w:sz w:val="24"/>
                <w:szCs w:val="24"/>
              </w:rPr>
            </w:pPr>
            <w:r>
              <w:rPr>
                <w:rFonts w:hint="eastAsia" w:ascii="宋体" w:hAnsi="宋体" w:eastAsia="宋体" w:cs="宋体"/>
                <w:b/>
                <w:bCs/>
                <w:color w:val="auto"/>
                <w:sz w:val="24"/>
              </w:rPr>
              <w:t>分值</w:t>
            </w:r>
          </w:p>
        </w:tc>
        <w:tc>
          <w:tcPr>
            <w:tcW w:w="3617" w:type="dxa"/>
            <w:noWrap w:val="0"/>
            <w:vAlign w:val="center"/>
          </w:tcPr>
          <w:p w14:paraId="227A6800">
            <w:pPr>
              <w:keepNext w:val="0"/>
              <w:keepLines w:val="0"/>
              <w:pageBreakBefore w:val="0"/>
              <w:widowControl/>
              <w:kinsoku/>
              <w:wordWrap/>
              <w:overflowPunct/>
              <w:topLinePunct w:val="0"/>
              <w:autoSpaceDE/>
              <w:bidi w:val="0"/>
              <w:snapToGrid w:val="0"/>
              <w:spacing w:line="240" w:lineRule="auto"/>
              <w:jc w:val="center"/>
              <w:rPr>
                <w:rFonts w:hint="eastAsia" w:ascii="宋体" w:hAnsi="宋体" w:eastAsia="宋体" w:cs="宋体"/>
                <w:bCs/>
                <w:color w:val="auto"/>
                <w:sz w:val="24"/>
                <w:szCs w:val="24"/>
              </w:rPr>
            </w:pPr>
            <w:r>
              <w:rPr>
                <w:rFonts w:hint="eastAsia" w:ascii="宋体" w:hAnsi="宋体" w:eastAsia="宋体" w:cs="宋体"/>
                <w:b/>
                <w:bCs/>
                <w:color w:val="auto"/>
                <w:sz w:val="24"/>
              </w:rPr>
              <w:t>指标说明及评分标准</w:t>
            </w:r>
          </w:p>
        </w:tc>
        <w:tc>
          <w:tcPr>
            <w:tcW w:w="2770" w:type="dxa"/>
            <w:noWrap w:val="0"/>
            <w:vAlign w:val="center"/>
          </w:tcPr>
          <w:p w14:paraId="3FD676ED">
            <w:pPr>
              <w:keepNext w:val="0"/>
              <w:keepLines w:val="0"/>
              <w:pageBreakBefore w:val="0"/>
              <w:widowControl/>
              <w:kinsoku/>
              <w:wordWrap/>
              <w:overflowPunct/>
              <w:topLinePunct w:val="0"/>
              <w:autoSpaceDE/>
              <w:bidi w:val="0"/>
              <w:snapToGrid w:val="0"/>
              <w:spacing w:line="240" w:lineRule="auto"/>
              <w:jc w:val="center"/>
              <w:rPr>
                <w:rFonts w:hint="eastAsia" w:ascii="宋体" w:hAnsi="宋体" w:eastAsia="宋体" w:cs="宋体"/>
                <w:b/>
                <w:bCs/>
                <w:color w:val="auto"/>
                <w:sz w:val="24"/>
              </w:rPr>
            </w:pPr>
            <w:r>
              <w:rPr>
                <w:rFonts w:hint="eastAsia" w:ascii="宋体" w:hAnsi="宋体" w:cs="宋体"/>
                <w:b/>
                <w:bCs/>
                <w:color w:val="000000"/>
                <w:sz w:val="24"/>
              </w:rPr>
              <w:t>评分依据</w:t>
            </w:r>
          </w:p>
        </w:tc>
      </w:tr>
      <w:tr w14:paraId="4C708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tcBorders>
              <w:left w:val="single" w:color="auto" w:sz="4" w:space="0"/>
            </w:tcBorders>
            <w:noWrap w:val="0"/>
            <w:vAlign w:val="center"/>
          </w:tcPr>
          <w:p w14:paraId="68537FDC">
            <w:pPr>
              <w:keepNext w:val="0"/>
              <w:keepLines w:val="0"/>
              <w:pageBreakBefore w:val="0"/>
              <w:widowControl/>
              <w:kinsoku/>
              <w:wordWrap/>
              <w:overflowPunct/>
              <w:topLinePunct w:val="0"/>
              <w:autoSpaceDE/>
              <w:bidi w:val="0"/>
              <w:snapToGrid w:val="0"/>
              <w:spacing w:line="240" w:lineRule="auto"/>
              <w:jc w:val="left"/>
              <w:rPr>
                <w:rFonts w:hint="eastAsia" w:asciiTheme="minorEastAsia" w:hAnsiTheme="minorEastAsia" w:eastAsiaTheme="minorEastAsia" w:cstheme="minorEastAsia"/>
                <w:sz w:val="24"/>
                <w:szCs w:val="24"/>
              </w:rPr>
            </w:pPr>
            <w:r>
              <w:rPr>
                <w:rFonts w:hint="eastAsia" w:ascii="宋体" w:hAnsi="宋体" w:eastAsia="宋体" w:cs="宋体"/>
                <w:b/>
                <w:bCs/>
                <w:color w:val="auto"/>
                <w:sz w:val="24"/>
              </w:rPr>
              <w:t>报价</w:t>
            </w:r>
            <w:r>
              <w:rPr>
                <w:rFonts w:hint="eastAsia" w:ascii="宋体" w:hAnsi="宋体" w:eastAsia="宋体" w:cs="宋体"/>
                <w:b/>
                <w:bCs/>
                <w:color w:val="auto"/>
                <w:sz w:val="24"/>
                <w:lang w:val="en-US" w:eastAsia="zh-CN"/>
              </w:rPr>
              <w:t>部分</w:t>
            </w:r>
            <w:r>
              <w:rPr>
                <w:rFonts w:hint="eastAsia" w:ascii="宋体" w:hAnsi="宋体" w:eastAsia="宋体" w:cs="宋体"/>
                <w:b/>
                <w:bCs/>
                <w:color w:val="auto"/>
                <w:sz w:val="24"/>
              </w:rPr>
              <w:t>（</w:t>
            </w:r>
            <w:r>
              <w:rPr>
                <w:rFonts w:hint="eastAsia" w:ascii="宋体" w:hAnsi="宋体" w:cs="宋体"/>
                <w:b/>
                <w:bCs/>
                <w:color w:val="auto"/>
                <w:sz w:val="24"/>
                <w:lang w:val="en-US" w:eastAsia="zh-CN"/>
              </w:rPr>
              <w:t>20</w:t>
            </w:r>
            <w:r>
              <w:rPr>
                <w:rFonts w:hint="eastAsia" w:ascii="宋体" w:hAnsi="宋体" w:eastAsia="宋体" w:cs="宋体"/>
                <w:b/>
                <w:bCs/>
                <w:color w:val="auto"/>
                <w:sz w:val="24"/>
              </w:rPr>
              <w:t>分）</w:t>
            </w:r>
          </w:p>
        </w:tc>
        <w:tc>
          <w:tcPr>
            <w:tcW w:w="1062" w:type="dxa"/>
            <w:noWrap w:val="0"/>
            <w:vAlign w:val="center"/>
          </w:tcPr>
          <w:p w14:paraId="5114F867">
            <w:pPr>
              <w:keepNext w:val="0"/>
              <w:keepLines w:val="0"/>
              <w:pageBreakBefore w:val="0"/>
              <w:widowControl/>
              <w:kinsoku/>
              <w:wordWrap/>
              <w:overflowPunct/>
              <w:topLinePunct w:val="0"/>
              <w:autoSpaceDE/>
              <w:bidi w:val="0"/>
              <w:snapToGrid w:val="0"/>
              <w:spacing w:line="240" w:lineRule="auto"/>
              <w:jc w:val="center"/>
              <w:rPr>
                <w:rFonts w:hint="eastAsia" w:asciiTheme="minorEastAsia" w:hAnsiTheme="minorEastAsia" w:eastAsiaTheme="minorEastAsia" w:cstheme="minorEastAsia"/>
                <w:sz w:val="24"/>
                <w:szCs w:val="24"/>
              </w:rPr>
            </w:pPr>
            <w:r>
              <w:rPr>
                <w:rFonts w:hint="eastAsia" w:ascii="宋体" w:hAnsi="宋体" w:eastAsia="宋体" w:cs="宋体"/>
                <w:bCs/>
                <w:color w:val="auto"/>
                <w:sz w:val="24"/>
                <w:szCs w:val="24"/>
              </w:rPr>
              <w:t>报价</w:t>
            </w:r>
            <w:r>
              <w:rPr>
                <w:rFonts w:hint="eastAsia" w:ascii="宋体" w:hAnsi="宋体" w:eastAsia="宋体" w:cs="宋体"/>
                <w:color w:val="auto"/>
                <w:kern w:val="2"/>
                <w:sz w:val="24"/>
                <w:szCs w:val="24"/>
                <w:lang w:val="en-US" w:eastAsia="zh-CN" w:bidi="ar-SA"/>
              </w:rPr>
              <w:t>（</w:t>
            </w:r>
            <w:r>
              <w:rPr>
                <w:rFonts w:hint="eastAsia" w:ascii="宋体" w:hAnsi="宋体" w:cs="宋体"/>
                <w:color w:val="auto"/>
                <w:kern w:val="2"/>
                <w:sz w:val="24"/>
                <w:szCs w:val="24"/>
                <w:lang w:val="en-US" w:eastAsia="zh-CN" w:bidi="ar-SA"/>
              </w:rPr>
              <w:t>20</w:t>
            </w:r>
            <w:r>
              <w:rPr>
                <w:rFonts w:hint="eastAsia" w:ascii="宋体" w:hAnsi="宋体" w:eastAsia="宋体" w:cs="宋体"/>
                <w:color w:val="auto"/>
                <w:kern w:val="2"/>
                <w:sz w:val="24"/>
                <w:szCs w:val="24"/>
                <w:lang w:val="en-US" w:eastAsia="zh-CN" w:bidi="ar-SA"/>
              </w:rPr>
              <w:t>分）</w:t>
            </w:r>
          </w:p>
        </w:tc>
        <w:tc>
          <w:tcPr>
            <w:tcW w:w="6387" w:type="dxa"/>
            <w:gridSpan w:val="2"/>
            <w:noWrap w:val="0"/>
            <w:vAlign w:val="center"/>
          </w:tcPr>
          <w:p w14:paraId="6FA9644F">
            <w:pPr>
              <w:keepNext w:val="0"/>
              <w:keepLines w:val="0"/>
              <w:pageBreakBefore w:val="0"/>
              <w:kinsoku/>
              <w:wordWrap/>
              <w:overflowPunct/>
              <w:topLinePunct w:val="0"/>
              <w:autoSpaceDE/>
              <w:autoSpaceDN/>
              <w:bidi w:val="0"/>
              <w:snapToGrid w:val="0"/>
              <w:spacing w:line="24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满足磋商文件要求且最后报价最低的供应商的价格为磋商基准价，其价格分为满分。其他供应商的价格分统一按照下列公式计算：</w:t>
            </w:r>
          </w:p>
          <w:p w14:paraId="16465C34">
            <w:pPr>
              <w:keepNext w:val="0"/>
              <w:keepLines w:val="0"/>
              <w:pageBreakBefore w:val="0"/>
              <w:kinsoku/>
              <w:wordWrap/>
              <w:overflowPunct/>
              <w:topLinePunct w:val="0"/>
              <w:autoSpaceDE/>
              <w:autoSpaceDN/>
              <w:bidi w:val="0"/>
              <w:snapToGrid w:val="0"/>
              <w:spacing w:line="240" w:lineRule="auto"/>
              <w:ind w:firstLine="480" w:firstLineChars="200"/>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rPr>
              <w:t>磋商报价得分=（磋商基准价/最后磋商报价）×</w:t>
            </w:r>
            <w:r>
              <w:rPr>
                <w:rFonts w:hint="eastAsia" w:ascii="宋体" w:hAnsi="宋体" w:cs="宋体"/>
                <w:bCs/>
                <w:color w:val="auto"/>
                <w:sz w:val="24"/>
                <w:szCs w:val="24"/>
                <w:lang w:val="en-US" w:eastAsia="zh-CN"/>
              </w:rPr>
              <w:t>20</w:t>
            </w:r>
          </w:p>
          <w:p w14:paraId="2935A1E7">
            <w:pPr>
              <w:keepNext w:val="0"/>
              <w:keepLines w:val="0"/>
              <w:pageBreakBefore w:val="0"/>
              <w:tabs>
                <w:tab w:val="left" w:pos="5130"/>
              </w:tabs>
              <w:kinsoku/>
              <w:wordWrap/>
              <w:overflowPunct/>
              <w:topLinePunct w:val="0"/>
              <w:autoSpaceDE/>
              <w:autoSpaceDN/>
              <w:bidi w:val="0"/>
              <w:adjustRightInd w:val="0"/>
              <w:snapToGrid w:val="0"/>
              <w:spacing w:line="240" w:lineRule="auto"/>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备注：价格分计算保留小数点后二位。</w:t>
            </w:r>
          </w:p>
          <w:p w14:paraId="4FFEB0BB">
            <w:pPr>
              <w:pStyle w:val="28"/>
              <w:keepNext w:val="0"/>
              <w:keepLines w:val="0"/>
              <w:pageBreakBefore w:val="0"/>
              <w:kinsoku/>
              <w:wordWrap/>
              <w:overflowPunct/>
              <w:topLinePunct w:val="0"/>
              <w:autoSpaceDE/>
              <w:autoSpaceDN/>
              <w:bidi w:val="0"/>
              <w:snapToGrid w:val="0"/>
              <w:spacing w:after="0" w:line="240" w:lineRule="auto"/>
              <w:ind w:right="-21"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根据财政部、工信部关于印发《政府采购促进中小企业发展管理办法》的通知（财库〔20</w:t>
            </w:r>
            <w:r>
              <w:rPr>
                <w:rFonts w:hint="eastAsia" w:ascii="宋体" w:hAnsi="宋体" w:eastAsia="宋体" w:cs="宋体"/>
                <w:bCs/>
                <w:color w:val="auto"/>
                <w:sz w:val="24"/>
                <w:szCs w:val="24"/>
                <w:lang w:val="en-US" w:eastAsia="zh-CN"/>
              </w:rPr>
              <w:t>22</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19</w:t>
            </w:r>
            <w:r>
              <w:rPr>
                <w:rFonts w:hint="eastAsia" w:ascii="宋体" w:hAnsi="宋体" w:eastAsia="宋体" w:cs="宋体"/>
                <w:bCs/>
                <w:color w:val="auto"/>
                <w:sz w:val="24"/>
                <w:szCs w:val="24"/>
              </w:rPr>
              <w:t>号 ）文件规定：</w:t>
            </w:r>
          </w:p>
          <w:p w14:paraId="37A09B64">
            <w:pPr>
              <w:pStyle w:val="28"/>
              <w:keepNext w:val="0"/>
              <w:keepLines w:val="0"/>
              <w:pageBreakBefore w:val="0"/>
              <w:kinsoku/>
              <w:wordWrap/>
              <w:overflowPunct/>
              <w:topLinePunct w:val="0"/>
              <w:autoSpaceDE/>
              <w:autoSpaceDN/>
              <w:bidi w:val="0"/>
              <w:snapToGrid w:val="0"/>
              <w:spacing w:after="0" w:line="240" w:lineRule="auto"/>
              <w:ind w:right="-21"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（1）对小微企业报价给予</w:t>
            </w:r>
            <w:r>
              <w:rPr>
                <w:rFonts w:hint="eastAsia" w:ascii="宋体" w:hAnsi="宋体" w:eastAsia="宋体" w:cs="宋体"/>
                <w:bCs/>
                <w:color w:val="auto"/>
                <w:sz w:val="24"/>
                <w:szCs w:val="24"/>
                <w:lang w:val="en-US" w:eastAsia="zh-CN"/>
              </w:rPr>
              <w:t>20</w:t>
            </w:r>
            <w:r>
              <w:rPr>
                <w:rFonts w:hint="eastAsia" w:ascii="宋体" w:hAnsi="宋体" w:eastAsia="宋体" w:cs="宋体"/>
                <w:bCs/>
                <w:color w:val="auto"/>
                <w:sz w:val="24"/>
                <w:szCs w:val="24"/>
              </w:rPr>
              <w:t>%扣除，请按照《政府采购促进中小企业发展管理办法》要求提供中小企业声明函。</w:t>
            </w:r>
          </w:p>
          <w:p w14:paraId="77076FFC">
            <w:pPr>
              <w:pStyle w:val="28"/>
              <w:keepNext w:val="0"/>
              <w:keepLines w:val="0"/>
              <w:pageBreakBefore w:val="0"/>
              <w:kinsoku/>
              <w:wordWrap/>
              <w:overflowPunct/>
              <w:topLinePunct w:val="0"/>
              <w:autoSpaceDE/>
              <w:autoSpaceDN/>
              <w:bidi w:val="0"/>
              <w:snapToGrid w:val="0"/>
              <w:spacing w:after="0" w:line="240" w:lineRule="auto"/>
              <w:ind w:right="-21"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（2）关于监狱企业：视同小微企业。须提供由省级以上监狱管理局、戒毒管理局（含新疆生产建设兵团）出具的属于监狱企业的证明文件，否则不考虑价格扣除。</w:t>
            </w:r>
          </w:p>
          <w:p w14:paraId="58F49788">
            <w:pPr>
              <w:pStyle w:val="28"/>
              <w:keepNext w:val="0"/>
              <w:keepLines w:val="0"/>
              <w:pageBreakBefore w:val="0"/>
              <w:kinsoku/>
              <w:wordWrap/>
              <w:overflowPunct/>
              <w:topLinePunct w:val="0"/>
              <w:autoSpaceDE/>
              <w:autoSpaceDN/>
              <w:bidi w:val="0"/>
              <w:snapToGrid w:val="0"/>
              <w:spacing w:after="0" w:line="240" w:lineRule="auto"/>
              <w:ind w:right="-21"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61A0EEAE">
            <w:pPr>
              <w:keepNext w:val="0"/>
              <w:keepLines w:val="0"/>
              <w:pageBreakBefore w:val="0"/>
              <w:widowControl/>
              <w:kinsoku/>
              <w:wordWrap/>
              <w:overflowPunct/>
              <w:topLinePunct w:val="0"/>
              <w:autoSpaceDE/>
              <w:bidi w:val="0"/>
              <w:snapToGrid w:val="0"/>
              <w:spacing w:line="240" w:lineRule="auto"/>
              <w:jc w:val="left"/>
              <w:rPr>
                <w:rFonts w:hint="eastAsia" w:asciiTheme="minorEastAsia" w:hAnsiTheme="minorEastAsia" w:eastAsiaTheme="minorEastAsia" w:cstheme="minorEastAsia"/>
                <w:sz w:val="24"/>
                <w:szCs w:val="24"/>
              </w:rPr>
            </w:pPr>
            <w:r>
              <w:rPr>
                <w:rFonts w:hint="eastAsia" w:ascii="宋体" w:hAnsi="宋体" w:eastAsia="宋体" w:cs="宋体"/>
                <w:bCs/>
                <w:color w:val="auto"/>
                <w:sz w:val="24"/>
                <w:szCs w:val="24"/>
              </w:rPr>
              <w:t>（4）没有提供有效证明材料的供应商将被视为不接受投标总价的扣除，用原投标总价参与评审。</w:t>
            </w:r>
          </w:p>
        </w:tc>
      </w:tr>
      <w:tr w14:paraId="40F5E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restart"/>
            <w:tcBorders>
              <w:left w:val="single" w:color="auto" w:sz="4" w:space="0"/>
            </w:tcBorders>
            <w:noWrap w:val="0"/>
            <w:vAlign w:val="center"/>
          </w:tcPr>
          <w:p w14:paraId="028732BA">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技术部分</w:t>
            </w:r>
          </w:p>
          <w:p w14:paraId="10FA7AB1">
            <w:pPr>
              <w:widowControl/>
              <w:jc w:val="center"/>
              <w:rPr>
                <w:rFonts w:hint="eastAsia" w:ascii="宋体" w:hAnsi="宋体" w:eastAsia="宋体" w:cs="宋体"/>
                <w:b/>
                <w:bCs/>
                <w:color w:val="auto"/>
                <w:sz w:val="24"/>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分）</w:t>
            </w:r>
          </w:p>
        </w:tc>
        <w:tc>
          <w:tcPr>
            <w:tcW w:w="1062" w:type="dxa"/>
            <w:vMerge w:val="restart"/>
            <w:noWrap w:val="0"/>
            <w:vAlign w:val="center"/>
          </w:tcPr>
          <w:p w14:paraId="680F492A">
            <w:pPr>
              <w:keepNext w:val="0"/>
              <w:keepLines w:val="0"/>
              <w:pageBreakBefore w:val="0"/>
              <w:widowControl/>
              <w:kinsoku/>
              <w:wordWrap/>
              <w:overflowPunct/>
              <w:topLinePunct w:val="0"/>
              <w:autoSpaceDE/>
              <w:autoSpaceDN/>
              <w:bidi w:val="0"/>
              <w:spacing w:line="400" w:lineRule="exact"/>
              <w:jc w:val="center"/>
              <w:rPr>
                <w:rFonts w:hint="eastAsia" w:ascii="宋体" w:hAnsi="宋体" w:eastAsia="宋体" w:cs="宋体"/>
                <w:bCs/>
                <w:color w:val="auto"/>
                <w:sz w:val="24"/>
                <w:szCs w:val="24"/>
              </w:rPr>
            </w:pPr>
            <w:r>
              <w:rPr>
                <w:rFonts w:hint="eastAsia" w:ascii="宋体" w:hAnsi="宋体" w:eastAsia="宋体" w:cs="宋体"/>
                <w:color w:val="000000"/>
                <w:kern w:val="0"/>
                <w:sz w:val="24"/>
                <w:szCs w:val="24"/>
                <w:highlight w:val="none"/>
                <w:lang w:bidi="ar"/>
              </w:rPr>
              <w:t>实施方案</w:t>
            </w:r>
            <w:r>
              <w:rPr>
                <w:rFonts w:hint="eastAsia" w:ascii="宋体" w:hAnsi="宋体" w:cs="宋体"/>
                <w:color w:val="000000"/>
                <w:kern w:val="0"/>
                <w:sz w:val="24"/>
                <w:szCs w:val="24"/>
                <w:highlight w:val="none"/>
                <w:lang w:eastAsia="zh-CN" w:bidi="ar"/>
              </w:rPr>
              <w:t>（</w:t>
            </w:r>
            <w:r>
              <w:rPr>
                <w:rFonts w:hint="eastAsia" w:ascii="宋体" w:hAnsi="宋体" w:eastAsia="宋体" w:cs="宋体"/>
                <w:color w:val="000000"/>
                <w:kern w:val="0"/>
                <w:sz w:val="24"/>
                <w:szCs w:val="24"/>
                <w:highlight w:val="none"/>
                <w:lang w:bidi="ar"/>
              </w:rPr>
              <w:t>5</w:t>
            </w:r>
            <w:r>
              <w:rPr>
                <w:rFonts w:hint="eastAsia" w:ascii="宋体" w:hAnsi="宋体" w:cs="宋体"/>
                <w:color w:val="000000"/>
                <w:kern w:val="0"/>
                <w:sz w:val="24"/>
                <w:szCs w:val="24"/>
                <w:highlight w:val="none"/>
                <w:lang w:val="en-US" w:eastAsia="zh-CN" w:bidi="ar"/>
              </w:rPr>
              <w:t>5</w:t>
            </w:r>
            <w:r>
              <w:rPr>
                <w:rFonts w:hint="eastAsia" w:ascii="宋体" w:hAnsi="宋体" w:eastAsia="宋体" w:cs="宋体"/>
                <w:color w:val="000000"/>
                <w:kern w:val="0"/>
                <w:sz w:val="24"/>
                <w:szCs w:val="24"/>
                <w:highlight w:val="none"/>
                <w:lang w:bidi="ar"/>
              </w:rPr>
              <w:t>分</w:t>
            </w:r>
            <w:r>
              <w:rPr>
                <w:rFonts w:hint="eastAsia" w:ascii="宋体" w:hAnsi="宋体" w:cs="宋体"/>
                <w:color w:val="000000"/>
                <w:kern w:val="0"/>
                <w:sz w:val="24"/>
                <w:szCs w:val="24"/>
                <w:highlight w:val="none"/>
                <w:lang w:eastAsia="zh-CN" w:bidi="ar"/>
              </w:rPr>
              <w:t>）</w:t>
            </w:r>
          </w:p>
        </w:tc>
        <w:tc>
          <w:tcPr>
            <w:tcW w:w="6387" w:type="dxa"/>
            <w:gridSpan w:val="2"/>
            <w:noWrap w:val="0"/>
            <w:vAlign w:val="top"/>
          </w:tcPr>
          <w:p w14:paraId="60F37B74">
            <w:pPr>
              <w:keepNext w:val="0"/>
              <w:keepLines w:val="0"/>
              <w:pageBreakBefore w:val="0"/>
              <w:widowControl/>
              <w:kinsoku/>
              <w:wordWrap/>
              <w:overflowPunct/>
              <w:topLinePunct w:val="0"/>
              <w:autoSpaceDE/>
              <w:autoSpaceDN/>
              <w:bidi w:val="0"/>
              <w:spacing w:line="400" w:lineRule="exact"/>
              <w:textAlignment w:val="top"/>
              <w:rPr>
                <w:rFonts w:hint="eastAsia" w:ascii="宋体" w:hAnsi="宋体" w:eastAsia="宋体" w:cs="宋体"/>
                <w:bCs/>
                <w:color w:val="auto"/>
                <w:sz w:val="24"/>
                <w:szCs w:val="24"/>
              </w:rPr>
            </w:pPr>
            <w:r>
              <w:rPr>
                <w:rFonts w:hint="eastAsia" w:ascii="宋体" w:hAnsi="宋体" w:eastAsia="宋体" w:cs="宋体"/>
                <w:color w:val="000000"/>
                <w:kern w:val="0"/>
                <w:sz w:val="24"/>
                <w:szCs w:val="24"/>
                <w:highlight w:val="none"/>
                <w:lang w:bidi="ar"/>
              </w:rPr>
              <w:t>1.项目实施计划：投标人</w:t>
            </w:r>
            <w:r>
              <w:rPr>
                <w:rFonts w:hint="eastAsia" w:ascii="宋体" w:hAnsi="宋体" w:cs="宋体"/>
                <w:color w:val="000000"/>
                <w:kern w:val="0"/>
                <w:sz w:val="24"/>
                <w:szCs w:val="24"/>
                <w:highlight w:val="none"/>
                <w:lang w:val="en-US" w:eastAsia="zh-CN" w:bidi="ar"/>
              </w:rPr>
              <w:t>提供</w:t>
            </w:r>
            <w:r>
              <w:rPr>
                <w:rFonts w:hint="eastAsia" w:ascii="宋体" w:hAnsi="宋体" w:cs="宋体"/>
                <w:color w:val="000000"/>
                <w:kern w:val="0"/>
                <w:sz w:val="24"/>
                <w:szCs w:val="24"/>
                <w:highlight w:val="none"/>
                <w:lang w:eastAsia="zh-CN" w:bidi="ar"/>
              </w:rPr>
              <w:t>针对该项目</w:t>
            </w:r>
            <w:r>
              <w:rPr>
                <w:rFonts w:hint="eastAsia" w:ascii="宋体" w:hAnsi="宋体" w:cs="宋体"/>
                <w:color w:val="000000"/>
                <w:kern w:val="0"/>
                <w:sz w:val="24"/>
                <w:szCs w:val="24"/>
                <w:highlight w:val="none"/>
                <w:lang w:val="en-US" w:eastAsia="zh-CN" w:bidi="ar"/>
              </w:rPr>
              <w:t>的</w:t>
            </w:r>
            <w:r>
              <w:rPr>
                <w:rFonts w:hint="eastAsia" w:ascii="宋体" w:hAnsi="宋体" w:eastAsia="宋体" w:cs="宋体"/>
                <w:color w:val="000000"/>
                <w:kern w:val="0"/>
                <w:sz w:val="24"/>
                <w:szCs w:val="24"/>
                <w:highlight w:val="none"/>
                <w:lang w:bidi="ar"/>
              </w:rPr>
              <w:t>实施计划</w:t>
            </w:r>
            <w:bookmarkStart w:id="34" w:name="OLE_LINK4"/>
            <w:r>
              <w:rPr>
                <w:rFonts w:hint="eastAsia" w:ascii="宋体" w:hAnsi="宋体" w:eastAsia="宋体" w:cs="宋体"/>
                <w:color w:val="000000"/>
                <w:kern w:val="0"/>
                <w:sz w:val="24"/>
                <w:szCs w:val="24"/>
                <w:highlight w:val="none"/>
                <w:lang w:bidi="ar"/>
              </w:rPr>
              <w:t>的得</w:t>
            </w:r>
            <w:r>
              <w:rPr>
                <w:rFonts w:hint="eastAsia" w:ascii="宋体" w:hAnsi="宋体" w:cs="宋体"/>
                <w:color w:val="000000"/>
                <w:kern w:val="0"/>
                <w:sz w:val="24"/>
                <w:szCs w:val="24"/>
                <w:highlight w:val="none"/>
                <w:lang w:val="en-US" w:eastAsia="zh-CN" w:bidi="ar"/>
              </w:rPr>
              <w:t>10</w:t>
            </w:r>
            <w:r>
              <w:rPr>
                <w:rFonts w:hint="eastAsia" w:ascii="宋体" w:hAnsi="宋体" w:eastAsia="宋体" w:cs="宋体"/>
                <w:color w:val="000000"/>
                <w:kern w:val="0"/>
                <w:sz w:val="24"/>
                <w:szCs w:val="24"/>
                <w:highlight w:val="none"/>
                <w:lang w:bidi="ar"/>
              </w:rPr>
              <w:t>分，</w:t>
            </w:r>
            <w:r>
              <w:rPr>
                <w:rFonts w:hint="eastAsia" w:ascii="宋体" w:hAnsi="宋体" w:cs="宋体"/>
                <w:color w:val="000000"/>
                <w:kern w:val="0"/>
                <w:sz w:val="24"/>
                <w:szCs w:val="24"/>
                <w:highlight w:val="none"/>
                <w:lang w:val="en-US" w:eastAsia="zh-CN" w:bidi="ar"/>
              </w:rPr>
              <w:t>不提供不得分</w:t>
            </w:r>
            <w:r>
              <w:rPr>
                <w:rFonts w:hint="eastAsia" w:ascii="宋体" w:hAnsi="宋体" w:eastAsia="宋体" w:cs="宋体"/>
                <w:color w:val="000000"/>
                <w:kern w:val="0"/>
                <w:sz w:val="24"/>
                <w:szCs w:val="24"/>
                <w:highlight w:val="none"/>
                <w:lang w:bidi="ar"/>
              </w:rPr>
              <w:t>。</w:t>
            </w:r>
            <w:bookmarkEnd w:id="34"/>
          </w:p>
        </w:tc>
      </w:tr>
      <w:tr w14:paraId="178FC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0" w:hRule="atLeast"/>
          <w:jc w:val="center"/>
        </w:trPr>
        <w:tc>
          <w:tcPr>
            <w:tcW w:w="1370" w:type="dxa"/>
            <w:vMerge w:val="continue"/>
            <w:tcBorders>
              <w:left w:val="single" w:color="auto" w:sz="4" w:space="0"/>
            </w:tcBorders>
            <w:noWrap w:val="0"/>
            <w:vAlign w:val="center"/>
          </w:tcPr>
          <w:p w14:paraId="6661CAF4">
            <w:pPr>
              <w:widowControl/>
              <w:jc w:val="center"/>
              <w:rPr>
                <w:rFonts w:hint="eastAsia" w:ascii="宋体" w:hAnsi="宋体" w:eastAsia="宋体" w:cs="宋体"/>
                <w:b/>
                <w:bCs/>
                <w:color w:val="auto"/>
                <w:sz w:val="24"/>
              </w:rPr>
            </w:pPr>
          </w:p>
        </w:tc>
        <w:tc>
          <w:tcPr>
            <w:tcW w:w="1062" w:type="dxa"/>
            <w:vMerge w:val="continue"/>
            <w:noWrap w:val="0"/>
            <w:vAlign w:val="center"/>
          </w:tcPr>
          <w:p w14:paraId="2992FE1C">
            <w:pPr>
              <w:keepNext w:val="0"/>
              <w:keepLines w:val="0"/>
              <w:pageBreakBefore w:val="0"/>
              <w:widowControl/>
              <w:kinsoku/>
              <w:wordWrap/>
              <w:overflowPunct/>
              <w:topLinePunct w:val="0"/>
              <w:autoSpaceDE/>
              <w:autoSpaceDN/>
              <w:bidi w:val="0"/>
              <w:spacing w:line="400" w:lineRule="exact"/>
              <w:jc w:val="center"/>
              <w:rPr>
                <w:rFonts w:hint="eastAsia" w:ascii="宋体" w:hAnsi="宋体" w:eastAsia="宋体" w:cs="宋体"/>
                <w:bCs/>
                <w:color w:val="auto"/>
                <w:sz w:val="24"/>
                <w:szCs w:val="24"/>
              </w:rPr>
            </w:pPr>
          </w:p>
        </w:tc>
        <w:tc>
          <w:tcPr>
            <w:tcW w:w="6387" w:type="dxa"/>
            <w:gridSpan w:val="2"/>
            <w:noWrap w:val="0"/>
            <w:vAlign w:val="center"/>
          </w:tcPr>
          <w:p w14:paraId="22732CB6">
            <w:pPr>
              <w:keepNext w:val="0"/>
              <w:keepLines w:val="0"/>
              <w:pageBreakBefore w:val="0"/>
              <w:widowControl/>
              <w:kinsoku/>
              <w:wordWrap/>
              <w:overflowPunct/>
              <w:topLinePunct w:val="0"/>
              <w:autoSpaceDE/>
              <w:autoSpaceDN/>
              <w:bidi w:val="0"/>
              <w:spacing w:line="400" w:lineRule="exact"/>
              <w:textAlignment w:val="top"/>
              <w:rPr>
                <w:rFonts w:hint="default" w:ascii="宋体" w:hAnsi="宋体" w:eastAsia="宋体" w:cs="宋体"/>
                <w:color w:val="000000"/>
                <w:kern w:val="0"/>
                <w:sz w:val="24"/>
                <w:szCs w:val="24"/>
                <w:highlight w:val="none"/>
                <w:lang w:val="en-US" w:eastAsia="zh-CN" w:bidi="ar"/>
              </w:rPr>
            </w:pPr>
            <w:r>
              <w:rPr>
                <w:rFonts w:hint="eastAsia" w:ascii="宋体" w:hAnsi="宋体" w:cs="宋体"/>
                <w:color w:val="000000"/>
                <w:kern w:val="0"/>
                <w:sz w:val="24"/>
                <w:szCs w:val="24"/>
                <w:highlight w:val="none"/>
                <w:lang w:val="en-US" w:eastAsia="zh-CN" w:bidi="ar"/>
              </w:rPr>
              <w:t>2.专职人员</w:t>
            </w:r>
          </w:p>
          <w:p w14:paraId="0BEA19F3">
            <w:pPr>
              <w:keepNext w:val="0"/>
              <w:keepLines w:val="0"/>
              <w:pageBreakBefore w:val="0"/>
              <w:widowControl/>
              <w:kinsoku/>
              <w:wordWrap/>
              <w:overflowPunct/>
              <w:topLinePunct w:val="0"/>
              <w:autoSpaceDE/>
              <w:autoSpaceDN/>
              <w:bidi w:val="0"/>
              <w:spacing w:line="400" w:lineRule="exact"/>
              <w:textAlignment w:val="top"/>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val="en-US" w:eastAsia="zh-CN" w:bidi="ar"/>
              </w:rPr>
              <w:t>2.</w:t>
            </w:r>
            <w:bookmarkStart w:id="35" w:name="OLE_LINK5"/>
            <w:r>
              <w:rPr>
                <w:rFonts w:hint="eastAsia" w:ascii="宋体" w:hAnsi="宋体" w:cs="宋体"/>
                <w:color w:val="000000"/>
                <w:kern w:val="0"/>
                <w:sz w:val="24"/>
                <w:szCs w:val="24"/>
                <w:highlight w:val="none"/>
                <w:lang w:val="en-US" w:eastAsia="zh-CN" w:bidi="ar"/>
              </w:rPr>
              <w:t>1</w:t>
            </w:r>
            <w:r>
              <w:rPr>
                <w:rFonts w:hint="eastAsia" w:ascii="宋体" w:hAnsi="宋体" w:eastAsia="宋体" w:cs="宋体"/>
                <w:color w:val="000000"/>
                <w:kern w:val="0"/>
                <w:sz w:val="24"/>
                <w:szCs w:val="24"/>
                <w:highlight w:val="none"/>
                <w:lang w:bidi="ar"/>
              </w:rPr>
              <w:t>投标人</w:t>
            </w:r>
            <w:r>
              <w:rPr>
                <w:rFonts w:hint="eastAsia" w:ascii="宋体" w:hAnsi="宋体" w:eastAsia="宋体" w:cs="宋体"/>
                <w:color w:val="000000"/>
                <w:kern w:val="0"/>
                <w:sz w:val="24"/>
                <w:szCs w:val="24"/>
                <w:highlight w:val="none"/>
                <w:lang w:val="en-US" w:eastAsia="zh-CN" w:bidi="ar"/>
              </w:rPr>
              <w:t>提供信息系统项目管理师证书的</w:t>
            </w:r>
            <w:r>
              <w:rPr>
                <w:rFonts w:hint="eastAsia" w:ascii="宋体" w:hAnsi="宋体" w:eastAsia="宋体" w:cs="宋体"/>
                <w:color w:val="000000"/>
                <w:kern w:val="0"/>
                <w:sz w:val="24"/>
                <w:szCs w:val="24"/>
                <w:highlight w:val="none"/>
                <w:lang w:bidi="ar"/>
              </w:rPr>
              <w:t>的得</w:t>
            </w: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分</w:t>
            </w:r>
          </w:p>
          <w:bookmarkEnd w:id="35"/>
          <w:p w14:paraId="4A62DCDE">
            <w:pPr>
              <w:keepNext w:val="0"/>
              <w:keepLines w:val="0"/>
              <w:pageBreakBefore w:val="0"/>
              <w:widowControl/>
              <w:kinsoku/>
              <w:wordWrap/>
              <w:overflowPunct/>
              <w:topLinePunct w:val="0"/>
              <w:autoSpaceDE/>
              <w:autoSpaceDN/>
              <w:bidi w:val="0"/>
              <w:spacing w:line="400" w:lineRule="exact"/>
              <w:textAlignment w:val="top"/>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val="en-US" w:eastAsia="zh-CN" w:bidi="ar"/>
              </w:rPr>
              <w:t>2.</w:t>
            </w:r>
            <w:r>
              <w:rPr>
                <w:rFonts w:hint="eastAsia" w:ascii="宋体"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bidi="ar"/>
              </w:rPr>
              <w:t>投标人</w:t>
            </w:r>
            <w:r>
              <w:rPr>
                <w:rFonts w:hint="eastAsia" w:ascii="宋体" w:hAnsi="宋体" w:eastAsia="宋体" w:cs="宋体"/>
                <w:color w:val="000000"/>
                <w:kern w:val="0"/>
                <w:sz w:val="24"/>
                <w:szCs w:val="24"/>
                <w:highlight w:val="none"/>
                <w:lang w:val="en-US" w:eastAsia="zh-CN" w:bidi="ar"/>
              </w:rPr>
              <w:t>提供信息通信网络维护人员证书的</w:t>
            </w:r>
            <w:r>
              <w:rPr>
                <w:rFonts w:hint="eastAsia" w:ascii="宋体" w:hAnsi="宋体" w:eastAsia="宋体" w:cs="宋体"/>
                <w:color w:val="000000"/>
                <w:kern w:val="0"/>
                <w:sz w:val="24"/>
                <w:szCs w:val="24"/>
                <w:highlight w:val="none"/>
                <w:lang w:bidi="ar"/>
              </w:rPr>
              <w:t>的得</w:t>
            </w: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分</w:t>
            </w:r>
          </w:p>
          <w:p w14:paraId="02F190C9">
            <w:pPr>
              <w:keepNext w:val="0"/>
              <w:keepLines w:val="0"/>
              <w:pageBreakBefore w:val="0"/>
              <w:widowControl/>
              <w:kinsoku/>
              <w:wordWrap/>
              <w:overflowPunct/>
              <w:topLinePunct w:val="0"/>
              <w:autoSpaceDE/>
              <w:autoSpaceDN/>
              <w:bidi w:val="0"/>
              <w:spacing w:line="400" w:lineRule="exact"/>
              <w:textAlignment w:val="top"/>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w:t>
            </w:r>
            <w:r>
              <w:rPr>
                <w:rFonts w:hint="eastAsia" w:ascii="宋体"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bidi="ar"/>
              </w:rPr>
              <w:t>投标人</w:t>
            </w:r>
            <w:r>
              <w:rPr>
                <w:rFonts w:hint="eastAsia" w:ascii="宋体" w:hAnsi="宋体" w:eastAsia="宋体" w:cs="宋体"/>
                <w:color w:val="000000"/>
                <w:kern w:val="0"/>
                <w:sz w:val="24"/>
                <w:szCs w:val="24"/>
                <w:highlight w:val="none"/>
                <w:lang w:val="en-US" w:eastAsia="zh-CN" w:bidi="ar"/>
              </w:rPr>
              <w:t>提供电信机务员证书的</w:t>
            </w:r>
            <w:r>
              <w:rPr>
                <w:rFonts w:hint="eastAsia" w:ascii="宋体" w:hAnsi="宋体" w:eastAsia="宋体" w:cs="宋体"/>
                <w:color w:val="000000"/>
                <w:kern w:val="0"/>
                <w:sz w:val="24"/>
                <w:szCs w:val="24"/>
                <w:highlight w:val="none"/>
                <w:lang w:bidi="ar"/>
              </w:rPr>
              <w:t>的得</w:t>
            </w: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分</w:t>
            </w:r>
          </w:p>
          <w:p w14:paraId="03D00247">
            <w:pPr>
              <w:keepNext w:val="0"/>
              <w:keepLines w:val="0"/>
              <w:pageBreakBefore w:val="0"/>
              <w:widowControl/>
              <w:numPr>
                <w:ilvl w:val="0"/>
                <w:numId w:val="0"/>
              </w:numPr>
              <w:kinsoku/>
              <w:wordWrap/>
              <w:overflowPunct/>
              <w:topLinePunct w:val="0"/>
              <w:autoSpaceDE/>
              <w:autoSpaceDN/>
              <w:bidi w:val="0"/>
              <w:spacing w:line="400" w:lineRule="exact"/>
              <w:textAlignment w:val="center"/>
              <w:rPr>
                <w:rFonts w:hint="eastAsia" w:ascii="宋体" w:hAnsi="宋体" w:eastAsia="宋体" w:cs="宋体"/>
                <w:bCs/>
                <w:color w:val="auto"/>
                <w:sz w:val="24"/>
                <w:szCs w:val="24"/>
                <w:highlight w:val="none"/>
                <w:lang w:eastAsia="zh-CN"/>
              </w:rPr>
            </w:pPr>
            <w:r>
              <w:rPr>
                <w:rFonts w:hint="eastAsia" w:ascii="宋体" w:hAnsi="宋体" w:cs="宋体"/>
                <w:color w:val="000000"/>
                <w:kern w:val="0"/>
                <w:sz w:val="24"/>
                <w:szCs w:val="24"/>
                <w:highlight w:val="none"/>
                <w:lang w:val="en-US" w:eastAsia="zh-CN" w:bidi="ar"/>
              </w:rPr>
              <w:t>注：以上人员</w:t>
            </w:r>
            <w:r>
              <w:rPr>
                <w:rFonts w:hint="eastAsia" w:ascii="宋体" w:hAnsi="宋体" w:eastAsia="宋体" w:cs="宋体"/>
                <w:color w:val="000000"/>
                <w:kern w:val="0"/>
                <w:sz w:val="24"/>
                <w:szCs w:val="24"/>
                <w:highlight w:val="none"/>
                <w:lang w:bidi="ar"/>
              </w:rPr>
              <w:t>需提供</w:t>
            </w:r>
            <w:r>
              <w:rPr>
                <w:rFonts w:hint="eastAsia" w:ascii="宋体" w:hAnsi="宋体" w:cs="宋体"/>
                <w:color w:val="000000"/>
                <w:kern w:val="0"/>
                <w:sz w:val="24"/>
                <w:szCs w:val="24"/>
                <w:highlight w:val="none"/>
                <w:lang w:val="en-US" w:eastAsia="zh-CN" w:bidi="ar"/>
              </w:rPr>
              <w:t>证书扫描件和</w:t>
            </w:r>
            <w:r>
              <w:rPr>
                <w:rFonts w:hint="eastAsia" w:ascii="宋体" w:hAnsi="宋体" w:cs="宋体"/>
                <w:color w:val="000000"/>
                <w:sz w:val="24"/>
                <w:highlight w:val="none"/>
                <w:lang w:val="en-US" w:eastAsia="zh-CN"/>
              </w:rPr>
              <w:t>近半年</w:t>
            </w:r>
            <w:r>
              <w:rPr>
                <w:rFonts w:hint="eastAsia" w:ascii="宋体" w:hAnsi="宋体" w:eastAsia="宋体" w:cs="宋体"/>
                <w:color w:val="000000"/>
                <w:sz w:val="24"/>
                <w:highlight w:val="none"/>
              </w:rPr>
              <w:t>以来连续三个月在本公司的社保缴纳证明</w:t>
            </w:r>
            <w:bookmarkStart w:id="36" w:name="OLE_LINK1"/>
            <w:r>
              <w:rPr>
                <w:rFonts w:hint="eastAsia" w:ascii="宋体" w:hAnsi="宋体" w:eastAsia="宋体" w:cs="宋体"/>
                <w:color w:val="000000"/>
                <w:sz w:val="24"/>
                <w:highlight w:val="none"/>
              </w:rPr>
              <w:t>（新公司从成立之日算起)</w:t>
            </w:r>
            <w:bookmarkEnd w:id="36"/>
            <w:r>
              <w:rPr>
                <w:rFonts w:hint="eastAsia" w:ascii="宋体" w:hAnsi="宋体" w:cs="宋体"/>
                <w:color w:val="000000"/>
                <w:sz w:val="24"/>
                <w:highlight w:val="none"/>
                <w:lang w:eastAsia="zh-CN"/>
              </w:rPr>
              <w:t>，</w:t>
            </w:r>
            <w:r>
              <w:rPr>
                <w:rFonts w:hint="eastAsia" w:ascii="宋体" w:hAnsi="宋体" w:eastAsia="宋体" w:cs="宋体"/>
                <w:color w:val="000000"/>
                <w:kern w:val="0"/>
                <w:sz w:val="24"/>
                <w:szCs w:val="24"/>
                <w:highlight w:val="none"/>
                <w:lang w:val="en-US" w:eastAsia="zh-CN" w:bidi="ar"/>
              </w:rPr>
              <w:t>不提供或缺项不得分</w:t>
            </w:r>
            <w:r>
              <w:rPr>
                <w:rFonts w:hint="eastAsia" w:ascii="宋体" w:hAnsi="宋体" w:eastAsia="宋体" w:cs="宋体"/>
                <w:color w:val="000000"/>
                <w:kern w:val="0"/>
                <w:sz w:val="24"/>
                <w:szCs w:val="24"/>
                <w:highlight w:val="none"/>
                <w:lang w:bidi="ar"/>
              </w:rPr>
              <w:t>。</w:t>
            </w:r>
          </w:p>
        </w:tc>
      </w:tr>
      <w:tr w14:paraId="7ECB8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center"/>
          </w:tcPr>
          <w:p w14:paraId="4B8CAD5E">
            <w:pPr>
              <w:widowControl/>
              <w:jc w:val="center"/>
              <w:rPr>
                <w:rFonts w:hint="eastAsia" w:ascii="宋体" w:hAnsi="宋体" w:eastAsia="宋体" w:cs="宋体"/>
                <w:b/>
                <w:bCs/>
                <w:color w:val="auto"/>
                <w:sz w:val="24"/>
              </w:rPr>
            </w:pPr>
          </w:p>
        </w:tc>
        <w:tc>
          <w:tcPr>
            <w:tcW w:w="1062" w:type="dxa"/>
            <w:vMerge w:val="continue"/>
            <w:noWrap w:val="0"/>
            <w:vAlign w:val="center"/>
          </w:tcPr>
          <w:p w14:paraId="2FBE5935">
            <w:pPr>
              <w:keepNext w:val="0"/>
              <w:keepLines w:val="0"/>
              <w:pageBreakBefore w:val="0"/>
              <w:widowControl/>
              <w:kinsoku/>
              <w:wordWrap/>
              <w:overflowPunct/>
              <w:topLinePunct w:val="0"/>
              <w:autoSpaceDE/>
              <w:autoSpaceDN/>
              <w:bidi w:val="0"/>
              <w:spacing w:line="400" w:lineRule="exact"/>
              <w:jc w:val="center"/>
              <w:rPr>
                <w:rFonts w:hint="eastAsia" w:ascii="宋体" w:hAnsi="宋体" w:eastAsia="宋体" w:cs="宋体"/>
                <w:bCs/>
                <w:color w:val="auto"/>
                <w:sz w:val="24"/>
                <w:szCs w:val="24"/>
              </w:rPr>
            </w:pPr>
          </w:p>
        </w:tc>
        <w:tc>
          <w:tcPr>
            <w:tcW w:w="6387" w:type="dxa"/>
            <w:gridSpan w:val="2"/>
            <w:noWrap w:val="0"/>
            <w:vAlign w:val="center"/>
          </w:tcPr>
          <w:p w14:paraId="61589EB6">
            <w:pPr>
              <w:keepNext w:val="0"/>
              <w:keepLines w:val="0"/>
              <w:pageBreakBefore w:val="0"/>
              <w:widowControl/>
              <w:kinsoku/>
              <w:wordWrap/>
              <w:overflowPunct/>
              <w:topLinePunct w:val="0"/>
              <w:autoSpaceDE/>
              <w:autoSpaceDN/>
              <w:bidi w:val="0"/>
              <w:spacing w:line="400" w:lineRule="exact"/>
              <w:textAlignment w:val="center"/>
              <w:rPr>
                <w:rFonts w:hint="eastAsia" w:ascii="宋体" w:hAnsi="宋体" w:eastAsia="宋体" w:cs="宋体"/>
                <w:bCs/>
                <w:color w:val="auto"/>
                <w:sz w:val="24"/>
                <w:szCs w:val="24"/>
                <w:highlight w:val="none"/>
              </w:rPr>
            </w:pPr>
            <w:r>
              <w:rPr>
                <w:rFonts w:hint="eastAsia" w:ascii="宋体" w:hAnsi="宋体" w:eastAsia="宋体" w:cs="宋体"/>
                <w:color w:val="000000"/>
                <w:kern w:val="0"/>
                <w:sz w:val="24"/>
                <w:szCs w:val="24"/>
                <w:highlight w:val="none"/>
                <w:lang w:bidi="ar"/>
              </w:rPr>
              <w:t>3.重难点分析</w:t>
            </w:r>
            <w:r>
              <w:rPr>
                <w:rFonts w:hint="eastAsia" w:ascii="宋体" w:hAnsi="宋体" w:cs="宋体"/>
                <w:color w:val="000000"/>
                <w:kern w:val="0"/>
                <w:sz w:val="24"/>
                <w:szCs w:val="24"/>
                <w:highlight w:val="none"/>
                <w:lang w:eastAsia="zh-CN" w:bidi="ar"/>
              </w:rPr>
              <w:t>：投标人</w:t>
            </w:r>
            <w:r>
              <w:rPr>
                <w:rFonts w:hint="eastAsia" w:ascii="宋体" w:hAnsi="宋体" w:cs="宋体"/>
                <w:color w:val="000000"/>
                <w:kern w:val="0"/>
                <w:sz w:val="24"/>
                <w:szCs w:val="24"/>
                <w:highlight w:val="none"/>
                <w:lang w:val="en-US" w:eastAsia="zh-CN" w:bidi="ar"/>
              </w:rPr>
              <w:t>提供</w:t>
            </w:r>
            <w:r>
              <w:rPr>
                <w:rFonts w:hint="eastAsia" w:ascii="宋体" w:hAnsi="宋体" w:cs="宋体"/>
                <w:color w:val="000000"/>
                <w:kern w:val="0"/>
                <w:sz w:val="24"/>
                <w:szCs w:val="24"/>
                <w:highlight w:val="none"/>
                <w:lang w:eastAsia="zh-CN" w:bidi="ar"/>
              </w:rPr>
              <w:t>针对该项目</w:t>
            </w:r>
            <w:r>
              <w:rPr>
                <w:rFonts w:hint="eastAsia" w:ascii="宋体" w:hAnsi="宋体" w:eastAsia="宋体" w:cs="宋体"/>
                <w:color w:val="000000"/>
                <w:kern w:val="0"/>
                <w:sz w:val="24"/>
                <w:szCs w:val="24"/>
                <w:highlight w:val="none"/>
                <w:lang w:bidi="ar"/>
              </w:rPr>
              <w:t>重难点分析以及建设性意见与建议的得</w:t>
            </w:r>
            <w:r>
              <w:rPr>
                <w:rFonts w:hint="eastAsia" w:ascii="宋体" w:hAnsi="宋体" w:cs="宋体"/>
                <w:color w:val="000000"/>
                <w:kern w:val="0"/>
                <w:sz w:val="24"/>
                <w:szCs w:val="24"/>
                <w:highlight w:val="none"/>
                <w:lang w:val="en-US" w:eastAsia="zh-CN" w:bidi="ar"/>
              </w:rPr>
              <w:t>10</w:t>
            </w:r>
            <w:r>
              <w:rPr>
                <w:rFonts w:hint="eastAsia" w:ascii="宋体" w:hAnsi="宋体" w:eastAsia="宋体" w:cs="宋体"/>
                <w:color w:val="000000"/>
                <w:kern w:val="0"/>
                <w:sz w:val="24"/>
                <w:szCs w:val="24"/>
                <w:highlight w:val="none"/>
                <w:lang w:bidi="ar"/>
              </w:rPr>
              <w:t>分，</w:t>
            </w:r>
            <w:r>
              <w:rPr>
                <w:rFonts w:hint="eastAsia" w:ascii="宋体" w:hAnsi="宋体" w:cs="宋体"/>
                <w:color w:val="000000"/>
                <w:kern w:val="0"/>
                <w:sz w:val="24"/>
                <w:szCs w:val="24"/>
                <w:highlight w:val="none"/>
                <w:lang w:val="en-US" w:eastAsia="zh-CN" w:bidi="ar"/>
              </w:rPr>
              <w:t>不提供或缺项不得分</w:t>
            </w:r>
            <w:r>
              <w:rPr>
                <w:rFonts w:hint="eastAsia" w:ascii="宋体" w:hAnsi="宋体" w:eastAsia="宋体" w:cs="宋体"/>
                <w:color w:val="000000"/>
                <w:kern w:val="0"/>
                <w:sz w:val="24"/>
                <w:szCs w:val="24"/>
                <w:highlight w:val="none"/>
                <w:lang w:bidi="ar"/>
              </w:rPr>
              <w:t>。</w:t>
            </w:r>
          </w:p>
        </w:tc>
      </w:tr>
      <w:tr w14:paraId="4324F9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center"/>
          </w:tcPr>
          <w:p w14:paraId="424C2864">
            <w:pPr>
              <w:widowControl/>
              <w:jc w:val="center"/>
              <w:rPr>
                <w:rFonts w:hint="eastAsia" w:ascii="宋体" w:hAnsi="宋体" w:eastAsia="宋体" w:cs="宋体"/>
                <w:b/>
                <w:bCs/>
                <w:color w:val="auto"/>
                <w:sz w:val="24"/>
              </w:rPr>
            </w:pPr>
          </w:p>
        </w:tc>
        <w:tc>
          <w:tcPr>
            <w:tcW w:w="1062" w:type="dxa"/>
            <w:vMerge w:val="continue"/>
            <w:noWrap w:val="0"/>
            <w:vAlign w:val="center"/>
          </w:tcPr>
          <w:p w14:paraId="22DC44BC">
            <w:pPr>
              <w:keepNext w:val="0"/>
              <w:keepLines w:val="0"/>
              <w:pageBreakBefore w:val="0"/>
              <w:widowControl/>
              <w:kinsoku/>
              <w:wordWrap/>
              <w:overflowPunct/>
              <w:topLinePunct w:val="0"/>
              <w:autoSpaceDE/>
              <w:autoSpaceDN/>
              <w:bidi w:val="0"/>
              <w:spacing w:line="400" w:lineRule="exact"/>
              <w:jc w:val="center"/>
              <w:rPr>
                <w:rFonts w:hint="eastAsia" w:ascii="宋体" w:hAnsi="宋体" w:cs="宋体"/>
                <w:color w:val="000000"/>
                <w:sz w:val="24"/>
              </w:rPr>
            </w:pPr>
          </w:p>
        </w:tc>
        <w:tc>
          <w:tcPr>
            <w:tcW w:w="6387" w:type="dxa"/>
            <w:gridSpan w:val="2"/>
            <w:noWrap w:val="0"/>
            <w:vAlign w:val="center"/>
          </w:tcPr>
          <w:p w14:paraId="65DD20E8">
            <w:pPr>
              <w:keepNext w:val="0"/>
              <w:keepLines w:val="0"/>
              <w:pageBreakBefore w:val="0"/>
              <w:widowControl/>
              <w:kinsoku/>
              <w:wordWrap/>
              <w:overflowPunct/>
              <w:topLinePunct w:val="0"/>
              <w:autoSpaceDE/>
              <w:autoSpaceDN/>
              <w:bidi w:val="0"/>
              <w:spacing w:line="400" w:lineRule="exact"/>
              <w:textAlignment w:val="center"/>
              <w:rPr>
                <w:rFonts w:hint="eastAsia" w:ascii="宋体" w:hAnsi="宋体" w:cs="宋体"/>
                <w:bCs/>
                <w:sz w:val="24"/>
                <w:szCs w:val="20"/>
                <w:highlight w:val="none"/>
              </w:rPr>
            </w:pPr>
            <w:r>
              <w:rPr>
                <w:rFonts w:hint="eastAsia" w:ascii="宋体" w:hAnsi="宋体" w:eastAsia="宋体" w:cs="宋体"/>
                <w:color w:val="000000"/>
                <w:kern w:val="0"/>
                <w:sz w:val="24"/>
                <w:szCs w:val="24"/>
                <w:highlight w:val="none"/>
                <w:lang w:bidi="ar"/>
              </w:rPr>
              <w:t>4.档案管理措施和方法：投标人</w:t>
            </w:r>
            <w:r>
              <w:rPr>
                <w:rFonts w:hint="eastAsia" w:ascii="宋体" w:hAnsi="宋体" w:cs="宋体"/>
                <w:color w:val="000000"/>
                <w:kern w:val="0"/>
                <w:sz w:val="24"/>
                <w:szCs w:val="24"/>
                <w:highlight w:val="none"/>
                <w:lang w:val="en-US" w:eastAsia="zh-CN" w:bidi="ar"/>
              </w:rPr>
              <w:t>提供</w:t>
            </w:r>
            <w:r>
              <w:rPr>
                <w:rFonts w:hint="eastAsia" w:ascii="宋体" w:hAnsi="宋体" w:cs="宋体"/>
                <w:color w:val="000000"/>
                <w:kern w:val="0"/>
                <w:sz w:val="24"/>
                <w:szCs w:val="24"/>
                <w:highlight w:val="none"/>
                <w:lang w:eastAsia="zh-CN" w:bidi="ar"/>
              </w:rPr>
              <w:t>针对该项目</w:t>
            </w:r>
            <w:r>
              <w:rPr>
                <w:rFonts w:hint="eastAsia" w:ascii="宋体" w:hAnsi="宋体" w:eastAsia="宋体" w:cs="宋体"/>
                <w:color w:val="000000"/>
                <w:kern w:val="0"/>
                <w:sz w:val="24"/>
                <w:szCs w:val="24"/>
                <w:highlight w:val="none"/>
                <w:lang w:bidi="ar"/>
              </w:rPr>
              <w:t>的档案管理措施和方法的得</w:t>
            </w:r>
            <w:r>
              <w:rPr>
                <w:rFonts w:hint="eastAsia" w:ascii="宋体" w:hAnsi="宋体" w:cs="宋体"/>
                <w:color w:val="000000"/>
                <w:kern w:val="0"/>
                <w:sz w:val="24"/>
                <w:szCs w:val="24"/>
                <w:highlight w:val="none"/>
                <w:lang w:val="en-US" w:eastAsia="zh-CN" w:bidi="ar"/>
              </w:rPr>
              <w:t>8</w:t>
            </w:r>
            <w:r>
              <w:rPr>
                <w:rFonts w:hint="eastAsia" w:ascii="宋体" w:hAnsi="宋体" w:eastAsia="宋体" w:cs="宋体"/>
                <w:color w:val="000000"/>
                <w:kern w:val="0"/>
                <w:sz w:val="24"/>
                <w:szCs w:val="24"/>
                <w:highlight w:val="none"/>
                <w:lang w:bidi="ar"/>
              </w:rPr>
              <w:t>分</w:t>
            </w:r>
            <w:bookmarkStart w:id="37" w:name="OLE_LINK2"/>
            <w:r>
              <w:rPr>
                <w:rFonts w:hint="eastAsia" w:ascii="宋体" w:hAnsi="宋体" w:eastAsia="宋体" w:cs="宋体"/>
                <w:color w:val="000000"/>
                <w:kern w:val="0"/>
                <w:sz w:val="24"/>
                <w:szCs w:val="24"/>
                <w:highlight w:val="none"/>
                <w:lang w:bidi="ar"/>
              </w:rPr>
              <w:t>，</w:t>
            </w:r>
            <w:r>
              <w:rPr>
                <w:rFonts w:hint="eastAsia" w:ascii="宋体" w:hAnsi="宋体" w:cs="宋体"/>
                <w:color w:val="000000"/>
                <w:kern w:val="0"/>
                <w:sz w:val="24"/>
                <w:szCs w:val="24"/>
                <w:highlight w:val="none"/>
                <w:lang w:val="en-US" w:eastAsia="zh-CN" w:bidi="ar"/>
              </w:rPr>
              <w:t>不提供或缺项不得分</w:t>
            </w:r>
            <w:r>
              <w:rPr>
                <w:rFonts w:hint="eastAsia" w:ascii="宋体" w:hAnsi="宋体" w:eastAsia="宋体" w:cs="宋体"/>
                <w:color w:val="000000"/>
                <w:kern w:val="0"/>
                <w:sz w:val="24"/>
                <w:szCs w:val="24"/>
                <w:highlight w:val="none"/>
                <w:lang w:bidi="ar"/>
              </w:rPr>
              <w:t>。</w:t>
            </w:r>
            <w:bookmarkEnd w:id="37"/>
          </w:p>
        </w:tc>
      </w:tr>
      <w:tr w14:paraId="2F0D9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center"/>
          </w:tcPr>
          <w:p w14:paraId="336E1FD0">
            <w:pPr>
              <w:widowControl/>
              <w:jc w:val="center"/>
              <w:rPr>
                <w:rFonts w:hint="eastAsia" w:ascii="宋体" w:hAnsi="宋体" w:eastAsia="宋体" w:cs="宋体"/>
                <w:b/>
                <w:bCs/>
                <w:color w:val="auto"/>
                <w:sz w:val="24"/>
              </w:rPr>
            </w:pPr>
          </w:p>
        </w:tc>
        <w:tc>
          <w:tcPr>
            <w:tcW w:w="1062" w:type="dxa"/>
            <w:vMerge w:val="continue"/>
            <w:noWrap w:val="0"/>
            <w:vAlign w:val="center"/>
          </w:tcPr>
          <w:p w14:paraId="3ECCA022">
            <w:pPr>
              <w:keepNext w:val="0"/>
              <w:keepLines w:val="0"/>
              <w:pageBreakBefore w:val="0"/>
              <w:widowControl/>
              <w:kinsoku/>
              <w:wordWrap/>
              <w:overflowPunct/>
              <w:topLinePunct w:val="0"/>
              <w:autoSpaceDE/>
              <w:autoSpaceDN/>
              <w:bidi w:val="0"/>
              <w:spacing w:line="400" w:lineRule="exact"/>
              <w:jc w:val="center"/>
              <w:rPr>
                <w:rFonts w:hint="eastAsia" w:ascii="宋体" w:hAnsi="宋体" w:cs="宋体"/>
                <w:color w:val="000000"/>
                <w:sz w:val="24"/>
              </w:rPr>
            </w:pPr>
          </w:p>
        </w:tc>
        <w:tc>
          <w:tcPr>
            <w:tcW w:w="6387" w:type="dxa"/>
            <w:gridSpan w:val="2"/>
            <w:noWrap w:val="0"/>
            <w:vAlign w:val="top"/>
          </w:tcPr>
          <w:p w14:paraId="750D4635">
            <w:pPr>
              <w:keepNext w:val="0"/>
              <w:keepLines w:val="0"/>
              <w:pageBreakBefore w:val="0"/>
              <w:widowControl/>
              <w:kinsoku/>
              <w:wordWrap/>
              <w:overflowPunct/>
              <w:topLinePunct w:val="0"/>
              <w:autoSpaceDE/>
              <w:autoSpaceDN/>
              <w:bidi w:val="0"/>
              <w:spacing w:line="400" w:lineRule="exact"/>
              <w:textAlignment w:val="top"/>
              <w:rPr>
                <w:rFonts w:hint="eastAsia" w:ascii="宋体" w:hAnsi="宋体" w:cs="宋体"/>
                <w:bCs/>
                <w:sz w:val="24"/>
                <w:szCs w:val="20"/>
                <w:highlight w:val="none"/>
              </w:rPr>
            </w:pPr>
            <w:r>
              <w:rPr>
                <w:rFonts w:hint="eastAsia" w:ascii="宋体" w:hAnsi="宋体" w:eastAsia="宋体" w:cs="宋体"/>
                <w:color w:val="000000"/>
                <w:kern w:val="0"/>
                <w:sz w:val="24"/>
                <w:szCs w:val="24"/>
                <w:highlight w:val="none"/>
                <w:lang w:bidi="ar"/>
              </w:rPr>
              <w:t>5.质量控制措施和方法：投标人具有相应的项目工作质量控制措施和方法的得8分，</w:t>
            </w:r>
            <w:r>
              <w:rPr>
                <w:rFonts w:hint="eastAsia" w:ascii="宋体" w:hAnsi="宋体" w:cs="宋体"/>
                <w:color w:val="000000"/>
                <w:kern w:val="0"/>
                <w:sz w:val="24"/>
                <w:szCs w:val="24"/>
                <w:highlight w:val="none"/>
                <w:lang w:val="en-US" w:eastAsia="zh-CN" w:bidi="ar"/>
              </w:rPr>
              <w:t>不提供或缺项不得分</w:t>
            </w:r>
            <w:r>
              <w:rPr>
                <w:rFonts w:hint="eastAsia" w:ascii="宋体" w:hAnsi="宋体" w:eastAsia="宋体" w:cs="宋体"/>
                <w:color w:val="000000"/>
                <w:kern w:val="0"/>
                <w:sz w:val="24"/>
                <w:szCs w:val="24"/>
                <w:highlight w:val="none"/>
                <w:lang w:bidi="ar"/>
              </w:rPr>
              <w:t>。</w:t>
            </w:r>
          </w:p>
        </w:tc>
      </w:tr>
      <w:tr w14:paraId="4EB768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center"/>
          </w:tcPr>
          <w:p w14:paraId="7D81C8D3">
            <w:pPr>
              <w:widowControl/>
              <w:jc w:val="center"/>
              <w:rPr>
                <w:rFonts w:hint="eastAsia" w:ascii="宋体" w:hAnsi="宋体" w:eastAsia="宋体" w:cs="宋体"/>
                <w:b/>
                <w:bCs/>
                <w:color w:val="auto"/>
                <w:sz w:val="24"/>
              </w:rPr>
            </w:pPr>
          </w:p>
        </w:tc>
        <w:tc>
          <w:tcPr>
            <w:tcW w:w="1062" w:type="dxa"/>
            <w:vMerge w:val="continue"/>
            <w:noWrap w:val="0"/>
            <w:vAlign w:val="center"/>
          </w:tcPr>
          <w:p w14:paraId="7D647BC6">
            <w:pPr>
              <w:keepNext w:val="0"/>
              <w:keepLines w:val="0"/>
              <w:pageBreakBefore w:val="0"/>
              <w:widowControl/>
              <w:kinsoku/>
              <w:wordWrap/>
              <w:overflowPunct/>
              <w:topLinePunct w:val="0"/>
              <w:autoSpaceDE/>
              <w:autoSpaceDN/>
              <w:bidi w:val="0"/>
              <w:spacing w:line="400" w:lineRule="exact"/>
              <w:jc w:val="center"/>
              <w:rPr>
                <w:rFonts w:hint="eastAsia" w:ascii="宋体" w:hAnsi="宋体" w:cs="宋体"/>
                <w:color w:val="000000"/>
                <w:sz w:val="24"/>
              </w:rPr>
            </w:pPr>
          </w:p>
        </w:tc>
        <w:tc>
          <w:tcPr>
            <w:tcW w:w="6387" w:type="dxa"/>
            <w:gridSpan w:val="2"/>
            <w:noWrap w:val="0"/>
            <w:vAlign w:val="top"/>
          </w:tcPr>
          <w:p w14:paraId="559C73A6">
            <w:pPr>
              <w:keepNext w:val="0"/>
              <w:keepLines w:val="0"/>
              <w:pageBreakBefore w:val="0"/>
              <w:widowControl/>
              <w:kinsoku/>
              <w:wordWrap/>
              <w:overflowPunct/>
              <w:topLinePunct w:val="0"/>
              <w:autoSpaceDE/>
              <w:autoSpaceDN/>
              <w:bidi w:val="0"/>
              <w:spacing w:line="400" w:lineRule="exact"/>
              <w:textAlignment w:val="top"/>
              <w:rPr>
                <w:rFonts w:hint="eastAsia" w:ascii="宋体" w:hAnsi="宋体" w:cs="宋体"/>
                <w:bCs/>
                <w:sz w:val="24"/>
                <w:szCs w:val="20"/>
                <w:highlight w:val="none"/>
              </w:rPr>
            </w:pPr>
            <w:r>
              <w:rPr>
                <w:rFonts w:hint="eastAsia" w:ascii="宋体" w:hAnsi="宋体" w:eastAsia="宋体" w:cs="宋体"/>
                <w:color w:val="000000"/>
                <w:kern w:val="0"/>
                <w:sz w:val="24"/>
                <w:szCs w:val="24"/>
                <w:highlight w:val="none"/>
                <w:lang w:bidi="ar"/>
              </w:rPr>
              <w:t>6.技术操作培训方案：投标人对甲方人员</w:t>
            </w:r>
            <w:r>
              <w:rPr>
                <w:rFonts w:hint="eastAsia" w:ascii="宋体" w:hAnsi="宋体" w:cs="宋体"/>
                <w:color w:val="000000"/>
                <w:kern w:val="0"/>
                <w:sz w:val="24"/>
                <w:szCs w:val="24"/>
                <w:highlight w:val="none"/>
                <w:lang w:val="en-US" w:eastAsia="zh-CN" w:bidi="ar"/>
              </w:rPr>
              <w:t>提供</w:t>
            </w:r>
            <w:r>
              <w:rPr>
                <w:rFonts w:hint="eastAsia" w:ascii="宋体" w:hAnsi="宋体" w:eastAsia="宋体" w:cs="宋体"/>
                <w:color w:val="000000"/>
                <w:kern w:val="0"/>
                <w:sz w:val="24"/>
                <w:szCs w:val="24"/>
                <w:highlight w:val="none"/>
                <w:lang w:bidi="ar"/>
              </w:rPr>
              <w:t>技术操作培训的得</w:t>
            </w:r>
            <w:r>
              <w:rPr>
                <w:rFonts w:hint="eastAsia" w:ascii="宋体" w:hAnsi="宋体" w:cs="宋体"/>
                <w:color w:val="000000"/>
                <w:kern w:val="0"/>
                <w:sz w:val="24"/>
                <w:szCs w:val="24"/>
                <w:highlight w:val="none"/>
                <w:lang w:val="en-US" w:eastAsia="zh-CN" w:bidi="ar"/>
              </w:rPr>
              <w:t>7</w:t>
            </w:r>
            <w:r>
              <w:rPr>
                <w:rFonts w:hint="eastAsia" w:ascii="宋体" w:hAnsi="宋体" w:eastAsia="宋体" w:cs="宋体"/>
                <w:color w:val="000000"/>
                <w:kern w:val="0"/>
                <w:sz w:val="24"/>
                <w:szCs w:val="24"/>
                <w:highlight w:val="none"/>
                <w:lang w:bidi="ar"/>
              </w:rPr>
              <w:t>分，</w:t>
            </w:r>
            <w:r>
              <w:rPr>
                <w:rFonts w:hint="eastAsia" w:ascii="宋体" w:hAnsi="宋体" w:cs="宋体"/>
                <w:color w:val="000000"/>
                <w:kern w:val="0"/>
                <w:sz w:val="24"/>
                <w:szCs w:val="24"/>
                <w:highlight w:val="none"/>
                <w:lang w:val="en-US" w:eastAsia="zh-CN" w:bidi="ar"/>
              </w:rPr>
              <w:t>不提供不得分</w:t>
            </w:r>
            <w:r>
              <w:rPr>
                <w:rFonts w:hint="eastAsia" w:ascii="宋体" w:hAnsi="宋体" w:eastAsia="宋体" w:cs="宋体"/>
                <w:color w:val="000000"/>
                <w:kern w:val="0"/>
                <w:sz w:val="24"/>
                <w:szCs w:val="24"/>
                <w:highlight w:val="none"/>
                <w:lang w:bidi="ar"/>
              </w:rPr>
              <w:t>。</w:t>
            </w:r>
          </w:p>
        </w:tc>
      </w:tr>
      <w:tr w14:paraId="58611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restart"/>
            <w:tcBorders>
              <w:left w:val="single" w:color="auto" w:sz="4" w:space="0"/>
            </w:tcBorders>
            <w:noWrap w:val="0"/>
            <w:vAlign w:val="top"/>
          </w:tcPr>
          <w:p w14:paraId="0200C9EE">
            <w:pPr>
              <w:widowControl/>
              <w:jc w:val="center"/>
              <w:rPr>
                <w:rFonts w:hint="eastAsia" w:ascii="宋体" w:hAnsi="宋体" w:eastAsia="宋体" w:cs="宋体"/>
                <w:b/>
                <w:bCs/>
                <w:color w:val="auto"/>
                <w:sz w:val="24"/>
                <w:szCs w:val="24"/>
                <w:highlight w:val="none"/>
              </w:rPr>
            </w:pPr>
          </w:p>
          <w:p w14:paraId="45DB5C36">
            <w:pPr>
              <w:widowControl/>
              <w:jc w:val="center"/>
              <w:rPr>
                <w:rFonts w:hint="eastAsia" w:ascii="宋体" w:hAnsi="宋体" w:eastAsia="宋体" w:cs="宋体"/>
                <w:b/>
                <w:bCs/>
                <w:color w:val="auto"/>
                <w:sz w:val="24"/>
                <w:szCs w:val="24"/>
                <w:highlight w:val="none"/>
              </w:rPr>
            </w:pPr>
          </w:p>
          <w:p w14:paraId="4FADCFED">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商务部分</w:t>
            </w:r>
          </w:p>
          <w:p w14:paraId="59384665">
            <w:pPr>
              <w:widowControl/>
              <w:jc w:val="center"/>
              <w:rPr>
                <w:rFonts w:hint="eastAsia" w:ascii="宋体" w:hAnsi="宋体" w:eastAsia="宋体" w:cs="宋体"/>
                <w:b/>
                <w:bCs/>
                <w:color w:val="auto"/>
                <w:sz w:val="24"/>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25</w:t>
            </w:r>
            <w:r>
              <w:rPr>
                <w:rFonts w:hint="eastAsia" w:ascii="宋体" w:hAnsi="宋体" w:eastAsia="宋体" w:cs="宋体"/>
                <w:b/>
                <w:bCs/>
                <w:color w:val="auto"/>
                <w:sz w:val="24"/>
                <w:szCs w:val="24"/>
                <w:highlight w:val="none"/>
              </w:rPr>
              <w:t>分）</w:t>
            </w:r>
          </w:p>
        </w:tc>
        <w:tc>
          <w:tcPr>
            <w:tcW w:w="1062" w:type="dxa"/>
            <w:vMerge w:val="restart"/>
            <w:noWrap w:val="0"/>
            <w:vAlign w:val="center"/>
          </w:tcPr>
          <w:p w14:paraId="2E2D2BD1">
            <w:pPr>
              <w:keepNext w:val="0"/>
              <w:keepLines w:val="0"/>
              <w:pageBreakBefore w:val="0"/>
              <w:widowControl/>
              <w:kinsoku/>
              <w:wordWrap/>
              <w:overflowPunct/>
              <w:topLinePunct w:val="0"/>
              <w:autoSpaceDE/>
              <w:autoSpaceDN/>
              <w:bidi w:val="0"/>
              <w:spacing w:line="400" w:lineRule="exact"/>
              <w:jc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售后</w:t>
            </w:r>
          </w:p>
          <w:p w14:paraId="6FDCB9FF">
            <w:pPr>
              <w:keepNext w:val="0"/>
              <w:keepLines w:val="0"/>
              <w:pageBreakBefore w:val="0"/>
              <w:widowControl/>
              <w:kinsoku/>
              <w:wordWrap/>
              <w:overflowPunct/>
              <w:topLinePunct w:val="0"/>
              <w:autoSpaceDE/>
              <w:autoSpaceDN/>
              <w:bidi w:val="0"/>
              <w:spacing w:line="400" w:lineRule="exact"/>
              <w:jc w:val="center"/>
              <w:textAlignment w:val="center"/>
              <w:rPr>
                <w:rFonts w:hint="eastAsia" w:ascii="宋体" w:hAnsi="宋体" w:eastAsia="宋体" w:cs="宋体"/>
                <w:bCs/>
                <w:color w:val="auto"/>
                <w:sz w:val="24"/>
                <w:szCs w:val="24"/>
              </w:rPr>
            </w:pPr>
            <w:r>
              <w:rPr>
                <w:rFonts w:hint="eastAsia" w:ascii="宋体" w:hAnsi="宋体" w:eastAsia="宋体" w:cs="宋体"/>
                <w:color w:val="000000"/>
                <w:kern w:val="0"/>
                <w:sz w:val="24"/>
                <w:szCs w:val="24"/>
                <w:highlight w:val="none"/>
                <w:lang w:bidi="ar"/>
              </w:rPr>
              <w:t>服务</w:t>
            </w:r>
            <w:r>
              <w:rPr>
                <w:rFonts w:hint="eastAsia" w:ascii="宋体" w:hAnsi="宋体" w:cs="宋体"/>
                <w:color w:val="000000"/>
                <w:kern w:val="0"/>
                <w:sz w:val="24"/>
                <w:szCs w:val="24"/>
                <w:highlight w:val="none"/>
                <w:lang w:eastAsia="zh-CN" w:bidi="ar"/>
              </w:rPr>
              <w:t>（</w:t>
            </w:r>
            <w:r>
              <w:rPr>
                <w:rFonts w:hint="eastAsia" w:ascii="宋体" w:hAnsi="宋体" w:cs="宋体"/>
                <w:color w:val="000000"/>
                <w:kern w:val="0"/>
                <w:sz w:val="24"/>
                <w:szCs w:val="24"/>
                <w:highlight w:val="none"/>
                <w:lang w:val="en-US" w:eastAsia="zh-CN" w:bidi="ar"/>
              </w:rPr>
              <w:t>20</w:t>
            </w:r>
            <w:r>
              <w:rPr>
                <w:rFonts w:hint="eastAsia" w:ascii="宋体" w:hAnsi="宋体" w:eastAsia="宋体" w:cs="宋体"/>
                <w:color w:val="000000"/>
                <w:kern w:val="0"/>
                <w:sz w:val="24"/>
                <w:szCs w:val="24"/>
                <w:highlight w:val="none"/>
                <w:lang w:bidi="ar"/>
              </w:rPr>
              <w:t>分</w:t>
            </w:r>
            <w:r>
              <w:rPr>
                <w:rFonts w:hint="eastAsia" w:ascii="宋体" w:hAnsi="宋体" w:cs="宋体"/>
                <w:color w:val="000000"/>
                <w:kern w:val="0"/>
                <w:sz w:val="24"/>
                <w:szCs w:val="24"/>
                <w:highlight w:val="none"/>
                <w:lang w:eastAsia="zh-CN" w:bidi="ar"/>
              </w:rPr>
              <w:t>）</w:t>
            </w:r>
          </w:p>
        </w:tc>
        <w:tc>
          <w:tcPr>
            <w:tcW w:w="6387" w:type="dxa"/>
            <w:gridSpan w:val="2"/>
            <w:noWrap w:val="0"/>
            <w:vAlign w:val="center"/>
          </w:tcPr>
          <w:p w14:paraId="197FEDF5">
            <w:pPr>
              <w:keepNext w:val="0"/>
              <w:keepLines w:val="0"/>
              <w:pageBreakBefore w:val="0"/>
              <w:widowControl/>
              <w:kinsoku/>
              <w:wordWrap/>
              <w:overflowPunct/>
              <w:topLinePunct w:val="0"/>
              <w:autoSpaceDE/>
              <w:autoSpaceDN/>
              <w:bidi w:val="0"/>
              <w:spacing w:line="400" w:lineRule="exact"/>
              <w:textAlignment w:val="center"/>
              <w:rPr>
                <w:rFonts w:hint="eastAsia" w:ascii="宋体" w:hAnsi="宋体" w:eastAsia="宋体" w:cs="宋体"/>
                <w:bCs/>
                <w:color w:val="auto"/>
                <w:sz w:val="24"/>
                <w:szCs w:val="24"/>
                <w:highlight w:val="none"/>
              </w:rPr>
            </w:pPr>
            <w:r>
              <w:rPr>
                <w:rFonts w:hint="eastAsia" w:ascii="宋体" w:hAnsi="宋体" w:eastAsia="宋体" w:cs="宋体"/>
                <w:color w:val="000000"/>
                <w:kern w:val="0"/>
                <w:sz w:val="24"/>
                <w:szCs w:val="24"/>
                <w:highlight w:val="none"/>
                <w:lang w:bidi="ar"/>
              </w:rPr>
              <w:t>1.</w:t>
            </w:r>
            <w:r>
              <w:rPr>
                <w:rFonts w:hint="eastAsia" w:ascii="宋体" w:hAnsi="宋体" w:eastAsia="宋体" w:cs="宋体"/>
                <w:kern w:val="0"/>
                <w:sz w:val="24"/>
                <w:szCs w:val="24"/>
                <w:highlight w:val="none"/>
              </w:rPr>
              <w:t xml:space="preserve"> 针对本项目的本地化售后服务方案</w:t>
            </w:r>
            <w:r>
              <w:rPr>
                <w:rFonts w:hint="eastAsia" w:ascii="宋体" w:hAnsi="宋体" w:cs="宋体"/>
                <w:kern w:val="0"/>
                <w:sz w:val="24"/>
                <w:szCs w:val="24"/>
                <w:highlight w:val="none"/>
                <w:lang w:eastAsia="zh-CN"/>
              </w:rPr>
              <w:t>：</w:t>
            </w:r>
            <w:r>
              <w:rPr>
                <w:rFonts w:hint="eastAsia" w:ascii="宋体" w:hAnsi="宋体" w:eastAsia="宋体" w:cs="宋体"/>
                <w:color w:val="000000"/>
                <w:kern w:val="0"/>
                <w:sz w:val="24"/>
                <w:szCs w:val="24"/>
                <w:highlight w:val="none"/>
                <w:lang w:bidi="ar"/>
              </w:rPr>
              <w:t>投标人</w:t>
            </w:r>
            <w:r>
              <w:rPr>
                <w:rFonts w:hint="eastAsia" w:ascii="宋体" w:hAnsi="宋体" w:cs="宋体"/>
                <w:color w:val="000000"/>
                <w:kern w:val="0"/>
                <w:sz w:val="24"/>
                <w:szCs w:val="24"/>
                <w:highlight w:val="none"/>
                <w:lang w:val="en-US" w:eastAsia="zh-CN" w:bidi="ar"/>
              </w:rPr>
              <w:t>提供</w:t>
            </w:r>
            <w:r>
              <w:rPr>
                <w:rFonts w:hint="eastAsia" w:ascii="宋体" w:hAnsi="宋体" w:cs="宋体"/>
                <w:color w:val="000000"/>
                <w:kern w:val="0"/>
                <w:sz w:val="24"/>
                <w:szCs w:val="24"/>
                <w:highlight w:val="none"/>
                <w:lang w:eastAsia="zh-CN" w:bidi="ar"/>
              </w:rPr>
              <w:t>针对该项目</w:t>
            </w:r>
            <w:r>
              <w:rPr>
                <w:rFonts w:hint="eastAsia" w:ascii="宋体" w:hAnsi="宋体" w:eastAsia="宋体" w:cs="宋体"/>
                <w:color w:val="000000"/>
                <w:kern w:val="0"/>
                <w:sz w:val="24"/>
                <w:szCs w:val="24"/>
                <w:highlight w:val="none"/>
                <w:lang w:bidi="ar"/>
              </w:rPr>
              <w:t>的</w:t>
            </w:r>
            <w:r>
              <w:rPr>
                <w:rFonts w:hint="eastAsia" w:ascii="宋体" w:hAnsi="宋体" w:eastAsia="宋体" w:cs="宋体"/>
                <w:kern w:val="0"/>
                <w:sz w:val="24"/>
                <w:szCs w:val="24"/>
                <w:highlight w:val="none"/>
              </w:rPr>
              <w:t>本地化售后服务及质量保障体系</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售后服务人员的技术水平及现场服务措施（如联络人、响应时间、服务范围、应急处理方案、及时纠错等）；</w:t>
            </w:r>
            <w:r>
              <w:rPr>
                <w:rFonts w:hint="eastAsia" w:ascii="宋体" w:hAnsi="宋体" w:cs="宋体"/>
                <w:kern w:val="0"/>
                <w:sz w:val="24"/>
                <w:szCs w:val="24"/>
                <w:highlight w:val="none"/>
                <w:lang w:val="en-US" w:eastAsia="zh-CN"/>
              </w:rPr>
              <w:t>承诺</w:t>
            </w:r>
            <w:r>
              <w:rPr>
                <w:rFonts w:hint="eastAsia" w:ascii="宋体" w:hAnsi="宋体" w:eastAsia="宋体" w:cs="宋体"/>
                <w:kern w:val="0"/>
                <w:sz w:val="24"/>
                <w:szCs w:val="24"/>
                <w:highlight w:val="none"/>
              </w:rPr>
              <w:t>收到通知后1小时内响应，2小时内到达故障现场，保证不影</w:t>
            </w:r>
            <w:r>
              <w:rPr>
                <w:rFonts w:hint="eastAsia" w:ascii="宋体" w:hAnsi="宋体" w:cs="宋体"/>
                <w:kern w:val="0"/>
                <w:sz w:val="24"/>
                <w:szCs w:val="24"/>
                <w:highlight w:val="none"/>
                <w:lang w:val="en-US" w:eastAsia="zh-CN"/>
              </w:rPr>
              <w:t>响</w:t>
            </w:r>
            <w:r>
              <w:rPr>
                <w:rFonts w:hint="eastAsia" w:ascii="宋体" w:hAnsi="宋体" w:eastAsia="宋体" w:cs="宋体"/>
                <w:kern w:val="0"/>
                <w:sz w:val="24"/>
                <w:szCs w:val="24"/>
                <w:highlight w:val="none"/>
              </w:rPr>
              <w:t>正常业务开展</w:t>
            </w:r>
            <w:r>
              <w:rPr>
                <w:rFonts w:hint="eastAsia" w:ascii="宋体" w:hAnsi="宋体" w:eastAsia="宋体" w:cs="宋体"/>
                <w:color w:val="000000"/>
                <w:kern w:val="0"/>
                <w:sz w:val="24"/>
                <w:szCs w:val="24"/>
                <w:highlight w:val="none"/>
                <w:lang w:bidi="ar"/>
              </w:rPr>
              <w:t>的得</w:t>
            </w:r>
            <w:r>
              <w:rPr>
                <w:rFonts w:hint="eastAsia" w:ascii="宋体" w:hAnsi="宋体" w:cs="宋体"/>
                <w:color w:val="000000"/>
                <w:kern w:val="0"/>
                <w:sz w:val="24"/>
                <w:szCs w:val="24"/>
                <w:highlight w:val="none"/>
                <w:lang w:val="en-US" w:eastAsia="zh-CN" w:bidi="ar"/>
              </w:rPr>
              <w:t>8</w:t>
            </w:r>
            <w:r>
              <w:rPr>
                <w:rFonts w:hint="eastAsia" w:ascii="宋体" w:hAnsi="宋体" w:eastAsia="宋体" w:cs="宋体"/>
                <w:color w:val="000000"/>
                <w:kern w:val="0"/>
                <w:sz w:val="24"/>
                <w:szCs w:val="24"/>
                <w:highlight w:val="none"/>
                <w:lang w:bidi="ar"/>
              </w:rPr>
              <w:t>分，</w:t>
            </w:r>
            <w:r>
              <w:rPr>
                <w:rFonts w:hint="eastAsia" w:ascii="宋体" w:hAnsi="宋体" w:cs="宋体"/>
                <w:color w:val="000000"/>
                <w:kern w:val="0"/>
                <w:sz w:val="24"/>
                <w:szCs w:val="24"/>
                <w:highlight w:val="none"/>
                <w:lang w:val="en-US" w:eastAsia="zh-CN" w:bidi="ar"/>
              </w:rPr>
              <w:t>不提供或缺项不得分</w:t>
            </w:r>
            <w:r>
              <w:rPr>
                <w:rFonts w:hint="eastAsia" w:ascii="宋体" w:hAnsi="宋体" w:eastAsia="宋体" w:cs="宋体"/>
                <w:color w:val="000000"/>
                <w:kern w:val="0"/>
                <w:sz w:val="24"/>
                <w:szCs w:val="24"/>
                <w:highlight w:val="none"/>
                <w:lang w:bidi="ar"/>
              </w:rPr>
              <w:t>。</w:t>
            </w:r>
          </w:p>
        </w:tc>
      </w:tr>
      <w:tr w14:paraId="63FEB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top"/>
          </w:tcPr>
          <w:p w14:paraId="46874C08">
            <w:pPr>
              <w:widowControl/>
              <w:jc w:val="center"/>
              <w:rPr>
                <w:rFonts w:hint="eastAsia" w:ascii="宋体" w:hAnsi="宋体" w:eastAsia="宋体" w:cs="宋体"/>
                <w:b/>
                <w:bCs/>
                <w:color w:val="auto"/>
                <w:sz w:val="24"/>
              </w:rPr>
            </w:pPr>
          </w:p>
        </w:tc>
        <w:tc>
          <w:tcPr>
            <w:tcW w:w="1062" w:type="dxa"/>
            <w:vMerge w:val="continue"/>
            <w:noWrap w:val="0"/>
            <w:vAlign w:val="center"/>
          </w:tcPr>
          <w:p w14:paraId="23039C7D">
            <w:pPr>
              <w:keepNext w:val="0"/>
              <w:keepLines w:val="0"/>
              <w:pageBreakBefore w:val="0"/>
              <w:widowControl/>
              <w:kinsoku/>
              <w:wordWrap/>
              <w:overflowPunct/>
              <w:topLinePunct w:val="0"/>
              <w:autoSpaceDE/>
              <w:autoSpaceDN/>
              <w:bidi w:val="0"/>
              <w:spacing w:line="400" w:lineRule="exact"/>
              <w:jc w:val="center"/>
              <w:rPr>
                <w:rFonts w:hint="eastAsia" w:ascii="宋体" w:hAnsi="宋体" w:eastAsia="宋体" w:cs="宋体"/>
                <w:bCs/>
                <w:color w:val="auto"/>
                <w:sz w:val="24"/>
                <w:szCs w:val="24"/>
              </w:rPr>
            </w:pPr>
          </w:p>
        </w:tc>
        <w:tc>
          <w:tcPr>
            <w:tcW w:w="6387" w:type="dxa"/>
            <w:gridSpan w:val="2"/>
            <w:noWrap w:val="0"/>
            <w:vAlign w:val="center"/>
          </w:tcPr>
          <w:p w14:paraId="2BAE25EF">
            <w:pPr>
              <w:keepNext w:val="0"/>
              <w:keepLines w:val="0"/>
              <w:pageBreakBefore w:val="0"/>
              <w:widowControl/>
              <w:kinsoku/>
              <w:wordWrap/>
              <w:overflowPunct/>
              <w:topLinePunct w:val="0"/>
              <w:autoSpaceDE/>
              <w:autoSpaceDN/>
              <w:bidi w:val="0"/>
              <w:spacing w:line="400" w:lineRule="exact"/>
              <w:textAlignment w:val="center"/>
              <w:rPr>
                <w:rFonts w:hint="eastAsia" w:ascii="宋体" w:hAnsi="宋体" w:eastAsia="宋体" w:cs="宋体"/>
                <w:bCs/>
                <w:color w:val="auto"/>
                <w:sz w:val="24"/>
                <w:szCs w:val="24"/>
                <w:highlight w:val="none"/>
              </w:rPr>
            </w:pPr>
            <w:r>
              <w:rPr>
                <w:rFonts w:hint="eastAsia" w:ascii="宋体" w:hAnsi="宋体" w:eastAsia="宋体" w:cs="宋体"/>
                <w:color w:val="000000"/>
                <w:kern w:val="0"/>
                <w:sz w:val="24"/>
                <w:szCs w:val="24"/>
                <w:highlight w:val="none"/>
                <w:lang w:bidi="ar"/>
              </w:rPr>
              <w:t>2.投标人</w:t>
            </w:r>
            <w:r>
              <w:rPr>
                <w:rFonts w:hint="eastAsia" w:ascii="宋体" w:hAnsi="宋体" w:cs="宋体"/>
                <w:color w:val="000000"/>
                <w:kern w:val="0"/>
                <w:sz w:val="24"/>
                <w:szCs w:val="24"/>
                <w:highlight w:val="none"/>
                <w:lang w:val="en-US" w:eastAsia="zh-CN" w:bidi="ar"/>
              </w:rPr>
              <w:t>承诺</w:t>
            </w:r>
            <w:r>
              <w:rPr>
                <w:rFonts w:hint="eastAsia" w:ascii="宋体" w:hAnsi="宋体" w:eastAsia="宋体" w:cs="宋体"/>
                <w:color w:val="000000"/>
                <w:kern w:val="0"/>
                <w:sz w:val="24"/>
                <w:szCs w:val="24"/>
                <w:highlight w:val="none"/>
                <w:lang w:bidi="ar"/>
              </w:rPr>
              <w:t>派专人跟踪服务不低于12个月的得</w:t>
            </w: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分，否则不得分。</w:t>
            </w:r>
          </w:p>
        </w:tc>
      </w:tr>
      <w:tr w14:paraId="130FB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top"/>
          </w:tcPr>
          <w:p w14:paraId="4F802F21">
            <w:pPr>
              <w:widowControl/>
              <w:jc w:val="center"/>
              <w:rPr>
                <w:rFonts w:hint="eastAsia" w:ascii="宋体" w:hAnsi="宋体" w:eastAsia="宋体" w:cs="宋体"/>
                <w:b/>
                <w:bCs/>
                <w:color w:val="auto"/>
                <w:sz w:val="24"/>
              </w:rPr>
            </w:pPr>
          </w:p>
        </w:tc>
        <w:tc>
          <w:tcPr>
            <w:tcW w:w="1062" w:type="dxa"/>
            <w:vMerge w:val="continue"/>
            <w:noWrap w:val="0"/>
            <w:vAlign w:val="center"/>
          </w:tcPr>
          <w:p w14:paraId="5F4B68CE">
            <w:pPr>
              <w:keepNext w:val="0"/>
              <w:keepLines w:val="0"/>
              <w:pageBreakBefore w:val="0"/>
              <w:widowControl/>
              <w:kinsoku/>
              <w:wordWrap/>
              <w:overflowPunct/>
              <w:topLinePunct w:val="0"/>
              <w:autoSpaceDE/>
              <w:autoSpaceDN/>
              <w:bidi w:val="0"/>
              <w:spacing w:line="400" w:lineRule="exact"/>
              <w:jc w:val="center"/>
              <w:rPr>
                <w:rFonts w:hint="eastAsia" w:ascii="宋体" w:hAnsi="宋体" w:eastAsia="宋体" w:cs="宋体"/>
                <w:bCs/>
                <w:color w:val="auto"/>
                <w:sz w:val="24"/>
                <w:szCs w:val="24"/>
              </w:rPr>
            </w:pPr>
          </w:p>
        </w:tc>
        <w:tc>
          <w:tcPr>
            <w:tcW w:w="6387" w:type="dxa"/>
            <w:gridSpan w:val="2"/>
            <w:noWrap w:val="0"/>
            <w:vAlign w:val="center"/>
          </w:tcPr>
          <w:p w14:paraId="44B1B286">
            <w:pPr>
              <w:keepNext w:val="0"/>
              <w:keepLines w:val="0"/>
              <w:pageBreakBefore w:val="0"/>
              <w:widowControl/>
              <w:kinsoku/>
              <w:wordWrap/>
              <w:overflowPunct/>
              <w:topLinePunct w:val="0"/>
              <w:autoSpaceDE/>
              <w:autoSpaceDN/>
              <w:bidi w:val="0"/>
              <w:spacing w:line="400" w:lineRule="exact"/>
              <w:textAlignment w:val="center"/>
              <w:rPr>
                <w:rFonts w:hint="eastAsia" w:ascii="宋体" w:hAnsi="宋体" w:eastAsia="宋体" w:cs="宋体"/>
                <w:bCs/>
                <w:color w:val="auto"/>
                <w:sz w:val="24"/>
                <w:szCs w:val="24"/>
                <w:highlight w:val="none"/>
              </w:rPr>
            </w:pPr>
            <w:r>
              <w:rPr>
                <w:rFonts w:hint="eastAsia" w:ascii="宋体" w:hAnsi="宋体" w:eastAsia="宋体" w:cs="宋体"/>
                <w:color w:val="000000"/>
                <w:kern w:val="0"/>
                <w:sz w:val="24"/>
                <w:szCs w:val="24"/>
                <w:highlight w:val="none"/>
                <w:lang w:bidi="ar"/>
              </w:rPr>
              <w:t>3.投标人提供有利于采购人的其他承诺得</w:t>
            </w: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分。</w:t>
            </w:r>
          </w:p>
        </w:tc>
      </w:tr>
      <w:tr w14:paraId="0FFED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top"/>
          </w:tcPr>
          <w:p w14:paraId="144A6BDE">
            <w:pPr>
              <w:widowControl/>
              <w:jc w:val="center"/>
              <w:rPr>
                <w:rFonts w:hint="eastAsia" w:ascii="宋体" w:hAnsi="宋体" w:eastAsia="宋体" w:cs="宋体"/>
                <w:b/>
                <w:bCs/>
                <w:color w:val="auto"/>
                <w:sz w:val="24"/>
              </w:rPr>
            </w:pPr>
          </w:p>
        </w:tc>
        <w:tc>
          <w:tcPr>
            <w:tcW w:w="1062" w:type="dxa"/>
            <w:vMerge w:val="continue"/>
            <w:noWrap w:val="0"/>
            <w:vAlign w:val="center"/>
          </w:tcPr>
          <w:p w14:paraId="7D5FB349">
            <w:pPr>
              <w:keepNext w:val="0"/>
              <w:keepLines w:val="0"/>
              <w:pageBreakBefore w:val="0"/>
              <w:widowControl/>
              <w:kinsoku/>
              <w:wordWrap/>
              <w:overflowPunct/>
              <w:topLinePunct w:val="0"/>
              <w:autoSpaceDE/>
              <w:autoSpaceDN/>
              <w:bidi w:val="0"/>
              <w:spacing w:line="400" w:lineRule="exact"/>
              <w:jc w:val="center"/>
              <w:rPr>
                <w:rFonts w:hint="eastAsia" w:ascii="宋体" w:hAnsi="宋体" w:eastAsia="宋体" w:cs="宋体"/>
                <w:bCs/>
                <w:color w:val="auto"/>
                <w:sz w:val="24"/>
                <w:szCs w:val="24"/>
              </w:rPr>
            </w:pPr>
          </w:p>
        </w:tc>
        <w:tc>
          <w:tcPr>
            <w:tcW w:w="6387" w:type="dxa"/>
            <w:gridSpan w:val="2"/>
            <w:noWrap w:val="0"/>
            <w:vAlign w:val="center"/>
          </w:tcPr>
          <w:p w14:paraId="5E9BFA02">
            <w:pPr>
              <w:keepNext w:val="0"/>
              <w:keepLines w:val="0"/>
              <w:pageBreakBefore w:val="0"/>
              <w:widowControl/>
              <w:numPr>
                <w:ilvl w:val="0"/>
                <w:numId w:val="0"/>
              </w:numPr>
              <w:kinsoku/>
              <w:wordWrap/>
              <w:overflowPunct/>
              <w:topLinePunct w:val="0"/>
              <w:autoSpaceDE/>
              <w:autoSpaceDN/>
              <w:bidi w:val="0"/>
              <w:spacing w:line="400" w:lineRule="exact"/>
              <w:textAlignment w:val="center"/>
              <w:rPr>
                <w:rFonts w:hint="eastAsia" w:ascii="宋体" w:hAnsi="宋体" w:eastAsia="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项目服务小组</w:t>
            </w:r>
            <w:r>
              <w:rPr>
                <w:rFonts w:hint="eastAsia" w:ascii="宋体" w:hAnsi="宋体" w:cs="宋体"/>
                <w:color w:val="000000"/>
                <w:kern w:val="0"/>
                <w:sz w:val="24"/>
                <w:szCs w:val="24"/>
                <w:highlight w:val="none"/>
                <w:lang w:eastAsia="zh-CN" w:bidi="ar"/>
              </w:rPr>
              <w:t>：</w:t>
            </w:r>
            <w:r>
              <w:rPr>
                <w:rFonts w:hint="eastAsia" w:ascii="宋体" w:hAnsi="宋体" w:eastAsia="宋体" w:cs="宋体"/>
                <w:color w:val="000000"/>
                <w:kern w:val="0"/>
                <w:sz w:val="24"/>
                <w:szCs w:val="24"/>
                <w:highlight w:val="none"/>
                <w:lang w:bidi="ar"/>
              </w:rPr>
              <w:t>投标人针对该项目设定专门的</w:t>
            </w:r>
            <w:r>
              <w:rPr>
                <w:rFonts w:hint="eastAsia" w:ascii="宋体" w:hAnsi="宋体" w:cs="宋体"/>
                <w:color w:val="000000"/>
                <w:kern w:val="0"/>
                <w:sz w:val="24"/>
                <w:szCs w:val="24"/>
                <w:highlight w:val="none"/>
                <w:lang w:val="en-US" w:eastAsia="zh-CN" w:bidi="ar"/>
              </w:rPr>
              <w:t>服务人员，</w:t>
            </w:r>
            <w:r>
              <w:rPr>
                <w:rFonts w:hint="eastAsia" w:ascii="宋体" w:hAnsi="宋体" w:eastAsia="宋体" w:cs="宋体"/>
                <w:sz w:val="24"/>
                <w:highlight w:val="none"/>
              </w:rPr>
              <w:t>每提供1</w:t>
            </w:r>
            <w:r>
              <w:rPr>
                <w:rFonts w:hint="eastAsia" w:ascii="宋体" w:hAnsi="宋体" w:eastAsia="宋体" w:cs="宋体"/>
                <w:color w:val="000000"/>
                <w:kern w:val="0"/>
                <w:sz w:val="24"/>
                <w:szCs w:val="24"/>
                <w:highlight w:val="none"/>
                <w:lang w:bidi="ar"/>
              </w:rPr>
              <w:t>名得</w:t>
            </w:r>
            <w:r>
              <w:rPr>
                <w:rFonts w:hint="eastAsia" w:ascii="宋体" w:hAnsi="宋体" w:cs="宋体"/>
                <w:color w:val="000000"/>
                <w:kern w:val="0"/>
                <w:sz w:val="24"/>
                <w:szCs w:val="24"/>
                <w:highlight w:val="none"/>
                <w:lang w:val="en-US" w:eastAsia="zh-CN" w:bidi="ar"/>
              </w:rPr>
              <w:t>1</w:t>
            </w:r>
            <w:r>
              <w:rPr>
                <w:rFonts w:hint="eastAsia" w:ascii="宋体" w:hAnsi="宋体" w:eastAsia="宋体" w:cs="宋体"/>
                <w:color w:val="000000"/>
                <w:kern w:val="0"/>
                <w:sz w:val="24"/>
                <w:szCs w:val="24"/>
                <w:highlight w:val="none"/>
                <w:lang w:bidi="ar"/>
              </w:rPr>
              <w:t>分，最高得</w:t>
            </w: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分，</w:t>
            </w:r>
            <w:r>
              <w:rPr>
                <w:rFonts w:hint="eastAsia" w:ascii="宋体" w:hAnsi="宋体" w:eastAsia="宋体" w:cs="宋体"/>
                <w:color w:val="000000"/>
                <w:kern w:val="0"/>
                <w:sz w:val="24"/>
                <w:szCs w:val="24"/>
                <w:highlight w:val="none"/>
                <w:lang w:val="en-US" w:eastAsia="zh-CN" w:bidi="ar"/>
              </w:rPr>
              <w:t>不提供或缺项不得分</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lang w:bidi="ar"/>
              </w:rPr>
              <w:t>需提供</w:t>
            </w:r>
            <w:r>
              <w:rPr>
                <w:rFonts w:hint="eastAsia" w:ascii="宋体" w:hAnsi="宋体" w:eastAsia="宋体" w:cs="宋体"/>
                <w:color w:val="000000"/>
                <w:kern w:val="0"/>
                <w:sz w:val="24"/>
                <w:szCs w:val="24"/>
                <w:highlight w:val="none"/>
                <w:lang w:val="en-US" w:eastAsia="zh-CN" w:bidi="ar"/>
              </w:rPr>
              <w:t>身份证扫描件以及近半年</w:t>
            </w:r>
            <w:r>
              <w:rPr>
                <w:rFonts w:hint="eastAsia" w:ascii="宋体" w:hAnsi="宋体" w:eastAsia="宋体" w:cs="宋体"/>
                <w:color w:val="000000"/>
                <w:kern w:val="0"/>
                <w:sz w:val="24"/>
                <w:szCs w:val="24"/>
                <w:highlight w:val="none"/>
                <w:lang w:bidi="ar"/>
              </w:rPr>
              <w:t>以来连续三个月在本公司的社保缴纳证明（新公司从成立之日算起)</w:t>
            </w:r>
            <w:r>
              <w:rPr>
                <w:rFonts w:hint="eastAsia" w:ascii="宋体" w:hAnsi="宋体" w:eastAsia="宋体" w:cs="宋体"/>
                <w:color w:val="000000"/>
                <w:kern w:val="0"/>
                <w:sz w:val="24"/>
                <w:szCs w:val="24"/>
                <w:highlight w:val="none"/>
                <w:lang w:eastAsia="zh-CN" w:bidi="ar"/>
              </w:rPr>
              <w:t>）</w:t>
            </w:r>
          </w:p>
        </w:tc>
      </w:tr>
      <w:tr w14:paraId="6B2E4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 w:hRule="atLeast"/>
          <w:jc w:val="center"/>
        </w:trPr>
        <w:tc>
          <w:tcPr>
            <w:tcW w:w="1370" w:type="dxa"/>
            <w:vMerge w:val="continue"/>
            <w:tcBorders>
              <w:left w:val="single" w:color="auto" w:sz="4" w:space="0"/>
            </w:tcBorders>
            <w:noWrap w:val="0"/>
            <w:vAlign w:val="top"/>
          </w:tcPr>
          <w:p w14:paraId="34D86C8C">
            <w:pPr>
              <w:widowControl/>
              <w:jc w:val="center"/>
              <w:rPr>
                <w:rFonts w:hint="eastAsia" w:ascii="宋体" w:hAnsi="宋体" w:eastAsia="宋体" w:cs="宋体"/>
                <w:b/>
                <w:bCs/>
                <w:color w:val="auto"/>
                <w:sz w:val="24"/>
              </w:rPr>
            </w:pPr>
          </w:p>
        </w:tc>
        <w:tc>
          <w:tcPr>
            <w:tcW w:w="1062" w:type="dxa"/>
            <w:noWrap w:val="0"/>
            <w:vAlign w:val="center"/>
          </w:tcPr>
          <w:p w14:paraId="56206469">
            <w:pPr>
              <w:widowControl/>
              <w:snapToGrid w:val="0"/>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业绩</w:t>
            </w:r>
          </w:p>
          <w:p w14:paraId="5792DBE0">
            <w:pPr>
              <w:pStyle w:val="14"/>
              <w:snapToGrid w:val="0"/>
              <w:spacing w:line="360" w:lineRule="auto"/>
              <w:ind w:firstLine="0" w:firstLineChars="0"/>
              <w:jc w:val="center"/>
              <w:rPr>
                <w:rFonts w:hint="eastAsia" w:ascii="宋体" w:hAnsi="宋体" w:eastAsia="宋体" w:cs="宋体"/>
                <w:bCs/>
                <w:color w:val="auto"/>
                <w:sz w:val="24"/>
                <w:szCs w:val="24"/>
              </w:rPr>
            </w:pPr>
            <w:r>
              <w:rPr>
                <w:rFonts w:hint="eastAsia" w:ascii="宋体" w:hAnsi="宋体" w:eastAsia="宋体" w:cs="宋体"/>
                <w:color w:val="000000"/>
                <w:sz w:val="24"/>
              </w:rPr>
              <w:t>（</w:t>
            </w:r>
            <w:r>
              <w:rPr>
                <w:rFonts w:hint="eastAsia" w:ascii="宋体" w:hAnsi="宋体" w:eastAsia="宋体" w:cs="宋体"/>
                <w:color w:val="000000"/>
                <w:sz w:val="24"/>
                <w:lang w:val="en-US" w:eastAsia="zh-CN"/>
              </w:rPr>
              <w:t>5</w:t>
            </w:r>
            <w:r>
              <w:rPr>
                <w:rFonts w:hint="eastAsia" w:ascii="宋体" w:hAnsi="宋体" w:eastAsia="宋体" w:cs="宋体"/>
                <w:color w:val="000000"/>
                <w:sz w:val="24"/>
              </w:rPr>
              <w:t>分）</w:t>
            </w:r>
          </w:p>
        </w:tc>
        <w:tc>
          <w:tcPr>
            <w:tcW w:w="6387" w:type="dxa"/>
            <w:gridSpan w:val="2"/>
            <w:noWrap w:val="0"/>
            <w:vAlign w:val="center"/>
          </w:tcPr>
          <w:p w14:paraId="23F2552C">
            <w:pPr>
              <w:widowControl/>
              <w:snapToGrid w:val="0"/>
              <w:spacing w:line="360" w:lineRule="auto"/>
              <w:ind w:firstLine="218" w:firstLineChars="91"/>
              <w:jc w:val="both"/>
              <w:rPr>
                <w:rFonts w:hint="eastAsia"/>
                <w:sz w:val="24"/>
                <w:lang w:val="zh-CN"/>
              </w:rPr>
            </w:pPr>
            <w:r>
              <w:rPr>
                <w:rFonts w:hint="eastAsia" w:ascii="宋体" w:hAnsi="宋体" w:cs="宋体"/>
                <w:bCs/>
                <w:sz w:val="24"/>
                <w:szCs w:val="20"/>
              </w:rPr>
              <w:t>供应商提供</w:t>
            </w:r>
            <w:r>
              <w:rPr>
                <w:rFonts w:hint="eastAsia"/>
                <w:sz w:val="24"/>
              </w:rPr>
              <w:t>自</w:t>
            </w:r>
            <w:r>
              <w:rPr>
                <w:rFonts w:hint="eastAsia"/>
                <w:sz w:val="24"/>
                <w:lang w:val="zh-CN"/>
              </w:rPr>
              <w:t>20</w:t>
            </w:r>
            <w:r>
              <w:rPr>
                <w:rFonts w:hint="eastAsia"/>
                <w:sz w:val="24"/>
              </w:rPr>
              <w:t>2</w:t>
            </w:r>
            <w:r>
              <w:rPr>
                <w:rFonts w:hint="eastAsia"/>
                <w:sz w:val="24"/>
                <w:lang w:val="en-US" w:eastAsia="zh-CN"/>
              </w:rPr>
              <w:t>3</w:t>
            </w:r>
            <w:r>
              <w:rPr>
                <w:rFonts w:hint="eastAsia"/>
                <w:sz w:val="24"/>
                <w:lang w:val="zh-CN"/>
              </w:rPr>
              <w:t>年1月1日（</w:t>
            </w:r>
            <w:r>
              <w:rPr>
                <w:rFonts w:hint="eastAsia"/>
                <w:sz w:val="24"/>
              </w:rPr>
              <w:t>以合同签订日期为准</w:t>
            </w:r>
            <w:r>
              <w:rPr>
                <w:rFonts w:hint="eastAsia"/>
                <w:sz w:val="24"/>
                <w:lang w:val="zh-CN"/>
              </w:rPr>
              <w:t>）</w:t>
            </w:r>
            <w:r>
              <w:rPr>
                <w:rFonts w:hint="eastAsia"/>
                <w:sz w:val="24"/>
              </w:rPr>
              <w:t>以来类似业绩的，每提供1份得</w:t>
            </w:r>
            <w:r>
              <w:rPr>
                <w:sz w:val="24"/>
              </w:rPr>
              <w:t>2</w:t>
            </w:r>
            <w:r>
              <w:rPr>
                <w:rFonts w:hint="eastAsia"/>
                <w:sz w:val="24"/>
                <w:lang w:val="en-US" w:eastAsia="zh-CN"/>
              </w:rPr>
              <w:t>.5</w:t>
            </w:r>
            <w:r>
              <w:rPr>
                <w:rFonts w:hint="eastAsia"/>
                <w:sz w:val="24"/>
              </w:rPr>
              <w:t>分，最高得</w:t>
            </w:r>
            <w:r>
              <w:rPr>
                <w:rFonts w:hint="eastAsia"/>
                <w:sz w:val="24"/>
                <w:lang w:val="en-US" w:eastAsia="zh-CN"/>
              </w:rPr>
              <w:t>5</w:t>
            </w:r>
            <w:r>
              <w:rPr>
                <w:rFonts w:hint="eastAsia"/>
                <w:sz w:val="24"/>
              </w:rPr>
              <w:t>分</w:t>
            </w:r>
            <w:r>
              <w:rPr>
                <w:rFonts w:hint="eastAsia"/>
                <w:sz w:val="24"/>
                <w:lang w:val="zh-CN"/>
              </w:rPr>
              <w:t>；</w:t>
            </w:r>
            <w:r>
              <w:rPr>
                <w:rFonts w:hint="eastAsia" w:ascii="宋体" w:hAnsi="宋体" w:cs="宋体"/>
                <w:color w:val="000000"/>
                <w:kern w:val="0"/>
                <w:sz w:val="24"/>
                <w:szCs w:val="24"/>
                <w:highlight w:val="none"/>
                <w:lang w:val="en-US" w:eastAsia="zh-CN" w:bidi="ar"/>
              </w:rPr>
              <w:t>不提供或缺项不得分</w:t>
            </w:r>
            <w:r>
              <w:rPr>
                <w:rFonts w:hint="eastAsia" w:ascii="宋体" w:hAnsi="宋体" w:eastAsia="宋体" w:cs="宋体"/>
                <w:color w:val="000000"/>
                <w:kern w:val="0"/>
                <w:sz w:val="24"/>
                <w:szCs w:val="24"/>
                <w:highlight w:val="none"/>
                <w:lang w:bidi="ar"/>
              </w:rPr>
              <w:t>。</w:t>
            </w:r>
          </w:p>
          <w:p w14:paraId="270799F5">
            <w:pPr>
              <w:widowControl/>
              <w:snapToGrid w:val="0"/>
              <w:spacing w:line="360" w:lineRule="auto"/>
              <w:ind w:firstLine="218" w:firstLineChars="91"/>
              <w:jc w:val="both"/>
              <w:rPr>
                <w:rFonts w:hint="eastAsia" w:ascii="宋体" w:hAnsi="宋体" w:eastAsia="宋体" w:cs="宋体"/>
                <w:bCs/>
                <w:color w:val="auto"/>
                <w:sz w:val="24"/>
                <w:szCs w:val="24"/>
              </w:rPr>
            </w:pPr>
            <w:r>
              <w:rPr>
                <w:rFonts w:hint="eastAsia" w:cs="宋体" w:asciiTheme="minorEastAsia" w:hAnsiTheme="minorEastAsia" w:eastAsiaTheme="minorEastAsia"/>
                <w:color w:val="auto"/>
                <w:sz w:val="24"/>
                <w:highlight w:val="none"/>
                <w:lang w:val="en-US" w:eastAsia="zh-CN"/>
              </w:rPr>
              <w:t>注：</w:t>
            </w: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需提供</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r>
              <w:rPr>
                <w:rFonts w:hint="eastAsia" w:ascii="宋体" w:hAnsi="宋体" w:eastAsia="宋体" w:cs="宋体"/>
                <w:sz w:val="24"/>
                <w:szCs w:val="24"/>
                <w:highlight w:val="none"/>
                <w:lang w:val="en-US" w:eastAsia="zh-CN"/>
              </w:rPr>
              <w:t>以及网上</w:t>
            </w:r>
            <w:r>
              <w:rPr>
                <w:rFonts w:hint="eastAsia" w:ascii="宋体" w:hAnsi="宋体" w:cs="宋体"/>
                <w:sz w:val="24"/>
                <w:szCs w:val="24"/>
                <w:highlight w:val="none"/>
                <w:lang w:val="en-US" w:eastAsia="zh-CN"/>
              </w:rPr>
              <w:t>中标公示</w:t>
            </w:r>
            <w:r>
              <w:rPr>
                <w:rFonts w:hint="eastAsia" w:ascii="宋体" w:hAnsi="宋体" w:eastAsia="宋体" w:cs="宋体"/>
                <w:sz w:val="24"/>
                <w:szCs w:val="24"/>
                <w:highlight w:val="none"/>
                <w:lang w:val="en-US" w:eastAsia="zh-CN"/>
              </w:rPr>
              <w:t>截图</w:t>
            </w:r>
            <w:r>
              <w:rPr>
                <w:rFonts w:hint="eastAsia" w:ascii="宋体" w:hAnsi="宋体" w:cs="宋体"/>
                <w:sz w:val="24"/>
                <w:szCs w:val="24"/>
                <w:highlight w:val="none"/>
                <w:lang w:val="en-US" w:eastAsia="zh-CN"/>
              </w:rPr>
              <w:t>。</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25DAE68">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425445E3">
      <w:pPr>
        <w:spacing w:line="360" w:lineRule="auto"/>
        <w:ind w:firstLine="241" w:firstLineChars="10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采购内容</w:t>
      </w:r>
    </w:p>
    <w:tbl>
      <w:tblPr>
        <w:tblStyle w:val="30"/>
        <w:tblW w:w="5000" w:type="pct"/>
        <w:tblInd w:w="0" w:type="dxa"/>
        <w:tblLayout w:type="autofit"/>
        <w:tblCellMar>
          <w:top w:w="0" w:type="dxa"/>
          <w:left w:w="108" w:type="dxa"/>
          <w:bottom w:w="0" w:type="dxa"/>
          <w:right w:w="108" w:type="dxa"/>
        </w:tblCellMar>
      </w:tblPr>
      <w:tblGrid>
        <w:gridCol w:w="970"/>
        <w:gridCol w:w="5590"/>
        <w:gridCol w:w="988"/>
        <w:gridCol w:w="1399"/>
      </w:tblGrid>
      <w:tr w14:paraId="69F5DA5B">
        <w:tblPrEx>
          <w:tblCellMar>
            <w:top w:w="0" w:type="dxa"/>
            <w:left w:w="108" w:type="dxa"/>
            <w:bottom w:w="0" w:type="dxa"/>
            <w:right w:w="108" w:type="dxa"/>
          </w:tblCellMar>
        </w:tblPrEx>
        <w:trPr>
          <w:trHeight w:val="661" w:hRule="atLeast"/>
        </w:trPr>
        <w:tc>
          <w:tcPr>
            <w:tcW w:w="5000" w:type="pct"/>
            <w:gridSpan w:val="4"/>
            <w:tcBorders>
              <w:top w:val="single" w:color="000000" w:sz="4" w:space="0"/>
              <w:left w:val="single" w:color="000000" w:sz="4" w:space="0"/>
              <w:bottom w:val="single" w:color="000000" w:sz="4" w:space="0"/>
              <w:right w:val="single" w:color="000000" w:sz="4" w:space="0"/>
            </w:tcBorders>
            <w:noWrap/>
            <w:vAlign w:val="center"/>
          </w:tcPr>
          <w:p w14:paraId="2C7957FA">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eastAsia="zh-CN"/>
              </w:rPr>
              <w:t>项城市城市管理局数字化城管系统技术维护外包服务项目</w:t>
            </w:r>
          </w:p>
        </w:tc>
      </w:tr>
      <w:tr w14:paraId="194BBA0C">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69BA0608">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序号</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42853163">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内容</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3D60C67A">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数量</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2E7A0540">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单位</w:t>
            </w:r>
          </w:p>
        </w:tc>
      </w:tr>
      <w:tr w14:paraId="5DC6FAF7">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72761B8F">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35F6756D">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数字化城管环卫车辆通信设备运维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00CDBBE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14499F4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1ADCCA58">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3EE3E21C">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2</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1C233A96">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数字化城管基础数据运维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7355DF43">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21D9DD25">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5EA89047">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033A9D04">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3</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3A17D7D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主机存储网络和网络安全设备运维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14108387">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D1FAA14">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4A325549">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15390974">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4</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08F56D5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办公设备运维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611BE790">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175CA21">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1CADC09C">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69A6D32F">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5</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3F1E92C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基础软件平台运维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6BFAB6C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C400BE8">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5E8705A3">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1FDA656A">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6</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2D29B158">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大屏设备运维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175A84AF">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85F2341">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67986328">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0807D5DC">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7</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6F06B87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呼叫平台设备运维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0B785133">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DC119A9">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15A86633">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1E366E3A">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8</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2CE31070">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应用软件平台运维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540548AD">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C830F18">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2D178575">
        <w:tblPrEx>
          <w:tblCellMar>
            <w:top w:w="0" w:type="dxa"/>
            <w:left w:w="108" w:type="dxa"/>
            <w:bottom w:w="0" w:type="dxa"/>
            <w:right w:w="108" w:type="dxa"/>
          </w:tblCellMar>
        </w:tblPrEx>
        <w:trPr>
          <w:trHeight w:val="661"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5DE81C34">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9</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4E0BCFEC">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中心机房运维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3A94434F">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A269D3C">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r w14:paraId="3E871038">
        <w:tblPrEx>
          <w:tblCellMar>
            <w:top w:w="0" w:type="dxa"/>
            <w:left w:w="108" w:type="dxa"/>
            <w:bottom w:w="0" w:type="dxa"/>
            <w:right w:w="108" w:type="dxa"/>
          </w:tblCellMar>
        </w:tblPrEx>
        <w:trPr>
          <w:trHeight w:val="696"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14:paraId="131B6783">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10</w:t>
            </w:r>
          </w:p>
        </w:tc>
        <w:tc>
          <w:tcPr>
            <w:tcW w:w="3124" w:type="pct"/>
            <w:tcBorders>
              <w:top w:val="single" w:color="000000" w:sz="4" w:space="0"/>
              <w:left w:val="single" w:color="000000" w:sz="4" w:space="0"/>
              <w:bottom w:val="single" w:color="000000" w:sz="4" w:space="0"/>
              <w:right w:val="single" w:color="000000" w:sz="4" w:space="0"/>
            </w:tcBorders>
            <w:noWrap/>
            <w:vAlign w:val="center"/>
          </w:tcPr>
          <w:p w14:paraId="33F99196">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园林绿化数字化管理系统及设备运维</w:t>
            </w:r>
          </w:p>
        </w:tc>
        <w:tc>
          <w:tcPr>
            <w:tcW w:w="552" w:type="pct"/>
            <w:tcBorders>
              <w:top w:val="single" w:color="000000" w:sz="4" w:space="0"/>
              <w:left w:val="single" w:color="000000" w:sz="4" w:space="0"/>
              <w:bottom w:val="single" w:color="000000" w:sz="4" w:space="0"/>
              <w:right w:val="single" w:color="000000" w:sz="4" w:space="0"/>
            </w:tcBorders>
            <w:noWrap/>
            <w:vAlign w:val="center"/>
          </w:tcPr>
          <w:p w14:paraId="640F2A86">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03A37D76">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项</w:t>
            </w:r>
          </w:p>
        </w:tc>
      </w:tr>
    </w:tbl>
    <w:p w14:paraId="02554B1F">
      <w:pPr>
        <w:spacing w:line="360" w:lineRule="auto"/>
        <w:ind w:firstLine="241" w:firstLineChars="10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（2）商务要求</w:t>
      </w:r>
    </w:p>
    <w:p w14:paraId="5333F47E">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每季度进行考核验收，分四次支付，一年付清。</w:t>
      </w:r>
    </w:p>
    <w:p w14:paraId="07BD5843">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7943F36E">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w:t>
      </w:r>
      <w:r>
        <w:rPr>
          <w:rFonts w:hint="eastAsia" w:ascii="宋体" w:hAnsi="宋体"/>
          <w:color w:val="auto"/>
          <w:sz w:val="24"/>
          <w:szCs w:val="21"/>
          <w:highlight w:val="none"/>
          <w:lang w:val="en-US" w:eastAsia="zh-CN"/>
        </w:rPr>
        <w:t>1年</w:t>
      </w:r>
    </w:p>
    <w:p w14:paraId="60A7309A">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lang w:val="en-US" w:eastAsia="zh-CN"/>
        </w:rPr>
        <w:t>6</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2"/>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2"/>
        <w:ind w:firstLine="240"/>
        <w:rPr>
          <w:rFonts w:ascii="宋体" w:hAnsi="宋体" w:cs="宋体"/>
          <w:sz w:val="24"/>
          <w:highlight w:val="none"/>
        </w:rPr>
      </w:pPr>
    </w:p>
    <w:p w14:paraId="2742E2F9">
      <w:pPr>
        <w:pStyle w:val="2"/>
        <w:ind w:firstLine="240"/>
        <w:rPr>
          <w:rFonts w:ascii="宋体" w:hAnsi="宋体" w:cs="宋体"/>
          <w:sz w:val="24"/>
          <w:highlight w:val="none"/>
        </w:rPr>
      </w:pPr>
    </w:p>
    <w:p w14:paraId="399B1873">
      <w:pPr>
        <w:pStyle w:val="2"/>
        <w:ind w:firstLine="240"/>
        <w:rPr>
          <w:rFonts w:ascii="宋体" w:hAnsi="宋体" w:cs="宋体"/>
          <w:sz w:val="24"/>
          <w:highlight w:val="none"/>
        </w:rPr>
      </w:pPr>
    </w:p>
    <w:p w14:paraId="4A5C0908">
      <w:pPr>
        <w:pStyle w:val="2"/>
        <w:ind w:firstLine="240"/>
        <w:rPr>
          <w:rFonts w:ascii="宋体" w:hAnsi="宋体" w:cs="宋体"/>
          <w:sz w:val="24"/>
          <w:highlight w:val="none"/>
        </w:rPr>
      </w:pPr>
    </w:p>
    <w:p w14:paraId="72335D9F">
      <w:pPr>
        <w:pStyle w:val="2"/>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2"/>
        <w:ind w:firstLine="210"/>
        <w:rPr>
          <w:highlight w:val="none"/>
        </w:rPr>
      </w:pPr>
    </w:p>
    <w:p w14:paraId="7CDDF6E2">
      <w:pPr>
        <w:pStyle w:val="2"/>
        <w:ind w:firstLine="210"/>
        <w:rPr>
          <w:highlight w:val="none"/>
        </w:rPr>
      </w:pPr>
    </w:p>
    <w:p w14:paraId="014F088B">
      <w:pPr>
        <w:pStyle w:val="2"/>
        <w:ind w:firstLine="210"/>
        <w:rPr>
          <w:highlight w:val="none"/>
        </w:rPr>
      </w:pPr>
    </w:p>
    <w:p w14:paraId="11C3C249">
      <w:pPr>
        <w:pStyle w:val="2"/>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7"/>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 xml:space="preserve">电 话：               </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8" w:name="_Toc197934561"/>
      <w:bookmarkStart w:id="39"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8"/>
      <w:bookmarkEnd w:id="39"/>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40" w:name="_Toc495414234"/>
      <w:bookmarkStart w:id="41" w:name="_Toc220232409"/>
    </w:p>
    <w:p w14:paraId="15A51FC9">
      <w:pPr>
        <w:pStyle w:val="2"/>
        <w:ind w:firstLine="240"/>
        <w:rPr>
          <w:rFonts w:ascii="宋体" w:hAnsi="宋体" w:cs="宋体"/>
          <w:sz w:val="24"/>
          <w:highlight w:val="none"/>
        </w:rPr>
      </w:pPr>
    </w:p>
    <w:p w14:paraId="0AF5410C">
      <w:pPr>
        <w:pStyle w:val="2"/>
        <w:ind w:firstLine="240"/>
        <w:rPr>
          <w:rFonts w:ascii="宋体" w:hAnsi="宋体" w:cs="宋体"/>
          <w:sz w:val="24"/>
          <w:highlight w:val="none"/>
        </w:rPr>
      </w:pPr>
    </w:p>
    <w:p w14:paraId="36C60824">
      <w:pPr>
        <w:pStyle w:val="2"/>
        <w:ind w:firstLine="240"/>
        <w:rPr>
          <w:rFonts w:ascii="宋体" w:hAnsi="宋体" w:cs="宋体"/>
          <w:sz w:val="24"/>
          <w:highlight w:val="none"/>
        </w:rPr>
      </w:pPr>
    </w:p>
    <w:p w14:paraId="35A34597">
      <w:pPr>
        <w:pStyle w:val="2"/>
        <w:ind w:firstLine="240"/>
        <w:rPr>
          <w:rFonts w:ascii="宋体" w:hAnsi="宋体" w:cs="宋体"/>
          <w:sz w:val="24"/>
          <w:highlight w:val="none"/>
        </w:rPr>
      </w:pPr>
    </w:p>
    <w:p w14:paraId="5A8EFA76">
      <w:pPr>
        <w:pStyle w:val="2"/>
        <w:ind w:firstLine="240"/>
        <w:rPr>
          <w:rFonts w:ascii="宋体" w:hAnsi="宋体" w:cs="宋体"/>
          <w:sz w:val="24"/>
          <w:highlight w:val="none"/>
        </w:rPr>
      </w:pPr>
    </w:p>
    <w:p w14:paraId="35705D53">
      <w:pPr>
        <w:pStyle w:val="2"/>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40"/>
      <w:bookmarkEnd w:id="41"/>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2"/>
        <w:ind w:firstLine="241"/>
        <w:rPr>
          <w:rFonts w:ascii="宋体" w:hAnsi="宋体" w:cs="宋体"/>
          <w:b/>
          <w:sz w:val="24"/>
          <w:highlight w:val="none"/>
        </w:rPr>
      </w:pPr>
    </w:p>
    <w:p w14:paraId="7912DE7A">
      <w:pPr>
        <w:pStyle w:val="2"/>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7"/>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7"/>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7"/>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7"/>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7"/>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7"/>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7"/>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1"/>
        <w:rPr>
          <w:rFonts w:ascii="宋体" w:hAnsi="宋体" w:cs="宋体"/>
          <w:sz w:val="24"/>
          <w:szCs w:val="24"/>
          <w:highlight w:val="none"/>
        </w:rPr>
      </w:pPr>
    </w:p>
    <w:p w14:paraId="51726D06">
      <w:pPr>
        <w:pStyle w:val="41"/>
        <w:rPr>
          <w:rFonts w:ascii="宋体" w:hAnsi="宋体" w:cs="宋体"/>
          <w:sz w:val="24"/>
          <w:szCs w:val="24"/>
          <w:highlight w:val="none"/>
        </w:rPr>
      </w:pPr>
    </w:p>
    <w:p w14:paraId="5CF83A87">
      <w:pPr>
        <w:pStyle w:val="41"/>
        <w:rPr>
          <w:rFonts w:ascii="宋体" w:hAnsi="宋体" w:cs="宋体"/>
          <w:sz w:val="24"/>
          <w:szCs w:val="24"/>
          <w:highlight w:val="none"/>
        </w:rPr>
      </w:pPr>
    </w:p>
    <w:p w14:paraId="6949FCEF">
      <w:pPr>
        <w:pStyle w:val="41"/>
        <w:rPr>
          <w:rFonts w:ascii="宋体" w:hAnsi="宋体" w:cs="宋体"/>
          <w:sz w:val="24"/>
          <w:szCs w:val="24"/>
          <w:highlight w:val="none"/>
        </w:rPr>
      </w:pPr>
    </w:p>
    <w:p w14:paraId="66079CD5">
      <w:pPr>
        <w:pStyle w:val="41"/>
        <w:rPr>
          <w:rFonts w:ascii="宋体" w:hAnsi="宋体" w:cs="宋体"/>
          <w:sz w:val="24"/>
          <w:szCs w:val="24"/>
          <w:highlight w:val="none"/>
        </w:rPr>
      </w:pPr>
    </w:p>
    <w:p w14:paraId="2955110F">
      <w:pPr>
        <w:pStyle w:val="41"/>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1"/>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1"/>
        <w:rPr>
          <w:rFonts w:ascii="宋体" w:hAnsi="宋体" w:cs="宋体"/>
          <w:sz w:val="24"/>
          <w:szCs w:val="24"/>
          <w:highlight w:val="none"/>
        </w:rPr>
      </w:pPr>
    </w:p>
    <w:p w14:paraId="05C4B55B">
      <w:pPr>
        <w:pStyle w:val="8"/>
        <w:rPr>
          <w:rFonts w:ascii="宋体" w:hAnsi="宋体" w:eastAsia="宋体" w:cs="宋体"/>
          <w:sz w:val="24"/>
          <w:highlight w:val="none"/>
        </w:rPr>
      </w:pPr>
    </w:p>
    <w:p w14:paraId="4F4099A1">
      <w:pPr>
        <w:rPr>
          <w:rFonts w:ascii="宋体" w:hAnsi="宋体" w:cs="宋体"/>
          <w:sz w:val="24"/>
          <w:highlight w:val="none"/>
        </w:rPr>
      </w:pPr>
    </w:p>
    <w:p w14:paraId="742CDDD6">
      <w:pPr>
        <w:pStyle w:val="41"/>
        <w:rPr>
          <w:rFonts w:ascii="宋体" w:hAnsi="宋体" w:cs="宋体"/>
          <w:sz w:val="24"/>
          <w:szCs w:val="24"/>
          <w:highlight w:val="none"/>
        </w:rPr>
      </w:pPr>
    </w:p>
    <w:p w14:paraId="4A130160">
      <w:pPr>
        <w:pStyle w:val="8"/>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2"/>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5"/>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5"/>
        <w:spacing w:line="500" w:lineRule="exact"/>
        <w:jc w:val="both"/>
        <w:rPr>
          <w:rFonts w:ascii="宋体" w:hAnsi="宋体" w:cs="宋体"/>
          <w:sz w:val="21"/>
          <w:szCs w:val="21"/>
          <w:highlight w:val="none"/>
        </w:rPr>
      </w:pPr>
    </w:p>
    <w:p w14:paraId="6FD8C736">
      <w:pPr>
        <w:pStyle w:val="5"/>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4"/>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12"/>
        <w:pageBreakBefore w:val="0"/>
        <w:widowControl w:val="0"/>
        <w:kinsoku/>
        <w:wordWrap/>
        <w:overflowPunct w:val="0"/>
        <w:topLinePunct w:val="0"/>
        <w:autoSpaceDE/>
        <w:autoSpaceDN/>
        <w:bidi w:val="0"/>
        <w:adjustRightInd/>
        <w:snapToGrid/>
        <w:spacing w:line="364" w:lineRule="auto"/>
        <w:ind w:firstLine="420" w:firstLineChars="200"/>
        <w:textAlignment w:val="auto"/>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4"/>
        <w:pageBreakBefore w:val="0"/>
        <w:widowControl w:val="0"/>
        <w:kinsoku/>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2"/>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4"/>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1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CA963B">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4"/>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2"/>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2"/>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2"/>
        <w:ind w:firstLine="321"/>
        <w:jc w:val="center"/>
        <w:rPr>
          <w:b/>
          <w:sz w:val="32"/>
          <w:szCs w:val="32"/>
          <w:highlight w:val="none"/>
        </w:rPr>
      </w:pPr>
      <w:r>
        <w:rPr>
          <w:rFonts w:hint="eastAsia"/>
          <w:b/>
          <w:sz w:val="32"/>
          <w:szCs w:val="32"/>
          <w:highlight w:val="none"/>
        </w:rPr>
        <w:t>周口市政府采购合同融资政策告知函</w:t>
      </w:r>
    </w:p>
    <w:p w14:paraId="1FD406FB">
      <w:pPr>
        <w:pStyle w:val="2"/>
        <w:ind w:firstLine="240"/>
        <w:rPr>
          <w:rFonts w:asciiTheme="minorEastAsia" w:hAnsiTheme="minorEastAsia" w:eastAsiaTheme="minorEastAsia"/>
          <w:sz w:val="24"/>
          <w:highlight w:val="none"/>
        </w:rPr>
      </w:pPr>
    </w:p>
    <w:p w14:paraId="0E082FA9">
      <w:pPr>
        <w:pStyle w:val="2"/>
        <w:ind w:firstLine="240"/>
        <w:rPr>
          <w:rFonts w:asciiTheme="minorEastAsia" w:hAnsiTheme="minorEastAsia" w:eastAsiaTheme="minorEastAsia"/>
          <w:sz w:val="24"/>
          <w:highlight w:val="none"/>
        </w:rPr>
      </w:pPr>
    </w:p>
    <w:p w14:paraId="620107BF">
      <w:pPr>
        <w:pStyle w:val="2"/>
        <w:ind w:firstLine="240"/>
        <w:rPr>
          <w:rFonts w:asciiTheme="minorEastAsia" w:hAnsiTheme="minorEastAsia" w:eastAsiaTheme="minorEastAsia"/>
          <w:sz w:val="24"/>
          <w:highlight w:val="none"/>
        </w:rPr>
      </w:pPr>
    </w:p>
    <w:p w14:paraId="01674F72">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7"/>
        <w:spacing w:before="0" w:beforeAutospacing="0" w:after="0" w:afterAutospacing="0" w:line="330" w:lineRule="atLeast"/>
        <w:rPr>
          <w:rFonts w:cs="仿宋_GB2312"/>
          <w:b/>
          <w:bCs/>
          <w:color w:val="0000FF"/>
          <w:sz w:val="21"/>
          <w:szCs w:val="21"/>
          <w:highlight w:val="none"/>
        </w:rPr>
      </w:pPr>
    </w:p>
    <w:p w14:paraId="40B779FA">
      <w:pPr>
        <w:pStyle w:val="27"/>
        <w:spacing w:before="0" w:beforeAutospacing="0" w:after="0" w:afterAutospacing="0" w:line="330" w:lineRule="atLeast"/>
        <w:rPr>
          <w:rFonts w:cs="仿宋_GB2312"/>
          <w:b/>
          <w:bCs/>
          <w:color w:val="0000FF"/>
          <w:sz w:val="21"/>
          <w:szCs w:val="21"/>
          <w:highlight w:val="none"/>
        </w:rPr>
      </w:pPr>
    </w:p>
    <w:p w14:paraId="183C33C5">
      <w:pPr>
        <w:pStyle w:val="27"/>
        <w:spacing w:before="0" w:beforeAutospacing="0" w:after="0" w:afterAutospacing="0" w:line="330" w:lineRule="atLeast"/>
        <w:rPr>
          <w:rFonts w:cs="仿宋_GB2312"/>
          <w:b/>
          <w:bCs/>
          <w:color w:val="0000FF"/>
          <w:sz w:val="21"/>
          <w:szCs w:val="21"/>
          <w:highlight w:val="none"/>
        </w:rPr>
      </w:pPr>
    </w:p>
    <w:p w14:paraId="37E20749">
      <w:pPr>
        <w:pStyle w:val="27"/>
        <w:spacing w:before="0" w:beforeAutospacing="0" w:after="0" w:afterAutospacing="0" w:line="330" w:lineRule="atLeast"/>
        <w:rPr>
          <w:rFonts w:cs="仿宋_GB2312"/>
          <w:b/>
          <w:bCs/>
          <w:color w:val="0000FF"/>
          <w:sz w:val="21"/>
          <w:szCs w:val="21"/>
          <w:highlight w:val="none"/>
        </w:rPr>
      </w:pPr>
    </w:p>
    <w:p w14:paraId="085FE3BA">
      <w:pPr>
        <w:pStyle w:val="27"/>
        <w:spacing w:before="0" w:beforeAutospacing="0" w:after="0" w:afterAutospacing="0" w:line="330" w:lineRule="atLeast"/>
        <w:rPr>
          <w:rFonts w:cs="仿宋_GB2312"/>
          <w:b/>
          <w:bCs/>
          <w:color w:val="0000FF"/>
          <w:sz w:val="21"/>
          <w:szCs w:val="21"/>
          <w:highlight w:val="none"/>
        </w:rPr>
      </w:pPr>
    </w:p>
    <w:p w14:paraId="78203EFC">
      <w:pPr>
        <w:pStyle w:val="27"/>
        <w:spacing w:before="0" w:beforeAutospacing="0" w:after="0" w:afterAutospacing="0" w:line="330" w:lineRule="atLeast"/>
        <w:rPr>
          <w:rFonts w:cs="仿宋_GB2312"/>
          <w:b/>
          <w:bCs/>
          <w:color w:val="0000FF"/>
          <w:sz w:val="21"/>
          <w:szCs w:val="21"/>
          <w:highlight w:val="none"/>
        </w:rPr>
      </w:pPr>
    </w:p>
    <w:p w14:paraId="062659B3">
      <w:pPr>
        <w:pStyle w:val="27"/>
        <w:spacing w:before="0" w:beforeAutospacing="0" w:after="0" w:afterAutospacing="0" w:line="330" w:lineRule="atLeast"/>
        <w:rPr>
          <w:rFonts w:cs="仿宋_GB2312"/>
          <w:b/>
          <w:bCs/>
          <w:color w:val="0000FF"/>
          <w:sz w:val="21"/>
          <w:szCs w:val="21"/>
          <w:highlight w:val="none"/>
        </w:rPr>
      </w:pPr>
    </w:p>
    <w:p w14:paraId="14F724CC">
      <w:pPr>
        <w:pStyle w:val="27"/>
        <w:spacing w:before="0" w:beforeAutospacing="0" w:after="0" w:afterAutospacing="0" w:line="330" w:lineRule="atLeast"/>
        <w:rPr>
          <w:rFonts w:cs="仿宋_GB2312"/>
          <w:b/>
          <w:bCs/>
          <w:color w:val="0000FF"/>
          <w:sz w:val="21"/>
          <w:szCs w:val="21"/>
          <w:highlight w:val="none"/>
        </w:rPr>
      </w:pPr>
    </w:p>
    <w:p w14:paraId="57E04E81">
      <w:pPr>
        <w:pStyle w:val="27"/>
        <w:spacing w:before="0" w:beforeAutospacing="0" w:after="0" w:afterAutospacing="0" w:line="330" w:lineRule="atLeast"/>
        <w:rPr>
          <w:rFonts w:cs="仿宋_GB2312"/>
          <w:b/>
          <w:bCs/>
          <w:color w:val="0000FF"/>
          <w:sz w:val="21"/>
          <w:szCs w:val="21"/>
          <w:highlight w:val="none"/>
        </w:rPr>
      </w:pPr>
    </w:p>
    <w:p w14:paraId="46A6A1B1">
      <w:pPr>
        <w:pStyle w:val="27"/>
        <w:spacing w:before="0" w:beforeAutospacing="0" w:after="0" w:afterAutospacing="0" w:line="330" w:lineRule="atLeast"/>
        <w:rPr>
          <w:rFonts w:cs="仿宋_GB2312"/>
          <w:b/>
          <w:bCs/>
          <w:color w:val="0000FF"/>
          <w:sz w:val="21"/>
          <w:szCs w:val="21"/>
          <w:highlight w:val="none"/>
        </w:rPr>
      </w:pPr>
    </w:p>
    <w:p w14:paraId="3EFB33B5">
      <w:pPr>
        <w:pStyle w:val="27"/>
        <w:spacing w:before="0" w:beforeAutospacing="0" w:after="0" w:afterAutospacing="0" w:line="330" w:lineRule="atLeast"/>
        <w:rPr>
          <w:rFonts w:cs="仿宋_GB2312"/>
          <w:b/>
          <w:bCs/>
          <w:color w:val="0000FF"/>
          <w:sz w:val="21"/>
          <w:szCs w:val="21"/>
          <w:highlight w:val="none"/>
        </w:rPr>
      </w:pPr>
    </w:p>
    <w:p w14:paraId="12ABD3D6">
      <w:pPr>
        <w:pStyle w:val="27"/>
        <w:spacing w:before="0" w:beforeAutospacing="0" w:after="0" w:afterAutospacing="0" w:line="330" w:lineRule="atLeast"/>
        <w:rPr>
          <w:rFonts w:cs="仿宋_GB2312"/>
          <w:b/>
          <w:bCs/>
          <w:color w:val="0000FF"/>
          <w:sz w:val="21"/>
          <w:szCs w:val="21"/>
          <w:highlight w:val="none"/>
        </w:rPr>
      </w:pPr>
    </w:p>
    <w:p w14:paraId="6B947510">
      <w:pPr>
        <w:pStyle w:val="27"/>
        <w:spacing w:before="0" w:beforeAutospacing="0" w:after="0" w:afterAutospacing="0" w:line="330" w:lineRule="atLeast"/>
        <w:rPr>
          <w:rFonts w:cs="仿宋_GB2312"/>
          <w:b/>
          <w:bCs/>
          <w:color w:val="0000FF"/>
          <w:sz w:val="21"/>
          <w:szCs w:val="21"/>
          <w:highlight w:val="none"/>
        </w:rPr>
      </w:pPr>
    </w:p>
    <w:p w14:paraId="0622DF07">
      <w:pPr>
        <w:pStyle w:val="2"/>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21"/>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2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2"/>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96F07"/>
    <w:rsid w:val="034026E5"/>
    <w:rsid w:val="0346264F"/>
    <w:rsid w:val="035166A0"/>
    <w:rsid w:val="03733BDF"/>
    <w:rsid w:val="03A308DC"/>
    <w:rsid w:val="03D5618C"/>
    <w:rsid w:val="03DC636C"/>
    <w:rsid w:val="03EF6322"/>
    <w:rsid w:val="040532BA"/>
    <w:rsid w:val="04073203"/>
    <w:rsid w:val="040B08CC"/>
    <w:rsid w:val="04176582"/>
    <w:rsid w:val="04717837"/>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D93108"/>
    <w:rsid w:val="07F876A6"/>
    <w:rsid w:val="081E6D6D"/>
    <w:rsid w:val="08306015"/>
    <w:rsid w:val="083E11BD"/>
    <w:rsid w:val="08660CC0"/>
    <w:rsid w:val="08703D30"/>
    <w:rsid w:val="088E7A4F"/>
    <w:rsid w:val="08AA23AF"/>
    <w:rsid w:val="08B33959"/>
    <w:rsid w:val="08BB45BC"/>
    <w:rsid w:val="08CC4A1B"/>
    <w:rsid w:val="08DB1CFF"/>
    <w:rsid w:val="09066CD0"/>
    <w:rsid w:val="090F7700"/>
    <w:rsid w:val="09293C1C"/>
    <w:rsid w:val="092E1232"/>
    <w:rsid w:val="095A5B83"/>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55920"/>
    <w:rsid w:val="0AEE2A27"/>
    <w:rsid w:val="0AFA4C08"/>
    <w:rsid w:val="0B065FC2"/>
    <w:rsid w:val="0B226B74"/>
    <w:rsid w:val="0B7A6133"/>
    <w:rsid w:val="0B867103"/>
    <w:rsid w:val="0B93537C"/>
    <w:rsid w:val="0BA61553"/>
    <w:rsid w:val="0BAE62C0"/>
    <w:rsid w:val="0BBA0B5B"/>
    <w:rsid w:val="0BBE689D"/>
    <w:rsid w:val="0BD0037E"/>
    <w:rsid w:val="0BE35ECF"/>
    <w:rsid w:val="0BEB3B44"/>
    <w:rsid w:val="0C0644C0"/>
    <w:rsid w:val="0C4F74F5"/>
    <w:rsid w:val="0C505731"/>
    <w:rsid w:val="0C522BFB"/>
    <w:rsid w:val="0C5B0590"/>
    <w:rsid w:val="0C7B02EA"/>
    <w:rsid w:val="0CB8153E"/>
    <w:rsid w:val="0CBB4B8B"/>
    <w:rsid w:val="0CC2416B"/>
    <w:rsid w:val="0CCA3020"/>
    <w:rsid w:val="0D1150F2"/>
    <w:rsid w:val="0D3D1A44"/>
    <w:rsid w:val="0D417345"/>
    <w:rsid w:val="0D4234FE"/>
    <w:rsid w:val="0D705975"/>
    <w:rsid w:val="0D802AB6"/>
    <w:rsid w:val="0D9F44AC"/>
    <w:rsid w:val="0DC32327"/>
    <w:rsid w:val="0DC54782"/>
    <w:rsid w:val="0DD405FA"/>
    <w:rsid w:val="0DDC1DC5"/>
    <w:rsid w:val="0DFF4F4B"/>
    <w:rsid w:val="0E0D1416"/>
    <w:rsid w:val="0E3C1CFB"/>
    <w:rsid w:val="0E470868"/>
    <w:rsid w:val="0E4D1706"/>
    <w:rsid w:val="0E590AFF"/>
    <w:rsid w:val="0E664FCA"/>
    <w:rsid w:val="0E745939"/>
    <w:rsid w:val="0E835B7C"/>
    <w:rsid w:val="0EA31D7A"/>
    <w:rsid w:val="0EDB4DDC"/>
    <w:rsid w:val="0EF425D6"/>
    <w:rsid w:val="0F31382A"/>
    <w:rsid w:val="0F4A4D91"/>
    <w:rsid w:val="0F6634D4"/>
    <w:rsid w:val="0F9D4A1B"/>
    <w:rsid w:val="0F9F2542"/>
    <w:rsid w:val="0FC5229E"/>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A32DB"/>
    <w:rsid w:val="12902616"/>
    <w:rsid w:val="12AD766B"/>
    <w:rsid w:val="12C060EB"/>
    <w:rsid w:val="12C0739F"/>
    <w:rsid w:val="12D01F78"/>
    <w:rsid w:val="12EC0194"/>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54A58"/>
    <w:rsid w:val="144E2788"/>
    <w:rsid w:val="14504752"/>
    <w:rsid w:val="1451054A"/>
    <w:rsid w:val="14677422"/>
    <w:rsid w:val="146A4FD5"/>
    <w:rsid w:val="147A17CF"/>
    <w:rsid w:val="148B12E6"/>
    <w:rsid w:val="149522B6"/>
    <w:rsid w:val="149C34F4"/>
    <w:rsid w:val="14DE58BA"/>
    <w:rsid w:val="152E6B10"/>
    <w:rsid w:val="15311E8E"/>
    <w:rsid w:val="15347BD0"/>
    <w:rsid w:val="15437E13"/>
    <w:rsid w:val="154C6CC8"/>
    <w:rsid w:val="15521864"/>
    <w:rsid w:val="15593193"/>
    <w:rsid w:val="156C736A"/>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D74DC1"/>
    <w:rsid w:val="18EB2C9C"/>
    <w:rsid w:val="18F57676"/>
    <w:rsid w:val="193E7F56"/>
    <w:rsid w:val="195E16BF"/>
    <w:rsid w:val="197C38F7"/>
    <w:rsid w:val="19A60971"/>
    <w:rsid w:val="19BE61D3"/>
    <w:rsid w:val="19C71013"/>
    <w:rsid w:val="19ED659F"/>
    <w:rsid w:val="1A152210"/>
    <w:rsid w:val="1A197394"/>
    <w:rsid w:val="1A1D4FC7"/>
    <w:rsid w:val="1A2024D1"/>
    <w:rsid w:val="1A670100"/>
    <w:rsid w:val="1A6C12ED"/>
    <w:rsid w:val="1A8618F5"/>
    <w:rsid w:val="1A9D7FC6"/>
    <w:rsid w:val="1AA94BBC"/>
    <w:rsid w:val="1AD339E7"/>
    <w:rsid w:val="1AE259D8"/>
    <w:rsid w:val="1AE34745"/>
    <w:rsid w:val="1AED58EF"/>
    <w:rsid w:val="1B057C4F"/>
    <w:rsid w:val="1B300E3A"/>
    <w:rsid w:val="1B3501FE"/>
    <w:rsid w:val="1B561B37"/>
    <w:rsid w:val="1B724FAE"/>
    <w:rsid w:val="1B960FA2"/>
    <w:rsid w:val="1BAC671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063C00"/>
    <w:rsid w:val="1D097B94"/>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DA6160"/>
    <w:rsid w:val="20193BC8"/>
    <w:rsid w:val="202D76F6"/>
    <w:rsid w:val="204F3B10"/>
    <w:rsid w:val="20601879"/>
    <w:rsid w:val="2063580D"/>
    <w:rsid w:val="206C021E"/>
    <w:rsid w:val="20981EA4"/>
    <w:rsid w:val="20A51947"/>
    <w:rsid w:val="20B15F3B"/>
    <w:rsid w:val="20EC5803"/>
    <w:rsid w:val="20F36B91"/>
    <w:rsid w:val="21222FD3"/>
    <w:rsid w:val="213D7E0C"/>
    <w:rsid w:val="21747CD2"/>
    <w:rsid w:val="21751354"/>
    <w:rsid w:val="2177331E"/>
    <w:rsid w:val="218617B3"/>
    <w:rsid w:val="219A700D"/>
    <w:rsid w:val="21A460DD"/>
    <w:rsid w:val="21ED67BC"/>
    <w:rsid w:val="21EF55AB"/>
    <w:rsid w:val="220D398C"/>
    <w:rsid w:val="226677BB"/>
    <w:rsid w:val="22721109"/>
    <w:rsid w:val="22853819"/>
    <w:rsid w:val="22C12E9B"/>
    <w:rsid w:val="22D93819"/>
    <w:rsid w:val="22EA32EC"/>
    <w:rsid w:val="22F4099F"/>
    <w:rsid w:val="22FD3CF7"/>
    <w:rsid w:val="2301566F"/>
    <w:rsid w:val="23111551"/>
    <w:rsid w:val="231F3C6E"/>
    <w:rsid w:val="23242385"/>
    <w:rsid w:val="23282412"/>
    <w:rsid w:val="23290648"/>
    <w:rsid w:val="23384D2F"/>
    <w:rsid w:val="234731C4"/>
    <w:rsid w:val="23825FAA"/>
    <w:rsid w:val="238E494F"/>
    <w:rsid w:val="23953F30"/>
    <w:rsid w:val="23B00D6A"/>
    <w:rsid w:val="23CB7951"/>
    <w:rsid w:val="23DC74F7"/>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483AF9"/>
    <w:rsid w:val="264E6012"/>
    <w:rsid w:val="26502390"/>
    <w:rsid w:val="26802C75"/>
    <w:rsid w:val="26AB07CC"/>
    <w:rsid w:val="26C03072"/>
    <w:rsid w:val="26E50D2A"/>
    <w:rsid w:val="26E86A6C"/>
    <w:rsid w:val="26F21A04"/>
    <w:rsid w:val="26F62F37"/>
    <w:rsid w:val="27035654"/>
    <w:rsid w:val="27397C5C"/>
    <w:rsid w:val="27435A51"/>
    <w:rsid w:val="275D2FB6"/>
    <w:rsid w:val="27610678"/>
    <w:rsid w:val="27644345"/>
    <w:rsid w:val="27873B8F"/>
    <w:rsid w:val="279C795E"/>
    <w:rsid w:val="27C74EE3"/>
    <w:rsid w:val="28043432"/>
    <w:rsid w:val="28480D72"/>
    <w:rsid w:val="28593D52"/>
    <w:rsid w:val="285E0D94"/>
    <w:rsid w:val="287B63A6"/>
    <w:rsid w:val="28887BBF"/>
    <w:rsid w:val="288C33EF"/>
    <w:rsid w:val="28D948BF"/>
    <w:rsid w:val="28F25980"/>
    <w:rsid w:val="28F33BD2"/>
    <w:rsid w:val="28F74D45"/>
    <w:rsid w:val="29023E15"/>
    <w:rsid w:val="29051210"/>
    <w:rsid w:val="290C4C94"/>
    <w:rsid w:val="292A336C"/>
    <w:rsid w:val="29387837"/>
    <w:rsid w:val="29613C02"/>
    <w:rsid w:val="29736AC1"/>
    <w:rsid w:val="297E7214"/>
    <w:rsid w:val="29A0718A"/>
    <w:rsid w:val="29BD5D4E"/>
    <w:rsid w:val="29D3130E"/>
    <w:rsid w:val="29DD218D"/>
    <w:rsid w:val="29DD2CB3"/>
    <w:rsid w:val="2A0C2A72"/>
    <w:rsid w:val="2A111E36"/>
    <w:rsid w:val="2A366266"/>
    <w:rsid w:val="2A383867"/>
    <w:rsid w:val="2A397C18"/>
    <w:rsid w:val="2A5015D5"/>
    <w:rsid w:val="2AA44A58"/>
    <w:rsid w:val="2AB729DE"/>
    <w:rsid w:val="2AB949A8"/>
    <w:rsid w:val="2AF27EBA"/>
    <w:rsid w:val="2AF63392"/>
    <w:rsid w:val="2AFC2AE6"/>
    <w:rsid w:val="2B45448D"/>
    <w:rsid w:val="2B7E174D"/>
    <w:rsid w:val="2B856638"/>
    <w:rsid w:val="2BA2368E"/>
    <w:rsid w:val="2BA67492"/>
    <w:rsid w:val="2BC03B14"/>
    <w:rsid w:val="2BCA04EF"/>
    <w:rsid w:val="2BDA1BE3"/>
    <w:rsid w:val="2BEE4D59"/>
    <w:rsid w:val="2C0343BA"/>
    <w:rsid w:val="2C047EA4"/>
    <w:rsid w:val="2C66791C"/>
    <w:rsid w:val="2C673F8F"/>
    <w:rsid w:val="2C6B1CD2"/>
    <w:rsid w:val="2CB41783"/>
    <w:rsid w:val="2CC338BC"/>
    <w:rsid w:val="2CD77367"/>
    <w:rsid w:val="2CE00E0B"/>
    <w:rsid w:val="2D221D01"/>
    <w:rsid w:val="2D2D6F87"/>
    <w:rsid w:val="2D360531"/>
    <w:rsid w:val="2D531028"/>
    <w:rsid w:val="2D676A80"/>
    <w:rsid w:val="2D7352E2"/>
    <w:rsid w:val="2D7A3266"/>
    <w:rsid w:val="2DA134D1"/>
    <w:rsid w:val="2DCE2518"/>
    <w:rsid w:val="2DD33BD7"/>
    <w:rsid w:val="2DD41AF8"/>
    <w:rsid w:val="2DD9710F"/>
    <w:rsid w:val="2DDB4C35"/>
    <w:rsid w:val="2DE0224B"/>
    <w:rsid w:val="2DE53D06"/>
    <w:rsid w:val="2DFB7085"/>
    <w:rsid w:val="2E0C1292"/>
    <w:rsid w:val="2E304F81"/>
    <w:rsid w:val="2E591C0D"/>
    <w:rsid w:val="2E8E1A42"/>
    <w:rsid w:val="2E8F76EA"/>
    <w:rsid w:val="2EAA4B78"/>
    <w:rsid w:val="2EC95935"/>
    <w:rsid w:val="2F097580"/>
    <w:rsid w:val="2F465CA7"/>
    <w:rsid w:val="2F5F2B72"/>
    <w:rsid w:val="2F7E1D1C"/>
    <w:rsid w:val="2F932167"/>
    <w:rsid w:val="2F9B467C"/>
    <w:rsid w:val="2FAA0D63"/>
    <w:rsid w:val="2FC17E5A"/>
    <w:rsid w:val="2FCA6D0F"/>
    <w:rsid w:val="2FD01CE8"/>
    <w:rsid w:val="2FD42B08"/>
    <w:rsid w:val="305D5DD5"/>
    <w:rsid w:val="30A26617"/>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BD0DAD"/>
    <w:rsid w:val="32C71C2C"/>
    <w:rsid w:val="32E427DE"/>
    <w:rsid w:val="32EC3440"/>
    <w:rsid w:val="32FF13C6"/>
    <w:rsid w:val="33022C64"/>
    <w:rsid w:val="33055DF4"/>
    <w:rsid w:val="333F5C66"/>
    <w:rsid w:val="33482D6D"/>
    <w:rsid w:val="334868C9"/>
    <w:rsid w:val="33523A32"/>
    <w:rsid w:val="33552D94"/>
    <w:rsid w:val="335D1FE1"/>
    <w:rsid w:val="339B7340"/>
    <w:rsid w:val="33DA636A"/>
    <w:rsid w:val="33EA25D1"/>
    <w:rsid w:val="33F848B7"/>
    <w:rsid w:val="342521E3"/>
    <w:rsid w:val="34366616"/>
    <w:rsid w:val="344F1ED9"/>
    <w:rsid w:val="345D2848"/>
    <w:rsid w:val="34637732"/>
    <w:rsid w:val="34655258"/>
    <w:rsid w:val="346C2A8B"/>
    <w:rsid w:val="34863867"/>
    <w:rsid w:val="34943D90"/>
    <w:rsid w:val="349A13A6"/>
    <w:rsid w:val="34B524C1"/>
    <w:rsid w:val="34D60CBB"/>
    <w:rsid w:val="34E341D7"/>
    <w:rsid w:val="34FC75A6"/>
    <w:rsid w:val="35030C9C"/>
    <w:rsid w:val="353C4230"/>
    <w:rsid w:val="35447564"/>
    <w:rsid w:val="35A23F2B"/>
    <w:rsid w:val="35A3072E"/>
    <w:rsid w:val="35E85214"/>
    <w:rsid w:val="35FA132C"/>
    <w:rsid w:val="360311CD"/>
    <w:rsid w:val="360D7E33"/>
    <w:rsid w:val="362C7056"/>
    <w:rsid w:val="363B2715"/>
    <w:rsid w:val="3651018A"/>
    <w:rsid w:val="3659703F"/>
    <w:rsid w:val="366C6D72"/>
    <w:rsid w:val="36857E34"/>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204506"/>
    <w:rsid w:val="382F62A9"/>
    <w:rsid w:val="383F751D"/>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565AB7"/>
    <w:rsid w:val="396170BB"/>
    <w:rsid w:val="39736669"/>
    <w:rsid w:val="399D5494"/>
    <w:rsid w:val="39B7430B"/>
    <w:rsid w:val="39BA7DF4"/>
    <w:rsid w:val="39C26CA9"/>
    <w:rsid w:val="39D4535A"/>
    <w:rsid w:val="3A034261"/>
    <w:rsid w:val="3A1C460B"/>
    <w:rsid w:val="3A1E4827"/>
    <w:rsid w:val="3A26548A"/>
    <w:rsid w:val="3A612966"/>
    <w:rsid w:val="3A777A93"/>
    <w:rsid w:val="3A944AE9"/>
    <w:rsid w:val="3AA06EC0"/>
    <w:rsid w:val="3AA50AA5"/>
    <w:rsid w:val="3AC16F61"/>
    <w:rsid w:val="3ACA2C02"/>
    <w:rsid w:val="3ACC1BCC"/>
    <w:rsid w:val="3ACC4283"/>
    <w:rsid w:val="3AE80991"/>
    <w:rsid w:val="3B08098E"/>
    <w:rsid w:val="3B693880"/>
    <w:rsid w:val="3B6B584A"/>
    <w:rsid w:val="3B8763FC"/>
    <w:rsid w:val="3B903503"/>
    <w:rsid w:val="3B920829"/>
    <w:rsid w:val="3BAE6CD9"/>
    <w:rsid w:val="3BB6283D"/>
    <w:rsid w:val="3BB84807"/>
    <w:rsid w:val="3BC82C9D"/>
    <w:rsid w:val="3C221C81"/>
    <w:rsid w:val="3C270B87"/>
    <w:rsid w:val="3C3000ED"/>
    <w:rsid w:val="3C371186"/>
    <w:rsid w:val="3C3C2D43"/>
    <w:rsid w:val="3C5207B8"/>
    <w:rsid w:val="3C7921E9"/>
    <w:rsid w:val="3C885F88"/>
    <w:rsid w:val="3CBE5E4E"/>
    <w:rsid w:val="3CE358B4"/>
    <w:rsid w:val="3CF25AF7"/>
    <w:rsid w:val="3D141F11"/>
    <w:rsid w:val="3D232399"/>
    <w:rsid w:val="3D2E2D19"/>
    <w:rsid w:val="3D31181A"/>
    <w:rsid w:val="3D485717"/>
    <w:rsid w:val="3D6A38DF"/>
    <w:rsid w:val="3D7911B5"/>
    <w:rsid w:val="3D7D3613"/>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52388"/>
    <w:rsid w:val="3EFB5137"/>
    <w:rsid w:val="3F1749BD"/>
    <w:rsid w:val="3F285800"/>
    <w:rsid w:val="3F2A77CA"/>
    <w:rsid w:val="3F4F365B"/>
    <w:rsid w:val="3F4F5483"/>
    <w:rsid w:val="3F577E93"/>
    <w:rsid w:val="3F6A6789"/>
    <w:rsid w:val="3F7D78FA"/>
    <w:rsid w:val="3F9A5B70"/>
    <w:rsid w:val="3FA56E51"/>
    <w:rsid w:val="3FBB0422"/>
    <w:rsid w:val="3FCC6AD3"/>
    <w:rsid w:val="3FCF0015"/>
    <w:rsid w:val="4050500F"/>
    <w:rsid w:val="40517EBE"/>
    <w:rsid w:val="405C7E57"/>
    <w:rsid w:val="408353E4"/>
    <w:rsid w:val="409273D5"/>
    <w:rsid w:val="40AC5344"/>
    <w:rsid w:val="40D27557"/>
    <w:rsid w:val="40D6427E"/>
    <w:rsid w:val="40EF3CF6"/>
    <w:rsid w:val="40FA31CC"/>
    <w:rsid w:val="41093759"/>
    <w:rsid w:val="41214BFD"/>
    <w:rsid w:val="41263FC1"/>
    <w:rsid w:val="412D35A2"/>
    <w:rsid w:val="412F10C8"/>
    <w:rsid w:val="41380196"/>
    <w:rsid w:val="41415EFF"/>
    <w:rsid w:val="41434B73"/>
    <w:rsid w:val="414F52C6"/>
    <w:rsid w:val="418F600A"/>
    <w:rsid w:val="41A20564"/>
    <w:rsid w:val="41D026B4"/>
    <w:rsid w:val="41EE4ADF"/>
    <w:rsid w:val="420A5691"/>
    <w:rsid w:val="42114C71"/>
    <w:rsid w:val="42204EB5"/>
    <w:rsid w:val="42213106"/>
    <w:rsid w:val="422E5823"/>
    <w:rsid w:val="423A7D24"/>
    <w:rsid w:val="425608D6"/>
    <w:rsid w:val="425D589D"/>
    <w:rsid w:val="425F59DD"/>
    <w:rsid w:val="425F778B"/>
    <w:rsid w:val="42770F78"/>
    <w:rsid w:val="42935686"/>
    <w:rsid w:val="42982C9D"/>
    <w:rsid w:val="42B21FB1"/>
    <w:rsid w:val="42B6777F"/>
    <w:rsid w:val="42CB6A8E"/>
    <w:rsid w:val="42E3216A"/>
    <w:rsid w:val="43195B8C"/>
    <w:rsid w:val="43574906"/>
    <w:rsid w:val="43640466"/>
    <w:rsid w:val="4383394D"/>
    <w:rsid w:val="439D67BD"/>
    <w:rsid w:val="43D1290A"/>
    <w:rsid w:val="43D51DCA"/>
    <w:rsid w:val="43EA7528"/>
    <w:rsid w:val="4439400C"/>
    <w:rsid w:val="446E1F07"/>
    <w:rsid w:val="44C47D79"/>
    <w:rsid w:val="44CB55AC"/>
    <w:rsid w:val="44D0671E"/>
    <w:rsid w:val="44D81A76"/>
    <w:rsid w:val="44E95A32"/>
    <w:rsid w:val="44F22B38"/>
    <w:rsid w:val="44F45243"/>
    <w:rsid w:val="45050ABD"/>
    <w:rsid w:val="45100658"/>
    <w:rsid w:val="451707F1"/>
    <w:rsid w:val="452567EA"/>
    <w:rsid w:val="454D4212"/>
    <w:rsid w:val="456B16B7"/>
    <w:rsid w:val="45921C25"/>
    <w:rsid w:val="459260C9"/>
    <w:rsid w:val="45E05087"/>
    <w:rsid w:val="45E16709"/>
    <w:rsid w:val="46207231"/>
    <w:rsid w:val="465313B5"/>
    <w:rsid w:val="4654337F"/>
    <w:rsid w:val="465515D1"/>
    <w:rsid w:val="46603AD2"/>
    <w:rsid w:val="46886BA6"/>
    <w:rsid w:val="471A1ED2"/>
    <w:rsid w:val="473D3E13"/>
    <w:rsid w:val="4743767B"/>
    <w:rsid w:val="474451A1"/>
    <w:rsid w:val="475D052A"/>
    <w:rsid w:val="47777325"/>
    <w:rsid w:val="477E5B11"/>
    <w:rsid w:val="478657BA"/>
    <w:rsid w:val="47C655AE"/>
    <w:rsid w:val="47CA7D9C"/>
    <w:rsid w:val="47CB141F"/>
    <w:rsid w:val="47E55DDB"/>
    <w:rsid w:val="47F46BC7"/>
    <w:rsid w:val="481132D5"/>
    <w:rsid w:val="48524AAD"/>
    <w:rsid w:val="48627FD5"/>
    <w:rsid w:val="48861F15"/>
    <w:rsid w:val="48D72771"/>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7A4CDC"/>
    <w:rsid w:val="4B8225F6"/>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F22EBA"/>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960564"/>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1C23892"/>
    <w:rsid w:val="51EB2DE9"/>
    <w:rsid w:val="520420FD"/>
    <w:rsid w:val="52390069"/>
    <w:rsid w:val="523A78CD"/>
    <w:rsid w:val="5246001F"/>
    <w:rsid w:val="524F431A"/>
    <w:rsid w:val="52500E9E"/>
    <w:rsid w:val="52861534"/>
    <w:rsid w:val="528D1696"/>
    <w:rsid w:val="52A04D83"/>
    <w:rsid w:val="52AD183E"/>
    <w:rsid w:val="52C06024"/>
    <w:rsid w:val="52CB2821"/>
    <w:rsid w:val="52CC5908"/>
    <w:rsid w:val="530879CB"/>
    <w:rsid w:val="53195734"/>
    <w:rsid w:val="53330CBE"/>
    <w:rsid w:val="537312E8"/>
    <w:rsid w:val="5391176E"/>
    <w:rsid w:val="539D45B7"/>
    <w:rsid w:val="53A86F0D"/>
    <w:rsid w:val="53B65415"/>
    <w:rsid w:val="53C438F2"/>
    <w:rsid w:val="53D77AC9"/>
    <w:rsid w:val="53FD0BB2"/>
    <w:rsid w:val="53FF0DCE"/>
    <w:rsid w:val="540957A8"/>
    <w:rsid w:val="540A3D6B"/>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766E6E"/>
    <w:rsid w:val="558F3DC0"/>
    <w:rsid w:val="55913CA7"/>
    <w:rsid w:val="55997DAA"/>
    <w:rsid w:val="55B94FAC"/>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D519F"/>
    <w:rsid w:val="589A7317"/>
    <w:rsid w:val="58BD4DB3"/>
    <w:rsid w:val="59444C41"/>
    <w:rsid w:val="597A4A53"/>
    <w:rsid w:val="59B52E52"/>
    <w:rsid w:val="59B90367"/>
    <w:rsid w:val="59CC347C"/>
    <w:rsid w:val="59DA41E0"/>
    <w:rsid w:val="59F900F6"/>
    <w:rsid w:val="5A0C1C4B"/>
    <w:rsid w:val="5A221ED3"/>
    <w:rsid w:val="5A2375CC"/>
    <w:rsid w:val="5A2424B3"/>
    <w:rsid w:val="5A2F4B9E"/>
    <w:rsid w:val="5A3906A0"/>
    <w:rsid w:val="5A7B6CD4"/>
    <w:rsid w:val="5A9919E3"/>
    <w:rsid w:val="5AAE70AA"/>
    <w:rsid w:val="5ABF12B7"/>
    <w:rsid w:val="5B2A7B0A"/>
    <w:rsid w:val="5B2F58ED"/>
    <w:rsid w:val="5B411CCC"/>
    <w:rsid w:val="5B417B6B"/>
    <w:rsid w:val="5B54373E"/>
    <w:rsid w:val="5B5437AD"/>
    <w:rsid w:val="5B8027F4"/>
    <w:rsid w:val="5B81656C"/>
    <w:rsid w:val="5BA1276A"/>
    <w:rsid w:val="5BAD7D2F"/>
    <w:rsid w:val="5BC11E23"/>
    <w:rsid w:val="5BC745F2"/>
    <w:rsid w:val="5BCD3B32"/>
    <w:rsid w:val="5BD963A8"/>
    <w:rsid w:val="5C115B42"/>
    <w:rsid w:val="5C1B42CB"/>
    <w:rsid w:val="5C1B7B96"/>
    <w:rsid w:val="5C3F7E9C"/>
    <w:rsid w:val="5C5F065B"/>
    <w:rsid w:val="5C6F4617"/>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655CD1"/>
    <w:rsid w:val="5EB855B3"/>
    <w:rsid w:val="5ED510A9"/>
    <w:rsid w:val="5EE21916"/>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363DC9"/>
    <w:rsid w:val="605F38FD"/>
    <w:rsid w:val="606C7B8D"/>
    <w:rsid w:val="606F72DB"/>
    <w:rsid w:val="607B04BD"/>
    <w:rsid w:val="608368E3"/>
    <w:rsid w:val="60AC7F80"/>
    <w:rsid w:val="60C56EFB"/>
    <w:rsid w:val="60CC2038"/>
    <w:rsid w:val="60D22077"/>
    <w:rsid w:val="60E5134B"/>
    <w:rsid w:val="60F035F8"/>
    <w:rsid w:val="613E10B3"/>
    <w:rsid w:val="61483DB4"/>
    <w:rsid w:val="61905EB4"/>
    <w:rsid w:val="61D07906"/>
    <w:rsid w:val="61D373F6"/>
    <w:rsid w:val="61F03F10"/>
    <w:rsid w:val="61FD4500"/>
    <w:rsid w:val="62051CA5"/>
    <w:rsid w:val="622A5268"/>
    <w:rsid w:val="622F04A1"/>
    <w:rsid w:val="623C143F"/>
    <w:rsid w:val="623E1776"/>
    <w:rsid w:val="62456183"/>
    <w:rsid w:val="62707B3A"/>
    <w:rsid w:val="62744735"/>
    <w:rsid w:val="62A768B8"/>
    <w:rsid w:val="62B334AF"/>
    <w:rsid w:val="62DF24F6"/>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F63B27"/>
    <w:rsid w:val="65055B18"/>
    <w:rsid w:val="651641C9"/>
    <w:rsid w:val="655C6080"/>
    <w:rsid w:val="65605444"/>
    <w:rsid w:val="656B3097"/>
    <w:rsid w:val="65742119"/>
    <w:rsid w:val="657F2DFA"/>
    <w:rsid w:val="6592686F"/>
    <w:rsid w:val="65A44D2D"/>
    <w:rsid w:val="65B0017A"/>
    <w:rsid w:val="65B0271E"/>
    <w:rsid w:val="65C43C25"/>
    <w:rsid w:val="65E73470"/>
    <w:rsid w:val="65EF1521"/>
    <w:rsid w:val="665C4848"/>
    <w:rsid w:val="66763171"/>
    <w:rsid w:val="668A0D6B"/>
    <w:rsid w:val="66AB4942"/>
    <w:rsid w:val="66B94F27"/>
    <w:rsid w:val="66C37A39"/>
    <w:rsid w:val="66DC0AFB"/>
    <w:rsid w:val="66F67E0E"/>
    <w:rsid w:val="67114C48"/>
    <w:rsid w:val="67303449"/>
    <w:rsid w:val="679E1DF4"/>
    <w:rsid w:val="67E73776"/>
    <w:rsid w:val="67F85E08"/>
    <w:rsid w:val="68411B87"/>
    <w:rsid w:val="687951D6"/>
    <w:rsid w:val="688431F8"/>
    <w:rsid w:val="68AB69AF"/>
    <w:rsid w:val="68BC6E36"/>
    <w:rsid w:val="68D653C8"/>
    <w:rsid w:val="68D85250"/>
    <w:rsid w:val="68F6059A"/>
    <w:rsid w:val="69470DF5"/>
    <w:rsid w:val="695D23C7"/>
    <w:rsid w:val="696077C1"/>
    <w:rsid w:val="698D4180"/>
    <w:rsid w:val="69AF055A"/>
    <w:rsid w:val="69B51B3F"/>
    <w:rsid w:val="69BF098B"/>
    <w:rsid w:val="69C441F4"/>
    <w:rsid w:val="69CE6625"/>
    <w:rsid w:val="69F50851"/>
    <w:rsid w:val="69FF522C"/>
    <w:rsid w:val="6A0960AB"/>
    <w:rsid w:val="6A413A96"/>
    <w:rsid w:val="6A8120E5"/>
    <w:rsid w:val="6A8219B9"/>
    <w:rsid w:val="6A885ED1"/>
    <w:rsid w:val="6AAD6A36"/>
    <w:rsid w:val="6B182A49"/>
    <w:rsid w:val="6B511AB7"/>
    <w:rsid w:val="6B762D04"/>
    <w:rsid w:val="6BB43DF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A71E62"/>
    <w:rsid w:val="6DB602F7"/>
    <w:rsid w:val="6DDE15FC"/>
    <w:rsid w:val="6DE0518A"/>
    <w:rsid w:val="6DE7336D"/>
    <w:rsid w:val="6E22598D"/>
    <w:rsid w:val="6E2434B3"/>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D50A94"/>
    <w:rsid w:val="71534FCD"/>
    <w:rsid w:val="71864485"/>
    <w:rsid w:val="718F6E95"/>
    <w:rsid w:val="71973F9C"/>
    <w:rsid w:val="71A32941"/>
    <w:rsid w:val="71FD0B25"/>
    <w:rsid w:val="720B620B"/>
    <w:rsid w:val="721147C0"/>
    <w:rsid w:val="721A6835"/>
    <w:rsid w:val="723B3A92"/>
    <w:rsid w:val="724E4FA2"/>
    <w:rsid w:val="72823C75"/>
    <w:rsid w:val="728F1117"/>
    <w:rsid w:val="729F75AC"/>
    <w:rsid w:val="72A430EE"/>
    <w:rsid w:val="72A5093A"/>
    <w:rsid w:val="72BE68BD"/>
    <w:rsid w:val="72C708B1"/>
    <w:rsid w:val="72CD6775"/>
    <w:rsid w:val="72DA72BE"/>
    <w:rsid w:val="72EE22E1"/>
    <w:rsid w:val="73075151"/>
    <w:rsid w:val="731F249B"/>
    <w:rsid w:val="736B3932"/>
    <w:rsid w:val="73702AE1"/>
    <w:rsid w:val="738B702F"/>
    <w:rsid w:val="739A5FC5"/>
    <w:rsid w:val="73AA445A"/>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1E6757"/>
    <w:rsid w:val="752B3379"/>
    <w:rsid w:val="75376381"/>
    <w:rsid w:val="755328D0"/>
    <w:rsid w:val="759321B8"/>
    <w:rsid w:val="75954C96"/>
    <w:rsid w:val="759E1D9D"/>
    <w:rsid w:val="75CD2682"/>
    <w:rsid w:val="75DA08FB"/>
    <w:rsid w:val="75DC35E9"/>
    <w:rsid w:val="75FA2D4B"/>
    <w:rsid w:val="76171B4F"/>
    <w:rsid w:val="7629538E"/>
    <w:rsid w:val="762F6E99"/>
    <w:rsid w:val="767F69B6"/>
    <w:rsid w:val="768F5B89"/>
    <w:rsid w:val="76902210"/>
    <w:rsid w:val="769E5BA6"/>
    <w:rsid w:val="77184DE6"/>
    <w:rsid w:val="773D55E5"/>
    <w:rsid w:val="77AE2E62"/>
    <w:rsid w:val="77BE6726"/>
    <w:rsid w:val="77E517D3"/>
    <w:rsid w:val="77ED2E5B"/>
    <w:rsid w:val="77FA11D3"/>
    <w:rsid w:val="77FD1797"/>
    <w:rsid w:val="78120820"/>
    <w:rsid w:val="782C4FAF"/>
    <w:rsid w:val="7879089F"/>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86B03"/>
    <w:rsid w:val="79DD67E6"/>
    <w:rsid w:val="79DE4F03"/>
    <w:rsid w:val="79FA072F"/>
    <w:rsid w:val="7A340F22"/>
    <w:rsid w:val="7A3C1B84"/>
    <w:rsid w:val="7A4078C7"/>
    <w:rsid w:val="7A545120"/>
    <w:rsid w:val="7A684727"/>
    <w:rsid w:val="7A7C6425"/>
    <w:rsid w:val="7A835A05"/>
    <w:rsid w:val="7AAF2356"/>
    <w:rsid w:val="7AB23BF5"/>
    <w:rsid w:val="7ACD0A2E"/>
    <w:rsid w:val="7AD26045"/>
    <w:rsid w:val="7AE81103"/>
    <w:rsid w:val="7AEC7106"/>
    <w:rsid w:val="7B095F0A"/>
    <w:rsid w:val="7B25086A"/>
    <w:rsid w:val="7B767318"/>
    <w:rsid w:val="7B892BA7"/>
    <w:rsid w:val="7B8B4516"/>
    <w:rsid w:val="7BA72548"/>
    <w:rsid w:val="7BCB1412"/>
    <w:rsid w:val="7BCF79D9"/>
    <w:rsid w:val="7BDA1655"/>
    <w:rsid w:val="7BDE7397"/>
    <w:rsid w:val="7BFF6846"/>
    <w:rsid w:val="7C0304D8"/>
    <w:rsid w:val="7C10151B"/>
    <w:rsid w:val="7C1A4C7A"/>
    <w:rsid w:val="7C2974E5"/>
    <w:rsid w:val="7C3A0345"/>
    <w:rsid w:val="7C3C40BE"/>
    <w:rsid w:val="7C444892"/>
    <w:rsid w:val="7C55371E"/>
    <w:rsid w:val="7CAE7448"/>
    <w:rsid w:val="7CB62772"/>
    <w:rsid w:val="7CCD4D16"/>
    <w:rsid w:val="7D6F401F"/>
    <w:rsid w:val="7D9D293A"/>
    <w:rsid w:val="7DBB1012"/>
    <w:rsid w:val="7DDF2F52"/>
    <w:rsid w:val="7DF36BF7"/>
    <w:rsid w:val="7DF764EE"/>
    <w:rsid w:val="7E2579C2"/>
    <w:rsid w:val="7E2D0162"/>
    <w:rsid w:val="7E33504C"/>
    <w:rsid w:val="7E5410D9"/>
    <w:rsid w:val="7E543E84"/>
    <w:rsid w:val="7E7F0292"/>
    <w:rsid w:val="7E8A310F"/>
    <w:rsid w:val="7EAC5767"/>
    <w:rsid w:val="7EBC3294"/>
    <w:rsid w:val="7EC90255"/>
    <w:rsid w:val="7EED5B43"/>
    <w:rsid w:val="7EF40C80"/>
    <w:rsid w:val="7F01339C"/>
    <w:rsid w:val="7F101066"/>
    <w:rsid w:val="7F402117"/>
    <w:rsid w:val="7F565496"/>
    <w:rsid w:val="7F620EF8"/>
    <w:rsid w:val="7F822E3C"/>
    <w:rsid w:val="7FE9455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index 8"/>
    <w:basedOn w:val="1"/>
    <w:next w:val="1"/>
    <w:qFormat/>
    <w:uiPriority w:val="0"/>
    <w:pPr>
      <w:ind w:left="1400" w:leftChars="1400"/>
    </w:pPr>
  </w:style>
  <w:style w:type="paragraph" w:styleId="8">
    <w:name w:val="caption"/>
    <w:basedOn w:val="1"/>
    <w:next w:val="1"/>
    <w:qFormat/>
    <w:uiPriority w:val="0"/>
    <w:rPr>
      <w:rFonts w:ascii="Cambria" w:hAnsi="Cambria" w:eastAsia="黑体"/>
      <w:sz w:val="20"/>
    </w:rPr>
  </w:style>
  <w:style w:type="paragraph" w:styleId="9">
    <w:name w:val="Document Map"/>
    <w:basedOn w:val="1"/>
    <w:link w:val="53"/>
    <w:qFormat/>
    <w:uiPriority w:val="0"/>
    <w:rPr>
      <w:rFonts w:ascii="宋体"/>
      <w:sz w:val="18"/>
      <w:szCs w:val="18"/>
    </w:rPr>
  </w:style>
  <w:style w:type="paragraph" w:styleId="10">
    <w:name w:val="annotation text"/>
    <w:basedOn w:val="1"/>
    <w:link w:val="52"/>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50"/>
    <w:qFormat/>
    <w:uiPriority w:val="99"/>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8"/>
    <w:qFormat/>
    <w:uiPriority w:val="99"/>
    <w:rPr>
      <w:rFonts w:ascii="宋体" w:hAnsi="Courier New"/>
      <w:szCs w:val="20"/>
    </w:rPr>
  </w:style>
  <w:style w:type="paragraph" w:styleId="18">
    <w:name w:val="Date"/>
    <w:basedOn w:val="1"/>
    <w:next w:val="1"/>
    <w:link w:val="54"/>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5"/>
    <w:qFormat/>
    <w:uiPriority w:val="99"/>
    <w:pPr>
      <w:tabs>
        <w:tab w:val="center" w:pos="4153"/>
        <w:tab w:val="right" w:pos="8306"/>
      </w:tabs>
      <w:snapToGrid w:val="0"/>
      <w:jc w:val="left"/>
    </w:pPr>
    <w:rPr>
      <w:sz w:val="18"/>
      <w:szCs w:val="18"/>
    </w:rPr>
  </w:style>
  <w:style w:type="paragraph" w:styleId="22">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72"/>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9"/>
    <w:qFormat/>
    <w:uiPriority w:val="0"/>
    <w:pPr>
      <w:ind w:firstLine="420" w:firstLineChars="100"/>
    </w:pPr>
  </w:style>
  <w:style w:type="paragraph" w:styleId="29">
    <w:name w:val="Body Text First Indent 2"/>
    <w:basedOn w:val="14"/>
    <w:next w:val="1"/>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character" w:customStyle="1" w:styleId="38">
    <w:name w:val="标题 3 字符"/>
    <w:link w:val="6"/>
    <w:semiHidden/>
    <w:qFormat/>
    <w:uiPriority w:val="0"/>
    <w:rPr>
      <w:b/>
      <w:bCs/>
      <w:kern w:val="2"/>
      <w:sz w:val="32"/>
      <w:szCs w:val="32"/>
    </w:rPr>
  </w:style>
  <w:style w:type="paragraph" w:customStyle="1" w:styleId="39">
    <w:name w:val="我的正文"/>
    <w:basedOn w:val="14"/>
    <w:qFormat/>
    <w:uiPriority w:val="0"/>
    <w:pPr>
      <w:spacing w:line="500" w:lineRule="exact"/>
      <w:ind w:firstLine="480" w:firstLineChars="200"/>
    </w:pPr>
    <w:rPr>
      <w:sz w:val="24"/>
    </w:rPr>
  </w:style>
  <w:style w:type="paragraph" w:customStyle="1" w:styleId="40">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1">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Body Text 21"/>
    <w:basedOn w:val="1"/>
    <w:next w:val="12"/>
    <w:qFormat/>
    <w:uiPriority w:val="0"/>
    <w:rPr>
      <w:rFonts w:ascii="ˎ̥" w:hAnsi="ˎ̥" w:cs="宋体"/>
      <w:b/>
      <w:sz w:val="32"/>
    </w:r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8"/>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8"/>
    <w:qFormat/>
    <w:uiPriority w:val="0"/>
    <w:rPr>
      <w:kern w:val="2"/>
      <w:sz w:val="21"/>
      <w:szCs w:val="24"/>
    </w:rPr>
  </w:style>
  <w:style w:type="character" w:customStyle="1" w:styleId="50">
    <w:name w:val="正文文本 字符"/>
    <w:link w:val="12"/>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10"/>
    <w:qFormat/>
    <w:uiPriority w:val="0"/>
    <w:rPr>
      <w:kern w:val="2"/>
      <w:sz w:val="21"/>
      <w:szCs w:val="24"/>
    </w:rPr>
  </w:style>
  <w:style w:type="character" w:customStyle="1" w:styleId="53">
    <w:name w:val="文档结构图 字符"/>
    <w:link w:val="9"/>
    <w:qFormat/>
    <w:uiPriority w:val="0"/>
    <w:rPr>
      <w:rFonts w:ascii="宋体"/>
      <w:kern w:val="2"/>
      <w:sz w:val="18"/>
      <w:szCs w:val="18"/>
    </w:rPr>
  </w:style>
  <w:style w:type="character" w:customStyle="1" w:styleId="54">
    <w:name w:val="日期 字符"/>
    <w:link w:val="18"/>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2"/>
    <w:qFormat/>
    <w:uiPriority w:val="0"/>
    <w:rPr>
      <w:rFonts w:hint="eastAsia" w:ascii="宋体" w:hAnsi="宋体" w:eastAsia="宋体" w:cs="宋体"/>
      <w:color w:val="000000"/>
      <w:sz w:val="18"/>
      <w:szCs w:val="18"/>
      <w:u w:val="none"/>
    </w:rPr>
  </w:style>
  <w:style w:type="character" w:customStyle="1" w:styleId="58">
    <w:name w:val="纯文本 字符"/>
    <w:link w:val="17"/>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2"/>
    <w:qFormat/>
    <w:uiPriority w:val="0"/>
  </w:style>
  <w:style w:type="character" w:customStyle="1" w:styleId="72">
    <w:name w:val="正文文本 2 字符"/>
    <w:link w:val="25"/>
    <w:qFormat/>
    <w:uiPriority w:val="0"/>
    <w:rPr>
      <w:kern w:val="2"/>
      <w:sz w:val="21"/>
      <w:szCs w:val="24"/>
    </w:rPr>
  </w:style>
  <w:style w:type="character" w:customStyle="1" w:styleId="73">
    <w:name w:val="NormalCharacter"/>
    <w:qFormat/>
    <w:uiPriority w:val="0"/>
  </w:style>
  <w:style w:type="character" w:customStyle="1" w:styleId="74">
    <w:name w:val="页眉 字符"/>
    <w:link w:val="22"/>
    <w:qFormat/>
    <w:uiPriority w:val="99"/>
    <w:rPr>
      <w:kern w:val="2"/>
      <w:sz w:val="18"/>
      <w:szCs w:val="18"/>
    </w:rPr>
  </w:style>
  <w:style w:type="character" w:customStyle="1" w:styleId="75">
    <w:name w:val="页脚 字符"/>
    <w:link w:val="21"/>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2"/>
    <w:qFormat/>
    <w:uiPriority w:val="0"/>
    <w:rPr>
      <w:sz w:val="21"/>
      <w:szCs w:val="21"/>
    </w:rPr>
  </w:style>
  <w:style w:type="character" w:customStyle="1" w:styleId="81">
    <w:name w:val="first-child"/>
    <w:basedOn w:val="32"/>
    <w:qFormat/>
    <w:uiPriority w:val="0"/>
    <w:rPr>
      <w:color w:val="1F3149"/>
      <w:sz w:val="24"/>
      <w:szCs w:val="24"/>
    </w:rPr>
  </w:style>
  <w:style w:type="character" w:customStyle="1" w:styleId="82">
    <w:name w:val="first-child1"/>
    <w:basedOn w:val="32"/>
    <w:qFormat/>
    <w:uiPriority w:val="0"/>
    <w:rPr>
      <w:color w:val="1F3149"/>
      <w:sz w:val="24"/>
      <w:szCs w:val="24"/>
    </w:rPr>
  </w:style>
  <w:style w:type="character" w:customStyle="1" w:styleId="83">
    <w:name w:val="xiadan"/>
    <w:basedOn w:val="32"/>
    <w:qFormat/>
    <w:uiPriority w:val="0"/>
    <w:rPr>
      <w:shd w:val="clear" w:color="auto" w:fill="E4393C"/>
    </w:rPr>
  </w:style>
  <w:style w:type="character" w:customStyle="1" w:styleId="84">
    <w:name w:val="fr"/>
    <w:basedOn w:val="32"/>
    <w:qFormat/>
    <w:uiPriority w:val="0"/>
  </w:style>
  <w:style w:type="character" w:customStyle="1" w:styleId="85">
    <w:name w:val="icon_ds"/>
    <w:basedOn w:val="32"/>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30"/>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2"/>
    <w:qFormat/>
    <w:uiPriority w:val="0"/>
    <w:rPr>
      <w:rFonts w:hint="eastAsia" w:ascii="宋体" w:hAnsi="宋体" w:eastAsia="宋体" w:cs="宋体"/>
      <w:b/>
      <w:bCs/>
      <w:color w:val="000000"/>
      <w:sz w:val="24"/>
      <w:szCs w:val="24"/>
      <w:u w:val="none"/>
    </w:rPr>
  </w:style>
  <w:style w:type="character" w:customStyle="1" w:styleId="92">
    <w:name w:val="font51"/>
    <w:basedOn w:val="32"/>
    <w:qFormat/>
    <w:uiPriority w:val="0"/>
    <w:rPr>
      <w:rFonts w:ascii="Arial" w:hAnsi="Arial" w:cs="Arial"/>
      <w:color w:val="000000"/>
      <w:sz w:val="24"/>
      <w:szCs w:val="24"/>
      <w:u w:val="none"/>
    </w:rPr>
  </w:style>
  <w:style w:type="paragraph" w:customStyle="1" w:styleId="93">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15424</Words>
  <Characters>16258</Characters>
  <Lines>146</Lines>
  <Paragraphs>41</Paragraphs>
  <TotalTime>12</TotalTime>
  <ScaleCrop>false</ScaleCrop>
  <LinksUpToDate>false</LinksUpToDate>
  <CharactersWithSpaces>16824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2024-03-20T01:10:00Z</cp:lastPrinted>
  <dcterms:modified xsi:type="dcterms:W3CDTF">2026-03-19T07:17:57Z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