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郸城县应急管理局建设涉危暨小化工企业安全生产信息化预警监测平台项目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郸财磋商采购-2026-10</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48123E45">
      <w:pPr>
        <w:spacing w:after="120"/>
        <w:ind w:firstLine="643"/>
        <w:jc w:val="center"/>
        <w:rPr>
          <w:rFonts w:hint="default" w:ascii="宋体" w:hAnsi="宋体" w:eastAsia="宋体" w:cs="Times New Roman"/>
          <w:b/>
          <w:sz w:val="32"/>
          <w:szCs w:val="16"/>
          <w:lang w:val="en-US" w:eastAsia="zh-CN"/>
        </w:rPr>
      </w:pPr>
      <w:r>
        <w:rPr>
          <w:rFonts w:ascii="宋体" w:hAnsi="宋体" w:eastAsia="宋体" w:cs="Times New Roman"/>
          <w:b/>
          <w:sz w:val="32"/>
          <w:szCs w:val="16"/>
        </w:rPr>
        <w:t>202</w:t>
      </w:r>
      <w:r>
        <w:rPr>
          <w:rFonts w:hint="eastAsia" w:ascii="宋体" w:hAnsi="宋体" w:eastAsia="宋体" w:cs="Times New Roman"/>
          <w:b/>
          <w:sz w:val="32"/>
          <w:szCs w:val="16"/>
        </w:rPr>
        <w:t>6年2月</w:t>
      </w:r>
      <w:r>
        <w:rPr>
          <w:rFonts w:hint="eastAsia" w:ascii="宋体" w:hAnsi="宋体" w:eastAsia="宋体" w:cs="Times New Roman"/>
          <w:b/>
          <w:sz w:val="32"/>
          <w:szCs w:val="16"/>
          <w:lang w:val="en-US" w:eastAsia="zh-CN"/>
        </w:rPr>
        <w:t>26日</w:t>
      </w: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54DDFC87">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632D9FE8">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685C7174">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采购项目内容及要求------------------24</w:t>
      </w:r>
    </w:p>
    <w:p w14:paraId="3D7957BE">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响应性文件内容及格式----------------32</w:t>
      </w:r>
    </w:p>
    <w:p w14:paraId="7327DD60">
      <w:pPr>
        <w:ind w:firstLine="562" w:firstLineChars="200"/>
        <w:rPr>
          <w:rFonts w:hint="eastAsia"/>
        </w:rPr>
      </w:pPr>
      <w:r>
        <w:rPr>
          <w:rFonts w:hint="eastAsia" w:ascii="宋体" w:hAnsi="宋体" w:eastAsia="宋体" w:cs="宋体"/>
          <w:b/>
          <w:sz w:val="28"/>
          <w:szCs w:val="32"/>
        </w:rPr>
        <w:t>第五章  合同主要条款 合同签订指引、供应商履约验收指引--46</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郸城县应急管理局建设涉危暨小化工企业安全生产信息化预警监测平台项目的潜在投标人应在周口市公共资源交易中心网（http://jyzx.zhoukou.gov.cn）获取招标文件，并于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w:t>
      </w:r>
      <w:r>
        <w:rPr>
          <w:rFonts w:hint="eastAsia" w:ascii="宋体" w:hAnsi="宋体" w:eastAsia="宋体" w:cs="宋体"/>
          <w:sz w:val="24"/>
          <w:szCs w:val="24"/>
          <w:lang w:val="en-US" w:eastAsia="zh-CN"/>
        </w:rPr>
        <w:t>9</w:t>
      </w: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bookmarkStart w:id="43" w:name="_GoBack"/>
      <w:bookmarkEnd w:id="43"/>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89"/>
      <w:bookmarkStart w:id="1" w:name="_Toc35393798"/>
      <w:bookmarkStart w:id="2" w:name="_Toc35393629"/>
      <w:bookmarkStart w:id="3" w:name="_Toc28359012"/>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项目编号：郸财磋商采购-2026-10</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项目名称：郸城县应急管理局建设涉危暨小化工企业安全生产信息化预警监测平台项目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预算金额：1650000.00元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最高限价：1650000.00元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7"/>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郸城县应急管理局建设涉危暨小化工企业安全生产信息化预警监测平台项目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1650000.00</w:t>
            </w:r>
          </w:p>
        </w:tc>
      </w:tr>
    </w:tbl>
    <w:p w14:paraId="650F0FF1">
      <w:pPr>
        <w:autoSpaceDE w:val="0"/>
        <w:autoSpaceDN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采购需求：详见采购文件</w:t>
      </w:r>
      <w:r>
        <w:rPr>
          <w:rFonts w:hint="eastAsia" w:ascii="宋体" w:hAnsi="宋体" w:eastAsia="宋体" w:cs="宋体"/>
          <w:sz w:val="24"/>
          <w:szCs w:val="24"/>
          <w:lang w:eastAsia="zh-CN"/>
        </w:rPr>
        <w:t>，</w:t>
      </w:r>
      <w:r>
        <w:rPr>
          <w:rFonts w:hint="eastAsia" w:ascii="宋体" w:hAnsi="宋体" w:eastAsia="宋体" w:cs="宋体"/>
          <w:i w:val="0"/>
          <w:iCs w:val="0"/>
          <w:caps w:val="0"/>
          <w:color w:val="333333"/>
          <w:spacing w:val="0"/>
          <w:sz w:val="24"/>
          <w:szCs w:val="24"/>
          <w:shd w:val="clear" w:color="auto" w:fill="FFFFFF"/>
          <w:lang w:val="en-US" w:eastAsia="zh-CN"/>
        </w:rPr>
        <w:t>“供应商对其提供的产品请出具《关于符合本国产品标准的声明函》或财政部会同有关部门规定的有关证明文件”。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服务期限：1年</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合同履行期限：1年</w:t>
      </w:r>
    </w:p>
    <w:p w14:paraId="63CB521C">
      <w:pPr>
        <w:spacing w:line="360" w:lineRule="auto"/>
        <w:ind w:firstLine="480" w:firstLineChars="200"/>
        <w:jc w:val="left"/>
        <w:rPr>
          <w:rFonts w:hint="eastAsia" w:ascii="宋体" w:hAnsi="宋体" w:eastAsia="宋体" w:cs="宋体"/>
          <w:sz w:val="24"/>
          <w:szCs w:val="24"/>
        </w:rPr>
      </w:pPr>
      <w:bookmarkStart w:id="4" w:name="_Toc35393799"/>
      <w:bookmarkStart w:id="5" w:name="_Toc28359013"/>
      <w:bookmarkStart w:id="6" w:name="_Toc28359090"/>
      <w:bookmarkStart w:id="7" w:name="_Toc35393630"/>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本项目是否为只面向中小企业采购：否</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26</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35393801"/>
      <w:bookmarkStart w:id="13" w:name="_Toc28359015"/>
      <w:bookmarkStart w:id="14" w:name="_Toc35393632"/>
      <w:bookmarkStart w:id="15" w:name="_Toc2835909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3</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9</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28359016"/>
      <w:bookmarkStart w:id="17" w:name="_Toc35393802"/>
      <w:bookmarkStart w:id="18" w:name="_Toc28359093"/>
      <w:bookmarkStart w:id="19" w:name="_Toc35393633"/>
      <w:r>
        <w:rPr>
          <w:rFonts w:hint="eastAsia" w:ascii="宋体" w:hAnsi="宋体" w:eastAsia="宋体" w:cs="宋体"/>
          <w:kern w:val="0"/>
          <w:sz w:val="24"/>
          <w:szCs w:val="24"/>
        </w:rPr>
        <w:t>五、开启</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3</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9</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28359017"/>
      <w:bookmarkStart w:id="21" w:name="_Toc28359094"/>
      <w:bookmarkStart w:id="22" w:name="_Toc35393634"/>
      <w:bookmarkStart w:id="23" w:name="_Toc35393803"/>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635"/>
      <w:bookmarkStart w:id="25" w:name="_Toc35393804"/>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35393636"/>
      <w:bookmarkStart w:id="27" w:name="_Toc35393805"/>
      <w:bookmarkStart w:id="28" w:name="_Toc28359018"/>
      <w:bookmarkStart w:id="29" w:name="_Toc28359095"/>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称：郸城县应急管理局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22E82C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 xml:space="preserve">李萍    </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联系方式：15890521126</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7E6C14D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王硕</w:t>
      </w:r>
      <w:r>
        <w:rPr>
          <w:rFonts w:hint="eastAsia" w:ascii="宋体" w:hAnsi="宋体" w:eastAsia="宋体" w:cs="宋体"/>
          <w:sz w:val="24"/>
          <w:szCs w:val="24"/>
        </w:rPr>
        <w:t xml:space="preserve">              </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联系方式：</w:t>
      </w:r>
      <w:bookmarkStart w:id="32" w:name="_Toc28359087"/>
      <w:bookmarkStart w:id="33" w:name="_Toc28359010"/>
      <w:r>
        <w:rPr>
          <w:rFonts w:hint="eastAsia" w:ascii="宋体" w:hAnsi="宋体" w:eastAsia="宋体" w:cs="宋体"/>
          <w:sz w:val="24"/>
          <w:szCs w:val="24"/>
          <w:lang w:val="en-US" w:eastAsia="zh-CN"/>
        </w:rPr>
        <w:t>0394-8106517、13525741688</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480" w:firstLineChars="2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34932153">
      <w:pPr>
        <w:adjustRightInd w:val="0"/>
        <w:snapToGrid w:val="0"/>
        <w:spacing w:after="120" w:line="360" w:lineRule="auto"/>
        <w:ind w:firstLine="2040" w:firstLineChars="850"/>
        <w:jc w:val="right"/>
        <w:rPr>
          <w:rFonts w:hint="eastAsia" w:ascii="宋体" w:hAnsi="宋体" w:eastAsia="宋体" w:cs="宋体"/>
          <w:sz w:val="24"/>
          <w:szCs w:val="24"/>
        </w:rPr>
      </w:pPr>
    </w:p>
    <w:p w14:paraId="51A3B944">
      <w:pPr>
        <w:adjustRightInd w:val="0"/>
        <w:snapToGrid w:val="0"/>
        <w:spacing w:after="120" w:line="360" w:lineRule="auto"/>
        <w:ind w:firstLine="2040" w:firstLineChars="850"/>
        <w:jc w:val="right"/>
        <w:rPr>
          <w:rFonts w:hint="eastAsia" w:ascii="宋体" w:hAnsi="宋体" w:eastAsia="宋体" w:cs="宋体"/>
          <w:sz w:val="24"/>
          <w:szCs w:val="24"/>
        </w:rPr>
      </w:pPr>
    </w:p>
    <w:p w14:paraId="53F36F67">
      <w:pPr>
        <w:adjustRightInd w:val="0"/>
        <w:snapToGrid w:val="0"/>
        <w:spacing w:after="120" w:line="360" w:lineRule="auto"/>
        <w:ind w:firstLine="2040" w:firstLineChars="850"/>
        <w:jc w:val="right"/>
        <w:rPr>
          <w:rFonts w:hint="eastAsia" w:ascii="宋体" w:hAnsi="宋体" w:eastAsia="宋体" w:cs="宋体"/>
          <w:sz w:val="24"/>
          <w:szCs w:val="24"/>
        </w:rPr>
      </w:pPr>
    </w:p>
    <w:p w14:paraId="1D432E78">
      <w:pPr>
        <w:adjustRightInd w:val="0"/>
        <w:snapToGrid w:val="0"/>
        <w:spacing w:after="120" w:line="360" w:lineRule="auto"/>
        <w:ind w:firstLine="2040" w:firstLineChars="850"/>
        <w:jc w:val="right"/>
        <w:rPr>
          <w:rFonts w:hint="eastAsia" w:ascii="宋体" w:hAnsi="宋体" w:eastAsia="宋体" w:cs="宋体"/>
          <w:sz w:val="24"/>
          <w:szCs w:val="24"/>
        </w:rPr>
      </w:pPr>
    </w:p>
    <w:p w14:paraId="7A56F4F8">
      <w:pPr>
        <w:adjustRightInd w:val="0"/>
        <w:snapToGrid w:val="0"/>
        <w:spacing w:after="120" w:line="360" w:lineRule="auto"/>
        <w:ind w:firstLine="2040" w:firstLineChars="850"/>
        <w:jc w:val="right"/>
        <w:rPr>
          <w:rFonts w:hint="eastAsia" w:ascii="宋体" w:hAnsi="宋体" w:eastAsia="宋体" w:cs="宋体"/>
          <w:sz w:val="24"/>
          <w:szCs w:val="24"/>
        </w:rPr>
      </w:pPr>
    </w:p>
    <w:p w14:paraId="6F9744F5">
      <w:pPr>
        <w:adjustRightInd w:val="0"/>
        <w:snapToGrid w:val="0"/>
        <w:spacing w:after="120" w:line="360" w:lineRule="auto"/>
        <w:ind w:firstLine="2040" w:firstLineChars="850"/>
        <w:jc w:val="right"/>
        <w:rPr>
          <w:rFonts w:hint="eastAsia" w:ascii="宋体" w:hAnsi="宋体" w:eastAsia="宋体" w:cs="宋体"/>
          <w:sz w:val="24"/>
          <w:szCs w:val="24"/>
        </w:rPr>
      </w:pPr>
    </w:p>
    <w:p w14:paraId="7FA1F6D4">
      <w:pPr>
        <w:adjustRightInd w:val="0"/>
        <w:snapToGrid w:val="0"/>
        <w:spacing w:after="120" w:line="360" w:lineRule="auto"/>
        <w:ind w:firstLine="2040" w:firstLineChars="850"/>
        <w:jc w:val="right"/>
        <w:rPr>
          <w:rFonts w:hint="eastAsia" w:ascii="宋体" w:hAnsi="宋体" w:eastAsia="宋体" w:cs="宋体"/>
          <w:sz w:val="24"/>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2025</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2</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26</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7"/>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项目名称：郸城县应急管理局建设涉危暨小化工企业安全生产信息化预警监测平台项目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采购内容：郸城县应急管理局建设涉危暨小化工企业安全生产信息化预警监测平台项目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采购人：郸城县应急管理局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rPr>
                <w:rFonts w:hint="eastAsia" w:ascii="宋体" w:hAnsi="宋体" w:eastAsia="宋体" w:cs="宋体"/>
                <w:sz w:val="24"/>
                <w:szCs w:val="24"/>
              </w:rPr>
            </w:pP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3</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9</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r>
              <w:rPr>
                <w:rFonts w:hint="eastAsia" w:ascii="宋体" w:hAnsi="宋体" w:eastAsia="宋体" w:cs="宋体"/>
                <w:sz w:val="24"/>
                <w:szCs w:val="24"/>
              </w:rPr>
              <w:t xml:space="preserve">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rPr>
                <w:rFonts w:hint="eastAsia" w:ascii="宋体" w:hAnsi="宋体" w:eastAsia="宋体" w:cs="宋体"/>
                <w:sz w:val="24"/>
                <w:szCs w:val="24"/>
              </w:rPr>
            </w:pP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3</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9</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1年</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平台建设完成调试正常后付70%，服务完成后付至100%</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1650000.00元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ascii="宋体" w:hAnsi="宋体" w:eastAsia="仿宋_GB2312" w:cs="宋体"/>
          <w:b/>
          <w:sz w:val="30"/>
          <w:szCs w:val="30"/>
        </w:rPr>
      </w:pPr>
    </w:p>
    <w:p w14:paraId="199F06E5">
      <w:pPr>
        <w:tabs>
          <w:tab w:val="left" w:pos="0"/>
          <w:tab w:val="left" w:pos="993"/>
          <w:tab w:val="left" w:pos="1134"/>
        </w:tabs>
        <w:rPr>
          <w:rFonts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2.2“采购人”：郸城县应急管理局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7"/>
        <w:tblW w:w="10022" w:type="dxa"/>
        <w:jc w:val="center"/>
        <w:tblLayout w:type="fixed"/>
        <w:tblCellMar>
          <w:top w:w="0" w:type="dxa"/>
          <w:left w:w="108" w:type="dxa"/>
          <w:bottom w:w="0" w:type="dxa"/>
          <w:right w:w="108" w:type="dxa"/>
        </w:tblCellMar>
      </w:tblPr>
      <w:tblGrid>
        <w:gridCol w:w="2113"/>
        <w:gridCol w:w="2304"/>
        <w:gridCol w:w="3039"/>
        <w:gridCol w:w="2566"/>
      </w:tblGrid>
      <w:tr w14:paraId="7E9362B8">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1F536B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741DBC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649A647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20C57D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308A9D1">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73F17D7">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报价得分（30分）</w:t>
            </w:r>
          </w:p>
        </w:tc>
        <w:tc>
          <w:tcPr>
            <w:tcW w:w="2304" w:type="dxa"/>
            <w:tcBorders>
              <w:top w:val="single" w:color="auto" w:sz="4" w:space="0"/>
              <w:left w:val="single" w:color="auto" w:sz="4" w:space="0"/>
              <w:bottom w:val="single" w:color="auto" w:sz="4" w:space="0"/>
              <w:right w:val="single" w:color="auto" w:sz="4" w:space="0"/>
            </w:tcBorders>
            <w:vAlign w:val="center"/>
          </w:tcPr>
          <w:p w14:paraId="4A827BA1">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（30分）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ACDB851">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1124B353">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报价得分=（评标基准价/评标价）×30</w:t>
            </w:r>
          </w:p>
          <w:p w14:paraId="48003DF6">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4C55D2CB">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13849A14">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6117AD0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6456F057">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p w14:paraId="764F15EA">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（4）没有提供有效证明材料的供应商将被视为不接受投标总价的扣除，用原投标总价参与评审。</w:t>
            </w:r>
          </w:p>
        </w:tc>
      </w:tr>
      <w:tr w14:paraId="4FE02AD8">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E67A1D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技术部分(54分)</w:t>
            </w:r>
          </w:p>
          <w:p w14:paraId="38B8E364">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7F839D6">
            <w:pPr>
              <w:widowControl/>
              <w:textAlignment w:val="center"/>
              <w:rPr>
                <w:rFonts w:hint="eastAsia" w:ascii="宋体" w:hAnsi="宋体" w:eastAsia="宋体" w:cs="宋体"/>
                <w:sz w:val="24"/>
                <w:szCs w:val="24"/>
              </w:rPr>
            </w:pPr>
            <w:r>
              <w:rPr>
                <w:rFonts w:hint="eastAsia" w:ascii="宋体" w:hAnsi="宋体" w:eastAsia="宋体" w:cs="宋体"/>
                <w:sz w:val="24"/>
                <w:szCs w:val="24"/>
              </w:rPr>
              <w:t>技术参数响应（30分）</w:t>
            </w:r>
          </w:p>
        </w:tc>
        <w:tc>
          <w:tcPr>
            <w:tcW w:w="5605" w:type="dxa"/>
            <w:gridSpan w:val="2"/>
            <w:tcBorders>
              <w:top w:val="single" w:color="auto" w:sz="4" w:space="0"/>
              <w:left w:val="single" w:color="auto" w:sz="4" w:space="0"/>
              <w:bottom w:val="single" w:color="auto" w:sz="4" w:space="0"/>
              <w:right w:val="single" w:color="auto" w:sz="4" w:space="0"/>
            </w:tcBorders>
          </w:tcPr>
          <w:p w14:paraId="78CF9DA8">
            <w:pPr>
              <w:widowControl/>
              <w:jc w:val="left"/>
              <w:textAlignment w:val="center"/>
              <w:rPr>
                <w:rFonts w:hint="eastAsia"/>
              </w:rPr>
            </w:pPr>
            <w:r>
              <w:rPr>
                <w:rFonts w:hint="eastAsia" w:ascii="宋体" w:hAnsi="宋体" w:eastAsia="宋体" w:cs="宋体"/>
                <w:sz w:val="24"/>
                <w:szCs w:val="24"/>
              </w:rPr>
              <w:t>技术参数完全满足竞争性磋商文件要求的得满分30分。其中标★项参数有一项不满足或负偏离的扣2分；非标★项参数有一项不满足或负偏离的扣1分；扣完为止。</w:t>
            </w:r>
          </w:p>
        </w:tc>
      </w:tr>
      <w:tr w14:paraId="257F29CD">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5D8813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DE16E79">
            <w:pPr>
              <w:widowControl/>
              <w:textAlignment w:val="center"/>
              <w:rPr>
                <w:rFonts w:hint="eastAsia" w:ascii="宋体" w:hAnsi="宋体" w:eastAsia="宋体" w:cs="宋体"/>
                <w:sz w:val="24"/>
                <w:szCs w:val="24"/>
              </w:rPr>
            </w:pPr>
            <w:r>
              <w:rPr>
                <w:rFonts w:hint="eastAsia" w:ascii="宋体" w:hAnsi="宋体" w:eastAsia="宋体" w:cs="宋体"/>
                <w:sz w:val="24"/>
                <w:szCs w:val="24"/>
              </w:rPr>
              <w:t>对涉危暨小化工企业安全生产监管业务痛点、预警监测流程理解（6分）</w:t>
            </w:r>
          </w:p>
        </w:tc>
        <w:tc>
          <w:tcPr>
            <w:tcW w:w="5605" w:type="dxa"/>
            <w:gridSpan w:val="2"/>
            <w:tcBorders>
              <w:top w:val="single" w:color="auto" w:sz="4" w:space="0"/>
              <w:left w:val="single" w:color="auto" w:sz="4" w:space="0"/>
              <w:bottom w:val="single" w:color="auto" w:sz="4" w:space="0"/>
              <w:right w:val="single" w:color="auto" w:sz="4" w:space="0"/>
            </w:tcBorders>
          </w:tcPr>
          <w:p w14:paraId="25422CFD">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供应商提供对涉危暨小化工企业安全生产监管业务痛点、预警监测流程理解得基础分6分；缺项或未提供不得分。</w:t>
            </w:r>
          </w:p>
          <w:p w14:paraId="0C57F5D8">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4A92BBD0">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A73582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6093F88">
            <w:pPr>
              <w:widowControl/>
              <w:textAlignment w:val="center"/>
              <w:rPr>
                <w:rFonts w:hint="eastAsia" w:ascii="宋体" w:hAnsi="宋体" w:eastAsia="宋体" w:cs="宋体"/>
                <w:sz w:val="24"/>
                <w:szCs w:val="24"/>
              </w:rPr>
            </w:pPr>
            <w:r>
              <w:rPr>
                <w:rFonts w:hint="eastAsia" w:ascii="宋体" w:hAnsi="宋体" w:eastAsia="宋体" w:cs="宋体"/>
                <w:sz w:val="24"/>
                <w:szCs w:val="24"/>
              </w:rPr>
              <w:t>项目实施与组织方案（6分）</w:t>
            </w:r>
          </w:p>
        </w:tc>
        <w:tc>
          <w:tcPr>
            <w:tcW w:w="5605" w:type="dxa"/>
            <w:gridSpan w:val="2"/>
            <w:tcBorders>
              <w:top w:val="single" w:color="auto" w:sz="4" w:space="0"/>
              <w:left w:val="single" w:color="auto" w:sz="4" w:space="0"/>
              <w:bottom w:val="single" w:color="auto" w:sz="4" w:space="0"/>
              <w:right w:val="single" w:color="auto" w:sz="4" w:space="0"/>
            </w:tcBorders>
          </w:tcPr>
          <w:p w14:paraId="673C3AE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供应商提供项目实施与组织方案得基础分6分；缺项或未提供不得分。</w:t>
            </w:r>
          </w:p>
          <w:p w14:paraId="3BD7382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C766B3">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A3BED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81370FC">
            <w:pPr>
              <w:widowControl/>
              <w:textAlignment w:val="center"/>
              <w:rPr>
                <w:rFonts w:hint="eastAsia" w:ascii="宋体" w:hAnsi="宋体" w:eastAsia="宋体" w:cs="宋体"/>
                <w:sz w:val="24"/>
                <w:szCs w:val="24"/>
              </w:rPr>
            </w:pPr>
            <w:r>
              <w:rPr>
                <w:rFonts w:hint="eastAsia" w:ascii="宋体" w:hAnsi="宋体" w:eastAsia="宋体" w:cs="宋体"/>
                <w:sz w:val="24"/>
                <w:szCs w:val="24"/>
              </w:rPr>
              <w:t>数据对接与融合方案（6分）</w:t>
            </w:r>
          </w:p>
        </w:tc>
        <w:tc>
          <w:tcPr>
            <w:tcW w:w="5605" w:type="dxa"/>
            <w:gridSpan w:val="2"/>
            <w:tcBorders>
              <w:top w:val="single" w:color="auto" w:sz="4" w:space="0"/>
              <w:left w:val="single" w:color="auto" w:sz="4" w:space="0"/>
              <w:bottom w:val="single" w:color="auto" w:sz="4" w:space="0"/>
              <w:right w:val="single" w:color="auto" w:sz="4" w:space="0"/>
            </w:tcBorders>
          </w:tcPr>
          <w:p w14:paraId="3D338B9F">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供应商提供数据对接与融合方案得基础分6分；缺项或未提供不得分。</w:t>
            </w:r>
          </w:p>
          <w:p w14:paraId="4CE26EF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AF163BE">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DBBB59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533715F">
            <w:pPr>
              <w:widowControl/>
              <w:textAlignment w:val="center"/>
              <w:rPr>
                <w:rFonts w:hint="eastAsia" w:ascii="宋体" w:hAnsi="宋体" w:eastAsia="宋体" w:cs="宋体"/>
                <w:sz w:val="24"/>
                <w:szCs w:val="24"/>
              </w:rPr>
            </w:pPr>
            <w:r>
              <w:rPr>
                <w:rFonts w:hint="eastAsia" w:ascii="宋体" w:hAnsi="宋体" w:eastAsia="宋体" w:cs="宋体"/>
                <w:sz w:val="24"/>
                <w:szCs w:val="24"/>
              </w:rPr>
              <w:t>培训与运维服务方案（6分）</w:t>
            </w:r>
          </w:p>
        </w:tc>
        <w:tc>
          <w:tcPr>
            <w:tcW w:w="5605" w:type="dxa"/>
            <w:gridSpan w:val="2"/>
            <w:tcBorders>
              <w:top w:val="single" w:color="auto" w:sz="4" w:space="0"/>
              <w:left w:val="single" w:color="auto" w:sz="4" w:space="0"/>
              <w:bottom w:val="single" w:color="auto" w:sz="4" w:space="0"/>
              <w:right w:val="single" w:color="auto" w:sz="4" w:space="0"/>
            </w:tcBorders>
          </w:tcPr>
          <w:p w14:paraId="466A5311">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供应商提供培训与运维服务方案得基础分6分；缺项或未提供不得分。</w:t>
            </w:r>
          </w:p>
          <w:p w14:paraId="319136D5">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068DC433">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98C4C1D">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商务部分（16分）</w:t>
            </w:r>
          </w:p>
          <w:p w14:paraId="6650B1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0A61D1D">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企业业绩（4分）</w:t>
            </w:r>
          </w:p>
        </w:tc>
        <w:tc>
          <w:tcPr>
            <w:tcW w:w="5605" w:type="dxa"/>
            <w:gridSpan w:val="2"/>
            <w:tcBorders>
              <w:top w:val="single" w:color="auto" w:sz="4" w:space="0"/>
              <w:left w:val="single" w:color="auto" w:sz="4" w:space="0"/>
              <w:bottom w:val="single" w:color="auto" w:sz="4" w:space="0"/>
              <w:right w:val="single" w:color="auto" w:sz="4" w:space="0"/>
            </w:tcBorders>
          </w:tcPr>
          <w:p w14:paraId="3FB7BB00">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供应商具有2023年1月1日以来完成过的类似项目业绩（以合同签订时间为准）；每提供一份类似业绩得2分，满分4分。（提供合同的复印件或扫描件）</w:t>
            </w:r>
          </w:p>
        </w:tc>
      </w:tr>
      <w:tr w14:paraId="0D45F222">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27266C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DEEB6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服务承诺（4分）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7F92D2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供应商提供服务承诺，包含但不限于服务计划、服务体系等的得4分，缺项或不提供不得分。</w:t>
            </w:r>
          </w:p>
        </w:tc>
      </w:tr>
      <w:tr w14:paraId="6A29EDFE">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3A70DF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0AD0B1F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其他承诺（8分）</w:t>
            </w:r>
          </w:p>
        </w:tc>
        <w:tc>
          <w:tcPr>
            <w:tcW w:w="5605" w:type="dxa"/>
            <w:gridSpan w:val="2"/>
            <w:tcBorders>
              <w:top w:val="single" w:color="auto" w:sz="4" w:space="0"/>
              <w:left w:val="single" w:color="auto" w:sz="4" w:space="0"/>
              <w:bottom w:val="single" w:color="auto" w:sz="4" w:space="0"/>
              <w:right w:val="single" w:color="auto" w:sz="4" w:space="0"/>
            </w:tcBorders>
          </w:tcPr>
          <w:p w14:paraId="6F4F742D">
            <w:pPr>
              <w:jc w:val="left"/>
              <w:textAlignment w:val="center"/>
              <w:rPr>
                <w:rFonts w:hint="eastAsia" w:ascii="宋体" w:hAnsi="宋体" w:eastAsia="宋体" w:cs="宋体"/>
                <w:sz w:val="24"/>
                <w:szCs w:val="24"/>
              </w:rPr>
            </w:pPr>
            <w:r>
              <w:rPr>
                <w:rFonts w:hint="eastAsia" w:ascii="宋体" w:hAnsi="宋体" w:eastAsia="宋体" w:cs="宋体"/>
                <w:sz w:val="24"/>
                <w:szCs w:val="24"/>
              </w:rPr>
              <w:t>1.供应商承诺在合同期内积极配合采购的各项工作安排，建立顺畅的沟通机制的得4分。缺项或不提供不得分。</w:t>
            </w:r>
          </w:p>
          <w:p w14:paraId="2B4BBF60">
            <w:pPr>
              <w:jc w:val="left"/>
              <w:textAlignment w:val="center"/>
              <w:rPr>
                <w:rFonts w:hint="eastAsia" w:ascii="宋体" w:hAnsi="宋体" w:eastAsia="宋体" w:cs="宋体"/>
                <w:sz w:val="24"/>
                <w:szCs w:val="24"/>
              </w:rPr>
            </w:pPr>
            <w:r>
              <w:rPr>
                <w:rFonts w:hint="eastAsia" w:ascii="宋体" w:hAnsi="宋体" w:eastAsia="宋体" w:cs="宋体"/>
                <w:sz w:val="24"/>
                <w:szCs w:val="24"/>
              </w:rPr>
              <w:t>2.供应商承诺对服务人员加强安全教育，如发生安全事故（事故与供应商有关的），供应商则承担一切责任和费用，采购单位不承担连带责任的得4分。缺项或不提供不得分。</w:t>
            </w:r>
          </w:p>
          <w:p w14:paraId="0347879B">
            <w:pPr>
              <w:pStyle w:val="2"/>
              <w:rPr>
                <w:rFonts w:hint="eastAsia" w:ascii="宋体" w:hAnsi="宋体" w:eastAsia="宋体" w:cs="宋体"/>
                <w:color w:val="auto"/>
                <w:kern w:val="2"/>
                <w:szCs w:val="24"/>
              </w:rPr>
            </w:pP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1C0C04F0">
      <w:pPr>
        <w:jc w:val="center"/>
        <w:rPr>
          <w:rFonts w:hint="eastAsia"/>
        </w:rPr>
      </w:pPr>
      <w:r>
        <w:rPr>
          <w:rFonts w:hint="eastAsia"/>
        </w:rPr>
        <w:t>　</w:t>
      </w:r>
    </w:p>
    <w:tbl>
      <w:tblPr>
        <w:tblStyle w:val="27"/>
        <w:tblW w:w="1108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900"/>
        <w:gridCol w:w="1131"/>
        <w:gridCol w:w="5856"/>
        <w:gridCol w:w="709"/>
        <w:gridCol w:w="739"/>
        <w:gridCol w:w="537"/>
        <w:gridCol w:w="456"/>
      </w:tblGrid>
      <w:tr w14:paraId="05AA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760" w:type="dxa"/>
            <w:noWrap/>
            <w:vAlign w:val="center"/>
          </w:tcPr>
          <w:p w14:paraId="142625C9">
            <w:pPr>
              <w:widowControl/>
              <w:jc w:val="center"/>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rPr>
              <w:t>序号</w:t>
            </w:r>
          </w:p>
        </w:tc>
        <w:tc>
          <w:tcPr>
            <w:tcW w:w="900" w:type="dxa"/>
            <w:noWrap/>
            <w:vAlign w:val="center"/>
          </w:tcPr>
          <w:p w14:paraId="16844526">
            <w:pPr>
              <w:widowControl/>
              <w:jc w:val="center"/>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rPr>
              <w:t>　</w:t>
            </w:r>
          </w:p>
        </w:tc>
        <w:tc>
          <w:tcPr>
            <w:tcW w:w="1131" w:type="dxa"/>
            <w:vAlign w:val="center"/>
          </w:tcPr>
          <w:p w14:paraId="6B5D6DF6">
            <w:pPr>
              <w:widowControl/>
              <w:jc w:val="center"/>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rPr>
              <w:t>产品</w:t>
            </w:r>
            <w:r>
              <w:rPr>
                <w:rFonts w:hint="eastAsia" w:ascii="微软雅黑" w:hAnsi="微软雅黑" w:eastAsia="微软雅黑" w:cs="宋体"/>
                <w:b/>
                <w:bCs/>
                <w:kern w:val="0"/>
                <w:sz w:val="28"/>
                <w:szCs w:val="28"/>
              </w:rPr>
              <w:br w:type="textWrapping"/>
            </w:r>
            <w:r>
              <w:rPr>
                <w:rFonts w:hint="eastAsia" w:ascii="微软雅黑" w:hAnsi="微软雅黑" w:eastAsia="微软雅黑" w:cs="宋体"/>
                <w:b/>
                <w:bCs/>
                <w:kern w:val="0"/>
                <w:sz w:val="28"/>
                <w:szCs w:val="28"/>
              </w:rPr>
              <w:t>名称</w:t>
            </w:r>
          </w:p>
        </w:tc>
        <w:tc>
          <w:tcPr>
            <w:tcW w:w="5856" w:type="dxa"/>
            <w:vAlign w:val="center"/>
          </w:tcPr>
          <w:p w14:paraId="7A50682E">
            <w:pPr>
              <w:widowControl/>
              <w:jc w:val="center"/>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rPr>
              <w:t>产品描述</w:t>
            </w:r>
          </w:p>
        </w:tc>
        <w:tc>
          <w:tcPr>
            <w:tcW w:w="709" w:type="dxa"/>
            <w:noWrap/>
            <w:vAlign w:val="center"/>
          </w:tcPr>
          <w:p w14:paraId="79B9A99D">
            <w:pPr>
              <w:widowControl/>
              <w:jc w:val="center"/>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rPr>
              <w:t>数量</w:t>
            </w:r>
          </w:p>
        </w:tc>
        <w:tc>
          <w:tcPr>
            <w:tcW w:w="739" w:type="dxa"/>
            <w:noWrap/>
            <w:vAlign w:val="center"/>
          </w:tcPr>
          <w:p w14:paraId="62ACE471">
            <w:pPr>
              <w:widowControl/>
              <w:jc w:val="center"/>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rPr>
              <w:t>单位</w:t>
            </w:r>
          </w:p>
        </w:tc>
        <w:tc>
          <w:tcPr>
            <w:tcW w:w="537" w:type="dxa"/>
            <w:noWrap/>
            <w:vAlign w:val="center"/>
          </w:tcPr>
          <w:p w14:paraId="1DC4BF5C">
            <w:pPr>
              <w:widowControl/>
              <w:jc w:val="center"/>
              <w:rPr>
                <w:rFonts w:hint="eastAsia" w:ascii="微软雅黑" w:hAnsi="微软雅黑" w:eastAsia="微软雅黑" w:cs="宋体"/>
                <w:b/>
                <w:bCs/>
                <w:kern w:val="0"/>
                <w:sz w:val="24"/>
                <w:szCs w:val="24"/>
              </w:rPr>
            </w:pPr>
            <w:r>
              <w:rPr>
                <w:rFonts w:hint="eastAsia" w:ascii="微软雅黑" w:hAnsi="微软雅黑" w:eastAsia="微软雅黑" w:cs="宋体"/>
                <w:b/>
                <w:bCs/>
                <w:kern w:val="0"/>
                <w:sz w:val="24"/>
                <w:szCs w:val="24"/>
              </w:rPr>
              <w:t>单价</w:t>
            </w:r>
          </w:p>
        </w:tc>
        <w:tc>
          <w:tcPr>
            <w:tcW w:w="456" w:type="dxa"/>
            <w:noWrap/>
            <w:vAlign w:val="center"/>
          </w:tcPr>
          <w:p w14:paraId="1FEDED03">
            <w:pPr>
              <w:widowControl/>
              <w:jc w:val="center"/>
              <w:rPr>
                <w:rFonts w:hint="eastAsia" w:ascii="微软雅黑" w:hAnsi="微软雅黑" w:eastAsia="微软雅黑" w:cs="宋体"/>
                <w:b/>
                <w:bCs/>
                <w:kern w:val="0"/>
                <w:sz w:val="24"/>
                <w:szCs w:val="24"/>
              </w:rPr>
            </w:pPr>
            <w:r>
              <w:rPr>
                <w:rFonts w:hint="eastAsia" w:ascii="微软雅黑" w:hAnsi="微软雅黑" w:eastAsia="微软雅黑" w:cs="宋体"/>
                <w:b/>
                <w:bCs/>
                <w:kern w:val="0"/>
                <w:sz w:val="24"/>
                <w:szCs w:val="24"/>
              </w:rPr>
              <w:t>小计</w:t>
            </w:r>
          </w:p>
        </w:tc>
      </w:tr>
      <w:tr w14:paraId="6FBE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0" w:hRule="atLeast"/>
        </w:trPr>
        <w:tc>
          <w:tcPr>
            <w:tcW w:w="760" w:type="dxa"/>
            <w:vAlign w:val="center"/>
          </w:tcPr>
          <w:p w14:paraId="72A28953">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1</w:t>
            </w:r>
          </w:p>
        </w:tc>
        <w:tc>
          <w:tcPr>
            <w:tcW w:w="900" w:type="dxa"/>
            <w:vAlign w:val="center"/>
          </w:tcPr>
          <w:p w14:paraId="607B1E93">
            <w:pPr>
              <w:widowControl/>
              <w:jc w:val="center"/>
              <w:outlineLvl w:val="0"/>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系统平台</w:t>
            </w:r>
          </w:p>
        </w:tc>
        <w:tc>
          <w:tcPr>
            <w:tcW w:w="1131" w:type="dxa"/>
            <w:vAlign w:val="center"/>
          </w:tcPr>
          <w:p w14:paraId="6E50DD1E">
            <w:pPr>
              <w:widowControl/>
              <w:jc w:val="center"/>
              <w:outlineLvl w:val="0"/>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交换机</w:t>
            </w:r>
          </w:p>
        </w:tc>
        <w:tc>
          <w:tcPr>
            <w:tcW w:w="5856" w:type="dxa"/>
          </w:tcPr>
          <w:p w14:paraId="2F3FC16F">
            <w:pPr>
              <w:widowControl/>
              <w:jc w:val="left"/>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1.性能要求：≥330Gbps，≥50Mpps。</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2.接口要求：24 个 GE 端口，4 个千兆 SFP 口</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3.快速收敛功能：实现 STP、RSTP、MSTP、ERPS 功能，能够快速阻断环路，链路收敛时间≤50ms，提供第三方权威机构检测报告并加盖制造商公章。</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4.CPU 防护：实现 CPU 保护功能，能限制非法报文对 CPU 的攻击，保护交换机在各种环境下稳定工作。</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5.堆叠：最大堆叠台数≥9 台；支持跨设备链路聚合，单一 IP管理，分布式弹性路由；支持通过标准以太端口进行堆叠（万兆或千兆均支持）；支持完善的堆叠分裂检测机制，堆叠分裂后能自动完成 MAC 和 IP 地址的重配置，无需手动干预；支持远程堆</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叠。</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6.VLAN 特：支持基于端口的 VLAN，支持基于协议的 VLAN；支持基于 MAC 的 VLAN；最大 VLAN 数(不是 VLAN ID)&gt;=4094</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7.链路聚合：支持最多 8 个端口聚合；支持最多 128 个聚合组（IRF2）；支持 LACP。</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8.镜像功能：支持本地端口镜像和远程端口镜像 RSPAN；支持流镜像；同时支持 N：M 的端口镜像（M 大于 1）。</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9.SDN/OPENFLOW：支持 OPENFLOW 1.3 标准支持普通模式和Openflow 模式切换。</w:t>
            </w:r>
          </w:p>
        </w:tc>
        <w:tc>
          <w:tcPr>
            <w:tcW w:w="709" w:type="dxa"/>
            <w:vAlign w:val="center"/>
          </w:tcPr>
          <w:p w14:paraId="3BEC8AC7">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1</w:t>
            </w:r>
          </w:p>
        </w:tc>
        <w:tc>
          <w:tcPr>
            <w:tcW w:w="739" w:type="dxa"/>
            <w:vAlign w:val="center"/>
          </w:tcPr>
          <w:p w14:paraId="7C94CAC2">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项</w:t>
            </w:r>
          </w:p>
        </w:tc>
        <w:tc>
          <w:tcPr>
            <w:tcW w:w="537" w:type="dxa"/>
            <w:vAlign w:val="center"/>
          </w:tcPr>
          <w:p w14:paraId="733365D7">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c>
          <w:tcPr>
            <w:tcW w:w="456" w:type="dxa"/>
            <w:vAlign w:val="center"/>
          </w:tcPr>
          <w:p w14:paraId="15D6E291">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r>
      <w:tr w14:paraId="7070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9" w:hRule="atLeast"/>
        </w:trPr>
        <w:tc>
          <w:tcPr>
            <w:tcW w:w="760" w:type="dxa"/>
            <w:vAlign w:val="center"/>
          </w:tcPr>
          <w:p w14:paraId="7E03B49C">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2</w:t>
            </w:r>
          </w:p>
        </w:tc>
        <w:tc>
          <w:tcPr>
            <w:tcW w:w="900" w:type="dxa"/>
            <w:vAlign w:val="center"/>
          </w:tcPr>
          <w:p w14:paraId="6F34B9C8">
            <w:pPr>
              <w:widowControl/>
              <w:jc w:val="center"/>
              <w:outlineLvl w:val="0"/>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综合服务</w:t>
            </w:r>
          </w:p>
        </w:tc>
        <w:tc>
          <w:tcPr>
            <w:tcW w:w="1131" w:type="dxa"/>
            <w:vAlign w:val="center"/>
          </w:tcPr>
          <w:p w14:paraId="54C82A43">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云调度业务管理服务</w:t>
            </w:r>
          </w:p>
        </w:tc>
        <w:tc>
          <w:tcPr>
            <w:tcW w:w="5856" w:type="dxa"/>
          </w:tcPr>
          <w:p w14:paraId="1E0A28E1">
            <w:pPr>
              <w:widowControl/>
              <w:jc w:val="left"/>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1.支持标准 H.323 和 SIP 通信协议，无需网关转换即可支持 SVC转发会议、AVC 会议及 SVC/AVC 混合会议，确保系统兼容能力</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2.支持 SIP/H.323 视频会议终端、桌面视频会议终端、PC 软终端、网页客户端、微信小程序、VoIP 语音等多类型中终端混合组会使用。</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3.系统可保障 7x24 小时不间断运行需求，保证设备性能的稳定性；当某台服务器发生断电、断网时，管理平台自动将会议调度在其他服务器，备份切换时，会议不发生中断，音视频恢复时间&lt;10 秒。</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4.网络波动时，会议可根据网络情况自动执行智能降速和自动升速；支持不低于 55%视频抗丢包，支持不低于 75%音频抗丢包。</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5.支持 4K、1080p、720p 等多种分辨率，H.265、H.264 SVC、H.264HP、H.264、H.263 等多种协议；支持 OPUS、G.711、G.722、G722.1、G722.1C 等音频编解码协议</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6.支持 SRTP （ES-256）音视频数据加密、SIP/ H.323 信令、流媒体加密，支持国密算法</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7.具备多画面能力，支持超 20 种多画面切换，可结合会议场景灵活选择 1+N、2+N、3+N、N*N 等会议布局，支持不低于 7*7 等分屏能力；支持语音激励控制，启用或者关闭；支持轮询。</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8.★支持背景图片、设置会议字幕等自定义能力；支持开放完整的第三方 API 接口，提供完整的 RestAPI，支持业务系统集成和定制开发。</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9.支持开启/关闭等候室，并设置可不经过等候室直接加入会议的成员范围；等候室开启后，未经允许的成员加入会议时，需要先进入等候室，等待主持人允许，支持允许或者拒绝等候室中的成员加入会议；</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 xml:space="preserve">10.具备网络监测、系统升级、恢复出厂设置、系统重启、自动/手动备份系统配置及数据文件等运维辅助能力         </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11.支持组织架构通讯录以及对用户账号进行分组管理，支持用户账号的权限管理。</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12.支持 H.239、BFCP 双流协议</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13.支持显示或隐藏参会成员名称，支持锁定或解锁当前会议；支持针对会场暂停/恢复音频/视频操作；支持查看会控中的操作记录，包括操作人、操作时间、操作对象和结果。支持对选定参会成员进行手动、自动点名；支持电子白板和管理白板协作文件。</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14.★为保证会议内容安全性支持会议中屏幕共享是否有水印，支持使用用户名称+手机号/邮箱/账号生成水印；</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15.支持会议模板管理，可配置参会人员、会议设置、模板名称、会议类型、画面布局等，并支持基于会议模块快速预约会议。</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16.支持主视频 4K30fps 时，辅流视频同时实现 4K30fps。</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17.支持端口资源分配，4K30fps：1080P60fps：1080P30fps：720P30fps=1：2：4：8 的规则进行适配。</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18.★支持 AVC+SVC 融合会议，单场会议总并发数不低于 5000。支持召开多组视频会议。支持实时统计会议的网络数据，包括丢包、编解码、分辨率、抖动、带宽、帧率等。</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19.支持每一路终端的媒体全适配处理能力，每个接入的终端可以任意不同的协议、带宽、分辨率、帧率参加同一组会议，会议中任何一个终端出现丢包、抖动时，仅影响该会场而不会影响整个会议。</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20.支持采用通用虚拟化软件进行部署，支持多主流品牌虚拟化平台方式部署，比如 Vmware。</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21.★系统不含中高风险等级漏洞，不含已知的 SQL 注入、XSS、CSRF 漏洞，支持记录系统日志信息，可以支撑对攻击行为的事后审计。</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22.★支持许可资源集中管理、按需分配、浮动共享，授权许可不与硬件设备绑定，可通过软件许可和计算资源平滑扩容系统容量。</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23.★支持会议中不停机扩容服务器资源，支持会议中临时增加会议节点用于资源扩容，资源扩容时对正在进行的会议不影响。</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24.支持多租户模式，支持超级管理员添加、查看、冻结、解冻、删除企业，以及为企业添加服务单并指定服务时间。</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25.单机支持不低于 200 路高清同时参与，本次授权 30 路并发规模。云终端服务1.支持</w:t>
            </w:r>
          </w:p>
        </w:tc>
        <w:tc>
          <w:tcPr>
            <w:tcW w:w="709" w:type="dxa"/>
            <w:vAlign w:val="center"/>
          </w:tcPr>
          <w:p w14:paraId="06CEFFBB">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1</w:t>
            </w:r>
          </w:p>
        </w:tc>
        <w:tc>
          <w:tcPr>
            <w:tcW w:w="739" w:type="dxa"/>
            <w:vAlign w:val="center"/>
          </w:tcPr>
          <w:p w14:paraId="4E35610E">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项</w:t>
            </w:r>
          </w:p>
        </w:tc>
        <w:tc>
          <w:tcPr>
            <w:tcW w:w="537" w:type="dxa"/>
            <w:vAlign w:val="center"/>
          </w:tcPr>
          <w:p w14:paraId="70D931CC">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c>
          <w:tcPr>
            <w:tcW w:w="456" w:type="dxa"/>
            <w:vAlign w:val="center"/>
          </w:tcPr>
          <w:p w14:paraId="57584589">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r>
      <w:tr w14:paraId="66DC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trPr>
        <w:tc>
          <w:tcPr>
            <w:tcW w:w="760" w:type="dxa"/>
            <w:vAlign w:val="center"/>
          </w:tcPr>
          <w:p w14:paraId="26AA082C">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3</w:t>
            </w:r>
          </w:p>
        </w:tc>
        <w:tc>
          <w:tcPr>
            <w:tcW w:w="900" w:type="dxa"/>
            <w:noWrap/>
            <w:vAlign w:val="center"/>
          </w:tcPr>
          <w:p w14:paraId="64083C73">
            <w:pPr>
              <w:widowControl/>
              <w:jc w:val="center"/>
              <w:outlineLvl w:val="0"/>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1131" w:type="dxa"/>
            <w:vAlign w:val="center"/>
          </w:tcPr>
          <w:p w14:paraId="2B03F806">
            <w:pPr>
              <w:widowControl/>
              <w:jc w:val="center"/>
              <w:outlineLvl w:val="0"/>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云终端服务</w:t>
            </w:r>
          </w:p>
        </w:tc>
        <w:tc>
          <w:tcPr>
            <w:tcW w:w="5856" w:type="dxa"/>
          </w:tcPr>
          <w:p w14:paraId="524EB567">
            <w:pPr>
              <w:widowControl/>
              <w:jc w:val="left"/>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1.支持 H.323、SIP 双标准通信协议； 支持 H.239、BFCP 高清动态双流；</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2.支持 H.265、H.264SVC、H.264 HP、H.264、H.263 等多种视频编解码协议；支持 OPUS、G.711、G.722、G722.1、G722.1C 等音频编解码协议；</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3.支持 4K30fps、1080p60fps、1080p30fps、720p30fps 等多种视频格式的编解码；</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4.支持人声和噪声同时存在时，抑制噪声，支持智能识别非人声，可完全消除不低于 90 分贝的噪声；</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5.支持在 H.323 协议下，H.235 信令加密；支持在 SIP 下，SRTP加密；支持 会议接入密码；支持采用 https；支持添加号码至允许名单及禁止名单</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6.★支持不低于 50%视频抗丢包（平均帧率不低于 15 帧/秒），支持不低于 80%音频抗丢包（MOS_LQO&gt;=2.8）</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7.★支持两个网口不同的网络设置，包含 LLDP、VLAN、端口连接速率等；支持设置出口规则，满足会议、SIP/H.323 可以从不同网口作为出口访问；</w:t>
            </w:r>
            <w:r>
              <w:rPr>
                <w:rFonts w:hint="eastAsia" w:ascii="微软雅黑" w:hAnsi="微软雅黑" w:eastAsia="微软雅黑" w:cs="宋体"/>
                <w:kern w:val="0"/>
                <w:sz w:val="24"/>
                <w:szCs w:val="24"/>
              </w:rPr>
              <w:br w:type="textWrapping"/>
            </w:r>
            <w:r>
              <w:rPr>
                <w:rFonts w:hint="eastAsia" w:ascii="微软雅黑" w:hAnsi="微软雅黑" w:eastAsia="微软雅黑" w:cs="宋体"/>
                <w:kern w:val="0"/>
                <w:sz w:val="24"/>
                <w:szCs w:val="24"/>
              </w:rPr>
              <w:t>8.★支持三屏 4K 显示，可自定义屏幕显示本地、远端、辅流图像，支持画中画、等分、单方全屏等布局格式。</w:t>
            </w:r>
          </w:p>
        </w:tc>
        <w:tc>
          <w:tcPr>
            <w:tcW w:w="709" w:type="dxa"/>
            <w:vAlign w:val="center"/>
          </w:tcPr>
          <w:p w14:paraId="3092053D">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17</w:t>
            </w:r>
          </w:p>
        </w:tc>
        <w:tc>
          <w:tcPr>
            <w:tcW w:w="739" w:type="dxa"/>
            <w:vAlign w:val="center"/>
          </w:tcPr>
          <w:p w14:paraId="6CDFC050">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台</w:t>
            </w:r>
          </w:p>
        </w:tc>
        <w:tc>
          <w:tcPr>
            <w:tcW w:w="537" w:type="dxa"/>
            <w:vAlign w:val="center"/>
          </w:tcPr>
          <w:p w14:paraId="5EE19E05">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c>
          <w:tcPr>
            <w:tcW w:w="456" w:type="dxa"/>
            <w:vAlign w:val="center"/>
          </w:tcPr>
          <w:p w14:paraId="10780175">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r>
      <w:tr w14:paraId="0A9C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trPr>
        <w:tc>
          <w:tcPr>
            <w:tcW w:w="760" w:type="dxa"/>
            <w:vAlign w:val="center"/>
          </w:tcPr>
          <w:p w14:paraId="38BD3D28">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4</w:t>
            </w:r>
          </w:p>
        </w:tc>
        <w:tc>
          <w:tcPr>
            <w:tcW w:w="900" w:type="dxa"/>
            <w:vAlign w:val="center"/>
          </w:tcPr>
          <w:p w14:paraId="4EDFFEBF">
            <w:pPr>
              <w:widowControl/>
              <w:jc w:val="center"/>
              <w:outlineLvl w:val="0"/>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　</w:t>
            </w:r>
          </w:p>
        </w:tc>
        <w:tc>
          <w:tcPr>
            <w:tcW w:w="1131" w:type="dxa"/>
            <w:vAlign w:val="center"/>
          </w:tcPr>
          <w:p w14:paraId="023CCFB7">
            <w:pPr>
              <w:widowControl/>
              <w:jc w:val="center"/>
              <w:outlineLvl w:val="0"/>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云支撑服务</w:t>
            </w:r>
          </w:p>
        </w:tc>
        <w:tc>
          <w:tcPr>
            <w:tcW w:w="5856" w:type="dxa"/>
            <w:vAlign w:val="center"/>
          </w:tcPr>
          <w:p w14:paraId="71F9494A">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应急云支撑服务：布局细化。根据对业务使用时的需要，业务数据的支撑度和相关行业内应用界面，细化各个板块显示内容。</w:t>
            </w:r>
          </w:p>
        </w:tc>
        <w:tc>
          <w:tcPr>
            <w:tcW w:w="709" w:type="dxa"/>
            <w:vAlign w:val="center"/>
          </w:tcPr>
          <w:p w14:paraId="037D835D">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17</w:t>
            </w:r>
          </w:p>
        </w:tc>
        <w:tc>
          <w:tcPr>
            <w:tcW w:w="739" w:type="dxa"/>
            <w:vAlign w:val="center"/>
          </w:tcPr>
          <w:p w14:paraId="01254B59">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项</w:t>
            </w:r>
          </w:p>
        </w:tc>
        <w:tc>
          <w:tcPr>
            <w:tcW w:w="537" w:type="dxa"/>
            <w:vAlign w:val="center"/>
          </w:tcPr>
          <w:p w14:paraId="0EC85087">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c>
          <w:tcPr>
            <w:tcW w:w="456" w:type="dxa"/>
            <w:vAlign w:val="center"/>
          </w:tcPr>
          <w:p w14:paraId="35C6118D">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r>
      <w:tr w14:paraId="2677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60" w:type="dxa"/>
            <w:vMerge w:val="restart"/>
            <w:vAlign w:val="center"/>
          </w:tcPr>
          <w:p w14:paraId="2502E0A4">
            <w:pPr>
              <w:widowControl/>
              <w:jc w:val="center"/>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5</w:t>
            </w:r>
          </w:p>
        </w:tc>
        <w:tc>
          <w:tcPr>
            <w:tcW w:w="900" w:type="dxa"/>
            <w:vMerge w:val="restart"/>
            <w:vAlign w:val="center"/>
          </w:tcPr>
          <w:p w14:paraId="7A70BDFB">
            <w:pPr>
              <w:widowControl/>
              <w:jc w:val="center"/>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互联网电路</w:t>
            </w:r>
          </w:p>
        </w:tc>
        <w:tc>
          <w:tcPr>
            <w:tcW w:w="1131" w:type="dxa"/>
            <w:vAlign w:val="center"/>
          </w:tcPr>
          <w:p w14:paraId="52352E2F">
            <w:pPr>
              <w:widowControl/>
              <w:jc w:val="center"/>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互联网商务快线</w:t>
            </w:r>
          </w:p>
        </w:tc>
        <w:tc>
          <w:tcPr>
            <w:tcW w:w="5856" w:type="dxa"/>
            <w:vAlign w:val="center"/>
          </w:tcPr>
          <w:p w14:paraId="5D399F68">
            <w:pPr>
              <w:widowControl/>
              <w:jc w:val="left"/>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1000M互联网商务快线</w:t>
            </w:r>
          </w:p>
        </w:tc>
        <w:tc>
          <w:tcPr>
            <w:tcW w:w="709" w:type="dxa"/>
            <w:noWrap/>
            <w:vAlign w:val="center"/>
          </w:tcPr>
          <w:p w14:paraId="06A54CED">
            <w:pPr>
              <w:widowControl/>
              <w:jc w:val="center"/>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2</w:t>
            </w:r>
          </w:p>
        </w:tc>
        <w:tc>
          <w:tcPr>
            <w:tcW w:w="739" w:type="dxa"/>
            <w:noWrap/>
            <w:vAlign w:val="center"/>
          </w:tcPr>
          <w:p w14:paraId="0E84C20B">
            <w:pPr>
              <w:widowControl/>
              <w:jc w:val="center"/>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条/年</w:t>
            </w:r>
          </w:p>
        </w:tc>
        <w:tc>
          <w:tcPr>
            <w:tcW w:w="537" w:type="dxa"/>
            <w:noWrap/>
          </w:tcPr>
          <w:p w14:paraId="1614DE57">
            <w:pPr>
              <w:widowControl/>
              <w:jc w:val="center"/>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　</w:t>
            </w:r>
          </w:p>
        </w:tc>
        <w:tc>
          <w:tcPr>
            <w:tcW w:w="456" w:type="dxa"/>
            <w:noWrap/>
            <w:vAlign w:val="center"/>
          </w:tcPr>
          <w:p w14:paraId="39A267E1">
            <w:pPr>
              <w:widowControl/>
              <w:jc w:val="center"/>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r>
      <w:tr w14:paraId="48991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760" w:type="dxa"/>
            <w:vMerge w:val="continue"/>
            <w:vAlign w:val="center"/>
          </w:tcPr>
          <w:p w14:paraId="60C0525D">
            <w:pPr>
              <w:widowControl/>
              <w:jc w:val="left"/>
              <w:rPr>
                <w:rFonts w:hint="eastAsia" w:ascii="微软雅黑" w:hAnsi="微软雅黑" w:eastAsia="微软雅黑" w:cs="宋体"/>
                <w:color w:val="000000"/>
                <w:kern w:val="0"/>
                <w:sz w:val="28"/>
                <w:szCs w:val="28"/>
              </w:rPr>
            </w:pPr>
          </w:p>
        </w:tc>
        <w:tc>
          <w:tcPr>
            <w:tcW w:w="900" w:type="dxa"/>
            <w:vMerge w:val="continue"/>
            <w:vAlign w:val="center"/>
          </w:tcPr>
          <w:p w14:paraId="4D249FFD">
            <w:pPr>
              <w:widowControl/>
              <w:jc w:val="left"/>
              <w:rPr>
                <w:rFonts w:hint="eastAsia" w:ascii="微软雅黑" w:hAnsi="微软雅黑" w:eastAsia="微软雅黑" w:cs="宋体"/>
                <w:color w:val="000000"/>
                <w:kern w:val="0"/>
                <w:sz w:val="28"/>
                <w:szCs w:val="28"/>
              </w:rPr>
            </w:pPr>
          </w:p>
        </w:tc>
        <w:tc>
          <w:tcPr>
            <w:tcW w:w="1131" w:type="dxa"/>
            <w:vAlign w:val="center"/>
          </w:tcPr>
          <w:p w14:paraId="111A7D76">
            <w:pPr>
              <w:widowControl/>
              <w:jc w:val="center"/>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互联网宽带</w:t>
            </w:r>
          </w:p>
        </w:tc>
        <w:tc>
          <w:tcPr>
            <w:tcW w:w="5856" w:type="dxa"/>
            <w:vAlign w:val="center"/>
          </w:tcPr>
          <w:p w14:paraId="404BD575">
            <w:pPr>
              <w:widowControl/>
              <w:jc w:val="left"/>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300M宽带</w:t>
            </w:r>
          </w:p>
        </w:tc>
        <w:tc>
          <w:tcPr>
            <w:tcW w:w="709" w:type="dxa"/>
            <w:noWrap/>
            <w:vAlign w:val="center"/>
          </w:tcPr>
          <w:p w14:paraId="3848CF2F">
            <w:pPr>
              <w:widowControl/>
              <w:jc w:val="center"/>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15</w:t>
            </w:r>
          </w:p>
        </w:tc>
        <w:tc>
          <w:tcPr>
            <w:tcW w:w="739" w:type="dxa"/>
            <w:noWrap/>
            <w:vAlign w:val="center"/>
          </w:tcPr>
          <w:p w14:paraId="5C410435">
            <w:pPr>
              <w:widowControl/>
              <w:jc w:val="center"/>
              <w:rPr>
                <w:rFonts w:hint="eastAsia" w:ascii="微软雅黑" w:hAnsi="微软雅黑" w:eastAsia="微软雅黑" w:cs="宋体"/>
                <w:color w:val="000000"/>
                <w:kern w:val="0"/>
                <w:sz w:val="28"/>
                <w:szCs w:val="28"/>
              </w:rPr>
            </w:pPr>
            <w:r>
              <w:rPr>
                <w:rFonts w:hint="eastAsia" w:ascii="微软雅黑" w:hAnsi="微软雅黑" w:eastAsia="微软雅黑" w:cs="宋体"/>
                <w:color w:val="000000"/>
                <w:kern w:val="0"/>
                <w:sz w:val="28"/>
                <w:szCs w:val="28"/>
              </w:rPr>
              <w:t>条/年</w:t>
            </w:r>
          </w:p>
        </w:tc>
        <w:tc>
          <w:tcPr>
            <w:tcW w:w="537" w:type="dxa"/>
            <w:noWrap/>
            <w:vAlign w:val="center"/>
          </w:tcPr>
          <w:p w14:paraId="454B3FB1">
            <w:pPr>
              <w:widowControl/>
              <w:jc w:val="center"/>
              <w:rPr>
                <w:rFonts w:hint="eastAsia"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　</w:t>
            </w:r>
          </w:p>
        </w:tc>
        <w:tc>
          <w:tcPr>
            <w:tcW w:w="456" w:type="dxa"/>
            <w:noWrap/>
            <w:vAlign w:val="center"/>
          </w:tcPr>
          <w:p w14:paraId="72D74C5A">
            <w:pPr>
              <w:widowControl/>
              <w:jc w:val="center"/>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r>
      <w:tr w14:paraId="07DA5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2791" w:type="dxa"/>
            <w:gridSpan w:val="3"/>
            <w:vAlign w:val="center"/>
          </w:tcPr>
          <w:p w14:paraId="351AB8C4">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合计</w:t>
            </w:r>
          </w:p>
        </w:tc>
        <w:tc>
          <w:tcPr>
            <w:tcW w:w="5856" w:type="dxa"/>
          </w:tcPr>
          <w:p w14:paraId="5D2F141D">
            <w:pPr>
              <w:widowControl/>
              <w:jc w:val="left"/>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　</w:t>
            </w:r>
          </w:p>
        </w:tc>
        <w:tc>
          <w:tcPr>
            <w:tcW w:w="709" w:type="dxa"/>
            <w:vAlign w:val="center"/>
          </w:tcPr>
          <w:p w14:paraId="72237F5D">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　</w:t>
            </w:r>
          </w:p>
        </w:tc>
        <w:tc>
          <w:tcPr>
            <w:tcW w:w="739" w:type="dxa"/>
            <w:vAlign w:val="center"/>
          </w:tcPr>
          <w:p w14:paraId="56DA0307">
            <w:pPr>
              <w:widowControl/>
              <w:jc w:val="center"/>
              <w:outlineLvl w:val="0"/>
              <w:rPr>
                <w:rFonts w:hint="eastAsia" w:ascii="微软雅黑" w:hAnsi="微软雅黑" w:eastAsia="微软雅黑" w:cs="宋体"/>
                <w:kern w:val="0"/>
                <w:sz w:val="28"/>
                <w:szCs w:val="28"/>
              </w:rPr>
            </w:pPr>
            <w:r>
              <w:rPr>
                <w:rFonts w:hint="eastAsia" w:ascii="微软雅黑" w:hAnsi="微软雅黑" w:eastAsia="微软雅黑" w:cs="宋体"/>
                <w:kern w:val="0"/>
                <w:sz w:val="28"/>
                <w:szCs w:val="28"/>
              </w:rPr>
              <w:t>　</w:t>
            </w:r>
          </w:p>
        </w:tc>
        <w:tc>
          <w:tcPr>
            <w:tcW w:w="537" w:type="dxa"/>
            <w:vAlign w:val="center"/>
          </w:tcPr>
          <w:p w14:paraId="04B30148">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c>
          <w:tcPr>
            <w:tcW w:w="456" w:type="dxa"/>
            <w:vAlign w:val="center"/>
          </w:tcPr>
          <w:p w14:paraId="6244E38C">
            <w:pPr>
              <w:widowControl/>
              <w:jc w:val="center"/>
              <w:outlineLvl w:val="0"/>
              <w:rPr>
                <w:rFonts w:hint="eastAsia" w:ascii="微软雅黑" w:hAnsi="微软雅黑" w:eastAsia="微软雅黑" w:cs="宋体"/>
                <w:kern w:val="0"/>
                <w:sz w:val="24"/>
                <w:szCs w:val="24"/>
              </w:rPr>
            </w:pPr>
            <w:r>
              <w:rPr>
                <w:rFonts w:hint="eastAsia" w:ascii="微软雅黑" w:hAnsi="微软雅黑" w:eastAsia="微软雅黑" w:cs="宋体"/>
                <w:kern w:val="0"/>
                <w:sz w:val="24"/>
                <w:szCs w:val="24"/>
              </w:rPr>
              <w:t>　</w:t>
            </w:r>
          </w:p>
        </w:tc>
      </w:tr>
    </w:tbl>
    <w:p w14:paraId="35B5E759">
      <w:pPr>
        <w:jc w:val="center"/>
        <w:rPr>
          <w:rFonts w:hint="eastAsia" w:ascii="宋体" w:hAnsi="宋体" w:eastAsia="宋体" w:cs="Times New Roman"/>
          <w:sz w:val="40"/>
          <w:szCs w:val="40"/>
          <w14:ligatures w14:val="standardContextual"/>
        </w:rPr>
      </w:pPr>
      <w:r>
        <w:rPr>
          <w:rFonts w:hint="eastAsia"/>
        </w:rPr>
        <w:t>　</w:t>
      </w:r>
    </w:p>
    <w:p w14:paraId="2B18C1A6">
      <w:pPr>
        <w:widowControl/>
        <w:spacing w:line="480" w:lineRule="auto"/>
        <w:ind w:firstLine="560" w:firstLineChars="200"/>
        <w:jc w:val="left"/>
        <w:rPr>
          <w:rFonts w:hint="eastAsia" w:ascii="宋体" w:hAnsi="宋体" w:eastAsia="宋体" w:cs="宋体"/>
          <w:bCs/>
          <w:kern w:val="0"/>
          <w:sz w:val="28"/>
          <w:szCs w:val="28"/>
        </w:rPr>
      </w:pPr>
    </w:p>
    <w:p w14:paraId="7132DFED">
      <w:pPr>
        <w:widowControl/>
        <w:spacing w:line="360" w:lineRule="auto"/>
        <w:ind w:firstLine="560" w:firstLineChars="200"/>
        <w:jc w:val="left"/>
        <w:rPr>
          <w:rFonts w:hint="eastAsia" w:ascii="宋体" w:hAnsi="宋体" w:eastAsia="宋体" w:cs="宋体"/>
          <w:bCs/>
          <w:kern w:val="0"/>
          <w:sz w:val="28"/>
          <w:szCs w:val="28"/>
        </w:rPr>
      </w:pPr>
    </w:p>
    <w:p w14:paraId="1A9B297A">
      <w:pPr>
        <w:rPr>
          <w:rFonts w:hint="eastAsia" w:ascii="宋体" w:hAnsi="宋体" w:eastAsia="宋体" w:cs="宋体"/>
          <w:sz w:val="24"/>
          <w:szCs w:val="24"/>
        </w:rPr>
      </w:pPr>
    </w:p>
    <w:p w14:paraId="1AA6772B">
      <w:pPr>
        <w:rPr>
          <w:rFonts w:hint="eastAsia" w:ascii="宋体" w:hAnsi="宋体" w:eastAsia="宋体" w:cs="宋体"/>
          <w:sz w:val="24"/>
          <w:szCs w:val="24"/>
        </w:rPr>
      </w:pP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备注：供应商对其提供的产品需出具《关于符合本国产品标准的声明函》或财政部会同有关部门规定的有关证明文件。</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highlight w:val="yellow"/>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495414234"/>
      <w:bookmarkStart w:id="37" w:name="_Toc220232409"/>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7"/>
        <w:tblW w:w="10349" w:type="dxa"/>
        <w:tblInd w:w="-289" w:type="dxa"/>
        <w:tblLayout w:type="autofit"/>
        <w:tblCellMar>
          <w:top w:w="0" w:type="dxa"/>
          <w:left w:w="108" w:type="dxa"/>
          <w:bottom w:w="0" w:type="dxa"/>
          <w:right w:w="108" w:type="dxa"/>
        </w:tblCellMar>
      </w:tblPr>
      <w:tblGrid>
        <w:gridCol w:w="1100"/>
        <w:gridCol w:w="1100"/>
        <w:gridCol w:w="1344"/>
        <w:gridCol w:w="1276"/>
        <w:gridCol w:w="1559"/>
        <w:gridCol w:w="1418"/>
        <w:gridCol w:w="1559"/>
        <w:gridCol w:w="993"/>
      </w:tblGrid>
      <w:tr w14:paraId="54D2BB36">
        <w:tblPrEx>
          <w:tblCellMar>
            <w:top w:w="0" w:type="dxa"/>
            <w:left w:w="108" w:type="dxa"/>
            <w:bottom w:w="0" w:type="dxa"/>
            <w:right w:w="108" w:type="dxa"/>
          </w:tblCellMar>
        </w:tblPrEx>
        <w:trPr>
          <w:trHeight w:val="1242" w:hRule="atLeast"/>
        </w:trPr>
        <w:tc>
          <w:tcPr>
            <w:tcW w:w="1100" w:type="dxa"/>
            <w:tcBorders>
              <w:top w:val="single" w:color="auto" w:sz="4" w:space="0"/>
              <w:left w:val="single" w:color="auto" w:sz="4" w:space="0"/>
              <w:bottom w:val="single" w:color="auto" w:sz="4" w:space="0"/>
              <w:right w:val="single" w:color="auto" w:sz="4" w:space="0"/>
            </w:tcBorders>
            <w:vAlign w:val="center"/>
          </w:tcPr>
          <w:p w14:paraId="0547127F">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序号</w:t>
            </w:r>
          </w:p>
        </w:tc>
        <w:tc>
          <w:tcPr>
            <w:tcW w:w="1100" w:type="dxa"/>
            <w:tcBorders>
              <w:top w:val="single" w:color="auto" w:sz="4" w:space="0"/>
              <w:left w:val="nil"/>
              <w:bottom w:val="single" w:color="auto" w:sz="4" w:space="0"/>
              <w:right w:val="single" w:color="auto" w:sz="4" w:space="0"/>
            </w:tcBorders>
            <w:vAlign w:val="center"/>
          </w:tcPr>
          <w:p w14:paraId="129D544D">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38B7D05C">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产品名称</w:t>
            </w:r>
          </w:p>
        </w:tc>
        <w:tc>
          <w:tcPr>
            <w:tcW w:w="1276" w:type="dxa"/>
            <w:tcBorders>
              <w:top w:val="single" w:color="auto" w:sz="4" w:space="0"/>
              <w:left w:val="nil"/>
              <w:bottom w:val="single" w:color="auto" w:sz="4" w:space="0"/>
              <w:right w:val="single" w:color="auto" w:sz="4" w:space="0"/>
            </w:tcBorders>
            <w:vAlign w:val="center"/>
          </w:tcPr>
          <w:p w14:paraId="7EC130B6">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产品描述</w:t>
            </w:r>
          </w:p>
        </w:tc>
        <w:tc>
          <w:tcPr>
            <w:tcW w:w="1559" w:type="dxa"/>
            <w:tcBorders>
              <w:top w:val="single" w:color="auto" w:sz="4" w:space="0"/>
              <w:left w:val="nil"/>
              <w:bottom w:val="single" w:color="auto" w:sz="4" w:space="0"/>
              <w:right w:val="single" w:color="auto" w:sz="4" w:space="0"/>
            </w:tcBorders>
            <w:vAlign w:val="center"/>
          </w:tcPr>
          <w:p w14:paraId="5476A768">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数量</w:t>
            </w:r>
          </w:p>
        </w:tc>
        <w:tc>
          <w:tcPr>
            <w:tcW w:w="1418" w:type="dxa"/>
            <w:tcBorders>
              <w:top w:val="single" w:color="auto" w:sz="4" w:space="0"/>
              <w:left w:val="nil"/>
              <w:bottom w:val="single" w:color="auto" w:sz="4" w:space="0"/>
              <w:right w:val="single" w:color="auto" w:sz="4" w:space="0"/>
            </w:tcBorders>
            <w:vAlign w:val="center"/>
          </w:tcPr>
          <w:p w14:paraId="67013332">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单位</w:t>
            </w:r>
          </w:p>
        </w:tc>
        <w:tc>
          <w:tcPr>
            <w:tcW w:w="1559" w:type="dxa"/>
            <w:tcBorders>
              <w:top w:val="single" w:color="auto" w:sz="4" w:space="0"/>
              <w:left w:val="nil"/>
              <w:bottom w:val="single" w:color="auto" w:sz="4" w:space="0"/>
              <w:right w:val="single" w:color="auto" w:sz="4" w:space="0"/>
            </w:tcBorders>
            <w:vAlign w:val="center"/>
          </w:tcPr>
          <w:p w14:paraId="3415ED04">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单价</w:t>
            </w:r>
          </w:p>
        </w:tc>
        <w:tc>
          <w:tcPr>
            <w:tcW w:w="993" w:type="dxa"/>
            <w:tcBorders>
              <w:top w:val="single" w:color="auto" w:sz="4" w:space="0"/>
              <w:left w:val="nil"/>
              <w:bottom w:val="single" w:color="auto" w:sz="4" w:space="0"/>
              <w:right w:val="single" w:color="auto" w:sz="4" w:space="0"/>
            </w:tcBorders>
            <w:vAlign w:val="center"/>
          </w:tcPr>
          <w:p w14:paraId="483282DA">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小计</w:t>
            </w:r>
          </w:p>
        </w:tc>
      </w:tr>
      <w:tr w14:paraId="12E52C42">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225E9821">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21FEFD89">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4E51388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CF35384">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3DD79DB5">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13CA0FC9">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9CC3C21">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3B2B9AFA">
            <w:pPr>
              <w:widowControl/>
              <w:jc w:val="left"/>
              <w:rPr>
                <w:rFonts w:hint="eastAsia" w:ascii="宋体" w:hAnsi="宋体" w:eastAsia="宋体" w:cs="宋体"/>
                <w:color w:val="000000"/>
                <w:kern w:val="0"/>
                <w:sz w:val="28"/>
                <w:szCs w:val="28"/>
              </w:rPr>
            </w:pPr>
          </w:p>
        </w:tc>
      </w:tr>
      <w:tr w14:paraId="38E09F67">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1918E782">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6B7631E7">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306561CB">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3C65762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B725BA2">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D3228CD">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853F6DF">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28329DE8">
            <w:pPr>
              <w:widowControl/>
              <w:jc w:val="left"/>
              <w:rPr>
                <w:rFonts w:hint="eastAsia" w:ascii="宋体" w:hAnsi="宋体" w:eastAsia="宋体" w:cs="宋体"/>
                <w:color w:val="000000"/>
                <w:kern w:val="0"/>
                <w:sz w:val="28"/>
                <w:szCs w:val="28"/>
              </w:rPr>
            </w:pPr>
          </w:p>
        </w:tc>
      </w:tr>
      <w:tr w14:paraId="300995E5">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563011D8">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0D2973EC">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0A50E028">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5BB41394">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266005AF">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CC6DA2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3ABB9E7">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6E077B14">
            <w:pPr>
              <w:widowControl/>
              <w:jc w:val="left"/>
              <w:rPr>
                <w:rFonts w:hint="eastAsia" w:ascii="宋体" w:hAnsi="宋体" w:eastAsia="宋体" w:cs="宋体"/>
                <w:color w:val="000000"/>
                <w:kern w:val="0"/>
                <w:sz w:val="28"/>
                <w:szCs w:val="28"/>
              </w:rPr>
            </w:pPr>
          </w:p>
        </w:tc>
      </w:tr>
      <w:tr w14:paraId="433B413B">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5F8749B7">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6423E16C">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4F8BD44F">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425CC001">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7B3EB004">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EF3788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D628178">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570DB08F">
            <w:pPr>
              <w:widowControl/>
              <w:jc w:val="left"/>
              <w:rPr>
                <w:rFonts w:hint="eastAsia" w:ascii="宋体" w:hAnsi="宋体" w:eastAsia="宋体" w:cs="宋体"/>
                <w:color w:val="000000"/>
                <w:kern w:val="0"/>
                <w:sz w:val="28"/>
                <w:szCs w:val="28"/>
              </w:rPr>
            </w:pPr>
          </w:p>
        </w:tc>
      </w:tr>
      <w:tr w14:paraId="0F25FD95">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534241C2">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2FE19AB3">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7CF89C17">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889211A">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FC7E14C">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621B0E4D">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3009D2E">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099AB532">
            <w:pPr>
              <w:widowControl/>
              <w:jc w:val="left"/>
              <w:rPr>
                <w:rFonts w:hint="eastAsia" w:ascii="宋体" w:hAnsi="宋体" w:eastAsia="宋体" w:cs="宋体"/>
                <w:color w:val="000000"/>
                <w:kern w:val="0"/>
                <w:sz w:val="28"/>
                <w:szCs w:val="28"/>
              </w:rPr>
            </w:pPr>
          </w:p>
        </w:tc>
      </w:tr>
      <w:tr w14:paraId="7B238BE7">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3F7DFC5E">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5F4787AD">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562CD668">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12A367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B782F2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6CB690C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32DE4FA2">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15A1CC33">
            <w:pPr>
              <w:widowControl/>
              <w:jc w:val="left"/>
              <w:rPr>
                <w:rFonts w:hint="eastAsia" w:ascii="宋体" w:hAnsi="宋体" w:eastAsia="宋体" w:cs="宋体"/>
                <w:color w:val="000000"/>
                <w:kern w:val="0"/>
                <w:sz w:val="28"/>
                <w:szCs w:val="28"/>
              </w:rPr>
            </w:pPr>
          </w:p>
        </w:tc>
      </w:tr>
      <w:tr w14:paraId="01A93E28">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0B0D09BF">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0E3BA102">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209C7B2E">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2E2E690E">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58113A7">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3DBD825">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23FFBB31">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24BCFFAC">
            <w:pPr>
              <w:widowControl/>
              <w:jc w:val="left"/>
              <w:rPr>
                <w:rFonts w:hint="eastAsia" w:ascii="宋体" w:hAnsi="宋体" w:eastAsia="宋体" w:cs="宋体"/>
                <w:color w:val="000000"/>
                <w:kern w:val="0"/>
                <w:sz w:val="28"/>
                <w:szCs w:val="28"/>
              </w:rPr>
            </w:pPr>
          </w:p>
        </w:tc>
      </w:tr>
      <w:tr w14:paraId="2EFDA0EC">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54C241BF">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3B612596">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18EBD1B2">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29D86A3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E6F7D92">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6312FB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8006C0D">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733E1020">
            <w:pPr>
              <w:widowControl/>
              <w:jc w:val="left"/>
              <w:rPr>
                <w:rFonts w:hint="eastAsia" w:ascii="宋体" w:hAnsi="宋体" w:eastAsia="宋体" w:cs="宋体"/>
                <w:color w:val="000000"/>
                <w:kern w:val="0"/>
                <w:sz w:val="28"/>
                <w:szCs w:val="28"/>
              </w:rPr>
            </w:pPr>
          </w:p>
        </w:tc>
      </w:tr>
      <w:tr w14:paraId="18548152">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53135CF8">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28E26AC4">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11269E6C">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1985813">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C778548">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3040CD5C">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11310B9">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13755BEE">
            <w:pPr>
              <w:widowControl/>
              <w:jc w:val="left"/>
              <w:rPr>
                <w:rFonts w:hint="eastAsia" w:ascii="宋体" w:hAnsi="宋体" w:eastAsia="宋体" w:cs="宋体"/>
                <w:color w:val="000000"/>
                <w:kern w:val="0"/>
                <w:sz w:val="28"/>
                <w:szCs w:val="28"/>
              </w:rPr>
            </w:pPr>
          </w:p>
        </w:tc>
      </w:tr>
      <w:tr w14:paraId="16F40755">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CF1E1AE">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666BC792">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4FD41384">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5FD82E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39928FA3">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69D25E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5C3BF8D">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11983348">
            <w:pPr>
              <w:widowControl/>
              <w:jc w:val="left"/>
              <w:rPr>
                <w:rFonts w:hint="eastAsia" w:ascii="宋体" w:hAnsi="宋体" w:eastAsia="宋体" w:cs="宋体"/>
                <w:color w:val="000000"/>
                <w:kern w:val="0"/>
                <w:sz w:val="28"/>
                <w:szCs w:val="28"/>
              </w:rPr>
            </w:pPr>
          </w:p>
        </w:tc>
      </w:tr>
      <w:tr w14:paraId="0F6388E5">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2ACA07DF">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239CAE23">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4CD12A10">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0F478E3E">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7289F9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7C80219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A96DDED">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68CCAF07">
            <w:pPr>
              <w:widowControl/>
              <w:jc w:val="left"/>
              <w:rPr>
                <w:rFonts w:hint="eastAsia" w:ascii="宋体" w:hAnsi="宋体" w:eastAsia="宋体" w:cs="宋体"/>
                <w:color w:val="000000"/>
                <w:kern w:val="0"/>
                <w:sz w:val="28"/>
                <w:szCs w:val="28"/>
              </w:rPr>
            </w:pPr>
          </w:p>
        </w:tc>
      </w:tr>
      <w:tr w14:paraId="4CA44314">
        <w:tblPrEx>
          <w:tblCellMar>
            <w:top w:w="0" w:type="dxa"/>
            <w:left w:w="108" w:type="dxa"/>
            <w:bottom w:w="0" w:type="dxa"/>
            <w:right w:w="108" w:type="dxa"/>
          </w:tblCellMar>
        </w:tblPrEx>
        <w:trPr>
          <w:trHeight w:val="567" w:hRule="atLeast"/>
        </w:trPr>
        <w:tc>
          <w:tcPr>
            <w:tcW w:w="1100" w:type="dxa"/>
            <w:tcBorders>
              <w:top w:val="single" w:color="auto" w:sz="4" w:space="0"/>
              <w:left w:val="single" w:color="auto" w:sz="4" w:space="0"/>
              <w:bottom w:val="single" w:color="auto" w:sz="4" w:space="0"/>
              <w:right w:val="single" w:color="auto" w:sz="4" w:space="0"/>
            </w:tcBorders>
            <w:vAlign w:val="center"/>
          </w:tcPr>
          <w:p w14:paraId="78877B80">
            <w:pPr>
              <w:widowControl/>
              <w:jc w:val="center"/>
              <w:rPr>
                <w:rFonts w:hint="eastAsia" w:ascii="宋体" w:hAnsi="宋体" w:eastAsia="宋体" w:cs="宋体"/>
                <w:color w:val="000000"/>
                <w:kern w:val="0"/>
                <w:sz w:val="28"/>
                <w:szCs w:val="28"/>
              </w:rPr>
            </w:pPr>
          </w:p>
        </w:tc>
        <w:tc>
          <w:tcPr>
            <w:tcW w:w="1100" w:type="dxa"/>
            <w:tcBorders>
              <w:top w:val="single" w:color="auto" w:sz="4" w:space="0"/>
              <w:left w:val="nil"/>
              <w:bottom w:val="single" w:color="auto" w:sz="4" w:space="0"/>
              <w:right w:val="single" w:color="auto" w:sz="4" w:space="0"/>
            </w:tcBorders>
            <w:vAlign w:val="center"/>
          </w:tcPr>
          <w:p w14:paraId="0099D431">
            <w:pPr>
              <w:widowControl/>
              <w:jc w:val="center"/>
              <w:rPr>
                <w:rFonts w:hint="eastAsia" w:ascii="宋体" w:hAnsi="宋体" w:eastAsia="宋体" w:cs="宋体"/>
                <w:color w:val="000000"/>
                <w:kern w:val="0"/>
                <w:sz w:val="28"/>
                <w:szCs w:val="28"/>
              </w:rPr>
            </w:pPr>
          </w:p>
        </w:tc>
        <w:tc>
          <w:tcPr>
            <w:tcW w:w="1344" w:type="dxa"/>
            <w:tcBorders>
              <w:top w:val="single" w:color="auto" w:sz="4" w:space="0"/>
              <w:left w:val="nil"/>
              <w:bottom w:val="single" w:color="auto" w:sz="4" w:space="0"/>
              <w:right w:val="single" w:color="auto" w:sz="4" w:space="0"/>
            </w:tcBorders>
            <w:vAlign w:val="center"/>
          </w:tcPr>
          <w:p w14:paraId="286E047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FAEFB1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6E371DE">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E941EF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373B1C0">
            <w:pPr>
              <w:widowControl/>
              <w:jc w:val="center"/>
              <w:rPr>
                <w:rFonts w:hint="eastAsia" w:ascii="宋体" w:hAnsi="宋体" w:eastAsia="宋体" w:cs="宋体"/>
                <w:color w:val="000000"/>
                <w:kern w:val="0"/>
                <w:sz w:val="28"/>
                <w:szCs w:val="28"/>
              </w:rPr>
            </w:pPr>
          </w:p>
        </w:tc>
        <w:tc>
          <w:tcPr>
            <w:tcW w:w="993" w:type="dxa"/>
            <w:tcBorders>
              <w:top w:val="single" w:color="auto" w:sz="4" w:space="0"/>
              <w:left w:val="nil"/>
              <w:bottom w:val="single" w:color="auto" w:sz="4" w:space="0"/>
              <w:right w:val="single" w:color="auto" w:sz="4" w:space="0"/>
            </w:tcBorders>
            <w:vAlign w:val="center"/>
          </w:tcPr>
          <w:p w14:paraId="0876B256">
            <w:pPr>
              <w:widowControl/>
              <w:jc w:val="left"/>
              <w:rPr>
                <w:rFonts w:hint="eastAsia" w:ascii="宋体" w:hAnsi="宋体" w:eastAsia="宋体" w:cs="宋体"/>
                <w:color w:val="000000"/>
                <w:kern w:val="0"/>
                <w:sz w:val="28"/>
                <w:szCs w:val="28"/>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spacing w:after="120"/>
        <w:ind w:firstLine="240" w:firstLineChars="100"/>
        <w:rPr>
          <w:rFonts w:hint="eastAsia" w:ascii="宋体" w:hAnsi="宋体" w:eastAsia="宋体" w:cs="宋体"/>
          <w:sz w:val="24"/>
          <w:szCs w:val="24"/>
        </w:rPr>
      </w:pPr>
    </w:p>
    <w:p w14:paraId="584E00C4">
      <w:pPr>
        <w:spacing w:after="120"/>
        <w:ind w:firstLine="240" w:firstLineChars="100"/>
        <w:rPr>
          <w:rFonts w:hint="eastAsia" w:ascii="宋体" w:hAnsi="宋体" w:eastAsia="宋体" w:cs="宋体"/>
          <w:sz w:val="24"/>
          <w:szCs w:val="24"/>
        </w:rPr>
      </w:pP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7"/>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ascii="仿宋_GB2312" w:hAnsi="华文楷体" w:eastAsia="仿宋_GB2312" w:cs="Times New Roman"/>
          <w:sz w:val="32"/>
          <w:szCs w:val="24"/>
        </w:rPr>
      </w:pPr>
    </w:p>
    <w:p w14:paraId="6BFD0234">
      <w:pPr>
        <w:tabs>
          <w:tab w:val="left" w:pos="0"/>
          <w:tab w:val="left" w:pos="993"/>
          <w:tab w:val="left" w:pos="1134"/>
        </w:tabs>
        <w:ind w:firstLine="640" w:firstLineChars="200"/>
        <w:rPr>
          <w:rFonts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ascii="仿宋_GB2312" w:hAnsi="华文楷体" w:eastAsia="仿宋_GB2312" w:cs="Times New Roman"/>
          <w:b/>
          <w:bCs/>
          <w:sz w:val="24"/>
          <w:szCs w:val="18"/>
        </w:rPr>
      </w:pPr>
      <w:bookmarkStart w:id="38" w:name="_Toc251248814"/>
      <w:bookmarkStart w:id="39" w:name="_Toc501007317"/>
      <w:bookmarkStart w:id="40" w:name="_Toc152045809"/>
      <w:bookmarkStart w:id="41" w:name="_Toc152042598"/>
      <w:bookmarkStart w:id="42" w:name="_Toc144974877"/>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ascii="仿宋_GB2312" w:hAnsi="华文楷体" w:eastAsia="仿宋_GB2312" w:cs="Times New Roman"/>
          <w:sz w:val="32"/>
          <w:szCs w:val="24"/>
        </w:rPr>
      </w:pPr>
    </w:p>
    <w:p w14:paraId="61504D18">
      <w:pPr>
        <w:tabs>
          <w:tab w:val="left" w:pos="0"/>
          <w:tab w:val="left" w:pos="993"/>
          <w:tab w:val="left" w:pos="1134"/>
        </w:tabs>
        <w:ind w:firstLine="640" w:firstLineChars="200"/>
        <w:rPr>
          <w:rFonts w:ascii="仿宋_GB2312" w:hAnsi="华文楷体" w:eastAsia="仿宋_GB2312" w:cs="Times New Roman"/>
          <w:sz w:val="32"/>
          <w:szCs w:val="24"/>
        </w:rPr>
      </w:pPr>
    </w:p>
    <w:p w14:paraId="60AA85DB">
      <w:pPr>
        <w:tabs>
          <w:tab w:val="left" w:pos="0"/>
          <w:tab w:val="left" w:pos="993"/>
          <w:tab w:val="left" w:pos="1134"/>
        </w:tabs>
        <w:ind w:firstLine="640" w:firstLineChars="200"/>
        <w:rPr>
          <w:rFonts w:ascii="仿宋_GB2312" w:hAnsi="华文楷体" w:eastAsia="仿宋_GB2312" w:cs="Times New Roman"/>
          <w:sz w:val="32"/>
          <w:szCs w:val="24"/>
        </w:rPr>
      </w:pPr>
    </w:p>
    <w:p w14:paraId="08DE113B">
      <w:pPr>
        <w:tabs>
          <w:tab w:val="left" w:pos="0"/>
          <w:tab w:val="left" w:pos="993"/>
          <w:tab w:val="left" w:pos="1134"/>
        </w:tabs>
        <w:ind w:firstLine="640" w:firstLineChars="200"/>
        <w:rPr>
          <w:rFonts w:ascii="仿宋_GB2312" w:hAnsi="华文楷体" w:eastAsia="仿宋_GB2312" w:cs="Times New Roman"/>
          <w:sz w:val="32"/>
          <w:szCs w:val="24"/>
        </w:rPr>
      </w:pPr>
    </w:p>
    <w:p w14:paraId="4A47C2C6">
      <w:pPr>
        <w:tabs>
          <w:tab w:val="left" w:pos="0"/>
          <w:tab w:val="left" w:pos="993"/>
          <w:tab w:val="left" w:pos="1134"/>
        </w:tabs>
        <w:ind w:firstLine="640" w:firstLineChars="200"/>
        <w:rPr>
          <w:rFonts w:ascii="仿宋_GB2312" w:hAnsi="华文楷体" w:eastAsia="仿宋_GB2312" w:cs="Times New Roman"/>
          <w:sz w:val="32"/>
          <w:szCs w:val="24"/>
        </w:rPr>
      </w:pPr>
    </w:p>
    <w:p w14:paraId="3E080491">
      <w:pPr>
        <w:tabs>
          <w:tab w:val="left" w:pos="0"/>
          <w:tab w:val="left" w:pos="993"/>
          <w:tab w:val="left" w:pos="1134"/>
        </w:tabs>
        <w:ind w:firstLine="640" w:firstLineChars="200"/>
        <w:rPr>
          <w:rFonts w:ascii="仿宋_GB2312" w:hAnsi="华文楷体" w:eastAsia="仿宋_GB2312" w:cs="Times New Roman"/>
          <w:sz w:val="32"/>
          <w:szCs w:val="24"/>
        </w:rPr>
      </w:pPr>
    </w:p>
    <w:p w14:paraId="54A3F1F6">
      <w:pPr>
        <w:tabs>
          <w:tab w:val="left" w:pos="0"/>
          <w:tab w:val="left" w:pos="993"/>
          <w:tab w:val="left" w:pos="1134"/>
        </w:tabs>
        <w:ind w:firstLine="640" w:firstLineChars="200"/>
        <w:rPr>
          <w:rFonts w:ascii="仿宋_GB2312" w:hAnsi="华文楷体" w:eastAsia="仿宋_GB2312" w:cs="Times New Roman"/>
          <w:sz w:val="32"/>
          <w:szCs w:val="24"/>
        </w:rPr>
      </w:pPr>
    </w:p>
    <w:p w14:paraId="3086488E">
      <w:pPr>
        <w:tabs>
          <w:tab w:val="left" w:pos="0"/>
          <w:tab w:val="left" w:pos="993"/>
          <w:tab w:val="left" w:pos="1134"/>
        </w:tabs>
        <w:ind w:firstLine="640" w:firstLineChars="200"/>
        <w:rPr>
          <w:rFonts w:ascii="仿宋_GB2312" w:hAnsi="华文楷体" w:eastAsia="仿宋_GB2312" w:cs="Times New Roman"/>
          <w:sz w:val="32"/>
          <w:szCs w:val="24"/>
        </w:rPr>
      </w:pPr>
    </w:p>
    <w:p w14:paraId="2A9A2F6D">
      <w:pPr>
        <w:tabs>
          <w:tab w:val="left" w:pos="0"/>
          <w:tab w:val="left" w:pos="993"/>
          <w:tab w:val="left" w:pos="1134"/>
        </w:tabs>
        <w:ind w:firstLine="640" w:firstLineChars="200"/>
        <w:rPr>
          <w:rFonts w:ascii="仿宋_GB2312" w:hAnsi="华文楷体" w:eastAsia="仿宋_GB2312" w:cs="Times New Roman"/>
          <w:sz w:val="32"/>
          <w:szCs w:val="24"/>
        </w:rPr>
      </w:pPr>
    </w:p>
    <w:p w14:paraId="781A3924">
      <w:pPr>
        <w:tabs>
          <w:tab w:val="left" w:pos="0"/>
          <w:tab w:val="left" w:pos="993"/>
          <w:tab w:val="left" w:pos="1134"/>
        </w:tabs>
        <w:ind w:firstLine="640" w:firstLineChars="200"/>
        <w:rPr>
          <w:rFonts w:ascii="仿宋_GB2312" w:hAnsi="华文楷体" w:eastAsia="仿宋_GB2312" w:cs="Times New Roman"/>
          <w:sz w:val="32"/>
          <w:szCs w:val="24"/>
        </w:rPr>
      </w:pPr>
    </w:p>
    <w:p w14:paraId="210F2466">
      <w:pPr>
        <w:tabs>
          <w:tab w:val="left" w:pos="0"/>
          <w:tab w:val="left" w:pos="993"/>
          <w:tab w:val="left" w:pos="1134"/>
        </w:tabs>
        <w:ind w:firstLine="640" w:firstLineChars="200"/>
        <w:rPr>
          <w:rFonts w:ascii="仿宋_GB2312" w:hAnsi="华文楷体" w:eastAsia="仿宋_GB2312" w:cs="Times New Roman"/>
          <w:sz w:val="32"/>
          <w:szCs w:val="24"/>
        </w:rPr>
      </w:pPr>
    </w:p>
    <w:p w14:paraId="5CF41C84">
      <w:pPr>
        <w:tabs>
          <w:tab w:val="left" w:pos="0"/>
          <w:tab w:val="left" w:pos="993"/>
          <w:tab w:val="left" w:pos="1134"/>
        </w:tabs>
        <w:ind w:firstLine="640" w:firstLineChars="200"/>
        <w:rPr>
          <w:rFonts w:ascii="仿宋_GB2312" w:hAnsi="华文楷体" w:eastAsia="仿宋_GB2312" w:cs="Times New Roman"/>
          <w:sz w:val="32"/>
          <w:szCs w:val="24"/>
        </w:rPr>
      </w:pPr>
    </w:p>
    <w:p w14:paraId="1BF6EE63">
      <w:pPr>
        <w:tabs>
          <w:tab w:val="left" w:pos="0"/>
          <w:tab w:val="left" w:pos="993"/>
          <w:tab w:val="left" w:pos="1134"/>
        </w:tabs>
        <w:ind w:firstLine="640" w:firstLineChars="200"/>
        <w:rPr>
          <w:rFonts w:ascii="仿宋_GB2312" w:hAnsi="华文楷体" w:eastAsia="仿宋_GB2312" w:cs="Times New Roman"/>
          <w:sz w:val="32"/>
          <w:szCs w:val="24"/>
        </w:rPr>
      </w:pPr>
    </w:p>
    <w:p w14:paraId="6B241E29">
      <w:pPr>
        <w:tabs>
          <w:tab w:val="left" w:pos="0"/>
          <w:tab w:val="left" w:pos="993"/>
          <w:tab w:val="left" w:pos="1134"/>
        </w:tabs>
        <w:ind w:firstLine="640" w:firstLineChars="200"/>
        <w:rPr>
          <w:rFonts w:ascii="仿宋_GB2312" w:hAnsi="华文楷体" w:eastAsia="仿宋_GB2312" w:cs="Times New Roman"/>
          <w:sz w:val="32"/>
          <w:szCs w:val="24"/>
        </w:rPr>
      </w:pPr>
    </w:p>
    <w:p w14:paraId="63A5EEB2">
      <w:pPr>
        <w:tabs>
          <w:tab w:val="left" w:pos="0"/>
          <w:tab w:val="left" w:pos="993"/>
          <w:tab w:val="left" w:pos="1134"/>
        </w:tabs>
        <w:ind w:firstLine="640" w:firstLineChars="200"/>
        <w:rPr>
          <w:rFonts w:ascii="仿宋_GB2312" w:hAnsi="华文楷体" w:eastAsia="仿宋_GB2312" w:cs="Times New Roman"/>
          <w:sz w:val="32"/>
          <w:szCs w:val="24"/>
        </w:rPr>
      </w:pPr>
    </w:p>
    <w:p w14:paraId="6FC320C4">
      <w:pPr>
        <w:tabs>
          <w:tab w:val="left" w:pos="0"/>
          <w:tab w:val="left" w:pos="993"/>
          <w:tab w:val="left" w:pos="1134"/>
        </w:tabs>
        <w:ind w:firstLine="640" w:firstLineChars="200"/>
        <w:rPr>
          <w:rFonts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6588"/>
    <w:rsid w:val="00011F17"/>
    <w:rsid w:val="00011FAD"/>
    <w:rsid w:val="0001363B"/>
    <w:rsid w:val="00013DE0"/>
    <w:rsid w:val="000140BD"/>
    <w:rsid w:val="00015B91"/>
    <w:rsid w:val="00015D33"/>
    <w:rsid w:val="00016D2C"/>
    <w:rsid w:val="0001721E"/>
    <w:rsid w:val="00021423"/>
    <w:rsid w:val="00022263"/>
    <w:rsid w:val="000225EA"/>
    <w:rsid w:val="00023091"/>
    <w:rsid w:val="000236DB"/>
    <w:rsid w:val="0002485C"/>
    <w:rsid w:val="000273E4"/>
    <w:rsid w:val="00030998"/>
    <w:rsid w:val="0003165C"/>
    <w:rsid w:val="000318F7"/>
    <w:rsid w:val="00031938"/>
    <w:rsid w:val="0003220D"/>
    <w:rsid w:val="00033A7F"/>
    <w:rsid w:val="00033FE7"/>
    <w:rsid w:val="000342D1"/>
    <w:rsid w:val="000351DD"/>
    <w:rsid w:val="0003624D"/>
    <w:rsid w:val="0003626B"/>
    <w:rsid w:val="00036AA1"/>
    <w:rsid w:val="00036E3F"/>
    <w:rsid w:val="00042C9D"/>
    <w:rsid w:val="0004377B"/>
    <w:rsid w:val="00044FD7"/>
    <w:rsid w:val="00045091"/>
    <w:rsid w:val="00046705"/>
    <w:rsid w:val="00047573"/>
    <w:rsid w:val="0005018A"/>
    <w:rsid w:val="00050F54"/>
    <w:rsid w:val="0005258C"/>
    <w:rsid w:val="00052633"/>
    <w:rsid w:val="00053DAB"/>
    <w:rsid w:val="00054C06"/>
    <w:rsid w:val="000562E6"/>
    <w:rsid w:val="00056CF6"/>
    <w:rsid w:val="0005718D"/>
    <w:rsid w:val="00060719"/>
    <w:rsid w:val="000607F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59C"/>
    <w:rsid w:val="0008470D"/>
    <w:rsid w:val="00085D52"/>
    <w:rsid w:val="00085E65"/>
    <w:rsid w:val="00087316"/>
    <w:rsid w:val="00087A83"/>
    <w:rsid w:val="00090B2D"/>
    <w:rsid w:val="00091180"/>
    <w:rsid w:val="000917DD"/>
    <w:rsid w:val="00091EFF"/>
    <w:rsid w:val="0009218E"/>
    <w:rsid w:val="00092226"/>
    <w:rsid w:val="00093757"/>
    <w:rsid w:val="0009471C"/>
    <w:rsid w:val="00096FA3"/>
    <w:rsid w:val="00097AC5"/>
    <w:rsid w:val="000A0622"/>
    <w:rsid w:val="000A0F1A"/>
    <w:rsid w:val="000A1A06"/>
    <w:rsid w:val="000A1D50"/>
    <w:rsid w:val="000A2D7B"/>
    <w:rsid w:val="000A3166"/>
    <w:rsid w:val="000A34AA"/>
    <w:rsid w:val="000A392B"/>
    <w:rsid w:val="000A3DF4"/>
    <w:rsid w:val="000A5CEC"/>
    <w:rsid w:val="000A6DFD"/>
    <w:rsid w:val="000A7328"/>
    <w:rsid w:val="000B0CCC"/>
    <w:rsid w:val="000B10A4"/>
    <w:rsid w:val="000B14E6"/>
    <w:rsid w:val="000B1ABD"/>
    <w:rsid w:val="000B1C9B"/>
    <w:rsid w:val="000B205E"/>
    <w:rsid w:val="000B37B9"/>
    <w:rsid w:val="000B48F1"/>
    <w:rsid w:val="000B4AFA"/>
    <w:rsid w:val="000B5649"/>
    <w:rsid w:val="000B6731"/>
    <w:rsid w:val="000B6F1E"/>
    <w:rsid w:val="000B722A"/>
    <w:rsid w:val="000B731A"/>
    <w:rsid w:val="000B7CCA"/>
    <w:rsid w:val="000C0FF3"/>
    <w:rsid w:val="000C11C1"/>
    <w:rsid w:val="000C11D6"/>
    <w:rsid w:val="000C386C"/>
    <w:rsid w:val="000C3D3A"/>
    <w:rsid w:val="000C4EA6"/>
    <w:rsid w:val="000D0E4E"/>
    <w:rsid w:val="000D1229"/>
    <w:rsid w:val="000D1D35"/>
    <w:rsid w:val="000D3F2D"/>
    <w:rsid w:val="000D4E44"/>
    <w:rsid w:val="000D53E5"/>
    <w:rsid w:val="000D5755"/>
    <w:rsid w:val="000D5E33"/>
    <w:rsid w:val="000D72D0"/>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5CCF"/>
    <w:rsid w:val="000F6785"/>
    <w:rsid w:val="000F7072"/>
    <w:rsid w:val="000F735A"/>
    <w:rsid w:val="00100E58"/>
    <w:rsid w:val="00101303"/>
    <w:rsid w:val="00102FC6"/>
    <w:rsid w:val="00103264"/>
    <w:rsid w:val="001033E1"/>
    <w:rsid w:val="00104AB5"/>
    <w:rsid w:val="00105AEB"/>
    <w:rsid w:val="001132C1"/>
    <w:rsid w:val="00113A29"/>
    <w:rsid w:val="00113BEB"/>
    <w:rsid w:val="001149DE"/>
    <w:rsid w:val="001162C0"/>
    <w:rsid w:val="0011630D"/>
    <w:rsid w:val="00116A13"/>
    <w:rsid w:val="00116B51"/>
    <w:rsid w:val="00121568"/>
    <w:rsid w:val="001241A8"/>
    <w:rsid w:val="001244CD"/>
    <w:rsid w:val="0012473B"/>
    <w:rsid w:val="00124DF8"/>
    <w:rsid w:val="00125B6B"/>
    <w:rsid w:val="00125DEC"/>
    <w:rsid w:val="00126439"/>
    <w:rsid w:val="001302E4"/>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532C8"/>
    <w:rsid w:val="0015461E"/>
    <w:rsid w:val="00155B17"/>
    <w:rsid w:val="00157739"/>
    <w:rsid w:val="00160601"/>
    <w:rsid w:val="00162844"/>
    <w:rsid w:val="001642A3"/>
    <w:rsid w:val="00164AC1"/>
    <w:rsid w:val="001658B2"/>
    <w:rsid w:val="00166659"/>
    <w:rsid w:val="00166E54"/>
    <w:rsid w:val="00166F26"/>
    <w:rsid w:val="0017040C"/>
    <w:rsid w:val="0017076E"/>
    <w:rsid w:val="00173200"/>
    <w:rsid w:val="001733A9"/>
    <w:rsid w:val="00173ECF"/>
    <w:rsid w:val="00174578"/>
    <w:rsid w:val="001765B3"/>
    <w:rsid w:val="00176D0C"/>
    <w:rsid w:val="0017795B"/>
    <w:rsid w:val="00181F18"/>
    <w:rsid w:val="00183DE3"/>
    <w:rsid w:val="00184EDF"/>
    <w:rsid w:val="00185E71"/>
    <w:rsid w:val="00186685"/>
    <w:rsid w:val="001866CC"/>
    <w:rsid w:val="00190F49"/>
    <w:rsid w:val="00191109"/>
    <w:rsid w:val="00191457"/>
    <w:rsid w:val="001923DE"/>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12E8"/>
    <w:rsid w:val="001C23C1"/>
    <w:rsid w:val="001C2F64"/>
    <w:rsid w:val="001C47B3"/>
    <w:rsid w:val="001C69CB"/>
    <w:rsid w:val="001C6ACC"/>
    <w:rsid w:val="001C7178"/>
    <w:rsid w:val="001C7807"/>
    <w:rsid w:val="001D01D1"/>
    <w:rsid w:val="001D067A"/>
    <w:rsid w:val="001D0D8D"/>
    <w:rsid w:val="001D266E"/>
    <w:rsid w:val="001D337D"/>
    <w:rsid w:val="001D3C6A"/>
    <w:rsid w:val="001D5401"/>
    <w:rsid w:val="001D6C5A"/>
    <w:rsid w:val="001D7294"/>
    <w:rsid w:val="001D7637"/>
    <w:rsid w:val="001E020F"/>
    <w:rsid w:val="001E0274"/>
    <w:rsid w:val="001E0BC4"/>
    <w:rsid w:val="001E244C"/>
    <w:rsid w:val="001E2B1A"/>
    <w:rsid w:val="001E444A"/>
    <w:rsid w:val="001E5C75"/>
    <w:rsid w:val="001F1522"/>
    <w:rsid w:val="001F295B"/>
    <w:rsid w:val="001F3822"/>
    <w:rsid w:val="001F4150"/>
    <w:rsid w:val="001F4924"/>
    <w:rsid w:val="001F525C"/>
    <w:rsid w:val="00200DB9"/>
    <w:rsid w:val="00201F43"/>
    <w:rsid w:val="00204BF2"/>
    <w:rsid w:val="00204C52"/>
    <w:rsid w:val="0020562C"/>
    <w:rsid w:val="00211866"/>
    <w:rsid w:val="002131D7"/>
    <w:rsid w:val="00217EB2"/>
    <w:rsid w:val="0022090A"/>
    <w:rsid w:val="00222743"/>
    <w:rsid w:val="00224CC7"/>
    <w:rsid w:val="00227717"/>
    <w:rsid w:val="00227E30"/>
    <w:rsid w:val="0023081E"/>
    <w:rsid w:val="0023137B"/>
    <w:rsid w:val="00232306"/>
    <w:rsid w:val="00232566"/>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5076"/>
    <w:rsid w:val="002779D8"/>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F87"/>
    <w:rsid w:val="002F5B3D"/>
    <w:rsid w:val="002F641C"/>
    <w:rsid w:val="002F74FB"/>
    <w:rsid w:val="0030021F"/>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551E"/>
    <w:rsid w:val="003257F4"/>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61CE0"/>
    <w:rsid w:val="003620E6"/>
    <w:rsid w:val="0036306F"/>
    <w:rsid w:val="003636A4"/>
    <w:rsid w:val="0036398D"/>
    <w:rsid w:val="00364835"/>
    <w:rsid w:val="00365559"/>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20A0"/>
    <w:rsid w:val="003824D4"/>
    <w:rsid w:val="003826AD"/>
    <w:rsid w:val="0038305D"/>
    <w:rsid w:val="00384369"/>
    <w:rsid w:val="00384631"/>
    <w:rsid w:val="00386971"/>
    <w:rsid w:val="00386A91"/>
    <w:rsid w:val="00386C43"/>
    <w:rsid w:val="0038701D"/>
    <w:rsid w:val="00387D51"/>
    <w:rsid w:val="00391F59"/>
    <w:rsid w:val="00392589"/>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5519"/>
    <w:rsid w:val="003B57DD"/>
    <w:rsid w:val="003B623E"/>
    <w:rsid w:val="003B67FD"/>
    <w:rsid w:val="003C01D9"/>
    <w:rsid w:val="003C1905"/>
    <w:rsid w:val="003C1ADB"/>
    <w:rsid w:val="003C3051"/>
    <w:rsid w:val="003C3884"/>
    <w:rsid w:val="003C42D3"/>
    <w:rsid w:val="003C465E"/>
    <w:rsid w:val="003C4AB0"/>
    <w:rsid w:val="003C4C37"/>
    <w:rsid w:val="003C5A28"/>
    <w:rsid w:val="003C6079"/>
    <w:rsid w:val="003C6969"/>
    <w:rsid w:val="003C6B3E"/>
    <w:rsid w:val="003C714E"/>
    <w:rsid w:val="003D227C"/>
    <w:rsid w:val="003D255F"/>
    <w:rsid w:val="003D27E9"/>
    <w:rsid w:val="003D3609"/>
    <w:rsid w:val="003D468B"/>
    <w:rsid w:val="003D5A3A"/>
    <w:rsid w:val="003D6AB0"/>
    <w:rsid w:val="003D6D06"/>
    <w:rsid w:val="003D7269"/>
    <w:rsid w:val="003D7535"/>
    <w:rsid w:val="003E1D81"/>
    <w:rsid w:val="003E252A"/>
    <w:rsid w:val="003E4147"/>
    <w:rsid w:val="003F0840"/>
    <w:rsid w:val="003F1E5F"/>
    <w:rsid w:val="003F1FF2"/>
    <w:rsid w:val="003F2D4A"/>
    <w:rsid w:val="003F4E56"/>
    <w:rsid w:val="003F5268"/>
    <w:rsid w:val="003F5D3A"/>
    <w:rsid w:val="003F5DC4"/>
    <w:rsid w:val="003F5E5A"/>
    <w:rsid w:val="003F637F"/>
    <w:rsid w:val="003F65E4"/>
    <w:rsid w:val="003F6F4C"/>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204B7"/>
    <w:rsid w:val="00421E9F"/>
    <w:rsid w:val="00423D6E"/>
    <w:rsid w:val="00425DEA"/>
    <w:rsid w:val="00427D67"/>
    <w:rsid w:val="004320A0"/>
    <w:rsid w:val="00434165"/>
    <w:rsid w:val="004342DD"/>
    <w:rsid w:val="00436149"/>
    <w:rsid w:val="0043755F"/>
    <w:rsid w:val="00440018"/>
    <w:rsid w:val="00440CFE"/>
    <w:rsid w:val="00441686"/>
    <w:rsid w:val="00441D0C"/>
    <w:rsid w:val="00441F77"/>
    <w:rsid w:val="00444957"/>
    <w:rsid w:val="00444E0D"/>
    <w:rsid w:val="004457E3"/>
    <w:rsid w:val="00445B8C"/>
    <w:rsid w:val="004465FF"/>
    <w:rsid w:val="00446D2F"/>
    <w:rsid w:val="00446E79"/>
    <w:rsid w:val="00446F75"/>
    <w:rsid w:val="00447445"/>
    <w:rsid w:val="00450007"/>
    <w:rsid w:val="00450FC4"/>
    <w:rsid w:val="00452236"/>
    <w:rsid w:val="004535AB"/>
    <w:rsid w:val="0045388A"/>
    <w:rsid w:val="00460477"/>
    <w:rsid w:val="00460650"/>
    <w:rsid w:val="00460F88"/>
    <w:rsid w:val="004619B1"/>
    <w:rsid w:val="00461B8D"/>
    <w:rsid w:val="0046209F"/>
    <w:rsid w:val="00462365"/>
    <w:rsid w:val="00462473"/>
    <w:rsid w:val="0046309C"/>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3EA9"/>
    <w:rsid w:val="004A6CDE"/>
    <w:rsid w:val="004B0CEE"/>
    <w:rsid w:val="004B186F"/>
    <w:rsid w:val="004B230E"/>
    <w:rsid w:val="004B271D"/>
    <w:rsid w:val="004B3F16"/>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AA5"/>
    <w:rsid w:val="004F68B7"/>
    <w:rsid w:val="004F7C0B"/>
    <w:rsid w:val="005016DD"/>
    <w:rsid w:val="00501734"/>
    <w:rsid w:val="00503E35"/>
    <w:rsid w:val="005042C6"/>
    <w:rsid w:val="00504798"/>
    <w:rsid w:val="005049D7"/>
    <w:rsid w:val="00505980"/>
    <w:rsid w:val="00505CA1"/>
    <w:rsid w:val="0050669F"/>
    <w:rsid w:val="00512F91"/>
    <w:rsid w:val="005144F1"/>
    <w:rsid w:val="00514F3D"/>
    <w:rsid w:val="00515A1A"/>
    <w:rsid w:val="00515C79"/>
    <w:rsid w:val="00516439"/>
    <w:rsid w:val="005222E9"/>
    <w:rsid w:val="00522428"/>
    <w:rsid w:val="0052513D"/>
    <w:rsid w:val="00525B90"/>
    <w:rsid w:val="00525BA9"/>
    <w:rsid w:val="00526B4A"/>
    <w:rsid w:val="00526D46"/>
    <w:rsid w:val="00534B3E"/>
    <w:rsid w:val="00535F4A"/>
    <w:rsid w:val="005369FA"/>
    <w:rsid w:val="0053749F"/>
    <w:rsid w:val="00537F14"/>
    <w:rsid w:val="0054199E"/>
    <w:rsid w:val="00545776"/>
    <w:rsid w:val="005465DD"/>
    <w:rsid w:val="0054683B"/>
    <w:rsid w:val="005470A7"/>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B14"/>
    <w:rsid w:val="005755AB"/>
    <w:rsid w:val="00575F61"/>
    <w:rsid w:val="00576B90"/>
    <w:rsid w:val="00576DFE"/>
    <w:rsid w:val="005807B3"/>
    <w:rsid w:val="0058127B"/>
    <w:rsid w:val="00582025"/>
    <w:rsid w:val="00582F6F"/>
    <w:rsid w:val="00584E93"/>
    <w:rsid w:val="005856DF"/>
    <w:rsid w:val="00590D06"/>
    <w:rsid w:val="0059132E"/>
    <w:rsid w:val="005920E9"/>
    <w:rsid w:val="0059384B"/>
    <w:rsid w:val="00593D02"/>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C076C"/>
    <w:rsid w:val="005C3D74"/>
    <w:rsid w:val="005C3FC6"/>
    <w:rsid w:val="005C50B2"/>
    <w:rsid w:val="005C5CCC"/>
    <w:rsid w:val="005C6660"/>
    <w:rsid w:val="005C6FE6"/>
    <w:rsid w:val="005D0E97"/>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5A22"/>
    <w:rsid w:val="00635C3F"/>
    <w:rsid w:val="00635E8E"/>
    <w:rsid w:val="00637475"/>
    <w:rsid w:val="00640A5F"/>
    <w:rsid w:val="0064165B"/>
    <w:rsid w:val="00642554"/>
    <w:rsid w:val="0064435A"/>
    <w:rsid w:val="00646151"/>
    <w:rsid w:val="00653059"/>
    <w:rsid w:val="006539C3"/>
    <w:rsid w:val="00654671"/>
    <w:rsid w:val="006566AA"/>
    <w:rsid w:val="006576F3"/>
    <w:rsid w:val="006626B8"/>
    <w:rsid w:val="0066338F"/>
    <w:rsid w:val="00663A7D"/>
    <w:rsid w:val="00663D7B"/>
    <w:rsid w:val="00667240"/>
    <w:rsid w:val="006673B4"/>
    <w:rsid w:val="0066748D"/>
    <w:rsid w:val="00670BBD"/>
    <w:rsid w:val="0067118B"/>
    <w:rsid w:val="0067144B"/>
    <w:rsid w:val="00671687"/>
    <w:rsid w:val="00671F29"/>
    <w:rsid w:val="00672F83"/>
    <w:rsid w:val="00673A89"/>
    <w:rsid w:val="00673D17"/>
    <w:rsid w:val="00675854"/>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5297"/>
    <w:rsid w:val="006C5578"/>
    <w:rsid w:val="006C5A0C"/>
    <w:rsid w:val="006C6D4D"/>
    <w:rsid w:val="006C7A4E"/>
    <w:rsid w:val="006D0C8C"/>
    <w:rsid w:val="006D10DC"/>
    <w:rsid w:val="006D1EEE"/>
    <w:rsid w:val="006D2C6D"/>
    <w:rsid w:val="006D4355"/>
    <w:rsid w:val="006D4A24"/>
    <w:rsid w:val="006D5309"/>
    <w:rsid w:val="006D7B80"/>
    <w:rsid w:val="006D7CE5"/>
    <w:rsid w:val="006E0844"/>
    <w:rsid w:val="006E154C"/>
    <w:rsid w:val="006E1FCB"/>
    <w:rsid w:val="006E30C4"/>
    <w:rsid w:val="006E3433"/>
    <w:rsid w:val="006E396C"/>
    <w:rsid w:val="006E3D13"/>
    <w:rsid w:val="006E6F63"/>
    <w:rsid w:val="006F094B"/>
    <w:rsid w:val="006F0F02"/>
    <w:rsid w:val="006F1082"/>
    <w:rsid w:val="006F4803"/>
    <w:rsid w:val="006F6511"/>
    <w:rsid w:val="006F6B55"/>
    <w:rsid w:val="006F6E09"/>
    <w:rsid w:val="006F7D4C"/>
    <w:rsid w:val="00700288"/>
    <w:rsid w:val="007011A2"/>
    <w:rsid w:val="00701ADC"/>
    <w:rsid w:val="00701F79"/>
    <w:rsid w:val="00702AD7"/>
    <w:rsid w:val="00703494"/>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4707"/>
    <w:rsid w:val="00736970"/>
    <w:rsid w:val="007376CE"/>
    <w:rsid w:val="00737D86"/>
    <w:rsid w:val="00741F51"/>
    <w:rsid w:val="00742050"/>
    <w:rsid w:val="00742FA8"/>
    <w:rsid w:val="00744E9F"/>
    <w:rsid w:val="00745BF8"/>
    <w:rsid w:val="00746C3D"/>
    <w:rsid w:val="00747212"/>
    <w:rsid w:val="007477D9"/>
    <w:rsid w:val="00753169"/>
    <w:rsid w:val="00753689"/>
    <w:rsid w:val="007536A6"/>
    <w:rsid w:val="007537E5"/>
    <w:rsid w:val="0075476A"/>
    <w:rsid w:val="00754CCC"/>
    <w:rsid w:val="00755D14"/>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7671"/>
    <w:rsid w:val="0078771E"/>
    <w:rsid w:val="007904A5"/>
    <w:rsid w:val="00791900"/>
    <w:rsid w:val="007922C8"/>
    <w:rsid w:val="00793F1D"/>
    <w:rsid w:val="00794B9F"/>
    <w:rsid w:val="00794BAF"/>
    <w:rsid w:val="00795C32"/>
    <w:rsid w:val="00795E68"/>
    <w:rsid w:val="0079658C"/>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C10"/>
    <w:rsid w:val="007E64AB"/>
    <w:rsid w:val="007E6887"/>
    <w:rsid w:val="007E6F51"/>
    <w:rsid w:val="007E77C8"/>
    <w:rsid w:val="007F06B4"/>
    <w:rsid w:val="007F0BF7"/>
    <w:rsid w:val="007F1DB6"/>
    <w:rsid w:val="007F45E6"/>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31C0E"/>
    <w:rsid w:val="00832853"/>
    <w:rsid w:val="0083371C"/>
    <w:rsid w:val="008347F5"/>
    <w:rsid w:val="00836854"/>
    <w:rsid w:val="008407FC"/>
    <w:rsid w:val="00840AA8"/>
    <w:rsid w:val="00840B8E"/>
    <w:rsid w:val="00841131"/>
    <w:rsid w:val="00841336"/>
    <w:rsid w:val="008423C8"/>
    <w:rsid w:val="008426CC"/>
    <w:rsid w:val="0084275F"/>
    <w:rsid w:val="008449CF"/>
    <w:rsid w:val="00844C19"/>
    <w:rsid w:val="00846DB5"/>
    <w:rsid w:val="0084753D"/>
    <w:rsid w:val="00847B83"/>
    <w:rsid w:val="008510A5"/>
    <w:rsid w:val="00851DF1"/>
    <w:rsid w:val="00851F3C"/>
    <w:rsid w:val="00852846"/>
    <w:rsid w:val="00852849"/>
    <w:rsid w:val="00852FD2"/>
    <w:rsid w:val="00854069"/>
    <w:rsid w:val="00855BF6"/>
    <w:rsid w:val="00855F5A"/>
    <w:rsid w:val="00856699"/>
    <w:rsid w:val="00860A27"/>
    <w:rsid w:val="00861B1F"/>
    <w:rsid w:val="00862F98"/>
    <w:rsid w:val="008637B8"/>
    <w:rsid w:val="00863EB1"/>
    <w:rsid w:val="00864D4A"/>
    <w:rsid w:val="00865577"/>
    <w:rsid w:val="00867260"/>
    <w:rsid w:val="0086739E"/>
    <w:rsid w:val="0086791C"/>
    <w:rsid w:val="00870097"/>
    <w:rsid w:val="008728A5"/>
    <w:rsid w:val="00873CE7"/>
    <w:rsid w:val="00874836"/>
    <w:rsid w:val="00874C89"/>
    <w:rsid w:val="00875B6B"/>
    <w:rsid w:val="0087692C"/>
    <w:rsid w:val="00883B78"/>
    <w:rsid w:val="00884AA9"/>
    <w:rsid w:val="00885F71"/>
    <w:rsid w:val="00886B62"/>
    <w:rsid w:val="00886DDF"/>
    <w:rsid w:val="00887715"/>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1E2D"/>
    <w:rsid w:val="008C332A"/>
    <w:rsid w:val="008C37AF"/>
    <w:rsid w:val="008C5A5A"/>
    <w:rsid w:val="008C6EE8"/>
    <w:rsid w:val="008D1321"/>
    <w:rsid w:val="008D1974"/>
    <w:rsid w:val="008D270C"/>
    <w:rsid w:val="008D2D1B"/>
    <w:rsid w:val="008D40F6"/>
    <w:rsid w:val="008D4CA0"/>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6B2"/>
    <w:rsid w:val="009A061B"/>
    <w:rsid w:val="009A1EBA"/>
    <w:rsid w:val="009A2605"/>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E63"/>
    <w:rsid w:val="00A21B64"/>
    <w:rsid w:val="00A22187"/>
    <w:rsid w:val="00A23172"/>
    <w:rsid w:val="00A23C63"/>
    <w:rsid w:val="00A245FC"/>
    <w:rsid w:val="00A25608"/>
    <w:rsid w:val="00A27D77"/>
    <w:rsid w:val="00A27E62"/>
    <w:rsid w:val="00A30ADC"/>
    <w:rsid w:val="00A315CA"/>
    <w:rsid w:val="00A31B06"/>
    <w:rsid w:val="00A321C0"/>
    <w:rsid w:val="00A327F3"/>
    <w:rsid w:val="00A32D96"/>
    <w:rsid w:val="00A32E52"/>
    <w:rsid w:val="00A3652D"/>
    <w:rsid w:val="00A366D3"/>
    <w:rsid w:val="00A37006"/>
    <w:rsid w:val="00A40845"/>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FE"/>
    <w:rsid w:val="00A86761"/>
    <w:rsid w:val="00A905E1"/>
    <w:rsid w:val="00A90C21"/>
    <w:rsid w:val="00A9148A"/>
    <w:rsid w:val="00A92F11"/>
    <w:rsid w:val="00A94744"/>
    <w:rsid w:val="00A965FF"/>
    <w:rsid w:val="00A96A71"/>
    <w:rsid w:val="00AA0D1E"/>
    <w:rsid w:val="00AA132E"/>
    <w:rsid w:val="00AA19B1"/>
    <w:rsid w:val="00AA4196"/>
    <w:rsid w:val="00AA4796"/>
    <w:rsid w:val="00AA635C"/>
    <w:rsid w:val="00AA6945"/>
    <w:rsid w:val="00AB156C"/>
    <w:rsid w:val="00AB2F50"/>
    <w:rsid w:val="00AB3871"/>
    <w:rsid w:val="00AB479E"/>
    <w:rsid w:val="00AB4AF7"/>
    <w:rsid w:val="00AB7D41"/>
    <w:rsid w:val="00AC1D83"/>
    <w:rsid w:val="00AC4E19"/>
    <w:rsid w:val="00AC50EA"/>
    <w:rsid w:val="00AC5302"/>
    <w:rsid w:val="00AC54E3"/>
    <w:rsid w:val="00AC5880"/>
    <w:rsid w:val="00AD01B9"/>
    <w:rsid w:val="00AD0854"/>
    <w:rsid w:val="00AD239C"/>
    <w:rsid w:val="00AD4785"/>
    <w:rsid w:val="00AD4CB9"/>
    <w:rsid w:val="00AD50B7"/>
    <w:rsid w:val="00AD50F2"/>
    <w:rsid w:val="00AD5858"/>
    <w:rsid w:val="00AD5DC4"/>
    <w:rsid w:val="00AD6D80"/>
    <w:rsid w:val="00AD7920"/>
    <w:rsid w:val="00AE0864"/>
    <w:rsid w:val="00AE1EA9"/>
    <w:rsid w:val="00AE2D53"/>
    <w:rsid w:val="00AE2D5D"/>
    <w:rsid w:val="00AE3128"/>
    <w:rsid w:val="00AE31EA"/>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44CC"/>
    <w:rsid w:val="00B05629"/>
    <w:rsid w:val="00B05A38"/>
    <w:rsid w:val="00B05E9B"/>
    <w:rsid w:val="00B05FEB"/>
    <w:rsid w:val="00B06CCC"/>
    <w:rsid w:val="00B07BAB"/>
    <w:rsid w:val="00B10E02"/>
    <w:rsid w:val="00B1147E"/>
    <w:rsid w:val="00B12281"/>
    <w:rsid w:val="00B125CC"/>
    <w:rsid w:val="00B12721"/>
    <w:rsid w:val="00B130B2"/>
    <w:rsid w:val="00B141D0"/>
    <w:rsid w:val="00B14744"/>
    <w:rsid w:val="00B14F53"/>
    <w:rsid w:val="00B1759F"/>
    <w:rsid w:val="00B20019"/>
    <w:rsid w:val="00B20A14"/>
    <w:rsid w:val="00B21EA1"/>
    <w:rsid w:val="00B24A2E"/>
    <w:rsid w:val="00B24F4C"/>
    <w:rsid w:val="00B250B8"/>
    <w:rsid w:val="00B265BE"/>
    <w:rsid w:val="00B26B0A"/>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5BFB"/>
    <w:rsid w:val="00B46344"/>
    <w:rsid w:val="00B47825"/>
    <w:rsid w:val="00B47E34"/>
    <w:rsid w:val="00B51B72"/>
    <w:rsid w:val="00B529B2"/>
    <w:rsid w:val="00B538D0"/>
    <w:rsid w:val="00B544AC"/>
    <w:rsid w:val="00B54B6C"/>
    <w:rsid w:val="00B557DA"/>
    <w:rsid w:val="00B55B82"/>
    <w:rsid w:val="00B56CEA"/>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A7D"/>
    <w:rsid w:val="00B80B5C"/>
    <w:rsid w:val="00B82819"/>
    <w:rsid w:val="00B83241"/>
    <w:rsid w:val="00B8326E"/>
    <w:rsid w:val="00B84701"/>
    <w:rsid w:val="00B84AAF"/>
    <w:rsid w:val="00B84F46"/>
    <w:rsid w:val="00B85316"/>
    <w:rsid w:val="00B8580F"/>
    <w:rsid w:val="00B85B68"/>
    <w:rsid w:val="00B8672E"/>
    <w:rsid w:val="00B872FA"/>
    <w:rsid w:val="00B9070F"/>
    <w:rsid w:val="00B910F8"/>
    <w:rsid w:val="00B91645"/>
    <w:rsid w:val="00B922B6"/>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289D"/>
    <w:rsid w:val="00BB30BD"/>
    <w:rsid w:val="00BB44E9"/>
    <w:rsid w:val="00BB63B2"/>
    <w:rsid w:val="00BC01D9"/>
    <w:rsid w:val="00BC05BA"/>
    <w:rsid w:val="00BC326E"/>
    <w:rsid w:val="00BC37A3"/>
    <w:rsid w:val="00BC7840"/>
    <w:rsid w:val="00BC7C36"/>
    <w:rsid w:val="00BD0712"/>
    <w:rsid w:val="00BD154E"/>
    <w:rsid w:val="00BD178E"/>
    <w:rsid w:val="00BD1902"/>
    <w:rsid w:val="00BD23A1"/>
    <w:rsid w:val="00BD2443"/>
    <w:rsid w:val="00BD2DE0"/>
    <w:rsid w:val="00BD317E"/>
    <w:rsid w:val="00BD3CB4"/>
    <w:rsid w:val="00BD41D7"/>
    <w:rsid w:val="00BD63EE"/>
    <w:rsid w:val="00BD7E35"/>
    <w:rsid w:val="00BE1762"/>
    <w:rsid w:val="00BE1EEF"/>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039"/>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502E5"/>
    <w:rsid w:val="00C50BB4"/>
    <w:rsid w:val="00C50DB0"/>
    <w:rsid w:val="00C510D7"/>
    <w:rsid w:val="00C51641"/>
    <w:rsid w:val="00C527F2"/>
    <w:rsid w:val="00C52AD1"/>
    <w:rsid w:val="00C52B00"/>
    <w:rsid w:val="00C52C0A"/>
    <w:rsid w:val="00C5374E"/>
    <w:rsid w:val="00C5687B"/>
    <w:rsid w:val="00C603E7"/>
    <w:rsid w:val="00C60551"/>
    <w:rsid w:val="00C61678"/>
    <w:rsid w:val="00C620ED"/>
    <w:rsid w:val="00C62786"/>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8116E"/>
    <w:rsid w:val="00C81E90"/>
    <w:rsid w:val="00C82AAC"/>
    <w:rsid w:val="00C84855"/>
    <w:rsid w:val="00C84F5C"/>
    <w:rsid w:val="00C852C8"/>
    <w:rsid w:val="00C863F1"/>
    <w:rsid w:val="00C86E0A"/>
    <w:rsid w:val="00C8784C"/>
    <w:rsid w:val="00C87874"/>
    <w:rsid w:val="00C87C06"/>
    <w:rsid w:val="00C90BED"/>
    <w:rsid w:val="00C912FA"/>
    <w:rsid w:val="00C91C4D"/>
    <w:rsid w:val="00C91CBC"/>
    <w:rsid w:val="00C92561"/>
    <w:rsid w:val="00C95DF6"/>
    <w:rsid w:val="00CA04BC"/>
    <w:rsid w:val="00CA062E"/>
    <w:rsid w:val="00CA0E1F"/>
    <w:rsid w:val="00CA0EB8"/>
    <w:rsid w:val="00CA1C27"/>
    <w:rsid w:val="00CA270D"/>
    <w:rsid w:val="00CA2A3B"/>
    <w:rsid w:val="00CA3BB5"/>
    <w:rsid w:val="00CA563C"/>
    <w:rsid w:val="00CA737E"/>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632C"/>
    <w:rsid w:val="00CC6AEA"/>
    <w:rsid w:val="00CC7263"/>
    <w:rsid w:val="00CD06BB"/>
    <w:rsid w:val="00CD2633"/>
    <w:rsid w:val="00CD3D20"/>
    <w:rsid w:val="00CD3F17"/>
    <w:rsid w:val="00CD4506"/>
    <w:rsid w:val="00CD46D9"/>
    <w:rsid w:val="00CD559B"/>
    <w:rsid w:val="00CD58F8"/>
    <w:rsid w:val="00CD6CAC"/>
    <w:rsid w:val="00CD765D"/>
    <w:rsid w:val="00CE1BC1"/>
    <w:rsid w:val="00CE3163"/>
    <w:rsid w:val="00CE4667"/>
    <w:rsid w:val="00CE490E"/>
    <w:rsid w:val="00CE5366"/>
    <w:rsid w:val="00CE72CA"/>
    <w:rsid w:val="00CF0B3A"/>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E81"/>
    <w:rsid w:val="00D1379E"/>
    <w:rsid w:val="00D13D34"/>
    <w:rsid w:val="00D16C8B"/>
    <w:rsid w:val="00D17394"/>
    <w:rsid w:val="00D174EA"/>
    <w:rsid w:val="00D17816"/>
    <w:rsid w:val="00D17AB2"/>
    <w:rsid w:val="00D2050A"/>
    <w:rsid w:val="00D2243A"/>
    <w:rsid w:val="00D22AD3"/>
    <w:rsid w:val="00D243D0"/>
    <w:rsid w:val="00D24567"/>
    <w:rsid w:val="00D251DA"/>
    <w:rsid w:val="00D25585"/>
    <w:rsid w:val="00D266D3"/>
    <w:rsid w:val="00D2699E"/>
    <w:rsid w:val="00D26F02"/>
    <w:rsid w:val="00D27132"/>
    <w:rsid w:val="00D27635"/>
    <w:rsid w:val="00D2778E"/>
    <w:rsid w:val="00D30EED"/>
    <w:rsid w:val="00D31F64"/>
    <w:rsid w:val="00D32F0F"/>
    <w:rsid w:val="00D334EA"/>
    <w:rsid w:val="00D33659"/>
    <w:rsid w:val="00D34A15"/>
    <w:rsid w:val="00D354CC"/>
    <w:rsid w:val="00D360A5"/>
    <w:rsid w:val="00D3698C"/>
    <w:rsid w:val="00D37D58"/>
    <w:rsid w:val="00D37ECB"/>
    <w:rsid w:val="00D408F3"/>
    <w:rsid w:val="00D42732"/>
    <w:rsid w:val="00D4384C"/>
    <w:rsid w:val="00D43C63"/>
    <w:rsid w:val="00D44A83"/>
    <w:rsid w:val="00D46A40"/>
    <w:rsid w:val="00D50553"/>
    <w:rsid w:val="00D51B6E"/>
    <w:rsid w:val="00D53FDA"/>
    <w:rsid w:val="00D55E0D"/>
    <w:rsid w:val="00D623D5"/>
    <w:rsid w:val="00D63647"/>
    <w:rsid w:val="00D63E07"/>
    <w:rsid w:val="00D646FD"/>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9045F"/>
    <w:rsid w:val="00D918C2"/>
    <w:rsid w:val="00D91BBD"/>
    <w:rsid w:val="00D93A5F"/>
    <w:rsid w:val="00D95946"/>
    <w:rsid w:val="00D95D60"/>
    <w:rsid w:val="00D96690"/>
    <w:rsid w:val="00D97557"/>
    <w:rsid w:val="00D978CC"/>
    <w:rsid w:val="00DA1395"/>
    <w:rsid w:val="00DA51E7"/>
    <w:rsid w:val="00DA6649"/>
    <w:rsid w:val="00DA68E5"/>
    <w:rsid w:val="00DA6C9E"/>
    <w:rsid w:val="00DA75BE"/>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3867"/>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9D6"/>
    <w:rsid w:val="00E10EED"/>
    <w:rsid w:val="00E11AB2"/>
    <w:rsid w:val="00E11BB2"/>
    <w:rsid w:val="00E11E6F"/>
    <w:rsid w:val="00E121FD"/>
    <w:rsid w:val="00E1270D"/>
    <w:rsid w:val="00E138F4"/>
    <w:rsid w:val="00E13F11"/>
    <w:rsid w:val="00E14833"/>
    <w:rsid w:val="00E14DE6"/>
    <w:rsid w:val="00E152B8"/>
    <w:rsid w:val="00E15857"/>
    <w:rsid w:val="00E15E21"/>
    <w:rsid w:val="00E16E07"/>
    <w:rsid w:val="00E20B82"/>
    <w:rsid w:val="00E22446"/>
    <w:rsid w:val="00E22AE5"/>
    <w:rsid w:val="00E2304B"/>
    <w:rsid w:val="00E233F2"/>
    <w:rsid w:val="00E241B6"/>
    <w:rsid w:val="00E24C8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3F9"/>
    <w:rsid w:val="00E61840"/>
    <w:rsid w:val="00E6277D"/>
    <w:rsid w:val="00E628F5"/>
    <w:rsid w:val="00E63055"/>
    <w:rsid w:val="00E64276"/>
    <w:rsid w:val="00E6433C"/>
    <w:rsid w:val="00E64BB8"/>
    <w:rsid w:val="00E64D37"/>
    <w:rsid w:val="00E67E73"/>
    <w:rsid w:val="00E7035C"/>
    <w:rsid w:val="00E70B87"/>
    <w:rsid w:val="00E70DC2"/>
    <w:rsid w:val="00E7121A"/>
    <w:rsid w:val="00E71AAD"/>
    <w:rsid w:val="00E75333"/>
    <w:rsid w:val="00E75C79"/>
    <w:rsid w:val="00E75EBC"/>
    <w:rsid w:val="00E75EC6"/>
    <w:rsid w:val="00E7745F"/>
    <w:rsid w:val="00E77E98"/>
    <w:rsid w:val="00E82168"/>
    <w:rsid w:val="00E82EA9"/>
    <w:rsid w:val="00E83E16"/>
    <w:rsid w:val="00E841B4"/>
    <w:rsid w:val="00E865B5"/>
    <w:rsid w:val="00E873D7"/>
    <w:rsid w:val="00E87ABA"/>
    <w:rsid w:val="00E87BA3"/>
    <w:rsid w:val="00E90ABE"/>
    <w:rsid w:val="00E90C7B"/>
    <w:rsid w:val="00E92AAA"/>
    <w:rsid w:val="00E938AC"/>
    <w:rsid w:val="00E93D6B"/>
    <w:rsid w:val="00E94E2E"/>
    <w:rsid w:val="00E95899"/>
    <w:rsid w:val="00E978FB"/>
    <w:rsid w:val="00EA0D65"/>
    <w:rsid w:val="00EA14CD"/>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40A0"/>
    <w:rsid w:val="00EC6D32"/>
    <w:rsid w:val="00EC6D80"/>
    <w:rsid w:val="00EC730F"/>
    <w:rsid w:val="00ED11B4"/>
    <w:rsid w:val="00ED2281"/>
    <w:rsid w:val="00ED25BC"/>
    <w:rsid w:val="00ED47E5"/>
    <w:rsid w:val="00ED5825"/>
    <w:rsid w:val="00ED7092"/>
    <w:rsid w:val="00ED72EE"/>
    <w:rsid w:val="00EE7767"/>
    <w:rsid w:val="00EF0636"/>
    <w:rsid w:val="00EF256B"/>
    <w:rsid w:val="00EF40FE"/>
    <w:rsid w:val="00EF41A6"/>
    <w:rsid w:val="00EF4403"/>
    <w:rsid w:val="00EF5352"/>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33FD"/>
    <w:rsid w:val="00F23BA1"/>
    <w:rsid w:val="00F2427D"/>
    <w:rsid w:val="00F24D5D"/>
    <w:rsid w:val="00F2585F"/>
    <w:rsid w:val="00F25A20"/>
    <w:rsid w:val="00F26588"/>
    <w:rsid w:val="00F272EC"/>
    <w:rsid w:val="00F273FD"/>
    <w:rsid w:val="00F27442"/>
    <w:rsid w:val="00F31762"/>
    <w:rsid w:val="00F31A86"/>
    <w:rsid w:val="00F326AD"/>
    <w:rsid w:val="00F35EDC"/>
    <w:rsid w:val="00F405C1"/>
    <w:rsid w:val="00F41AA5"/>
    <w:rsid w:val="00F422D1"/>
    <w:rsid w:val="00F431D4"/>
    <w:rsid w:val="00F4403A"/>
    <w:rsid w:val="00F512ED"/>
    <w:rsid w:val="00F51C8D"/>
    <w:rsid w:val="00F52101"/>
    <w:rsid w:val="00F53D05"/>
    <w:rsid w:val="00F54A21"/>
    <w:rsid w:val="00F54B86"/>
    <w:rsid w:val="00F551D5"/>
    <w:rsid w:val="00F5735F"/>
    <w:rsid w:val="00F57B0F"/>
    <w:rsid w:val="00F57E34"/>
    <w:rsid w:val="00F60F29"/>
    <w:rsid w:val="00F629A9"/>
    <w:rsid w:val="00F62C75"/>
    <w:rsid w:val="00F6366F"/>
    <w:rsid w:val="00F666E1"/>
    <w:rsid w:val="00F66899"/>
    <w:rsid w:val="00F71CE8"/>
    <w:rsid w:val="00F72ACF"/>
    <w:rsid w:val="00F73AA6"/>
    <w:rsid w:val="00F73C66"/>
    <w:rsid w:val="00F74D95"/>
    <w:rsid w:val="00F755E0"/>
    <w:rsid w:val="00F762FC"/>
    <w:rsid w:val="00F7689F"/>
    <w:rsid w:val="00F76BA6"/>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571765"/>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5064F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6"/>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7"/>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8"/>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5"/>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39"/>
    <w:autoRedefine/>
    <w:qFormat/>
    <w:uiPriority w:val="0"/>
    <w:rPr>
      <w:rFonts w:ascii="宋体" w:hAnsi="Times New Roman" w:eastAsia="宋体" w:cs="Times New Roman"/>
      <w:sz w:val="18"/>
      <w:szCs w:val="18"/>
    </w:rPr>
  </w:style>
  <w:style w:type="paragraph" w:styleId="8">
    <w:name w:val="annotation text"/>
    <w:basedOn w:val="1"/>
    <w:link w:val="40"/>
    <w:autoRedefine/>
    <w:qFormat/>
    <w:uiPriority w:val="0"/>
    <w:pPr>
      <w:jc w:val="left"/>
    </w:pPr>
    <w:rPr>
      <w:rFonts w:ascii="Times New Roman" w:hAnsi="Times New Roman" w:eastAsia="宋体" w:cs="Times New Roman"/>
      <w:szCs w:val="24"/>
    </w:rPr>
  </w:style>
  <w:style w:type="paragraph" w:styleId="9">
    <w:name w:val="Body Text 3"/>
    <w:basedOn w:val="1"/>
    <w:link w:val="41"/>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2"/>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3"/>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4"/>
    <w:autoRedefine/>
    <w:qFormat/>
    <w:uiPriority w:val="99"/>
    <w:rPr>
      <w:rFonts w:ascii="宋体" w:hAnsi="Courier New" w:eastAsia="宋体" w:cs="Times New Roman"/>
      <w:szCs w:val="20"/>
    </w:rPr>
  </w:style>
  <w:style w:type="paragraph" w:styleId="15">
    <w:name w:val="Date"/>
    <w:basedOn w:val="1"/>
    <w:next w:val="1"/>
    <w:link w:val="45"/>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6"/>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7"/>
    <w:autoRedefine/>
    <w:qFormat/>
    <w:uiPriority w:val="0"/>
    <w:rPr>
      <w:rFonts w:ascii="Times New Roman" w:hAnsi="Times New Roman" w:eastAsia="宋体" w:cs="Times New Roman"/>
      <w:sz w:val="18"/>
      <w:szCs w:val="18"/>
    </w:rPr>
  </w:style>
  <w:style w:type="paragraph" w:styleId="18">
    <w:name w:val="footer"/>
    <w:basedOn w:val="1"/>
    <w:link w:val="48"/>
    <w:unhideWhenUsed/>
    <w:qFormat/>
    <w:uiPriority w:val="99"/>
    <w:pPr>
      <w:tabs>
        <w:tab w:val="center" w:pos="4153"/>
        <w:tab w:val="right" w:pos="8306"/>
      </w:tabs>
      <w:snapToGrid w:val="0"/>
      <w:jc w:val="left"/>
    </w:pPr>
    <w:rPr>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Body Text 2"/>
    <w:basedOn w:val="1"/>
    <w:link w:val="50"/>
    <w:autoRedefine/>
    <w:qFormat/>
    <w:uiPriority w:val="0"/>
    <w:pPr>
      <w:spacing w:after="120" w:line="480" w:lineRule="auto"/>
    </w:pPr>
    <w:rPr>
      <w:rFonts w:ascii="Times New Roman" w:hAnsi="Times New Roman" w:eastAsia="宋体" w:cs="Times New Roman"/>
      <w:szCs w:val="24"/>
    </w:rPr>
  </w:style>
  <w:style w:type="paragraph" w:styleId="22">
    <w:name w:val="Message Header"/>
    <w:basedOn w:val="1"/>
    <w:link w:val="51"/>
    <w:autoRedefine/>
    <w:qFormat/>
    <w:uiPriority w:val="0"/>
    <w:pPr>
      <w:widowControl/>
      <w:shd w:val="pct20" w:color="000000" w:fill="auto"/>
      <w:ind w:left="1080" w:hanging="1080"/>
    </w:pPr>
    <w:rPr>
      <w:rFonts w:ascii="Cambria" w:hAnsi="Cambria" w:eastAsia="Cambria" w:cs="Times New Roman"/>
      <w:sz w:val="24"/>
      <w:szCs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4">
    <w:name w:val="annotation subject"/>
    <w:basedOn w:val="8"/>
    <w:next w:val="8"/>
    <w:link w:val="52"/>
    <w:semiHidden/>
    <w:unhideWhenUsed/>
    <w:qFormat/>
    <w:uiPriority w:val="0"/>
    <w:rPr>
      <w:b/>
      <w:bCs/>
    </w:rPr>
  </w:style>
  <w:style w:type="paragraph" w:styleId="25">
    <w:name w:val="Body Text First Indent"/>
    <w:basedOn w:val="10"/>
    <w:link w:val="53"/>
    <w:autoRedefine/>
    <w:qFormat/>
    <w:uiPriority w:val="0"/>
    <w:pPr>
      <w:ind w:firstLine="420" w:firstLineChars="100"/>
    </w:pPr>
  </w:style>
  <w:style w:type="paragraph" w:styleId="26">
    <w:name w:val="Body Text First Indent 2"/>
    <w:basedOn w:val="11"/>
    <w:link w:val="54"/>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autoRedefine/>
    <w:qFormat/>
    <w:uiPriority w:val="0"/>
  </w:style>
  <w:style w:type="character" w:styleId="32">
    <w:name w:val="FollowedHyperlink"/>
    <w:basedOn w:val="29"/>
    <w:autoRedefine/>
    <w:qFormat/>
    <w:uiPriority w:val="99"/>
    <w:rPr>
      <w:color w:val="000000"/>
      <w:u w:val="none"/>
    </w:rPr>
  </w:style>
  <w:style w:type="character" w:styleId="33">
    <w:name w:val="Hyperlink"/>
    <w:autoRedefine/>
    <w:qFormat/>
    <w:uiPriority w:val="99"/>
    <w:rPr>
      <w:color w:val="333333"/>
      <w:u w:val="none"/>
    </w:rPr>
  </w:style>
  <w:style w:type="character" w:styleId="34">
    <w:name w:val="annotation reference"/>
    <w:autoRedefine/>
    <w:qFormat/>
    <w:uiPriority w:val="0"/>
    <w:rPr>
      <w:sz w:val="21"/>
    </w:rPr>
  </w:style>
  <w:style w:type="character" w:customStyle="1" w:styleId="35">
    <w:name w:val="Default Char"/>
    <w:link w:val="2"/>
    <w:qFormat/>
    <w:locked/>
    <w:uiPriority w:val="99"/>
    <w:rPr>
      <w:rFonts w:ascii="仿宋" w:hAnsi="仿宋" w:eastAsia="仿宋"/>
      <w:color w:val="000000"/>
      <w:sz w:val="24"/>
    </w:rPr>
  </w:style>
  <w:style w:type="character" w:customStyle="1" w:styleId="36">
    <w:name w:val="标题 1 字符"/>
    <w:basedOn w:val="29"/>
    <w:link w:val="3"/>
    <w:qFormat/>
    <w:uiPriority w:val="0"/>
    <w:rPr>
      <w:rFonts w:ascii="Times New Roman" w:hAnsi="Times New Roman" w:eastAsia="宋体" w:cs="Times New Roman"/>
      <w:b/>
      <w:bCs/>
      <w:kern w:val="44"/>
      <w:sz w:val="44"/>
      <w:szCs w:val="44"/>
    </w:rPr>
  </w:style>
  <w:style w:type="character" w:customStyle="1" w:styleId="37">
    <w:name w:val="标题 2 字符"/>
    <w:basedOn w:val="29"/>
    <w:link w:val="4"/>
    <w:qFormat/>
    <w:uiPriority w:val="0"/>
    <w:rPr>
      <w:rFonts w:ascii="Times New Roman" w:hAnsi="Times New Roman" w:eastAsia="宋体" w:cs="Times New Roman"/>
      <w:kern w:val="0"/>
      <w:sz w:val="28"/>
      <w:szCs w:val="24"/>
    </w:rPr>
  </w:style>
  <w:style w:type="character" w:customStyle="1" w:styleId="38">
    <w:name w:val="标题 3 字符"/>
    <w:basedOn w:val="29"/>
    <w:link w:val="5"/>
    <w:qFormat/>
    <w:uiPriority w:val="0"/>
    <w:rPr>
      <w:rFonts w:ascii="Times New Roman" w:hAnsi="Times New Roman" w:eastAsia="宋体" w:cs="Times New Roman"/>
      <w:b/>
      <w:bCs/>
      <w:sz w:val="32"/>
      <w:szCs w:val="32"/>
    </w:rPr>
  </w:style>
  <w:style w:type="character" w:customStyle="1" w:styleId="39">
    <w:name w:val="文档结构图 字符"/>
    <w:basedOn w:val="29"/>
    <w:link w:val="7"/>
    <w:qFormat/>
    <w:uiPriority w:val="0"/>
    <w:rPr>
      <w:rFonts w:ascii="宋体" w:hAnsi="Times New Roman" w:eastAsia="宋体" w:cs="Times New Roman"/>
      <w:sz w:val="18"/>
      <w:szCs w:val="18"/>
    </w:rPr>
  </w:style>
  <w:style w:type="character" w:customStyle="1" w:styleId="40">
    <w:name w:val="批注文字 字符"/>
    <w:basedOn w:val="29"/>
    <w:link w:val="8"/>
    <w:qFormat/>
    <w:uiPriority w:val="0"/>
    <w:rPr>
      <w:rFonts w:ascii="Times New Roman" w:hAnsi="Times New Roman" w:eastAsia="宋体" w:cs="Times New Roman"/>
      <w:szCs w:val="24"/>
    </w:rPr>
  </w:style>
  <w:style w:type="character" w:customStyle="1" w:styleId="41">
    <w:name w:val="正文文本 3 字符"/>
    <w:basedOn w:val="29"/>
    <w:link w:val="9"/>
    <w:qFormat/>
    <w:uiPriority w:val="0"/>
    <w:rPr>
      <w:rFonts w:ascii="Times New Roman" w:hAnsi="Times New Roman" w:eastAsia="宋体" w:cs="Times New Roman"/>
      <w:sz w:val="16"/>
      <w:szCs w:val="16"/>
    </w:rPr>
  </w:style>
  <w:style w:type="character" w:customStyle="1" w:styleId="42">
    <w:name w:val="正文文本 字符"/>
    <w:basedOn w:val="29"/>
    <w:link w:val="10"/>
    <w:qFormat/>
    <w:uiPriority w:val="99"/>
    <w:rPr>
      <w:rFonts w:ascii="Times New Roman" w:hAnsi="Times New Roman" w:eastAsia="宋体" w:cs="Times New Roman"/>
      <w:szCs w:val="24"/>
    </w:rPr>
  </w:style>
  <w:style w:type="character" w:customStyle="1" w:styleId="43">
    <w:name w:val="正文文本缩进 字符"/>
    <w:basedOn w:val="29"/>
    <w:link w:val="11"/>
    <w:qFormat/>
    <w:uiPriority w:val="0"/>
    <w:rPr>
      <w:rFonts w:ascii="仿宋_GB2312" w:hAnsi="华文楷体" w:eastAsia="仿宋_GB2312" w:cs="Times New Roman"/>
      <w:sz w:val="32"/>
      <w:szCs w:val="24"/>
    </w:rPr>
  </w:style>
  <w:style w:type="character" w:customStyle="1" w:styleId="44">
    <w:name w:val="纯文本 字符"/>
    <w:basedOn w:val="29"/>
    <w:link w:val="14"/>
    <w:qFormat/>
    <w:uiPriority w:val="99"/>
    <w:rPr>
      <w:rFonts w:ascii="宋体" w:hAnsi="Courier New" w:eastAsia="宋体" w:cs="Times New Roman"/>
      <w:szCs w:val="20"/>
    </w:rPr>
  </w:style>
  <w:style w:type="character" w:customStyle="1" w:styleId="45">
    <w:name w:val="日期 字符"/>
    <w:basedOn w:val="29"/>
    <w:link w:val="15"/>
    <w:qFormat/>
    <w:uiPriority w:val="0"/>
    <w:rPr>
      <w:rFonts w:ascii="Times New Roman" w:hAnsi="Times New Roman" w:eastAsia="宋体" w:cs="Times New Roman"/>
      <w:szCs w:val="24"/>
    </w:rPr>
  </w:style>
  <w:style w:type="character" w:customStyle="1" w:styleId="46">
    <w:name w:val="正文文本缩进 2 字符"/>
    <w:basedOn w:val="29"/>
    <w:link w:val="16"/>
    <w:qFormat/>
    <w:uiPriority w:val="0"/>
    <w:rPr>
      <w:rFonts w:ascii="Times New Roman" w:hAnsi="Times New Roman" w:eastAsia="宋体" w:cs="Times New Roman"/>
      <w:szCs w:val="24"/>
    </w:rPr>
  </w:style>
  <w:style w:type="character" w:customStyle="1" w:styleId="47">
    <w:name w:val="批注框文本 字符"/>
    <w:basedOn w:val="29"/>
    <w:link w:val="17"/>
    <w:qFormat/>
    <w:uiPriority w:val="0"/>
    <w:rPr>
      <w:rFonts w:ascii="Times New Roman" w:hAnsi="Times New Roman" w:eastAsia="宋体" w:cs="Times New Roman"/>
      <w:sz w:val="18"/>
      <w:szCs w:val="18"/>
    </w:rPr>
  </w:style>
  <w:style w:type="character" w:customStyle="1" w:styleId="48">
    <w:name w:val="页脚 字符"/>
    <w:basedOn w:val="29"/>
    <w:link w:val="18"/>
    <w:qFormat/>
    <w:uiPriority w:val="99"/>
    <w:rPr>
      <w:sz w:val="18"/>
      <w:szCs w:val="18"/>
    </w:rPr>
  </w:style>
  <w:style w:type="character" w:customStyle="1" w:styleId="49">
    <w:name w:val="页眉 字符"/>
    <w:basedOn w:val="29"/>
    <w:link w:val="19"/>
    <w:qFormat/>
    <w:uiPriority w:val="99"/>
    <w:rPr>
      <w:sz w:val="18"/>
      <w:szCs w:val="18"/>
    </w:rPr>
  </w:style>
  <w:style w:type="character" w:customStyle="1" w:styleId="50">
    <w:name w:val="正文文本 2 字符"/>
    <w:basedOn w:val="29"/>
    <w:link w:val="21"/>
    <w:qFormat/>
    <w:uiPriority w:val="0"/>
    <w:rPr>
      <w:rFonts w:ascii="Times New Roman" w:hAnsi="Times New Roman" w:eastAsia="宋体" w:cs="Times New Roman"/>
      <w:szCs w:val="24"/>
    </w:rPr>
  </w:style>
  <w:style w:type="character" w:customStyle="1" w:styleId="51">
    <w:name w:val="信息标题 字符"/>
    <w:basedOn w:val="29"/>
    <w:link w:val="22"/>
    <w:qFormat/>
    <w:uiPriority w:val="0"/>
    <w:rPr>
      <w:rFonts w:ascii="Cambria" w:hAnsi="Cambria" w:eastAsia="Cambria" w:cs="Times New Roman"/>
      <w:sz w:val="24"/>
      <w:szCs w:val="24"/>
      <w:shd w:val="pct20" w:color="000000" w:fill="auto"/>
    </w:rPr>
  </w:style>
  <w:style w:type="character" w:customStyle="1" w:styleId="52">
    <w:name w:val="批注主题 字符"/>
    <w:basedOn w:val="40"/>
    <w:link w:val="24"/>
    <w:semiHidden/>
    <w:qFormat/>
    <w:uiPriority w:val="0"/>
    <w:rPr>
      <w:rFonts w:ascii="Times New Roman" w:hAnsi="Times New Roman" w:eastAsia="宋体" w:cs="Times New Roman"/>
      <w:b/>
      <w:bCs/>
      <w:szCs w:val="24"/>
    </w:rPr>
  </w:style>
  <w:style w:type="character" w:customStyle="1" w:styleId="53">
    <w:name w:val="正文文本首行缩进 字符"/>
    <w:basedOn w:val="42"/>
    <w:link w:val="25"/>
    <w:qFormat/>
    <w:uiPriority w:val="0"/>
    <w:rPr>
      <w:rFonts w:ascii="Times New Roman" w:hAnsi="Times New Roman" w:eastAsia="宋体" w:cs="Times New Roman"/>
      <w:szCs w:val="24"/>
    </w:rPr>
  </w:style>
  <w:style w:type="character" w:customStyle="1" w:styleId="54">
    <w:name w:val="正文文本首行缩进 2 字符"/>
    <w:basedOn w:val="43"/>
    <w:link w:val="26"/>
    <w:qFormat/>
    <w:uiPriority w:val="99"/>
    <w:rPr>
      <w:rFonts w:ascii="仿宋_GB2312" w:hAnsi="华文楷体" w:eastAsia="仿宋_GB2312" w:cs="Times New Roman"/>
      <w:sz w:val="32"/>
      <w:szCs w:val="24"/>
    </w:rPr>
  </w:style>
  <w:style w:type="paragraph" w:customStyle="1" w:styleId="55">
    <w:name w:val="BodyText1I"/>
    <w:basedOn w:val="56"/>
    <w:autoRedefine/>
    <w:qFormat/>
    <w:uiPriority w:val="99"/>
    <w:pPr>
      <w:ind w:firstLine="420" w:firstLineChars="100"/>
    </w:pPr>
  </w:style>
  <w:style w:type="paragraph" w:customStyle="1" w:styleId="56">
    <w:name w:val="BodyText"/>
    <w:basedOn w:val="1"/>
    <w:autoRedefine/>
    <w:qFormat/>
    <w:uiPriority w:val="99"/>
    <w:pPr>
      <w:spacing w:after="120"/>
    </w:pPr>
    <w:rPr>
      <w:rFonts w:ascii="Times New Roman" w:hAnsi="Times New Roman" w:eastAsia="宋体" w:cs="Times New Roman"/>
      <w:szCs w:val="24"/>
    </w:rPr>
  </w:style>
  <w:style w:type="paragraph" w:customStyle="1" w:styleId="57">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8">
    <w:name w:val="font231"/>
    <w:autoRedefine/>
    <w:qFormat/>
    <w:uiPriority w:val="0"/>
    <w:rPr>
      <w:rFonts w:hint="eastAsia" w:ascii="宋体" w:hAnsi="宋体" w:eastAsia="宋体" w:cs="宋体"/>
      <w:color w:val="000000"/>
      <w:sz w:val="22"/>
      <w:szCs w:val="22"/>
      <w:u w:val="none"/>
    </w:rPr>
  </w:style>
  <w:style w:type="character" w:customStyle="1" w:styleId="59">
    <w:name w:val="font11"/>
    <w:autoRedefine/>
    <w:qFormat/>
    <w:uiPriority w:val="0"/>
    <w:rPr>
      <w:rFonts w:hint="default" w:ascii="Times New Roman" w:hAnsi="Times New Roman" w:cs="Times New Roman"/>
      <w:color w:val="000000"/>
      <w:sz w:val="18"/>
      <w:szCs w:val="18"/>
      <w:u w:val="none"/>
    </w:rPr>
  </w:style>
  <w:style w:type="character" w:customStyle="1" w:styleId="60">
    <w:name w:val="font191"/>
    <w:autoRedefine/>
    <w:qFormat/>
    <w:uiPriority w:val="0"/>
    <w:rPr>
      <w:rFonts w:hint="default" w:ascii="Calibri" w:hAnsi="Calibri" w:cs="Calibri"/>
      <w:color w:val="000000"/>
      <w:sz w:val="22"/>
      <w:szCs w:val="22"/>
      <w:u w:val="none"/>
    </w:rPr>
  </w:style>
  <w:style w:type="character" w:customStyle="1" w:styleId="61">
    <w:name w:val="font151"/>
    <w:autoRedefine/>
    <w:qFormat/>
    <w:uiPriority w:val="0"/>
    <w:rPr>
      <w:rFonts w:hint="default" w:ascii="Calibri" w:hAnsi="Calibri" w:cs="Calibri"/>
      <w:color w:val="000000"/>
      <w:sz w:val="22"/>
      <w:szCs w:val="22"/>
      <w:u w:val="none"/>
    </w:rPr>
  </w:style>
  <w:style w:type="character" w:customStyle="1" w:styleId="62">
    <w:name w:val="font221"/>
    <w:autoRedefine/>
    <w:qFormat/>
    <w:uiPriority w:val="0"/>
    <w:rPr>
      <w:rFonts w:hint="eastAsia" w:ascii="宋体" w:hAnsi="宋体" w:eastAsia="宋体" w:cs="宋体"/>
      <w:color w:val="000000"/>
      <w:sz w:val="20"/>
      <w:szCs w:val="20"/>
      <w:u w:val="none"/>
    </w:rPr>
  </w:style>
  <w:style w:type="character" w:customStyle="1" w:styleId="63">
    <w:name w:val="font61"/>
    <w:autoRedefine/>
    <w:qFormat/>
    <w:uiPriority w:val="0"/>
    <w:rPr>
      <w:rFonts w:hint="eastAsia" w:ascii="宋体" w:hAnsi="宋体" w:eastAsia="宋体" w:cs="宋体"/>
      <w:color w:val="FF0000"/>
      <w:sz w:val="22"/>
      <w:szCs w:val="22"/>
      <w:u w:val="none"/>
    </w:rPr>
  </w:style>
  <w:style w:type="character" w:customStyle="1" w:styleId="64">
    <w:name w:val="font31"/>
    <w:autoRedefine/>
    <w:qFormat/>
    <w:uiPriority w:val="0"/>
    <w:rPr>
      <w:rFonts w:hint="eastAsia" w:ascii="宋体" w:hAnsi="宋体" w:eastAsia="宋体" w:cs="宋体"/>
      <w:color w:val="000000"/>
      <w:sz w:val="18"/>
      <w:szCs w:val="18"/>
      <w:u w:val="none"/>
    </w:rPr>
  </w:style>
  <w:style w:type="character" w:customStyle="1" w:styleId="65">
    <w:name w:val="访问过的超链接1"/>
    <w:autoRedefine/>
    <w:qFormat/>
    <w:uiPriority w:val="0"/>
    <w:rPr>
      <w:color w:val="333333"/>
      <w:u w:val="none"/>
    </w:rPr>
  </w:style>
  <w:style w:type="character" w:customStyle="1" w:styleId="66">
    <w:name w:val="font01"/>
    <w:autoRedefine/>
    <w:qFormat/>
    <w:uiPriority w:val="0"/>
    <w:rPr>
      <w:rFonts w:hint="eastAsia" w:ascii="宋体" w:hAnsi="宋体" w:eastAsia="宋体" w:cs="宋体"/>
      <w:color w:val="000000"/>
      <w:sz w:val="22"/>
      <w:szCs w:val="22"/>
      <w:u w:val="none"/>
    </w:rPr>
  </w:style>
  <w:style w:type="character" w:customStyle="1" w:styleId="67">
    <w:name w:val="font21"/>
    <w:autoRedefine/>
    <w:qFormat/>
    <w:uiPriority w:val="0"/>
    <w:rPr>
      <w:rFonts w:hint="default" w:ascii="Times New Roman" w:hAnsi="Times New Roman" w:cs="Times New Roman"/>
      <w:color w:val="000000"/>
      <w:sz w:val="18"/>
      <w:szCs w:val="18"/>
      <w:u w:val="none"/>
    </w:rPr>
  </w:style>
  <w:style w:type="paragraph" w:customStyle="1" w:styleId="68">
    <w:name w:val="p0"/>
    <w:basedOn w:val="1"/>
    <w:autoRedefine/>
    <w:qFormat/>
    <w:uiPriority w:val="0"/>
    <w:pPr>
      <w:widowControl/>
    </w:pPr>
    <w:rPr>
      <w:rFonts w:ascii="Calibri" w:hAnsi="Calibri" w:eastAsia="宋体" w:cs="宋体"/>
      <w:kern w:val="0"/>
      <w:szCs w:val="21"/>
    </w:rPr>
  </w:style>
  <w:style w:type="paragraph" w:customStyle="1" w:styleId="69">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0">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1">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2">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3">
    <w:name w:val="Char Char Char Char Char Char Char1 Char"/>
    <w:basedOn w:val="1"/>
    <w:autoRedefine/>
    <w:qFormat/>
    <w:uiPriority w:val="0"/>
    <w:rPr>
      <w:rFonts w:ascii="Tahoma" w:hAnsi="Tahoma" w:eastAsia="宋体" w:cs="Times New Roman"/>
      <w:sz w:val="24"/>
      <w:szCs w:val="20"/>
    </w:rPr>
  </w:style>
  <w:style w:type="paragraph" w:styleId="74">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5">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6">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7">
    <w:name w:val="generalinfo-address-text"/>
    <w:basedOn w:val="29"/>
    <w:autoRedefine/>
    <w:qFormat/>
    <w:uiPriority w:val="0"/>
  </w:style>
  <w:style w:type="character" w:customStyle="1" w:styleId="78">
    <w:name w:val="NormalCharacter"/>
    <w:autoRedefine/>
    <w:qFormat/>
    <w:uiPriority w:val="0"/>
  </w:style>
  <w:style w:type="paragraph" w:customStyle="1" w:styleId="79">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0">
    <w:name w:val="contentlabel"/>
    <w:autoRedefine/>
    <w:qFormat/>
    <w:uiPriority w:val="0"/>
  </w:style>
  <w:style w:type="paragraph" w:customStyle="1" w:styleId="81">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3">
    <w:name w:val="icon_gys"/>
    <w:basedOn w:val="29"/>
    <w:qFormat/>
    <w:uiPriority w:val="0"/>
    <w:rPr>
      <w:sz w:val="21"/>
      <w:szCs w:val="21"/>
    </w:rPr>
  </w:style>
  <w:style w:type="character" w:customStyle="1" w:styleId="84">
    <w:name w:val="first-child"/>
    <w:basedOn w:val="29"/>
    <w:qFormat/>
    <w:uiPriority w:val="0"/>
    <w:rPr>
      <w:color w:val="1F3149"/>
      <w:sz w:val="24"/>
      <w:szCs w:val="24"/>
    </w:rPr>
  </w:style>
  <w:style w:type="character" w:customStyle="1" w:styleId="85">
    <w:name w:val="first-child1"/>
    <w:basedOn w:val="29"/>
    <w:qFormat/>
    <w:uiPriority w:val="0"/>
    <w:rPr>
      <w:color w:val="1F3149"/>
      <w:sz w:val="24"/>
      <w:szCs w:val="24"/>
    </w:rPr>
  </w:style>
  <w:style w:type="character" w:customStyle="1" w:styleId="86">
    <w:name w:val="xiadan"/>
    <w:basedOn w:val="29"/>
    <w:qFormat/>
    <w:uiPriority w:val="0"/>
    <w:rPr>
      <w:shd w:val="clear" w:color="auto" w:fill="E4393C"/>
    </w:rPr>
  </w:style>
  <w:style w:type="character" w:customStyle="1" w:styleId="87">
    <w:name w:val="fr"/>
    <w:basedOn w:val="29"/>
    <w:qFormat/>
    <w:uiPriority w:val="0"/>
  </w:style>
  <w:style w:type="character" w:customStyle="1" w:styleId="88">
    <w:name w:val="icon_ds"/>
    <w:basedOn w:val="29"/>
    <w:autoRedefine/>
    <w:qFormat/>
    <w:uiPriority w:val="0"/>
  </w:style>
  <w:style w:type="paragraph" w:customStyle="1" w:styleId="89">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0">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1">
    <w:name w:val="fontstyle01"/>
    <w:basedOn w:val="29"/>
    <w:qFormat/>
    <w:uiPriority w:val="0"/>
    <w:rPr>
      <w:rFonts w:hint="eastAsia" w:ascii="宋体" w:hAnsi="宋体" w:eastAsia="宋体"/>
      <w:color w:val="000000"/>
      <w:sz w:val="22"/>
      <w:szCs w:val="22"/>
    </w:rPr>
  </w:style>
  <w:style w:type="paragraph" w:customStyle="1" w:styleId="92">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3">
    <w:name w:val="qowt-font3"/>
    <w:basedOn w:val="29"/>
    <w:qFormat/>
    <w:uiPriority w:val="0"/>
  </w:style>
  <w:style w:type="paragraph" w:customStyle="1" w:styleId="94">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5">
    <w:name w:val="qowt-font2"/>
    <w:basedOn w:val="29"/>
    <w:qFormat/>
    <w:uiPriority w:val="0"/>
  </w:style>
  <w:style w:type="paragraph" w:customStyle="1" w:styleId="9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7">
    <w:name w:val="fontstyle11"/>
    <w:basedOn w:val="29"/>
    <w:qFormat/>
    <w:uiPriority w:val="0"/>
    <w:rPr>
      <w:rFonts w:hint="eastAsia" w:ascii="仿宋" w:hAnsi="仿宋" w:eastAsia="仿宋"/>
      <w:color w:val="000000"/>
      <w:sz w:val="18"/>
      <w:szCs w:val="18"/>
    </w:rPr>
  </w:style>
  <w:style w:type="table" w:customStyle="1" w:styleId="98">
    <w:name w:val="网格型1"/>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2"/>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4"/>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12757</Words>
  <Characters>13832</Characters>
  <Lines>35</Lines>
  <Paragraphs>50</Paragraphs>
  <TotalTime>9</TotalTime>
  <ScaleCrop>false</ScaleCrop>
  <LinksUpToDate>false</LinksUpToDate>
  <CharactersWithSpaces>14046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HUAWEI</cp:lastModifiedBy>
  <cp:lastPrinted>2024-07-04T01:55:00Z</cp:lastPrinted>
  <dcterms:modified xsi:type="dcterms:W3CDTF">2026-02-26T02:28:00Z</dcterms:modified>
  <cp:revision>2488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B43D718C87C046D18D6E9ABA9FA9B4F1_12</vt:lpwstr>
  </property>
  <property fmtid="{D5CDD505-2E9C-101B-9397-08002B2CF9AE}" pid="4" name="KSOTemplateDocerSaveRecord">
    <vt:lpwstr>eyJoZGlkIjoiY2FiZTFmYjI0ODY2NTM4OTI3ZDhiMDA1NjYyNjI2MmMiLCJ1c2VySWQiOiIxNTI3MjQ2NDY1In0=</vt:lpwstr>
  </property>
</Properties>
</file>