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B637E">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4DD4AE44">
      <w:pPr>
        <w:tabs>
          <w:tab w:val="left" w:pos="315"/>
          <w:tab w:val="left" w:pos="8820"/>
        </w:tabs>
        <w:spacing w:line="500" w:lineRule="exact"/>
        <w:ind w:right="267" w:rightChars="127"/>
        <w:jc w:val="center"/>
        <w:rPr>
          <w:rFonts w:ascii="仿宋_GB2312" w:eastAsia="仿宋_GB2312"/>
          <w:b/>
          <w:bCs/>
          <w:color w:val="auto"/>
          <w:sz w:val="48"/>
          <w:highlight w:val="none"/>
        </w:rPr>
      </w:pPr>
    </w:p>
    <w:p w14:paraId="02A40AE0">
      <w:pPr>
        <w:tabs>
          <w:tab w:val="left" w:pos="315"/>
          <w:tab w:val="left" w:pos="8820"/>
        </w:tabs>
        <w:spacing w:line="500" w:lineRule="exact"/>
        <w:ind w:right="267" w:rightChars="127"/>
        <w:jc w:val="center"/>
        <w:rPr>
          <w:rFonts w:hint="eastAsia" w:ascii="微软简标宋" w:eastAsia="黑体"/>
          <w:b/>
          <w:bCs/>
          <w:color w:val="auto"/>
          <w:sz w:val="52"/>
          <w:highlight w:val="none"/>
        </w:rPr>
      </w:pPr>
    </w:p>
    <w:p w14:paraId="732E4A35">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51E1B57C">
      <w:pPr>
        <w:tabs>
          <w:tab w:val="left" w:pos="315"/>
          <w:tab w:val="left" w:pos="8820"/>
        </w:tabs>
        <w:spacing w:line="500" w:lineRule="exact"/>
        <w:ind w:right="267" w:rightChars="127"/>
        <w:jc w:val="center"/>
        <w:rPr>
          <w:rFonts w:ascii="仿宋_GB2312" w:eastAsia="仿宋_GB2312"/>
          <w:color w:val="auto"/>
          <w:sz w:val="44"/>
          <w:highlight w:val="none"/>
        </w:rPr>
      </w:pPr>
    </w:p>
    <w:p w14:paraId="5AFC34FB">
      <w:pPr>
        <w:tabs>
          <w:tab w:val="left" w:pos="315"/>
          <w:tab w:val="left" w:pos="8820"/>
        </w:tabs>
        <w:ind w:right="267" w:rightChars="127"/>
        <w:rPr>
          <w:rFonts w:ascii="仿宋_GB2312" w:eastAsia="仿宋_GB2312"/>
          <w:color w:val="auto"/>
          <w:sz w:val="44"/>
          <w:highlight w:val="none"/>
        </w:rPr>
      </w:pPr>
    </w:p>
    <w:p w14:paraId="18896058">
      <w:pPr>
        <w:tabs>
          <w:tab w:val="left" w:pos="315"/>
          <w:tab w:val="left" w:pos="8820"/>
        </w:tabs>
        <w:spacing w:line="500" w:lineRule="exact"/>
        <w:ind w:right="267" w:rightChars="127"/>
        <w:rPr>
          <w:rFonts w:ascii="仿宋_GB2312" w:eastAsia="仿宋_GB2312"/>
          <w:b/>
          <w:bCs/>
          <w:color w:val="auto"/>
          <w:sz w:val="36"/>
          <w:highlight w:val="none"/>
        </w:rPr>
      </w:pPr>
    </w:p>
    <w:p w14:paraId="6941DDAB">
      <w:pPr>
        <w:tabs>
          <w:tab w:val="left" w:pos="315"/>
          <w:tab w:val="left" w:pos="8820"/>
        </w:tabs>
        <w:spacing w:line="500" w:lineRule="exact"/>
        <w:ind w:right="267" w:rightChars="127"/>
        <w:rPr>
          <w:rFonts w:ascii="仿宋_GB2312" w:eastAsia="仿宋_GB2312"/>
          <w:b/>
          <w:bCs/>
          <w:color w:val="auto"/>
          <w:sz w:val="36"/>
          <w:highlight w:val="none"/>
        </w:rPr>
      </w:pPr>
    </w:p>
    <w:p w14:paraId="1EE1D0D3">
      <w:pPr>
        <w:tabs>
          <w:tab w:val="left" w:pos="315"/>
          <w:tab w:val="left" w:pos="8820"/>
        </w:tabs>
        <w:spacing w:line="500" w:lineRule="exact"/>
        <w:ind w:right="267" w:rightChars="127"/>
        <w:jc w:val="center"/>
        <w:rPr>
          <w:rFonts w:ascii="宋体" w:hAnsi="宋体"/>
          <w:color w:val="auto"/>
          <w:sz w:val="32"/>
          <w:highlight w:val="none"/>
        </w:rPr>
      </w:pPr>
    </w:p>
    <w:p w14:paraId="5814F11D">
      <w:pPr>
        <w:tabs>
          <w:tab w:val="left" w:pos="315"/>
          <w:tab w:val="left" w:pos="8820"/>
        </w:tabs>
        <w:spacing w:line="500" w:lineRule="exact"/>
        <w:ind w:right="267" w:rightChars="127"/>
        <w:jc w:val="center"/>
        <w:rPr>
          <w:rFonts w:ascii="微软简标宋" w:eastAsia="黑体"/>
          <w:b/>
          <w:bCs/>
          <w:color w:val="auto"/>
          <w:sz w:val="52"/>
          <w:highlight w:val="none"/>
        </w:rPr>
      </w:pPr>
    </w:p>
    <w:p w14:paraId="7896D466">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13EE4938">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18BDFE34">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36C3090B">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792B1B8E">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0D4099A5">
      <w:pPr>
        <w:tabs>
          <w:tab w:val="left" w:pos="315"/>
          <w:tab w:val="left" w:pos="8820"/>
        </w:tabs>
        <w:spacing w:line="600" w:lineRule="exact"/>
        <w:ind w:right="267" w:rightChars="127"/>
        <w:jc w:val="left"/>
        <w:rPr>
          <w:rFonts w:hint="eastAsia" w:ascii="微软简标宋" w:eastAsia="黑体"/>
          <w:b w:val="0"/>
          <w:bCs w:val="0"/>
          <w:color w:val="auto"/>
          <w:sz w:val="28"/>
          <w:szCs w:val="28"/>
          <w:highlight w:val="none"/>
        </w:rPr>
      </w:pPr>
    </w:p>
    <w:p w14:paraId="3672C3CC">
      <w:pPr>
        <w:tabs>
          <w:tab w:val="left" w:pos="315"/>
          <w:tab w:val="left" w:pos="8820"/>
        </w:tabs>
        <w:spacing w:line="600" w:lineRule="exact"/>
        <w:ind w:right="267" w:rightChars="127"/>
        <w:jc w:val="left"/>
        <w:rPr>
          <w:rFonts w:ascii="微软简标宋" w:eastAsia="黑体"/>
          <w:b w:val="0"/>
          <w:bCs w:val="0"/>
          <w:color w:val="auto"/>
          <w:sz w:val="28"/>
          <w:szCs w:val="28"/>
          <w:highlight w:val="none"/>
        </w:rPr>
      </w:pPr>
      <w:r>
        <w:rPr>
          <w:rFonts w:hint="eastAsia" w:ascii="微软简标宋" w:eastAsia="黑体"/>
          <w:b w:val="0"/>
          <w:bCs w:val="0"/>
          <w:color w:val="auto"/>
          <w:sz w:val="28"/>
          <w:szCs w:val="28"/>
          <w:highlight w:val="none"/>
        </w:rPr>
        <w:t>项目名称:周口市住房公积金管理中心业务管理系统运维项目</w:t>
      </w:r>
    </w:p>
    <w:p w14:paraId="6BCE2FEA">
      <w:pPr>
        <w:rPr>
          <w:rFonts w:hint="default" w:ascii="黑体" w:hAnsi="黑体" w:eastAsia="黑体" w:cs="黑体"/>
          <w:b w:val="0"/>
          <w:bCs w:val="0"/>
          <w:color w:val="auto"/>
          <w:sz w:val="28"/>
          <w:szCs w:val="28"/>
          <w:highlight w:val="yellow"/>
          <w:lang w:val="en-US" w:eastAsia="zh-CN"/>
        </w:rPr>
      </w:pPr>
      <w:r>
        <w:rPr>
          <w:rFonts w:hint="eastAsia" w:ascii="黑体" w:hAnsi="黑体" w:eastAsia="黑体" w:cs="黑体"/>
          <w:b w:val="0"/>
          <w:bCs w:val="0"/>
          <w:color w:val="auto"/>
          <w:sz w:val="28"/>
          <w:szCs w:val="28"/>
          <w:highlight w:val="yellow"/>
        </w:rPr>
        <w:t>项目编号:</w:t>
      </w:r>
      <w:r>
        <w:rPr>
          <w:rFonts w:hint="eastAsia" w:ascii="黑体" w:hAnsi="黑体" w:eastAsia="黑体" w:cs="黑体"/>
          <w:b w:val="0"/>
          <w:bCs w:val="0"/>
          <w:color w:val="auto"/>
          <w:sz w:val="28"/>
          <w:szCs w:val="28"/>
          <w:highlight w:val="yellow"/>
          <w:lang w:eastAsia="zh-CN"/>
        </w:rPr>
        <w:t>周财磋商采购</w:t>
      </w:r>
      <w:r>
        <w:rPr>
          <w:rFonts w:hint="eastAsia" w:ascii="黑体" w:hAnsi="黑体" w:eastAsia="黑体" w:cs="黑体"/>
          <w:b w:val="0"/>
          <w:bCs w:val="0"/>
          <w:color w:val="auto"/>
          <w:sz w:val="28"/>
          <w:szCs w:val="28"/>
          <w:highlight w:val="yellow"/>
          <w:lang w:val="en-US" w:eastAsia="zh-CN"/>
        </w:rPr>
        <w:t>-2025-135</w:t>
      </w:r>
    </w:p>
    <w:p w14:paraId="6213CED8">
      <w:pPr>
        <w:pStyle w:val="10"/>
        <w:rPr>
          <w:rFonts w:ascii="宋体" w:hAnsi="宋体"/>
          <w:b w:val="0"/>
          <w:bCs w:val="0"/>
          <w:color w:val="auto"/>
          <w:sz w:val="28"/>
          <w:szCs w:val="28"/>
          <w:highlight w:val="none"/>
        </w:rPr>
      </w:pPr>
    </w:p>
    <w:p w14:paraId="2CF30C5C">
      <w:pPr>
        <w:tabs>
          <w:tab w:val="left" w:pos="315"/>
          <w:tab w:val="left" w:pos="8820"/>
        </w:tabs>
        <w:spacing w:line="600" w:lineRule="exact"/>
        <w:ind w:right="267" w:rightChars="127"/>
        <w:jc w:val="center"/>
        <w:rPr>
          <w:rFonts w:ascii="微软简标宋" w:eastAsia="黑体"/>
          <w:b w:val="0"/>
          <w:bCs w:val="0"/>
          <w:color w:val="auto"/>
          <w:sz w:val="28"/>
          <w:szCs w:val="28"/>
          <w:highlight w:val="yellow"/>
        </w:rPr>
      </w:pPr>
      <w:r>
        <w:rPr>
          <w:rFonts w:hint="eastAsia" w:ascii="微软简标宋" w:eastAsia="黑体"/>
          <w:b w:val="0"/>
          <w:bCs w:val="0"/>
          <w:color w:val="auto"/>
          <w:sz w:val="28"/>
          <w:szCs w:val="28"/>
          <w:highlight w:val="yellow"/>
          <w:lang w:val="en-US" w:eastAsia="zh-CN"/>
        </w:rPr>
        <w:t>2025</w:t>
      </w:r>
      <w:r>
        <w:rPr>
          <w:rFonts w:hint="eastAsia" w:ascii="微软简标宋" w:eastAsia="黑体"/>
          <w:b w:val="0"/>
          <w:bCs w:val="0"/>
          <w:color w:val="auto"/>
          <w:sz w:val="28"/>
          <w:szCs w:val="28"/>
          <w:highlight w:val="yellow"/>
        </w:rPr>
        <w:t>年</w:t>
      </w:r>
      <w:r>
        <w:rPr>
          <w:rFonts w:hint="eastAsia" w:ascii="微软简标宋" w:eastAsia="黑体"/>
          <w:b w:val="0"/>
          <w:bCs w:val="0"/>
          <w:color w:val="auto"/>
          <w:sz w:val="28"/>
          <w:szCs w:val="28"/>
          <w:highlight w:val="yellow"/>
          <w:lang w:val="en-US" w:eastAsia="zh-CN"/>
        </w:rPr>
        <w:t>12</w:t>
      </w:r>
      <w:r>
        <w:rPr>
          <w:rFonts w:hint="eastAsia" w:ascii="微软简标宋" w:eastAsia="黑体"/>
          <w:b w:val="0"/>
          <w:bCs w:val="0"/>
          <w:color w:val="auto"/>
          <w:sz w:val="28"/>
          <w:szCs w:val="28"/>
          <w:highlight w:val="yellow"/>
        </w:rPr>
        <w:t>月</w:t>
      </w:r>
      <w:r>
        <w:rPr>
          <w:rFonts w:hint="eastAsia" w:ascii="微软简标宋" w:eastAsia="黑体"/>
          <w:b w:val="0"/>
          <w:bCs w:val="0"/>
          <w:color w:val="auto"/>
          <w:sz w:val="28"/>
          <w:szCs w:val="28"/>
          <w:highlight w:val="yellow"/>
          <w:lang w:val="en-US" w:eastAsia="zh-CN"/>
        </w:rPr>
        <w:t>10</w:t>
      </w:r>
      <w:r>
        <w:rPr>
          <w:rFonts w:hint="eastAsia" w:ascii="微软简标宋" w:eastAsia="黑体"/>
          <w:b w:val="0"/>
          <w:bCs w:val="0"/>
          <w:color w:val="auto"/>
          <w:sz w:val="28"/>
          <w:szCs w:val="28"/>
          <w:highlight w:val="yellow"/>
        </w:rPr>
        <w:t>日</w:t>
      </w:r>
    </w:p>
    <w:p w14:paraId="6AA3E4DE">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2C901661">
      <w:pPr>
        <w:rPr>
          <w:rFonts w:ascii="宋体" w:hAnsi="宋体" w:cs="宋体"/>
          <w:b/>
          <w:color w:val="auto"/>
          <w:sz w:val="32"/>
          <w:szCs w:val="32"/>
          <w:highlight w:val="none"/>
        </w:rPr>
      </w:pPr>
    </w:p>
    <w:p w14:paraId="2EB75923">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4AE35BA5">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0F3FB12C">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14:paraId="197C8B80">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14:paraId="5A006EE9">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合同签订指引、供应商履约验收指引38</w:t>
      </w:r>
    </w:p>
    <w:p w14:paraId="5DABD070">
      <w:pPr>
        <w:spacing w:line="800" w:lineRule="exact"/>
        <w:ind w:firstLine="2249" w:firstLineChars="700"/>
        <w:rPr>
          <w:rFonts w:ascii="宋体" w:hAnsi="宋体" w:cs="宋体"/>
          <w:b/>
          <w:color w:val="auto"/>
          <w:sz w:val="32"/>
          <w:szCs w:val="32"/>
          <w:highlight w:val="none"/>
        </w:rPr>
      </w:pPr>
    </w:p>
    <w:p w14:paraId="236832D4">
      <w:pPr>
        <w:spacing w:line="800" w:lineRule="exact"/>
        <w:ind w:firstLine="2249" w:firstLineChars="700"/>
        <w:rPr>
          <w:rFonts w:ascii="宋体" w:hAnsi="宋体" w:cs="宋体"/>
          <w:b/>
          <w:color w:val="auto"/>
          <w:sz w:val="32"/>
          <w:szCs w:val="32"/>
          <w:highlight w:val="none"/>
        </w:rPr>
      </w:pPr>
    </w:p>
    <w:p w14:paraId="6F72B632">
      <w:pPr>
        <w:spacing w:line="800" w:lineRule="exact"/>
        <w:ind w:firstLine="2249" w:firstLineChars="700"/>
        <w:rPr>
          <w:rFonts w:ascii="宋体" w:hAnsi="宋体" w:cs="宋体"/>
          <w:b/>
          <w:color w:val="auto"/>
          <w:sz w:val="32"/>
          <w:szCs w:val="32"/>
          <w:highlight w:val="none"/>
        </w:rPr>
      </w:pPr>
    </w:p>
    <w:p w14:paraId="1EC48B6F">
      <w:pPr>
        <w:pStyle w:val="5"/>
        <w:spacing w:line="500" w:lineRule="exact"/>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7525F11F">
      <w:pPr>
        <w:pStyle w:val="38"/>
        <w:rPr>
          <w:color w:val="auto"/>
          <w:highlight w:val="none"/>
        </w:rPr>
      </w:pPr>
    </w:p>
    <w:p w14:paraId="4BA01D4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项目概况</w:t>
      </w:r>
    </w:p>
    <w:p w14:paraId="588F5580">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宋体" w:hAnsi="宋体" w:cs="宋体"/>
          <w:color w:val="auto"/>
          <w:sz w:val="24"/>
          <w:highlight w:val="none"/>
        </w:rPr>
        <w:t>周口市住房公积金管理中心业务管理系统运维项目的潜在投标人应在周口市公共资源交易中心网（http://jyzx.zhoukou.gov.cn）获取招标文件，并于</w:t>
      </w:r>
      <w:r>
        <w:rPr>
          <w:rFonts w:ascii="宋体" w:hAnsi="宋体" w:cs="宋体"/>
          <w:color w:val="auto"/>
          <w:sz w:val="24"/>
          <w:highlight w:val="yellow"/>
        </w:rPr>
        <w:t>202</w:t>
      </w:r>
      <w:r>
        <w:rPr>
          <w:rFonts w:hint="eastAsia" w:ascii="宋体" w:hAnsi="宋体" w:cs="宋体"/>
          <w:color w:val="auto"/>
          <w:sz w:val="24"/>
          <w:highlight w:val="yellow"/>
          <w:lang w:val="en-US" w:eastAsia="zh-CN"/>
        </w:rPr>
        <w:t>5</w:t>
      </w:r>
      <w:r>
        <w:rPr>
          <w:rFonts w:hint="eastAsia" w:ascii="宋体" w:hAnsi="宋体" w:cs="宋体"/>
          <w:color w:val="auto"/>
          <w:sz w:val="24"/>
          <w:highlight w:val="yellow"/>
        </w:rPr>
        <w:t>年</w:t>
      </w:r>
      <w:r>
        <w:rPr>
          <w:rFonts w:ascii="宋体" w:hAnsi="宋体" w:cs="宋体"/>
          <w:color w:val="auto"/>
          <w:sz w:val="24"/>
          <w:highlight w:val="yellow"/>
        </w:rPr>
        <w:t>12</w:t>
      </w:r>
      <w:r>
        <w:rPr>
          <w:rFonts w:hint="eastAsia" w:ascii="宋体" w:hAnsi="宋体" w:cs="宋体"/>
          <w:color w:val="auto"/>
          <w:sz w:val="24"/>
          <w:highlight w:val="yellow"/>
        </w:rPr>
        <w:t>月</w:t>
      </w:r>
      <w:r>
        <w:rPr>
          <w:rFonts w:hint="eastAsia" w:ascii="宋体" w:hAnsi="宋体" w:cs="宋体"/>
          <w:color w:val="auto"/>
          <w:sz w:val="24"/>
          <w:highlight w:val="yellow"/>
          <w:lang w:val="en-US" w:eastAsia="zh-CN"/>
        </w:rPr>
        <w:t>26</w:t>
      </w:r>
      <w:r>
        <w:rPr>
          <w:rFonts w:hint="eastAsia" w:ascii="宋体" w:hAnsi="宋体" w:cs="宋体"/>
          <w:color w:val="auto"/>
          <w:sz w:val="24"/>
          <w:highlight w:val="yellow"/>
        </w:rPr>
        <w:t>日</w:t>
      </w:r>
      <w:r>
        <w:rPr>
          <w:rFonts w:hint="eastAsia" w:ascii="宋体" w:hAnsi="宋体" w:cs="宋体"/>
          <w:color w:val="auto"/>
          <w:sz w:val="24"/>
          <w:highlight w:val="yellow"/>
          <w:lang w:val="en-US" w:eastAsia="zh-CN"/>
        </w:rPr>
        <w:t>10</w:t>
      </w:r>
      <w:r>
        <w:rPr>
          <w:rFonts w:hint="eastAsia" w:ascii="宋体" w:hAnsi="宋体" w:cs="宋体"/>
          <w:color w:val="auto"/>
          <w:sz w:val="24"/>
          <w:highlight w:val="yellow"/>
        </w:rPr>
        <w:t>点</w:t>
      </w:r>
      <w:r>
        <w:rPr>
          <w:rFonts w:hint="eastAsia" w:ascii="宋体" w:hAnsi="宋体" w:cs="宋体"/>
          <w:color w:val="auto"/>
          <w:sz w:val="24"/>
          <w:highlight w:val="yellow"/>
          <w:lang w:val="en-US" w:eastAsia="zh-CN"/>
        </w:rPr>
        <w:t>00</w:t>
      </w:r>
      <w:r>
        <w:rPr>
          <w:rFonts w:hint="eastAsia" w:ascii="宋体" w:hAnsi="宋体" w:cs="宋体"/>
          <w:color w:val="auto"/>
          <w:sz w:val="24"/>
          <w:highlight w:val="yellow"/>
        </w:rPr>
        <w:t>分（北京时间）</w:t>
      </w:r>
      <w:r>
        <w:rPr>
          <w:rFonts w:hint="eastAsia" w:ascii="宋体" w:hAnsi="宋体" w:cs="宋体"/>
          <w:color w:val="auto"/>
          <w:sz w:val="24"/>
          <w:highlight w:val="none"/>
        </w:rPr>
        <w:t>前递交投标文件。</w:t>
      </w:r>
    </w:p>
    <w:p w14:paraId="0DCFF841">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0" w:name="_Toc35393798"/>
      <w:bookmarkStart w:id="1" w:name="_Toc28359089"/>
      <w:bookmarkStart w:id="2" w:name="_Toc28359012"/>
      <w:bookmarkStart w:id="3" w:name="_Toc35393629"/>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1C77D0E7">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yellow"/>
          <w:lang w:val="en-US" w:eastAsia="zh-CN"/>
        </w:rPr>
      </w:pPr>
      <w:r>
        <w:rPr>
          <w:rFonts w:hint="eastAsia" w:asciiTheme="minorEastAsia" w:hAnsiTheme="minorEastAsia" w:eastAsiaTheme="minorEastAsia" w:cstheme="minorEastAsia"/>
          <w:color w:val="auto"/>
          <w:sz w:val="24"/>
          <w:highlight w:val="yellow"/>
        </w:rPr>
        <w:t>项目编号：</w:t>
      </w:r>
      <w:r>
        <w:rPr>
          <w:rFonts w:hint="eastAsia" w:asciiTheme="minorEastAsia" w:hAnsiTheme="minorEastAsia" w:eastAsiaTheme="minorEastAsia" w:cstheme="minorEastAsia"/>
          <w:color w:val="auto"/>
          <w:sz w:val="24"/>
          <w:highlight w:val="yellow"/>
          <w:lang w:eastAsia="zh-CN"/>
        </w:rPr>
        <w:t>周财磋商采购</w:t>
      </w:r>
      <w:r>
        <w:rPr>
          <w:rFonts w:hint="eastAsia" w:asciiTheme="minorEastAsia" w:hAnsiTheme="minorEastAsia" w:eastAsiaTheme="minorEastAsia" w:cstheme="minorEastAsia"/>
          <w:color w:val="auto"/>
          <w:sz w:val="24"/>
          <w:highlight w:val="yellow"/>
          <w:lang w:val="en-US" w:eastAsia="zh-CN"/>
        </w:rPr>
        <w:t>-2025-135</w:t>
      </w:r>
    </w:p>
    <w:p w14:paraId="30FD4D6D">
      <w:pPr>
        <w:autoSpaceDE w:val="0"/>
        <w:autoSpaceDN w:val="0"/>
        <w:spacing w:line="360" w:lineRule="auto"/>
        <w:ind w:firstLine="480" w:firstLineChars="2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项目名称：</w:t>
      </w:r>
      <w:r>
        <w:rPr>
          <w:rFonts w:hint="eastAsia" w:ascii="宋体" w:hAnsi="宋体" w:cs="宋体"/>
          <w:color w:val="auto"/>
          <w:sz w:val="24"/>
          <w:highlight w:val="none"/>
        </w:rPr>
        <w:t>周口市住房公积金管理中心业务管理系统运维项目</w:t>
      </w:r>
    </w:p>
    <w:p w14:paraId="00901AA7">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335B3A28">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预算金额：5</w:t>
      </w:r>
      <w:r>
        <w:rPr>
          <w:rFonts w:asciiTheme="minorEastAsia" w:hAnsiTheme="minorEastAsia" w:eastAsiaTheme="minorEastAsia" w:cstheme="minorEastAsia"/>
          <w:color w:val="auto"/>
          <w:sz w:val="24"/>
          <w:highlight w:val="none"/>
        </w:rPr>
        <w:t>0</w:t>
      </w:r>
      <w:r>
        <w:rPr>
          <w:rFonts w:hint="eastAsia" w:asciiTheme="minorEastAsia" w:hAnsiTheme="minorEastAsia" w:eastAsiaTheme="minorEastAsia" w:cstheme="minorEastAsia"/>
          <w:color w:val="auto"/>
          <w:sz w:val="24"/>
          <w:highlight w:val="none"/>
        </w:rPr>
        <w:t>万元</w:t>
      </w:r>
    </w:p>
    <w:p w14:paraId="4DD2E0EE">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最高限价：5</w:t>
      </w:r>
      <w:r>
        <w:rPr>
          <w:rFonts w:asciiTheme="minorEastAsia" w:hAnsiTheme="minorEastAsia" w:eastAsiaTheme="minorEastAsia" w:cstheme="minorEastAsia"/>
          <w:color w:val="auto"/>
          <w:sz w:val="24"/>
          <w:highlight w:val="none"/>
        </w:rPr>
        <w:t>0</w:t>
      </w:r>
      <w:r>
        <w:rPr>
          <w:rFonts w:hint="eastAsia" w:asciiTheme="minorEastAsia" w:hAnsiTheme="minorEastAsia" w:eastAsiaTheme="minorEastAsia" w:cstheme="minorEastAsia"/>
          <w:color w:val="auto"/>
          <w:sz w:val="24"/>
          <w:highlight w:val="none"/>
        </w:rPr>
        <w:t>万元</w:t>
      </w:r>
    </w:p>
    <w:p w14:paraId="2E0BEBFB">
      <w:pPr>
        <w:pStyle w:val="26"/>
        <w:snapToGrid w:val="0"/>
        <w:spacing w:before="0" w:beforeAutospacing="0" w:after="0" w:afterAutospacing="0" w:line="360" w:lineRule="auto"/>
        <w:ind w:firstLine="480"/>
        <w:jc w:val="both"/>
        <w:rPr>
          <w:rFonts w:cs="宋体"/>
          <w:color w:val="auto"/>
          <w:highlight w:val="none"/>
        </w:rPr>
      </w:pPr>
      <w:r>
        <w:rPr>
          <w:rFonts w:hint="eastAsia" w:cs="宋体"/>
          <w:color w:val="auto"/>
          <w:highlight w:val="none"/>
        </w:rPr>
        <w:t>包划分：</w:t>
      </w:r>
      <w:r>
        <w:rPr>
          <w:rFonts w:cs="宋体"/>
          <w:color w:val="auto"/>
          <w:highlight w:val="none"/>
        </w:rPr>
        <w:t>1</w:t>
      </w:r>
      <w:r>
        <w:rPr>
          <w:rFonts w:hint="eastAsia" w:cs="宋体"/>
          <w:color w:val="auto"/>
          <w:highlight w:val="none"/>
        </w:rPr>
        <w:t>个包</w:t>
      </w:r>
    </w:p>
    <w:tbl>
      <w:tblPr>
        <w:tblStyle w:val="31"/>
        <w:tblW w:w="4320" w:type="pct"/>
        <w:tblInd w:w="6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4721"/>
        <w:gridCol w:w="2285"/>
      </w:tblGrid>
      <w:tr w14:paraId="4EC4B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vAlign w:val="center"/>
          </w:tcPr>
          <w:p w14:paraId="1A68D25B">
            <w:pPr>
              <w:pStyle w:val="26"/>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包号</w:t>
            </w:r>
          </w:p>
        </w:tc>
        <w:tc>
          <w:tcPr>
            <w:tcW w:w="3014" w:type="pct"/>
            <w:vAlign w:val="center"/>
          </w:tcPr>
          <w:p w14:paraId="425A9C30">
            <w:pPr>
              <w:pStyle w:val="26"/>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包名称</w:t>
            </w:r>
          </w:p>
        </w:tc>
        <w:tc>
          <w:tcPr>
            <w:tcW w:w="1459" w:type="pct"/>
            <w:vAlign w:val="center"/>
          </w:tcPr>
          <w:p w14:paraId="2926C0F2">
            <w:pPr>
              <w:pStyle w:val="26"/>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包最高限价万元</w:t>
            </w:r>
          </w:p>
        </w:tc>
      </w:tr>
      <w:tr w14:paraId="79985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26" w:type="pct"/>
            <w:vAlign w:val="center"/>
          </w:tcPr>
          <w:p w14:paraId="6CFE3A83">
            <w:pPr>
              <w:pStyle w:val="26"/>
              <w:shd w:val="clear" w:color="auto" w:fill="FFFFFF"/>
              <w:adjustRightInd w:val="0"/>
              <w:snapToGrid w:val="0"/>
              <w:spacing w:before="0" w:beforeAutospacing="0" w:after="0" w:afterAutospacing="0" w:line="360" w:lineRule="auto"/>
              <w:jc w:val="center"/>
              <w:rPr>
                <w:color w:val="auto"/>
                <w:highlight w:val="none"/>
              </w:rPr>
            </w:pPr>
            <w:r>
              <w:rPr>
                <w:rFonts w:hint="eastAsia" w:cs="宋体" w:asciiTheme="minorEastAsia" w:hAnsiTheme="minorEastAsia" w:eastAsiaTheme="minorEastAsia"/>
                <w:color w:val="auto"/>
                <w:kern w:val="2"/>
                <w:szCs w:val="24"/>
                <w:highlight w:val="none"/>
              </w:rPr>
              <w:t>1</w:t>
            </w:r>
          </w:p>
        </w:tc>
        <w:tc>
          <w:tcPr>
            <w:tcW w:w="3014" w:type="pct"/>
            <w:vAlign w:val="center"/>
          </w:tcPr>
          <w:p w14:paraId="7017B224">
            <w:pPr>
              <w:adjustRightInd w:val="0"/>
              <w:snapToGrid w:val="0"/>
              <w:spacing w:line="360" w:lineRule="auto"/>
              <w:rPr>
                <w:color w:val="auto"/>
                <w:highlight w:val="none"/>
              </w:rPr>
            </w:pPr>
            <w:r>
              <w:rPr>
                <w:rFonts w:hint="eastAsia" w:ascii="宋体" w:hAnsi="宋体" w:cs="宋体"/>
                <w:color w:val="auto"/>
                <w:sz w:val="24"/>
                <w:highlight w:val="none"/>
              </w:rPr>
              <w:t>周口市住房公积金管理中心业务管理系统运维项目</w:t>
            </w:r>
          </w:p>
        </w:tc>
        <w:tc>
          <w:tcPr>
            <w:tcW w:w="1459" w:type="pct"/>
            <w:vAlign w:val="center"/>
          </w:tcPr>
          <w:p w14:paraId="581A0756">
            <w:pPr>
              <w:adjustRightInd w:val="0"/>
              <w:snapToGrid w:val="0"/>
              <w:spacing w:line="360" w:lineRule="auto"/>
              <w:jc w:val="center"/>
              <w:rPr>
                <w:color w:val="auto"/>
                <w:highlight w:val="none"/>
              </w:rPr>
            </w:pPr>
            <w:r>
              <w:rPr>
                <w:rFonts w:cs="宋体" w:asciiTheme="minorEastAsia" w:hAnsiTheme="minorEastAsia" w:eastAsiaTheme="minorEastAsia"/>
                <w:color w:val="auto"/>
                <w:sz w:val="24"/>
                <w:highlight w:val="none"/>
              </w:rPr>
              <w:t>50</w:t>
            </w:r>
          </w:p>
        </w:tc>
      </w:tr>
    </w:tbl>
    <w:p w14:paraId="1505788E">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w:t>
      </w:r>
      <w:r>
        <w:rPr>
          <w:rFonts w:hint="eastAsia" w:ascii="宋体" w:hAnsi="宋体" w:cs="宋体"/>
          <w:color w:val="auto"/>
          <w:sz w:val="24"/>
          <w:highlight w:val="none"/>
        </w:rPr>
        <w:t>周口市住房公积金管理中心业务管理系统运维项目，1年。</w:t>
      </w:r>
    </w:p>
    <w:p w14:paraId="0DEEA067">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合同履行期限：1年</w:t>
      </w:r>
    </w:p>
    <w:p w14:paraId="168C4778">
      <w:pPr>
        <w:spacing w:line="360" w:lineRule="auto"/>
        <w:ind w:firstLine="480" w:firstLineChars="200"/>
        <w:jc w:val="left"/>
        <w:rPr>
          <w:rFonts w:ascii="宋体" w:hAnsi="宋体" w:cs="宋体"/>
          <w:color w:val="auto"/>
          <w:sz w:val="24"/>
          <w:highlight w:val="none"/>
        </w:rPr>
      </w:pPr>
      <w:bookmarkStart w:id="4" w:name="_Toc35393799"/>
      <w:bookmarkStart w:id="5" w:name="_Toc35393630"/>
      <w:bookmarkStart w:id="6" w:name="_Toc28359090"/>
      <w:bookmarkStart w:id="7" w:name="_Toc28359013"/>
      <w:r>
        <w:rPr>
          <w:rFonts w:hint="eastAsia" w:ascii="宋体" w:hAnsi="宋体" w:cs="宋体"/>
          <w:color w:val="auto"/>
          <w:sz w:val="24"/>
          <w:highlight w:val="none"/>
        </w:rPr>
        <w:t>是否接受进口产品：否</w:t>
      </w:r>
    </w:p>
    <w:p w14:paraId="1E9E74F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本项目是否接受联合体投标：否</w:t>
      </w:r>
    </w:p>
    <w:p w14:paraId="3FFA5F0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shd w:val="clear" w:color="FFFFFF"/>
        </w:rPr>
        <w:t>本项目是否为只面向中小企业采购：</w:t>
      </w:r>
      <w:r>
        <w:rPr>
          <w:rFonts w:hint="eastAsia" w:ascii="宋体" w:hAnsi="宋体" w:cs="宋体"/>
          <w:color w:val="auto"/>
          <w:sz w:val="24"/>
          <w:highlight w:val="none"/>
          <w:shd w:val="clear" w:color="FFFFFF"/>
          <w:lang w:eastAsia="zh-CN"/>
        </w:rPr>
        <w:t>否</w:t>
      </w:r>
    </w:p>
    <w:p w14:paraId="031B8E72">
      <w:pPr>
        <w:pStyle w:val="5"/>
        <w:autoSpaceDE w:val="0"/>
        <w:autoSpaceDN w:val="0"/>
        <w:spacing w:line="360" w:lineRule="auto"/>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5334602A">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1B5A004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66CA810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01C501C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7DE2CC8B">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0CDDDC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74C0AC7E">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1EA66240">
      <w:pPr>
        <w:autoSpaceDE w:val="0"/>
        <w:autoSpaceDN w:val="0"/>
        <w:spacing w:line="360" w:lineRule="auto"/>
        <w:ind w:firstLine="540"/>
        <w:rPr>
          <w:rFonts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013F5A8">
      <w:pPr>
        <w:spacing w:line="360" w:lineRule="auto"/>
        <w:ind w:firstLine="480" w:firstLineChars="200"/>
        <w:jc w:val="left"/>
        <w:rPr>
          <w:rFonts w:ascii="宋体" w:hAnsi="宋体" w:cs="宋体"/>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）的“重大税收违法失信主体”、“失信被执行人”和“中国政府采购”网站(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)的“政府采购严重违法失信行为记录名单”的供应商，将拒绝其参加政府采购活动；在标书中附加盖公章的网页查询扫描件，查询日期为公告发布之日起至投标截止之日止。</w:t>
      </w:r>
    </w:p>
    <w:p w14:paraId="283FF034">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10" w:name="_Toc35393631"/>
      <w:bookmarkStart w:id="11" w:name="_Toc35393800"/>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37EED10F">
      <w:pPr>
        <w:autoSpaceDE w:val="0"/>
        <w:autoSpaceDN w:val="0"/>
        <w:spacing w:line="360" w:lineRule="auto"/>
        <w:ind w:firstLine="540"/>
        <w:rPr>
          <w:rFonts w:asciiTheme="minorEastAsia" w:hAnsiTheme="minorEastAsia" w:eastAsiaTheme="minorEastAsia" w:cstheme="minorEastAsia"/>
          <w:color w:val="auto"/>
          <w:sz w:val="24"/>
          <w:highlight w:val="yellow"/>
        </w:rPr>
      </w:pPr>
      <w:r>
        <w:rPr>
          <w:rFonts w:hint="eastAsia" w:asciiTheme="minorEastAsia" w:hAnsiTheme="minorEastAsia" w:eastAsiaTheme="minorEastAsia" w:cstheme="minorEastAsia"/>
          <w:color w:val="auto"/>
          <w:sz w:val="24"/>
          <w:highlight w:val="yellow"/>
        </w:rPr>
        <w:t>时间：</w:t>
      </w:r>
      <w:r>
        <w:rPr>
          <w:rFonts w:hint="eastAsia" w:asciiTheme="minorEastAsia" w:hAnsiTheme="minorEastAsia" w:eastAsiaTheme="minorEastAsia" w:cstheme="minorEastAsia"/>
          <w:color w:val="auto"/>
          <w:sz w:val="24"/>
          <w:highlight w:val="yellow"/>
          <w:u w:val="single"/>
          <w:lang w:val="en-US" w:eastAsia="zh-CN"/>
        </w:rPr>
        <w:t>2025</w:t>
      </w:r>
      <w:r>
        <w:rPr>
          <w:rFonts w:hint="eastAsia" w:asciiTheme="minorEastAsia" w:hAnsiTheme="minorEastAsia" w:eastAsiaTheme="minorEastAsia" w:cstheme="minorEastAsia"/>
          <w:color w:val="auto"/>
          <w:sz w:val="24"/>
          <w:highlight w:val="yellow"/>
          <w:u w:val="single"/>
        </w:rPr>
        <w:t>年</w:t>
      </w:r>
      <w:r>
        <w:rPr>
          <w:rFonts w:hint="eastAsia" w:asciiTheme="minorEastAsia" w:hAnsiTheme="minorEastAsia" w:eastAsiaTheme="minorEastAsia" w:cstheme="minorEastAsia"/>
          <w:color w:val="auto"/>
          <w:sz w:val="24"/>
          <w:highlight w:val="yellow"/>
          <w:u w:val="single"/>
          <w:lang w:val="en-US" w:eastAsia="zh-CN"/>
        </w:rPr>
        <w:t>12</w:t>
      </w:r>
      <w:r>
        <w:rPr>
          <w:rFonts w:hint="eastAsia" w:asciiTheme="minorEastAsia" w:hAnsiTheme="minorEastAsia" w:eastAsiaTheme="minorEastAsia" w:cstheme="minorEastAsia"/>
          <w:color w:val="auto"/>
          <w:sz w:val="24"/>
          <w:highlight w:val="yellow"/>
          <w:u w:val="single"/>
        </w:rPr>
        <w:t>月</w:t>
      </w:r>
      <w:r>
        <w:rPr>
          <w:rFonts w:hint="eastAsia" w:asciiTheme="minorEastAsia" w:hAnsiTheme="minorEastAsia" w:eastAsiaTheme="minorEastAsia" w:cstheme="minorEastAsia"/>
          <w:color w:val="auto"/>
          <w:sz w:val="24"/>
          <w:highlight w:val="yellow"/>
          <w:u w:val="single"/>
          <w:lang w:val="en-US" w:eastAsia="zh-CN"/>
        </w:rPr>
        <w:t>10</w:t>
      </w:r>
      <w:r>
        <w:rPr>
          <w:rFonts w:hint="eastAsia" w:asciiTheme="minorEastAsia" w:hAnsiTheme="minorEastAsia" w:eastAsiaTheme="minorEastAsia" w:cstheme="minorEastAsia"/>
          <w:color w:val="auto"/>
          <w:sz w:val="24"/>
          <w:highlight w:val="yellow"/>
          <w:u w:val="single"/>
        </w:rPr>
        <w:t>日</w:t>
      </w:r>
      <w:r>
        <w:rPr>
          <w:rFonts w:hint="eastAsia" w:asciiTheme="minorEastAsia" w:hAnsiTheme="minorEastAsia" w:eastAsiaTheme="minorEastAsia" w:cstheme="minorEastAsia"/>
          <w:color w:val="auto"/>
          <w:sz w:val="24"/>
          <w:highlight w:val="yellow"/>
        </w:rPr>
        <w:t>至</w:t>
      </w:r>
      <w:r>
        <w:rPr>
          <w:rFonts w:hint="eastAsia" w:asciiTheme="minorEastAsia" w:hAnsiTheme="minorEastAsia" w:eastAsiaTheme="minorEastAsia" w:cstheme="minorEastAsia"/>
          <w:color w:val="auto"/>
          <w:sz w:val="24"/>
          <w:highlight w:val="yellow"/>
          <w:u w:val="single"/>
          <w:lang w:val="en-US" w:eastAsia="zh-CN"/>
        </w:rPr>
        <w:t>2025</w:t>
      </w:r>
      <w:r>
        <w:rPr>
          <w:rFonts w:hint="eastAsia" w:asciiTheme="minorEastAsia" w:hAnsiTheme="minorEastAsia" w:eastAsiaTheme="minorEastAsia" w:cstheme="minorEastAsia"/>
          <w:color w:val="auto"/>
          <w:sz w:val="24"/>
          <w:highlight w:val="yellow"/>
          <w:u w:val="single"/>
        </w:rPr>
        <w:t>年</w:t>
      </w:r>
      <w:r>
        <w:rPr>
          <w:rFonts w:hint="eastAsia" w:asciiTheme="minorEastAsia" w:hAnsiTheme="minorEastAsia" w:eastAsiaTheme="minorEastAsia" w:cstheme="minorEastAsia"/>
          <w:color w:val="auto"/>
          <w:sz w:val="24"/>
          <w:highlight w:val="yellow"/>
          <w:u w:val="single"/>
          <w:lang w:val="en-US" w:eastAsia="zh-CN"/>
        </w:rPr>
        <w:t>12</w:t>
      </w:r>
      <w:r>
        <w:rPr>
          <w:rFonts w:hint="eastAsia" w:asciiTheme="minorEastAsia" w:hAnsiTheme="minorEastAsia" w:eastAsiaTheme="minorEastAsia" w:cstheme="minorEastAsia"/>
          <w:color w:val="auto"/>
          <w:sz w:val="24"/>
          <w:highlight w:val="yellow"/>
          <w:u w:val="single"/>
        </w:rPr>
        <w:t>月</w:t>
      </w:r>
      <w:r>
        <w:rPr>
          <w:rFonts w:hint="eastAsia" w:asciiTheme="minorEastAsia" w:hAnsiTheme="minorEastAsia" w:eastAsiaTheme="minorEastAsia" w:cstheme="minorEastAsia"/>
          <w:color w:val="auto"/>
          <w:sz w:val="24"/>
          <w:highlight w:val="yellow"/>
          <w:u w:val="single"/>
          <w:lang w:val="en-US" w:eastAsia="zh-CN"/>
        </w:rPr>
        <w:t>17</w:t>
      </w:r>
      <w:r>
        <w:rPr>
          <w:rFonts w:hint="eastAsia" w:asciiTheme="minorEastAsia" w:hAnsiTheme="minorEastAsia" w:eastAsiaTheme="minorEastAsia" w:cstheme="minorEastAsia"/>
          <w:color w:val="auto"/>
          <w:sz w:val="24"/>
          <w:highlight w:val="yellow"/>
          <w:u w:val="single"/>
        </w:rPr>
        <w:t>日</w:t>
      </w:r>
      <w:r>
        <w:rPr>
          <w:rFonts w:hint="eastAsia" w:asciiTheme="minorEastAsia" w:hAnsiTheme="minorEastAsia" w:eastAsiaTheme="minorEastAsia" w:cstheme="minorEastAsia"/>
          <w:color w:val="auto"/>
          <w:sz w:val="24"/>
          <w:highlight w:val="yellow"/>
          <w:u w:val="single"/>
          <w:lang w:val="en-US" w:eastAsia="zh-CN"/>
        </w:rPr>
        <w:t>23:59分</w:t>
      </w:r>
      <w:r>
        <w:rPr>
          <w:rFonts w:hint="eastAsia" w:asciiTheme="minorEastAsia" w:hAnsiTheme="minorEastAsia" w:eastAsiaTheme="minorEastAsia" w:cstheme="minorEastAsia"/>
          <w:color w:val="auto"/>
          <w:sz w:val="24"/>
          <w:highlight w:val="yellow"/>
        </w:rPr>
        <w:t>（北京时间，法定节假日除外 ）</w:t>
      </w:r>
    </w:p>
    <w:p w14:paraId="5FD701F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56725E0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7C8F2150">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19FDFF4A">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12" w:name="_Toc35393801"/>
      <w:bookmarkStart w:id="13" w:name="_Toc28359015"/>
      <w:bookmarkStart w:id="14" w:name="_Toc28359092"/>
      <w:bookmarkStart w:id="15" w:name="_Toc35393632"/>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40376BDC">
      <w:pPr>
        <w:autoSpaceDE w:val="0"/>
        <w:autoSpaceDN w:val="0"/>
        <w:spacing w:line="360" w:lineRule="auto"/>
        <w:ind w:firstLine="480" w:firstLineChars="200"/>
        <w:rPr>
          <w:rFonts w:asciiTheme="minorEastAsia" w:hAnsiTheme="minorEastAsia" w:eastAsiaTheme="minorEastAsia" w:cstheme="minorEastAsia"/>
          <w:bCs/>
          <w:color w:val="auto"/>
          <w:sz w:val="24"/>
          <w:highlight w:val="yellow"/>
          <w:u w:val="single"/>
        </w:rPr>
      </w:pPr>
      <w:r>
        <w:rPr>
          <w:rFonts w:hint="eastAsia" w:asciiTheme="minorEastAsia" w:hAnsiTheme="minorEastAsia" w:eastAsiaTheme="minorEastAsia" w:cstheme="minorEastAsia"/>
          <w:color w:val="auto"/>
          <w:sz w:val="24"/>
          <w:highlight w:val="yellow"/>
        </w:rPr>
        <w:t>截止时间：</w:t>
      </w:r>
      <w:r>
        <w:rPr>
          <w:rFonts w:asciiTheme="minorEastAsia" w:hAnsiTheme="minorEastAsia" w:eastAsiaTheme="minorEastAsia" w:cstheme="minorEastAsia"/>
          <w:color w:val="auto"/>
          <w:sz w:val="24"/>
          <w:highlight w:val="yellow"/>
          <w:u w:val="single"/>
        </w:rPr>
        <w:t>202</w:t>
      </w:r>
      <w:r>
        <w:rPr>
          <w:rFonts w:hint="eastAsia" w:asciiTheme="minorEastAsia" w:hAnsiTheme="minorEastAsia" w:eastAsiaTheme="minorEastAsia" w:cstheme="minorEastAsia"/>
          <w:color w:val="auto"/>
          <w:sz w:val="24"/>
          <w:highlight w:val="yellow"/>
          <w:u w:val="single"/>
          <w:lang w:val="en-US" w:eastAsia="zh-CN"/>
        </w:rPr>
        <w:t>5</w:t>
      </w:r>
      <w:r>
        <w:rPr>
          <w:rFonts w:hint="eastAsia" w:asciiTheme="minorEastAsia" w:hAnsiTheme="minorEastAsia" w:eastAsiaTheme="minorEastAsia" w:cstheme="minorEastAsia"/>
          <w:bCs/>
          <w:color w:val="auto"/>
          <w:sz w:val="24"/>
          <w:highlight w:val="yellow"/>
          <w:u w:val="single"/>
        </w:rPr>
        <w:t>年</w:t>
      </w:r>
      <w:r>
        <w:rPr>
          <w:rFonts w:asciiTheme="minorEastAsia" w:hAnsiTheme="minorEastAsia" w:eastAsiaTheme="minorEastAsia" w:cstheme="minorEastAsia"/>
          <w:bCs/>
          <w:color w:val="auto"/>
          <w:sz w:val="24"/>
          <w:highlight w:val="yellow"/>
          <w:u w:val="single"/>
        </w:rPr>
        <w:t>12</w:t>
      </w:r>
      <w:r>
        <w:rPr>
          <w:rFonts w:hint="eastAsia" w:asciiTheme="minorEastAsia" w:hAnsiTheme="minorEastAsia" w:eastAsiaTheme="minorEastAsia" w:cstheme="minorEastAsia"/>
          <w:bCs/>
          <w:color w:val="auto"/>
          <w:sz w:val="24"/>
          <w:highlight w:val="yellow"/>
          <w:u w:val="single"/>
        </w:rPr>
        <w:t>月</w:t>
      </w:r>
      <w:r>
        <w:rPr>
          <w:rFonts w:hint="eastAsia" w:asciiTheme="minorEastAsia" w:hAnsiTheme="minorEastAsia" w:eastAsiaTheme="minorEastAsia" w:cstheme="minorEastAsia"/>
          <w:bCs/>
          <w:color w:val="auto"/>
          <w:sz w:val="24"/>
          <w:highlight w:val="yellow"/>
          <w:u w:val="single"/>
          <w:lang w:val="en-US" w:eastAsia="zh-CN"/>
        </w:rPr>
        <w:t>26</w:t>
      </w:r>
      <w:r>
        <w:rPr>
          <w:rFonts w:hint="eastAsia" w:asciiTheme="minorEastAsia" w:hAnsiTheme="minorEastAsia" w:eastAsiaTheme="minorEastAsia" w:cstheme="minorEastAsia"/>
          <w:bCs/>
          <w:color w:val="auto"/>
          <w:sz w:val="24"/>
          <w:highlight w:val="yellow"/>
          <w:u w:val="single"/>
        </w:rPr>
        <w:t>日</w:t>
      </w:r>
      <w:r>
        <w:rPr>
          <w:rFonts w:hint="eastAsia" w:asciiTheme="minorEastAsia" w:hAnsiTheme="minorEastAsia" w:eastAsiaTheme="minorEastAsia" w:cstheme="minorEastAsia"/>
          <w:bCs/>
          <w:color w:val="auto"/>
          <w:sz w:val="24"/>
          <w:highlight w:val="yellow"/>
          <w:u w:val="single"/>
          <w:lang w:val="en-US" w:eastAsia="zh-CN"/>
        </w:rPr>
        <w:t>10</w:t>
      </w:r>
      <w:r>
        <w:rPr>
          <w:rFonts w:hint="eastAsia" w:asciiTheme="minorEastAsia" w:hAnsiTheme="minorEastAsia" w:eastAsiaTheme="minorEastAsia" w:cstheme="minorEastAsia"/>
          <w:bCs/>
          <w:color w:val="auto"/>
          <w:sz w:val="24"/>
          <w:highlight w:val="yellow"/>
          <w:u w:val="single"/>
        </w:rPr>
        <w:t>点</w:t>
      </w:r>
      <w:r>
        <w:rPr>
          <w:rFonts w:hint="eastAsia" w:asciiTheme="minorEastAsia" w:hAnsiTheme="minorEastAsia" w:eastAsiaTheme="minorEastAsia" w:cstheme="minorEastAsia"/>
          <w:bCs/>
          <w:color w:val="auto"/>
          <w:sz w:val="24"/>
          <w:highlight w:val="yellow"/>
          <w:u w:val="single"/>
          <w:lang w:val="en-US" w:eastAsia="zh-CN"/>
        </w:rPr>
        <w:t>00</w:t>
      </w:r>
      <w:r>
        <w:rPr>
          <w:rFonts w:hint="eastAsia" w:asciiTheme="minorEastAsia" w:hAnsiTheme="minorEastAsia" w:eastAsiaTheme="minorEastAsia" w:cstheme="minorEastAsia"/>
          <w:bCs/>
          <w:color w:val="auto"/>
          <w:sz w:val="24"/>
          <w:highlight w:val="yellow"/>
          <w:u w:val="single"/>
        </w:rPr>
        <w:t>分</w:t>
      </w:r>
      <w:r>
        <w:rPr>
          <w:rFonts w:hint="eastAsia" w:asciiTheme="minorEastAsia" w:hAnsiTheme="minorEastAsia" w:eastAsiaTheme="minorEastAsia" w:cstheme="minorEastAsia"/>
          <w:bCs/>
          <w:color w:val="auto"/>
          <w:sz w:val="24"/>
          <w:highlight w:val="yellow"/>
        </w:rPr>
        <w:t>（北京时间）</w:t>
      </w:r>
    </w:p>
    <w:p w14:paraId="2931B6AF">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733A104B">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35393802"/>
      <w:bookmarkStart w:id="17" w:name="_Toc35393633"/>
      <w:bookmarkStart w:id="18" w:name="_Toc28359093"/>
      <w:bookmarkStart w:id="19" w:name="_Toc28359016"/>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158FFA58">
      <w:pPr>
        <w:autoSpaceDE w:val="0"/>
        <w:autoSpaceDN w:val="0"/>
        <w:spacing w:line="360" w:lineRule="auto"/>
        <w:ind w:firstLine="480" w:firstLineChars="200"/>
        <w:rPr>
          <w:rFonts w:asciiTheme="minorEastAsia" w:hAnsiTheme="minorEastAsia" w:eastAsiaTheme="minorEastAsia" w:cstheme="minorEastAsia"/>
          <w:bCs/>
          <w:color w:val="auto"/>
          <w:sz w:val="24"/>
          <w:highlight w:val="yellow"/>
          <w:u w:val="single"/>
        </w:rPr>
      </w:pPr>
      <w:r>
        <w:rPr>
          <w:rFonts w:hint="eastAsia" w:ascii="宋体" w:hAnsi="宋体" w:eastAsia="宋体" w:cs="宋体"/>
          <w:color w:val="auto"/>
          <w:sz w:val="24"/>
          <w:szCs w:val="24"/>
          <w:highlight w:val="yellow"/>
        </w:rPr>
        <w:t>时间：</w:t>
      </w:r>
      <w:r>
        <w:rPr>
          <w:rFonts w:ascii="宋体" w:hAnsi="宋体" w:cs="宋体"/>
          <w:color w:val="auto"/>
          <w:sz w:val="24"/>
          <w:highlight w:val="yellow"/>
          <w:u w:val="single"/>
        </w:rPr>
        <w:t>202</w:t>
      </w:r>
      <w:r>
        <w:rPr>
          <w:rFonts w:hint="eastAsia" w:ascii="宋体" w:hAnsi="宋体" w:cs="宋体"/>
          <w:color w:val="auto"/>
          <w:sz w:val="24"/>
          <w:highlight w:val="yellow"/>
          <w:u w:val="single"/>
          <w:lang w:val="en-US" w:eastAsia="zh-CN"/>
        </w:rPr>
        <w:t>5</w:t>
      </w:r>
      <w:r>
        <w:rPr>
          <w:rFonts w:hint="eastAsia" w:ascii="宋体" w:hAnsi="宋体" w:cs="宋体"/>
          <w:color w:val="auto"/>
          <w:sz w:val="24"/>
          <w:highlight w:val="yellow"/>
          <w:u w:val="single"/>
        </w:rPr>
        <w:t>年</w:t>
      </w:r>
      <w:r>
        <w:rPr>
          <w:rFonts w:ascii="宋体" w:hAnsi="宋体" w:cs="宋体"/>
          <w:color w:val="auto"/>
          <w:sz w:val="24"/>
          <w:highlight w:val="yellow"/>
          <w:u w:val="single"/>
        </w:rPr>
        <w:t>12</w:t>
      </w:r>
      <w:r>
        <w:rPr>
          <w:rFonts w:hint="eastAsia" w:ascii="宋体" w:hAnsi="宋体" w:cs="宋体"/>
          <w:color w:val="auto"/>
          <w:sz w:val="24"/>
          <w:highlight w:val="yellow"/>
          <w:u w:val="single"/>
        </w:rPr>
        <w:t>月</w:t>
      </w:r>
      <w:r>
        <w:rPr>
          <w:rFonts w:hint="eastAsia" w:ascii="宋体" w:hAnsi="宋体" w:cs="宋体"/>
          <w:color w:val="auto"/>
          <w:sz w:val="24"/>
          <w:highlight w:val="yellow"/>
          <w:u w:val="single"/>
          <w:lang w:val="en-US" w:eastAsia="zh-CN"/>
        </w:rPr>
        <w:t>26</w:t>
      </w:r>
      <w:r>
        <w:rPr>
          <w:rFonts w:hint="eastAsia" w:ascii="宋体" w:hAnsi="宋体" w:cs="宋体"/>
          <w:color w:val="auto"/>
          <w:sz w:val="24"/>
          <w:highlight w:val="yellow"/>
          <w:u w:val="single"/>
        </w:rPr>
        <w:t>日</w:t>
      </w:r>
      <w:r>
        <w:rPr>
          <w:rFonts w:hint="eastAsia" w:ascii="宋体" w:hAnsi="宋体" w:cs="宋体"/>
          <w:color w:val="auto"/>
          <w:sz w:val="24"/>
          <w:highlight w:val="yellow"/>
          <w:u w:val="single"/>
          <w:lang w:val="en-US" w:eastAsia="zh-CN"/>
        </w:rPr>
        <w:t>10</w:t>
      </w:r>
      <w:r>
        <w:rPr>
          <w:rFonts w:hint="eastAsia" w:ascii="宋体" w:hAnsi="宋体" w:cs="宋体"/>
          <w:color w:val="auto"/>
          <w:sz w:val="24"/>
          <w:highlight w:val="yellow"/>
          <w:u w:val="single"/>
        </w:rPr>
        <w:t>点</w:t>
      </w:r>
      <w:r>
        <w:rPr>
          <w:rFonts w:hint="eastAsia" w:ascii="宋体" w:hAnsi="宋体" w:cs="宋体"/>
          <w:color w:val="auto"/>
          <w:sz w:val="24"/>
          <w:highlight w:val="yellow"/>
          <w:u w:val="single"/>
          <w:lang w:val="en-US" w:eastAsia="zh-CN"/>
        </w:rPr>
        <w:t>00</w:t>
      </w:r>
      <w:r>
        <w:rPr>
          <w:rFonts w:hint="eastAsia" w:ascii="宋体" w:hAnsi="宋体" w:cs="宋体"/>
          <w:color w:val="auto"/>
          <w:sz w:val="24"/>
          <w:highlight w:val="yellow"/>
          <w:u w:val="single"/>
        </w:rPr>
        <w:t>分</w:t>
      </w:r>
      <w:r>
        <w:rPr>
          <w:rFonts w:hint="eastAsia" w:ascii="宋体" w:hAnsi="宋体" w:eastAsia="宋体" w:cs="宋体"/>
          <w:color w:val="auto"/>
          <w:sz w:val="24"/>
          <w:szCs w:val="24"/>
          <w:highlight w:val="yellow"/>
        </w:rPr>
        <w:t>（北京时间）</w:t>
      </w:r>
    </w:p>
    <w:p w14:paraId="4F83C76D">
      <w:pPr>
        <w:autoSpaceDE w:val="0"/>
        <w:autoSpaceDN w:val="0"/>
        <w:spacing w:line="360" w:lineRule="auto"/>
        <w:ind w:firstLine="480" w:firstLineChars="200"/>
        <w:jc w:val="left"/>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0D86890D">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7D447323">
      <w:pPr>
        <w:autoSpaceDE w:val="0"/>
        <w:autoSpaceDN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4602077E">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24" w:name="_Toc35393635"/>
      <w:bookmarkStart w:id="25" w:name="_Toc35393804"/>
      <w:r>
        <w:rPr>
          <w:rFonts w:hint="eastAsia" w:asciiTheme="minorEastAsia" w:hAnsiTheme="minorEastAsia" w:eastAsiaTheme="minorEastAsia" w:cstheme="minorEastAsia"/>
          <w:color w:val="auto"/>
          <w:sz w:val="24"/>
          <w:highlight w:val="none"/>
        </w:rPr>
        <w:t>七、其他补充事宜</w:t>
      </w:r>
      <w:bookmarkEnd w:id="24"/>
      <w:bookmarkEnd w:id="25"/>
    </w:p>
    <w:p w14:paraId="56E63753">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58E56117">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1.采购人信息</w:t>
      </w:r>
    </w:p>
    <w:p w14:paraId="72CA857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名称：</w:t>
      </w:r>
      <w:r>
        <w:rPr>
          <w:rFonts w:hint="eastAsia" w:asciiTheme="minorEastAsia" w:hAnsiTheme="minorEastAsia" w:eastAsiaTheme="minorEastAsia" w:cstheme="minorEastAsia"/>
          <w:color w:val="auto"/>
          <w:sz w:val="24"/>
          <w:highlight w:val="none"/>
        </w:rPr>
        <w:t>周口市住房公积金管理中心</w:t>
      </w:r>
    </w:p>
    <w:p w14:paraId="5E6E5B4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地址：周口市行政中心2号楼</w:t>
      </w:r>
    </w:p>
    <w:p w14:paraId="4AB1809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eastAsia="zh-CN"/>
        </w:rPr>
        <w:t>张磊</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val="en-US" w:eastAsia="zh-CN"/>
        </w:rPr>
        <w:t>13938079618</w:t>
      </w:r>
      <w:r>
        <w:rPr>
          <w:rFonts w:hint="eastAsia" w:ascii="宋体" w:hAnsi="宋体" w:cs="宋体"/>
          <w:color w:val="auto"/>
          <w:sz w:val="24"/>
          <w:highlight w:val="none"/>
        </w:rPr>
        <w:t xml:space="preserve">　　　　　　　　　　　 </w:t>
      </w:r>
      <w:bookmarkStart w:id="30" w:name="_Toc28359009"/>
      <w:bookmarkStart w:id="31" w:name="_Toc28359086"/>
    </w:p>
    <w:p w14:paraId="169F4F7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78B75E1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名称：周口市公共资源交易中心政府采购中心　　　　　　　　　　　　</w:t>
      </w:r>
    </w:p>
    <w:p w14:paraId="2DA09EF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地址：周口市光明路与政通路交叉口向北100米路东</w:t>
      </w:r>
    </w:p>
    <w:p w14:paraId="05FF866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刘宇  </w:t>
      </w:r>
      <w:r>
        <w:rPr>
          <w:rFonts w:hint="eastAsia" w:ascii="宋体" w:hAnsi="宋体" w:cs="宋体"/>
          <w:color w:val="auto"/>
          <w:sz w:val="24"/>
          <w:highlight w:val="none"/>
        </w:rPr>
        <w:t xml:space="preserve">   联系方式：</w:t>
      </w:r>
      <w:bookmarkStart w:id="32" w:name="_Toc28359010"/>
      <w:bookmarkStart w:id="33" w:name="_Toc28359087"/>
      <w:r>
        <w:rPr>
          <w:rFonts w:hint="eastAsia" w:ascii="宋体" w:hAnsi="宋体" w:cs="宋体"/>
          <w:color w:val="auto"/>
          <w:sz w:val="24"/>
          <w:highlight w:val="none"/>
          <w:lang w:val="en-US" w:eastAsia="zh-CN"/>
        </w:rPr>
        <w:t xml:space="preserve"> 0394-8106517</w:t>
      </w:r>
      <w:bookmarkStart w:id="56" w:name="_GoBack"/>
      <w:bookmarkEnd w:id="56"/>
      <w:r>
        <w:rPr>
          <w:rFonts w:hint="eastAsia" w:ascii="宋体" w:hAnsi="宋体" w:cs="宋体"/>
          <w:color w:val="auto"/>
          <w:sz w:val="24"/>
          <w:highlight w:val="none"/>
        </w:rPr>
        <w:t>　　　　　　　　</w:t>
      </w:r>
    </w:p>
    <w:bookmarkEnd w:id="32"/>
    <w:bookmarkEnd w:id="33"/>
    <w:p w14:paraId="36D4165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3.监督单位：周口市财政局政府采购监督管理科</w:t>
      </w:r>
    </w:p>
    <w:p w14:paraId="016A5AFB">
      <w:pPr>
        <w:pStyle w:val="2"/>
        <w:ind w:firstLine="480" w:firstLineChars="200"/>
        <w:rPr>
          <w:color w:val="auto"/>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0394-8106976</w:t>
      </w:r>
      <w:r>
        <w:rPr>
          <w:rFonts w:hint="eastAsia" w:ascii="宋体" w:hAnsi="宋体" w:cs="宋体"/>
          <w:color w:val="auto"/>
          <w:sz w:val="24"/>
          <w:highlight w:val="none"/>
        </w:rPr>
        <w:t xml:space="preserve">  </w:t>
      </w:r>
    </w:p>
    <w:p w14:paraId="68311251">
      <w:pPr>
        <w:pStyle w:val="2"/>
        <w:ind w:firstLine="0" w:firstLineChars="0"/>
        <w:rPr>
          <w:color w:val="auto"/>
          <w:highlight w:val="none"/>
        </w:rPr>
      </w:pPr>
    </w:p>
    <w:p w14:paraId="3D98A40A">
      <w:pPr>
        <w:pStyle w:val="11"/>
        <w:adjustRightInd w:val="0"/>
        <w:snapToGrid w:val="0"/>
        <w:spacing w:line="360" w:lineRule="auto"/>
        <w:ind w:firstLine="2040" w:firstLineChars="850"/>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23D9E72E">
      <w:pPr>
        <w:pStyle w:val="23"/>
        <w:adjustRightInd w:val="0"/>
        <w:spacing w:line="360" w:lineRule="auto"/>
        <w:ind w:firstLine="3360" w:firstLineChars="1400"/>
        <w:rPr>
          <w:rFonts w:ascii="宋体" w:hAnsi="宋体" w:cs="宋体"/>
          <w:color w:val="auto"/>
          <w:highlight w:val="yellow"/>
        </w:rPr>
      </w:pPr>
      <w:r>
        <w:rPr>
          <w:rFonts w:hint="eastAsia" w:ascii="宋体" w:hAnsi="宋体" w:cs="宋体"/>
          <w:color w:val="auto"/>
          <w:sz w:val="24"/>
          <w:szCs w:val="24"/>
          <w:highlight w:val="yellow"/>
        </w:rPr>
        <w:t>2</w:t>
      </w:r>
      <w:r>
        <w:rPr>
          <w:rFonts w:ascii="宋体" w:hAnsi="宋体" w:cs="宋体"/>
          <w:color w:val="auto"/>
          <w:sz w:val="24"/>
          <w:szCs w:val="24"/>
          <w:highlight w:val="yellow"/>
        </w:rPr>
        <w:t>02</w:t>
      </w:r>
      <w:r>
        <w:rPr>
          <w:rFonts w:hint="eastAsia" w:ascii="宋体" w:hAnsi="宋体" w:cs="宋体"/>
          <w:color w:val="auto"/>
          <w:sz w:val="24"/>
          <w:szCs w:val="24"/>
          <w:highlight w:val="yellow"/>
          <w:lang w:val="en-US" w:eastAsia="zh-CN"/>
        </w:rPr>
        <w:t>5</w:t>
      </w:r>
      <w:r>
        <w:rPr>
          <w:rFonts w:hint="eastAsia" w:ascii="宋体" w:hAnsi="宋体" w:cs="宋体"/>
          <w:color w:val="auto"/>
          <w:sz w:val="24"/>
          <w:szCs w:val="24"/>
          <w:highlight w:val="yellow"/>
        </w:rPr>
        <w:t>年</w:t>
      </w:r>
      <w:r>
        <w:rPr>
          <w:rFonts w:ascii="宋体" w:hAnsi="宋体" w:cs="宋体"/>
          <w:color w:val="auto"/>
          <w:sz w:val="24"/>
          <w:szCs w:val="24"/>
          <w:highlight w:val="yellow"/>
        </w:rPr>
        <w:t>12</w:t>
      </w:r>
      <w:r>
        <w:rPr>
          <w:rFonts w:hint="eastAsia" w:ascii="宋体" w:hAnsi="宋体" w:cs="宋体"/>
          <w:color w:val="auto"/>
          <w:sz w:val="24"/>
          <w:szCs w:val="24"/>
          <w:highlight w:val="yellow"/>
        </w:rPr>
        <w:t>月</w:t>
      </w:r>
      <w:r>
        <w:rPr>
          <w:rFonts w:hint="eastAsia" w:ascii="宋体" w:hAnsi="宋体" w:cs="宋体"/>
          <w:color w:val="auto"/>
          <w:sz w:val="24"/>
          <w:szCs w:val="24"/>
          <w:highlight w:val="yellow"/>
          <w:lang w:val="en-US" w:eastAsia="zh-CN"/>
        </w:rPr>
        <w:t xml:space="preserve">10 </w:t>
      </w:r>
      <w:r>
        <w:rPr>
          <w:rFonts w:hint="eastAsia" w:ascii="宋体" w:hAnsi="宋体" w:cs="宋体"/>
          <w:color w:val="auto"/>
          <w:sz w:val="24"/>
          <w:szCs w:val="24"/>
          <w:highlight w:val="yellow"/>
        </w:rPr>
        <w:t>日　　</w:t>
      </w:r>
    </w:p>
    <w:p w14:paraId="7986977D">
      <w:pPr>
        <w:pStyle w:val="29"/>
        <w:adjustRightInd w:val="0"/>
        <w:snapToGrid w:val="0"/>
        <w:spacing w:line="360" w:lineRule="auto"/>
        <w:ind w:firstLine="0" w:firstLineChars="0"/>
        <w:rPr>
          <w:color w:val="auto"/>
          <w:highlight w:val="none"/>
        </w:rPr>
      </w:pPr>
    </w:p>
    <w:p w14:paraId="3B6E9710">
      <w:pPr>
        <w:pStyle w:val="29"/>
        <w:ind w:firstLine="0" w:firstLineChars="0"/>
        <w:rPr>
          <w:color w:val="auto"/>
          <w:highlight w:val="none"/>
        </w:rPr>
      </w:pPr>
    </w:p>
    <w:p w14:paraId="1CA61602">
      <w:pPr>
        <w:pStyle w:val="5"/>
        <w:spacing w:line="500" w:lineRule="exact"/>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6781F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AA7125C">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0B6FC8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967CC4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E15192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A731169">
            <w:pPr>
              <w:rPr>
                <w:rFonts w:ascii="宋体" w:hAnsi="宋体" w:cs="宋体"/>
                <w:color w:val="auto"/>
                <w:sz w:val="24"/>
                <w:highlight w:val="none"/>
              </w:rPr>
            </w:pPr>
            <w:r>
              <w:rPr>
                <w:rFonts w:hint="eastAsia" w:ascii="宋体" w:hAnsi="宋体" w:cs="宋体"/>
                <w:color w:val="auto"/>
                <w:sz w:val="24"/>
                <w:highlight w:val="none"/>
              </w:rPr>
              <w:t>内  容</w:t>
            </w:r>
          </w:p>
        </w:tc>
      </w:tr>
      <w:tr w14:paraId="047643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A7E04DF">
            <w:pPr>
              <w:numPr>
                <w:ilvl w:val="0"/>
                <w:numId w:val="1"/>
              </w:numPr>
              <w:spacing w:before="156" w:beforeLines="50"/>
              <w:jc w:val="center"/>
              <w:rPr>
                <w:rFonts w:ascii="宋体" w:hAnsi="宋体" w:cs="宋体"/>
                <w:color w:val="auto"/>
                <w:sz w:val="24"/>
                <w:highlight w:val="none"/>
              </w:rPr>
            </w:pPr>
          </w:p>
        </w:tc>
        <w:tc>
          <w:tcPr>
            <w:tcW w:w="1995" w:type="dxa"/>
            <w:vAlign w:val="center"/>
          </w:tcPr>
          <w:p w14:paraId="2F8DC7FD">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F2079E6">
            <w:pPr>
              <w:rPr>
                <w:rFonts w:hint="eastAsia" w:ascii="宋体" w:hAnsi="宋体" w:cs="宋体"/>
                <w:color w:val="auto"/>
                <w:sz w:val="24"/>
                <w:highlight w:val="none"/>
              </w:rPr>
            </w:pPr>
            <w:r>
              <w:rPr>
                <w:rFonts w:hint="eastAsia" w:ascii="宋体" w:hAnsi="宋体" w:cs="宋体"/>
                <w:color w:val="auto"/>
                <w:sz w:val="24"/>
                <w:highlight w:val="none"/>
              </w:rPr>
              <w:t>项目名称：周口市住房公积金管理中心业务管理系统运维项目</w:t>
            </w:r>
          </w:p>
          <w:p w14:paraId="7DC92FF3">
            <w:pPr>
              <w:rPr>
                <w:rFonts w:ascii="宋体" w:hAnsi="宋体" w:cs="宋体"/>
                <w:color w:val="auto"/>
                <w:sz w:val="24"/>
                <w:highlight w:val="none"/>
              </w:rPr>
            </w:pPr>
            <w:r>
              <w:rPr>
                <w:rFonts w:hint="eastAsia" w:ascii="宋体" w:hAnsi="宋体" w:cs="宋体"/>
                <w:color w:val="auto"/>
                <w:sz w:val="24"/>
                <w:highlight w:val="none"/>
              </w:rPr>
              <w:t>采购内容：详见第三章采购项目内容及要求</w:t>
            </w:r>
          </w:p>
          <w:p w14:paraId="2A4170E5">
            <w:pPr>
              <w:rPr>
                <w:rFonts w:ascii="宋体" w:hAnsi="宋体" w:cs="宋体"/>
                <w:color w:val="auto"/>
                <w:sz w:val="24"/>
                <w:highlight w:val="none"/>
              </w:rPr>
            </w:pPr>
            <w:r>
              <w:rPr>
                <w:rFonts w:hint="eastAsia" w:ascii="宋体" w:hAnsi="宋体" w:cs="宋体"/>
                <w:color w:val="auto"/>
                <w:sz w:val="24"/>
                <w:highlight w:val="none"/>
              </w:rPr>
              <w:t>采购人：周口市住房公积金管理中心</w:t>
            </w:r>
          </w:p>
          <w:p w14:paraId="2B94BF29">
            <w:pPr>
              <w:rPr>
                <w:rFonts w:ascii="宋体" w:hAnsi="宋体" w:cs="宋体"/>
                <w:color w:val="auto"/>
                <w:sz w:val="24"/>
                <w:highlight w:val="none"/>
              </w:rPr>
            </w:pPr>
            <w:r>
              <w:rPr>
                <w:rFonts w:hint="eastAsia" w:ascii="宋体" w:hAnsi="宋体" w:cs="宋体"/>
                <w:color w:val="auto"/>
                <w:sz w:val="24"/>
                <w:highlight w:val="none"/>
              </w:rPr>
              <w:t>采购代理机构：周口市光明路与政通路交叉口向北100米路东</w:t>
            </w:r>
          </w:p>
        </w:tc>
      </w:tr>
      <w:tr w14:paraId="39DB62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80F8ED4">
            <w:pPr>
              <w:numPr>
                <w:ilvl w:val="0"/>
                <w:numId w:val="1"/>
              </w:numPr>
              <w:spacing w:before="156" w:beforeLines="50"/>
              <w:jc w:val="center"/>
              <w:rPr>
                <w:rFonts w:ascii="宋体" w:hAnsi="宋体" w:cs="宋体"/>
                <w:color w:val="auto"/>
                <w:sz w:val="24"/>
                <w:highlight w:val="none"/>
              </w:rPr>
            </w:pPr>
          </w:p>
        </w:tc>
        <w:tc>
          <w:tcPr>
            <w:tcW w:w="1995" w:type="dxa"/>
            <w:vAlign w:val="center"/>
          </w:tcPr>
          <w:p w14:paraId="17E73754">
            <w:pPr>
              <w:spacing w:before="156"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1C4262F7">
            <w:pPr>
              <w:spacing w:before="156"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33CCE6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53B292">
            <w:pPr>
              <w:numPr>
                <w:ilvl w:val="0"/>
                <w:numId w:val="1"/>
              </w:numPr>
              <w:spacing w:before="156" w:beforeLines="50"/>
              <w:jc w:val="center"/>
              <w:rPr>
                <w:rFonts w:ascii="宋体" w:hAnsi="宋体" w:cs="宋体"/>
                <w:color w:val="auto"/>
                <w:sz w:val="24"/>
                <w:highlight w:val="none"/>
              </w:rPr>
            </w:pPr>
          </w:p>
        </w:tc>
        <w:tc>
          <w:tcPr>
            <w:tcW w:w="1995" w:type="dxa"/>
            <w:vAlign w:val="center"/>
          </w:tcPr>
          <w:p w14:paraId="15F655AC">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264157AA">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E4A52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6BC62D5">
            <w:pPr>
              <w:numPr>
                <w:ilvl w:val="0"/>
                <w:numId w:val="1"/>
              </w:numPr>
              <w:spacing w:before="156" w:beforeLines="50"/>
              <w:rPr>
                <w:rFonts w:ascii="宋体" w:hAnsi="宋体" w:cs="宋体"/>
                <w:color w:val="auto"/>
                <w:sz w:val="24"/>
                <w:highlight w:val="none"/>
              </w:rPr>
            </w:pPr>
          </w:p>
        </w:tc>
        <w:tc>
          <w:tcPr>
            <w:tcW w:w="1995" w:type="dxa"/>
            <w:vAlign w:val="center"/>
          </w:tcPr>
          <w:p w14:paraId="1428697C">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6D63874C">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6DED4A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459C3A0">
            <w:pPr>
              <w:numPr>
                <w:ilvl w:val="0"/>
                <w:numId w:val="1"/>
              </w:numPr>
              <w:spacing w:before="156" w:beforeLines="50"/>
              <w:rPr>
                <w:rFonts w:ascii="宋体" w:hAnsi="宋体" w:cs="宋体"/>
                <w:color w:val="auto"/>
                <w:sz w:val="24"/>
                <w:highlight w:val="none"/>
              </w:rPr>
            </w:pPr>
          </w:p>
        </w:tc>
        <w:tc>
          <w:tcPr>
            <w:tcW w:w="1995" w:type="dxa"/>
            <w:vAlign w:val="center"/>
          </w:tcPr>
          <w:p w14:paraId="22B294B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37FFDDD0">
            <w:pPr>
              <w:rPr>
                <w:rFonts w:ascii="宋体" w:hAnsi="宋体" w:cs="宋体"/>
                <w:color w:val="auto"/>
                <w:sz w:val="24"/>
                <w:highlight w:val="none"/>
              </w:rPr>
            </w:pPr>
            <w:r>
              <w:rPr>
                <w:rFonts w:hint="eastAsia" w:ascii="宋体" w:hAnsi="宋体" w:cs="宋体"/>
                <w:color w:val="auto"/>
                <w:sz w:val="24"/>
                <w:highlight w:val="none"/>
              </w:rPr>
              <w:t>人民币</w:t>
            </w:r>
          </w:p>
        </w:tc>
      </w:tr>
      <w:tr w14:paraId="03B4E6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3477E34">
            <w:pPr>
              <w:numPr>
                <w:ilvl w:val="0"/>
                <w:numId w:val="1"/>
              </w:numPr>
              <w:spacing w:before="156" w:beforeLines="50"/>
              <w:jc w:val="center"/>
              <w:rPr>
                <w:rFonts w:ascii="宋体" w:hAnsi="宋体" w:cs="宋体"/>
                <w:color w:val="auto"/>
                <w:sz w:val="24"/>
                <w:highlight w:val="none"/>
              </w:rPr>
            </w:pPr>
          </w:p>
        </w:tc>
        <w:tc>
          <w:tcPr>
            <w:tcW w:w="1995" w:type="dxa"/>
            <w:vAlign w:val="center"/>
          </w:tcPr>
          <w:p w14:paraId="28C166D6">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E92E055">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445E5C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DF71EB5">
            <w:pPr>
              <w:numPr>
                <w:ilvl w:val="0"/>
                <w:numId w:val="1"/>
              </w:numPr>
              <w:spacing w:before="156" w:beforeLines="50"/>
              <w:jc w:val="center"/>
              <w:rPr>
                <w:rFonts w:ascii="宋体" w:hAnsi="宋体" w:cs="宋体"/>
                <w:color w:val="auto"/>
                <w:sz w:val="24"/>
                <w:highlight w:val="none"/>
              </w:rPr>
            </w:pPr>
          </w:p>
        </w:tc>
        <w:tc>
          <w:tcPr>
            <w:tcW w:w="1995" w:type="dxa"/>
            <w:vAlign w:val="center"/>
          </w:tcPr>
          <w:p w14:paraId="1C61EF2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742180FD">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52DCE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30E83D1">
            <w:pPr>
              <w:numPr>
                <w:ilvl w:val="0"/>
                <w:numId w:val="1"/>
              </w:numPr>
              <w:spacing w:before="156" w:beforeLines="50"/>
              <w:jc w:val="center"/>
              <w:rPr>
                <w:rFonts w:ascii="宋体" w:hAnsi="宋体" w:cs="宋体"/>
                <w:color w:val="auto"/>
                <w:sz w:val="24"/>
                <w:highlight w:val="none"/>
              </w:rPr>
            </w:pPr>
          </w:p>
        </w:tc>
        <w:tc>
          <w:tcPr>
            <w:tcW w:w="1995" w:type="dxa"/>
            <w:vAlign w:val="center"/>
          </w:tcPr>
          <w:p w14:paraId="0EE3DE6B">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6D85B27">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70D46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954C441">
            <w:pPr>
              <w:numPr>
                <w:ilvl w:val="0"/>
                <w:numId w:val="1"/>
              </w:numPr>
              <w:spacing w:before="156" w:beforeLines="50"/>
              <w:jc w:val="center"/>
              <w:rPr>
                <w:rFonts w:ascii="宋体" w:hAnsi="宋体" w:cs="宋体"/>
                <w:color w:val="auto"/>
                <w:sz w:val="24"/>
                <w:highlight w:val="none"/>
              </w:rPr>
            </w:pPr>
          </w:p>
        </w:tc>
        <w:tc>
          <w:tcPr>
            <w:tcW w:w="1995" w:type="dxa"/>
            <w:vAlign w:val="center"/>
          </w:tcPr>
          <w:p w14:paraId="13F99BE0">
            <w:pPr>
              <w:tabs>
                <w:tab w:val="left" w:pos="8640"/>
              </w:tabs>
              <w:spacing w:before="156"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69DDA4EF">
            <w:pPr>
              <w:tabs>
                <w:tab w:val="left" w:pos="8640"/>
              </w:tabs>
              <w:rPr>
                <w:rFonts w:ascii="宋体" w:hAnsi="宋体" w:cs="宋体"/>
                <w:color w:val="auto"/>
                <w:sz w:val="24"/>
                <w:highlight w:val="none"/>
              </w:rPr>
            </w:pPr>
            <w:r>
              <w:rPr>
                <w:rFonts w:hint="eastAsia" w:ascii="宋体" w:hAnsi="宋体" w:cs="宋体"/>
                <w:color w:val="auto"/>
                <w:sz w:val="24"/>
                <w:highlight w:val="none"/>
              </w:rPr>
              <w:t>无</w:t>
            </w:r>
          </w:p>
        </w:tc>
      </w:tr>
      <w:tr w14:paraId="5997EE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51E41C">
            <w:pPr>
              <w:numPr>
                <w:ilvl w:val="0"/>
                <w:numId w:val="1"/>
              </w:numPr>
              <w:spacing w:before="156" w:beforeLines="50"/>
              <w:jc w:val="center"/>
              <w:rPr>
                <w:rFonts w:ascii="宋体" w:hAnsi="宋体" w:cs="宋体"/>
                <w:color w:val="auto"/>
                <w:sz w:val="24"/>
                <w:highlight w:val="none"/>
              </w:rPr>
            </w:pPr>
          </w:p>
        </w:tc>
        <w:tc>
          <w:tcPr>
            <w:tcW w:w="1995" w:type="dxa"/>
            <w:vAlign w:val="center"/>
          </w:tcPr>
          <w:p w14:paraId="07A8DD2B">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743969A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251A22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4A10C08">
            <w:pPr>
              <w:numPr>
                <w:ilvl w:val="0"/>
                <w:numId w:val="1"/>
              </w:numPr>
              <w:spacing w:before="156" w:beforeLines="50"/>
              <w:jc w:val="center"/>
              <w:rPr>
                <w:rFonts w:ascii="宋体" w:hAnsi="宋体" w:cs="宋体"/>
                <w:color w:val="auto"/>
                <w:sz w:val="24"/>
                <w:highlight w:val="none"/>
              </w:rPr>
            </w:pPr>
          </w:p>
        </w:tc>
        <w:tc>
          <w:tcPr>
            <w:tcW w:w="1995" w:type="dxa"/>
            <w:vAlign w:val="center"/>
          </w:tcPr>
          <w:p w14:paraId="21574E00">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2D58073B">
            <w:pPr>
              <w:rPr>
                <w:rFonts w:ascii="宋体" w:hAnsi="宋体" w:cs="宋体"/>
                <w:color w:val="auto"/>
                <w:sz w:val="24"/>
                <w:highlight w:val="none"/>
              </w:rPr>
            </w:pPr>
            <w:r>
              <w:rPr>
                <w:rFonts w:hint="eastAsia" w:ascii="宋体" w:hAnsi="宋体" w:cs="宋体"/>
                <w:color w:val="auto"/>
                <w:sz w:val="24"/>
                <w:highlight w:val="none"/>
              </w:rPr>
              <w:t>无</w:t>
            </w:r>
          </w:p>
        </w:tc>
      </w:tr>
      <w:tr w14:paraId="6DC83B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B8A6F1">
            <w:pPr>
              <w:numPr>
                <w:ilvl w:val="0"/>
                <w:numId w:val="1"/>
              </w:numPr>
              <w:spacing w:before="156" w:beforeLines="50"/>
              <w:jc w:val="center"/>
              <w:rPr>
                <w:rFonts w:ascii="宋体" w:hAnsi="宋体" w:cs="宋体"/>
                <w:color w:val="auto"/>
                <w:sz w:val="24"/>
                <w:highlight w:val="none"/>
              </w:rPr>
            </w:pPr>
          </w:p>
        </w:tc>
        <w:tc>
          <w:tcPr>
            <w:tcW w:w="1995" w:type="dxa"/>
            <w:vAlign w:val="center"/>
          </w:tcPr>
          <w:p w14:paraId="24E954E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266AE462">
            <w:pPr>
              <w:rPr>
                <w:rFonts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10CA5E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59F644F">
            <w:pPr>
              <w:numPr>
                <w:ilvl w:val="0"/>
                <w:numId w:val="1"/>
              </w:numPr>
              <w:spacing w:before="156" w:beforeLines="50"/>
              <w:jc w:val="center"/>
              <w:rPr>
                <w:rFonts w:ascii="宋体" w:hAnsi="宋体" w:cs="宋体"/>
                <w:color w:val="auto"/>
                <w:sz w:val="24"/>
                <w:highlight w:val="none"/>
              </w:rPr>
            </w:pPr>
          </w:p>
        </w:tc>
        <w:tc>
          <w:tcPr>
            <w:tcW w:w="1995" w:type="dxa"/>
            <w:vAlign w:val="center"/>
          </w:tcPr>
          <w:p w14:paraId="3ED7F734">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7E334AD2">
            <w:pPr>
              <w:ind w:firstLine="240" w:firstLineChars="100"/>
              <w:rPr>
                <w:rFonts w:ascii="宋体" w:hAnsi="宋体" w:cs="宋体"/>
                <w:color w:val="auto"/>
                <w:sz w:val="24"/>
                <w:highlight w:val="none"/>
              </w:rPr>
            </w:pPr>
            <w:r>
              <w:rPr>
                <w:rFonts w:hint="eastAsia" w:ascii="宋体" w:hAnsi="宋体" w:cs="宋体"/>
                <w:color w:val="auto"/>
                <w:sz w:val="24"/>
                <w:highlight w:val="yellow"/>
              </w:rPr>
              <w:t>2</w:t>
            </w:r>
            <w:r>
              <w:rPr>
                <w:rFonts w:ascii="宋体" w:hAnsi="宋体" w:cs="宋体"/>
                <w:color w:val="auto"/>
                <w:sz w:val="24"/>
                <w:highlight w:val="yellow"/>
              </w:rPr>
              <w:t>02</w:t>
            </w:r>
            <w:r>
              <w:rPr>
                <w:rFonts w:hint="eastAsia" w:ascii="宋体" w:hAnsi="宋体" w:cs="宋体"/>
                <w:color w:val="auto"/>
                <w:sz w:val="24"/>
                <w:highlight w:val="yellow"/>
                <w:lang w:val="en-US" w:eastAsia="zh-CN"/>
              </w:rPr>
              <w:t>5</w:t>
            </w:r>
            <w:r>
              <w:rPr>
                <w:rFonts w:hint="eastAsia" w:ascii="宋体" w:hAnsi="宋体" w:cs="宋体"/>
                <w:color w:val="auto"/>
                <w:sz w:val="24"/>
                <w:highlight w:val="yellow"/>
              </w:rPr>
              <w:t>年</w:t>
            </w:r>
            <w:r>
              <w:rPr>
                <w:rFonts w:ascii="宋体" w:hAnsi="宋体" w:cs="宋体"/>
                <w:color w:val="auto"/>
                <w:sz w:val="24"/>
                <w:highlight w:val="yellow"/>
              </w:rPr>
              <w:t>12</w:t>
            </w:r>
            <w:r>
              <w:rPr>
                <w:rFonts w:hint="eastAsia" w:ascii="宋体" w:hAnsi="宋体" w:cs="宋体"/>
                <w:color w:val="auto"/>
                <w:sz w:val="24"/>
                <w:highlight w:val="yellow"/>
              </w:rPr>
              <w:t>月</w:t>
            </w:r>
            <w:r>
              <w:rPr>
                <w:rFonts w:hint="eastAsia" w:ascii="宋体" w:hAnsi="宋体" w:cs="宋体"/>
                <w:color w:val="auto"/>
                <w:sz w:val="24"/>
                <w:highlight w:val="yellow"/>
                <w:lang w:val="en-US" w:eastAsia="zh-CN"/>
              </w:rPr>
              <w:t xml:space="preserve">   </w:t>
            </w:r>
            <w:r>
              <w:rPr>
                <w:rFonts w:hint="eastAsia" w:ascii="宋体" w:hAnsi="宋体" w:cs="宋体"/>
                <w:color w:val="auto"/>
                <w:sz w:val="24"/>
                <w:highlight w:val="yellow"/>
              </w:rPr>
              <w:t>日上午</w:t>
            </w:r>
            <w:r>
              <w:rPr>
                <w:rFonts w:ascii="宋体" w:hAnsi="宋体" w:cs="宋体"/>
                <w:color w:val="auto"/>
                <w:sz w:val="24"/>
                <w:highlight w:val="yellow"/>
              </w:rPr>
              <w:t>9</w:t>
            </w:r>
            <w:r>
              <w:rPr>
                <w:rFonts w:hint="eastAsia" w:ascii="宋体" w:hAnsi="宋体" w:cs="宋体"/>
                <w:color w:val="auto"/>
                <w:sz w:val="24"/>
                <w:highlight w:val="yellow"/>
              </w:rPr>
              <w:t>:</w:t>
            </w:r>
            <w:r>
              <w:rPr>
                <w:rFonts w:ascii="宋体" w:hAnsi="宋体" w:cs="宋体"/>
                <w:color w:val="auto"/>
                <w:sz w:val="24"/>
                <w:highlight w:val="yellow"/>
              </w:rPr>
              <w:t>30</w:t>
            </w:r>
            <w:r>
              <w:rPr>
                <w:rFonts w:hint="eastAsia" w:ascii="宋体" w:hAnsi="宋体" w:cs="宋体"/>
                <w:color w:val="auto"/>
                <w:sz w:val="24"/>
                <w:highlight w:val="yellow"/>
              </w:rPr>
              <w:t xml:space="preserve">（见磋商公告） </w:t>
            </w:r>
          </w:p>
        </w:tc>
      </w:tr>
      <w:tr w14:paraId="5CF502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E9F5E47">
            <w:pPr>
              <w:numPr>
                <w:ilvl w:val="0"/>
                <w:numId w:val="1"/>
              </w:numPr>
              <w:spacing w:before="156" w:beforeLines="50"/>
              <w:jc w:val="center"/>
              <w:rPr>
                <w:rFonts w:ascii="宋体" w:hAnsi="宋体" w:cs="宋体"/>
                <w:color w:val="auto"/>
                <w:sz w:val="24"/>
                <w:highlight w:val="none"/>
              </w:rPr>
            </w:pPr>
          </w:p>
        </w:tc>
        <w:tc>
          <w:tcPr>
            <w:tcW w:w="1995" w:type="dxa"/>
            <w:vAlign w:val="center"/>
          </w:tcPr>
          <w:p w14:paraId="02F0A98E">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65A5654E">
            <w:pPr>
              <w:rPr>
                <w:rFonts w:ascii="宋体" w:hAnsi="宋体"/>
                <w:color w:val="auto"/>
                <w:sz w:val="24"/>
                <w:highlight w:val="none"/>
              </w:rPr>
            </w:pPr>
            <w:r>
              <w:rPr>
                <w:rFonts w:hint="eastAsia" w:ascii="宋体" w:hAnsi="宋体"/>
                <w:color w:val="auto"/>
                <w:sz w:val="24"/>
                <w:highlight w:val="none"/>
              </w:rPr>
              <w:t>周口市公共资源交易中心网</w:t>
            </w:r>
          </w:p>
          <w:p w14:paraId="152C4E70">
            <w:pPr>
              <w:rPr>
                <w:rFonts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5FC9D4C9">
            <w:pPr>
              <w:spacing w:line="560" w:lineRule="exact"/>
              <w:rPr>
                <w:rFonts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2A1183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E6A0C06">
            <w:pPr>
              <w:numPr>
                <w:ilvl w:val="0"/>
                <w:numId w:val="1"/>
              </w:numPr>
              <w:spacing w:before="156" w:beforeLines="50"/>
              <w:jc w:val="center"/>
              <w:rPr>
                <w:rFonts w:ascii="宋体" w:hAnsi="宋体" w:cs="宋体"/>
                <w:color w:val="auto"/>
                <w:sz w:val="24"/>
                <w:highlight w:val="none"/>
              </w:rPr>
            </w:pPr>
          </w:p>
        </w:tc>
        <w:tc>
          <w:tcPr>
            <w:tcW w:w="1995" w:type="dxa"/>
            <w:vAlign w:val="center"/>
          </w:tcPr>
          <w:p w14:paraId="055C1D85">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39E53AE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yellow"/>
              </w:rPr>
              <w:t>2</w:t>
            </w:r>
            <w:r>
              <w:rPr>
                <w:rFonts w:ascii="宋体" w:hAnsi="宋体" w:cs="宋体"/>
                <w:color w:val="auto"/>
                <w:sz w:val="24"/>
                <w:highlight w:val="yellow"/>
              </w:rPr>
              <w:t>02</w:t>
            </w:r>
            <w:r>
              <w:rPr>
                <w:rFonts w:hint="eastAsia" w:ascii="宋体" w:hAnsi="宋体" w:cs="宋体"/>
                <w:color w:val="auto"/>
                <w:sz w:val="24"/>
                <w:highlight w:val="yellow"/>
                <w:lang w:val="en-US" w:eastAsia="zh-CN"/>
              </w:rPr>
              <w:t>5</w:t>
            </w:r>
            <w:r>
              <w:rPr>
                <w:rFonts w:hint="eastAsia" w:ascii="宋体" w:hAnsi="宋体" w:cs="宋体"/>
                <w:color w:val="auto"/>
                <w:sz w:val="24"/>
                <w:highlight w:val="yellow"/>
              </w:rPr>
              <w:t>年</w:t>
            </w:r>
            <w:r>
              <w:rPr>
                <w:rFonts w:ascii="宋体" w:hAnsi="宋体" w:cs="宋体"/>
                <w:color w:val="auto"/>
                <w:sz w:val="24"/>
                <w:highlight w:val="yellow"/>
              </w:rPr>
              <w:t>12</w:t>
            </w:r>
            <w:r>
              <w:rPr>
                <w:rFonts w:hint="eastAsia" w:ascii="宋体" w:hAnsi="宋体" w:cs="宋体"/>
                <w:color w:val="auto"/>
                <w:sz w:val="24"/>
                <w:highlight w:val="yellow"/>
              </w:rPr>
              <w:t>月</w:t>
            </w:r>
            <w:r>
              <w:rPr>
                <w:rFonts w:hint="eastAsia" w:ascii="宋体" w:hAnsi="宋体" w:cs="宋体"/>
                <w:color w:val="auto"/>
                <w:sz w:val="24"/>
                <w:highlight w:val="yellow"/>
                <w:lang w:val="en-US" w:eastAsia="zh-CN"/>
              </w:rPr>
              <w:t xml:space="preserve">    </w:t>
            </w:r>
            <w:r>
              <w:rPr>
                <w:rFonts w:hint="eastAsia" w:ascii="宋体" w:hAnsi="宋体" w:cs="宋体"/>
                <w:color w:val="auto"/>
                <w:sz w:val="24"/>
                <w:highlight w:val="yellow"/>
              </w:rPr>
              <w:t>日上午</w:t>
            </w:r>
            <w:r>
              <w:rPr>
                <w:rFonts w:ascii="宋体" w:hAnsi="宋体" w:cs="宋体"/>
                <w:color w:val="auto"/>
                <w:sz w:val="24"/>
                <w:highlight w:val="yellow"/>
              </w:rPr>
              <w:t>9</w:t>
            </w:r>
            <w:r>
              <w:rPr>
                <w:rFonts w:hint="eastAsia" w:ascii="宋体" w:hAnsi="宋体" w:cs="宋体"/>
                <w:color w:val="auto"/>
                <w:sz w:val="24"/>
                <w:highlight w:val="yellow"/>
              </w:rPr>
              <w:t>:</w:t>
            </w:r>
            <w:r>
              <w:rPr>
                <w:rFonts w:ascii="宋体" w:hAnsi="宋体" w:cs="宋体"/>
                <w:color w:val="auto"/>
                <w:sz w:val="24"/>
                <w:highlight w:val="yellow"/>
              </w:rPr>
              <w:t>30</w:t>
            </w:r>
            <w:r>
              <w:rPr>
                <w:rFonts w:hint="eastAsia" w:ascii="宋体" w:hAnsi="宋体" w:cs="宋体"/>
                <w:color w:val="auto"/>
                <w:sz w:val="24"/>
                <w:highlight w:val="yellow"/>
              </w:rPr>
              <w:t>见磋商公告</w:t>
            </w:r>
          </w:p>
        </w:tc>
      </w:tr>
      <w:tr w14:paraId="30D0B7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CF2F3C0">
            <w:pPr>
              <w:numPr>
                <w:ilvl w:val="0"/>
                <w:numId w:val="1"/>
              </w:numPr>
              <w:spacing w:before="156" w:beforeLines="50"/>
              <w:jc w:val="center"/>
              <w:rPr>
                <w:rFonts w:ascii="宋体" w:hAnsi="宋体" w:cs="宋体"/>
                <w:color w:val="auto"/>
                <w:sz w:val="24"/>
                <w:highlight w:val="none"/>
              </w:rPr>
            </w:pPr>
          </w:p>
        </w:tc>
        <w:tc>
          <w:tcPr>
            <w:tcW w:w="1995" w:type="dxa"/>
            <w:vAlign w:val="center"/>
          </w:tcPr>
          <w:p w14:paraId="0F7E052A">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7098CBD6">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2FD5F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223F151">
            <w:pPr>
              <w:numPr>
                <w:ilvl w:val="0"/>
                <w:numId w:val="1"/>
              </w:numPr>
              <w:spacing w:before="156" w:beforeLines="50"/>
              <w:jc w:val="center"/>
              <w:rPr>
                <w:rFonts w:ascii="宋体" w:hAnsi="宋体" w:cs="宋体"/>
                <w:color w:val="auto"/>
                <w:sz w:val="24"/>
                <w:highlight w:val="none"/>
              </w:rPr>
            </w:pPr>
          </w:p>
        </w:tc>
        <w:tc>
          <w:tcPr>
            <w:tcW w:w="1995" w:type="dxa"/>
            <w:vAlign w:val="center"/>
          </w:tcPr>
          <w:p w14:paraId="47ED9F78">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020B9FC8">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2EFD8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D3EB851">
            <w:pPr>
              <w:numPr>
                <w:ilvl w:val="0"/>
                <w:numId w:val="1"/>
              </w:numPr>
              <w:spacing w:before="156" w:beforeLines="50"/>
              <w:jc w:val="center"/>
              <w:rPr>
                <w:rFonts w:ascii="宋体" w:hAnsi="宋体" w:cs="宋体"/>
                <w:color w:val="auto"/>
                <w:sz w:val="24"/>
                <w:highlight w:val="none"/>
              </w:rPr>
            </w:pPr>
          </w:p>
        </w:tc>
        <w:tc>
          <w:tcPr>
            <w:tcW w:w="1995" w:type="dxa"/>
            <w:vAlign w:val="center"/>
          </w:tcPr>
          <w:p w14:paraId="0A31B8A5">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308554C7">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06123109">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8E51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506842">
            <w:pPr>
              <w:numPr>
                <w:ilvl w:val="0"/>
                <w:numId w:val="1"/>
              </w:numPr>
              <w:spacing w:before="156" w:beforeLines="50"/>
              <w:jc w:val="center"/>
              <w:rPr>
                <w:rFonts w:ascii="宋体" w:hAnsi="宋体" w:cs="宋体"/>
                <w:color w:val="auto"/>
                <w:sz w:val="24"/>
                <w:highlight w:val="none"/>
              </w:rPr>
            </w:pPr>
          </w:p>
        </w:tc>
        <w:tc>
          <w:tcPr>
            <w:tcW w:w="1995" w:type="dxa"/>
            <w:vAlign w:val="center"/>
          </w:tcPr>
          <w:p w14:paraId="15BC7EB4">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7B5577E2">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32C62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7C959EE">
            <w:pPr>
              <w:numPr>
                <w:ilvl w:val="0"/>
                <w:numId w:val="1"/>
              </w:numPr>
              <w:spacing w:before="156" w:beforeLines="50"/>
              <w:jc w:val="center"/>
              <w:rPr>
                <w:rFonts w:ascii="宋体" w:hAnsi="宋体" w:cs="宋体"/>
                <w:color w:val="auto"/>
                <w:sz w:val="24"/>
                <w:highlight w:val="none"/>
              </w:rPr>
            </w:pPr>
          </w:p>
        </w:tc>
        <w:tc>
          <w:tcPr>
            <w:tcW w:w="1995" w:type="dxa"/>
            <w:vAlign w:val="center"/>
          </w:tcPr>
          <w:p w14:paraId="728BC764">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776D2F8D">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ascii="宋体" w:hAnsi="宋体" w:cs="宋体"/>
                <w:color w:val="auto"/>
                <w:sz w:val="24"/>
                <w:highlight w:val="none"/>
              </w:rPr>
              <w:t>1</w:t>
            </w:r>
            <w:r>
              <w:rPr>
                <w:rFonts w:hint="eastAsia" w:ascii="宋体" w:hAnsi="宋体" w:cs="宋体"/>
                <w:color w:val="auto"/>
                <w:sz w:val="24"/>
                <w:highlight w:val="none"/>
              </w:rPr>
              <w:t>年</w:t>
            </w:r>
          </w:p>
        </w:tc>
      </w:tr>
      <w:tr w14:paraId="5E9E53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6E7A196">
            <w:pPr>
              <w:numPr>
                <w:ilvl w:val="0"/>
                <w:numId w:val="1"/>
              </w:numPr>
              <w:spacing w:before="156" w:beforeLines="50"/>
              <w:jc w:val="center"/>
              <w:rPr>
                <w:rFonts w:ascii="宋体" w:hAnsi="宋体" w:cs="宋体"/>
                <w:color w:val="auto"/>
                <w:sz w:val="24"/>
                <w:highlight w:val="none"/>
              </w:rPr>
            </w:pPr>
          </w:p>
        </w:tc>
        <w:tc>
          <w:tcPr>
            <w:tcW w:w="1995" w:type="dxa"/>
            <w:vAlign w:val="center"/>
          </w:tcPr>
          <w:p w14:paraId="2F2EEA22">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41C2566A">
            <w:pPr>
              <w:spacing w:before="13" w:line="360" w:lineRule="auto"/>
              <w:ind w:right="17" w:rightChars="8"/>
              <w:rPr>
                <w:rFonts w:ascii="宋体" w:hAnsi="宋体" w:cs="Arial Unicode MS"/>
                <w:color w:val="auto"/>
                <w:sz w:val="24"/>
                <w:highlight w:val="none"/>
              </w:rPr>
            </w:pPr>
            <w:r>
              <w:rPr>
                <w:rFonts w:hint="eastAsia" w:ascii="宋体" w:hAnsi="宋体" w:cs="Arial Unicode MS"/>
                <w:color w:val="auto"/>
                <w:sz w:val="24"/>
                <w:highlight w:val="none"/>
              </w:rPr>
              <w:t>付款方式：</w:t>
            </w:r>
          </w:p>
          <w:p w14:paraId="35D8F0E5">
            <w:pPr>
              <w:tabs>
                <w:tab w:val="left" w:pos="8640"/>
              </w:tabs>
              <w:jc w:val="left"/>
              <w:rPr>
                <w:rFonts w:ascii="宋体" w:hAnsi="宋体" w:cs="宋体"/>
                <w:color w:val="auto"/>
                <w:sz w:val="24"/>
                <w:highlight w:val="none"/>
              </w:rPr>
            </w:pPr>
            <w:r>
              <w:rPr>
                <w:rFonts w:hint="eastAsia" w:ascii="宋体" w:hAnsi="宋体" w:cs="Arial Unicode MS"/>
                <w:color w:val="auto"/>
                <w:sz w:val="24"/>
                <w:highlight w:val="none"/>
              </w:rPr>
              <w:t>签订合同后，7个工作日内采购人支付100%合同金额。</w:t>
            </w:r>
          </w:p>
        </w:tc>
      </w:tr>
      <w:tr w14:paraId="034482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AE94127">
            <w:pPr>
              <w:numPr>
                <w:ilvl w:val="0"/>
                <w:numId w:val="1"/>
              </w:numPr>
              <w:spacing w:before="156" w:beforeLines="50"/>
              <w:jc w:val="center"/>
              <w:rPr>
                <w:rFonts w:ascii="宋体" w:hAnsi="宋体" w:cs="宋体"/>
                <w:color w:val="auto"/>
                <w:sz w:val="24"/>
                <w:highlight w:val="none"/>
              </w:rPr>
            </w:pPr>
          </w:p>
        </w:tc>
        <w:tc>
          <w:tcPr>
            <w:tcW w:w="1995" w:type="dxa"/>
            <w:vAlign w:val="center"/>
          </w:tcPr>
          <w:p w14:paraId="61757FA2">
            <w:pP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73AE5D77">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不组织</w:t>
            </w:r>
          </w:p>
        </w:tc>
      </w:tr>
      <w:tr w14:paraId="362C7C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64EAA62">
            <w:pPr>
              <w:numPr>
                <w:ilvl w:val="0"/>
                <w:numId w:val="1"/>
              </w:numPr>
              <w:spacing w:before="156" w:beforeLines="50"/>
              <w:jc w:val="center"/>
              <w:rPr>
                <w:rFonts w:ascii="宋体" w:hAnsi="宋体" w:cs="宋体"/>
                <w:color w:val="auto"/>
                <w:sz w:val="24"/>
                <w:highlight w:val="none"/>
              </w:rPr>
            </w:pPr>
          </w:p>
        </w:tc>
        <w:tc>
          <w:tcPr>
            <w:tcW w:w="1995" w:type="dxa"/>
            <w:vAlign w:val="center"/>
          </w:tcPr>
          <w:p w14:paraId="42EB5B8D">
            <w:pPr>
              <w:spacing w:before="156" w:beforeLines="50"/>
              <w:ind w:firstLine="14" w:firstLineChars="6"/>
              <w:jc w:val="center"/>
              <w:rPr>
                <w:rFonts w:ascii="宋体" w:hAnsi="宋体" w:cs="宋体"/>
                <w:b/>
                <w:bCs/>
                <w:color w:val="auto"/>
                <w:sz w:val="24"/>
                <w:highlight w:val="none"/>
              </w:rPr>
            </w:pPr>
            <w:r>
              <w:rPr>
                <w:rFonts w:hint="eastAsia" w:ascii="宋体" w:hAnsi="宋体" w:cs="宋体"/>
                <w:b/>
                <w:bCs/>
                <w:color w:val="auto"/>
                <w:sz w:val="24"/>
                <w:highlight w:val="none"/>
              </w:rPr>
              <w:t>报价</w:t>
            </w:r>
          </w:p>
        </w:tc>
        <w:tc>
          <w:tcPr>
            <w:tcW w:w="6615" w:type="dxa"/>
            <w:vAlign w:val="center"/>
          </w:tcPr>
          <w:p w14:paraId="5A241AFF">
            <w:pPr>
              <w:tabs>
                <w:tab w:val="left" w:pos="8640"/>
              </w:tabs>
              <w:jc w:val="left"/>
              <w:rPr>
                <w:rFonts w:ascii="宋体" w:hAnsi="宋体" w:cs="宋体"/>
                <w:b/>
                <w:bCs/>
                <w:color w:val="auto"/>
                <w:sz w:val="24"/>
                <w:highlight w:val="none"/>
                <w:u w:val="single"/>
              </w:rPr>
            </w:pPr>
            <w:r>
              <w:rPr>
                <w:rFonts w:hint="eastAsia" w:ascii="宋体" w:hAnsi="宋体" w:cs="宋体"/>
                <w:b/>
                <w:bCs/>
                <w:color w:val="auto"/>
                <w:sz w:val="24"/>
                <w:highlight w:val="none"/>
                <w:lang w:val="en-US" w:eastAsia="zh-CN"/>
              </w:rPr>
              <w:t>二次</w:t>
            </w:r>
            <w:r>
              <w:rPr>
                <w:rFonts w:hint="eastAsia" w:ascii="宋体" w:hAnsi="宋体" w:cs="宋体"/>
                <w:b/>
                <w:bCs/>
                <w:color w:val="auto"/>
                <w:sz w:val="24"/>
                <w:highlight w:val="none"/>
              </w:rPr>
              <w:t>报价</w:t>
            </w:r>
          </w:p>
        </w:tc>
      </w:tr>
      <w:tr w14:paraId="1EFC88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80CF5E6">
            <w:pPr>
              <w:numPr>
                <w:ilvl w:val="0"/>
                <w:numId w:val="1"/>
              </w:numPr>
              <w:spacing w:before="156" w:beforeLines="50"/>
              <w:ind w:left="420" w:leftChars="0" w:hanging="420" w:firstLineChars="0"/>
              <w:jc w:val="center"/>
              <w:rPr>
                <w:rFonts w:ascii="宋体" w:hAnsi="宋体" w:cs="宋体"/>
                <w:color w:val="auto"/>
                <w:sz w:val="24"/>
                <w:highlight w:val="none"/>
              </w:rPr>
            </w:pPr>
          </w:p>
        </w:tc>
        <w:tc>
          <w:tcPr>
            <w:tcW w:w="1995" w:type="dxa"/>
            <w:vAlign w:val="center"/>
          </w:tcPr>
          <w:p w14:paraId="58982C53">
            <w:pPr>
              <w:spacing w:before="156" w:beforeLines="50"/>
              <w:jc w:val="center"/>
              <w:rPr>
                <w:rFonts w:hint="eastAsia" w:ascii="宋体" w:hAnsi="宋体" w:cs="宋体"/>
                <w:b/>
                <w:bCs/>
                <w:color w:val="auto"/>
                <w:sz w:val="24"/>
                <w:highlight w:val="none"/>
              </w:rPr>
            </w:pPr>
            <w:r>
              <w:rPr>
                <w:rFonts w:hint="eastAsia" w:ascii="宋体" w:hAnsi="宋体" w:cs="宋体"/>
                <w:b/>
                <w:bCs/>
                <w:color w:val="auto"/>
                <w:sz w:val="24"/>
                <w:highlight w:val="none"/>
              </w:rPr>
              <w:t>所属行业</w:t>
            </w:r>
          </w:p>
        </w:tc>
        <w:tc>
          <w:tcPr>
            <w:tcW w:w="6615" w:type="dxa"/>
            <w:vAlign w:val="center"/>
          </w:tcPr>
          <w:p w14:paraId="306226DD">
            <w:pPr>
              <w:tabs>
                <w:tab w:val="left" w:pos="8640"/>
              </w:tabs>
              <w:jc w:val="left"/>
              <w:rPr>
                <w:rFonts w:hint="eastAsia" w:ascii="宋体" w:hAnsi="宋体" w:cs="宋体"/>
                <w:b/>
                <w:bCs/>
                <w:color w:val="auto"/>
                <w:sz w:val="24"/>
                <w:highlight w:val="none"/>
              </w:rPr>
            </w:pPr>
            <w:r>
              <w:rPr>
                <w:rFonts w:hint="eastAsia" w:ascii="宋体" w:hAnsi="宋体" w:cs="宋体"/>
                <w:b/>
                <w:bCs/>
                <w:color w:val="auto"/>
                <w:sz w:val="24"/>
                <w:highlight w:val="none"/>
              </w:rPr>
              <w:t>软件和信息技术服务业</w:t>
            </w:r>
          </w:p>
        </w:tc>
      </w:tr>
    </w:tbl>
    <w:p w14:paraId="0ED67A44">
      <w:pPr>
        <w:pStyle w:val="29"/>
        <w:ind w:firstLine="0" w:firstLineChars="0"/>
        <w:rPr>
          <w:rFonts w:ascii="宋体" w:hAnsi="宋体" w:cs="宋体"/>
          <w:b/>
          <w:color w:val="auto"/>
          <w:sz w:val="30"/>
          <w:szCs w:val="30"/>
          <w:highlight w:val="none"/>
        </w:rPr>
      </w:pPr>
    </w:p>
    <w:p w14:paraId="354CBBBD">
      <w:pPr>
        <w:spacing w:line="720" w:lineRule="auto"/>
        <w:jc w:val="center"/>
        <w:rPr>
          <w:rFonts w:ascii="宋体" w:hAnsi="宋体" w:cs="宋体"/>
          <w:b/>
          <w:color w:val="auto"/>
          <w:sz w:val="30"/>
          <w:szCs w:val="30"/>
          <w:highlight w:val="none"/>
        </w:rPr>
      </w:pPr>
    </w:p>
    <w:p w14:paraId="5BCB1727">
      <w:pPr>
        <w:spacing w:line="720" w:lineRule="auto"/>
        <w:jc w:val="center"/>
        <w:rPr>
          <w:rFonts w:ascii="宋体" w:hAnsi="宋体" w:cs="宋体"/>
          <w:b/>
          <w:color w:val="auto"/>
          <w:sz w:val="30"/>
          <w:szCs w:val="30"/>
          <w:highlight w:val="none"/>
        </w:rPr>
      </w:pPr>
    </w:p>
    <w:p w14:paraId="194416AD">
      <w:pPr>
        <w:pStyle w:val="2"/>
        <w:ind w:firstLine="301"/>
        <w:rPr>
          <w:rFonts w:ascii="宋体" w:hAnsi="宋体" w:cs="宋体"/>
          <w:b/>
          <w:color w:val="auto"/>
          <w:sz w:val="30"/>
          <w:szCs w:val="30"/>
          <w:highlight w:val="none"/>
        </w:rPr>
      </w:pPr>
    </w:p>
    <w:p w14:paraId="6426A6B7">
      <w:pPr>
        <w:spacing w:line="720" w:lineRule="auto"/>
        <w:rPr>
          <w:rFonts w:ascii="宋体" w:hAnsi="宋体" w:cs="宋体"/>
          <w:b/>
          <w:color w:val="auto"/>
          <w:sz w:val="30"/>
          <w:szCs w:val="30"/>
          <w:highlight w:val="none"/>
        </w:rPr>
      </w:pPr>
    </w:p>
    <w:p w14:paraId="39D69957">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78C576CB">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4A6B41EE">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0FCD2EC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4D88C1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126EFFA7">
      <w:pPr>
        <w:tabs>
          <w:tab w:val="left" w:pos="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2.2“采购人”：周口市住房公积金管理中心</w:t>
      </w:r>
    </w:p>
    <w:p w14:paraId="47526E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4069E7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9F560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1581F4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59041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A3C41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74A814D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6F349F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0DE77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01979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F6B8A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4BB1647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6F679D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7500FB3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41B3A6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3F759C2">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633B310E">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70D5CE29">
      <w:pPr>
        <w:pStyle w:val="72"/>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5552E032">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676FCE2E">
      <w:pPr>
        <w:pStyle w:val="72"/>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符合本竞争性磋商文件规定的供应商资格要求及项目要求的其它条件，并按照要求提供相关证明材料。</w:t>
      </w:r>
    </w:p>
    <w:p w14:paraId="4745A9C1">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568E324B">
      <w:pPr>
        <w:autoSpaceDE w:val="0"/>
        <w:autoSpaceDN w:val="0"/>
        <w:adjustRightInd w:val="0"/>
        <w:snapToGrid w:val="0"/>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4.5 凡通过磋商小组符合性审查的供应商均为合格供应商。</w:t>
      </w:r>
    </w:p>
    <w:p w14:paraId="282C57A4">
      <w:pPr>
        <w:spacing w:line="560" w:lineRule="exact"/>
        <w:ind w:firstLine="480" w:firstLineChars="200"/>
        <w:rPr>
          <w:rFonts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w:t>
      </w:r>
    </w:p>
    <w:p w14:paraId="482AF3B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2D566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FBFFE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38285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1510937">
      <w:pPr>
        <w:pStyle w:val="29"/>
        <w:ind w:firstLine="480"/>
        <w:rPr>
          <w:rFonts w:ascii="宋体" w:hAnsi="宋体" w:eastAsia="宋体" w:cs="宋体"/>
          <w:color w:val="auto"/>
          <w:sz w:val="24"/>
          <w:highlight w:val="none"/>
        </w:rPr>
      </w:pPr>
    </w:p>
    <w:p w14:paraId="1CDB31E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015A011">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78AA7FE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3FF9D3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6E3A04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42B9C0F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B2C623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20C1222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2C4775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C69FE9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195938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ED6AF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5D1E3FE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C86B31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06919DA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1B5AB6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212D0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26CEBF05">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482E58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CAB69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27019C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03EB98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04C65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0DCEC0B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4FC48134">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409D83B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75D3992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1A7C03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B86D8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6F21EA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032A80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09498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FB0BF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2AB7D527">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697914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652002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804E0D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0E31AF82">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326D23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35A4B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5A1387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3A3490BA">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0DA0F3D5">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2B6F80F">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705754CD">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615D3854">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5046D2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7F6CBE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1F9D11C">
      <w:pPr>
        <w:pStyle w:val="56"/>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47D7F7BD">
      <w:pPr>
        <w:pStyle w:val="56"/>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347DBF6">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6CE3F17">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21571D37">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60881E0">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2F6B3F60">
      <w:pPr>
        <w:pStyle w:val="5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406B06EA">
      <w:pPr>
        <w:pStyle w:val="56"/>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64F50BF5">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27D8A4C0">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D351F0F">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39F55CF7">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14FC336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2A4C5D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EBEAADF">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03ADFF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52D17A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6DF1EC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7518A9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3653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152365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09E7CE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1CD6DD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A0F4D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80E24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11949F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0DC279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8B80B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479693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6A8E3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4820B8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2A5C71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77EB7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1360D6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0505795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3E0C647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7C76A74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6EFC59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62078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693728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719CC522">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264396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EC9F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5AD7F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BF6B1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41FECF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676624C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549E127A">
      <w:pPr>
        <w:pStyle w:val="38"/>
        <w:rPr>
          <w:rFonts w:ascii="宋体" w:hAnsi="宋体" w:cs="宋体"/>
          <w:color w:val="auto"/>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8301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F37BBE5">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7A567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7FEDB1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7286AFB">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149D06A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715555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3876C8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3FFDCD9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06C623C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76AE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25AD5F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1CE64F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7604B04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CEB4506">
            <w:pPr>
              <w:adjustRightInd w:val="0"/>
              <w:snapToGrid w:val="0"/>
              <w:spacing w:line="360" w:lineRule="auto"/>
              <w:ind w:right="-10"/>
              <w:rPr>
                <w:rFonts w:ascii="宋体" w:hAnsi="宋体" w:cs="宋体"/>
                <w:color w:val="auto"/>
                <w:sz w:val="24"/>
                <w:highlight w:val="none"/>
              </w:rPr>
            </w:pPr>
          </w:p>
        </w:tc>
        <w:tc>
          <w:tcPr>
            <w:tcW w:w="2371" w:type="dxa"/>
            <w:vAlign w:val="center"/>
          </w:tcPr>
          <w:p w14:paraId="58C3B7B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44E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BA78BC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35A9542A">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3C0E9C0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785CC42">
            <w:pPr>
              <w:adjustRightInd w:val="0"/>
              <w:snapToGrid w:val="0"/>
              <w:spacing w:line="360" w:lineRule="auto"/>
              <w:ind w:right="-10"/>
              <w:rPr>
                <w:rFonts w:ascii="宋体" w:hAnsi="宋体" w:cs="宋体"/>
                <w:color w:val="auto"/>
                <w:sz w:val="24"/>
                <w:highlight w:val="none"/>
              </w:rPr>
            </w:pPr>
          </w:p>
        </w:tc>
        <w:tc>
          <w:tcPr>
            <w:tcW w:w="2371" w:type="dxa"/>
            <w:vAlign w:val="center"/>
          </w:tcPr>
          <w:p w14:paraId="02F9CD8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0FE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4A308E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4D997A6E">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13FAB91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49C3746">
            <w:pPr>
              <w:adjustRightInd w:val="0"/>
              <w:snapToGrid w:val="0"/>
              <w:spacing w:line="360" w:lineRule="auto"/>
              <w:ind w:right="-10"/>
              <w:rPr>
                <w:rFonts w:ascii="宋体" w:hAnsi="宋体" w:cs="宋体"/>
                <w:color w:val="auto"/>
                <w:sz w:val="24"/>
                <w:highlight w:val="none"/>
              </w:rPr>
            </w:pPr>
          </w:p>
        </w:tc>
        <w:tc>
          <w:tcPr>
            <w:tcW w:w="2371" w:type="dxa"/>
            <w:vAlign w:val="center"/>
          </w:tcPr>
          <w:p w14:paraId="480132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04A2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CBD1E4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E40395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0E41E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A7A113E">
            <w:pPr>
              <w:adjustRightInd w:val="0"/>
              <w:snapToGrid w:val="0"/>
              <w:spacing w:line="360" w:lineRule="auto"/>
              <w:ind w:right="-10"/>
              <w:rPr>
                <w:rFonts w:ascii="宋体" w:hAnsi="宋体" w:cs="宋体"/>
                <w:color w:val="auto"/>
                <w:sz w:val="24"/>
                <w:highlight w:val="none"/>
              </w:rPr>
            </w:pPr>
          </w:p>
        </w:tc>
        <w:tc>
          <w:tcPr>
            <w:tcW w:w="2371" w:type="dxa"/>
            <w:vAlign w:val="center"/>
          </w:tcPr>
          <w:p w14:paraId="27F4400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E718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8938B2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6F4E1B9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2284D06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3B34B7">
            <w:pPr>
              <w:adjustRightInd w:val="0"/>
              <w:snapToGrid w:val="0"/>
              <w:spacing w:line="360" w:lineRule="auto"/>
              <w:ind w:right="-10"/>
              <w:rPr>
                <w:rFonts w:ascii="宋体" w:hAnsi="宋体" w:cs="宋体"/>
                <w:color w:val="auto"/>
                <w:sz w:val="24"/>
                <w:highlight w:val="none"/>
              </w:rPr>
            </w:pPr>
          </w:p>
        </w:tc>
        <w:tc>
          <w:tcPr>
            <w:tcW w:w="2371" w:type="dxa"/>
            <w:vAlign w:val="center"/>
          </w:tcPr>
          <w:p w14:paraId="666226A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80CD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3DA0C9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1F22C54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3F6A09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77A8C80">
            <w:pPr>
              <w:adjustRightInd w:val="0"/>
              <w:snapToGrid w:val="0"/>
              <w:spacing w:line="360" w:lineRule="auto"/>
              <w:ind w:right="-10"/>
              <w:rPr>
                <w:rFonts w:ascii="宋体" w:hAnsi="宋体" w:cs="宋体"/>
                <w:color w:val="auto"/>
                <w:sz w:val="24"/>
                <w:highlight w:val="none"/>
              </w:rPr>
            </w:pPr>
          </w:p>
        </w:tc>
        <w:tc>
          <w:tcPr>
            <w:tcW w:w="2371" w:type="dxa"/>
            <w:vAlign w:val="center"/>
          </w:tcPr>
          <w:p w14:paraId="336D02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3E4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3695E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69218B9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46F432E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51EA71">
            <w:pPr>
              <w:adjustRightInd w:val="0"/>
              <w:snapToGrid w:val="0"/>
              <w:spacing w:line="360" w:lineRule="auto"/>
              <w:ind w:right="-10"/>
              <w:rPr>
                <w:rFonts w:ascii="宋体" w:hAnsi="宋体" w:cs="宋体"/>
                <w:color w:val="auto"/>
                <w:sz w:val="24"/>
                <w:highlight w:val="none"/>
              </w:rPr>
            </w:pPr>
          </w:p>
        </w:tc>
        <w:tc>
          <w:tcPr>
            <w:tcW w:w="2371" w:type="dxa"/>
            <w:vAlign w:val="center"/>
          </w:tcPr>
          <w:p w14:paraId="5E9BA3B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D4D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D32D91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12BE780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300EB0D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EA38A04">
            <w:pPr>
              <w:adjustRightInd w:val="0"/>
              <w:snapToGrid w:val="0"/>
              <w:spacing w:line="360" w:lineRule="auto"/>
              <w:ind w:right="-10"/>
              <w:rPr>
                <w:rFonts w:ascii="宋体" w:hAnsi="宋体" w:cs="宋体"/>
                <w:color w:val="auto"/>
                <w:sz w:val="24"/>
                <w:highlight w:val="none"/>
              </w:rPr>
            </w:pPr>
          </w:p>
        </w:tc>
        <w:tc>
          <w:tcPr>
            <w:tcW w:w="2371" w:type="dxa"/>
            <w:vAlign w:val="center"/>
          </w:tcPr>
          <w:p w14:paraId="22F287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A534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0B0458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4569095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999182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13FF160">
            <w:pPr>
              <w:adjustRightInd w:val="0"/>
              <w:snapToGrid w:val="0"/>
              <w:spacing w:line="360" w:lineRule="auto"/>
              <w:ind w:right="-10"/>
              <w:rPr>
                <w:rFonts w:ascii="宋体" w:hAnsi="宋体" w:cs="宋体"/>
                <w:color w:val="auto"/>
                <w:sz w:val="24"/>
                <w:highlight w:val="none"/>
              </w:rPr>
            </w:pPr>
          </w:p>
        </w:tc>
        <w:tc>
          <w:tcPr>
            <w:tcW w:w="2371" w:type="dxa"/>
            <w:vAlign w:val="center"/>
          </w:tcPr>
          <w:p w14:paraId="7D1BB09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D4F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8F6774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024A101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6E59336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F14D9F8">
            <w:pPr>
              <w:adjustRightInd w:val="0"/>
              <w:snapToGrid w:val="0"/>
              <w:spacing w:line="360" w:lineRule="auto"/>
              <w:ind w:right="-10"/>
              <w:rPr>
                <w:rFonts w:ascii="宋体" w:hAnsi="宋体" w:cs="宋体"/>
                <w:color w:val="auto"/>
                <w:sz w:val="24"/>
                <w:highlight w:val="none"/>
              </w:rPr>
            </w:pPr>
          </w:p>
        </w:tc>
        <w:tc>
          <w:tcPr>
            <w:tcW w:w="2371" w:type="dxa"/>
            <w:vAlign w:val="center"/>
          </w:tcPr>
          <w:p w14:paraId="0DFAE5D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DD73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E9458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3C177D2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C2A563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F3AED53">
            <w:pPr>
              <w:adjustRightInd w:val="0"/>
              <w:snapToGrid w:val="0"/>
              <w:spacing w:line="360" w:lineRule="auto"/>
              <w:ind w:right="-10"/>
              <w:rPr>
                <w:rFonts w:ascii="宋体" w:hAnsi="宋体" w:cs="宋体"/>
                <w:color w:val="auto"/>
                <w:sz w:val="24"/>
                <w:highlight w:val="none"/>
              </w:rPr>
            </w:pPr>
          </w:p>
        </w:tc>
        <w:tc>
          <w:tcPr>
            <w:tcW w:w="2371" w:type="dxa"/>
            <w:vAlign w:val="center"/>
          </w:tcPr>
          <w:p w14:paraId="02AF658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9D9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47ADC9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86D5875">
            <w:pPr>
              <w:spacing w:after="50" w:line="360" w:lineRule="auto"/>
              <w:ind w:right="-10"/>
              <w:jc w:val="center"/>
              <w:rPr>
                <w:rFonts w:ascii="宋体" w:hAnsi="宋体" w:cs="宋体"/>
                <w:bCs/>
                <w:color w:val="auto"/>
                <w:sz w:val="24"/>
                <w:highlight w:val="none"/>
              </w:rPr>
            </w:pPr>
          </w:p>
        </w:tc>
        <w:tc>
          <w:tcPr>
            <w:tcW w:w="1937" w:type="dxa"/>
            <w:vAlign w:val="center"/>
          </w:tcPr>
          <w:p w14:paraId="75E764E8">
            <w:pPr>
              <w:spacing w:after="50" w:line="360" w:lineRule="auto"/>
              <w:ind w:right="-10"/>
              <w:jc w:val="center"/>
              <w:rPr>
                <w:rFonts w:ascii="宋体" w:hAnsi="宋体" w:cs="宋体"/>
                <w:color w:val="auto"/>
                <w:sz w:val="24"/>
                <w:highlight w:val="none"/>
              </w:rPr>
            </w:pPr>
          </w:p>
        </w:tc>
        <w:tc>
          <w:tcPr>
            <w:tcW w:w="825" w:type="dxa"/>
            <w:vAlign w:val="center"/>
          </w:tcPr>
          <w:p w14:paraId="49170168">
            <w:pPr>
              <w:adjustRightInd w:val="0"/>
              <w:snapToGrid w:val="0"/>
              <w:spacing w:line="360" w:lineRule="auto"/>
              <w:ind w:right="-10"/>
              <w:rPr>
                <w:rFonts w:ascii="宋体" w:hAnsi="宋体" w:cs="宋体"/>
                <w:color w:val="auto"/>
                <w:sz w:val="24"/>
                <w:highlight w:val="none"/>
              </w:rPr>
            </w:pPr>
          </w:p>
        </w:tc>
        <w:tc>
          <w:tcPr>
            <w:tcW w:w="2371" w:type="dxa"/>
            <w:vAlign w:val="center"/>
          </w:tcPr>
          <w:p w14:paraId="129DC6A1">
            <w:pPr>
              <w:adjustRightInd w:val="0"/>
              <w:snapToGrid w:val="0"/>
              <w:spacing w:line="360" w:lineRule="auto"/>
              <w:ind w:right="-10"/>
              <w:jc w:val="center"/>
              <w:rPr>
                <w:rFonts w:ascii="宋体" w:hAnsi="宋体" w:cs="宋体"/>
                <w:color w:val="auto"/>
                <w:sz w:val="24"/>
                <w:highlight w:val="none"/>
              </w:rPr>
            </w:pPr>
          </w:p>
        </w:tc>
      </w:tr>
      <w:tr w14:paraId="64A0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6B817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0E52627D">
            <w:pPr>
              <w:spacing w:after="50" w:line="360" w:lineRule="auto"/>
              <w:ind w:right="-10"/>
              <w:jc w:val="center"/>
              <w:rPr>
                <w:rFonts w:ascii="宋体" w:hAnsi="宋体" w:cs="宋体"/>
                <w:color w:val="auto"/>
                <w:sz w:val="24"/>
                <w:highlight w:val="none"/>
              </w:rPr>
            </w:pPr>
          </w:p>
        </w:tc>
        <w:tc>
          <w:tcPr>
            <w:tcW w:w="1937" w:type="dxa"/>
            <w:vAlign w:val="center"/>
          </w:tcPr>
          <w:p w14:paraId="099907FE">
            <w:pPr>
              <w:spacing w:after="50" w:line="360" w:lineRule="auto"/>
              <w:ind w:right="-10"/>
              <w:jc w:val="center"/>
              <w:rPr>
                <w:rFonts w:ascii="宋体" w:hAnsi="宋体" w:cs="宋体"/>
                <w:color w:val="auto"/>
                <w:sz w:val="24"/>
                <w:highlight w:val="none"/>
              </w:rPr>
            </w:pPr>
          </w:p>
        </w:tc>
        <w:tc>
          <w:tcPr>
            <w:tcW w:w="825" w:type="dxa"/>
            <w:vAlign w:val="center"/>
          </w:tcPr>
          <w:p w14:paraId="4ED43FB0">
            <w:pPr>
              <w:adjustRightInd w:val="0"/>
              <w:snapToGrid w:val="0"/>
              <w:spacing w:line="360" w:lineRule="auto"/>
              <w:ind w:right="-10"/>
              <w:rPr>
                <w:rFonts w:ascii="宋体" w:hAnsi="宋体" w:cs="宋体"/>
                <w:color w:val="auto"/>
                <w:sz w:val="24"/>
                <w:highlight w:val="none"/>
              </w:rPr>
            </w:pPr>
          </w:p>
        </w:tc>
        <w:tc>
          <w:tcPr>
            <w:tcW w:w="2371" w:type="dxa"/>
            <w:vAlign w:val="center"/>
          </w:tcPr>
          <w:p w14:paraId="3F9C276B">
            <w:pPr>
              <w:adjustRightInd w:val="0"/>
              <w:snapToGrid w:val="0"/>
              <w:spacing w:line="360" w:lineRule="auto"/>
              <w:ind w:right="-10"/>
              <w:jc w:val="center"/>
              <w:rPr>
                <w:rFonts w:ascii="宋体" w:hAnsi="宋体" w:cs="宋体"/>
                <w:color w:val="auto"/>
                <w:sz w:val="24"/>
                <w:highlight w:val="none"/>
              </w:rPr>
            </w:pPr>
          </w:p>
        </w:tc>
      </w:tr>
      <w:tr w14:paraId="24FF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F2DCC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B0EC04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FF3549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65BFD7D">
      <w:pPr>
        <w:pStyle w:val="38"/>
        <w:rPr>
          <w:rFonts w:ascii="宋体" w:hAnsi="宋体" w:cs="宋体"/>
          <w:color w:val="auto"/>
          <w:sz w:val="24"/>
          <w:szCs w:val="24"/>
          <w:highlight w:val="none"/>
        </w:rPr>
      </w:pPr>
    </w:p>
    <w:p w14:paraId="121847B4">
      <w:pPr>
        <w:pStyle w:val="38"/>
        <w:rPr>
          <w:rFonts w:ascii="宋体" w:hAnsi="宋体" w:cs="宋体"/>
          <w:color w:val="auto"/>
          <w:sz w:val="24"/>
          <w:szCs w:val="24"/>
          <w:highlight w:val="none"/>
        </w:rPr>
      </w:pPr>
    </w:p>
    <w:p w14:paraId="48838D1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79C7CC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1059F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FBAAC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477192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B08F78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520C54D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E1FF73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B5B4E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28E7D7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4E0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038F41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73F9247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37F9E5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8E8C5D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4F9AA1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8FFBD13">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660577F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7AD908F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7338CBD5">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64F092E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2.如有多次报价，</w:t>
      </w:r>
      <w:r>
        <w:rPr>
          <w:rFonts w:hint="eastAsia" w:ascii="宋体" w:hAnsi="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highlight w:val="none"/>
        </w:rPr>
        <w:t>报价次数见供应商须知前附表。</w:t>
      </w:r>
    </w:p>
    <w:p w14:paraId="7C4090BD">
      <w:pPr>
        <w:spacing w:line="560" w:lineRule="exact"/>
        <w:ind w:firstLine="480" w:firstLineChars="200"/>
        <w:rPr>
          <w:rFonts w:hint="eastAsia" w:cs="宋体"/>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72212BA5">
      <w:pPr>
        <w:pStyle w:val="2"/>
      </w:pPr>
    </w:p>
    <w:p w14:paraId="4759BCA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58A861A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EB7734D">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ECF21D1">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1B514EC2">
      <w:pPr>
        <w:pStyle w:val="18"/>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0463D65E">
      <w:pPr>
        <w:spacing w:line="360" w:lineRule="auto"/>
        <w:ind w:right="-92" w:rightChars="-44"/>
        <w:rPr>
          <w:rFonts w:ascii="宋体" w:hAnsi="宋体" w:cs="宋体"/>
          <w:sz w:val="24"/>
        </w:rPr>
      </w:pPr>
      <w:r>
        <w:rPr>
          <w:rFonts w:hint="eastAsia" w:ascii="宋体" w:hAnsi="宋体" w:cs="宋体"/>
          <w:color w:val="auto"/>
          <w:sz w:val="24"/>
          <w:highlight w:val="none"/>
        </w:rPr>
        <w:t>评标方法：</w:t>
      </w:r>
    </w:p>
    <w:tbl>
      <w:tblPr>
        <w:tblStyle w:val="30"/>
        <w:tblpPr w:leftFromText="180" w:rightFromText="180" w:vertAnchor="text" w:horzAnchor="page" w:tblpX="1111" w:tblpY="306"/>
        <w:tblOverlap w:val="never"/>
        <w:tblW w:w="100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744"/>
        <w:gridCol w:w="4599"/>
        <w:gridCol w:w="2566"/>
      </w:tblGrid>
      <w:tr w14:paraId="0F902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13" w:type="dxa"/>
            <w:vAlign w:val="center"/>
          </w:tcPr>
          <w:p w14:paraId="141ACD08">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44" w:type="dxa"/>
            <w:vAlign w:val="center"/>
          </w:tcPr>
          <w:p w14:paraId="3778A49B">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9" w:type="dxa"/>
            <w:vAlign w:val="center"/>
          </w:tcPr>
          <w:p w14:paraId="097BBCDF">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vAlign w:val="center"/>
          </w:tcPr>
          <w:p w14:paraId="6F19027B">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1BBEC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2113" w:type="dxa"/>
            <w:vAlign w:val="center"/>
          </w:tcPr>
          <w:p w14:paraId="0963C495">
            <w:pPr>
              <w:widowControl/>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报价得分（10分）</w:t>
            </w:r>
          </w:p>
        </w:tc>
        <w:tc>
          <w:tcPr>
            <w:tcW w:w="744" w:type="dxa"/>
            <w:vAlign w:val="center"/>
          </w:tcPr>
          <w:p w14:paraId="5BE95BC1">
            <w:pPr>
              <w:widowControl/>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（10分）</w:t>
            </w:r>
          </w:p>
        </w:tc>
        <w:tc>
          <w:tcPr>
            <w:tcW w:w="7165" w:type="dxa"/>
            <w:gridSpan w:val="2"/>
            <w:vAlign w:val="center"/>
          </w:tcPr>
          <w:p w14:paraId="59F67238">
            <w:pP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3D2FA24F">
            <w:pP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5FF9088F">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4E95023D">
            <w:pPr>
              <w:pStyle w:val="28"/>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14AFA399">
            <w:pPr>
              <w:pStyle w:val="28"/>
              <w:ind w:right="-21" w:firstLine="0" w:firstLineChars="0"/>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color w:val="auto"/>
                <w:kern w:val="2"/>
                <w:sz w:val="24"/>
                <w:szCs w:val="20"/>
                <w:lang w:val="en-US" w:eastAsia="zh-CN" w:bidi="ar-SA"/>
              </w:rPr>
              <w:t>%扣除，请按照《政府采购促进中小企业发展管理办法》要求提供中小企业声明函。</w:t>
            </w:r>
          </w:p>
          <w:p w14:paraId="55F10DB1">
            <w:pPr>
              <w:pStyle w:val="28"/>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48663CCD">
            <w:pPr>
              <w:pStyle w:val="28"/>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C828590">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1FB6D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trPr>
        <w:tc>
          <w:tcPr>
            <w:tcW w:w="2113" w:type="dxa"/>
            <w:vMerge w:val="restart"/>
            <w:vAlign w:val="center"/>
          </w:tcPr>
          <w:p w14:paraId="43302D8D">
            <w:pPr>
              <w:widowControl/>
              <w:jc w:val="left"/>
              <w:rPr>
                <w:rFonts w:ascii="宋体" w:hAnsi="宋体" w:cs="宋体"/>
                <w:b/>
                <w:bCs/>
                <w:sz w:val="24"/>
              </w:rPr>
            </w:pPr>
            <w:r>
              <w:rPr>
                <w:rFonts w:hint="eastAsia" w:ascii="宋体" w:hAnsi="宋体" w:cs="宋体"/>
                <w:b/>
                <w:bCs/>
                <w:sz w:val="24"/>
              </w:rPr>
              <w:t>技术</w:t>
            </w:r>
            <w:r>
              <w:rPr>
                <w:rFonts w:hint="eastAsia" w:ascii="宋体" w:hAnsi="宋体" w:cs="宋体"/>
                <w:b/>
                <w:bCs/>
                <w:sz w:val="24"/>
                <w:lang w:val="en-US" w:eastAsia="zh-CN"/>
              </w:rPr>
              <w:t>能力</w:t>
            </w:r>
            <w:r>
              <w:rPr>
                <w:rFonts w:hint="eastAsia" w:ascii="宋体" w:hAnsi="宋体" w:cs="宋体"/>
                <w:b/>
                <w:bCs/>
                <w:sz w:val="24"/>
              </w:rPr>
              <w:t>(</w:t>
            </w:r>
            <w:r>
              <w:rPr>
                <w:rFonts w:hint="eastAsia" w:ascii="宋体" w:hAnsi="宋体" w:cs="宋体"/>
                <w:b/>
                <w:bCs/>
                <w:sz w:val="24"/>
                <w:lang w:val="en-US" w:eastAsia="zh-CN"/>
              </w:rPr>
              <w:t>70</w:t>
            </w:r>
            <w:r>
              <w:rPr>
                <w:rFonts w:hint="eastAsia" w:ascii="宋体" w:hAnsi="宋体" w:cs="宋体"/>
                <w:b/>
                <w:bCs/>
                <w:sz w:val="24"/>
              </w:rPr>
              <w:t>分)</w:t>
            </w:r>
          </w:p>
          <w:p w14:paraId="7375DE82">
            <w:pPr>
              <w:jc w:val="center"/>
              <w:rPr>
                <w:rFonts w:ascii="宋体" w:hAnsi="宋体" w:cs="宋体"/>
                <w:sz w:val="24"/>
              </w:rPr>
            </w:pPr>
          </w:p>
        </w:tc>
        <w:tc>
          <w:tcPr>
            <w:tcW w:w="744" w:type="dxa"/>
            <w:vAlign w:val="center"/>
          </w:tcPr>
          <w:p w14:paraId="67923692">
            <w:pPr>
              <w:widowControl/>
              <w:jc w:val="center"/>
              <w:rPr>
                <w:rFonts w:ascii="宋体" w:hAnsi="宋体" w:cs="宋体"/>
                <w:sz w:val="24"/>
              </w:rPr>
            </w:pPr>
            <w:r>
              <w:rPr>
                <w:rFonts w:hint="eastAsia" w:ascii="宋体" w:hAnsi="宋体" w:cs="宋体"/>
                <w:color w:val="000000"/>
                <w:sz w:val="24"/>
                <w:lang w:val="en-US" w:eastAsia="zh-CN"/>
              </w:rPr>
              <w:t>50</w:t>
            </w:r>
            <w:r>
              <w:rPr>
                <w:rFonts w:hint="eastAsia" w:ascii="宋体" w:hAnsi="宋体" w:cs="宋体"/>
                <w:color w:val="000000"/>
                <w:sz w:val="24"/>
              </w:rPr>
              <w:t>分</w:t>
            </w:r>
          </w:p>
        </w:tc>
        <w:tc>
          <w:tcPr>
            <w:tcW w:w="7165" w:type="dxa"/>
            <w:gridSpan w:val="2"/>
            <w:vAlign w:val="center"/>
          </w:tcPr>
          <w:p w14:paraId="46D36E7D">
            <w:pPr>
              <w:pStyle w:val="62"/>
              <w:widowControl/>
              <w:numPr>
                <w:ilvl w:val="0"/>
                <w:numId w:val="3"/>
              </w:numPr>
              <w:snapToGrid w:val="0"/>
              <w:spacing w:line="276" w:lineRule="auto"/>
              <w:ind w:firstLineChars="0"/>
              <w:rPr>
                <w:rFonts w:ascii="宋体" w:hAnsi="宋体"/>
                <w:color w:val="auto"/>
                <w:sz w:val="24"/>
                <w:highlight w:val="none"/>
              </w:rPr>
            </w:pPr>
            <w:r>
              <w:rPr>
                <w:rFonts w:hint="eastAsia"/>
                <w:spacing w:val="-5"/>
                <w:lang w:eastAsia="zh-CN"/>
              </w:rPr>
              <w:t>（</w:t>
            </w:r>
            <w:r>
              <w:rPr>
                <w:rFonts w:hint="eastAsia"/>
                <w:spacing w:val="-5"/>
                <w:lang w:val="en-US" w:eastAsia="zh-CN"/>
              </w:rPr>
              <w:t>3分</w:t>
            </w:r>
            <w:r>
              <w:rPr>
                <w:rFonts w:hint="eastAsia"/>
                <w:spacing w:val="-5"/>
                <w:lang w:eastAsia="zh-CN"/>
              </w:rPr>
              <w:t>）</w:t>
            </w:r>
            <w:r>
              <w:rPr>
                <w:rFonts w:hint="eastAsia" w:ascii="宋体" w:hAnsi="宋体"/>
                <w:color w:val="auto"/>
                <w:sz w:val="24"/>
                <w:highlight w:val="none"/>
              </w:rPr>
              <w:t>根据投标人对中心现有公积金信息系统整体架构的理解程度，综合评议投标人对系统的软件开发和维护能力。</w:t>
            </w:r>
          </w:p>
          <w:p w14:paraId="068A643A">
            <w:pPr>
              <w:pStyle w:val="62"/>
              <w:widowControl/>
              <w:numPr>
                <w:ilvl w:val="0"/>
                <w:numId w:val="4"/>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提供中心现有公积金信息系统整体架构图的并附有简要说明的得</w:t>
            </w:r>
            <w:r>
              <w:rPr>
                <w:rFonts w:ascii="宋体" w:hAnsi="宋体"/>
                <w:color w:val="auto"/>
                <w:sz w:val="24"/>
                <w:highlight w:val="none"/>
              </w:rPr>
              <w:t>3</w:t>
            </w:r>
            <w:r>
              <w:rPr>
                <w:rFonts w:hint="eastAsia" w:ascii="宋体" w:hAnsi="宋体"/>
                <w:color w:val="auto"/>
                <w:sz w:val="24"/>
                <w:highlight w:val="none"/>
              </w:rPr>
              <w:t>分，不提供不得分。</w:t>
            </w:r>
          </w:p>
          <w:p w14:paraId="7DEC34A1">
            <w:pPr>
              <w:pStyle w:val="62"/>
              <w:widowControl/>
              <w:numPr>
                <w:ilvl w:val="0"/>
                <w:numId w:val="3"/>
              </w:numPr>
              <w:snapToGrid w:val="0"/>
              <w:spacing w:line="276" w:lineRule="auto"/>
              <w:ind w:firstLineChars="0"/>
              <w:rPr>
                <w:rFonts w:ascii="宋体" w:hAnsi="宋体"/>
                <w:color w:val="auto"/>
                <w:sz w:val="24"/>
                <w:highlight w:val="none"/>
              </w:rPr>
            </w:pP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根据投标人对中心现有公积金归集系统的理解程度，综合评议投标人对该系统的软件开发和维护能力。</w:t>
            </w:r>
          </w:p>
          <w:p w14:paraId="6F16D233">
            <w:pPr>
              <w:pStyle w:val="62"/>
              <w:widowControl/>
              <w:numPr>
                <w:ilvl w:val="0"/>
                <w:numId w:val="5"/>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提供对现有公积金归集系统中公积金汇缴登记功能模块的理解分析的得1分，不提供不得分；</w:t>
            </w:r>
          </w:p>
          <w:p w14:paraId="29631BF6">
            <w:pPr>
              <w:pStyle w:val="62"/>
              <w:widowControl/>
              <w:numPr>
                <w:ilvl w:val="0"/>
                <w:numId w:val="5"/>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提供对现有公积金归集系统中公积金补缴登记功能模块的理解分析的得1分，不提供不得分；</w:t>
            </w:r>
          </w:p>
          <w:p w14:paraId="15171AB6">
            <w:pPr>
              <w:pStyle w:val="62"/>
              <w:widowControl/>
              <w:numPr>
                <w:ilvl w:val="0"/>
                <w:numId w:val="5"/>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提供对现有公积金归集系统中公积金预缴登记功能模块的理解分析的得1分，不提供不得分；</w:t>
            </w:r>
          </w:p>
          <w:p w14:paraId="6BF29469">
            <w:pPr>
              <w:pStyle w:val="62"/>
              <w:widowControl/>
              <w:numPr>
                <w:ilvl w:val="0"/>
                <w:numId w:val="5"/>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提供对现有公积金归集系统中公积金预缴退款功能模块的理解分析的得1分，不提供不得分；</w:t>
            </w:r>
          </w:p>
          <w:p w14:paraId="7E9A7EEC">
            <w:pPr>
              <w:pStyle w:val="62"/>
              <w:widowControl/>
              <w:numPr>
                <w:ilvl w:val="0"/>
                <w:numId w:val="5"/>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提供对现有公积金归集系统中公积金个人退缴功能模块的理解分析的得1分，不提供不得分。</w:t>
            </w:r>
          </w:p>
          <w:p w14:paraId="5B629545">
            <w:pPr>
              <w:widowControl/>
              <w:snapToGrid w:val="0"/>
              <w:spacing w:line="276" w:lineRule="auto"/>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根据投标人对中心现有公积金提取系统的理解程度，综合评议投标人对该系统的软件开发和维护能力。</w:t>
            </w:r>
          </w:p>
          <w:p w14:paraId="14BE5415">
            <w:pPr>
              <w:pStyle w:val="62"/>
              <w:widowControl/>
              <w:numPr>
                <w:ilvl w:val="0"/>
                <w:numId w:val="6"/>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提供对中心现有公积金提取系统提取业务流程的理解分析的得2分，不提供不得分；</w:t>
            </w:r>
          </w:p>
          <w:p w14:paraId="093F323B">
            <w:pPr>
              <w:pStyle w:val="62"/>
              <w:widowControl/>
              <w:numPr>
                <w:ilvl w:val="0"/>
                <w:numId w:val="6"/>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提供对中心现有公积金提取系统功能模块的理解分析的得</w:t>
            </w:r>
            <w:r>
              <w:rPr>
                <w:rFonts w:ascii="宋体" w:hAnsi="宋体"/>
                <w:color w:val="auto"/>
                <w:sz w:val="24"/>
                <w:highlight w:val="none"/>
              </w:rPr>
              <w:t>3</w:t>
            </w:r>
            <w:r>
              <w:rPr>
                <w:rFonts w:hint="eastAsia" w:ascii="宋体" w:hAnsi="宋体"/>
                <w:color w:val="auto"/>
                <w:sz w:val="24"/>
                <w:highlight w:val="none"/>
              </w:rPr>
              <w:t>分，不提供不得分。</w:t>
            </w:r>
          </w:p>
          <w:p w14:paraId="16570022">
            <w:pPr>
              <w:widowControl/>
              <w:snapToGrid w:val="0"/>
              <w:spacing w:line="276" w:lineRule="auto"/>
              <w:rPr>
                <w:rFonts w:ascii="宋体" w:hAnsi="宋体"/>
                <w:color w:val="auto"/>
                <w:sz w:val="24"/>
                <w:highlight w:val="none"/>
              </w:rPr>
            </w:pPr>
            <w:r>
              <w:rPr>
                <w:rFonts w:ascii="宋体" w:hAnsi="宋体"/>
                <w:color w:val="auto"/>
                <w:sz w:val="24"/>
                <w:highlight w:val="none"/>
              </w:rPr>
              <w:t>4</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根据投标人对中心现有公积金个人贷款系统的理解程度，综合评议投标人对该系统的软件开发和维护能力。</w:t>
            </w:r>
          </w:p>
          <w:p w14:paraId="614521A1">
            <w:pPr>
              <w:pStyle w:val="62"/>
              <w:widowControl/>
              <w:numPr>
                <w:ilvl w:val="0"/>
                <w:numId w:val="7"/>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提供对中心现有公积金个人贷款系统中贷款申请功能模块的理解分析的得1分，不提供不得分；</w:t>
            </w:r>
          </w:p>
          <w:p w14:paraId="7FD4863C">
            <w:pPr>
              <w:pStyle w:val="62"/>
              <w:widowControl/>
              <w:numPr>
                <w:ilvl w:val="0"/>
                <w:numId w:val="7"/>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提供对中心现有公积金个人贷款系统中贷款审核功能模块的理解分析的得1分，不提供不得分；</w:t>
            </w:r>
          </w:p>
          <w:p w14:paraId="5E9165D6">
            <w:pPr>
              <w:pStyle w:val="62"/>
              <w:widowControl/>
              <w:numPr>
                <w:ilvl w:val="0"/>
                <w:numId w:val="7"/>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提供对中心现有公积金个人贷款系统中签订合同功能模块的理解分析的得1分，不提供不得分；</w:t>
            </w:r>
          </w:p>
          <w:p w14:paraId="698CD1E6">
            <w:pPr>
              <w:pStyle w:val="62"/>
              <w:widowControl/>
              <w:numPr>
                <w:ilvl w:val="0"/>
                <w:numId w:val="7"/>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提供对中心现有公积金个人贷款系统中抵押物管理功能模块的理解分析的得1分，不提供不得分；</w:t>
            </w:r>
          </w:p>
          <w:p w14:paraId="0EE30978">
            <w:pPr>
              <w:pStyle w:val="62"/>
              <w:widowControl/>
              <w:numPr>
                <w:ilvl w:val="0"/>
                <w:numId w:val="7"/>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提供对中心现有公积金个人贷款系统中贷款信息变更功能模块的理解分析的得1分，不提供不得分。</w:t>
            </w:r>
          </w:p>
          <w:p w14:paraId="773EE85C">
            <w:pPr>
              <w:widowControl/>
              <w:snapToGrid w:val="0"/>
              <w:spacing w:line="276" w:lineRule="auto"/>
              <w:rPr>
                <w:rFonts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6分</w:t>
            </w:r>
            <w:r>
              <w:rPr>
                <w:rFonts w:hint="eastAsia"/>
                <w:spacing w:val="-5"/>
                <w:lang w:eastAsia="zh-CN"/>
              </w:rPr>
              <w:t>）</w:t>
            </w:r>
            <w:r>
              <w:rPr>
                <w:rFonts w:hint="eastAsia" w:ascii="宋体" w:hAnsi="宋体"/>
                <w:color w:val="auto"/>
                <w:sz w:val="24"/>
                <w:highlight w:val="none"/>
              </w:rPr>
              <w:t>根据投标人对中心现有公积金财务系统的理解程度，综合评议投标人对该系统的软件开发和维护能力。</w:t>
            </w:r>
          </w:p>
          <w:p w14:paraId="4C05B745">
            <w:pPr>
              <w:pStyle w:val="62"/>
              <w:widowControl/>
              <w:numPr>
                <w:ilvl w:val="0"/>
                <w:numId w:val="8"/>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提供对中心现有公积金财务系统中总账管理功能模块的理解分析的得</w:t>
            </w:r>
            <w:r>
              <w:rPr>
                <w:rFonts w:ascii="宋体" w:hAnsi="宋体"/>
                <w:color w:val="auto"/>
                <w:sz w:val="24"/>
                <w:highlight w:val="none"/>
              </w:rPr>
              <w:t>2</w:t>
            </w:r>
            <w:r>
              <w:rPr>
                <w:rFonts w:hint="eastAsia" w:ascii="宋体" w:hAnsi="宋体"/>
                <w:color w:val="auto"/>
                <w:sz w:val="24"/>
                <w:highlight w:val="none"/>
              </w:rPr>
              <w:t>分，不提供不得分；</w:t>
            </w:r>
          </w:p>
          <w:p w14:paraId="64665B0F">
            <w:pPr>
              <w:pStyle w:val="62"/>
              <w:widowControl/>
              <w:numPr>
                <w:ilvl w:val="0"/>
                <w:numId w:val="8"/>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提供对中心现有公积金财务系统中出纳管理功能模块的理解分析的得</w:t>
            </w:r>
            <w:r>
              <w:rPr>
                <w:rFonts w:ascii="宋体" w:hAnsi="宋体"/>
                <w:color w:val="auto"/>
                <w:sz w:val="24"/>
                <w:highlight w:val="none"/>
              </w:rPr>
              <w:t>2</w:t>
            </w:r>
            <w:r>
              <w:rPr>
                <w:rFonts w:hint="eastAsia" w:ascii="宋体" w:hAnsi="宋体"/>
                <w:color w:val="auto"/>
                <w:sz w:val="24"/>
                <w:highlight w:val="none"/>
              </w:rPr>
              <w:t>分，不提供不得分；</w:t>
            </w:r>
          </w:p>
          <w:p w14:paraId="3C6D99B0">
            <w:pPr>
              <w:pStyle w:val="62"/>
              <w:widowControl/>
              <w:numPr>
                <w:ilvl w:val="0"/>
                <w:numId w:val="8"/>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提供对中心现有公积金财务系统中资金管理功能模块的理解分析的得</w:t>
            </w:r>
            <w:r>
              <w:rPr>
                <w:rFonts w:ascii="宋体" w:hAnsi="宋体"/>
                <w:color w:val="auto"/>
                <w:sz w:val="24"/>
                <w:highlight w:val="none"/>
              </w:rPr>
              <w:t>2</w:t>
            </w:r>
            <w:r>
              <w:rPr>
                <w:rFonts w:hint="eastAsia" w:ascii="宋体" w:hAnsi="宋体"/>
                <w:color w:val="auto"/>
                <w:sz w:val="24"/>
                <w:highlight w:val="none"/>
              </w:rPr>
              <w:t>分，不提供不得分。</w:t>
            </w:r>
          </w:p>
          <w:p w14:paraId="75FA85B2">
            <w:pPr>
              <w:widowControl/>
              <w:snapToGrid w:val="0"/>
              <w:spacing w:line="276" w:lineRule="auto"/>
              <w:rPr>
                <w:rFonts w:ascii="宋体" w:hAnsi="宋体"/>
                <w:color w:val="auto"/>
                <w:sz w:val="24"/>
                <w:highlight w:val="none"/>
              </w:rPr>
            </w:pPr>
            <w:r>
              <w:rPr>
                <w:rFonts w:ascii="宋体" w:hAnsi="宋体"/>
                <w:color w:val="auto"/>
                <w:sz w:val="24"/>
                <w:highlight w:val="none"/>
              </w:rPr>
              <w:t>6</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根据投标人对中心现有核心业务管理系统数据库结构的理解程度综合评议。</w:t>
            </w:r>
          </w:p>
          <w:p w14:paraId="5BE7D5C6">
            <w:pPr>
              <w:pStyle w:val="62"/>
              <w:widowControl/>
              <w:numPr>
                <w:ilvl w:val="0"/>
                <w:numId w:val="9"/>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提供现有核心业务管理系统完整、清晰的系统数据字典的，得5分，不提供不得分。</w:t>
            </w:r>
          </w:p>
          <w:p w14:paraId="4E4C31D9">
            <w:pPr>
              <w:widowControl/>
              <w:snapToGrid w:val="0"/>
              <w:spacing w:line="276" w:lineRule="auto"/>
              <w:rPr>
                <w:rFonts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6分</w:t>
            </w:r>
            <w:r>
              <w:rPr>
                <w:rFonts w:hint="eastAsia"/>
                <w:spacing w:val="-5"/>
                <w:lang w:eastAsia="zh-CN"/>
              </w:rPr>
              <w:t>）</w:t>
            </w:r>
            <w:r>
              <w:rPr>
                <w:rFonts w:hint="eastAsia" w:ascii="宋体" w:hAnsi="宋体"/>
                <w:color w:val="auto"/>
                <w:sz w:val="24"/>
                <w:highlight w:val="none"/>
              </w:rPr>
              <w:t>根据投标人对中心现有综合服务平台中网上营业厅渠道的理解程度，综合评议投标人对该渠道的软件开发和维护能力。</w:t>
            </w:r>
          </w:p>
          <w:p w14:paraId="1F080133">
            <w:pPr>
              <w:pStyle w:val="62"/>
              <w:widowControl/>
              <w:numPr>
                <w:ilvl w:val="0"/>
                <w:numId w:val="10"/>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提供对中心现有综合服务平台中网上营业厅</w:t>
            </w:r>
            <w:r>
              <w:rPr>
                <w:rFonts w:ascii="宋体" w:hAnsi="宋体"/>
                <w:color w:val="auto"/>
                <w:sz w:val="24"/>
                <w:highlight w:val="none"/>
              </w:rPr>
              <w:t>单位版</w:t>
            </w:r>
            <w:r>
              <w:rPr>
                <w:rFonts w:hint="eastAsia" w:ascii="宋体" w:hAnsi="宋体"/>
                <w:color w:val="auto"/>
                <w:sz w:val="24"/>
                <w:highlight w:val="none"/>
              </w:rPr>
              <w:t>的理解分析，</w:t>
            </w:r>
            <w:r>
              <w:rPr>
                <w:rFonts w:ascii="宋体" w:hAnsi="宋体"/>
                <w:color w:val="auto"/>
                <w:sz w:val="24"/>
                <w:highlight w:val="none"/>
              </w:rPr>
              <w:t>功能分析包括：个人账户设立</w:t>
            </w:r>
            <w:r>
              <w:rPr>
                <w:rFonts w:hint="eastAsia" w:ascii="宋体" w:hAnsi="宋体"/>
                <w:color w:val="auto"/>
                <w:sz w:val="24"/>
                <w:highlight w:val="none"/>
              </w:rPr>
              <w:t>、</w:t>
            </w:r>
            <w:r>
              <w:rPr>
                <w:rFonts w:ascii="宋体" w:hAnsi="宋体"/>
                <w:color w:val="auto"/>
                <w:sz w:val="24"/>
                <w:highlight w:val="none"/>
              </w:rPr>
              <w:t>职工信息变更</w:t>
            </w:r>
            <w:r>
              <w:rPr>
                <w:rFonts w:hint="eastAsia" w:ascii="宋体" w:hAnsi="宋体"/>
                <w:color w:val="auto"/>
                <w:sz w:val="24"/>
                <w:highlight w:val="none"/>
              </w:rPr>
              <w:t>、</w:t>
            </w:r>
            <w:r>
              <w:rPr>
                <w:rFonts w:ascii="宋体" w:hAnsi="宋体"/>
                <w:color w:val="auto"/>
                <w:sz w:val="24"/>
                <w:highlight w:val="none"/>
              </w:rPr>
              <w:t>封存-启封、缴存基数调整、汇缴、补缴、单位信息变更、</w:t>
            </w:r>
            <w:bookmarkStart w:id="34" w:name="_Toc535586314"/>
            <w:r>
              <w:rPr>
                <w:rFonts w:hint="eastAsia" w:ascii="宋体" w:hAnsi="宋体"/>
                <w:color w:val="auto"/>
                <w:sz w:val="24"/>
                <w:highlight w:val="none"/>
              </w:rPr>
              <w:t>单位住房公积金缴存证明打印</w:t>
            </w:r>
            <w:bookmarkEnd w:id="34"/>
            <w:r>
              <w:rPr>
                <w:rFonts w:hint="eastAsia" w:ascii="宋体" w:hAnsi="宋体"/>
                <w:color w:val="auto"/>
                <w:sz w:val="24"/>
                <w:highlight w:val="none"/>
              </w:rPr>
              <w:t>、</w:t>
            </w:r>
            <w:r>
              <w:rPr>
                <w:rFonts w:ascii="宋体" w:hAnsi="宋体"/>
                <w:color w:val="auto"/>
                <w:sz w:val="24"/>
                <w:highlight w:val="none"/>
              </w:rPr>
              <w:t>职工缴存证明打印、账户信息查询、历史业务查询</w:t>
            </w:r>
            <w:r>
              <w:rPr>
                <w:rFonts w:hint="eastAsia" w:ascii="宋体" w:hAnsi="宋体"/>
                <w:color w:val="auto"/>
                <w:sz w:val="24"/>
                <w:highlight w:val="none"/>
              </w:rPr>
              <w:t>，得</w:t>
            </w:r>
            <w:r>
              <w:rPr>
                <w:rFonts w:ascii="宋体" w:hAnsi="宋体"/>
                <w:color w:val="auto"/>
                <w:sz w:val="24"/>
                <w:highlight w:val="none"/>
              </w:rPr>
              <w:t>3</w:t>
            </w:r>
            <w:r>
              <w:rPr>
                <w:rFonts w:hint="eastAsia" w:ascii="宋体" w:hAnsi="宋体"/>
                <w:color w:val="auto"/>
                <w:sz w:val="24"/>
                <w:highlight w:val="none"/>
              </w:rPr>
              <w:t>分，未提供</w:t>
            </w:r>
            <w:r>
              <w:rPr>
                <w:rFonts w:ascii="宋体" w:hAnsi="宋体"/>
                <w:color w:val="auto"/>
                <w:sz w:val="24"/>
                <w:highlight w:val="none"/>
              </w:rPr>
              <w:t>不得分</w:t>
            </w:r>
            <w:r>
              <w:rPr>
                <w:rFonts w:hint="eastAsia" w:ascii="宋体" w:hAnsi="宋体"/>
                <w:color w:val="auto"/>
                <w:sz w:val="24"/>
                <w:highlight w:val="none"/>
              </w:rPr>
              <w:t>。</w:t>
            </w:r>
          </w:p>
          <w:p w14:paraId="35345E3C">
            <w:pPr>
              <w:pStyle w:val="62"/>
              <w:widowControl/>
              <w:numPr>
                <w:ilvl w:val="0"/>
                <w:numId w:val="10"/>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提供对中心现有综合服务平台中网上营业厅个人版的理解分析，</w:t>
            </w:r>
            <w:r>
              <w:rPr>
                <w:rFonts w:ascii="宋体" w:hAnsi="宋体"/>
                <w:color w:val="auto"/>
                <w:sz w:val="24"/>
                <w:highlight w:val="none"/>
              </w:rPr>
              <w:t>功能分析包括</w:t>
            </w:r>
            <w:r>
              <w:rPr>
                <w:rFonts w:hint="eastAsia" w:ascii="宋体" w:hAnsi="宋体"/>
                <w:color w:val="auto"/>
                <w:sz w:val="24"/>
                <w:highlight w:val="none"/>
              </w:rPr>
              <w:t>：</w:t>
            </w:r>
            <w:r>
              <w:rPr>
                <w:rFonts w:ascii="宋体" w:hAnsi="宋体"/>
                <w:color w:val="auto"/>
                <w:sz w:val="24"/>
                <w:highlight w:val="none"/>
              </w:rPr>
              <w:t>个人信息查询</w:t>
            </w:r>
            <w:r>
              <w:rPr>
                <w:rFonts w:hint="eastAsia" w:ascii="宋体" w:hAnsi="宋体"/>
                <w:color w:val="auto"/>
                <w:sz w:val="24"/>
                <w:highlight w:val="none"/>
              </w:rPr>
              <w:t>、</w:t>
            </w:r>
            <w:r>
              <w:rPr>
                <w:rFonts w:ascii="宋体" w:hAnsi="宋体"/>
                <w:color w:val="auto"/>
                <w:sz w:val="24"/>
                <w:highlight w:val="none"/>
              </w:rPr>
              <w:t>贷款信息查询、贷款进度查询、账户信息变更、</w:t>
            </w:r>
            <w:r>
              <w:rPr>
                <w:rFonts w:hint="eastAsia" w:ascii="宋体" w:hAnsi="宋体"/>
                <w:color w:val="auto"/>
                <w:sz w:val="24"/>
                <w:highlight w:val="none"/>
              </w:rPr>
              <w:t>偿还</w:t>
            </w:r>
            <w:r>
              <w:rPr>
                <w:rFonts w:ascii="宋体" w:hAnsi="宋体"/>
                <w:color w:val="auto"/>
                <w:sz w:val="24"/>
                <w:highlight w:val="none"/>
              </w:rPr>
              <w:t>公积金贷款提取</w:t>
            </w:r>
            <w:r>
              <w:rPr>
                <w:rFonts w:hint="eastAsia" w:ascii="宋体" w:hAnsi="宋体"/>
                <w:color w:val="auto"/>
                <w:sz w:val="24"/>
                <w:highlight w:val="none"/>
              </w:rPr>
              <w:t>、</w:t>
            </w:r>
            <w:r>
              <w:rPr>
                <w:rFonts w:ascii="宋体" w:hAnsi="宋体"/>
                <w:color w:val="auto"/>
                <w:sz w:val="24"/>
                <w:highlight w:val="none"/>
              </w:rPr>
              <w:t>购买自住房住房提取</w:t>
            </w:r>
            <w:r>
              <w:rPr>
                <w:rFonts w:hint="eastAsia" w:ascii="宋体" w:hAnsi="宋体"/>
                <w:color w:val="auto"/>
                <w:sz w:val="24"/>
                <w:highlight w:val="none"/>
              </w:rPr>
              <w:t>、</w:t>
            </w:r>
            <w:r>
              <w:rPr>
                <w:rFonts w:ascii="宋体" w:hAnsi="宋体"/>
                <w:color w:val="auto"/>
                <w:sz w:val="24"/>
                <w:highlight w:val="none"/>
              </w:rPr>
              <w:t>租房提取、</w:t>
            </w:r>
            <w:r>
              <w:rPr>
                <w:rFonts w:hint="eastAsia" w:ascii="宋体" w:hAnsi="宋体"/>
                <w:color w:val="auto"/>
                <w:sz w:val="24"/>
                <w:highlight w:val="none"/>
              </w:rPr>
              <w:t>离退休提取、提前还款申请</w:t>
            </w:r>
            <w:r>
              <w:rPr>
                <w:rFonts w:ascii="宋体" w:hAnsi="宋体"/>
                <w:color w:val="auto"/>
                <w:sz w:val="24"/>
                <w:highlight w:val="none"/>
              </w:rPr>
              <w:t>、还款账户变更、贷款计算器、</w:t>
            </w:r>
            <w:r>
              <w:rPr>
                <w:rFonts w:hint="eastAsia" w:ascii="宋体" w:hAnsi="宋体"/>
                <w:color w:val="auto"/>
                <w:sz w:val="24"/>
                <w:highlight w:val="none"/>
              </w:rPr>
              <w:t>还款计算器，得3分，未提供</w:t>
            </w:r>
            <w:r>
              <w:rPr>
                <w:rFonts w:ascii="宋体" w:hAnsi="宋体"/>
                <w:color w:val="auto"/>
                <w:sz w:val="24"/>
                <w:highlight w:val="none"/>
              </w:rPr>
              <w:t>不得分</w:t>
            </w:r>
            <w:r>
              <w:rPr>
                <w:rFonts w:hint="eastAsia" w:ascii="宋体" w:hAnsi="宋体"/>
                <w:color w:val="auto"/>
                <w:sz w:val="24"/>
                <w:highlight w:val="none"/>
              </w:rPr>
              <w:t>。</w:t>
            </w:r>
          </w:p>
          <w:p w14:paraId="4DEFC334">
            <w:pPr>
              <w:widowControl/>
              <w:snapToGrid w:val="0"/>
              <w:spacing w:line="276" w:lineRule="auto"/>
              <w:rPr>
                <w:rFonts w:ascii="宋体" w:hAnsi="宋体"/>
                <w:color w:val="auto"/>
                <w:sz w:val="24"/>
                <w:highlight w:val="none"/>
              </w:rPr>
            </w:pPr>
            <w:r>
              <w:rPr>
                <w:rFonts w:ascii="宋体" w:hAnsi="宋体"/>
                <w:color w:val="auto"/>
                <w:sz w:val="24"/>
                <w:highlight w:val="none"/>
              </w:rPr>
              <w:t>8</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根据投标人对中心现有综合服务平台中移动应用APP渠道的理解程度，综合评议投标人对该渠道的软件开发和维护能力。</w:t>
            </w:r>
          </w:p>
          <w:p w14:paraId="437B20DE">
            <w:pPr>
              <w:pStyle w:val="62"/>
              <w:widowControl/>
              <w:numPr>
                <w:ilvl w:val="0"/>
                <w:numId w:val="11"/>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提供对中心现有综合服务平台中移动应用APP</w:t>
            </w:r>
            <w:r>
              <w:rPr>
                <w:rFonts w:ascii="宋体" w:hAnsi="宋体"/>
                <w:color w:val="auto"/>
                <w:sz w:val="24"/>
                <w:highlight w:val="none"/>
              </w:rPr>
              <w:t>中业务查询功能模块的理解分析</w:t>
            </w:r>
            <w:r>
              <w:rPr>
                <w:rFonts w:hint="eastAsia" w:ascii="宋体" w:hAnsi="宋体"/>
                <w:color w:val="auto"/>
                <w:sz w:val="24"/>
                <w:highlight w:val="none"/>
              </w:rPr>
              <w:t>，包括</w:t>
            </w:r>
            <w:r>
              <w:rPr>
                <w:rFonts w:ascii="宋体" w:hAnsi="宋体"/>
                <w:color w:val="auto"/>
                <w:sz w:val="24"/>
                <w:highlight w:val="none"/>
              </w:rPr>
              <w:t>个人信息查询、贷款信息查询、贷款进度查询</w:t>
            </w:r>
            <w:r>
              <w:rPr>
                <w:rFonts w:hint="eastAsia" w:ascii="宋体" w:hAnsi="宋体"/>
                <w:color w:val="auto"/>
                <w:sz w:val="24"/>
                <w:highlight w:val="none"/>
              </w:rPr>
              <w:t>、</w:t>
            </w:r>
            <w:r>
              <w:rPr>
                <w:rFonts w:ascii="宋体" w:hAnsi="宋体"/>
                <w:color w:val="auto"/>
                <w:sz w:val="24"/>
                <w:highlight w:val="none"/>
              </w:rPr>
              <w:t>个人信息以及贷款记录查询，</w:t>
            </w:r>
            <w:r>
              <w:rPr>
                <w:rFonts w:hint="eastAsia" w:ascii="宋体" w:hAnsi="宋体"/>
                <w:color w:val="auto"/>
                <w:sz w:val="24"/>
                <w:highlight w:val="none"/>
              </w:rPr>
              <w:t>得2分，未提供</w:t>
            </w:r>
            <w:r>
              <w:rPr>
                <w:rFonts w:ascii="宋体" w:hAnsi="宋体"/>
                <w:color w:val="auto"/>
                <w:sz w:val="24"/>
                <w:highlight w:val="none"/>
              </w:rPr>
              <w:t>不得分</w:t>
            </w:r>
            <w:r>
              <w:rPr>
                <w:rFonts w:hint="eastAsia" w:ascii="宋体" w:hAnsi="宋体"/>
                <w:color w:val="auto"/>
                <w:sz w:val="24"/>
                <w:highlight w:val="none"/>
              </w:rPr>
              <w:t>；</w:t>
            </w:r>
          </w:p>
          <w:p w14:paraId="239024EE">
            <w:pPr>
              <w:pStyle w:val="62"/>
              <w:widowControl/>
              <w:numPr>
                <w:ilvl w:val="0"/>
                <w:numId w:val="11"/>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提供对中心现有综合服务平台中移动应用APP</w:t>
            </w:r>
            <w:r>
              <w:rPr>
                <w:rFonts w:ascii="宋体" w:hAnsi="宋体"/>
                <w:color w:val="auto"/>
                <w:sz w:val="24"/>
                <w:highlight w:val="none"/>
              </w:rPr>
              <w:t>中网上办事功能模块的理解分析</w:t>
            </w:r>
            <w:r>
              <w:rPr>
                <w:rFonts w:hint="eastAsia" w:ascii="宋体" w:hAnsi="宋体"/>
                <w:color w:val="auto"/>
                <w:sz w:val="24"/>
                <w:highlight w:val="none"/>
              </w:rPr>
              <w:t>，包括</w:t>
            </w:r>
            <w:r>
              <w:rPr>
                <w:rFonts w:ascii="宋体" w:hAnsi="宋体"/>
                <w:color w:val="auto"/>
                <w:sz w:val="24"/>
                <w:highlight w:val="none"/>
              </w:rPr>
              <w:t>公积金提取</w:t>
            </w:r>
            <w:r>
              <w:rPr>
                <w:rFonts w:hint="eastAsia" w:ascii="宋体" w:hAnsi="宋体"/>
                <w:color w:val="auto"/>
                <w:sz w:val="24"/>
                <w:highlight w:val="none"/>
              </w:rPr>
              <w:t>业务以及贷款业务</w:t>
            </w:r>
            <w:r>
              <w:rPr>
                <w:rFonts w:ascii="宋体" w:hAnsi="宋体"/>
                <w:color w:val="auto"/>
                <w:sz w:val="24"/>
                <w:highlight w:val="none"/>
              </w:rPr>
              <w:t>，</w:t>
            </w:r>
            <w:r>
              <w:rPr>
                <w:rFonts w:hint="eastAsia" w:ascii="宋体" w:hAnsi="宋体"/>
                <w:color w:val="auto"/>
                <w:sz w:val="24"/>
                <w:highlight w:val="none"/>
              </w:rPr>
              <w:t>得2分，未提供</w:t>
            </w:r>
            <w:r>
              <w:rPr>
                <w:rFonts w:ascii="宋体" w:hAnsi="宋体"/>
                <w:color w:val="auto"/>
                <w:sz w:val="24"/>
                <w:highlight w:val="none"/>
              </w:rPr>
              <w:t>不得分</w:t>
            </w:r>
            <w:r>
              <w:rPr>
                <w:rFonts w:hint="eastAsia" w:ascii="宋体" w:hAnsi="宋体"/>
                <w:color w:val="auto"/>
                <w:sz w:val="24"/>
                <w:highlight w:val="none"/>
              </w:rPr>
              <w:t>；</w:t>
            </w:r>
          </w:p>
          <w:p w14:paraId="0505AFF1">
            <w:pPr>
              <w:pStyle w:val="62"/>
              <w:widowControl/>
              <w:numPr>
                <w:ilvl w:val="0"/>
                <w:numId w:val="11"/>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提供对中心现有综合服务平台中移动应用APP</w:t>
            </w:r>
            <w:r>
              <w:rPr>
                <w:rFonts w:ascii="宋体" w:hAnsi="宋体"/>
                <w:color w:val="auto"/>
                <w:sz w:val="24"/>
                <w:highlight w:val="none"/>
              </w:rPr>
              <w:t>中</w:t>
            </w:r>
            <w:r>
              <w:rPr>
                <w:rFonts w:hint="eastAsia" w:ascii="宋体" w:hAnsi="宋体"/>
                <w:color w:val="auto"/>
                <w:sz w:val="24"/>
                <w:highlight w:val="none"/>
              </w:rPr>
              <w:t>便民</w:t>
            </w:r>
            <w:r>
              <w:rPr>
                <w:rFonts w:ascii="宋体" w:hAnsi="宋体"/>
                <w:color w:val="auto"/>
                <w:sz w:val="24"/>
                <w:highlight w:val="none"/>
              </w:rPr>
              <w:t>服务功能模块的理解分析</w:t>
            </w:r>
            <w:r>
              <w:rPr>
                <w:rFonts w:hint="eastAsia" w:ascii="宋体" w:hAnsi="宋体"/>
                <w:color w:val="auto"/>
                <w:sz w:val="24"/>
                <w:highlight w:val="none"/>
              </w:rPr>
              <w:t>，包括</w:t>
            </w:r>
            <w:r>
              <w:rPr>
                <w:rFonts w:ascii="宋体" w:hAnsi="宋体"/>
                <w:color w:val="auto"/>
                <w:sz w:val="24"/>
                <w:highlight w:val="none"/>
              </w:rPr>
              <w:t>合作银行</w:t>
            </w:r>
            <w:r>
              <w:rPr>
                <w:rFonts w:hint="eastAsia" w:ascii="宋体" w:hAnsi="宋体"/>
                <w:color w:val="auto"/>
                <w:sz w:val="24"/>
                <w:highlight w:val="none"/>
              </w:rPr>
              <w:t>以及</w:t>
            </w:r>
            <w:r>
              <w:rPr>
                <w:rFonts w:ascii="宋体" w:hAnsi="宋体"/>
                <w:color w:val="auto"/>
                <w:sz w:val="24"/>
                <w:highlight w:val="none"/>
              </w:rPr>
              <w:t>可贷楼盘，</w:t>
            </w:r>
            <w:r>
              <w:rPr>
                <w:rFonts w:hint="eastAsia" w:ascii="宋体" w:hAnsi="宋体"/>
                <w:color w:val="auto"/>
                <w:sz w:val="24"/>
                <w:highlight w:val="none"/>
              </w:rPr>
              <w:t>得</w:t>
            </w:r>
            <w:r>
              <w:rPr>
                <w:rFonts w:ascii="宋体" w:hAnsi="宋体"/>
                <w:color w:val="auto"/>
                <w:sz w:val="24"/>
                <w:highlight w:val="none"/>
              </w:rPr>
              <w:t>1</w:t>
            </w:r>
            <w:r>
              <w:rPr>
                <w:rFonts w:hint="eastAsia" w:ascii="宋体" w:hAnsi="宋体"/>
                <w:color w:val="auto"/>
                <w:sz w:val="24"/>
                <w:highlight w:val="none"/>
              </w:rPr>
              <w:t>分，未提供</w:t>
            </w:r>
            <w:r>
              <w:rPr>
                <w:rFonts w:ascii="宋体" w:hAnsi="宋体"/>
                <w:color w:val="auto"/>
                <w:sz w:val="24"/>
                <w:highlight w:val="none"/>
              </w:rPr>
              <w:t>不得分</w:t>
            </w:r>
            <w:r>
              <w:rPr>
                <w:rFonts w:hint="eastAsia" w:ascii="宋体" w:hAnsi="宋体"/>
                <w:color w:val="auto"/>
                <w:sz w:val="24"/>
                <w:highlight w:val="none"/>
              </w:rPr>
              <w:t>。</w:t>
            </w:r>
          </w:p>
          <w:p w14:paraId="635F7071">
            <w:pPr>
              <w:widowControl/>
              <w:snapToGrid w:val="0"/>
              <w:spacing w:line="276" w:lineRule="auto"/>
              <w:rPr>
                <w:rFonts w:ascii="宋体" w:hAnsi="宋体"/>
                <w:color w:val="auto"/>
                <w:sz w:val="24"/>
                <w:highlight w:val="none"/>
              </w:rPr>
            </w:pPr>
            <w:r>
              <w:rPr>
                <w:rFonts w:ascii="宋体" w:hAnsi="宋体"/>
                <w:color w:val="auto"/>
                <w:sz w:val="24"/>
                <w:highlight w:val="none"/>
              </w:rPr>
              <w:t>9</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根据投标人对中心现有外联服务接口的理解程度，综合评议投标人对该接口的软件开发和维护能力。</w:t>
            </w:r>
          </w:p>
          <w:p w14:paraId="3D1F4169">
            <w:pPr>
              <w:pStyle w:val="62"/>
              <w:widowControl/>
              <w:numPr>
                <w:ilvl w:val="0"/>
                <w:numId w:val="12"/>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提供对中心现有外联服务接口对接方式的理解分析的得1分，未提供</w:t>
            </w:r>
            <w:r>
              <w:rPr>
                <w:rFonts w:ascii="宋体" w:hAnsi="宋体"/>
                <w:color w:val="auto"/>
                <w:sz w:val="24"/>
                <w:highlight w:val="none"/>
              </w:rPr>
              <w:t>不得分</w:t>
            </w:r>
            <w:r>
              <w:rPr>
                <w:rFonts w:hint="eastAsia" w:ascii="宋体" w:hAnsi="宋体"/>
                <w:color w:val="auto"/>
                <w:sz w:val="24"/>
                <w:highlight w:val="none"/>
              </w:rPr>
              <w:t>；</w:t>
            </w:r>
          </w:p>
          <w:p w14:paraId="7B5CEAAD">
            <w:pPr>
              <w:pStyle w:val="62"/>
              <w:widowControl/>
              <w:numPr>
                <w:ilvl w:val="0"/>
                <w:numId w:val="12"/>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提供对中心现有外联服务接口中</w:t>
            </w:r>
            <w:bookmarkStart w:id="35" w:name="_Toc528253806"/>
            <w:bookmarkStart w:id="36" w:name="_Toc528315715"/>
            <w:r>
              <w:rPr>
                <w:rFonts w:hint="eastAsia" w:ascii="宋体" w:hAnsi="宋体"/>
                <w:color w:val="auto"/>
                <w:sz w:val="24"/>
                <w:highlight w:val="none"/>
              </w:rPr>
              <w:t>业务处理组件接口</w:t>
            </w:r>
            <w:bookmarkEnd w:id="35"/>
            <w:bookmarkEnd w:id="36"/>
            <w:r>
              <w:rPr>
                <w:rFonts w:hint="eastAsia" w:ascii="宋体" w:hAnsi="宋体"/>
                <w:color w:val="auto"/>
                <w:sz w:val="24"/>
                <w:highlight w:val="none"/>
              </w:rPr>
              <w:t>的理解分析的得1分，未提供</w:t>
            </w:r>
            <w:r>
              <w:rPr>
                <w:rFonts w:ascii="宋体" w:hAnsi="宋体"/>
                <w:color w:val="auto"/>
                <w:sz w:val="24"/>
                <w:highlight w:val="none"/>
              </w:rPr>
              <w:t>不得分</w:t>
            </w:r>
            <w:r>
              <w:rPr>
                <w:rFonts w:hint="eastAsia" w:ascii="宋体" w:hAnsi="宋体"/>
                <w:color w:val="auto"/>
                <w:sz w:val="24"/>
                <w:highlight w:val="none"/>
              </w:rPr>
              <w:t>；</w:t>
            </w:r>
          </w:p>
          <w:p w14:paraId="24E2AB1D">
            <w:pPr>
              <w:pStyle w:val="62"/>
              <w:widowControl/>
              <w:numPr>
                <w:ilvl w:val="0"/>
                <w:numId w:val="12"/>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提供对中心现有外联服务接口中</w:t>
            </w:r>
            <w:bookmarkStart w:id="37" w:name="_Toc528253807"/>
            <w:bookmarkStart w:id="38" w:name="_Toc528315716"/>
            <w:r>
              <w:rPr>
                <w:rFonts w:hint="eastAsia" w:ascii="宋体" w:hAnsi="宋体"/>
                <w:color w:val="auto"/>
                <w:sz w:val="24"/>
                <w:highlight w:val="none"/>
              </w:rPr>
              <w:t>网上业务经办类接口</w:t>
            </w:r>
            <w:bookmarkEnd w:id="37"/>
            <w:bookmarkEnd w:id="38"/>
            <w:r>
              <w:rPr>
                <w:rFonts w:hint="eastAsia" w:ascii="宋体" w:hAnsi="宋体"/>
                <w:color w:val="auto"/>
                <w:sz w:val="24"/>
                <w:highlight w:val="none"/>
              </w:rPr>
              <w:t>的理解分析的得1分，未提供</w:t>
            </w:r>
            <w:r>
              <w:rPr>
                <w:rFonts w:ascii="宋体" w:hAnsi="宋体"/>
                <w:color w:val="auto"/>
                <w:sz w:val="24"/>
                <w:highlight w:val="none"/>
              </w:rPr>
              <w:t>不得分</w:t>
            </w:r>
            <w:r>
              <w:rPr>
                <w:rFonts w:hint="eastAsia" w:ascii="宋体" w:hAnsi="宋体"/>
                <w:color w:val="auto"/>
                <w:sz w:val="24"/>
                <w:highlight w:val="none"/>
              </w:rPr>
              <w:t>；</w:t>
            </w:r>
          </w:p>
          <w:p w14:paraId="22086F6F">
            <w:pPr>
              <w:pStyle w:val="62"/>
              <w:widowControl/>
              <w:numPr>
                <w:ilvl w:val="0"/>
                <w:numId w:val="12"/>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提供对中心现有外联服务接口中</w:t>
            </w:r>
            <w:bookmarkStart w:id="39" w:name="_Toc528315717"/>
            <w:bookmarkStart w:id="40" w:name="_Toc528253808"/>
            <w:r>
              <w:rPr>
                <w:rFonts w:hint="eastAsia" w:ascii="宋体" w:hAnsi="宋体"/>
                <w:color w:val="auto"/>
                <w:sz w:val="24"/>
                <w:highlight w:val="none"/>
              </w:rPr>
              <w:t>网上业务预约功能接口</w:t>
            </w:r>
            <w:bookmarkEnd w:id="39"/>
            <w:bookmarkEnd w:id="40"/>
            <w:r>
              <w:rPr>
                <w:rFonts w:hint="eastAsia" w:ascii="宋体" w:hAnsi="宋体"/>
                <w:color w:val="auto"/>
                <w:sz w:val="24"/>
                <w:highlight w:val="none"/>
              </w:rPr>
              <w:t>的理解分析的得1分，未提供</w:t>
            </w:r>
            <w:r>
              <w:rPr>
                <w:rFonts w:ascii="宋体" w:hAnsi="宋体"/>
                <w:color w:val="auto"/>
                <w:sz w:val="24"/>
                <w:highlight w:val="none"/>
              </w:rPr>
              <w:t>不得分</w:t>
            </w:r>
            <w:r>
              <w:rPr>
                <w:rFonts w:hint="eastAsia" w:ascii="宋体" w:hAnsi="宋体"/>
                <w:color w:val="auto"/>
                <w:sz w:val="24"/>
                <w:highlight w:val="none"/>
              </w:rPr>
              <w:t>；</w:t>
            </w:r>
          </w:p>
          <w:p w14:paraId="019E99AB">
            <w:pPr>
              <w:pStyle w:val="62"/>
              <w:widowControl/>
              <w:numPr>
                <w:ilvl w:val="0"/>
                <w:numId w:val="12"/>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提供对中心现有外联服务接口中</w:t>
            </w:r>
            <w:bookmarkStart w:id="41" w:name="_Toc528253809"/>
            <w:bookmarkStart w:id="42" w:name="_Toc528315718"/>
            <w:r>
              <w:rPr>
                <w:rFonts w:hint="eastAsia" w:ascii="宋体" w:hAnsi="宋体"/>
                <w:color w:val="auto"/>
                <w:sz w:val="24"/>
                <w:highlight w:val="none"/>
              </w:rPr>
              <w:t>网上信息查询功能接口</w:t>
            </w:r>
            <w:bookmarkEnd w:id="41"/>
            <w:bookmarkEnd w:id="42"/>
            <w:r>
              <w:rPr>
                <w:rFonts w:hint="eastAsia" w:ascii="宋体" w:hAnsi="宋体"/>
                <w:color w:val="auto"/>
                <w:sz w:val="24"/>
                <w:highlight w:val="none"/>
              </w:rPr>
              <w:t>的理解分析的得1分，未提供</w:t>
            </w:r>
            <w:r>
              <w:rPr>
                <w:rFonts w:ascii="宋体" w:hAnsi="宋体"/>
                <w:color w:val="auto"/>
                <w:sz w:val="24"/>
                <w:highlight w:val="none"/>
              </w:rPr>
              <w:t>不得分</w:t>
            </w:r>
            <w:r>
              <w:rPr>
                <w:rFonts w:hint="eastAsia" w:ascii="宋体" w:hAnsi="宋体"/>
                <w:color w:val="auto"/>
                <w:sz w:val="24"/>
                <w:highlight w:val="none"/>
              </w:rPr>
              <w:t>。</w:t>
            </w:r>
          </w:p>
          <w:p w14:paraId="7F3C4C83">
            <w:pPr>
              <w:widowControl/>
              <w:snapToGrid w:val="0"/>
              <w:spacing w:line="276" w:lineRule="auto"/>
              <w:rPr>
                <w:rFonts w:ascii="宋体" w:hAnsi="宋体" w:cs="宋体"/>
                <w:color w:val="auto"/>
                <w:sz w:val="24"/>
                <w:highlight w:val="none"/>
              </w:rPr>
            </w:pPr>
            <w:r>
              <w:rPr>
                <w:rFonts w:hint="eastAsia" w:ascii="宋体" w:hAnsi="宋体"/>
                <w:color w:val="auto"/>
                <w:sz w:val="24"/>
                <w:highlight w:val="none"/>
              </w:rPr>
              <w:t>1</w:t>
            </w:r>
            <w:r>
              <w:rPr>
                <w:rFonts w:ascii="宋体" w:hAnsi="宋体"/>
                <w:color w:val="auto"/>
                <w:sz w:val="24"/>
                <w:highlight w:val="none"/>
              </w:rPr>
              <w:t>0</w:t>
            </w:r>
            <w:r>
              <w:rPr>
                <w:rFonts w:hint="eastAsia" w:ascii="宋体" w:hAnsi="宋体"/>
                <w:color w:val="auto"/>
                <w:sz w:val="24"/>
                <w:highlight w:val="none"/>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auto"/>
                <w:sz w:val="24"/>
                <w:highlight w:val="none"/>
              </w:rPr>
              <w:t>提供故障应急方案，服务响应级别高、管理规范合理有特色，符合本项目实际情况，针对性强。</w:t>
            </w:r>
          </w:p>
          <w:p w14:paraId="4EF938FC">
            <w:pPr>
              <w:pStyle w:val="62"/>
              <w:widowControl/>
              <w:numPr>
                <w:ilvl w:val="0"/>
                <w:numId w:val="13"/>
              </w:numPr>
              <w:spacing w:line="276" w:lineRule="auto"/>
              <w:ind w:left="714" w:hanging="357" w:firstLineChars="0"/>
              <w:jc w:val="left"/>
              <w:rPr>
                <w:rFonts w:ascii="宋体" w:hAnsi="宋体"/>
                <w:color w:val="auto"/>
                <w:sz w:val="24"/>
                <w:highlight w:val="none"/>
              </w:rPr>
            </w:pPr>
            <w:bookmarkStart w:id="43" w:name="_Toc80043855"/>
            <w:bookmarkStart w:id="44" w:name="_Toc41339572"/>
            <w:r>
              <w:rPr>
                <w:rFonts w:hint="eastAsia" w:ascii="宋体" w:hAnsi="宋体"/>
                <w:color w:val="auto"/>
                <w:sz w:val="24"/>
                <w:highlight w:val="none"/>
              </w:rPr>
              <w:t>提供故障响应策略</w:t>
            </w:r>
            <w:bookmarkEnd w:id="43"/>
            <w:bookmarkEnd w:id="44"/>
            <w:r>
              <w:rPr>
                <w:rFonts w:hint="eastAsia" w:ascii="宋体" w:hAnsi="宋体"/>
                <w:color w:val="auto"/>
                <w:sz w:val="24"/>
                <w:highlight w:val="none"/>
              </w:rPr>
              <w:t>的得</w:t>
            </w:r>
            <w:r>
              <w:rPr>
                <w:rFonts w:ascii="宋体" w:hAnsi="宋体"/>
                <w:color w:val="auto"/>
                <w:sz w:val="24"/>
                <w:highlight w:val="none"/>
              </w:rPr>
              <w:t>1</w:t>
            </w:r>
            <w:r>
              <w:rPr>
                <w:rFonts w:hint="eastAsia" w:ascii="宋体" w:hAnsi="宋体"/>
                <w:color w:val="auto"/>
                <w:sz w:val="24"/>
                <w:highlight w:val="none"/>
              </w:rPr>
              <w:t>分，</w:t>
            </w:r>
            <w:r>
              <w:rPr>
                <w:rFonts w:hint="eastAsia" w:ascii="宋体" w:hAnsi="宋体" w:cs="宋体"/>
                <w:color w:val="auto"/>
                <w:sz w:val="24"/>
                <w:highlight w:val="none"/>
              </w:rPr>
              <w:t>未提供不得分</w:t>
            </w:r>
            <w:r>
              <w:rPr>
                <w:rFonts w:hint="eastAsia" w:ascii="宋体" w:hAnsi="宋体"/>
                <w:color w:val="auto"/>
                <w:sz w:val="24"/>
                <w:highlight w:val="none"/>
              </w:rPr>
              <w:t>；</w:t>
            </w:r>
          </w:p>
          <w:p w14:paraId="27D7300B">
            <w:pPr>
              <w:pStyle w:val="62"/>
              <w:widowControl/>
              <w:numPr>
                <w:ilvl w:val="0"/>
                <w:numId w:val="13"/>
              </w:numPr>
              <w:spacing w:line="276" w:lineRule="auto"/>
              <w:ind w:left="714" w:hanging="357" w:firstLineChars="0"/>
              <w:jc w:val="left"/>
              <w:rPr>
                <w:rFonts w:ascii="宋体" w:hAnsi="宋体"/>
                <w:color w:val="auto"/>
                <w:sz w:val="24"/>
                <w:highlight w:val="none"/>
              </w:rPr>
            </w:pPr>
            <w:r>
              <w:rPr>
                <w:rFonts w:hint="eastAsia" w:ascii="宋体" w:hAnsi="宋体"/>
                <w:color w:val="auto"/>
                <w:sz w:val="24"/>
                <w:highlight w:val="none"/>
              </w:rPr>
              <w:t>提供应急服务内容的得2分，</w:t>
            </w:r>
            <w:r>
              <w:rPr>
                <w:rFonts w:hint="eastAsia" w:ascii="宋体" w:hAnsi="宋体" w:cs="宋体"/>
                <w:color w:val="auto"/>
                <w:sz w:val="24"/>
                <w:highlight w:val="none"/>
              </w:rPr>
              <w:t>未提供不得分；</w:t>
            </w:r>
          </w:p>
          <w:p w14:paraId="503F8AFD">
            <w:pPr>
              <w:widowControl/>
              <w:snapToGrid w:val="0"/>
              <w:spacing w:line="276" w:lineRule="auto"/>
              <w:jc w:val="left"/>
              <w:rPr>
                <w:rFonts w:ascii="宋体" w:hAnsi="宋体" w:cs="宋体"/>
                <w:sz w:val="24"/>
              </w:rPr>
            </w:pPr>
            <w:r>
              <w:rPr>
                <w:rFonts w:hint="eastAsia" w:ascii="宋体" w:hAnsi="宋体"/>
                <w:color w:val="auto"/>
                <w:sz w:val="24"/>
                <w:highlight w:val="none"/>
              </w:rPr>
              <w:t>提供应急响应措施的得2分，</w:t>
            </w:r>
            <w:r>
              <w:rPr>
                <w:rFonts w:hint="eastAsia" w:ascii="宋体" w:hAnsi="宋体" w:cs="宋体"/>
                <w:color w:val="auto"/>
                <w:sz w:val="24"/>
                <w:highlight w:val="none"/>
              </w:rPr>
              <w:t>未提供不得分。</w:t>
            </w:r>
          </w:p>
        </w:tc>
      </w:tr>
      <w:tr w14:paraId="1A5C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6" w:hRule="atLeast"/>
        </w:trPr>
        <w:tc>
          <w:tcPr>
            <w:tcW w:w="2113" w:type="dxa"/>
            <w:vMerge w:val="continue"/>
            <w:vAlign w:val="center"/>
          </w:tcPr>
          <w:p w14:paraId="5760A9FD">
            <w:pPr>
              <w:jc w:val="center"/>
              <w:rPr>
                <w:rFonts w:ascii="宋体" w:hAnsi="宋体" w:cs="宋体"/>
                <w:sz w:val="24"/>
              </w:rPr>
            </w:pPr>
          </w:p>
        </w:tc>
        <w:tc>
          <w:tcPr>
            <w:tcW w:w="744" w:type="dxa"/>
            <w:vAlign w:val="center"/>
          </w:tcPr>
          <w:p w14:paraId="47814AE9">
            <w:pPr>
              <w:widowControl/>
              <w:jc w:val="center"/>
              <w:rPr>
                <w:rFonts w:hint="default" w:ascii="宋体" w:hAnsi="宋体" w:cs="宋体"/>
                <w:color w:val="000000"/>
                <w:sz w:val="24"/>
                <w:lang w:val="en-US" w:eastAsia="zh-CN"/>
              </w:rPr>
            </w:pPr>
            <w:r>
              <w:rPr>
                <w:rFonts w:hint="eastAsia" w:ascii="宋体" w:hAnsi="宋体" w:cs="宋体"/>
                <w:color w:val="000000"/>
                <w:sz w:val="24"/>
                <w:lang w:val="en-US" w:eastAsia="zh-CN"/>
              </w:rPr>
              <w:t>20分</w:t>
            </w:r>
          </w:p>
        </w:tc>
        <w:tc>
          <w:tcPr>
            <w:tcW w:w="7165" w:type="dxa"/>
            <w:gridSpan w:val="2"/>
            <w:vAlign w:val="center"/>
          </w:tcPr>
          <w:p w14:paraId="29913B72">
            <w:pPr>
              <w:pStyle w:val="85"/>
              <w:spacing w:before="36" w:line="218" w:lineRule="auto"/>
            </w:pPr>
            <w:r>
              <w:rPr>
                <w:rFonts w:hint="eastAsia"/>
                <w:spacing w:val="-5"/>
                <w:lang w:val="en-US" w:eastAsia="zh-CN"/>
              </w:rPr>
              <w:t>1、</w:t>
            </w:r>
            <w:r>
              <w:rPr>
                <w:rFonts w:hint="eastAsia"/>
                <w:spacing w:val="-5"/>
                <w:lang w:eastAsia="zh-CN"/>
              </w:rPr>
              <w:t>（</w:t>
            </w:r>
            <w:r>
              <w:rPr>
                <w:rFonts w:hint="eastAsia"/>
                <w:spacing w:val="-5"/>
                <w:lang w:val="en-US" w:eastAsia="zh-CN"/>
              </w:rPr>
              <w:t>5分</w:t>
            </w:r>
            <w:r>
              <w:rPr>
                <w:rFonts w:hint="eastAsia"/>
                <w:spacing w:val="-5"/>
                <w:lang w:eastAsia="zh-CN"/>
              </w:rPr>
              <w:t>）</w:t>
            </w:r>
            <w:r>
              <w:rPr>
                <w:spacing w:val="-5"/>
              </w:rPr>
              <w:t>评估项目管理支撑体系的管理规范性：</w:t>
            </w:r>
          </w:p>
          <w:p w14:paraId="69C2FB64">
            <w:pPr>
              <w:pStyle w:val="85"/>
              <w:spacing w:before="98" w:line="248" w:lineRule="auto"/>
              <w:ind w:left="824" w:right="109" w:hanging="338"/>
            </w:pPr>
            <w:r>
              <w:rPr>
                <w:spacing w:val="-6"/>
              </w:rPr>
              <w:t>1） 提供版本管理功能描述和系统功能截图的得</w:t>
            </w:r>
            <w:r>
              <w:rPr>
                <w:spacing w:val="-26"/>
              </w:rPr>
              <w:t xml:space="preserve"> </w:t>
            </w:r>
            <w:r>
              <w:rPr>
                <w:spacing w:val="-6"/>
              </w:rPr>
              <w:t>1</w:t>
            </w:r>
            <w:r>
              <w:rPr>
                <w:spacing w:val="-48"/>
              </w:rPr>
              <w:t xml:space="preserve"> </w:t>
            </w:r>
            <w:r>
              <w:rPr>
                <w:spacing w:val="-6"/>
              </w:rPr>
              <w:t>分，未提供不</w:t>
            </w:r>
            <w:r>
              <w:rPr>
                <w:spacing w:val="-15"/>
              </w:rPr>
              <w:t>得分；</w:t>
            </w:r>
          </w:p>
          <w:p w14:paraId="523A3F7F">
            <w:pPr>
              <w:pStyle w:val="85"/>
              <w:spacing w:before="73" w:line="248" w:lineRule="auto"/>
              <w:ind w:left="824" w:right="109" w:hanging="353"/>
            </w:pPr>
            <w:r>
              <w:rPr>
                <w:spacing w:val="-5"/>
              </w:rPr>
              <w:t>2） 提供需求管理功能描述和系统功能截图的</w:t>
            </w:r>
            <w:r>
              <w:rPr>
                <w:spacing w:val="-6"/>
              </w:rPr>
              <w:t>得</w:t>
            </w:r>
            <w:r>
              <w:rPr>
                <w:spacing w:val="-32"/>
              </w:rPr>
              <w:t xml:space="preserve"> </w:t>
            </w:r>
            <w:r>
              <w:rPr>
                <w:spacing w:val="-6"/>
              </w:rPr>
              <w:t>1</w:t>
            </w:r>
            <w:r>
              <w:rPr>
                <w:spacing w:val="-48"/>
              </w:rPr>
              <w:t xml:space="preserve"> </w:t>
            </w:r>
            <w:r>
              <w:rPr>
                <w:spacing w:val="-6"/>
              </w:rPr>
              <w:t>分，未提供不</w:t>
            </w:r>
            <w:r>
              <w:rPr>
                <w:spacing w:val="-15"/>
              </w:rPr>
              <w:t>得分；</w:t>
            </w:r>
          </w:p>
          <w:p w14:paraId="02127FDE">
            <w:pPr>
              <w:pStyle w:val="85"/>
              <w:spacing w:before="72" w:line="248" w:lineRule="auto"/>
              <w:ind w:left="824" w:right="109" w:hanging="351"/>
            </w:pPr>
            <w:r>
              <w:rPr>
                <w:spacing w:val="-5"/>
              </w:rPr>
              <w:t>3） 提供在线编译功能描述和系统功能截</w:t>
            </w:r>
            <w:r>
              <w:rPr>
                <w:spacing w:val="-6"/>
              </w:rPr>
              <w:t>图的得</w:t>
            </w:r>
            <w:r>
              <w:rPr>
                <w:spacing w:val="-32"/>
              </w:rPr>
              <w:t xml:space="preserve"> </w:t>
            </w:r>
            <w:r>
              <w:rPr>
                <w:spacing w:val="-6"/>
              </w:rPr>
              <w:t>1</w:t>
            </w:r>
            <w:r>
              <w:rPr>
                <w:spacing w:val="-48"/>
              </w:rPr>
              <w:t xml:space="preserve"> </w:t>
            </w:r>
            <w:r>
              <w:rPr>
                <w:spacing w:val="-6"/>
              </w:rPr>
              <w:t>分，未提供不</w:t>
            </w:r>
            <w:r>
              <w:rPr>
                <w:spacing w:val="-15"/>
              </w:rPr>
              <w:t>得分；</w:t>
            </w:r>
          </w:p>
          <w:p w14:paraId="1A2DC880">
            <w:pPr>
              <w:pStyle w:val="85"/>
              <w:spacing w:before="73" w:line="248" w:lineRule="auto"/>
              <w:ind w:left="828" w:right="109" w:hanging="360"/>
            </w:pPr>
            <w:r>
              <w:rPr>
                <w:spacing w:val="-5"/>
              </w:rPr>
              <w:t>4） 提供知识库管理功能描述和系统功能截图的得</w:t>
            </w:r>
            <w:r>
              <w:rPr>
                <w:spacing w:val="-32"/>
              </w:rPr>
              <w:t xml:space="preserve"> </w:t>
            </w:r>
            <w:r>
              <w:rPr>
                <w:spacing w:val="-5"/>
              </w:rPr>
              <w:t>1</w:t>
            </w:r>
            <w:r>
              <w:rPr>
                <w:spacing w:val="-48"/>
              </w:rPr>
              <w:t xml:space="preserve"> </w:t>
            </w:r>
            <w:r>
              <w:rPr>
                <w:spacing w:val="-5"/>
              </w:rPr>
              <w:t>分</w:t>
            </w:r>
            <w:r>
              <w:rPr>
                <w:spacing w:val="-6"/>
              </w:rPr>
              <w:t>，未提供</w:t>
            </w:r>
            <w:r>
              <w:rPr>
                <w:spacing w:val="-14"/>
              </w:rPr>
              <w:t>不得分；</w:t>
            </w:r>
          </w:p>
          <w:p w14:paraId="32B25378">
            <w:pPr>
              <w:pStyle w:val="85"/>
              <w:spacing w:before="73" w:line="248" w:lineRule="auto"/>
              <w:ind w:left="824" w:right="109" w:hanging="351"/>
            </w:pPr>
            <w:r>
              <w:rPr>
                <w:spacing w:val="-5"/>
              </w:rPr>
              <w:t>5） 提供代码评审功能描述和系统功能截</w:t>
            </w:r>
            <w:r>
              <w:rPr>
                <w:spacing w:val="-6"/>
              </w:rPr>
              <w:t>图的得</w:t>
            </w:r>
            <w:r>
              <w:rPr>
                <w:spacing w:val="-32"/>
              </w:rPr>
              <w:t xml:space="preserve"> </w:t>
            </w:r>
            <w:r>
              <w:rPr>
                <w:spacing w:val="-6"/>
              </w:rPr>
              <w:t>1</w:t>
            </w:r>
            <w:r>
              <w:rPr>
                <w:spacing w:val="-48"/>
              </w:rPr>
              <w:t xml:space="preserve"> </w:t>
            </w:r>
            <w:r>
              <w:rPr>
                <w:spacing w:val="-6"/>
              </w:rPr>
              <w:t>分，未提供不</w:t>
            </w:r>
            <w:r>
              <w:rPr>
                <w:spacing w:val="-11"/>
              </w:rPr>
              <w:t>得分。</w:t>
            </w:r>
          </w:p>
          <w:p w14:paraId="5252C55F">
            <w:pPr>
              <w:widowControl/>
              <w:snapToGrid w:val="0"/>
              <w:spacing w:line="276" w:lineRule="auto"/>
              <w:rPr>
                <w:rFonts w:ascii="宋体" w:hAnsi="宋体"/>
                <w:color w:val="000000"/>
                <w:sz w:val="24"/>
              </w:rPr>
            </w:pPr>
            <w:r>
              <w:rPr>
                <w:rFonts w:ascii="宋体" w:hAnsi="宋体"/>
                <w:color w:val="000000"/>
                <w:sz w:val="24"/>
              </w:rPr>
              <w:t>2</w:t>
            </w:r>
            <w:r>
              <w:rPr>
                <w:rFonts w:hint="eastAsia" w:ascii="宋体" w:hAnsi="宋体"/>
                <w:color w:val="000000"/>
                <w:sz w:val="24"/>
              </w:rPr>
              <w:t>、</w:t>
            </w:r>
            <w:r>
              <w:rPr>
                <w:rFonts w:hint="eastAsia"/>
                <w:spacing w:val="-5"/>
                <w:lang w:eastAsia="zh-CN"/>
              </w:rPr>
              <w:t>（</w:t>
            </w:r>
            <w:r>
              <w:rPr>
                <w:rFonts w:hint="eastAsia"/>
                <w:spacing w:val="-5"/>
                <w:lang w:val="en-US" w:eastAsia="zh-CN"/>
              </w:rPr>
              <w:t>2分</w:t>
            </w:r>
            <w:r>
              <w:rPr>
                <w:rFonts w:hint="eastAsia"/>
                <w:spacing w:val="-5"/>
                <w:lang w:eastAsia="zh-CN"/>
              </w:rPr>
              <w:t>）</w:t>
            </w:r>
            <w:r>
              <w:rPr>
                <w:rFonts w:hint="eastAsia" w:ascii="宋体" w:hAnsi="宋体"/>
                <w:color w:val="000000"/>
                <w:sz w:val="24"/>
              </w:rPr>
              <w:t>提供运行维护服务方案得</w:t>
            </w:r>
            <w:r>
              <w:rPr>
                <w:rFonts w:ascii="宋体" w:hAnsi="宋体"/>
                <w:color w:val="000000"/>
                <w:sz w:val="24"/>
              </w:rPr>
              <w:t>2</w:t>
            </w:r>
            <w:r>
              <w:rPr>
                <w:rFonts w:hint="eastAsia" w:ascii="宋体" w:hAnsi="宋体"/>
                <w:color w:val="000000"/>
                <w:sz w:val="24"/>
              </w:rPr>
              <w:t>分，未提供不得分。</w:t>
            </w:r>
          </w:p>
          <w:p w14:paraId="50F0658F">
            <w:pPr>
              <w:widowControl/>
              <w:snapToGrid w:val="0"/>
              <w:spacing w:line="276" w:lineRule="auto"/>
              <w:rPr>
                <w:rFonts w:ascii="宋体" w:hAnsi="宋体"/>
                <w:color w:val="000000"/>
                <w:sz w:val="24"/>
              </w:rPr>
            </w:pPr>
            <w:r>
              <w:rPr>
                <w:rFonts w:ascii="宋体" w:hAnsi="宋体"/>
                <w:color w:val="000000"/>
                <w:sz w:val="24"/>
              </w:rPr>
              <w:t>3</w:t>
            </w:r>
            <w:r>
              <w:rPr>
                <w:rFonts w:hint="eastAsia" w:ascii="宋体" w:hAnsi="宋体"/>
                <w:color w:val="000000"/>
                <w:sz w:val="24"/>
              </w:rPr>
              <w:t>、</w:t>
            </w:r>
            <w:r>
              <w:rPr>
                <w:rFonts w:hint="eastAsia"/>
                <w:spacing w:val="-5"/>
                <w:lang w:eastAsia="zh-CN"/>
              </w:rPr>
              <w:t>（</w:t>
            </w:r>
            <w:r>
              <w:rPr>
                <w:rFonts w:hint="eastAsia"/>
                <w:spacing w:val="-5"/>
                <w:lang w:val="en-US" w:eastAsia="zh-CN"/>
              </w:rPr>
              <w:t>4分</w:t>
            </w:r>
            <w:r>
              <w:rPr>
                <w:rFonts w:hint="eastAsia"/>
                <w:spacing w:val="-5"/>
                <w:lang w:eastAsia="zh-CN"/>
              </w:rPr>
              <w:t>）</w:t>
            </w:r>
            <w:r>
              <w:rPr>
                <w:rFonts w:hint="eastAsia" w:ascii="宋体" w:hAnsi="宋体"/>
                <w:color w:val="000000"/>
                <w:sz w:val="24"/>
              </w:rPr>
              <w:t>拟投入本项目的项目经理同时具有信息系统项目管理师证书及数据库系统工程师证书，得</w:t>
            </w:r>
            <w:r>
              <w:rPr>
                <w:rFonts w:ascii="宋体" w:hAnsi="宋体"/>
                <w:color w:val="000000"/>
                <w:sz w:val="24"/>
              </w:rPr>
              <w:t>4</w:t>
            </w:r>
            <w:r>
              <w:rPr>
                <w:rFonts w:hint="eastAsia" w:ascii="宋体" w:hAnsi="宋体"/>
                <w:color w:val="000000"/>
                <w:sz w:val="24"/>
              </w:rPr>
              <w:t>分。（提供上述人员证书及投标人为其缴纳的近半年来任意一个月的社保证明材料</w:t>
            </w:r>
            <w:r>
              <w:rPr>
                <w:rFonts w:hint="eastAsia" w:ascii="宋体" w:hAnsi="宋体"/>
                <w:color w:val="000000"/>
                <w:sz w:val="24"/>
                <w:lang w:eastAsia="zh-CN"/>
              </w:rPr>
              <w:t>，</w:t>
            </w:r>
            <w:r>
              <w:rPr>
                <w:rFonts w:hint="eastAsia" w:ascii="宋体" w:hAnsi="宋体"/>
                <w:color w:val="000000"/>
                <w:sz w:val="24"/>
                <w:lang w:val="en-US" w:eastAsia="zh-CN"/>
              </w:rPr>
              <w:t>新成立企业以成立之日起算起</w:t>
            </w:r>
            <w:r>
              <w:rPr>
                <w:rFonts w:hint="eastAsia" w:ascii="宋体" w:hAnsi="宋体"/>
                <w:color w:val="000000"/>
                <w:sz w:val="24"/>
              </w:rPr>
              <w:t>）</w:t>
            </w:r>
          </w:p>
          <w:p w14:paraId="60345A78">
            <w:pPr>
              <w:widowControl/>
              <w:snapToGrid w:val="0"/>
              <w:spacing w:line="276" w:lineRule="auto"/>
              <w:rPr>
                <w:rFonts w:ascii="宋体" w:hAnsi="宋体"/>
                <w:color w:val="000000"/>
                <w:sz w:val="24"/>
              </w:rPr>
            </w:pPr>
            <w:r>
              <w:rPr>
                <w:rFonts w:ascii="宋体" w:hAnsi="宋体"/>
                <w:color w:val="000000"/>
                <w:sz w:val="24"/>
              </w:rPr>
              <w:t>4</w:t>
            </w:r>
            <w:r>
              <w:rPr>
                <w:rFonts w:hint="eastAsia" w:ascii="宋体" w:hAnsi="宋体"/>
                <w:color w:val="000000"/>
                <w:sz w:val="24"/>
              </w:rPr>
              <w:t>、</w:t>
            </w:r>
            <w:r>
              <w:rPr>
                <w:rFonts w:hint="eastAsia"/>
                <w:spacing w:val="-5"/>
                <w:lang w:eastAsia="zh-CN"/>
              </w:rPr>
              <w:t>（</w:t>
            </w:r>
            <w:r>
              <w:rPr>
                <w:rFonts w:hint="eastAsia"/>
                <w:spacing w:val="-5"/>
                <w:lang w:val="en-US" w:eastAsia="zh-CN"/>
              </w:rPr>
              <w:t>3分</w:t>
            </w:r>
            <w:r>
              <w:rPr>
                <w:rFonts w:hint="eastAsia"/>
                <w:spacing w:val="-5"/>
                <w:lang w:eastAsia="zh-CN"/>
              </w:rPr>
              <w:t>）</w:t>
            </w:r>
            <w:r>
              <w:rPr>
                <w:rFonts w:hint="eastAsia" w:ascii="宋体" w:hAnsi="宋体"/>
                <w:color w:val="000000"/>
                <w:sz w:val="24"/>
              </w:rPr>
              <w:t>拟投入本项目的团队成员中具有软件设计师、系统集成项目管理师、信息安全工程师等证书，每提供一个证书得</w:t>
            </w:r>
            <w:r>
              <w:rPr>
                <w:rFonts w:ascii="宋体" w:hAnsi="宋体"/>
                <w:color w:val="000000"/>
                <w:sz w:val="24"/>
              </w:rPr>
              <w:t>1</w:t>
            </w:r>
            <w:r>
              <w:rPr>
                <w:rFonts w:hint="eastAsia" w:ascii="宋体" w:hAnsi="宋体"/>
                <w:color w:val="000000"/>
                <w:sz w:val="24"/>
              </w:rPr>
              <w:t>分，一人多证不兼得，最高得3分。（提供上述人员证书及投标人为其缴纳的近半年来任意一个月的社保证明材料</w:t>
            </w:r>
            <w:r>
              <w:rPr>
                <w:rFonts w:hint="eastAsia" w:ascii="宋体" w:hAnsi="宋体"/>
                <w:color w:val="000000"/>
                <w:sz w:val="24"/>
                <w:lang w:eastAsia="zh-CN"/>
              </w:rPr>
              <w:t>，</w:t>
            </w:r>
            <w:r>
              <w:rPr>
                <w:rFonts w:hint="eastAsia" w:ascii="宋体" w:hAnsi="宋体"/>
                <w:color w:val="000000"/>
                <w:sz w:val="24"/>
                <w:lang w:val="en-US" w:eastAsia="zh-CN"/>
              </w:rPr>
              <w:t>同上</w:t>
            </w:r>
            <w:r>
              <w:rPr>
                <w:rFonts w:hint="eastAsia" w:ascii="宋体" w:hAnsi="宋体"/>
                <w:color w:val="000000"/>
                <w:sz w:val="24"/>
              </w:rPr>
              <w:t>）</w:t>
            </w:r>
          </w:p>
          <w:p w14:paraId="6478F3DE">
            <w:pPr>
              <w:widowControl/>
              <w:snapToGrid w:val="0"/>
              <w:spacing w:line="276" w:lineRule="auto"/>
              <w:jc w:val="left"/>
              <w:rPr>
                <w:rFonts w:hint="eastAsia" w:ascii="宋体" w:hAnsi="宋体"/>
                <w:color w:val="auto"/>
                <w:sz w:val="24"/>
                <w:highlight w:val="none"/>
              </w:rPr>
            </w:pPr>
            <w:r>
              <w:rPr>
                <w:rFonts w:ascii="宋体" w:hAnsi="宋体"/>
                <w:color w:val="000000"/>
                <w:sz w:val="24"/>
              </w:rPr>
              <w:t>5</w:t>
            </w:r>
            <w:r>
              <w:rPr>
                <w:rFonts w:hint="eastAsia" w:ascii="宋体" w:hAnsi="宋体"/>
                <w:color w:val="000000"/>
                <w:sz w:val="24"/>
              </w:rPr>
              <w:t>、</w:t>
            </w:r>
            <w:r>
              <w:rPr>
                <w:rFonts w:hint="eastAsia"/>
                <w:spacing w:val="-5"/>
                <w:lang w:eastAsia="zh-CN"/>
              </w:rPr>
              <w:t>（</w:t>
            </w:r>
            <w:r>
              <w:rPr>
                <w:rFonts w:hint="eastAsia"/>
                <w:spacing w:val="-5"/>
                <w:lang w:val="en-US" w:eastAsia="zh-CN"/>
              </w:rPr>
              <w:t>6分</w:t>
            </w:r>
            <w:r>
              <w:rPr>
                <w:rFonts w:hint="eastAsia"/>
                <w:spacing w:val="-5"/>
                <w:lang w:eastAsia="zh-CN"/>
              </w:rPr>
              <w:t>）</w:t>
            </w:r>
            <w:r>
              <w:rPr>
                <w:rFonts w:hint="eastAsia" w:ascii="宋体" w:hAnsi="宋体"/>
                <w:color w:val="000000"/>
                <w:sz w:val="24"/>
              </w:rPr>
              <w:t>投标人提供</w:t>
            </w:r>
            <w:r>
              <w:rPr>
                <w:rFonts w:ascii="宋体" w:hAnsi="宋体"/>
                <w:color w:val="000000"/>
                <w:sz w:val="24"/>
              </w:rPr>
              <w:t>202</w:t>
            </w:r>
            <w:r>
              <w:rPr>
                <w:rFonts w:hint="eastAsia" w:ascii="宋体" w:hAnsi="宋体"/>
                <w:color w:val="000000"/>
                <w:sz w:val="24"/>
                <w:lang w:val="en-US" w:eastAsia="zh-CN"/>
              </w:rPr>
              <w:t>3</w:t>
            </w:r>
            <w:r>
              <w:rPr>
                <w:rFonts w:hint="eastAsia" w:ascii="宋体" w:hAnsi="宋体"/>
                <w:color w:val="000000"/>
                <w:sz w:val="24"/>
              </w:rPr>
              <w:t>年1月以来的同类项目案例，每提供一份同类项目案例的合同扫描件得</w:t>
            </w:r>
            <w:r>
              <w:rPr>
                <w:rFonts w:ascii="宋体" w:hAnsi="宋体"/>
                <w:color w:val="000000"/>
                <w:sz w:val="24"/>
              </w:rPr>
              <w:t>2</w:t>
            </w:r>
            <w:r>
              <w:rPr>
                <w:rFonts w:hint="eastAsia" w:ascii="宋体" w:hAnsi="宋体"/>
                <w:color w:val="000000"/>
                <w:sz w:val="24"/>
              </w:rPr>
              <w:t>分，此项最多得</w:t>
            </w:r>
            <w:r>
              <w:rPr>
                <w:rFonts w:ascii="宋体" w:hAnsi="宋体"/>
                <w:color w:val="000000"/>
                <w:sz w:val="24"/>
              </w:rPr>
              <w:t>6</w:t>
            </w:r>
            <w:r>
              <w:rPr>
                <w:rFonts w:hint="eastAsia" w:ascii="宋体" w:hAnsi="宋体"/>
                <w:color w:val="000000"/>
                <w:sz w:val="24"/>
              </w:rPr>
              <w:t>分，未提供不得分。</w:t>
            </w:r>
          </w:p>
        </w:tc>
      </w:tr>
      <w:tr w14:paraId="44FA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2113" w:type="dxa"/>
            <w:vAlign w:val="center"/>
          </w:tcPr>
          <w:p w14:paraId="2BBBFA9C">
            <w:pPr>
              <w:rPr>
                <w:rFonts w:ascii="宋体" w:hAnsi="宋体" w:cs="宋体"/>
                <w:sz w:val="24"/>
              </w:rPr>
            </w:pPr>
            <w:r>
              <w:rPr>
                <w:rFonts w:hint="eastAsia" w:ascii="宋体" w:hAnsi="宋体" w:cs="宋体"/>
                <w:sz w:val="24"/>
                <w:lang w:val="en-US" w:eastAsia="zh-CN"/>
              </w:rPr>
              <w:t>商务</w:t>
            </w:r>
            <w:r>
              <w:rPr>
                <w:rFonts w:hint="eastAsia" w:ascii="宋体" w:hAnsi="宋体" w:cs="宋体"/>
                <w:sz w:val="24"/>
              </w:rPr>
              <w:t>（</w:t>
            </w:r>
            <w:r>
              <w:rPr>
                <w:rFonts w:hint="eastAsia" w:ascii="宋体" w:hAnsi="宋体" w:cs="宋体"/>
                <w:sz w:val="24"/>
                <w:lang w:val="en-US" w:eastAsia="zh-CN"/>
              </w:rPr>
              <w:t>20</w:t>
            </w:r>
            <w:r>
              <w:rPr>
                <w:rFonts w:hint="eastAsia" w:ascii="宋体" w:hAnsi="宋体" w:cs="宋体"/>
                <w:sz w:val="24"/>
              </w:rPr>
              <w:t>分）</w:t>
            </w:r>
          </w:p>
          <w:p w14:paraId="37BF3AC8">
            <w:pPr>
              <w:rPr>
                <w:rFonts w:ascii="宋体" w:hAnsi="宋体" w:cs="宋体"/>
                <w:sz w:val="24"/>
              </w:rPr>
            </w:pPr>
          </w:p>
        </w:tc>
        <w:tc>
          <w:tcPr>
            <w:tcW w:w="744" w:type="dxa"/>
            <w:vAlign w:val="center"/>
          </w:tcPr>
          <w:p w14:paraId="33BC3FDF">
            <w:pPr>
              <w:widowControl/>
              <w:rPr>
                <w:rFonts w:ascii="宋体" w:hAnsi="宋体" w:cs="宋体"/>
                <w:color w:val="000000"/>
                <w:sz w:val="24"/>
              </w:rPr>
            </w:pPr>
            <w:r>
              <w:rPr>
                <w:rFonts w:hint="eastAsia" w:ascii="宋体" w:hAnsi="宋体" w:cs="宋体"/>
                <w:color w:val="000000"/>
                <w:sz w:val="24"/>
                <w:lang w:val="en-US" w:eastAsia="zh-CN"/>
              </w:rPr>
              <w:t>20</w:t>
            </w:r>
            <w:r>
              <w:rPr>
                <w:rFonts w:hint="eastAsia" w:ascii="宋体" w:hAnsi="宋体" w:cs="宋体"/>
                <w:color w:val="000000"/>
                <w:sz w:val="24"/>
              </w:rPr>
              <w:t>分</w:t>
            </w:r>
          </w:p>
        </w:tc>
        <w:tc>
          <w:tcPr>
            <w:tcW w:w="7165" w:type="dxa"/>
            <w:gridSpan w:val="2"/>
            <w:vAlign w:val="center"/>
          </w:tcPr>
          <w:p w14:paraId="4FC108C7">
            <w:pPr>
              <w:widowControl/>
              <w:snapToGrid w:val="0"/>
              <w:spacing w:line="276" w:lineRule="auto"/>
              <w:rPr>
                <w:rFonts w:ascii="宋体" w:hAnsi="宋体"/>
                <w:color w:val="000000"/>
                <w:sz w:val="24"/>
              </w:rPr>
            </w:pPr>
            <w:r>
              <w:rPr>
                <w:rFonts w:hint="eastAsia" w:ascii="宋体" w:hAnsi="宋体"/>
                <w:color w:val="000000"/>
                <w:sz w:val="24"/>
              </w:rPr>
              <w:t>1、</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000000"/>
                <w:sz w:val="24"/>
              </w:rPr>
              <w:t>具有软件能力成熟度等级证书（SPCA）,等级5级得</w:t>
            </w:r>
            <w:r>
              <w:rPr>
                <w:rFonts w:ascii="宋体" w:hAnsi="宋体"/>
                <w:color w:val="000000"/>
                <w:sz w:val="24"/>
              </w:rPr>
              <w:t>5</w:t>
            </w:r>
            <w:r>
              <w:rPr>
                <w:rFonts w:hint="eastAsia" w:ascii="宋体" w:hAnsi="宋体"/>
                <w:color w:val="000000"/>
                <w:sz w:val="24"/>
              </w:rPr>
              <w:t>分、</w:t>
            </w:r>
            <w:r>
              <w:rPr>
                <w:rFonts w:hint="eastAsia" w:ascii="宋体" w:hAnsi="宋体" w:cs="宋体"/>
                <w:bCs/>
                <w:sz w:val="24"/>
              </w:rPr>
              <w:t>4</w:t>
            </w:r>
            <w:r>
              <w:rPr>
                <w:rFonts w:hint="eastAsia" w:ascii="宋体" w:hAnsi="宋体"/>
                <w:color w:val="000000"/>
                <w:sz w:val="24"/>
              </w:rPr>
              <w:t>级得</w:t>
            </w:r>
            <w:r>
              <w:rPr>
                <w:rFonts w:ascii="宋体" w:hAnsi="宋体"/>
                <w:color w:val="000000"/>
                <w:sz w:val="24"/>
              </w:rPr>
              <w:t>2</w:t>
            </w:r>
            <w:r>
              <w:rPr>
                <w:rFonts w:hint="eastAsia" w:ascii="宋体" w:hAnsi="宋体"/>
                <w:color w:val="000000"/>
                <w:sz w:val="24"/>
              </w:rPr>
              <w:t>分，3级及以下得1分，未提供不得分；</w:t>
            </w:r>
          </w:p>
          <w:p w14:paraId="70E87F90">
            <w:pPr>
              <w:widowControl/>
              <w:snapToGrid w:val="0"/>
              <w:spacing w:line="276" w:lineRule="auto"/>
              <w:rPr>
                <w:rFonts w:ascii="宋体" w:hAnsi="宋体"/>
                <w:color w:val="000000"/>
                <w:sz w:val="24"/>
              </w:rPr>
            </w:pPr>
            <w:r>
              <w:rPr>
                <w:rFonts w:ascii="宋体" w:hAnsi="宋体"/>
                <w:color w:val="000000"/>
                <w:sz w:val="24"/>
              </w:rPr>
              <w:t>2</w:t>
            </w:r>
            <w:r>
              <w:rPr>
                <w:rFonts w:hint="eastAsia" w:ascii="宋体" w:hAnsi="宋体"/>
                <w:color w:val="000000"/>
                <w:sz w:val="24"/>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000000"/>
                <w:sz w:val="24"/>
              </w:rPr>
              <w:t>具有</w:t>
            </w:r>
            <w:r>
              <w:rPr>
                <w:rFonts w:hint="eastAsia" w:ascii="宋体" w:hAnsi="宋体" w:cs="宋体"/>
                <w:bCs/>
                <w:sz w:val="24"/>
              </w:rPr>
              <w:t>信息技术</w:t>
            </w:r>
            <w:r>
              <w:rPr>
                <w:rFonts w:hint="eastAsia" w:ascii="宋体" w:hAnsi="宋体"/>
                <w:color w:val="000000"/>
                <w:sz w:val="24"/>
              </w:rPr>
              <w:t>服务运行维护标准符合性证书，二级或以上得</w:t>
            </w:r>
            <w:r>
              <w:rPr>
                <w:rFonts w:ascii="宋体" w:hAnsi="宋体"/>
                <w:color w:val="000000"/>
                <w:sz w:val="24"/>
              </w:rPr>
              <w:t>5</w:t>
            </w:r>
            <w:r>
              <w:rPr>
                <w:rFonts w:hint="eastAsia" w:ascii="宋体" w:hAnsi="宋体"/>
                <w:color w:val="000000"/>
                <w:sz w:val="24"/>
              </w:rPr>
              <w:t>分，三级得</w:t>
            </w:r>
            <w:r>
              <w:rPr>
                <w:rFonts w:ascii="宋体" w:hAnsi="宋体"/>
                <w:color w:val="000000"/>
                <w:sz w:val="24"/>
              </w:rPr>
              <w:t>2</w:t>
            </w:r>
            <w:r>
              <w:rPr>
                <w:rFonts w:hint="eastAsia" w:ascii="宋体" w:hAnsi="宋体"/>
                <w:color w:val="000000"/>
                <w:sz w:val="24"/>
              </w:rPr>
              <w:t>分，未提供不得分；</w:t>
            </w:r>
          </w:p>
          <w:p w14:paraId="0F80AC21">
            <w:pPr>
              <w:widowControl/>
              <w:snapToGrid w:val="0"/>
              <w:spacing w:line="276" w:lineRule="auto"/>
              <w:rPr>
                <w:rFonts w:ascii="宋体" w:hAnsi="宋体"/>
                <w:color w:val="000000"/>
                <w:sz w:val="24"/>
              </w:rPr>
            </w:pPr>
            <w:r>
              <w:rPr>
                <w:rFonts w:ascii="宋体" w:hAnsi="宋体"/>
                <w:color w:val="000000"/>
                <w:sz w:val="24"/>
              </w:rPr>
              <w:t>3</w:t>
            </w:r>
            <w:r>
              <w:rPr>
                <w:rFonts w:hint="eastAsia" w:ascii="宋体" w:hAnsi="宋体"/>
                <w:color w:val="000000"/>
                <w:sz w:val="24"/>
              </w:rPr>
              <w:t>、</w:t>
            </w:r>
            <w:r>
              <w:rPr>
                <w:rFonts w:hint="eastAsia"/>
                <w:spacing w:val="-5"/>
                <w:lang w:eastAsia="zh-CN"/>
              </w:rPr>
              <w:t>（</w:t>
            </w:r>
            <w:r>
              <w:rPr>
                <w:rFonts w:hint="eastAsia"/>
                <w:spacing w:val="-5"/>
                <w:lang w:val="en-US" w:eastAsia="zh-CN"/>
              </w:rPr>
              <w:t>5分</w:t>
            </w:r>
            <w:r>
              <w:rPr>
                <w:rFonts w:hint="eastAsia"/>
                <w:spacing w:val="-5"/>
                <w:lang w:eastAsia="zh-CN"/>
              </w:rPr>
              <w:t>）</w:t>
            </w:r>
            <w:r>
              <w:rPr>
                <w:rFonts w:hint="eastAsia" w:ascii="宋体" w:hAnsi="宋体"/>
                <w:color w:val="000000"/>
                <w:sz w:val="24"/>
              </w:rPr>
              <w:t>具有信息系统建设和服务能力等级证书，能力达到优秀级（C</w:t>
            </w:r>
            <w:r>
              <w:rPr>
                <w:rFonts w:ascii="宋体" w:hAnsi="宋体"/>
                <w:color w:val="000000"/>
                <w:sz w:val="24"/>
              </w:rPr>
              <w:t>S4</w:t>
            </w:r>
            <w:r>
              <w:rPr>
                <w:rFonts w:hint="eastAsia" w:ascii="宋体" w:hAnsi="宋体"/>
                <w:color w:val="000000"/>
                <w:sz w:val="24"/>
              </w:rPr>
              <w:t>）或以上得5分，C</w:t>
            </w:r>
            <w:r>
              <w:rPr>
                <w:rFonts w:ascii="宋体" w:hAnsi="宋体"/>
                <w:color w:val="000000"/>
                <w:sz w:val="24"/>
              </w:rPr>
              <w:t>S3</w:t>
            </w:r>
            <w:r>
              <w:rPr>
                <w:rFonts w:hint="eastAsia" w:ascii="宋体" w:hAnsi="宋体"/>
                <w:color w:val="000000"/>
                <w:sz w:val="24"/>
              </w:rPr>
              <w:t>得2分，未提供不得分；</w:t>
            </w:r>
          </w:p>
          <w:p w14:paraId="4C3D0074">
            <w:pPr>
              <w:widowControl/>
              <w:snapToGrid w:val="0"/>
              <w:spacing w:line="276" w:lineRule="auto"/>
              <w:rPr>
                <w:rFonts w:ascii="宋体" w:hAnsi="宋体"/>
                <w:color w:val="000000"/>
                <w:sz w:val="24"/>
              </w:rPr>
            </w:pPr>
            <w:r>
              <w:rPr>
                <w:rFonts w:ascii="宋体" w:hAnsi="宋体"/>
                <w:color w:val="000000"/>
                <w:sz w:val="24"/>
              </w:rPr>
              <w:t>4</w:t>
            </w:r>
            <w:r>
              <w:rPr>
                <w:rFonts w:hint="eastAsia" w:ascii="宋体" w:hAnsi="宋体"/>
                <w:color w:val="000000"/>
                <w:sz w:val="24"/>
              </w:rPr>
              <w:t>、</w:t>
            </w:r>
            <w:r>
              <w:rPr>
                <w:rFonts w:hint="eastAsia"/>
                <w:spacing w:val="-5"/>
                <w:lang w:eastAsia="zh-CN"/>
              </w:rPr>
              <w:t>（</w:t>
            </w:r>
            <w:r>
              <w:rPr>
                <w:rFonts w:hint="eastAsia"/>
                <w:spacing w:val="-5"/>
                <w:lang w:val="en-US" w:eastAsia="zh-CN"/>
              </w:rPr>
              <w:t>5分</w:t>
            </w:r>
            <w:r>
              <w:rPr>
                <w:rFonts w:hint="eastAsia"/>
                <w:spacing w:val="-5"/>
                <w:lang w:eastAsia="zh-CN"/>
              </w:rPr>
              <w:t>）</w:t>
            </w:r>
            <w:r>
              <w:rPr>
                <w:rFonts w:ascii="宋体" w:hAnsi="宋体" w:cs="宋体"/>
                <w:bCs/>
                <w:sz w:val="24"/>
              </w:rPr>
              <w:t>具备</w:t>
            </w:r>
            <w:r>
              <w:rPr>
                <w:rFonts w:hint="eastAsia" w:ascii="宋体" w:hAnsi="宋体" w:cs="宋体"/>
                <w:bCs/>
                <w:sz w:val="24"/>
              </w:rPr>
              <w:t>I</w:t>
            </w:r>
            <w:r>
              <w:rPr>
                <w:rFonts w:ascii="宋体" w:hAnsi="宋体" w:cs="宋体"/>
                <w:bCs/>
                <w:sz w:val="24"/>
              </w:rPr>
              <w:t>SO9001</w:t>
            </w:r>
            <w:r>
              <w:rPr>
                <w:rFonts w:hint="eastAsia" w:ascii="宋体" w:hAnsi="宋体" w:cs="宋体"/>
                <w:bCs/>
                <w:sz w:val="24"/>
              </w:rPr>
              <w:t>质量管理体系认证证书、</w:t>
            </w:r>
            <w:r>
              <w:rPr>
                <w:rFonts w:hint="eastAsia" w:ascii="宋体" w:hAnsi="宋体"/>
                <w:color w:val="000000"/>
                <w:sz w:val="24"/>
              </w:rPr>
              <w:t>ISO27001信息安全管理体系认证证书、ISO20000信息技术服务管理体系证书、I</w:t>
            </w:r>
            <w:r>
              <w:rPr>
                <w:rFonts w:ascii="宋体" w:hAnsi="宋体"/>
                <w:color w:val="000000"/>
                <w:sz w:val="24"/>
              </w:rPr>
              <w:t>SO22301</w:t>
            </w:r>
            <w:r>
              <w:rPr>
                <w:rFonts w:hint="eastAsia" w:ascii="宋体" w:hAnsi="宋体"/>
                <w:color w:val="000000"/>
                <w:sz w:val="24"/>
              </w:rPr>
              <w:t>业务连续性管理体系认证证书、</w:t>
            </w:r>
            <w:r>
              <w:rPr>
                <w:rFonts w:hint="eastAsia" w:ascii="宋体" w:hAnsi="宋体"/>
                <w:color w:val="000000"/>
                <w:sz w:val="24"/>
                <w:lang w:val="en-US" w:eastAsia="zh-CN"/>
              </w:rPr>
              <w:t>CCRC</w:t>
            </w:r>
            <w:r>
              <w:rPr>
                <w:rFonts w:hint="eastAsia" w:ascii="宋体" w:hAnsi="宋体"/>
                <w:color w:val="000000"/>
                <w:sz w:val="24"/>
              </w:rPr>
              <w:t>信息安全服务资质认证证书（信息系统安全运维服务资质），每提供一个得1得1分，最高</w:t>
            </w:r>
            <w:r>
              <w:rPr>
                <w:rFonts w:ascii="宋体" w:hAnsi="宋体"/>
                <w:color w:val="000000"/>
                <w:sz w:val="24"/>
              </w:rPr>
              <w:t>5</w:t>
            </w:r>
            <w:r>
              <w:rPr>
                <w:rFonts w:hint="eastAsia" w:ascii="宋体" w:hAnsi="宋体"/>
                <w:color w:val="000000"/>
                <w:sz w:val="24"/>
              </w:rPr>
              <w:t>分,未提供不得分</w:t>
            </w:r>
            <w:r>
              <w:rPr>
                <w:rFonts w:ascii="宋体" w:hAnsi="宋体"/>
                <w:color w:val="000000"/>
                <w:sz w:val="24"/>
              </w:rPr>
              <w:t>。</w:t>
            </w:r>
          </w:p>
          <w:p w14:paraId="6C2CD03F">
            <w:pPr>
              <w:spacing w:line="360" w:lineRule="auto"/>
              <w:rPr>
                <w:rFonts w:ascii="宋体" w:hAnsi="宋体" w:cs="宋体"/>
                <w:sz w:val="24"/>
              </w:rPr>
            </w:pPr>
            <w:r>
              <w:rPr>
                <w:rFonts w:hint="eastAsia" w:ascii="宋体" w:hAnsi="宋体"/>
                <w:color w:val="000000"/>
                <w:sz w:val="24"/>
              </w:rPr>
              <w:t>以上需提供有效期内的证书复印件并加盖单位公章。</w:t>
            </w:r>
          </w:p>
        </w:tc>
      </w:tr>
    </w:tbl>
    <w:p w14:paraId="7DE1AF12">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60644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97D7E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E594CA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2DE88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E2D04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00002B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18544C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10AB46B5">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5C43D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247A6C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79F0E8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BFE3FD0">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63E313C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197ADE5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9B14F2F">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423776C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64D536D7">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2A5C1ED">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C0D898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7E62A1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28DFEB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16D39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650499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1123FBF4">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26.质疑程序及处理</w:t>
      </w:r>
    </w:p>
    <w:p w14:paraId="2C8567C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4EC0B1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3E729FF0">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E6E9C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BBA05F7">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D8418E8">
      <w:pPr>
        <w:pStyle w:val="5"/>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w:t>
      </w:r>
    </w:p>
    <w:p w14:paraId="7D4DC44D">
      <w:pPr>
        <w:spacing w:line="480" w:lineRule="auto"/>
        <w:rPr>
          <w:rStyle w:val="67"/>
          <w:rFonts w:ascii="宋体" w:hAnsi="宋体" w:cs="宋体"/>
          <w:color w:val="auto"/>
          <w:sz w:val="24"/>
          <w:highlight w:val="none"/>
          <w:lang w:val="zh-CN"/>
        </w:rPr>
      </w:pPr>
      <w:r>
        <w:rPr>
          <w:rStyle w:val="67"/>
          <w:rFonts w:hint="eastAsia" w:ascii="宋体" w:hAnsi="宋体" w:cs="宋体"/>
          <w:color w:val="auto"/>
          <w:sz w:val="24"/>
          <w:highlight w:val="none"/>
        </w:rPr>
        <w:t>一、</w:t>
      </w:r>
      <w:r>
        <w:rPr>
          <w:rStyle w:val="67"/>
          <w:rFonts w:hint="eastAsia" w:ascii="宋体" w:hAnsi="宋体" w:cs="宋体"/>
          <w:color w:val="auto"/>
          <w:sz w:val="24"/>
          <w:highlight w:val="none"/>
          <w:lang w:val="zh-CN"/>
        </w:rPr>
        <w:t>本项目采购内容：</w:t>
      </w:r>
    </w:p>
    <w:p w14:paraId="5E00A84A">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项目背景</w:t>
      </w:r>
    </w:p>
    <w:p w14:paraId="5A44FB6B">
      <w:pPr>
        <w:spacing w:before="13" w:line="360" w:lineRule="auto"/>
        <w:ind w:right="23" w:firstLine="480" w:firstLineChars="200"/>
        <w:rPr>
          <w:rFonts w:ascii="宋体" w:hAnsi="宋体" w:cs="Arial Unicode MS"/>
          <w:color w:val="auto"/>
          <w:sz w:val="24"/>
          <w:highlight w:val="none"/>
        </w:rPr>
      </w:pPr>
      <w:r>
        <w:rPr>
          <w:rFonts w:hint="eastAsia" w:ascii="宋体" w:hAnsi="宋体" w:cs="Arial Unicode MS"/>
          <w:color w:val="auto"/>
          <w:sz w:val="24"/>
          <w:highlight w:val="none"/>
        </w:rPr>
        <w:t>随着行业的不断发展、公积金政策的调整以及数字化大环境的影响下，业务管理系统随之也将产生不断迭代升级、持续运维的需求。</w:t>
      </w:r>
      <w:r>
        <w:rPr>
          <w:rFonts w:hint="eastAsia" w:ascii="宋体" w:hAnsi="宋体"/>
          <w:color w:val="auto"/>
          <w:sz w:val="24"/>
          <w:highlight w:val="none"/>
        </w:rPr>
        <w:t>周口市住房公积金</w:t>
      </w:r>
      <w:r>
        <w:rPr>
          <w:rFonts w:hint="eastAsia" w:ascii="宋体" w:hAnsi="宋体"/>
          <w:color w:val="auto"/>
          <w:sz w:val="24"/>
          <w:highlight w:val="none"/>
          <w:lang w:val="en-US" w:eastAsia="zh-CN"/>
        </w:rPr>
        <w:t>管理</w:t>
      </w:r>
      <w:r>
        <w:rPr>
          <w:rFonts w:hint="eastAsia" w:ascii="宋体" w:hAnsi="宋体"/>
          <w:color w:val="auto"/>
          <w:sz w:val="24"/>
          <w:highlight w:val="none"/>
        </w:rPr>
        <w:t>中心业务管理系统运维服务即将到期，</w:t>
      </w:r>
      <w:r>
        <w:rPr>
          <w:rFonts w:hint="eastAsia" w:ascii="宋体" w:hAnsi="宋体" w:cs="Arial Unicode MS"/>
          <w:color w:val="auto"/>
          <w:sz w:val="24"/>
          <w:highlight w:val="none"/>
        </w:rPr>
        <w:t>为了获得持续的、专业的运维技术支持服务，保障中心业务管理系统持续稳定运行，现拟采购业务管理系统运维项目一项，选择熟悉公积金业务，有较强技术实力的团队为我中心提供运维服务。</w:t>
      </w:r>
    </w:p>
    <w:p w14:paraId="236E1E3A">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运维对象</w:t>
      </w:r>
    </w:p>
    <w:p w14:paraId="528A4F31">
      <w:pPr>
        <w:spacing w:before="13" w:line="360" w:lineRule="auto"/>
        <w:ind w:right="20" w:firstLine="480"/>
        <w:rPr>
          <w:rFonts w:ascii="宋体" w:hAnsi="宋体" w:cs="Arial Unicode MS"/>
          <w:color w:val="auto"/>
          <w:sz w:val="24"/>
          <w:highlight w:val="none"/>
        </w:rPr>
      </w:pPr>
      <w:r>
        <w:rPr>
          <w:rFonts w:hint="eastAsia" w:ascii="宋体" w:hAnsi="宋体" w:cs="Arial Unicode MS"/>
          <w:color w:val="auto"/>
          <w:sz w:val="24"/>
          <w:highlight w:val="none"/>
        </w:rPr>
        <w:t>本次项目运维对象需涵盖核心业务管理系统、综合服务平台、数据上报（采集、护航）系统、数据共享服务平台、外联服务等5大系统，共35个系统模块。</w:t>
      </w:r>
    </w:p>
    <w:p w14:paraId="1F0CE684">
      <w:pPr>
        <w:pStyle w:val="62"/>
        <w:numPr>
          <w:ilvl w:val="0"/>
          <w:numId w:val="15"/>
        </w:numPr>
        <w:spacing w:before="13" w:line="360" w:lineRule="auto"/>
        <w:ind w:left="0" w:firstLine="420" w:firstLineChars="0"/>
        <w:jc w:val="left"/>
        <w:rPr>
          <w:rFonts w:ascii="宋体" w:hAnsi="宋体" w:cs="Arial Unicode MS"/>
          <w:color w:val="auto"/>
          <w:sz w:val="24"/>
          <w:highlight w:val="none"/>
        </w:rPr>
      </w:pPr>
      <w:r>
        <w:rPr>
          <w:rFonts w:hint="eastAsia" w:ascii="宋体" w:hAnsi="宋体" w:cs="Arial Unicode MS"/>
          <w:color w:val="auto"/>
          <w:sz w:val="24"/>
          <w:highlight w:val="none"/>
        </w:rPr>
        <w:t>核心业务管理系统包括：资金结算系统、客户管理系统、公积金归集系统、公积金提取系统、个人住房贷款业务系统、财务系统、出纳管理系统、资金管理系统、批量提取还贷系统、贴息贷款管理系统、电子档案管理系统、电子报表系统、数据中心。</w:t>
      </w:r>
    </w:p>
    <w:p w14:paraId="4CF41604">
      <w:pPr>
        <w:pStyle w:val="62"/>
        <w:numPr>
          <w:ilvl w:val="0"/>
          <w:numId w:val="15"/>
        </w:numPr>
        <w:spacing w:before="13" w:line="360" w:lineRule="auto"/>
        <w:ind w:left="0" w:firstLine="420" w:firstLineChars="0"/>
        <w:jc w:val="left"/>
        <w:rPr>
          <w:rFonts w:ascii="宋体" w:hAnsi="宋体" w:cs="Arial Unicode MS"/>
          <w:color w:val="auto"/>
          <w:sz w:val="24"/>
          <w:highlight w:val="none"/>
        </w:rPr>
      </w:pPr>
      <w:r>
        <w:rPr>
          <w:rFonts w:hint="eastAsia" w:ascii="宋体" w:hAnsi="宋体" w:cs="Arial Unicode MS"/>
          <w:color w:val="auto"/>
          <w:sz w:val="24"/>
          <w:highlight w:val="none"/>
        </w:rPr>
        <w:t>综合服务平台包括：短信、</w:t>
      </w:r>
      <w:r>
        <w:rPr>
          <w:rFonts w:ascii="宋体" w:hAnsi="宋体" w:cs="Arial Unicode MS"/>
          <w:color w:val="auto"/>
          <w:sz w:val="24"/>
          <w:highlight w:val="none"/>
        </w:rPr>
        <w:t>12329、网上营业厅、微信、移动</w:t>
      </w:r>
      <w:r>
        <w:rPr>
          <w:rFonts w:hint="eastAsia" w:ascii="宋体" w:hAnsi="宋体" w:cs="Arial Unicode MS"/>
          <w:color w:val="auto"/>
          <w:sz w:val="24"/>
          <w:highlight w:val="none"/>
        </w:rPr>
        <w:t>应用</w:t>
      </w:r>
      <w:r>
        <w:rPr>
          <w:rFonts w:ascii="宋体" w:hAnsi="宋体" w:cs="Arial Unicode MS"/>
          <w:color w:val="auto"/>
          <w:sz w:val="24"/>
          <w:highlight w:val="none"/>
        </w:rPr>
        <w:t>APP、自助终端查询系统</w:t>
      </w:r>
      <w:r>
        <w:rPr>
          <w:rFonts w:hint="eastAsia" w:ascii="宋体" w:hAnsi="宋体" w:cs="Arial Unicode MS"/>
          <w:color w:val="auto"/>
          <w:sz w:val="24"/>
          <w:highlight w:val="none"/>
        </w:rPr>
        <w:t>、支付宝等各服务渠道。</w:t>
      </w:r>
    </w:p>
    <w:p w14:paraId="4AFD7CE8">
      <w:pPr>
        <w:pStyle w:val="62"/>
        <w:numPr>
          <w:ilvl w:val="0"/>
          <w:numId w:val="15"/>
        </w:numPr>
        <w:spacing w:before="13" w:line="360" w:lineRule="auto"/>
        <w:ind w:left="0" w:firstLine="420" w:firstLineChars="0"/>
        <w:jc w:val="left"/>
        <w:rPr>
          <w:rFonts w:ascii="宋体" w:hAnsi="宋体" w:cs="Arial Unicode MS"/>
          <w:color w:val="auto"/>
          <w:sz w:val="24"/>
          <w:highlight w:val="none"/>
        </w:rPr>
      </w:pPr>
      <w:r>
        <w:rPr>
          <w:rFonts w:hint="eastAsia" w:ascii="宋体" w:hAnsi="宋体" w:cs="Arial Unicode MS"/>
          <w:color w:val="auto"/>
          <w:sz w:val="24"/>
          <w:highlight w:val="none"/>
        </w:rPr>
        <w:t>数据上报（采集、护航）系统。</w:t>
      </w:r>
    </w:p>
    <w:p w14:paraId="79ADA7DF">
      <w:pPr>
        <w:pStyle w:val="62"/>
        <w:numPr>
          <w:ilvl w:val="0"/>
          <w:numId w:val="15"/>
        </w:numPr>
        <w:spacing w:before="13" w:line="360" w:lineRule="auto"/>
        <w:ind w:left="0" w:firstLine="420" w:firstLineChars="0"/>
        <w:jc w:val="left"/>
        <w:rPr>
          <w:rFonts w:ascii="宋体" w:hAnsi="宋体" w:cs="Arial Unicode MS"/>
          <w:color w:val="auto"/>
          <w:sz w:val="24"/>
          <w:highlight w:val="none"/>
        </w:rPr>
      </w:pPr>
      <w:r>
        <w:rPr>
          <w:rFonts w:hint="eastAsia" w:ascii="宋体" w:hAnsi="宋体" w:cs="Arial Unicode MS"/>
          <w:color w:val="auto"/>
          <w:sz w:val="24"/>
          <w:highlight w:val="none"/>
        </w:rPr>
        <w:t>数据共享</w:t>
      </w:r>
      <w:r>
        <w:rPr>
          <w:rFonts w:ascii="宋体" w:hAnsi="宋体" w:cs="Arial Unicode MS"/>
          <w:color w:val="auto"/>
          <w:sz w:val="24"/>
          <w:highlight w:val="none"/>
        </w:rPr>
        <w:t>服务平台</w:t>
      </w:r>
      <w:r>
        <w:rPr>
          <w:rFonts w:hint="eastAsia" w:ascii="宋体" w:hAnsi="宋体" w:cs="Arial Unicode MS"/>
          <w:color w:val="auto"/>
          <w:sz w:val="24"/>
          <w:highlight w:val="none"/>
        </w:rPr>
        <w:t>包括：</w:t>
      </w:r>
      <w:r>
        <w:rPr>
          <w:rFonts w:ascii="宋体" w:hAnsi="宋体" w:cs="Arial Unicode MS"/>
          <w:color w:val="auto"/>
          <w:sz w:val="24"/>
          <w:highlight w:val="none"/>
        </w:rPr>
        <w:t>公安信息查询、企业信息查询、房产信息查询、婚姻信息查询、契税信息查询。</w:t>
      </w:r>
    </w:p>
    <w:p w14:paraId="160DFCD1">
      <w:pPr>
        <w:pStyle w:val="62"/>
        <w:numPr>
          <w:ilvl w:val="0"/>
          <w:numId w:val="15"/>
        </w:numPr>
        <w:spacing w:before="13" w:line="360" w:lineRule="auto"/>
        <w:ind w:left="0" w:firstLine="420" w:firstLineChars="0"/>
        <w:jc w:val="left"/>
        <w:rPr>
          <w:rFonts w:ascii="宋体" w:hAnsi="宋体" w:cs="Arial Unicode MS"/>
          <w:color w:val="auto"/>
          <w:sz w:val="24"/>
          <w:highlight w:val="none"/>
        </w:rPr>
      </w:pPr>
      <w:r>
        <w:rPr>
          <w:rFonts w:hint="eastAsia" w:ascii="宋体" w:hAnsi="宋体" w:cs="Arial Unicode MS"/>
          <w:color w:val="auto"/>
          <w:sz w:val="24"/>
          <w:highlight w:val="none"/>
        </w:rPr>
        <w:t>外联服务包括：纪委接口、发改委接口、政务服务数据推送、豫事办、住建部数据平台、人社局接口、市场监管接口、税务接口、金融局接口。</w:t>
      </w:r>
    </w:p>
    <w:p w14:paraId="31A8997F">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运维内容</w:t>
      </w:r>
    </w:p>
    <w:p w14:paraId="2C156020">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本次项目需提供以下技术服务内容：</w:t>
      </w:r>
    </w:p>
    <w:p w14:paraId="4B156DF0">
      <w:pPr>
        <w:pStyle w:val="62"/>
        <w:numPr>
          <w:ilvl w:val="0"/>
          <w:numId w:val="16"/>
        </w:numPr>
        <w:spacing w:before="13" w:line="360" w:lineRule="auto"/>
        <w:ind w:right="23" w:firstLineChars="0"/>
        <w:jc w:val="left"/>
        <w:rPr>
          <w:rFonts w:ascii="宋体" w:hAnsi="宋体" w:cs="Arial Unicode MS"/>
          <w:b/>
          <w:bCs/>
          <w:color w:val="auto"/>
          <w:sz w:val="24"/>
          <w:highlight w:val="none"/>
        </w:rPr>
      </w:pPr>
      <w:r>
        <w:rPr>
          <w:rFonts w:hint="eastAsia" w:ascii="宋体" w:hAnsi="宋体" w:cs="Arial Unicode MS"/>
          <w:b/>
          <w:bCs/>
          <w:color w:val="auto"/>
          <w:sz w:val="24"/>
          <w:highlight w:val="none"/>
        </w:rPr>
        <w:t>应用软件常规维护服务内容</w:t>
      </w:r>
    </w:p>
    <w:p w14:paraId="10276084">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常规维保服务是为保证系统进入维护服务期后，能够持续正常运行而进行的日常基础维保服务。需包括：全网排查维护、软件缺陷改进性维护、软件完善性维护、预防性维护、数据手工维护、数据统计维护、临时性维保服务、定期维保交流活动等内容。</w:t>
      </w:r>
    </w:p>
    <w:p w14:paraId="51AE50A3">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（1）全网排查维护</w:t>
      </w:r>
    </w:p>
    <w:p w14:paraId="27586F42">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对公积金各个业务流转节点进行全网排查。在出现某项业务不可用时，协助用户进行故障点排查。</w:t>
      </w:r>
    </w:p>
    <w:p w14:paraId="06B0FBFD">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（2）软件缺陷改进性维护</w:t>
      </w:r>
    </w:p>
    <w:p w14:paraId="4EBFD78D">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对核心业务系统日常的功能缺陷（如Bug、程序缺陷）和故障的维护；涉及公积金本地政策性调整的改进性维护。</w:t>
      </w:r>
    </w:p>
    <w:p w14:paraId="30BD105E">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（3）软件完善性维护</w:t>
      </w:r>
    </w:p>
    <w:p w14:paraId="6029BF50">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针对软件运行过程中由于运行环境变化（包括软件运行结构模式、平台环境的变化），用户职能改变等提供相应的系统调整和软件版本修订和升级服务活动。</w:t>
      </w:r>
    </w:p>
    <w:p w14:paraId="3C9D3FBF">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（4）预防性维护</w:t>
      </w:r>
    </w:p>
    <w:p w14:paraId="77A35A80">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需包括定期的用户现场巡检、例行检测和应用软件整体优化活动。</w:t>
      </w:r>
    </w:p>
    <w:p w14:paraId="50D3D1B7">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（5）数据手工维护</w:t>
      </w:r>
    </w:p>
    <w:p w14:paraId="69214500">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在获得用户批准后，对业务办理错误或程序缺陷产生的各类异常数据进行手工处理。</w:t>
      </w:r>
    </w:p>
    <w:p w14:paraId="3C6103F1">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（6）数据统计维护</w:t>
      </w:r>
    </w:p>
    <w:p w14:paraId="70E10073">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根据业务部门的临时数据统计需要，对业务数据进行后台手工统计。</w:t>
      </w:r>
    </w:p>
    <w:p w14:paraId="02DB3C0F">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（7）临时性维保服务</w:t>
      </w:r>
    </w:p>
    <w:p w14:paraId="2F9BBDBA">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针对特殊性业务、临时性统计、历史数据错误排查、年度参数设置、帐户结转、突发事件处理等临时性问题进行维护服务。</w:t>
      </w:r>
    </w:p>
    <w:p w14:paraId="04CA5DD8">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（8）定期维保交流活动</w:t>
      </w:r>
    </w:p>
    <w:p w14:paraId="627EE6B5">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针对软件最终用户进行的定期业务和技术交流服务活动。</w:t>
      </w:r>
    </w:p>
    <w:p w14:paraId="39659348">
      <w:pPr>
        <w:pStyle w:val="62"/>
        <w:numPr>
          <w:ilvl w:val="0"/>
          <w:numId w:val="16"/>
        </w:numPr>
        <w:spacing w:before="13" w:line="360" w:lineRule="auto"/>
        <w:ind w:right="23" w:firstLineChars="0"/>
        <w:jc w:val="left"/>
        <w:rPr>
          <w:rFonts w:ascii="宋体" w:hAnsi="宋体" w:cs="Arial Unicode MS"/>
          <w:b/>
          <w:bCs/>
          <w:color w:val="auto"/>
          <w:sz w:val="24"/>
          <w:highlight w:val="none"/>
        </w:rPr>
      </w:pPr>
      <w:r>
        <w:rPr>
          <w:rFonts w:hint="eastAsia" w:ascii="宋体" w:hAnsi="宋体" w:cs="Arial Unicode MS"/>
          <w:b/>
          <w:bCs/>
          <w:color w:val="auto"/>
          <w:sz w:val="24"/>
          <w:highlight w:val="none"/>
        </w:rPr>
        <w:t>应用软件相关接口维护</w:t>
      </w:r>
    </w:p>
    <w:p w14:paraId="08D00FB8">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针对中心业务管理系统应用软件相关接口提供维护服务。</w:t>
      </w:r>
    </w:p>
    <w:p w14:paraId="30F7C22A">
      <w:pPr>
        <w:pStyle w:val="62"/>
        <w:numPr>
          <w:ilvl w:val="0"/>
          <w:numId w:val="16"/>
        </w:numPr>
        <w:spacing w:before="13" w:line="360" w:lineRule="auto"/>
        <w:ind w:right="23" w:firstLineChars="0"/>
        <w:jc w:val="left"/>
        <w:rPr>
          <w:rFonts w:ascii="宋体" w:hAnsi="宋体" w:cs="Arial Unicode MS"/>
          <w:b/>
          <w:bCs/>
          <w:color w:val="auto"/>
          <w:sz w:val="24"/>
          <w:highlight w:val="none"/>
        </w:rPr>
      </w:pPr>
      <w:r>
        <w:rPr>
          <w:rFonts w:hint="eastAsia" w:ascii="宋体" w:hAnsi="宋体" w:cs="Arial Unicode MS"/>
          <w:b/>
          <w:bCs/>
          <w:color w:val="auto"/>
          <w:sz w:val="24"/>
          <w:highlight w:val="none"/>
        </w:rPr>
        <w:t>技术支持服务</w:t>
      </w:r>
    </w:p>
    <w:p w14:paraId="2BE08134">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服务期间内，保障派遣至少1名工程师常驻现场服务，进行现场日常维护与支持，并保障</w:t>
      </w:r>
      <w:r>
        <w:rPr>
          <w:rFonts w:ascii="宋体" w:hAnsi="宋体" w:cs="Arial Unicode MS"/>
          <w:color w:val="auto"/>
          <w:sz w:val="24"/>
          <w:highlight w:val="none"/>
        </w:rPr>
        <w:t>2-3</w:t>
      </w:r>
      <w:r>
        <w:rPr>
          <w:rFonts w:hint="eastAsia" w:ascii="宋体" w:hAnsi="宋体" w:cs="Arial Unicode MS"/>
          <w:color w:val="auto"/>
          <w:sz w:val="24"/>
          <w:highlight w:val="none"/>
        </w:rPr>
        <w:t>人运维服务工程师对该项目进行远程服务。</w:t>
      </w:r>
    </w:p>
    <w:p w14:paraId="5EC9675A">
      <w:pPr>
        <w:pStyle w:val="62"/>
        <w:numPr>
          <w:ilvl w:val="0"/>
          <w:numId w:val="16"/>
        </w:numPr>
        <w:spacing w:before="13" w:line="360" w:lineRule="auto"/>
        <w:ind w:right="23" w:firstLineChars="0"/>
        <w:jc w:val="left"/>
        <w:rPr>
          <w:rFonts w:ascii="宋体" w:hAnsi="宋体" w:cs="Arial Unicode MS"/>
          <w:b/>
          <w:bCs/>
          <w:color w:val="auto"/>
          <w:sz w:val="24"/>
          <w:highlight w:val="none"/>
        </w:rPr>
      </w:pPr>
      <w:r>
        <w:rPr>
          <w:rFonts w:hint="eastAsia" w:ascii="宋体" w:hAnsi="宋体" w:cs="Arial Unicode MS"/>
          <w:b/>
          <w:bCs/>
          <w:color w:val="auto"/>
          <w:sz w:val="24"/>
          <w:highlight w:val="none"/>
        </w:rPr>
        <w:t>培训及咨询服务</w:t>
      </w:r>
    </w:p>
    <w:p w14:paraId="6F8EE220">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针对业务人员在不熟悉业务的过程中，提供业务操作方面的培训支持；对新的业务的实施，制定操作规范，进行相关培训，提供业务咨询。</w:t>
      </w:r>
    </w:p>
    <w:p w14:paraId="5785DE2F">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运维服务要求</w:t>
      </w:r>
    </w:p>
    <w:p w14:paraId="45A994F4">
      <w:pPr>
        <w:pStyle w:val="62"/>
        <w:numPr>
          <w:ilvl w:val="0"/>
          <w:numId w:val="17"/>
        </w:numPr>
        <w:spacing w:before="13" w:line="360" w:lineRule="auto"/>
        <w:ind w:firstLineChars="0"/>
        <w:jc w:val="left"/>
        <w:rPr>
          <w:rFonts w:ascii="宋体" w:hAnsi="宋体" w:cs="Arial Unicode MS"/>
          <w:color w:val="auto"/>
          <w:sz w:val="24"/>
          <w:highlight w:val="none"/>
        </w:rPr>
      </w:pPr>
      <w:r>
        <w:rPr>
          <w:rFonts w:hint="eastAsia" w:ascii="宋体" w:hAnsi="宋体" w:cs="Arial Unicode MS"/>
          <w:color w:val="auto"/>
          <w:sz w:val="24"/>
          <w:highlight w:val="none"/>
        </w:rPr>
        <w:t>要求投标人具备完整的售后服务体系，具备专业的售后服务管理相关系统。使客户可通过该系统门户自助进行故障申报、跟踪处理进展流程、验证处理结果、评价、查询等，为客户提供的一个有效的服务窗口。</w:t>
      </w:r>
    </w:p>
    <w:p w14:paraId="15C4335A">
      <w:pPr>
        <w:pStyle w:val="62"/>
        <w:numPr>
          <w:ilvl w:val="0"/>
          <w:numId w:val="17"/>
        </w:numPr>
        <w:spacing w:before="13" w:line="360" w:lineRule="auto"/>
        <w:ind w:firstLineChars="0"/>
        <w:jc w:val="left"/>
        <w:rPr>
          <w:rFonts w:ascii="宋体" w:hAnsi="宋体" w:cs="Arial Unicode MS"/>
          <w:color w:val="auto"/>
          <w:sz w:val="24"/>
          <w:highlight w:val="none"/>
        </w:rPr>
      </w:pPr>
      <w:r>
        <w:rPr>
          <w:rFonts w:hint="eastAsia" w:ascii="宋体" w:hAnsi="宋体" w:cs="Arial Unicode MS"/>
          <w:color w:val="auto"/>
          <w:sz w:val="24"/>
          <w:highlight w:val="none"/>
        </w:rPr>
        <w:t>现场值守：驻场工程师提供5</w:t>
      </w:r>
      <w:r>
        <w:rPr>
          <w:rFonts w:ascii="宋体" w:hAnsi="宋体" w:cs="Arial Unicode MS"/>
          <w:color w:val="auto"/>
          <w:sz w:val="24"/>
          <w:highlight w:val="none"/>
        </w:rPr>
        <w:t>*8</w:t>
      </w:r>
      <w:r>
        <w:rPr>
          <w:rFonts w:hint="eastAsia" w:ascii="宋体" w:hAnsi="宋体" w:cs="Arial Unicode MS"/>
          <w:color w:val="auto"/>
          <w:sz w:val="24"/>
          <w:highlight w:val="none"/>
        </w:rPr>
        <w:t>小时技术支持。</w:t>
      </w:r>
    </w:p>
    <w:p w14:paraId="22F2CDF4">
      <w:pPr>
        <w:pStyle w:val="62"/>
        <w:numPr>
          <w:ilvl w:val="0"/>
          <w:numId w:val="17"/>
        </w:numPr>
        <w:spacing w:before="13" w:line="360" w:lineRule="auto"/>
        <w:ind w:firstLineChars="0"/>
        <w:jc w:val="left"/>
        <w:rPr>
          <w:rFonts w:ascii="宋体" w:hAnsi="宋体" w:cs="Arial Unicode MS"/>
          <w:color w:val="auto"/>
          <w:sz w:val="24"/>
          <w:highlight w:val="none"/>
        </w:rPr>
      </w:pPr>
      <w:r>
        <w:rPr>
          <w:rFonts w:hint="eastAsia" w:ascii="宋体" w:hAnsi="宋体" w:cs="Arial Unicode MS"/>
          <w:color w:val="auto"/>
          <w:sz w:val="24"/>
          <w:highlight w:val="none"/>
        </w:rPr>
        <w:t>远程支持：运维服务团队提供</w:t>
      </w:r>
      <w:r>
        <w:rPr>
          <w:rFonts w:ascii="宋体" w:hAnsi="宋体" w:cs="Arial Unicode MS"/>
          <w:color w:val="auto"/>
          <w:sz w:val="24"/>
          <w:highlight w:val="none"/>
        </w:rPr>
        <w:t>5*8</w:t>
      </w:r>
      <w:r>
        <w:rPr>
          <w:rFonts w:hint="eastAsia" w:ascii="宋体" w:hAnsi="宋体" w:cs="Arial Unicode MS"/>
          <w:color w:val="auto"/>
          <w:sz w:val="24"/>
          <w:highlight w:val="none"/>
        </w:rPr>
        <w:t>小时远程技术支持。</w:t>
      </w:r>
    </w:p>
    <w:p w14:paraId="57D3BD57">
      <w:pPr>
        <w:pStyle w:val="62"/>
        <w:numPr>
          <w:ilvl w:val="0"/>
          <w:numId w:val="17"/>
        </w:numPr>
        <w:spacing w:before="13" w:line="360" w:lineRule="auto"/>
        <w:ind w:firstLineChars="0"/>
        <w:jc w:val="left"/>
        <w:rPr>
          <w:rFonts w:ascii="宋体" w:hAnsi="宋体" w:cs="Arial Unicode MS"/>
          <w:color w:val="auto"/>
          <w:sz w:val="24"/>
          <w:highlight w:val="none"/>
        </w:rPr>
      </w:pPr>
      <w:r>
        <w:rPr>
          <w:rFonts w:hint="eastAsia" w:ascii="宋体" w:hAnsi="宋体" w:cs="Arial Unicode MS"/>
          <w:color w:val="auto"/>
          <w:sz w:val="24"/>
          <w:highlight w:val="none"/>
        </w:rPr>
        <w:t>传真、E-mail等方式服务：用户可随时通过传真和E-mail等方式提出疑问，客服部门7*24小时全天候接受用户提出的技术问题。</w:t>
      </w:r>
    </w:p>
    <w:p w14:paraId="7113992E">
      <w:pPr>
        <w:pStyle w:val="62"/>
        <w:numPr>
          <w:ilvl w:val="0"/>
          <w:numId w:val="17"/>
        </w:numPr>
        <w:spacing w:before="13" w:line="360" w:lineRule="auto"/>
        <w:ind w:firstLineChars="0"/>
        <w:jc w:val="left"/>
        <w:rPr>
          <w:rFonts w:ascii="宋体" w:hAnsi="宋体" w:cs="Arial Unicode MS"/>
          <w:color w:val="auto"/>
          <w:sz w:val="24"/>
          <w:highlight w:val="none"/>
        </w:rPr>
      </w:pPr>
      <w:r>
        <w:rPr>
          <w:rFonts w:hint="eastAsia" w:ascii="宋体" w:hAnsi="宋体" w:cs="Arial Unicode MS"/>
          <w:color w:val="auto"/>
          <w:sz w:val="24"/>
          <w:highlight w:val="none"/>
        </w:rPr>
        <w:t>系统巡检：驻场工程师定期完成设备巡检，并按月、季、年向用户提交系统运行报告，根据运行情况提出合理化建议。</w:t>
      </w:r>
    </w:p>
    <w:p w14:paraId="17E86D1A">
      <w:pPr>
        <w:pStyle w:val="62"/>
        <w:numPr>
          <w:ilvl w:val="0"/>
          <w:numId w:val="17"/>
        </w:numPr>
        <w:spacing w:before="13" w:line="360" w:lineRule="auto"/>
        <w:ind w:firstLineChars="0"/>
        <w:jc w:val="left"/>
        <w:rPr>
          <w:rFonts w:ascii="宋体" w:hAnsi="宋体" w:cs="Arial Unicode MS"/>
          <w:color w:val="auto"/>
          <w:sz w:val="24"/>
          <w:highlight w:val="none"/>
        </w:rPr>
      </w:pPr>
      <w:r>
        <w:rPr>
          <w:rFonts w:hint="eastAsia" w:ascii="宋体" w:hAnsi="宋体" w:cs="Arial Unicode MS"/>
          <w:color w:val="auto"/>
          <w:sz w:val="24"/>
          <w:highlight w:val="none"/>
        </w:rPr>
        <w:t>故障应急方案：投标人需制定切实可行的故障应急方案并提供应急响应技术支持。</w:t>
      </w:r>
    </w:p>
    <w:p w14:paraId="4AAE4DCB">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故障响应时间要求</w:t>
      </w:r>
    </w:p>
    <w:p w14:paraId="1BEB4C4D">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投标人需根据故障事件的不同级别，提供不同的响应服务。要求如下：</w:t>
      </w:r>
    </w:p>
    <w:p w14:paraId="2CDADA80">
      <w:pPr>
        <w:spacing w:before="13" w:line="360" w:lineRule="auto"/>
        <w:ind w:left="227" w:right="20" w:firstLine="480"/>
        <w:rPr>
          <w:rFonts w:cs="Arial Unicode MS" w:asciiTheme="minorEastAsia" w:hAnsiTheme="minorEastAsia" w:eastAsiaTheme="minorEastAsia"/>
          <w:color w:val="auto"/>
          <w:sz w:val="24"/>
          <w:highlight w:val="none"/>
        </w:rPr>
      </w:pPr>
      <w:bookmarkStart w:id="45" w:name="_Toc363758809"/>
      <w:bookmarkStart w:id="46" w:name="_Toc363670318"/>
      <w:r>
        <w:rPr>
          <w:rFonts w:hint="eastAsia" w:cs="Arial Unicode MS" w:asciiTheme="minorEastAsia" w:hAnsiTheme="minorEastAsia" w:eastAsiaTheme="minorEastAsia"/>
          <w:color w:val="auto"/>
          <w:sz w:val="24"/>
          <w:highlight w:val="none"/>
        </w:rPr>
        <w:t>（1）故障事件级别定义</w:t>
      </w:r>
      <w:bookmarkEnd w:id="45"/>
      <w:bookmarkEnd w:id="46"/>
    </w:p>
    <w:p w14:paraId="62FD20A3">
      <w:pPr>
        <w:pStyle w:val="62"/>
        <w:numPr>
          <w:ilvl w:val="0"/>
          <w:numId w:val="18"/>
        </w:numPr>
        <w:spacing w:before="13" w:line="360" w:lineRule="auto"/>
        <w:ind w:right="20" w:firstLineChars="0"/>
        <w:rPr>
          <w:rFonts w:ascii="宋体" w:hAnsi="宋体" w:cs="Arial Unicode MS"/>
          <w:color w:val="auto"/>
          <w:sz w:val="24"/>
          <w:highlight w:val="none"/>
        </w:rPr>
      </w:pPr>
      <w:r>
        <w:rPr>
          <w:rFonts w:hint="eastAsia" w:ascii="宋体" w:hAnsi="宋体" w:cs="Arial Unicode MS"/>
          <w:color w:val="auto"/>
          <w:sz w:val="24"/>
          <w:highlight w:val="none"/>
        </w:rPr>
        <w:t>等级1危急</w:t>
      </w:r>
    </w:p>
    <w:p w14:paraId="23D9F9A3">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危急故障定义为故障导致客户主要业务无法运行、系统处于完成不可用状态，客户业务服务完成终止，客户无法完成任何日常的工作。</w:t>
      </w:r>
    </w:p>
    <w:p w14:paraId="7C4AB5AE">
      <w:pPr>
        <w:pStyle w:val="62"/>
        <w:numPr>
          <w:ilvl w:val="0"/>
          <w:numId w:val="18"/>
        </w:numPr>
        <w:spacing w:before="13" w:line="360" w:lineRule="auto"/>
        <w:ind w:right="20" w:firstLineChars="0"/>
        <w:rPr>
          <w:rFonts w:ascii="宋体" w:hAnsi="宋体" w:cs="Arial Unicode MS"/>
          <w:color w:val="auto"/>
          <w:sz w:val="24"/>
          <w:highlight w:val="none"/>
        </w:rPr>
      </w:pPr>
      <w:r>
        <w:rPr>
          <w:rFonts w:hint="eastAsia" w:ascii="宋体" w:hAnsi="宋体" w:cs="Arial Unicode MS"/>
          <w:color w:val="auto"/>
          <w:sz w:val="24"/>
          <w:highlight w:val="none"/>
        </w:rPr>
        <w:t>等级2高级</w:t>
      </w:r>
    </w:p>
    <w:p w14:paraId="5928E1C0">
      <w:pPr>
        <w:spacing w:before="13" w:line="360" w:lineRule="auto"/>
        <w:ind w:left="227" w:right="20" w:firstLine="480"/>
        <w:rPr>
          <w:rFonts w:ascii="宋体" w:hAnsi="宋体" w:cs="Arial Unicode MS"/>
          <w:color w:val="auto"/>
          <w:sz w:val="24"/>
          <w:highlight w:val="none"/>
        </w:rPr>
      </w:pPr>
      <w:r>
        <w:rPr>
          <w:rFonts w:hint="eastAsia" w:ascii="宋体" w:hAnsi="宋体" w:cs="Arial Unicode MS"/>
          <w:color w:val="auto"/>
          <w:sz w:val="24"/>
          <w:highlight w:val="none"/>
        </w:rPr>
        <w:t>高级故障定义为故障严重的影响客户正常工作，系统出现中断、严重滞后，当前客户工作在缓慢的、不稳定的、完成不可预知的环境中。</w:t>
      </w:r>
    </w:p>
    <w:p w14:paraId="1069613D">
      <w:pPr>
        <w:pStyle w:val="62"/>
        <w:numPr>
          <w:ilvl w:val="0"/>
          <w:numId w:val="18"/>
        </w:numPr>
        <w:spacing w:before="13" w:line="360" w:lineRule="auto"/>
        <w:ind w:right="20" w:firstLineChars="0"/>
        <w:rPr>
          <w:rFonts w:ascii="宋体" w:hAnsi="宋体" w:cs="Arial Unicode MS"/>
          <w:color w:val="auto"/>
          <w:sz w:val="24"/>
          <w:highlight w:val="none"/>
        </w:rPr>
      </w:pPr>
      <w:r>
        <w:rPr>
          <w:rFonts w:hint="eastAsia" w:ascii="宋体" w:hAnsi="宋体" w:cs="Arial Unicode MS"/>
          <w:color w:val="auto"/>
          <w:sz w:val="24"/>
          <w:highlight w:val="none"/>
        </w:rPr>
        <w:t>等级3中级</w:t>
      </w:r>
    </w:p>
    <w:p w14:paraId="35C41683">
      <w:pPr>
        <w:pStyle w:val="24"/>
        <w:spacing w:after="0" w:line="360" w:lineRule="auto"/>
        <w:ind w:firstLine="480" w:firstLineChars="200"/>
        <w:rPr>
          <w:rStyle w:val="82"/>
          <w:rFonts w:cs="宋体"/>
          <w:color w:val="auto"/>
          <w:highlight w:val="none"/>
        </w:rPr>
      </w:pPr>
      <w:r>
        <w:rPr>
          <w:rStyle w:val="82"/>
          <w:rFonts w:hint="eastAsia" w:cs="宋体"/>
          <w:color w:val="auto"/>
          <w:highlight w:val="none"/>
        </w:rPr>
        <w:t>中级故障定义为故障并未严重影响系统的可用性及功能性，客户工作基本能够正常运行，部分系统功能受到影响。该情况也可使用与高等级的故障已经解决但尚存遗留问题的情况。</w:t>
      </w:r>
    </w:p>
    <w:p w14:paraId="3EA05FA7">
      <w:pPr>
        <w:pStyle w:val="62"/>
        <w:numPr>
          <w:ilvl w:val="0"/>
          <w:numId w:val="18"/>
        </w:numPr>
        <w:spacing w:before="13" w:line="360" w:lineRule="auto"/>
        <w:ind w:right="20" w:firstLineChars="0"/>
        <w:rPr>
          <w:rFonts w:ascii="宋体" w:hAnsi="宋体" w:cs="Arial Unicode MS"/>
          <w:color w:val="auto"/>
          <w:sz w:val="24"/>
          <w:highlight w:val="none"/>
        </w:rPr>
      </w:pPr>
      <w:r>
        <w:rPr>
          <w:rFonts w:hint="eastAsia" w:ascii="宋体" w:hAnsi="宋体" w:cs="Arial Unicode MS"/>
          <w:color w:val="auto"/>
          <w:sz w:val="24"/>
          <w:highlight w:val="none"/>
        </w:rPr>
        <w:t>等级4低级</w:t>
      </w:r>
    </w:p>
    <w:p w14:paraId="29826F1F">
      <w:pPr>
        <w:pStyle w:val="24"/>
        <w:spacing w:after="0" w:line="360" w:lineRule="auto"/>
        <w:ind w:firstLine="480" w:firstLineChars="200"/>
        <w:rPr>
          <w:rStyle w:val="82"/>
          <w:rFonts w:cs="宋体"/>
          <w:color w:val="auto"/>
          <w:highlight w:val="none"/>
        </w:rPr>
      </w:pPr>
      <w:r>
        <w:rPr>
          <w:rStyle w:val="82"/>
          <w:rFonts w:hint="eastAsia" w:cs="宋体"/>
          <w:color w:val="auto"/>
          <w:highlight w:val="none"/>
        </w:rPr>
        <w:t>低级故障定义为故障对客户的业务系统产生影响，但系统工作并未出现大的变化，该时间也可以是服务信息咨询或者建议。</w:t>
      </w:r>
    </w:p>
    <w:p w14:paraId="0BEDCFDB">
      <w:pPr>
        <w:spacing w:before="13" w:line="360" w:lineRule="auto"/>
        <w:ind w:left="227" w:right="20" w:firstLine="480"/>
        <w:rPr>
          <w:rFonts w:cs="Arial Unicode MS"/>
          <w:color w:val="auto"/>
          <w:sz w:val="24"/>
          <w:highlight w:val="none"/>
        </w:rPr>
      </w:pPr>
      <w:bookmarkStart w:id="47" w:name="_Toc363670319"/>
      <w:bookmarkStart w:id="48" w:name="_Toc363758810"/>
      <w:r>
        <w:rPr>
          <w:rFonts w:hint="eastAsia" w:cs="Arial Unicode MS"/>
          <w:color w:val="auto"/>
          <w:sz w:val="24"/>
          <w:highlight w:val="none"/>
        </w:rPr>
        <w:t>（2）服务响应时间</w:t>
      </w:r>
      <w:bookmarkEnd w:id="47"/>
      <w:bookmarkEnd w:id="48"/>
    </w:p>
    <w:p w14:paraId="3D4BC4FF">
      <w:pPr>
        <w:pStyle w:val="24"/>
        <w:spacing w:after="0" w:line="360" w:lineRule="auto"/>
        <w:ind w:firstLine="480" w:firstLineChars="200"/>
        <w:rPr>
          <w:rStyle w:val="82"/>
          <w:rFonts w:cs="宋体" w:asciiTheme="minorEastAsia" w:hAnsiTheme="minorEastAsia" w:eastAsiaTheme="minorEastAsia"/>
          <w:color w:val="auto"/>
          <w:highlight w:val="none"/>
        </w:rPr>
      </w:pPr>
      <w:r>
        <w:rPr>
          <w:rStyle w:val="82"/>
          <w:rFonts w:hint="eastAsia" w:cs="宋体" w:asciiTheme="minorEastAsia" w:hAnsiTheme="minorEastAsia" w:eastAsiaTheme="minorEastAsia"/>
          <w:color w:val="auto"/>
          <w:highlight w:val="none"/>
        </w:rPr>
        <w:t>危急响应时间≤15分钟，解决时间≤15分钟；</w:t>
      </w:r>
    </w:p>
    <w:p w14:paraId="1ED14C92">
      <w:pPr>
        <w:pStyle w:val="24"/>
        <w:spacing w:after="0" w:line="360" w:lineRule="auto"/>
        <w:ind w:firstLine="480" w:firstLineChars="200"/>
        <w:rPr>
          <w:rStyle w:val="82"/>
          <w:rFonts w:cs="宋体" w:asciiTheme="minorEastAsia" w:hAnsiTheme="minorEastAsia" w:eastAsiaTheme="minorEastAsia"/>
          <w:color w:val="auto"/>
          <w:highlight w:val="none"/>
        </w:rPr>
      </w:pPr>
      <w:r>
        <w:rPr>
          <w:rStyle w:val="82"/>
          <w:rFonts w:hint="eastAsia" w:cs="宋体" w:asciiTheme="minorEastAsia" w:hAnsiTheme="minorEastAsia" w:eastAsiaTheme="minorEastAsia"/>
          <w:color w:val="auto"/>
          <w:highlight w:val="none"/>
        </w:rPr>
        <w:t>高级响应时间≤15分钟，解决时间≤30分钟；</w:t>
      </w:r>
    </w:p>
    <w:p w14:paraId="5E734006">
      <w:pPr>
        <w:pStyle w:val="24"/>
        <w:spacing w:after="0" w:line="360" w:lineRule="auto"/>
        <w:ind w:firstLine="480" w:firstLineChars="200"/>
        <w:rPr>
          <w:rStyle w:val="82"/>
          <w:rFonts w:cs="宋体" w:asciiTheme="minorEastAsia" w:hAnsiTheme="minorEastAsia" w:eastAsiaTheme="minorEastAsia"/>
          <w:color w:val="auto"/>
          <w:highlight w:val="none"/>
        </w:rPr>
      </w:pPr>
      <w:r>
        <w:rPr>
          <w:rStyle w:val="82"/>
          <w:rFonts w:hint="eastAsia" w:cs="宋体" w:asciiTheme="minorEastAsia" w:hAnsiTheme="minorEastAsia" w:eastAsiaTheme="minorEastAsia"/>
          <w:color w:val="auto"/>
          <w:highlight w:val="none"/>
        </w:rPr>
        <w:t>中级响应时间≤15分钟，解决时间≤45分钟；</w:t>
      </w:r>
    </w:p>
    <w:p w14:paraId="066C0EDC">
      <w:pPr>
        <w:pStyle w:val="24"/>
        <w:spacing w:after="0" w:line="360" w:lineRule="auto"/>
        <w:ind w:firstLine="480" w:firstLineChars="200"/>
        <w:rPr>
          <w:rStyle w:val="82"/>
          <w:rFonts w:cs="宋体" w:asciiTheme="minorEastAsia" w:hAnsiTheme="minorEastAsia" w:eastAsiaTheme="minorEastAsia"/>
          <w:color w:val="auto"/>
          <w:highlight w:val="none"/>
        </w:rPr>
      </w:pPr>
      <w:r>
        <w:rPr>
          <w:rStyle w:val="82"/>
          <w:rFonts w:hint="eastAsia" w:cs="宋体" w:asciiTheme="minorEastAsia" w:hAnsiTheme="minorEastAsia" w:eastAsiaTheme="minorEastAsia"/>
          <w:color w:val="auto"/>
          <w:highlight w:val="none"/>
        </w:rPr>
        <w:t>低级响应时间≤15分钟，解决时间≤60分钟。</w:t>
      </w:r>
    </w:p>
    <w:p w14:paraId="7A82B7E1">
      <w:pPr>
        <w:pStyle w:val="24"/>
        <w:spacing w:after="0" w:line="360" w:lineRule="auto"/>
        <w:ind w:firstLine="480" w:firstLineChars="200"/>
        <w:rPr>
          <w:rStyle w:val="82"/>
          <w:rFonts w:cs="宋体" w:asciiTheme="minorEastAsia" w:hAnsiTheme="minorEastAsia" w:eastAsiaTheme="minorEastAsia"/>
          <w:color w:val="auto"/>
          <w:highlight w:val="none"/>
        </w:rPr>
      </w:pPr>
    </w:p>
    <w:p w14:paraId="03D52828">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系统对接要求</w:t>
      </w:r>
    </w:p>
    <w:p w14:paraId="23722BEC">
      <w:pPr>
        <w:pStyle w:val="24"/>
        <w:spacing w:after="0" w:line="360" w:lineRule="auto"/>
        <w:ind w:firstLine="480" w:firstLineChars="200"/>
        <w:rPr>
          <w:rStyle w:val="82"/>
          <w:rFonts w:cs="宋体"/>
          <w:color w:val="auto"/>
          <w:highlight w:val="none"/>
        </w:rPr>
      </w:pPr>
      <w:r>
        <w:rPr>
          <w:rStyle w:val="82"/>
          <w:rFonts w:hint="eastAsia" w:cs="宋体"/>
          <w:color w:val="auto"/>
          <w:highlight w:val="none"/>
        </w:rPr>
        <w:t>本次项目中标人需自行与原系统运维服务商完成各项对接事宜，对接事宜过程中的成本计入投标报价，采购人不再承担对接过程中的相关费用或其它开销。</w:t>
      </w:r>
    </w:p>
    <w:p w14:paraId="6E0BC8B6">
      <w:pPr>
        <w:pStyle w:val="62"/>
        <w:numPr>
          <w:ilvl w:val="0"/>
          <w:numId w:val="14"/>
        </w:numPr>
        <w:spacing w:before="13" w:line="360" w:lineRule="auto"/>
        <w:ind w:right="20" w:firstLineChars="0"/>
        <w:rPr>
          <w:rFonts w:ascii="宋体" w:hAnsi="宋体" w:cs="Arial Unicode MS"/>
          <w:b/>
          <w:bCs/>
          <w:color w:val="auto"/>
          <w:sz w:val="24"/>
          <w:highlight w:val="none"/>
        </w:rPr>
      </w:pPr>
      <w:r>
        <w:rPr>
          <w:rFonts w:hint="eastAsia" w:ascii="宋体" w:hAnsi="宋体" w:cs="Arial Unicode MS"/>
          <w:b/>
          <w:bCs/>
          <w:color w:val="auto"/>
          <w:sz w:val="24"/>
          <w:highlight w:val="none"/>
        </w:rPr>
        <w:t>商务要求</w:t>
      </w:r>
    </w:p>
    <w:p w14:paraId="551FCF00">
      <w:pPr>
        <w:pStyle w:val="24"/>
        <w:numPr>
          <w:ilvl w:val="0"/>
          <w:numId w:val="19"/>
        </w:numPr>
        <w:spacing w:after="0" w:line="360" w:lineRule="auto"/>
        <w:rPr>
          <w:rStyle w:val="82"/>
          <w:rFonts w:cs="宋体"/>
          <w:color w:val="auto"/>
          <w:highlight w:val="none"/>
        </w:rPr>
      </w:pPr>
      <w:bookmarkStart w:id="49" w:name="_Toc32941039"/>
      <w:r>
        <w:rPr>
          <w:rStyle w:val="82"/>
          <w:rFonts w:hint="eastAsia" w:cs="宋体"/>
          <w:color w:val="auto"/>
          <w:highlight w:val="none"/>
        </w:rPr>
        <w:t>服务时间</w:t>
      </w:r>
      <w:bookmarkEnd w:id="49"/>
      <w:r>
        <w:rPr>
          <w:rStyle w:val="82"/>
          <w:rFonts w:hint="eastAsia" w:cs="宋体"/>
          <w:color w:val="auto"/>
          <w:highlight w:val="none"/>
        </w:rPr>
        <w:t>：</w:t>
      </w:r>
      <w:r>
        <w:rPr>
          <w:rStyle w:val="82"/>
          <w:rFonts w:cs="宋体"/>
          <w:color w:val="auto"/>
          <w:highlight w:val="none"/>
        </w:rPr>
        <w:t>1</w:t>
      </w:r>
      <w:r>
        <w:rPr>
          <w:rStyle w:val="82"/>
          <w:rFonts w:hint="eastAsia" w:cs="宋体"/>
          <w:color w:val="auto"/>
          <w:highlight w:val="none"/>
        </w:rPr>
        <w:t>年</w:t>
      </w:r>
    </w:p>
    <w:p w14:paraId="40550798">
      <w:pPr>
        <w:pStyle w:val="24"/>
        <w:numPr>
          <w:ilvl w:val="0"/>
          <w:numId w:val="19"/>
        </w:numPr>
        <w:spacing w:after="0" w:line="360" w:lineRule="auto"/>
        <w:rPr>
          <w:rStyle w:val="82"/>
          <w:rFonts w:cs="宋体"/>
          <w:color w:val="auto"/>
          <w:highlight w:val="none"/>
        </w:rPr>
      </w:pPr>
      <w:r>
        <w:rPr>
          <w:rStyle w:val="82"/>
          <w:rFonts w:hint="eastAsia" w:cs="宋体"/>
          <w:color w:val="auto"/>
          <w:highlight w:val="none"/>
        </w:rPr>
        <w:t>项目服务地点：采购方指定地点。</w:t>
      </w:r>
    </w:p>
    <w:p w14:paraId="19112ED5">
      <w:pPr>
        <w:pStyle w:val="24"/>
        <w:numPr>
          <w:ilvl w:val="0"/>
          <w:numId w:val="19"/>
        </w:numPr>
        <w:spacing w:after="0" w:line="360" w:lineRule="auto"/>
        <w:rPr>
          <w:rStyle w:val="82"/>
          <w:rFonts w:cs="宋体"/>
          <w:color w:val="auto"/>
          <w:highlight w:val="none"/>
        </w:rPr>
      </w:pPr>
      <w:bookmarkStart w:id="50" w:name="_Toc32941040"/>
      <w:r>
        <w:rPr>
          <w:rStyle w:val="82"/>
          <w:rFonts w:hint="eastAsia" w:cs="宋体"/>
          <w:color w:val="auto"/>
          <w:highlight w:val="none"/>
        </w:rPr>
        <w:t>付款方式</w:t>
      </w:r>
      <w:bookmarkEnd w:id="50"/>
      <w:r>
        <w:rPr>
          <w:rStyle w:val="82"/>
          <w:rFonts w:hint="eastAsia" w:cs="宋体"/>
          <w:color w:val="auto"/>
          <w:highlight w:val="none"/>
        </w:rPr>
        <w:t>：签订合同后，7个工作日内采购人支付1</w:t>
      </w:r>
      <w:r>
        <w:rPr>
          <w:rStyle w:val="82"/>
          <w:rFonts w:cs="宋体"/>
          <w:color w:val="auto"/>
          <w:highlight w:val="none"/>
        </w:rPr>
        <w:t>00</w:t>
      </w:r>
      <w:r>
        <w:rPr>
          <w:rStyle w:val="82"/>
          <w:rFonts w:hint="eastAsia" w:cs="宋体"/>
          <w:color w:val="auto"/>
          <w:highlight w:val="none"/>
        </w:rPr>
        <w:t>%合同金额。</w:t>
      </w:r>
    </w:p>
    <w:p w14:paraId="433E6856">
      <w:pPr>
        <w:pStyle w:val="24"/>
        <w:numPr>
          <w:ilvl w:val="0"/>
          <w:numId w:val="19"/>
        </w:numPr>
        <w:spacing w:after="0" w:line="360" w:lineRule="auto"/>
        <w:rPr>
          <w:rStyle w:val="82"/>
          <w:rFonts w:cs="宋体"/>
          <w:color w:val="auto"/>
          <w:highlight w:val="none"/>
        </w:rPr>
      </w:pPr>
      <w:bookmarkStart w:id="51" w:name="_Toc32941041"/>
      <w:r>
        <w:rPr>
          <w:rStyle w:val="82"/>
          <w:rFonts w:hint="eastAsia" w:cs="宋体"/>
          <w:color w:val="auto"/>
          <w:highlight w:val="none"/>
        </w:rPr>
        <w:t>售后服务要求</w:t>
      </w:r>
      <w:bookmarkEnd w:id="51"/>
      <w:r>
        <w:rPr>
          <w:rStyle w:val="82"/>
          <w:rFonts w:hint="eastAsia" w:cs="宋体"/>
          <w:color w:val="auto"/>
          <w:highlight w:val="none"/>
        </w:rPr>
        <w:t>：</w:t>
      </w:r>
    </w:p>
    <w:p w14:paraId="4C35859B">
      <w:pPr>
        <w:spacing w:before="13" w:line="360" w:lineRule="auto"/>
        <w:ind w:left="210" w:leftChars="100" w:right="17" w:rightChars="8" w:firstLine="480"/>
        <w:rPr>
          <w:rFonts w:ascii="宋体" w:hAnsi="宋体" w:cs="Arial Unicode MS"/>
          <w:color w:val="auto"/>
          <w:sz w:val="24"/>
          <w:highlight w:val="none"/>
        </w:rPr>
      </w:pPr>
      <w:r>
        <w:rPr>
          <w:rFonts w:hint="eastAsia" w:ascii="宋体" w:hAnsi="宋体" w:cs="Arial Unicode MS"/>
          <w:color w:val="auto"/>
          <w:sz w:val="24"/>
          <w:highlight w:val="none"/>
        </w:rPr>
        <w:t>（</w:t>
      </w:r>
      <w:r>
        <w:rPr>
          <w:rFonts w:ascii="宋体" w:hAnsi="宋体" w:cs="Arial Unicode MS"/>
          <w:color w:val="auto"/>
          <w:sz w:val="24"/>
          <w:highlight w:val="none"/>
        </w:rPr>
        <w:t>1</w:t>
      </w:r>
      <w:r>
        <w:rPr>
          <w:rFonts w:hint="eastAsia" w:ascii="宋体" w:hAnsi="宋体" w:cs="Arial Unicode MS"/>
          <w:color w:val="auto"/>
          <w:sz w:val="24"/>
          <w:highlight w:val="none"/>
        </w:rPr>
        <w:t>）售后服务机构及服务团队构成。中标人必须具备专业维护职能的维保团队，提供完备的技术服务支持。提供服务电话、微信、QQ 等咨询、回访服务。提供用户操作在线指导服务。</w:t>
      </w:r>
    </w:p>
    <w:p w14:paraId="6BCFE308">
      <w:pPr>
        <w:spacing w:before="13" w:line="360" w:lineRule="auto"/>
        <w:ind w:left="210" w:leftChars="100" w:right="17" w:rightChars="8" w:firstLine="480"/>
        <w:rPr>
          <w:rFonts w:ascii="宋体" w:hAnsi="宋体" w:cs="Arial Unicode MS"/>
          <w:color w:val="auto"/>
          <w:sz w:val="24"/>
          <w:highlight w:val="none"/>
        </w:rPr>
        <w:sectPr>
          <w:footerReference r:id="rId5" w:type="default"/>
          <w:footerReference r:id="rId6" w:type="even"/>
          <w:pgSz w:w="11907" w:h="16840"/>
          <w:pgMar w:top="1134" w:right="1191" w:bottom="1134" w:left="1304" w:header="964" w:footer="992" w:gutter="0"/>
          <w:pgNumType w:fmt="numberInDash"/>
          <w:cols w:space="720" w:num="1"/>
          <w:docGrid w:linePitch="381" w:charSpace="0"/>
        </w:sectPr>
      </w:pPr>
      <w:r>
        <w:rPr>
          <w:rFonts w:hint="eastAsia" w:ascii="宋体" w:hAnsi="宋体" w:cs="Arial Unicode MS"/>
          <w:color w:val="auto"/>
          <w:sz w:val="24"/>
          <w:highlight w:val="none"/>
        </w:rPr>
        <w:t>（</w:t>
      </w:r>
      <w:r>
        <w:rPr>
          <w:rFonts w:ascii="宋体" w:hAnsi="宋体" w:cs="Arial Unicode MS"/>
          <w:color w:val="auto"/>
          <w:sz w:val="24"/>
          <w:highlight w:val="none"/>
        </w:rPr>
        <w:t>2</w:t>
      </w:r>
      <w:r>
        <w:rPr>
          <w:rFonts w:hint="eastAsia" w:ascii="宋体" w:hAnsi="宋体" w:cs="Arial Unicode MS"/>
          <w:color w:val="auto"/>
          <w:sz w:val="24"/>
          <w:highlight w:val="none"/>
        </w:rPr>
        <w:t>）中标人承诺能够快速响应中心的服务要求，具备1小时内到现场、4小时内解决问题的能力</w:t>
      </w:r>
    </w:p>
    <w:p w14:paraId="51A77E7C">
      <w:pPr>
        <w:pStyle w:val="5"/>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p>
    <w:p w14:paraId="21AC3783">
      <w:pPr>
        <w:widowControl/>
        <w:spacing w:line="520" w:lineRule="exact"/>
        <w:ind w:firstLine="480" w:firstLineChars="200"/>
        <w:jc w:val="center"/>
        <w:rPr>
          <w:rFonts w:ascii="宋体" w:hAnsi="宋体" w:cs="宋体"/>
          <w:color w:val="auto"/>
          <w:sz w:val="24"/>
          <w:highlight w:val="none"/>
        </w:rPr>
      </w:pPr>
    </w:p>
    <w:p w14:paraId="66DA559C">
      <w:pPr>
        <w:rPr>
          <w:color w:val="auto"/>
          <w:highlight w:val="none"/>
        </w:rPr>
      </w:pPr>
      <w:r>
        <w:rPr>
          <w:rFonts w:hint="eastAsia"/>
          <w:color w:val="auto"/>
          <w:highlight w:val="none"/>
        </w:rPr>
        <w:t xml:space="preserve">注：请供应商按照以下文件的要求格式、内容，顺序制作响应性文件，并编制目录及页码，否则可能将影响对响应性文件的评价。 </w:t>
      </w:r>
    </w:p>
    <w:p w14:paraId="61132447">
      <w:pPr>
        <w:rPr>
          <w:b/>
          <w:color w:val="auto"/>
          <w:highlight w:val="none"/>
        </w:rPr>
      </w:pPr>
      <w:r>
        <w:rPr>
          <w:rFonts w:hint="eastAsia"/>
          <w:b/>
          <w:color w:val="auto"/>
          <w:highlight w:val="none"/>
        </w:rPr>
        <w:t>重要提示：</w:t>
      </w:r>
    </w:p>
    <w:p w14:paraId="36639322">
      <w:pPr>
        <w:rPr>
          <w:color w:val="auto"/>
          <w:highlight w:val="none"/>
        </w:rPr>
      </w:pPr>
      <w:r>
        <w:rPr>
          <w:rFonts w:hint="eastAsia"/>
          <w:color w:val="auto"/>
          <w:highlight w:val="none"/>
        </w:rPr>
        <w:t>1．供应商在编制响应性文件时，对于给定格式的文件内容，必须按照给定的标准格式进行填报；对于没有给定标准格式的文件内容，可以由供应商自行设计。</w:t>
      </w:r>
    </w:p>
    <w:p w14:paraId="251042F0">
      <w:pPr>
        <w:rPr>
          <w:color w:val="auto"/>
          <w:highlight w:val="none"/>
        </w:rPr>
      </w:pPr>
      <w:r>
        <w:rPr>
          <w:rFonts w:hint="eastAsia"/>
          <w:color w:val="auto"/>
          <w:highlight w:val="none"/>
        </w:rPr>
        <w:t>2.法定代表人本人参加竞争性磋商的，不需提供授权委托书。</w:t>
      </w:r>
    </w:p>
    <w:p w14:paraId="45A00C94">
      <w:pPr>
        <w:widowControl/>
        <w:jc w:val="left"/>
        <w:rPr>
          <w:color w:val="auto"/>
          <w:highlight w:val="none"/>
        </w:rPr>
      </w:pPr>
      <w:r>
        <w:rPr>
          <w:color w:val="auto"/>
          <w:highlight w:val="none"/>
        </w:rPr>
        <w:br w:type="page"/>
      </w:r>
    </w:p>
    <w:p w14:paraId="196A053F">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357F9DC">
      <w:pPr>
        <w:widowControl/>
        <w:jc w:val="center"/>
        <w:rPr>
          <w:rFonts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31193AB3">
      <w:pPr>
        <w:pStyle w:val="2"/>
        <w:ind w:firstLine="210"/>
        <w:rPr>
          <w:color w:val="auto"/>
          <w:highlight w:val="none"/>
        </w:rPr>
      </w:pPr>
    </w:p>
    <w:p w14:paraId="2FEDAD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4C1F7A9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6EAE84C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3828167D">
      <w:pPr>
        <w:spacing w:line="360" w:lineRule="auto"/>
        <w:ind w:firstLine="480" w:firstLineChars="200"/>
        <w:rPr>
          <w:rFonts w:ascii="宋体" w:hAnsi="宋体" w:cs="宋体"/>
          <w:color w:val="auto"/>
          <w:sz w:val="24"/>
          <w:highlight w:val="none"/>
        </w:rPr>
      </w:pPr>
    </w:p>
    <w:p w14:paraId="74F397B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4011482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20A3BB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0DA1A7C3">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AAB0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DAD9406">
            <w:pPr>
              <w:spacing w:line="480" w:lineRule="exact"/>
              <w:rPr>
                <w:rFonts w:ascii="宋体" w:hAnsi="宋体" w:cs="宋体"/>
                <w:b/>
                <w:bCs/>
                <w:color w:val="auto"/>
                <w:sz w:val="24"/>
                <w:highlight w:val="none"/>
              </w:rPr>
            </w:pPr>
          </w:p>
          <w:p w14:paraId="571455C9">
            <w:pPr>
              <w:spacing w:line="480" w:lineRule="exact"/>
              <w:rPr>
                <w:rFonts w:ascii="宋体" w:hAnsi="宋体" w:cs="宋体"/>
                <w:b/>
                <w:bCs/>
                <w:color w:val="auto"/>
                <w:sz w:val="24"/>
                <w:highlight w:val="none"/>
              </w:rPr>
            </w:pPr>
          </w:p>
          <w:p w14:paraId="422BF548">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B6DAF43">
            <w:pPr>
              <w:spacing w:line="480" w:lineRule="exact"/>
              <w:rPr>
                <w:rFonts w:ascii="宋体" w:hAnsi="宋体" w:cs="宋体"/>
                <w:color w:val="auto"/>
                <w:sz w:val="24"/>
                <w:highlight w:val="none"/>
              </w:rPr>
            </w:pPr>
          </w:p>
          <w:p w14:paraId="29E96A98">
            <w:pPr>
              <w:spacing w:line="480" w:lineRule="exact"/>
              <w:rPr>
                <w:rFonts w:ascii="宋体" w:hAnsi="宋体" w:cs="宋体"/>
                <w:color w:val="auto"/>
                <w:sz w:val="24"/>
                <w:highlight w:val="none"/>
              </w:rPr>
            </w:pPr>
          </w:p>
        </w:tc>
      </w:tr>
    </w:tbl>
    <w:p w14:paraId="0E3C985D">
      <w:pPr>
        <w:spacing w:line="360" w:lineRule="auto"/>
        <w:ind w:firstLine="960" w:firstLineChars="400"/>
        <w:rPr>
          <w:rFonts w:ascii="宋体" w:hAnsi="宋体" w:cs="宋体"/>
          <w:color w:val="auto"/>
          <w:sz w:val="24"/>
          <w:highlight w:val="none"/>
        </w:rPr>
      </w:pPr>
    </w:p>
    <w:p w14:paraId="45ADDD82">
      <w:pPr>
        <w:spacing w:line="360" w:lineRule="auto"/>
        <w:ind w:firstLine="3840" w:firstLineChars="1600"/>
        <w:rPr>
          <w:rFonts w:ascii="宋体" w:hAnsi="宋体" w:cs="宋体"/>
          <w:color w:val="auto"/>
          <w:sz w:val="24"/>
          <w:highlight w:val="none"/>
        </w:rPr>
      </w:pPr>
    </w:p>
    <w:p w14:paraId="3A17A722">
      <w:pPr>
        <w:spacing w:line="360" w:lineRule="auto"/>
        <w:ind w:firstLine="3840" w:firstLineChars="1600"/>
        <w:rPr>
          <w:rFonts w:ascii="宋体" w:hAnsi="宋体" w:cs="宋体"/>
          <w:color w:val="auto"/>
          <w:sz w:val="24"/>
          <w:highlight w:val="none"/>
        </w:rPr>
      </w:pPr>
    </w:p>
    <w:p w14:paraId="38739433">
      <w:pPr>
        <w:spacing w:line="360" w:lineRule="auto"/>
        <w:ind w:firstLine="3840" w:firstLineChars="1600"/>
        <w:rPr>
          <w:rFonts w:ascii="宋体" w:hAnsi="宋体" w:cs="宋体"/>
          <w:color w:val="auto"/>
          <w:sz w:val="24"/>
          <w:highlight w:val="none"/>
        </w:rPr>
      </w:pPr>
    </w:p>
    <w:p w14:paraId="450941FE">
      <w:pPr>
        <w:spacing w:line="360" w:lineRule="auto"/>
        <w:jc w:val="center"/>
        <w:rPr>
          <w:rFonts w:ascii="宋体" w:hAnsi="宋体" w:cs="宋体"/>
          <w:color w:val="auto"/>
          <w:sz w:val="24"/>
          <w:highlight w:val="none"/>
        </w:rPr>
      </w:pPr>
    </w:p>
    <w:p w14:paraId="0F358278">
      <w:pPr>
        <w:spacing w:line="360" w:lineRule="auto"/>
        <w:jc w:val="center"/>
        <w:rPr>
          <w:rFonts w:ascii="宋体" w:hAnsi="宋体" w:cs="宋体"/>
          <w:color w:val="auto"/>
          <w:sz w:val="24"/>
          <w:highlight w:val="none"/>
        </w:rPr>
      </w:pPr>
    </w:p>
    <w:p w14:paraId="12DAFD3A">
      <w:pPr>
        <w:spacing w:line="360" w:lineRule="auto"/>
        <w:jc w:val="center"/>
        <w:rPr>
          <w:rFonts w:ascii="宋体" w:hAnsi="宋体" w:cs="宋体"/>
          <w:color w:val="auto"/>
          <w:sz w:val="24"/>
          <w:highlight w:val="none"/>
        </w:rPr>
      </w:pPr>
    </w:p>
    <w:p w14:paraId="7631666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0331A9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23901FA6">
      <w:pPr>
        <w:spacing w:line="360" w:lineRule="auto"/>
        <w:jc w:val="center"/>
        <w:rPr>
          <w:rFonts w:ascii="宋体" w:hAnsi="宋体" w:cs="宋体"/>
          <w:color w:val="auto"/>
          <w:sz w:val="24"/>
          <w:highlight w:val="none"/>
        </w:rPr>
      </w:pPr>
    </w:p>
    <w:p w14:paraId="6B1AE264">
      <w:pPr>
        <w:spacing w:line="360" w:lineRule="auto"/>
        <w:jc w:val="center"/>
        <w:rPr>
          <w:rFonts w:ascii="宋体" w:hAnsi="宋体" w:cs="宋体"/>
          <w:color w:val="auto"/>
          <w:sz w:val="24"/>
          <w:highlight w:val="none"/>
        </w:rPr>
      </w:pPr>
    </w:p>
    <w:p w14:paraId="016C1449">
      <w:pPr>
        <w:spacing w:line="360" w:lineRule="auto"/>
        <w:jc w:val="center"/>
        <w:rPr>
          <w:rFonts w:ascii="宋体" w:hAnsi="宋体" w:cs="宋体"/>
          <w:color w:val="auto"/>
          <w:sz w:val="24"/>
          <w:highlight w:val="none"/>
        </w:rPr>
      </w:pPr>
    </w:p>
    <w:p w14:paraId="2A52F509">
      <w:pPr>
        <w:pStyle w:val="2"/>
        <w:ind w:firstLine="240"/>
        <w:rPr>
          <w:rFonts w:ascii="宋体" w:hAnsi="宋体" w:cs="宋体"/>
          <w:color w:val="auto"/>
          <w:sz w:val="24"/>
          <w:highlight w:val="none"/>
        </w:rPr>
      </w:pPr>
    </w:p>
    <w:p w14:paraId="4B8F1CCF">
      <w:pPr>
        <w:pStyle w:val="2"/>
        <w:ind w:firstLine="240"/>
        <w:rPr>
          <w:rFonts w:ascii="宋体" w:hAnsi="宋体" w:cs="宋体"/>
          <w:color w:val="auto"/>
          <w:sz w:val="24"/>
          <w:highlight w:val="none"/>
        </w:rPr>
      </w:pPr>
    </w:p>
    <w:p w14:paraId="4C50FB91">
      <w:pPr>
        <w:pStyle w:val="2"/>
        <w:ind w:firstLine="240"/>
        <w:rPr>
          <w:rFonts w:ascii="宋体" w:hAnsi="宋体" w:cs="宋体"/>
          <w:color w:val="auto"/>
          <w:sz w:val="24"/>
          <w:highlight w:val="none"/>
        </w:rPr>
      </w:pPr>
    </w:p>
    <w:p w14:paraId="59CFBB0C">
      <w:pPr>
        <w:pStyle w:val="2"/>
        <w:ind w:firstLine="240"/>
        <w:rPr>
          <w:rFonts w:ascii="宋体" w:hAnsi="宋体" w:cs="宋体"/>
          <w:color w:val="auto"/>
          <w:sz w:val="24"/>
          <w:highlight w:val="none"/>
        </w:rPr>
      </w:pPr>
    </w:p>
    <w:p w14:paraId="11479F3E">
      <w:pPr>
        <w:pStyle w:val="2"/>
        <w:ind w:firstLine="240"/>
        <w:rPr>
          <w:rFonts w:ascii="宋体" w:hAnsi="宋体" w:cs="宋体"/>
          <w:color w:val="auto"/>
          <w:sz w:val="24"/>
          <w:highlight w:val="none"/>
        </w:rPr>
      </w:pPr>
    </w:p>
    <w:p w14:paraId="03B4C5E0">
      <w:pPr>
        <w:pStyle w:val="2"/>
        <w:ind w:firstLine="240"/>
        <w:rPr>
          <w:rFonts w:ascii="宋体" w:hAnsi="宋体" w:cs="宋体"/>
          <w:color w:val="auto"/>
          <w:sz w:val="24"/>
          <w:highlight w:val="none"/>
        </w:rPr>
      </w:pPr>
    </w:p>
    <w:p w14:paraId="4917C644">
      <w:pPr>
        <w:pStyle w:val="2"/>
        <w:ind w:firstLine="240"/>
        <w:rPr>
          <w:rFonts w:ascii="宋体" w:hAnsi="宋体" w:cs="宋体"/>
          <w:color w:val="auto"/>
          <w:sz w:val="24"/>
          <w:highlight w:val="none"/>
        </w:rPr>
      </w:pPr>
    </w:p>
    <w:p w14:paraId="2F638EAF">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19659EE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6A8EAB4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7E4DEA67">
      <w:pPr>
        <w:spacing w:line="360" w:lineRule="auto"/>
        <w:ind w:firstLine="480" w:firstLineChars="200"/>
        <w:rPr>
          <w:rFonts w:ascii="宋体" w:hAnsi="宋体" w:cs="宋体"/>
          <w:color w:val="auto"/>
          <w:sz w:val="24"/>
          <w:highlight w:val="none"/>
        </w:rPr>
      </w:pPr>
    </w:p>
    <w:p w14:paraId="0E267E4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5C77C9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1030D3D">
      <w:pPr>
        <w:spacing w:line="360" w:lineRule="auto"/>
        <w:rPr>
          <w:rFonts w:ascii="宋体" w:hAnsi="宋体" w:cs="宋体"/>
          <w:color w:val="auto"/>
          <w:sz w:val="24"/>
          <w:highlight w:val="none"/>
        </w:rPr>
      </w:pPr>
    </w:p>
    <w:p w14:paraId="6D1F9E1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7101F79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7384F3B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4E8677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6205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7A0FA4D">
            <w:pPr>
              <w:spacing w:line="480" w:lineRule="exact"/>
              <w:rPr>
                <w:rFonts w:ascii="宋体" w:hAnsi="宋体" w:cs="宋体"/>
                <w:b/>
                <w:bCs/>
                <w:color w:val="auto"/>
                <w:sz w:val="24"/>
                <w:highlight w:val="none"/>
              </w:rPr>
            </w:pPr>
          </w:p>
          <w:p w14:paraId="15AF240E">
            <w:pPr>
              <w:spacing w:line="480" w:lineRule="exact"/>
              <w:rPr>
                <w:rFonts w:ascii="宋体" w:hAnsi="宋体" w:cs="宋体"/>
                <w:b/>
                <w:bCs/>
                <w:color w:val="auto"/>
                <w:sz w:val="24"/>
                <w:highlight w:val="none"/>
              </w:rPr>
            </w:pPr>
          </w:p>
          <w:p w14:paraId="7B06FCE2">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16D889C">
      <w:pPr>
        <w:spacing w:line="360" w:lineRule="auto"/>
        <w:ind w:firstLine="480" w:firstLineChars="200"/>
        <w:rPr>
          <w:rFonts w:ascii="宋体" w:hAnsi="宋体" w:cs="宋体"/>
          <w:color w:val="auto"/>
          <w:sz w:val="24"/>
          <w:highlight w:val="none"/>
        </w:rPr>
      </w:pPr>
    </w:p>
    <w:p w14:paraId="521E8B0F">
      <w:pPr>
        <w:spacing w:line="360" w:lineRule="auto"/>
        <w:ind w:firstLine="480" w:firstLineChars="200"/>
        <w:rPr>
          <w:rFonts w:ascii="宋体" w:hAnsi="宋体" w:cs="宋体"/>
          <w:color w:val="auto"/>
          <w:sz w:val="24"/>
          <w:highlight w:val="none"/>
        </w:rPr>
      </w:pPr>
    </w:p>
    <w:p w14:paraId="78C995BD">
      <w:pPr>
        <w:spacing w:line="360" w:lineRule="auto"/>
        <w:ind w:firstLine="480" w:firstLineChars="200"/>
        <w:rPr>
          <w:rFonts w:ascii="宋体" w:hAnsi="宋体" w:cs="宋体"/>
          <w:color w:val="auto"/>
          <w:sz w:val="24"/>
          <w:highlight w:val="none"/>
        </w:rPr>
      </w:pPr>
    </w:p>
    <w:p w14:paraId="688264F3">
      <w:pPr>
        <w:spacing w:line="360" w:lineRule="auto"/>
        <w:ind w:firstLine="4920" w:firstLineChars="2050"/>
        <w:rPr>
          <w:rFonts w:ascii="宋体" w:hAnsi="宋体" w:cs="宋体"/>
          <w:color w:val="auto"/>
          <w:sz w:val="24"/>
          <w:highlight w:val="none"/>
        </w:rPr>
      </w:pPr>
    </w:p>
    <w:p w14:paraId="6D67B0B1">
      <w:pPr>
        <w:spacing w:line="360" w:lineRule="auto"/>
        <w:jc w:val="center"/>
        <w:rPr>
          <w:rFonts w:ascii="宋体" w:hAnsi="宋体" w:cs="宋体"/>
          <w:color w:val="auto"/>
          <w:sz w:val="24"/>
          <w:highlight w:val="none"/>
        </w:rPr>
      </w:pPr>
    </w:p>
    <w:p w14:paraId="3DF25E27">
      <w:pPr>
        <w:spacing w:line="360" w:lineRule="auto"/>
        <w:jc w:val="center"/>
        <w:rPr>
          <w:rFonts w:ascii="宋体" w:hAnsi="宋体" w:cs="宋体"/>
          <w:color w:val="auto"/>
          <w:sz w:val="24"/>
          <w:highlight w:val="none"/>
        </w:rPr>
      </w:pPr>
    </w:p>
    <w:p w14:paraId="1612CEB8">
      <w:pPr>
        <w:spacing w:line="360" w:lineRule="auto"/>
        <w:jc w:val="center"/>
        <w:rPr>
          <w:rFonts w:ascii="宋体" w:hAnsi="宋体" w:cs="宋体"/>
          <w:color w:val="auto"/>
          <w:sz w:val="24"/>
          <w:highlight w:val="none"/>
        </w:rPr>
      </w:pPr>
    </w:p>
    <w:p w14:paraId="6A91266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D7C560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05FC2A8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5F72493">
      <w:pPr>
        <w:pStyle w:val="2"/>
        <w:ind w:firstLine="210"/>
        <w:rPr>
          <w:color w:val="auto"/>
          <w:highlight w:val="none"/>
        </w:rPr>
      </w:pPr>
    </w:p>
    <w:p w14:paraId="6542FE75">
      <w:pPr>
        <w:pStyle w:val="2"/>
        <w:ind w:firstLine="210"/>
        <w:rPr>
          <w:color w:val="auto"/>
          <w:highlight w:val="none"/>
        </w:rPr>
      </w:pPr>
    </w:p>
    <w:p w14:paraId="5628AD4A">
      <w:pPr>
        <w:pStyle w:val="2"/>
        <w:ind w:firstLine="210"/>
        <w:rPr>
          <w:color w:val="auto"/>
          <w:highlight w:val="none"/>
        </w:rPr>
      </w:pPr>
    </w:p>
    <w:p w14:paraId="718CC11A">
      <w:pPr>
        <w:pStyle w:val="2"/>
        <w:ind w:firstLine="210"/>
        <w:rPr>
          <w:color w:val="auto"/>
          <w:highlight w:val="none"/>
        </w:rPr>
      </w:pPr>
    </w:p>
    <w:p w14:paraId="3FD8FEC0">
      <w:pPr>
        <w:pStyle w:val="2"/>
        <w:ind w:firstLine="210"/>
        <w:rPr>
          <w:color w:val="auto"/>
          <w:highlight w:val="none"/>
        </w:rPr>
      </w:pPr>
    </w:p>
    <w:p w14:paraId="02B1F2C8">
      <w:pPr>
        <w:spacing w:line="360" w:lineRule="auto"/>
        <w:jc w:val="left"/>
        <w:rPr>
          <w:rFonts w:ascii="宋体" w:hAnsi="宋体" w:cs="宋体"/>
          <w:color w:val="auto"/>
          <w:sz w:val="24"/>
          <w:highlight w:val="none"/>
        </w:rPr>
      </w:pPr>
    </w:p>
    <w:p w14:paraId="7FBB8CC3">
      <w:pPr>
        <w:spacing w:line="360" w:lineRule="auto"/>
        <w:jc w:val="left"/>
        <w:rPr>
          <w:rFonts w:ascii="宋体" w:hAnsi="宋体" w:cs="宋体"/>
          <w:color w:val="auto"/>
          <w:sz w:val="24"/>
          <w:highlight w:val="none"/>
        </w:rPr>
      </w:pPr>
    </w:p>
    <w:p w14:paraId="59141831">
      <w:pPr>
        <w:spacing w:line="360" w:lineRule="auto"/>
        <w:jc w:val="left"/>
        <w:rPr>
          <w:rFonts w:ascii="宋体" w:hAnsi="宋体" w:cs="宋体"/>
          <w:color w:val="auto"/>
          <w:sz w:val="24"/>
          <w:highlight w:val="none"/>
        </w:rPr>
      </w:pPr>
    </w:p>
    <w:p w14:paraId="72F0EA3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6D3B697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1B4AC93D">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1F16E122">
      <w:pPr>
        <w:pStyle w:val="26"/>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4BC7A320">
      <w:pPr>
        <w:pStyle w:val="56"/>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44C9F14B">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123AAEF4">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0567EE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14F9A4B">
      <w:pPr>
        <w:numPr>
          <w:ilvl w:val="0"/>
          <w:numId w:val="20"/>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25DF0D95">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918DAE7">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4992BE96">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1DA66546">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1387EDAC">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60B59EA6">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329424DE">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785714F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3FCC2A0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675811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34E6702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7695A5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6FBC859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2E5DC999">
      <w:pPr>
        <w:spacing w:line="560" w:lineRule="exact"/>
        <w:jc w:val="left"/>
        <w:rPr>
          <w:rFonts w:ascii="宋体" w:hAnsi="宋体" w:cs="宋体"/>
          <w:color w:val="auto"/>
          <w:sz w:val="24"/>
          <w:highlight w:val="none"/>
        </w:rPr>
      </w:pPr>
    </w:p>
    <w:p w14:paraId="5F0BC108">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60F93090">
      <w:pPr>
        <w:spacing w:line="360" w:lineRule="auto"/>
        <w:jc w:val="left"/>
        <w:rPr>
          <w:rFonts w:ascii="宋体" w:hAnsi="宋体" w:cs="宋体"/>
          <w:color w:val="auto"/>
          <w:sz w:val="24"/>
          <w:highlight w:val="none"/>
        </w:rPr>
      </w:pPr>
    </w:p>
    <w:p w14:paraId="6C35C6C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617CB3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9DBB2DB">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3C69460A">
      <w:pPr>
        <w:widowControl/>
        <w:jc w:val="center"/>
        <w:rPr>
          <w:rFonts w:ascii="宋体" w:hAnsi="宋体" w:cs="宋体"/>
          <w:color w:val="auto"/>
          <w:sz w:val="24"/>
          <w:highlight w:val="none"/>
        </w:rPr>
      </w:pPr>
      <w:bookmarkStart w:id="52" w:name="_Toc197934561"/>
      <w:bookmarkStart w:id="53" w:name="_Toc495414231"/>
      <w:r>
        <w:rPr>
          <w:rFonts w:hint="eastAsia" w:ascii="宋体" w:hAnsi="宋体" w:cs="宋体"/>
          <w:color w:val="auto"/>
          <w:sz w:val="24"/>
          <w:highlight w:val="none"/>
        </w:rPr>
        <w:t>一．报价一览表</w:t>
      </w:r>
      <w:bookmarkEnd w:id="52"/>
      <w:bookmarkEnd w:id="53"/>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5E9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DB0B63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F4C1C5F">
            <w:pPr>
              <w:spacing w:line="360" w:lineRule="exact"/>
              <w:jc w:val="center"/>
              <w:rPr>
                <w:rFonts w:ascii="宋体" w:hAnsi="宋体" w:cs="宋体"/>
                <w:color w:val="auto"/>
                <w:sz w:val="24"/>
                <w:highlight w:val="none"/>
              </w:rPr>
            </w:pPr>
          </w:p>
        </w:tc>
      </w:tr>
      <w:tr w14:paraId="2C25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A29A66">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1D0A387D">
            <w:pPr>
              <w:spacing w:line="360" w:lineRule="auto"/>
              <w:rPr>
                <w:rFonts w:ascii="宋体" w:hAnsi="宋体" w:cs="宋体"/>
                <w:color w:val="auto"/>
                <w:sz w:val="24"/>
                <w:highlight w:val="none"/>
              </w:rPr>
            </w:pPr>
          </w:p>
        </w:tc>
      </w:tr>
      <w:tr w14:paraId="62AF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B33F7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797302B">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3E1FBD55">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7C1D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A0F31C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33F5E9FA">
            <w:pPr>
              <w:spacing w:line="360" w:lineRule="auto"/>
              <w:jc w:val="left"/>
              <w:rPr>
                <w:rFonts w:ascii="宋体" w:hAnsi="宋体" w:cs="宋体"/>
                <w:color w:val="auto"/>
                <w:sz w:val="24"/>
                <w:highlight w:val="none"/>
              </w:rPr>
            </w:pPr>
          </w:p>
        </w:tc>
      </w:tr>
    </w:tbl>
    <w:p w14:paraId="209A91C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4D76485">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36382B5E">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23E481F4">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105A2817">
      <w:pPr>
        <w:spacing w:line="360" w:lineRule="auto"/>
        <w:jc w:val="left"/>
        <w:rPr>
          <w:rFonts w:ascii="宋体" w:hAnsi="宋体" w:cs="宋体"/>
          <w:color w:val="auto"/>
          <w:sz w:val="24"/>
          <w:highlight w:val="none"/>
        </w:rPr>
      </w:pPr>
      <w:bookmarkStart w:id="54" w:name="_Toc495414234"/>
      <w:bookmarkStart w:id="55" w:name="_Toc220232409"/>
    </w:p>
    <w:p w14:paraId="6DC0A18A">
      <w:pPr>
        <w:pStyle w:val="2"/>
        <w:ind w:firstLine="240"/>
        <w:rPr>
          <w:rFonts w:ascii="宋体" w:hAnsi="宋体" w:cs="宋体"/>
          <w:color w:val="auto"/>
          <w:sz w:val="24"/>
          <w:highlight w:val="none"/>
        </w:rPr>
      </w:pPr>
    </w:p>
    <w:p w14:paraId="12022B43">
      <w:pPr>
        <w:pStyle w:val="2"/>
        <w:ind w:firstLine="240"/>
        <w:rPr>
          <w:rFonts w:ascii="宋体" w:hAnsi="宋体" w:cs="宋体"/>
          <w:color w:val="auto"/>
          <w:sz w:val="24"/>
          <w:highlight w:val="none"/>
        </w:rPr>
      </w:pPr>
    </w:p>
    <w:p w14:paraId="78427431">
      <w:pPr>
        <w:pStyle w:val="2"/>
        <w:ind w:firstLine="240"/>
        <w:rPr>
          <w:rFonts w:ascii="宋体" w:hAnsi="宋体" w:cs="宋体"/>
          <w:color w:val="auto"/>
          <w:sz w:val="24"/>
          <w:highlight w:val="none"/>
        </w:rPr>
      </w:pPr>
    </w:p>
    <w:p w14:paraId="28706740">
      <w:pPr>
        <w:pStyle w:val="2"/>
        <w:ind w:firstLine="240"/>
        <w:rPr>
          <w:rFonts w:ascii="宋体" w:hAnsi="宋体" w:cs="宋体"/>
          <w:color w:val="auto"/>
          <w:sz w:val="24"/>
          <w:highlight w:val="none"/>
        </w:rPr>
      </w:pPr>
    </w:p>
    <w:p w14:paraId="7B35C801">
      <w:pPr>
        <w:pStyle w:val="2"/>
        <w:ind w:firstLine="240"/>
        <w:rPr>
          <w:rFonts w:ascii="宋体" w:hAnsi="宋体" w:cs="宋体"/>
          <w:color w:val="auto"/>
          <w:sz w:val="24"/>
          <w:highlight w:val="none"/>
        </w:rPr>
      </w:pPr>
    </w:p>
    <w:p w14:paraId="5946D2AF">
      <w:pPr>
        <w:pStyle w:val="2"/>
        <w:ind w:firstLine="240"/>
        <w:rPr>
          <w:rFonts w:ascii="宋体" w:hAnsi="宋体" w:cs="宋体"/>
          <w:color w:val="auto"/>
          <w:sz w:val="24"/>
          <w:highlight w:val="none"/>
        </w:rPr>
      </w:pPr>
    </w:p>
    <w:p w14:paraId="55AD0572">
      <w:pPr>
        <w:pStyle w:val="2"/>
        <w:ind w:firstLine="240"/>
        <w:rPr>
          <w:rFonts w:ascii="宋体" w:hAnsi="宋体" w:cs="宋体"/>
          <w:color w:val="auto"/>
          <w:sz w:val="24"/>
          <w:highlight w:val="none"/>
        </w:rPr>
      </w:pPr>
    </w:p>
    <w:p w14:paraId="25FF8C80">
      <w:pPr>
        <w:pStyle w:val="2"/>
        <w:ind w:firstLine="240"/>
        <w:rPr>
          <w:rFonts w:ascii="宋体" w:hAnsi="宋体" w:cs="宋体"/>
          <w:color w:val="auto"/>
          <w:sz w:val="24"/>
          <w:highlight w:val="none"/>
        </w:rPr>
      </w:pPr>
    </w:p>
    <w:p w14:paraId="59434973">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05659B5F">
      <w:pPr>
        <w:widowControl/>
        <w:jc w:val="center"/>
        <w:rPr>
          <w:rFonts w:ascii="宋体" w:hAnsi="宋体" w:cs="宋体"/>
          <w:color w:val="auto"/>
          <w:sz w:val="24"/>
          <w:highlight w:val="none"/>
        </w:rPr>
      </w:pPr>
      <w:r>
        <w:rPr>
          <w:rFonts w:hint="eastAsia" w:ascii="宋体" w:hAnsi="宋体" w:cs="宋体"/>
          <w:color w:val="auto"/>
          <w:sz w:val="24"/>
          <w:highlight w:val="none"/>
        </w:rPr>
        <w:t>投标分项报价表</w:t>
      </w:r>
      <w:bookmarkEnd w:id="54"/>
      <w:bookmarkEnd w:id="55"/>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3F5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6062FC7">
            <w:pPr>
              <w:pStyle w:val="60"/>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663BBD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4B29D2B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1E85856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035ABE5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4B450338">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31995F9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6C2D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468A094">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4CE529B4">
            <w:pPr>
              <w:spacing w:line="340" w:lineRule="exact"/>
              <w:rPr>
                <w:rFonts w:ascii="宋体" w:hAnsi="宋体" w:cs="宋体"/>
                <w:color w:val="auto"/>
                <w:sz w:val="24"/>
                <w:highlight w:val="none"/>
              </w:rPr>
            </w:pPr>
          </w:p>
        </w:tc>
        <w:tc>
          <w:tcPr>
            <w:tcW w:w="957" w:type="dxa"/>
          </w:tcPr>
          <w:p w14:paraId="0E7DB35D">
            <w:pPr>
              <w:spacing w:line="340" w:lineRule="exact"/>
              <w:rPr>
                <w:rFonts w:ascii="宋体" w:hAnsi="宋体" w:cs="宋体"/>
                <w:color w:val="auto"/>
                <w:sz w:val="24"/>
                <w:highlight w:val="none"/>
              </w:rPr>
            </w:pPr>
          </w:p>
        </w:tc>
        <w:tc>
          <w:tcPr>
            <w:tcW w:w="840" w:type="dxa"/>
          </w:tcPr>
          <w:p w14:paraId="0756A984">
            <w:pPr>
              <w:spacing w:line="340" w:lineRule="exact"/>
              <w:rPr>
                <w:rFonts w:ascii="宋体" w:hAnsi="宋体" w:cs="宋体"/>
                <w:color w:val="auto"/>
                <w:sz w:val="24"/>
                <w:highlight w:val="none"/>
              </w:rPr>
            </w:pPr>
          </w:p>
        </w:tc>
        <w:tc>
          <w:tcPr>
            <w:tcW w:w="1260" w:type="dxa"/>
          </w:tcPr>
          <w:p w14:paraId="22B1DF4F">
            <w:pPr>
              <w:spacing w:line="340" w:lineRule="exact"/>
              <w:rPr>
                <w:rFonts w:ascii="宋体" w:hAnsi="宋体" w:cs="宋体"/>
                <w:color w:val="auto"/>
                <w:sz w:val="24"/>
                <w:highlight w:val="none"/>
              </w:rPr>
            </w:pPr>
          </w:p>
        </w:tc>
        <w:tc>
          <w:tcPr>
            <w:tcW w:w="1340" w:type="dxa"/>
          </w:tcPr>
          <w:p w14:paraId="1CD08F93">
            <w:pPr>
              <w:spacing w:line="340" w:lineRule="exact"/>
              <w:rPr>
                <w:rFonts w:ascii="宋体" w:hAnsi="宋体" w:cs="宋体"/>
                <w:color w:val="auto"/>
                <w:sz w:val="24"/>
                <w:highlight w:val="none"/>
              </w:rPr>
            </w:pPr>
          </w:p>
        </w:tc>
        <w:tc>
          <w:tcPr>
            <w:tcW w:w="1347" w:type="dxa"/>
          </w:tcPr>
          <w:p w14:paraId="0820C4E3">
            <w:pPr>
              <w:spacing w:line="340" w:lineRule="exact"/>
              <w:rPr>
                <w:rFonts w:ascii="宋体" w:hAnsi="宋体" w:cs="宋体"/>
                <w:color w:val="auto"/>
                <w:sz w:val="24"/>
                <w:highlight w:val="none"/>
              </w:rPr>
            </w:pPr>
          </w:p>
        </w:tc>
      </w:tr>
      <w:tr w14:paraId="0852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62C2BF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579F973E">
            <w:pPr>
              <w:spacing w:line="340" w:lineRule="exact"/>
              <w:rPr>
                <w:rFonts w:ascii="宋体" w:hAnsi="宋体" w:cs="宋体"/>
                <w:color w:val="auto"/>
                <w:sz w:val="24"/>
                <w:highlight w:val="none"/>
              </w:rPr>
            </w:pPr>
          </w:p>
        </w:tc>
        <w:tc>
          <w:tcPr>
            <w:tcW w:w="957" w:type="dxa"/>
          </w:tcPr>
          <w:p w14:paraId="207A10AC">
            <w:pPr>
              <w:spacing w:line="340" w:lineRule="exact"/>
              <w:rPr>
                <w:rFonts w:ascii="宋体" w:hAnsi="宋体" w:cs="宋体"/>
                <w:color w:val="auto"/>
                <w:sz w:val="24"/>
                <w:highlight w:val="none"/>
              </w:rPr>
            </w:pPr>
          </w:p>
        </w:tc>
        <w:tc>
          <w:tcPr>
            <w:tcW w:w="840" w:type="dxa"/>
          </w:tcPr>
          <w:p w14:paraId="05DE6696">
            <w:pPr>
              <w:spacing w:line="340" w:lineRule="exact"/>
              <w:rPr>
                <w:rFonts w:ascii="宋体" w:hAnsi="宋体" w:cs="宋体"/>
                <w:color w:val="auto"/>
                <w:sz w:val="24"/>
                <w:highlight w:val="none"/>
              </w:rPr>
            </w:pPr>
          </w:p>
        </w:tc>
        <w:tc>
          <w:tcPr>
            <w:tcW w:w="1260" w:type="dxa"/>
          </w:tcPr>
          <w:p w14:paraId="401242A3">
            <w:pPr>
              <w:spacing w:line="340" w:lineRule="exact"/>
              <w:rPr>
                <w:rFonts w:ascii="宋体" w:hAnsi="宋体" w:cs="宋体"/>
                <w:color w:val="auto"/>
                <w:sz w:val="24"/>
                <w:highlight w:val="none"/>
              </w:rPr>
            </w:pPr>
          </w:p>
        </w:tc>
        <w:tc>
          <w:tcPr>
            <w:tcW w:w="1340" w:type="dxa"/>
          </w:tcPr>
          <w:p w14:paraId="17933F42">
            <w:pPr>
              <w:spacing w:line="340" w:lineRule="exact"/>
              <w:rPr>
                <w:rFonts w:ascii="宋体" w:hAnsi="宋体" w:cs="宋体"/>
                <w:color w:val="auto"/>
                <w:sz w:val="24"/>
                <w:highlight w:val="none"/>
              </w:rPr>
            </w:pPr>
          </w:p>
        </w:tc>
        <w:tc>
          <w:tcPr>
            <w:tcW w:w="1347" w:type="dxa"/>
          </w:tcPr>
          <w:p w14:paraId="06EE8ADE">
            <w:pPr>
              <w:spacing w:line="340" w:lineRule="exact"/>
              <w:rPr>
                <w:rFonts w:ascii="宋体" w:hAnsi="宋体" w:cs="宋体"/>
                <w:color w:val="auto"/>
                <w:sz w:val="24"/>
                <w:highlight w:val="none"/>
              </w:rPr>
            </w:pPr>
          </w:p>
        </w:tc>
      </w:tr>
      <w:tr w14:paraId="518D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E42EC0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7864DC45">
            <w:pPr>
              <w:spacing w:line="340" w:lineRule="exact"/>
              <w:rPr>
                <w:rFonts w:ascii="宋体" w:hAnsi="宋体" w:cs="宋体"/>
                <w:color w:val="auto"/>
                <w:sz w:val="24"/>
                <w:highlight w:val="none"/>
              </w:rPr>
            </w:pPr>
          </w:p>
        </w:tc>
        <w:tc>
          <w:tcPr>
            <w:tcW w:w="957" w:type="dxa"/>
          </w:tcPr>
          <w:p w14:paraId="50633136">
            <w:pPr>
              <w:spacing w:line="340" w:lineRule="exact"/>
              <w:rPr>
                <w:rFonts w:ascii="宋体" w:hAnsi="宋体" w:cs="宋体"/>
                <w:color w:val="auto"/>
                <w:sz w:val="24"/>
                <w:highlight w:val="none"/>
              </w:rPr>
            </w:pPr>
          </w:p>
        </w:tc>
        <w:tc>
          <w:tcPr>
            <w:tcW w:w="840" w:type="dxa"/>
          </w:tcPr>
          <w:p w14:paraId="0863BF0F">
            <w:pPr>
              <w:spacing w:line="340" w:lineRule="exact"/>
              <w:rPr>
                <w:rFonts w:ascii="宋体" w:hAnsi="宋体" w:cs="宋体"/>
                <w:color w:val="auto"/>
                <w:sz w:val="24"/>
                <w:highlight w:val="none"/>
              </w:rPr>
            </w:pPr>
          </w:p>
        </w:tc>
        <w:tc>
          <w:tcPr>
            <w:tcW w:w="1260" w:type="dxa"/>
          </w:tcPr>
          <w:p w14:paraId="75A55F23">
            <w:pPr>
              <w:spacing w:line="340" w:lineRule="exact"/>
              <w:rPr>
                <w:rFonts w:ascii="宋体" w:hAnsi="宋体" w:cs="宋体"/>
                <w:color w:val="auto"/>
                <w:sz w:val="24"/>
                <w:highlight w:val="none"/>
              </w:rPr>
            </w:pPr>
          </w:p>
        </w:tc>
        <w:tc>
          <w:tcPr>
            <w:tcW w:w="1340" w:type="dxa"/>
          </w:tcPr>
          <w:p w14:paraId="643FC6DC">
            <w:pPr>
              <w:spacing w:line="340" w:lineRule="exact"/>
              <w:rPr>
                <w:rFonts w:ascii="宋体" w:hAnsi="宋体" w:cs="宋体"/>
                <w:color w:val="auto"/>
                <w:sz w:val="24"/>
                <w:highlight w:val="none"/>
              </w:rPr>
            </w:pPr>
          </w:p>
        </w:tc>
        <w:tc>
          <w:tcPr>
            <w:tcW w:w="1347" w:type="dxa"/>
          </w:tcPr>
          <w:p w14:paraId="7DBCDD94">
            <w:pPr>
              <w:spacing w:line="340" w:lineRule="exact"/>
              <w:rPr>
                <w:rFonts w:ascii="宋体" w:hAnsi="宋体" w:cs="宋体"/>
                <w:color w:val="auto"/>
                <w:sz w:val="24"/>
                <w:highlight w:val="none"/>
              </w:rPr>
            </w:pPr>
          </w:p>
        </w:tc>
      </w:tr>
      <w:tr w14:paraId="5F7C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8FB47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130B031D">
            <w:pPr>
              <w:spacing w:line="340" w:lineRule="exact"/>
              <w:rPr>
                <w:rFonts w:ascii="宋体" w:hAnsi="宋体" w:cs="宋体"/>
                <w:color w:val="auto"/>
                <w:sz w:val="24"/>
                <w:highlight w:val="none"/>
              </w:rPr>
            </w:pPr>
          </w:p>
        </w:tc>
        <w:tc>
          <w:tcPr>
            <w:tcW w:w="957" w:type="dxa"/>
          </w:tcPr>
          <w:p w14:paraId="288326C2">
            <w:pPr>
              <w:spacing w:line="340" w:lineRule="exact"/>
              <w:rPr>
                <w:rFonts w:ascii="宋体" w:hAnsi="宋体" w:cs="宋体"/>
                <w:color w:val="auto"/>
                <w:sz w:val="24"/>
                <w:highlight w:val="none"/>
              </w:rPr>
            </w:pPr>
          </w:p>
        </w:tc>
        <w:tc>
          <w:tcPr>
            <w:tcW w:w="840" w:type="dxa"/>
          </w:tcPr>
          <w:p w14:paraId="4A72B54C">
            <w:pPr>
              <w:spacing w:line="340" w:lineRule="exact"/>
              <w:rPr>
                <w:rFonts w:ascii="宋体" w:hAnsi="宋体" w:cs="宋体"/>
                <w:color w:val="auto"/>
                <w:sz w:val="24"/>
                <w:highlight w:val="none"/>
              </w:rPr>
            </w:pPr>
          </w:p>
        </w:tc>
        <w:tc>
          <w:tcPr>
            <w:tcW w:w="1260" w:type="dxa"/>
          </w:tcPr>
          <w:p w14:paraId="2DA1EFC4">
            <w:pPr>
              <w:spacing w:line="340" w:lineRule="exact"/>
              <w:rPr>
                <w:rFonts w:ascii="宋体" w:hAnsi="宋体" w:cs="宋体"/>
                <w:color w:val="auto"/>
                <w:sz w:val="24"/>
                <w:highlight w:val="none"/>
              </w:rPr>
            </w:pPr>
          </w:p>
        </w:tc>
        <w:tc>
          <w:tcPr>
            <w:tcW w:w="1340" w:type="dxa"/>
          </w:tcPr>
          <w:p w14:paraId="3877ECCC">
            <w:pPr>
              <w:spacing w:line="340" w:lineRule="exact"/>
              <w:rPr>
                <w:rFonts w:ascii="宋体" w:hAnsi="宋体" w:cs="宋体"/>
                <w:color w:val="auto"/>
                <w:sz w:val="24"/>
                <w:highlight w:val="none"/>
              </w:rPr>
            </w:pPr>
          </w:p>
        </w:tc>
        <w:tc>
          <w:tcPr>
            <w:tcW w:w="1347" w:type="dxa"/>
          </w:tcPr>
          <w:p w14:paraId="6BC42998">
            <w:pPr>
              <w:spacing w:line="340" w:lineRule="exact"/>
              <w:rPr>
                <w:rFonts w:ascii="宋体" w:hAnsi="宋体" w:cs="宋体"/>
                <w:color w:val="auto"/>
                <w:sz w:val="24"/>
                <w:highlight w:val="none"/>
              </w:rPr>
            </w:pPr>
          </w:p>
        </w:tc>
      </w:tr>
      <w:tr w14:paraId="2232B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BB06B4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4A0FBFCF">
            <w:pPr>
              <w:spacing w:line="340" w:lineRule="exact"/>
              <w:rPr>
                <w:rFonts w:ascii="宋体" w:hAnsi="宋体" w:cs="宋体"/>
                <w:color w:val="auto"/>
                <w:sz w:val="24"/>
                <w:highlight w:val="none"/>
              </w:rPr>
            </w:pPr>
          </w:p>
        </w:tc>
        <w:tc>
          <w:tcPr>
            <w:tcW w:w="957" w:type="dxa"/>
          </w:tcPr>
          <w:p w14:paraId="593E3334">
            <w:pPr>
              <w:spacing w:line="340" w:lineRule="exact"/>
              <w:rPr>
                <w:rFonts w:ascii="宋体" w:hAnsi="宋体" w:cs="宋体"/>
                <w:color w:val="auto"/>
                <w:sz w:val="24"/>
                <w:highlight w:val="none"/>
              </w:rPr>
            </w:pPr>
          </w:p>
        </w:tc>
        <w:tc>
          <w:tcPr>
            <w:tcW w:w="840" w:type="dxa"/>
          </w:tcPr>
          <w:p w14:paraId="423F24E9">
            <w:pPr>
              <w:spacing w:line="340" w:lineRule="exact"/>
              <w:rPr>
                <w:rFonts w:ascii="宋体" w:hAnsi="宋体" w:cs="宋体"/>
                <w:color w:val="auto"/>
                <w:sz w:val="24"/>
                <w:highlight w:val="none"/>
              </w:rPr>
            </w:pPr>
          </w:p>
        </w:tc>
        <w:tc>
          <w:tcPr>
            <w:tcW w:w="1260" w:type="dxa"/>
          </w:tcPr>
          <w:p w14:paraId="0B77E261">
            <w:pPr>
              <w:spacing w:line="340" w:lineRule="exact"/>
              <w:rPr>
                <w:rFonts w:ascii="宋体" w:hAnsi="宋体" w:cs="宋体"/>
                <w:color w:val="auto"/>
                <w:sz w:val="24"/>
                <w:highlight w:val="none"/>
              </w:rPr>
            </w:pPr>
          </w:p>
        </w:tc>
        <w:tc>
          <w:tcPr>
            <w:tcW w:w="1340" w:type="dxa"/>
          </w:tcPr>
          <w:p w14:paraId="11344DA7">
            <w:pPr>
              <w:spacing w:line="340" w:lineRule="exact"/>
              <w:rPr>
                <w:rFonts w:ascii="宋体" w:hAnsi="宋体" w:cs="宋体"/>
                <w:color w:val="auto"/>
                <w:sz w:val="24"/>
                <w:highlight w:val="none"/>
              </w:rPr>
            </w:pPr>
          </w:p>
        </w:tc>
        <w:tc>
          <w:tcPr>
            <w:tcW w:w="1347" w:type="dxa"/>
          </w:tcPr>
          <w:p w14:paraId="1E93ABCE">
            <w:pPr>
              <w:spacing w:line="340" w:lineRule="exact"/>
              <w:rPr>
                <w:rFonts w:ascii="宋体" w:hAnsi="宋体" w:cs="宋体"/>
                <w:color w:val="auto"/>
                <w:sz w:val="24"/>
                <w:highlight w:val="none"/>
              </w:rPr>
            </w:pPr>
          </w:p>
        </w:tc>
      </w:tr>
      <w:tr w14:paraId="666E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DB4FCA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734CEF73">
            <w:pPr>
              <w:spacing w:line="340" w:lineRule="exact"/>
              <w:rPr>
                <w:rFonts w:ascii="宋体" w:hAnsi="宋体" w:cs="宋体"/>
                <w:color w:val="auto"/>
                <w:sz w:val="24"/>
                <w:highlight w:val="none"/>
              </w:rPr>
            </w:pPr>
          </w:p>
        </w:tc>
        <w:tc>
          <w:tcPr>
            <w:tcW w:w="957" w:type="dxa"/>
          </w:tcPr>
          <w:p w14:paraId="698B00BE">
            <w:pPr>
              <w:spacing w:line="340" w:lineRule="exact"/>
              <w:rPr>
                <w:rFonts w:ascii="宋体" w:hAnsi="宋体" w:cs="宋体"/>
                <w:color w:val="auto"/>
                <w:sz w:val="24"/>
                <w:highlight w:val="none"/>
              </w:rPr>
            </w:pPr>
          </w:p>
        </w:tc>
        <w:tc>
          <w:tcPr>
            <w:tcW w:w="840" w:type="dxa"/>
          </w:tcPr>
          <w:p w14:paraId="14A85D81">
            <w:pPr>
              <w:spacing w:line="340" w:lineRule="exact"/>
              <w:rPr>
                <w:rFonts w:ascii="宋体" w:hAnsi="宋体" w:cs="宋体"/>
                <w:color w:val="auto"/>
                <w:sz w:val="24"/>
                <w:highlight w:val="none"/>
              </w:rPr>
            </w:pPr>
          </w:p>
        </w:tc>
        <w:tc>
          <w:tcPr>
            <w:tcW w:w="1260" w:type="dxa"/>
          </w:tcPr>
          <w:p w14:paraId="1A17E798">
            <w:pPr>
              <w:spacing w:line="340" w:lineRule="exact"/>
              <w:rPr>
                <w:rFonts w:ascii="宋体" w:hAnsi="宋体" w:cs="宋体"/>
                <w:color w:val="auto"/>
                <w:sz w:val="24"/>
                <w:highlight w:val="none"/>
              </w:rPr>
            </w:pPr>
          </w:p>
        </w:tc>
        <w:tc>
          <w:tcPr>
            <w:tcW w:w="1340" w:type="dxa"/>
          </w:tcPr>
          <w:p w14:paraId="221C81DF">
            <w:pPr>
              <w:spacing w:line="340" w:lineRule="exact"/>
              <w:rPr>
                <w:rFonts w:ascii="宋体" w:hAnsi="宋体" w:cs="宋体"/>
                <w:color w:val="auto"/>
                <w:sz w:val="24"/>
                <w:highlight w:val="none"/>
              </w:rPr>
            </w:pPr>
          </w:p>
        </w:tc>
        <w:tc>
          <w:tcPr>
            <w:tcW w:w="1347" w:type="dxa"/>
          </w:tcPr>
          <w:p w14:paraId="3AAEFEB6">
            <w:pPr>
              <w:spacing w:line="340" w:lineRule="exact"/>
              <w:rPr>
                <w:rFonts w:ascii="宋体" w:hAnsi="宋体" w:cs="宋体"/>
                <w:color w:val="auto"/>
                <w:sz w:val="24"/>
                <w:highlight w:val="none"/>
              </w:rPr>
            </w:pPr>
          </w:p>
        </w:tc>
      </w:tr>
      <w:tr w14:paraId="0538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FA145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61EA45C2">
            <w:pPr>
              <w:spacing w:line="340" w:lineRule="exact"/>
              <w:rPr>
                <w:rFonts w:ascii="宋体" w:hAnsi="宋体" w:cs="宋体"/>
                <w:color w:val="auto"/>
                <w:sz w:val="24"/>
                <w:highlight w:val="none"/>
              </w:rPr>
            </w:pPr>
          </w:p>
        </w:tc>
        <w:tc>
          <w:tcPr>
            <w:tcW w:w="957" w:type="dxa"/>
          </w:tcPr>
          <w:p w14:paraId="7383179D">
            <w:pPr>
              <w:spacing w:line="340" w:lineRule="exact"/>
              <w:rPr>
                <w:rFonts w:ascii="宋体" w:hAnsi="宋体" w:cs="宋体"/>
                <w:color w:val="auto"/>
                <w:sz w:val="24"/>
                <w:highlight w:val="none"/>
              </w:rPr>
            </w:pPr>
          </w:p>
        </w:tc>
        <w:tc>
          <w:tcPr>
            <w:tcW w:w="840" w:type="dxa"/>
          </w:tcPr>
          <w:p w14:paraId="072DD0B5">
            <w:pPr>
              <w:spacing w:line="340" w:lineRule="exact"/>
              <w:rPr>
                <w:rFonts w:ascii="宋体" w:hAnsi="宋体" w:cs="宋体"/>
                <w:color w:val="auto"/>
                <w:sz w:val="24"/>
                <w:highlight w:val="none"/>
              </w:rPr>
            </w:pPr>
          </w:p>
        </w:tc>
        <w:tc>
          <w:tcPr>
            <w:tcW w:w="1260" w:type="dxa"/>
          </w:tcPr>
          <w:p w14:paraId="03AC6E2C">
            <w:pPr>
              <w:spacing w:line="340" w:lineRule="exact"/>
              <w:rPr>
                <w:rFonts w:ascii="宋体" w:hAnsi="宋体" w:cs="宋体"/>
                <w:color w:val="auto"/>
                <w:sz w:val="24"/>
                <w:highlight w:val="none"/>
              </w:rPr>
            </w:pPr>
          </w:p>
        </w:tc>
        <w:tc>
          <w:tcPr>
            <w:tcW w:w="1340" w:type="dxa"/>
          </w:tcPr>
          <w:p w14:paraId="090B4D3A">
            <w:pPr>
              <w:spacing w:line="340" w:lineRule="exact"/>
              <w:rPr>
                <w:rFonts w:ascii="宋体" w:hAnsi="宋体" w:cs="宋体"/>
                <w:color w:val="auto"/>
                <w:sz w:val="24"/>
                <w:highlight w:val="none"/>
              </w:rPr>
            </w:pPr>
          </w:p>
        </w:tc>
        <w:tc>
          <w:tcPr>
            <w:tcW w:w="1347" w:type="dxa"/>
          </w:tcPr>
          <w:p w14:paraId="119E693D">
            <w:pPr>
              <w:spacing w:line="340" w:lineRule="exact"/>
              <w:rPr>
                <w:rFonts w:ascii="宋体" w:hAnsi="宋体" w:cs="宋体"/>
                <w:color w:val="auto"/>
                <w:sz w:val="24"/>
                <w:highlight w:val="none"/>
              </w:rPr>
            </w:pPr>
          </w:p>
        </w:tc>
      </w:tr>
      <w:tr w14:paraId="03F1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098E2B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143F4EF8">
            <w:pPr>
              <w:spacing w:line="340" w:lineRule="exact"/>
              <w:rPr>
                <w:rFonts w:ascii="宋体" w:hAnsi="宋体" w:cs="宋体"/>
                <w:color w:val="auto"/>
                <w:sz w:val="24"/>
                <w:highlight w:val="none"/>
              </w:rPr>
            </w:pPr>
          </w:p>
        </w:tc>
        <w:tc>
          <w:tcPr>
            <w:tcW w:w="957" w:type="dxa"/>
          </w:tcPr>
          <w:p w14:paraId="5BC53F8F">
            <w:pPr>
              <w:spacing w:line="340" w:lineRule="exact"/>
              <w:rPr>
                <w:rFonts w:ascii="宋体" w:hAnsi="宋体" w:cs="宋体"/>
                <w:color w:val="auto"/>
                <w:sz w:val="24"/>
                <w:highlight w:val="none"/>
              </w:rPr>
            </w:pPr>
          </w:p>
        </w:tc>
        <w:tc>
          <w:tcPr>
            <w:tcW w:w="840" w:type="dxa"/>
          </w:tcPr>
          <w:p w14:paraId="39242505">
            <w:pPr>
              <w:spacing w:line="340" w:lineRule="exact"/>
              <w:rPr>
                <w:rFonts w:ascii="宋体" w:hAnsi="宋体" w:cs="宋体"/>
                <w:color w:val="auto"/>
                <w:sz w:val="24"/>
                <w:highlight w:val="none"/>
              </w:rPr>
            </w:pPr>
          </w:p>
        </w:tc>
        <w:tc>
          <w:tcPr>
            <w:tcW w:w="1260" w:type="dxa"/>
          </w:tcPr>
          <w:p w14:paraId="3AAD0303">
            <w:pPr>
              <w:spacing w:line="340" w:lineRule="exact"/>
              <w:rPr>
                <w:rFonts w:ascii="宋体" w:hAnsi="宋体" w:cs="宋体"/>
                <w:color w:val="auto"/>
                <w:sz w:val="24"/>
                <w:highlight w:val="none"/>
              </w:rPr>
            </w:pPr>
          </w:p>
        </w:tc>
        <w:tc>
          <w:tcPr>
            <w:tcW w:w="1340" w:type="dxa"/>
          </w:tcPr>
          <w:p w14:paraId="1A596DE6">
            <w:pPr>
              <w:spacing w:line="340" w:lineRule="exact"/>
              <w:rPr>
                <w:rFonts w:ascii="宋体" w:hAnsi="宋体" w:cs="宋体"/>
                <w:color w:val="auto"/>
                <w:sz w:val="24"/>
                <w:highlight w:val="none"/>
              </w:rPr>
            </w:pPr>
          </w:p>
        </w:tc>
        <w:tc>
          <w:tcPr>
            <w:tcW w:w="1347" w:type="dxa"/>
          </w:tcPr>
          <w:p w14:paraId="73D9C1EE">
            <w:pPr>
              <w:spacing w:line="340" w:lineRule="exact"/>
              <w:rPr>
                <w:rFonts w:ascii="宋体" w:hAnsi="宋体" w:cs="宋体"/>
                <w:color w:val="auto"/>
                <w:sz w:val="24"/>
                <w:highlight w:val="none"/>
              </w:rPr>
            </w:pPr>
          </w:p>
        </w:tc>
      </w:tr>
      <w:tr w14:paraId="6F57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CDCA5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50D949D2">
            <w:pPr>
              <w:spacing w:line="340" w:lineRule="exact"/>
              <w:rPr>
                <w:rFonts w:ascii="宋体" w:hAnsi="宋体" w:cs="宋体"/>
                <w:color w:val="auto"/>
                <w:sz w:val="24"/>
                <w:highlight w:val="none"/>
              </w:rPr>
            </w:pPr>
          </w:p>
        </w:tc>
        <w:tc>
          <w:tcPr>
            <w:tcW w:w="957" w:type="dxa"/>
          </w:tcPr>
          <w:p w14:paraId="3AF1D6D4">
            <w:pPr>
              <w:spacing w:line="340" w:lineRule="exact"/>
              <w:rPr>
                <w:rFonts w:ascii="宋体" w:hAnsi="宋体" w:cs="宋体"/>
                <w:color w:val="auto"/>
                <w:sz w:val="24"/>
                <w:highlight w:val="none"/>
              </w:rPr>
            </w:pPr>
          </w:p>
        </w:tc>
        <w:tc>
          <w:tcPr>
            <w:tcW w:w="840" w:type="dxa"/>
          </w:tcPr>
          <w:p w14:paraId="6ACB5F2D">
            <w:pPr>
              <w:spacing w:line="340" w:lineRule="exact"/>
              <w:rPr>
                <w:rFonts w:ascii="宋体" w:hAnsi="宋体" w:cs="宋体"/>
                <w:color w:val="auto"/>
                <w:sz w:val="24"/>
                <w:highlight w:val="none"/>
              </w:rPr>
            </w:pPr>
          </w:p>
        </w:tc>
        <w:tc>
          <w:tcPr>
            <w:tcW w:w="1260" w:type="dxa"/>
          </w:tcPr>
          <w:p w14:paraId="170F2B39">
            <w:pPr>
              <w:spacing w:line="340" w:lineRule="exact"/>
              <w:rPr>
                <w:rFonts w:ascii="宋体" w:hAnsi="宋体" w:cs="宋体"/>
                <w:color w:val="auto"/>
                <w:sz w:val="24"/>
                <w:highlight w:val="none"/>
              </w:rPr>
            </w:pPr>
          </w:p>
        </w:tc>
        <w:tc>
          <w:tcPr>
            <w:tcW w:w="1340" w:type="dxa"/>
          </w:tcPr>
          <w:p w14:paraId="3BF9F682">
            <w:pPr>
              <w:spacing w:line="340" w:lineRule="exact"/>
              <w:rPr>
                <w:rFonts w:ascii="宋体" w:hAnsi="宋体" w:cs="宋体"/>
                <w:color w:val="auto"/>
                <w:sz w:val="24"/>
                <w:highlight w:val="none"/>
              </w:rPr>
            </w:pPr>
          </w:p>
        </w:tc>
        <w:tc>
          <w:tcPr>
            <w:tcW w:w="1347" w:type="dxa"/>
          </w:tcPr>
          <w:p w14:paraId="7F72BA08">
            <w:pPr>
              <w:spacing w:line="340" w:lineRule="exact"/>
              <w:rPr>
                <w:rFonts w:ascii="宋体" w:hAnsi="宋体" w:cs="宋体"/>
                <w:color w:val="auto"/>
                <w:sz w:val="24"/>
                <w:highlight w:val="none"/>
              </w:rPr>
            </w:pPr>
          </w:p>
        </w:tc>
      </w:tr>
      <w:tr w14:paraId="17EA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5A2A2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050F05BD">
            <w:pPr>
              <w:spacing w:line="340" w:lineRule="exact"/>
              <w:rPr>
                <w:rFonts w:ascii="宋体" w:hAnsi="宋体" w:cs="宋体"/>
                <w:color w:val="auto"/>
                <w:sz w:val="24"/>
                <w:highlight w:val="none"/>
              </w:rPr>
            </w:pPr>
          </w:p>
        </w:tc>
        <w:tc>
          <w:tcPr>
            <w:tcW w:w="957" w:type="dxa"/>
          </w:tcPr>
          <w:p w14:paraId="2C5BDDA8">
            <w:pPr>
              <w:spacing w:line="340" w:lineRule="exact"/>
              <w:rPr>
                <w:rFonts w:ascii="宋体" w:hAnsi="宋体" w:cs="宋体"/>
                <w:color w:val="auto"/>
                <w:sz w:val="24"/>
                <w:highlight w:val="none"/>
              </w:rPr>
            </w:pPr>
          </w:p>
        </w:tc>
        <w:tc>
          <w:tcPr>
            <w:tcW w:w="840" w:type="dxa"/>
          </w:tcPr>
          <w:p w14:paraId="5B534022">
            <w:pPr>
              <w:spacing w:line="340" w:lineRule="exact"/>
              <w:rPr>
                <w:rFonts w:ascii="宋体" w:hAnsi="宋体" w:cs="宋体"/>
                <w:color w:val="auto"/>
                <w:sz w:val="24"/>
                <w:highlight w:val="none"/>
              </w:rPr>
            </w:pPr>
          </w:p>
        </w:tc>
        <w:tc>
          <w:tcPr>
            <w:tcW w:w="1260" w:type="dxa"/>
          </w:tcPr>
          <w:p w14:paraId="23D04AD8">
            <w:pPr>
              <w:spacing w:line="340" w:lineRule="exact"/>
              <w:rPr>
                <w:rFonts w:ascii="宋体" w:hAnsi="宋体" w:cs="宋体"/>
                <w:color w:val="auto"/>
                <w:sz w:val="24"/>
                <w:highlight w:val="none"/>
              </w:rPr>
            </w:pPr>
          </w:p>
        </w:tc>
        <w:tc>
          <w:tcPr>
            <w:tcW w:w="1340" w:type="dxa"/>
          </w:tcPr>
          <w:p w14:paraId="08D408EE">
            <w:pPr>
              <w:spacing w:line="340" w:lineRule="exact"/>
              <w:rPr>
                <w:rFonts w:ascii="宋体" w:hAnsi="宋体" w:cs="宋体"/>
                <w:color w:val="auto"/>
                <w:sz w:val="24"/>
                <w:highlight w:val="none"/>
              </w:rPr>
            </w:pPr>
          </w:p>
        </w:tc>
        <w:tc>
          <w:tcPr>
            <w:tcW w:w="1347" w:type="dxa"/>
          </w:tcPr>
          <w:p w14:paraId="49673860">
            <w:pPr>
              <w:spacing w:line="340" w:lineRule="exact"/>
              <w:rPr>
                <w:rFonts w:ascii="宋体" w:hAnsi="宋体" w:cs="宋体"/>
                <w:color w:val="auto"/>
                <w:sz w:val="24"/>
                <w:highlight w:val="none"/>
              </w:rPr>
            </w:pPr>
          </w:p>
        </w:tc>
      </w:tr>
      <w:tr w14:paraId="61FA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D3C81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03B06497">
            <w:pPr>
              <w:spacing w:line="340" w:lineRule="exact"/>
              <w:rPr>
                <w:rFonts w:ascii="宋体" w:hAnsi="宋体" w:cs="宋体"/>
                <w:color w:val="auto"/>
                <w:sz w:val="24"/>
                <w:highlight w:val="none"/>
              </w:rPr>
            </w:pPr>
          </w:p>
        </w:tc>
        <w:tc>
          <w:tcPr>
            <w:tcW w:w="957" w:type="dxa"/>
          </w:tcPr>
          <w:p w14:paraId="210FB1D9">
            <w:pPr>
              <w:spacing w:line="340" w:lineRule="exact"/>
              <w:rPr>
                <w:rFonts w:ascii="宋体" w:hAnsi="宋体" w:cs="宋体"/>
                <w:color w:val="auto"/>
                <w:sz w:val="24"/>
                <w:highlight w:val="none"/>
              </w:rPr>
            </w:pPr>
          </w:p>
        </w:tc>
        <w:tc>
          <w:tcPr>
            <w:tcW w:w="840" w:type="dxa"/>
          </w:tcPr>
          <w:p w14:paraId="7226A620">
            <w:pPr>
              <w:spacing w:line="340" w:lineRule="exact"/>
              <w:rPr>
                <w:rFonts w:ascii="宋体" w:hAnsi="宋体" w:cs="宋体"/>
                <w:color w:val="auto"/>
                <w:sz w:val="24"/>
                <w:highlight w:val="none"/>
              </w:rPr>
            </w:pPr>
          </w:p>
        </w:tc>
        <w:tc>
          <w:tcPr>
            <w:tcW w:w="1260" w:type="dxa"/>
          </w:tcPr>
          <w:p w14:paraId="4FC000BA">
            <w:pPr>
              <w:spacing w:line="340" w:lineRule="exact"/>
              <w:rPr>
                <w:rFonts w:ascii="宋体" w:hAnsi="宋体" w:cs="宋体"/>
                <w:color w:val="auto"/>
                <w:sz w:val="24"/>
                <w:highlight w:val="none"/>
              </w:rPr>
            </w:pPr>
          </w:p>
        </w:tc>
        <w:tc>
          <w:tcPr>
            <w:tcW w:w="1340" w:type="dxa"/>
          </w:tcPr>
          <w:p w14:paraId="13E8B704">
            <w:pPr>
              <w:spacing w:line="340" w:lineRule="exact"/>
              <w:rPr>
                <w:rFonts w:ascii="宋体" w:hAnsi="宋体" w:cs="宋体"/>
                <w:color w:val="auto"/>
                <w:sz w:val="24"/>
                <w:highlight w:val="none"/>
              </w:rPr>
            </w:pPr>
          </w:p>
        </w:tc>
        <w:tc>
          <w:tcPr>
            <w:tcW w:w="1347" w:type="dxa"/>
          </w:tcPr>
          <w:p w14:paraId="61C1C6F4">
            <w:pPr>
              <w:spacing w:line="340" w:lineRule="exact"/>
              <w:rPr>
                <w:rFonts w:ascii="宋体" w:hAnsi="宋体" w:cs="宋体"/>
                <w:color w:val="auto"/>
                <w:sz w:val="24"/>
                <w:highlight w:val="none"/>
              </w:rPr>
            </w:pPr>
          </w:p>
        </w:tc>
      </w:tr>
      <w:tr w14:paraId="2E05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93DC2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6972009C">
            <w:pPr>
              <w:spacing w:line="340" w:lineRule="exact"/>
              <w:rPr>
                <w:rFonts w:ascii="宋体" w:hAnsi="宋体" w:cs="宋体"/>
                <w:color w:val="auto"/>
                <w:sz w:val="24"/>
                <w:highlight w:val="none"/>
              </w:rPr>
            </w:pPr>
          </w:p>
        </w:tc>
        <w:tc>
          <w:tcPr>
            <w:tcW w:w="957" w:type="dxa"/>
          </w:tcPr>
          <w:p w14:paraId="558E5A34">
            <w:pPr>
              <w:spacing w:line="340" w:lineRule="exact"/>
              <w:rPr>
                <w:rFonts w:ascii="宋体" w:hAnsi="宋体" w:cs="宋体"/>
                <w:color w:val="auto"/>
                <w:sz w:val="24"/>
                <w:highlight w:val="none"/>
              </w:rPr>
            </w:pPr>
          </w:p>
        </w:tc>
        <w:tc>
          <w:tcPr>
            <w:tcW w:w="840" w:type="dxa"/>
          </w:tcPr>
          <w:p w14:paraId="51276E8E">
            <w:pPr>
              <w:spacing w:line="340" w:lineRule="exact"/>
              <w:rPr>
                <w:rFonts w:ascii="宋体" w:hAnsi="宋体" w:cs="宋体"/>
                <w:color w:val="auto"/>
                <w:sz w:val="24"/>
                <w:highlight w:val="none"/>
              </w:rPr>
            </w:pPr>
          </w:p>
        </w:tc>
        <w:tc>
          <w:tcPr>
            <w:tcW w:w="1260" w:type="dxa"/>
          </w:tcPr>
          <w:p w14:paraId="70C92C7A">
            <w:pPr>
              <w:spacing w:line="340" w:lineRule="exact"/>
              <w:rPr>
                <w:rFonts w:ascii="宋体" w:hAnsi="宋体" w:cs="宋体"/>
                <w:color w:val="auto"/>
                <w:sz w:val="24"/>
                <w:highlight w:val="none"/>
              </w:rPr>
            </w:pPr>
          </w:p>
        </w:tc>
        <w:tc>
          <w:tcPr>
            <w:tcW w:w="1340" w:type="dxa"/>
          </w:tcPr>
          <w:p w14:paraId="70BC3DED">
            <w:pPr>
              <w:spacing w:line="340" w:lineRule="exact"/>
              <w:rPr>
                <w:rFonts w:ascii="宋体" w:hAnsi="宋体" w:cs="宋体"/>
                <w:color w:val="auto"/>
                <w:sz w:val="24"/>
                <w:highlight w:val="none"/>
              </w:rPr>
            </w:pPr>
          </w:p>
        </w:tc>
        <w:tc>
          <w:tcPr>
            <w:tcW w:w="1347" w:type="dxa"/>
          </w:tcPr>
          <w:p w14:paraId="00A0A5D0">
            <w:pPr>
              <w:spacing w:line="340" w:lineRule="exact"/>
              <w:rPr>
                <w:rFonts w:ascii="宋体" w:hAnsi="宋体" w:cs="宋体"/>
                <w:color w:val="auto"/>
                <w:sz w:val="24"/>
                <w:highlight w:val="none"/>
              </w:rPr>
            </w:pPr>
          </w:p>
        </w:tc>
      </w:tr>
      <w:tr w14:paraId="5B4A5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E2FA2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77A2E737">
            <w:pPr>
              <w:spacing w:line="340" w:lineRule="exact"/>
              <w:rPr>
                <w:rFonts w:ascii="宋体" w:hAnsi="宋体" w:cs="宋体"/>
                <w:color w:val="auto"/>
                <w:sz w:val="24"/>
                <w:highlight w:val="none"/>
              </w:rPr>
            </w:pPr>
          </w:p>
        </w:tc>
        <w:tc>
          <w:tcPr>
            <w:tcW w:w="957" w:type="dxa"/>
          </w:tcPr>
          <w:p w14:paraId="3F8D3103">
            <w:pPr>
              <w:spacing w:line="340" w:lineRule="exact"/>
              <w:rPr>
                <w:rFonts w:ascii="宋体" w:hAnsi="宋体" w:cs="宋体"/>
                <w:color w:val="auto"/>
                <w:sz w:val="24"/>
                <w:highlight w:val="none"/>
              </w:rPr>
            </w:pPr>
          </w:p>
        </w:tc>
        <w:tc>
          <w:tcPr>
            <w:tcW w:w="840" w:type="dxa"/>
          </w:tcPr>
          <w:p w14:paraId="269E2445">
            <w:pPr>
              <w:spacing w:line="340" w:lineRule="exact"/>
              <w:rPr>
                <w:rFonts w:ascii="宋体" w:hAnsi="宋体" w:cs="宋体"/>
                <w:color w:val="auto"/>
                <w:sz w:val="24"/>
                <w:highlight w:val="none"/>
              </w:rPr>
            </w:pPr>
          </w:p>
        </w:tc>
        <w:tc>
          <w:tcPr>
            <w:tcW w:w="1260" w:type="dxa"/>
          </w:tcPr>
          <w:p w14:paraId="1BE23F4A">
            <w:pPr>
              <w:spacing w:line="340" w:lineRule="exact"/>
              <w:rPr>
                <w:rFonts w:ascii="宋体" w:hAnsi="宋体" w:cs="宋体"/>
                <w:color w:val="auto"/>
                <w:sz w:val="24"/>
                <w:highlight w:val="none"/>
              </w:rPr>
            </w:pPr>
          </w:p>
        </w:tc>
        <w:tc>
          <w:tcPr>
            <w:tcW w:w="1340" w:type="dxa"/>
          </w:tcPr>
          <w:p w14:paraId="51A2B3A7">
            <w:pPr>
              <w:spacing w:line="340" w:lineRule="exact"/>
              <w:rPr>
                <w:rFonts w:ascii="宋体" w:hAnsi="宋体" w:cs="宋体"/>
                <w:color w:val="auto"/>
                <w:sz w:val="24"/>
                <w:highlight w:val="none"/>
              </w:rPr>
            </w:pPr>
          </w:p>
        </w:tc>
        <w:tc>
          <w:tcPr>
            <w:tcW w:w="1347" w:type="dxa"/>
          </w:tcPr>
          <w:p w14:paraId="69D2E93A">
            <w:pPr>
              <w:spacing w:line="340" w:lineRule="exact"/>
              <w:rPr>
                <w:rFonts w:ascii="宋体" w:hAnsi="宋体" w:cs="宋体"/>
                <w:color w:val="auto"/>
                <w:sz w:val="24"/>
                <w:highlight w:val="none"/>
              </w:rPr>
            </w:pPr>
          </w:p>
        </w:tc>
      </w:tr>
      <w:tr w14:paraId="5263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A8CF6E">
            <w:pPr>
              <w:spacing w:line="340" w:lineRule="exact"/>
              <w:jc w:val="center"/>
              <w:rPr>
                <w:rFonts w:ascii="宋体" w:hAnsi="宋体" w:cs="宋体"/>
                <w:color w:val="auto"/>
                <w:sz w:val="24"/>
                <w:highlight w:val="none"/>
              </w:rPr>
            </w:pPr>
          </w:p>
        </w:tc>
        <w:tc>
          <w:tcPr>
            <w:tcW w:w="2205" w:type="dxa"/>
            <w:vAlign w:val="center"/>
          </w:tcPr>
          <w:p w14:paraId="602A85CD">
            <w:pPr>
              <w:pStyle w:val="61"/>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5A5BF751">
            <w:pPr>
              <w:spacing w:line="340" w:lineRule="exact"/>
              <w:rPr>
                <w:rFonts w:ascii="宋体" w:hAnsi="宋体" w:cs="宋体"/>
                <w:color w:val="auto"/>
                <w:sz w:val="24"/>
                <w:highlight w:val="none"/>
              </w:rPr>
            </w:pPr>
          </w:p>
        </w:tc>
        <w:tc>
          <w:tcPr>
            <w:tcW w:w="840" w:type="dxa"/>
          </w:tcPr>
          <w:p w14:paraId="152BC335">
            <w:pPr>
              <w:spacing w:line="340" w:lineRule="exact"/>
              <w:rPr>
                <w:rFonts w:ascii="宋体" w:hAnsi="宋体" w:cs="宋体"/>
                <w:color w:val="auto"/>
                <w:sz w:val="24"/>
                <w:highlight w:val="none"/>
              </w:rPr>
            </w:pPr>
          </w:p>
        </w:tc>
        <w:tc>
          <w:tcPr>
            <w:tcW w:w="1260" w:type="dxa"/>
          </w:tcPr>
          <w:p w14:paraId="4AEC877E">
            <w:pPr>
              <w:spacing w:line="340" w:lineRule="exact"/>
              <w:rPr>
                <w:rFonts w:ascii="宋体" w:hAnsi="宋体" w:cs="宋体"/>
                <w:color w:val="auto"/>
                <w:sz w:val="24"/>
                <w:highlight w:val="none"/>
              </w:rPr>
            </w:pPr>
          </w:p>
        </w:tc>
        <w:tc>
          <w:tcPr>
            <w:tcW w:w="1340" w:type="dxa"/>
          </w:tcPr>
          <w:p w14:paraId="6F16D24C">
            <w:pPr>
              <w:spacing w:line="340" w:lineRule="exact"/>
              <w:rPr>
                <w:rFonts w:ascii="宋体" w:hAnsi="宋体" w:cs="宋体"/>
                <w:color w:val="auto"/>
                <w:sz w:val="24"/>
                <w:highlight w:val="none"/>
              </w:rPr>
            </w:pPr>
          </w:p>
        </w:tc>
        <w:tc>
          <w:tcPr>
            <w:tcW w:w="1347" w:type="dxa"/>
          </w:tcPr>
          <w:p w14:paraId="598EB288">
            <w:pPr>
              <w:spacing w:line="340" w:lineRule="exact"/>
              <w:rPr>
                <w:rFonts w:ascii="宋体" w:hAnsi="宋体" w:cs="宋体"/>
                <w:color w:val="auto"/>
                <w:sz w:val="24"/>
                <w:highlight w:val="none"/>
              </w:rPr>
            </w:pPr>
          </w:p>
        </w:tc>
      </w:tr>
      <w:tr w14:paraId="4B0A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B7640A">
            <w:pPr>
              <w:spacing w:line="340" w:lineRule="exact"/>
              <w:jc w:val="center"/>
              <w:rPr>
                <w:rFonts w:ascii="宋体" w:hAnsi="宋体" w:cs="宋体"/>
                <w:color w:val="auto"/>
                <w:sz w:val="24"/>
                <w:highlight w:val="none"/>
              </w:rPr>
            </w:pPr>
          </w:p>
        </w:tc>
        <w:tc>
          <w:tcPr>
            <w:tcW w:w="2205" w:type="dxa"/>
          </w:tcPr>
          <w:p w14:paraId="3C85B138">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6FEC8629">
            <w:pPr>
              <w:spacing w:line="340" w:lineRule="exact"/>
              <w:rPr>
                <w:rFonts w:ascii="宋体" w:hAnsi="宋体" w:cs="宋体"/>
                <w:color w:val="auto"/>
                <w:sz w:val="24"/>
                <w:highlight w:val="none"/>
              </w:rPr>
            </w:pPr>
          </w:p>
        </w:tc>
        <w:tc>
          <w:tcPr>
            <w:tcW w:w="840" w:type="dxa"/>
          </w:tcPr>
          <w:p w14:paraId="5FE3C469">
            <w:pPr>
              <w:spacing w:line="340" w:lineRule="exact"/>
              <w:rPr>
                <w:rFonts w:ascii="宋体" w:hAnsi="宋体" w:cs="宋体"/>
                <w:color w:val="auto"/>
                <w:sz w:val="24"/>
                <w:highlight w:val="none"/>
              </w:rPr>
            </w:pPr>
          </w:p>
        </w:tc>
        <w:tc>
          <w:tcPr>
            <w:tcW w:w="1260" w:type="dxa"/>
          </w:tcPr>
          <w:p w14:paraId="3FF2D12D">
            <w:pPr>
              <w:spacing w:line="340" w:lineRule="exact"/>
              <w:rPr>
                <w:rFonts w:ascii="宋体" w:hAnsi="宋体" w:cs="宋体"/>
                <w:color w:val="auto"/>
                <w:sz w:val="24"/>
                <w:highlight w:val="none"/>
              </w:rPr>
            </w:pPr>
          </w:p>
        </w:tc>
        <w:tc>
          <w:tcPr>
            <w:tcW w:w="1340" w:type="dxa"/>
          </w:tcPr>
          <w:p w14:paraId="614F8DCD">
            <w:pPr>
              <w:spacing w:line="340" w:lineRule="exact"/>
              <w:rPr>
                <w:rFonts w:ascii="宋体" w:hAnsi="宋体" w:cs="宋体"/>
                <w:color w:val="auto"/>
                <w:sz w:val="24"/>
                <w:highlight w:val="none"/>
              </w:rPr>
            </w:pPr>
          </w:p>
        </w:tc>
        <w:tc>
          <w:tcPr>
            <w:tcW w:w="1347" w:type="dxa"/>
          </w:tcPr>
          <w:p w14:paraId="43FFE53D">
            <w:pPr>
              <w:spacing w:line="340" w:lineRule="exact"/>
              <w:rPr>
                <w:rFonts w:ascii="宋体" w:hAnsi="宋体" w:cs="宋体"/>
                <w:color w:val="auto"/>
                <w:sz w:val="24"/>
                <w:highlight w:val="none"/>
              </w:rPr>
            </w:pPr>
          </w:p>
        </w:tc>
      </w:tr>
      <w:tr w14:paraId="423E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EA05CDB">
            <w:pPr>
              <w:spacing w:line="340" w:lineRule="exact"/>
              <w:jc w:val="center"/>
              <w:rPr>
                <w:rFonts w:ascii="宋体" w:hAnsi="宋体" w:cs="宋体"/>
                <w:color w:val="auto"/>
                <w:sz w:val="24"/>
                <w:highlight w:val="none"/>
              </w:rPr>
            </w:pPr>
          </w:p>
        </w:tc>
        <w:tc>
          <w:tcPr>
            <w:tcW w:w="2205" w:type="dxa"/>
          </w:tcPr>
          <w:p w14:paraId="49171A52">
            <w:pPr>
              <w:pStyle w:val="61"/>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165990B0">
            <w:pPr>
              <w:spacing w:line="340" w:lineRule="exact"/>
              <w:rPr>
                <w:rFonts w:ascii="宋体" w:hAnsi="宋体" w:cs="宋体"/>
                <w:color w:val="auto"/>
                <w:sz w:val="24"/>
                <w:highlight w:val="none"/>
              </w:rPr>
            </w:pPr>
          </w:p>
        </w:tc>
        <w:tc>
          <w:tcPr>
            <w:tcW w:w="840" w:type="dxa"/>
          </w:tcPr>
          <w:p w14:paraId="05105BB3">
            <w:pPr>
              <w:spacing w:line="340" w:lineRule="exact"/>
              <w:rPr>
                <w:rFonts w:ascii="宋体" w:hAnsi="宋体" w:cs="宋体"/>
                <w:color w:val="auto"/>
                <w:sz w:val="24"/>
                <w:highlight w:val="none"/>
              </w:rPr>
            </w:pPr>
          </w:p>
        </w:tc>
        <w:tc>
          <w:tcPr>
            <w:tcW w:w="1260" w:type="dxa"/>
          </w:tcPr>
          <w:p w14:paraId="5F9A9880">
            <w:pPr>
              <w:spacing w:line="340" w:lineRule="exact"/>
              <w:rPr>
                <w:rFonts w:ascii="宋体" w:hAnsi="宋体" w:cs="宋体"/>
                <w:color w:val="auto"/>
                <w:sz w:val="24"/>
                <w:highlight w:val="none"/>
              </w:rPr>
            </w:pPr>
          </w:p>
        </w:tc>
        <w:tc>
          <w:tcPr>
            <w:tcW w:w="1340" w:type="dxa"/>
          </w:tcPr>
          <w:p w14:paraId="48D9425D">
            <w:pPr>
              <w:spacing w:line="340" w:lineRule="exact"/>
              <w:rPr>
                <w:rFonts w:ascii="宋体" w:hAnsi="宋体" w:cs="宋体"/>
                <w:color w:val="auto"/>
                <w:sz w:val="24"/>
                <w:highlight w:val="none"/>
              </w:rPr>
            </w:pPr>
          </w:p>
        </w:tc>
        <w:tc>
          <w:tcPr>
            <w:tcW w:w="1347" w:type="dxa"/>
          </w:tcPr>
          <w:p w14:paraId="51D3B7C9">
            <w:pPr>
              <w:spacing w:line="340" w:lineRule="exact"/>
              <w:rPr>
                <w:rFonts w:ascii="宋体" w:hAnsi="宋体" w:cs="宋体"/>
                <w:color w:val="auto"/>
                <w:sz w:val="24"/>
                <w:highlight w:val="none"/>
              </w:rPr>
            </w:pPr>
          </w:p>
        </w:tc>
      </w:tr>
      <w:tr w14:paraId="0DB0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70EAC5">
            <w:pPr>
              <w:spacing w:line="340" w:lineRule="exact"/>
              <w:jc w:val="center"/>
              <w:rPr>
                <w:rFonts w:ascii="宋体" w:hAnsi="宋体" w:cs="宋体"/>
                <w:color w:val="auto"/>
                <w:sz w:val="24"/>
                <w:highlight w:val="none"/>
              </w:rPr>
            </w:pPr>
          </w:p>
        </w:tc>
        <w:tc>
          <w:tcPr>
            <w:tcW w:w="2205" w:type="dxa"/>
          </w:tcPr>
          <w:p w14:paraId="13EB8DB1">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4EA7782C">
            <w:pPr>
              <w:spacing w:line="340" w:lineRule="exact"/>
              <w:rPr>
                <w:rFonts w:ascii="宋体" w:hAnsi="宋体" w:cs="宋体"/>
                <w:color w:val="auto"/>
                <w:sz w:val="24"/>
                <w:highlight w:val="none"/>
              </w:rPr>
            </w:pPr>
          </w:p>
        </w:tc>
        <w:tc>
          <w:tcPr>
            <w:tcW w:w="840" w:type="dxa"/>
          </w:tcPr>
          <w:p w14:paraId="09BA04A8">
            <w:pPr>
              <w:spacing w:line="340" w:lineRule="exact"/>
              <w:rPr>
                <w:rFonts w:ascii="宋体" w:hAnsi="宋体" w:cs="宋体"/>
                <w:color w:val="auto"/>
                <w:sz w:val="24"/>
                <w:highlight w:val="none"/>
              </w:rPr>
            </w:pPr>
          </w:p>
        </w:tc>
        <w:tc>
          <w:tcPr>
            <w:tcW w:w="1260" w:type="dxa"/>
          </w:tcPr>
          <w:p w14:paraId="40515E3F">
            <w:pPr>
              <w:spacing w:line="340" w:lineRule="exact"/>
              <w:rPr>
                <w:rFonts w:ascii="宋体" w:hAnsi="宋体" w:cs="宋体"/>
                <w:color w:val="auto"/>
                <w:sz w:val="24"/>
                <w:highlight w:val="none"/>
              </w:rPr>
            </w:pPr>
          </w:p>
        </w:tc>
        <w:tc>
          <w:tcPr>
            <w:tcW w:w="1340" w:type="dxa"/>
          </w:tcPr>
          <w:p w14:paraId="0C998017">
            <w:pPr>
              <w:spacing w:line="340" w:lineRule="exact"/>
              <w:rPr>
                <w:rFonts w:ascii="宋体" w:hAnsi="宋体" w:cs="宋体"/>
                <w:color w:val="auto"/>
                <w:sz w:val="24"/>
                <w:highlight w:val="none"/>
              </w:rPr>
            </w:pPr>
          </w:p>
        </w:tc>
        <w:tc>
          <w:tcPr>
            <w:tcW w:w="1347" w:type="dxa"/>
          </w:tcPr>
          <w:p w14:paraId="77D3A6BA">
            <w:pPr>
              <w:spacing w:line="340" w:lineRule="exact"/>
              <w:rPr>
                <w:rFonts w:ascii="宋体" w:hAnsi="宋体" w:cs="宋体"/>
                <w:color w:val="auto"/>
                <w:sz w:val="24"/>
                <w:highlight w:val="none"/>
              </w:rPr>
            </w:pPr>
          </w:p>
        </w:tc>
      </w:tr>
      <w:tr w14:paraId="7A87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A7F8F3">
            <w:pPr>
              <w:spacing w:line="340" w:lineRule="exact"/>
              <w:jc w:val="center"/>
              <w:rPr>
                <w:rFonts w:ascii="宋体" w:hAnsi="宋体" w:cs="宋体"/>
                <w:color w:val="auto"/>
                <w:sz w:val="24"/>
                <w:highlight w:val="none"/>
              </w:rPr>
            </w:pPr>
          </w:p>
        </w:tc>
        <w:tc>
          <w:tcPr>
            <w:tcW w:w="2205" w:type="dxa"/>
            <w:vAlign w:val="center"/>
          </w:tcPr>
          <w:p w14:paraId="590662EF">
            <w:pPr>
              <w:pStyle w:val="61"/>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50E50CD">
            <w:pPr>
              <w:spacing w:line="340" w:lineRule="exact"/>
              <w:rPr>
                <w:rFonts w:ascii="宋体" w:hAnsi="宋体" w:cs="宋体"/>
                <w:color w:val="auto"/>
                <w:sz w:val="24"/>
                <w:highlight w:val="none"/>
              </w:rPr>
            </w:pPr>
          </w:p>
        </w:tc>
        <w:tc>
          <w:tcPr>
            <w:tcW w:w="840" w:type="dxa"/>
          </w:tcPr>
          <w:p w14:paraId="713EAA7A">
            <w:pPr>
              <w:spacing w:line="340" w:lineRule="exact"/>
              <w:rPr>
                <w:rFonts w:ascii="宋体" w:hAnsi="宋体" w:cs="宋体"/>
                <w:color w:val="auto"/>
                <w:sz w:val="24"/>
                <w:highlight w:val="none"/>
              </w:rPr>
            </w:pPr>
          </w:p>
        </w:tc>
        <w:tc>
          <w:tcPr>
            <w:tcW w:w="1260" w:type="dxa"/>
          </w:tcPr>
          <w:p w14:paraId="0C1EFAA4">
            <w:pPr>
              <w:spacing w:line="340" w:lineRule="exact"/>
              <w:rPr>
                <w:rFonts w:ascii="宋体" w:hAnsi="宋体" w:cs="宋体"/>
                <w:color w:val="auto"/>
                <w:sz w:val="24"/>
                <w:highlight w:val="none"/>
              </w:rPr>
            </w:pPr>
          </w:p>
        </w:tc>
        <w:tc>
          <w:tcPr>
            <w:tcW w:w="1340" w:type="dxa"/>
          </w:tcPr>
          <w:p w14:paraId="1B8223D9">
            <w:pPr>
              <w:spacing w:line="340" w:lineRule="exact"/>
              <w:rPr>
                <w:rFonts w:ascii="宋体" w:hAnsi="宋体" w:cs="宋体"/>
                <w:color w:val="auto"/>
                <w:sz w:val="24"/>
                <w:highlight w:val="none"/>
              </w:rPr>
            </w:pPr>
          </w:p>
        </w:tc>
        <w:tc>
          <w:tcPr>
            <w:tcW w:w="1347" w:type="dxa"/>
          </w:tcPr>
          <w:p w14:paraId="6AA5ED22">
            <w:pPr>
              <w:spacing w:line="340" w:lineRule="exact"/>
              <w:rPr>
                <w:rFonts w:ascii="宋体" w:hAnsi="宋体" w:cs="宋体"/>
                <w:color w:val="auto"/>
                <w:sz w:val="24"/>
                <w:highlight w:val="none"/>
              </w:rPr>
            </w:pPr>
          </w:p>
        </w:tc>
      </w:tr>
    </w:tbl>
    <w:p w14:paraId="2CC1C61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0D88A44">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2E3D117F">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77D4F0DA">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3F28D27B">
      <w:pPr>
        <w:spacing w:line="360" w:lineRule="auto"/>
        <w:jc w:val="center"/>
        <w:rPr>
          <w:rFonts w:ascii="宋体" w:hAnsi="宋体" w:cs="宋体"/>
          <w:b/>
          <w:color w:val="auto"/>
          <w:sz w:val="24"/>
          <w:highlight w:val="none"/>
        </w:rPr>
      </w:pPr>
    </w:p>
    <w:p w14:paraId="1C1F991E">
      <w:pPr>
        <w:spacing w:line="360" w:lineRule="auto"/>
        <w:jc w:val="center"/>
        <w:rPr>
          <w:rFonts w:ascii="宋体" w:hAnsi="宋体" w:cs="宋体"/>
          <w:b/>
          <w:color w:val="auto"/>
          <w:sz w:val="24"/>
          <w:highlight w:val="none"/>
        </w:rPr>
      </w:pPr>
    </w:p>
    <w:p w14:paraId="0341E4FA">
      <w:pPr>
        <w:pStyle w:val="2"/>
        <w:ind w:firstLine="241"/>
        <w:rPr>
          <w:rFonts w:ascii="宋体" w:hAnsi="宋体" w:cs="宋体"/>
          <w:b/>
          <w:color w:val="auto"/>
          <w:sz w:val="24"/>
          <w:highlight w:val="none"/>
        </w:rPr>
      </w:pPr>
    </w:p>
    <w:p w14:paraId="11F9EC77">
      <w:pPr>
        <w:pStyle w:val="2"/>
        <w:ind w:firstLine="241"/>
        <w:rPr>
          <w:rFonts w:ascii="宋体" w:hAnsi="宋体" w:cs="宋体"/>
          <w:b/>
          <w:color w:val="auto"/>
          <w:sz w:val="24"/>
          <w:highlight w:val="none"/>
        </w:rPr>
      </w:pPr>
    </w:p>
    <w:p w14:paraId="74CD87EB">
      <w:pPr>
        <w:pStyle w:val="2"/>
        <w:ind w:firstLine="241"/>
        <w:rPr>
          <w:rFonts w:ascii="宋体" w:hAnsi="宋体" w:cs="宋体"/>
          <w:b/>
          <w:color w:val="auto"/>
          <w:sz w:val="24"/>
          <w:highlight w:val="none"/>
        </w:rPr>
      </w:pPr>
    </w:p>
    <w:p w14:paraId="3BF15A10">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3518F792">
      <w:pPr>
        <w:rPr>
          <w:rFonts w:ascii="宋体" w:hAnsi="宋体" w:cs="宋体"/>
          <w:color w:val="auto"/>
          <w:sz w:val="24"/>
          <w:highlight w:val="none"/>
        </w:rPr>
      </w:pPr>
    </w:p>
    <w:p w14:paraId="19DE7B20">
      <w:pPr>
        <w:rPr>
          <w:rFonts w:ascii="宋体" w:hAnsi="宋体" w:cs="宋体"/>
          <w:color w:val="auto"/>
          <w:sz w:val="24"/>
          <w:highlight w:val="none"/>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EEE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726415C">
            <w:pPr>
              <w:pStyle w:val="16"/>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1A62BE1">
            <w:pPr>
              <w:pStyle w:val="16"/>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640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4FAF638">
            <w:pPr>
              <w:pStyle w:val="16"/>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AC49DC2">
            <w:pPr>
              <w:pStyle w:val="16"/>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23E4E608">
            <w:pPr>
              <w:pStyle w:val="16"/>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F59907B">
            <w:pPr>
              <w:pStyle w:val="16"/>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A0894C7">
            <w:pPr>
              <w:pStyle w:val="16"/>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23A6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F688D8E">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590B3C14">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1F0CADA6">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446E7FBD">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5E27459B">
            <w:pPr>
              <w:jc w:val="center"/>
              <w:rPr>
                <w:rFonts w:ascii="宋体" w:hAnsi="宋体" w:cs="宋体"/>
                <w:color w:val="auto"/>
                <w:sz w:val="24"/>
                <w:highlight w:val="none"/>
              </w:rPr>
            </w:pPr>
          </w:p>
        </w:tc>
      </w:tr>
      <w:tr w14:paraId="409D0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94DECF">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6346E5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479A97E">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A680EDB">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50EB75C">
            <w:pPr>
              <w:jc w:val="center"/>
              <w:rPr>
                <w:rFonts w:ascii="宋体" w:hAnsi="宋体" w:cs="宋体"/>
                <w:color w:val="auto"/>
                <w:sz w:val="24"/>
                <w:highlight w:val="none"/>
              </w:rPr>
            </w:pPr>
          </w:p>
        </w:tc>
      </w:tr>
      <w:tr w14:paraId="30A0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71469C">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BAEB76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BF8187">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5D8E2F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C883683">
            <w:pPr>
              <w:jc w:val="center"/>
              <w:rPr>
                <w:rFonts w:ascii="宋体" w:hAnsi="宋体" w:cs="宋体"/>
                <w:color w:val="auto"/>
                <w:sz w:val="24"/>
                <w:highlight w:val="none"/>
              </w:rPr>
            </w:pPr>
          </w:p>
        </w:tc>
      </w:tr>
      <w:tr w14:paraId="1801B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5590C8A">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442B5AB">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E40290D">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E73BFF4">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9979A28">
            <w:pPr>
              <w:jc w:val="center"/>
              <w:rPr>
                <w:rFonts w:ascii="宋体" w:hAnsi="宋体" w:cs="宋体"/>
                <w:color w:val="auto"/>
                <w:sz w:val="24"/>
                <w:highlight w:val="none"/>
              </w:rPr>
            </w:pPr>
          </w:p>
        </w:tc>
      </w:tr>
      <w:tr w14:paraId="6FE81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4145A59">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BDABC1B">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16F455B">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4C47D1D">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1009F32">
            <w:pPr>
              <w:jc w:val="center"/>
              <w:rPr>
                <w:rFonts w:ascii="宋体" w:hAnsi="宋体" w:cs="宋体"/>
                <w:color w:val="auto"/>
                <w:sz w:val="24"/>
                <w:highlight w:val="none"/>
              </w:rPr>
            </w:pPr>
          </w:p>
        </w:tc>
      </w:tr>
      <w:tr w14:paraId="5F9E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AB83AC">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CE73ED0">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E61AFE3">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04A5A14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1283C50">
            <w:pPr>
              <w:jc w:val="center"/>
              <w:rPr>
                <w:rFonts w:ascii="宋体" w:hAnsi="宋体" w:cs="宋体"/>
                <w:color w:val="auto"/>
                <w:sz w:val="24"/>
                <w:highlight w:val="none"/>
              </w:rPr>
            </w:pPr>
          </w:p>
        </w:tc>
      </w:tr>
    </w:tbl>
    <w:p w14:paraId="66464DC8">
      <w:pPr>
        <w:rPr>
          <w:rFonts w:ascii="宋体" w:hAnsi="宋体" w:cs="宋体"/>
          <w:color w:val="auto"/>
          <w:sz w:val="24"/>
          <w:highlight w:val="none"/>
        </w:rPr>
      </w:pPr>
    </w:p>
    <w:p w14:paraId="3222EDBD">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01073DB6">
      <w:pPr>
        <w:rPr>
          <w:rFonts w:ascii="宋体" w:hAnsi="宋体" w:cs="宋体"/>
          <w:color w:val="auto"/>
          <w:sz w:val="24"/>
          <w:highlight w:val="none"/>
        </w:rPr>
      </w:pPr>
    </w:p>
    <w:p w14:paraId="0DD71EA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0BE99C0">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B1D0D83">
      <w:pPr>
        <w:spacing w:line="360" w:lineRule="auto"/>
        <w:rPr>
          <w:rFonts w:ascii="宋体" w:hAnsi="宋体" w:cs="宋体"/>
          <w:b/>
          <w:color w:val="auto"/>
          <w:sz w:val="24"/>
          <w:highlight w:val="none"/>
        </w:rPr>
      </w:pPr>
    </w:p>
    <w:p w14:paraId="249C49F9">
      <w:pPr>
        <w:spacing w:line="360" w:lineRule="auto"/>
        <w:rPr>
          <w:rFonts w:ascii="宋体" w:hAnsi="宋体" w:cs="宋体"/>
          <w:b/>
          <w:color w:val="auto"/>
          <w:sz w:val="24"/>
          <w:highlight w:val="none"/>
        </w:rPr>
      </w:pPr>
    </w:p>
    <w:p w14:paraId="1ACE9C91">
      <w:pPr>
        <w:spacing w:line="360" w:lineRule="auto"/>
        <w:rPr>
          <w:rFonts w:ascii="宋体" w:hAnsi="宋体" w:cs="宋体"/>
          <w:b/>
          <w:color w:val="auto"/>
          <w:sz w:val="24"/>
          <w:highlight w:val="none"/>
        </w:rPr>
      </w:pPr>
    </w:p>
    <w:p w14:paraId="0359289E">
      <w:pPr>
        <w:spacing w:line="360" w:lineRule="auto"/>
        <w:rPr>
          <w:rFonts w:ascii="宋体" w:hAnsi="宋体" w:cs="宋体"/>
          <w:b/>
          <w:color w:val="auto"/>
          <w:sz w:val="24"/>
          <w:highlight w:val="none"/>
        </w:rPr>
      </w:pPr>
    </w:p>
    <w:p w14:paraId="0E77E2E2">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2847B565">
      <w:pPr>
        <w:pStyle w:val="29"/>
        <w:ind w:firstLine="480"/>
        <w:rPr>
          <w:rFonts w:ascii="宋体" w:hAnsi="宋体" w:eastAsia="宋体" w:cs="宋体"/>
          <w:color w:val="auto"/>
          <w:sz w:val="24"/>
          <w:highlight w:val="none"/>
        </w:rPr>
      </w:pPr>
    </w:p>
    <w:p w14:paraId="6206AD7E">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353AB7C1">
      <w:pPr>
        <w:spacing w:line="380" w:lineRule="exact"/>
        <w:jc w:val="center"/>
        <w:rPr>
          <w:rFonts w:ascii="宋体" w:hAnsi="宋体" w:cs="宋体"/>
          <w:color w:val="auto"/>
          <w:sz w:val="24"/>
          <w:highlight w:val="none"/>
        </w:rPr>
      </w:pPr>
    </w:p>
    <w:p w14:paraId="28A8400E">
      <w:pPr>
        <w:spacing w:line="380" w:lineRule="exact"/>
        <w:ind w:firstLine="360" w:firstLineChars="150"/>
        <w:rPr>
          <w:rFonts w:ascii="宋体" w:hAnsi="宋体" w:cs="宋体"/>
          <w:color w:val="auto"/>
          <w:sz w:val="24"/>
          <w:highlight w:val="none"/>
        </w:rPr>
      </w:pPr>
    </w:p>
    <w:p w14:paraId="59AE23DD">
      <w:pPr>
        <w:pStyle w:val="38"/>
        <w:rPr>
          <w:rFonts w:ascii="宋体" w:hAnsi="宋体" w:cs="宋体"/>
          <w:color w:val="auto"/>
          <w:sz w:val="24"/>
          <w:szCs w:val="24"/>
          <w:highlight w:val="none"/>
        </w:rPr>
      </w:pPr>
    </w:p>
    <w:p w14:paraId="08A2B9C5">
      <w:pPr>
        <w:pStyle w:val="38"/>
        <w:rPr>
          <w:rFonts w:ascii="宋体" w:hAnsi="宋体" w:cs="宋体"/>
          <w:color w:val="auto"/>
          <w:sz w:val="24"/>
          <w:szCs w:val="24"/>
          <w:highlight w:val="none"/>
        </w:rPr>
      </w:pPr>
    </w:p>
    <w:p w14:paraId="65BD5DEE">
      <w:pPr>
        <w:pStyle w:val="38"/>
        <w:rPr>
          <w:rFonts w:ascii="宋体" w:hAnsi="宋体" w:cs="宋体"/>
          <w:color w:val="auto"/>
          <w:sz w:val="24"/>
          <w:szCs w:val="24"/>
          <w:highlight w:val="none"/>
        </w:rPr>
      </w:pPr>
    </w:p>
    <w:p w14:paraId="2CC96979">
      <w:pPr>
        <w:pStyle w:val="38"/>
        <w:rPr>
          <w:rFonts w:ascii="宋体" w:hAnsi="宋体" w:cs="宋体"/>
          <w:color w:val="auto"/>
          <w:sz w:val="24"/>
          <w:szCs w:val="24"/>
          <w:highlight w:val="none"/>
        </w:rPr>
      </w:pPr>
    </w:p>
    <w:p w14:paraId="45E02405">
      <w:pPr>
        <w:pStyle w:val="38"/>
        <w:rPr>
          <w:rFonts w:ascii="宋体" w:hAnsi="宋体" w:cs="宋体"/>
          <w:color w:val="auto"/>
          <w:sz w:val="24"/>
          <w:szCs w:val="24"/>
          <w:highlight w:val="none"/>
        </w:rPr>
      </w:pPr>
    </w:p>
    <w:p w14:paraId="42D29E38">
      <w:pPr>
        <w:pStyle w:val="38"/>
        <w:rPr>
          <w:rFonts w:ascii="宋体" w:hAnsi="宋体" w:cs="宋体"/>
          <w:color w:val="auto"/>
          <w:sz w:val="24"/>
          <w:szCs w:val="24"/>
          <w:highlight w:val="none"/>
        </w:rPr>
      </w:pPr>
    </w:p>
    <w:p w14:paraId="250CB259">
      <w:pPr>
        <w:spacing w:line="380" w:lineRule="exact"/>
        <w:rPr>
          <w:rFonts w:ascii="宋体" w:hAnsi="宋体" w:cs="宋体"/>
          <w:color w:val="auto"/>
          <w:sz w:val="24"/>
          <w:highlight w:val="none"/>
        </w:rPr>
      </w:pPr>
    </w:p>
    <w:p w14:paraId="7322B84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605561D">
      <w:pPr>
        <w:spacing w:line="380" w:lineRule="exact"/>
        <w:ind w:right="640" w:firstLine="1560" w:firstLineChars="650"/>
        <w:rPr>
          <w:rFonts w:ascii="宋体" w:hAnsi="宋体" w:cs="宋体"/>
          <w:color w:val="auto"/>
          <w:sz w:val="24"/>
          <w:highlight w:val="none"/>
        </w:rPr>
      </w:pPr>
    </w:p>
    <w:p w14:paraId="65C55EFD">
      <w:pPr>
        <w:spacing w:line="380" w:lineRule="exact"/>
        <w:ind w:right="640" w:firstLine="4680" w:firstLineChars="1950"/>
        <w:rPr>
          <w:rFonts w:ascii="宋体" w:hAnsi="宋体" w:cs="宋体"/>
          <w:color w:val="auto"/>
          <w:sz w:val="24"/>
          <w:highlight w:val="none"/>
        </w:rPr>
      </w:pPr>
    </w:p>
    <w:p w14:paraId="5FDA028C">
      <w:pPr>
        <w:spacing w:line="380" w:lineRule="exact"/>
        <w:jc w:val="center"/>
        <w:rPr>
          <w:rFonts w:ascii="宋体" w:hAnsi="宋体" w:cs="宋体"/>
          <w:color w:val="auto"/>
          <w:sz w:val="24"/>
          <w:highlight w:val="none"/>
        </w:rPr>
      </w:pPr>
    </w:p>
    <w:p w14:paraId="49A0B19D">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34CABE6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60F87F77">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383EDB96">
      <w:pPr>
        <w:spacing w:line="360" w:lineRule="auto"/>
        <w:rPr>
          <w:rFonts w:ascii="宋体" w:hAnsi="宋体" w:cs="宋体"/>
          <w:color w:val="auto"/>
          <w:sz w:val="24"/>
          <w:highlight w:val="none"/>
        </w:rPr>
      </w:pPr>
    </w:p>
    <w:p w14:paraId="5E7ADDC9">
      <w:pPr>
        <w:spacing w:line="360" w:lineRule="auto"/>
        <w:jc w:val="center"/>
        <w:rPr>
          <w:rFonts w:ascii="宋体" w:hAnsi="宋体" w:cs="宋体"/>
          <w:b/>
          <w:bCs/>
          <w:color w:val="auto"/>
          <w:sz w:val="24"/>
          <w:highlight w:val="none"/>
        </w:rPr>
      </w:pPr>
    </w:p>
    <w:p w14:paraId="2A9B4F1F">
      <w:pPr>
        <w:pStyle w:val="38"/>
        <w:rPr>
          <w:color w:val="auto"/>
          <w:highlight w:val="none"/>
        </w:rPr>
      </w:pPr>
    </w:p>
    <w:p w14:paraId="23372FB5">
      <w:pPr>
        <w:spacing w:line="360" w:lineRule="auto"/>
        <w:jc w:val="center"/>
        <w:rPr>
          <w:rFonts w:ascii="宋体" w:hAnsi="宋体" w:cs="宋体"/>
          <w:b/>
          <w:color w:val="auto"/>
          <w:sz w:val="24"/>
          <w:highlight w:val="none"/>
        </w:rPr>
      </w:pPr>
    </w:p>
    <w:p w14:paraId="172DE542">
      <w:pPr>
        <w:spacing w:line="360" w:lineRule="auto"/>
        <w:jc w:val="center"/>
        <w:rPr>
          <w:rFonts w:ascii="宋体" w:hAnsi="宋体" w:cs="宋体"/>
          <w:b/>
          <w:color w:val="auto"/>
          <w:sz w:val="24"/>
          <w:highlight w:val="none"/>
        </w:rPr>
      </w:pPr>
    </w:p>
    <w:p w14:paraId="56C0D8C9">
      <w:pPr>
        <w:spacing w:line="360" w:lineRule="auto"/>
        <w:jc w:val="center"/>
        <w:rPr>
          <w:rFonts w:ascii="宋体" w:hAnsi="宋体" w:cs="宋体"/>
          <w:b/>
          <w:color w:val="auto"/>
          <w:sz w:val="24"/>
          <w:highlight w:val="none"/>
        </w:rPr>
      </w:pPr>
    </w:p>
    <w:p w14:paraId="3F497F9F">
      <w:pPr>
        <w:spacing w:line="360" w:lineRule="auto"/>
        <w:jc w:val="center"/>
        <w:rPr>
          <w:rFonts w:ascii="宋体" w:hAnsi="宋体" w:cs="宋体"/>
          <w:b/>
          <w:color w:val="auto"/>
          <w:sz w:val="24"/>
          <w:highlight w:val="none"/>
        </w:rPr>
      </w:pPr>
    </w:p>
    <w:p w14:paraId="01B1C01F">
      <w:pPr>
        <w:spacing w:line="360" w:lineRule="auto"/>
        <w:jc w:val="center"/>
        <w:rPr>
          <w:rFonts w:ascii="宋体" w:hAnsi="宋体" w:cs="宋体"/>
          <w:b/>
          <w:color w:val="auto"/>
          <w:sz w:val="24"/>
          <w:highlight w:val="none"/>
        </w:rPr>
      </w:pPr>
    </w:p>
    <w:p w14:paraId="1B241212">
      <w:pPr>
        <w:spacing w:line="360" w:lineRule="auto"/>
        <w:jc w:val="center"/>
        <w:rPr>
          <w:rFonts w:ascii="宋体" w:hAnsi="宋体" w:cs="宋体"/>
          <w:b/>
          <w:color w:val="auto"/>
          <w:sz w:val="24"/>
          <w:highlight w:val="none"/>
        </w:rPr>
      </w:pPr>
    </w:p>
    <w:p w14:paraId="51D607D8">
      <w:pPr>
        <w:spacing w:line="360" w:lineRule="auto"/>
        <w:jc w:val="center"/>
        <w:rPr>
          <w:rFonts w:ascii="宋体" w:hAnsi="宋体" w:cs="宋体"/>
          <w:b/>
          <w:color w:val="auto"/>
          <w:sz w:val="24"/>
          <w:highlight w:val="none"/>
        </w:rPr>
      </w:pPr>
    </w:p>
    <w:p w14:paraId="1AF7C901">
      <w:pPr>
        <w:spacing w:line="360" w:lineRule="auto"/>
        <w:jc w:val="center"/>
        <w:rPr>
          <w:rFonts w:ascii="宋体" w:hAnsi="宋体" w:cs="宋体"/>
          <w:b/>
          <w:color w:val="auto"/>
          <w:sz w:val="24"/>
          <w:highlight w:val="none"/>
        </w:rPr>
      </w:pPr>
    </w:p>
    <w:p w14:paraId="2EE6F58B">
      <w:pPr>
        <w:spacing w:line="360" w:lineRule="auto"/>
        <w:jc w:val="center"/>
        <w:rPr>
          <w:rFonts w:ascii="宋体" w:hAnsi="宋体" w:cs="宋体"/>
          <w:b/>
          <w:color w:val="auto"/>
          <w:sz w:val="24"/>
          <w:highlight w:val="none"/>
        </w:rPr>
      </w:pPr>
    </w:p>
    <w:p w14:paraId="6D66A897">
      <w:pPr>
        <w:spacing w:line="360" w:lineRule="auto"/>
        <w:jc w:val="center"/>
        <w:rPr>
          <w:rFonts w:ascii="宋体" w:hAnsi="宋体" w:cs="宋体"/>
          <w:b/>
          <w:color w:val="auto"/>
          <w:sz w:val="24"/>
          <w:highlight w:val="none"/>
        </w:rPr>
      </w:pPr>
    </w:p>
    <w:p w14:paraId="165E938E">
      <w:pPr>
        <w:spacing w:line="360" w:lineRule="auto"/>
        <w:jc w:val="center"/>
        <w:rPr>
          <w:rFonts w:ascii="宋体" w:hAnsi="宋体" w:cs="宋体"/>
          <w:b/>
          <w:color w:val="auto"/>
          <w:sz w:val="24"/>
          <w:highlight w:val="none"/>
        </w:rPr>
      </w:pPr>
    </w:p>
    <w:p w14:paraId="454F7B3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1537A609">
      <w:pPr>
        <w:spacing w:line="380" w:lineRule="exact"/>
        <w:ind w:right="640" w:firstLine="1560" w:firstLineChars="650"/>
        <w:rPr>
          <w:rFonts w:ascii="宋体" w:hAnsi="宋体" w:cs="宋体"/>
          <w:color w:val="auto"/>
          <w:sz w:val="24"/>
          <w:highlight w:val="none"/>
        </w:rPr>
      </w:pPr>
    </w:p>
    <w:p w14:paraId="12E956B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1CAFEA0B">
      <w:pPr>
        <w:spacing w:line="360" w:lineRule="auto"/>
        <w:rPr>
          <w:rFonts w:ascii="宋体" w:hAnsi="宋体" w:cs="宋体"/>
          <w:color w:val="auto"/>
          <w:sz w:val="24"/>
          <w:highlight w:val="none"/>
        </w:rPr>
      </w:pPr>
    </w:p>
    <w:p w14:paraId="23B279BF">
      <w:pPr>
        <w:spacing w:line="360" w:lineRule="auto"/>
        <w:rPr>
          <w:rFonts w:ascii="宋体" w:hAnsi="宋体" w:cs="宋体"/>
          <w:color w:val="auto"/>
          <w:sz w:val="24"/>
          <w:highlight w:val="none"/>
        </w:rPr>
      </w:pPr>
    </w:p>
    <w:p w14:paraId="10F54E62">
      <w:pPr>
        <w:spacing w:line="360" w:lineRule="auto"/>
        <w:rPr>
          <w:rFonts w:ascii="宋体" w:hAnsi="宋体" w:cs="宋体"/>
          <w:color w:val="auto"/>
          <w:sz w:val="24"/>
          <w:highlight w:val="none"/>
        </w:rPr>
      </w:pPr>
    </w:p>
    <w:p w14:paraId="2DCCCFB5">
      <w:pPr>
        <w:spacing w:line="360" w:lineRule="auto"/>
        <w:rPr>
          <w:rFonts w:ascii="宋体" w:hAnsi="宋体" w:cs="宋体"/>
          <w:color w:val="auto"/>
          <w:sz w:val="24"/>
          <w:highlight w:val="none"/>
        </w:rPr>
      </w:pPr>
    </w:p>
    <w:p w14:paraId="25491EE2">
      <w:pPr>
        <w:spacing w:line="380" w:lineRule="exact"/>
        <w:jc w:val="center"/>
        <w:rPr>
          <w:rFonts w:ascii="宋体" w:hAnsi="宋体" w:cs="宋体"/>
          <w:color w:val="auto"/>
          <w:sz w:val="24"/>
          <w:highlight w:val="none"/>
        </w:rPr>
      </w:pPr>
    </w:p>
    <w:p w14:paraId="01328C90">
      <w:pPr>
        <w:spacing w:line="380" w:lineRule="exact"/>
        <w:jc w:val="center"/>
        <w:rPr>
          <w:rFonts w:ascii="宋体" w:hAnsi="宋体" w:cs="宋体"/>
          <w:color w:val="auto"/>
          <w:sz w:val="24"/>
          <w:highlight w:val="none"/>
        </w:rPr>
      </w:pPr>
    </w:p>
    <w:p w14:paraId="0B47163B">
      <w:pPr>
        <w:spacing w:line="380" w:lineRule="exact"/>
        <w:jc w:val="center"/>
        <w:rPr>
          <w:rFonts w:ascii="宋体" w:hAnsi="宋体" w:cs="宋体"/>
          <w:color w:val="auto"/>
          <w:sz w:val="24"/>
          <w:highlight w:val="none"/>
        </w:rPr>
      </w:pPr>
    </w:p>
    <w:p w14:paraId="412C8577">
      <w:pPr>
        <w:spacing w:line="380" w:lineRule="exact"/>
        <w:jc w:val="center"/>
        <w:rPr>
          <w:rFonts w:ascii="宋体" w:hAnsi="宋体" w:cs="宋体"/>
          <w:color w:val="auto"/>
          <w:sz w:val="24"/>
          <w:highlight w:val="none"/>
        </w:rPr>
      </w:pPr>
    </w:p>
    <w:p w14:paraId="6408F5C4">
      <w:pPr>
        <w:spacing w:line="380" w:lineRule="exact"/>
        <w:jc w:val="center"/>
        <w:rPr>
          <w:rFonts w:ascii="宋体" w:hAnsi="宋体" w:cs="宋体"/>
          <w:color w:val="auto"/>
          <w:sz w:val="24"/>
          <w:highlight w:val="none"/>
        </w:rPr>
      </w:pPr>
    </w:p>
    <w:p w14:paraId="46C945F5">
      <w:pPr>
        <w:spacing w:line="380" w:lineRule="exact"/>
        <w:jc w:val="center"/>
        <w:rPr>
          <w:rFonts w:ascii="宋体" w:hAnsi="宋体" w:cs="宋体"/>
          <w:color w:val="auto"/>
          <w:sz w:val="24"/>
          <w:highlight w:val="none"/>
        </w:rPr>
      </w:pPr>
    </w:p>
    <w:p w14:paraId="328D951B">
      <w:pPr>
        <w:spacing w:line="380" w:lineRule="exact"/>
        <w:jc w:val="center"/>
        <w:rPr>
          <w:rFonts w:ascii="宋体" w:hAnsi="宋体" w:cs="宋体"/>
          <w:color w:val="auto"/>
          <w:sz w:val="24"/>
          <w:highlight w:val="none"/>
        </w:rPr>
      </w:pPr>
    </w:p>
    <w:p w14:paraId="7C9E031F">
      <w:pPr>
        <w:spacing w:line="380" w:lineRule="exact"/>
        <w:jc w:val="center"/>
        <w:rPr>
          <w:rFonts w:ascii="宋体" w:hAnsi="宋体" w:cs="宋体"/>
          <w:color w:val="auto"/>
          <w:sz w:val="24"/>
          <w:highlight w:val="none"/>
        </w:rPr>
      </w:pPr>
    </w:p>
    <w:p w14:paraId="54EAC60E">
      <w:pPr>
        <w:spacing w:line="380" w:lineRule="exact"/>
        <w:jc w:val="center"/>
        <w:rPr>
          <w:rFonts w:ascii="宋体" w:hAnsi="宋体" w:cs="宋体"/>
          <w:color w:val="auto"/>
          <w:sz w:val="24"/>
          <w:highlight w:val="none"/>
        </w:rPr>
      </w:pPr>
    </w:p>
    <w:p w14:paraId="4DBCE26C">
      <w:pPr>
        <w:spacing w:line="380" w:lineRule="exact"/>
        <w:jc w:val="center"/>
        <w:rPr>
          <w:rFonts w:ascii="宋体" w:hAnsi="宋体" w:cs="宋体"/>
          <w:color w:val="auto"/>
          <w:sz w:val="24"/>
          <w:highlight w:val="none"/>
        </w:rPr>
      </w:pPr>
    </w:p>
    <w:p w14:paraId="6247332E">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格式9中小企业声明函（工程、服务）</w:t>
      </w:r>
    </w:p>
    <w:p w14:paraId="608365C4">
      <w:pPr>
        <w:spacing w:line="360" w:lineRule="auto"/>
        <w:rPr>
          <w:b/>
          <w:bCs/>
          <w:color w:val="auto"/>
          <w:sz w:val="32"/>
          <w:szCs w:val="32"/>
          <w:highlight w:val="none"/>
        </w:rPr>
      </w:pPr>
    </w:p>
    <w:p w14:paraId="2BE40C4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66B81E9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4079768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0EC5927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4C91464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7C43256E">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36FFD9E8">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10577752">
      <w:pPr>
        <w:pStyle w:val="38"/>
        <w:rPr>
          <w:rFonts w:ascii="宋体" w:hAnsi="宋体" w:cs="宋体"/>
          <w:color w:val="auto"/>
          <w:sz w:val="24"/>
          <w:szCs w:val="24"/>
          <w:highlight w:val="none"/>
        </w:rPr>
      </w:pPr>
    </w:p>
    <w:p w14:paraId="068936B2">
      <w:pPr>
        <w:pStyle w:val="7"/>
        <w:rPr>
          <w:rFonts w:ascii="宋体" w:hAnsi="宋体" w:eastAsia="宋体" w:cs="宋体"/>
          <w:color w:val="auto"/>
          <w:sz w:val="24"/>
          <w:highlight w:val="none"/>
        </w:rPr>
      </w:pPr>
    </w:p>
    <w:p w14:paraId="5903FD17">
      <w:pPr>
        <w:rPr>
          <w:rFonts w:ascii="宋体" w:hAnsi="宋体" w:cs="宋体"/>
          <w:color w:val="auto"/>
          <w:sz w:val="24"/>
          <w:highlight w:val="none"/>
        </w:rPr>
      </w:pPr>
    </w:p>
    <w:p w14:paraId="09113E90">
      <w:pPr>
        <w:pStyle w:val="38"/>
        <w:rPr>
          <w:rFonts w:ascii="宋体" w:hAnsi="宋体" w:cs="宋体"/>
          <w:color w:val="auto"/>
          <w:sz w:val="24"/>
          <w:szCs w:val="24"/>
          <w:highlight w:val="none"/>
        </w:rPr>
      </w:pPr>
    </w:p>
    <w:p w14:paraId="7599E0AB">
      <w:pPr>
        <w:pStyle w:val="7"/>
        <w:rPr>
          <w:color w:val="auto"/>
          <w:highlight w:val="none"/>
        </w:rPr>
      </w:pPr>
    </w:p>
    <w:p w14:paraId="2B4CEF77">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418B7F13">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1F96C363">
      <w:pPr>
        <w:spacing w:line="360" w:lineRule="auto"/>
        <w:jc w:val="center"/>
        <w:rPr>
          <w:rFonts w:ascii="宋体" w:hAnsi="宋体" w:cs="宋体"/>
          <w:b/>
          <w:bCs/>
          <w:color w:val="auto"/>
          <w:sz w:val="24"/>
          <w:highlight w:val="none"/>
        </w:rPr>
      </w:pPr>
    </w:p>
    <w:p w14:paraId="75D26B61">
      <w:pPr>
        <w:spacing w:line="360" w:lineRule="auto"/>
        <w:jc w:val="center"/>
        <w:rPr>
          <w:rFonts w:ascii="宋体" w:hAnsi="宋体" w:cs="宋体"/>
          <w:b/>
          <w:bCs/>
          <w:color w:val="auto"/>
          <w:sz w:val="24"/>
          <w:highlight w:val="none"/>
        </w:rPr>
      </w:pPr>
    </w:p>
    <w:p w14:paraId="246E4DD8">
      <w:pPr>
        <w:pStyle w:val="38"/>
        <w:rPr>
          <w:rFonts w:ascii="宋体" w:hAnsi="宋体" w:cs="宋体"/>
          <w:b/>
          <w:bCs/>
          <w:color w:val="auto"/>
          <w:sz w:val="24"/>
          <w:highlight w:val="none"/>
        </w:rPr>
      </w:pPr>
    </w:p>
    <w:p w14:paraId="36AD16A2">
      <w:pPr>
        <w:pStyle w:val="7"/>
        <w:rPr>
          <w:color w:val="auto"/>
          <w:highlight w:val="none"/>
        </w:rPr>
      </w:pPr>
    </w:p>
    <w:p w14:paraId="294A236A">
      <w:pPr>
        <w:spacing w:line="360" w:lineRule="auto"/>
        <w:rPr>
          <w:rFonts w:ascii="宋体" w:hAnsi="宋体" w:cs="宋体"/>
          <w:color w:val="auto"/>
          <w:sz w:val="24"/>
          <w:highlight w:val="none"/>
        </w:rPr>
      </w:pPr>
    </w:p>
    <w:p w14:paraId="1C3D55D4">
      <w:pPr>
        <w:spacing w:line="360" w:lineRule="auto"/>
        <w:rPr>
          <w:rFonts w:ascii="宋体" w:hAnsi="宋体" w:cs="宋体"/>
          <w:color w:val="auto"/>
          <w:sz w:val="24"/>
          <w:highlight w:val="none"/>
        </w:rPr>
      </w:pPr>
      <w:r>
        <w:rPr>
          <w:rFonts w:hint="eastAsia" w:ascii="宋体" w:hAnsi="宋体" w:cs="宋体"/>
          <w:color w:val="auto"/>
          <w:sz w:val="24"/>
          <w:highlight w:val="none"/>
        </w:rPr>
        <w:t>格式10其他资料</w:t>
      </w:r>
    </w:p>
    <w:p w14:paraId="781261F5">
      <w:pPr>
        <w:pStyle w:val="2"/>
        <w:ind w:firstLine="240"/>
        <w:rPr>
          <w:rFonts w:ascii="宋体" w:hAnsi="宋体" w:cs="宋体"/>
          <w:color w:val="auto"/>
          <w:sz w:val="24"/>
          <w:highlight w:val="none"/>
        </w:rPr>
      </w:pPr>
    </w:p>
    <w:p w14:paraId="38D013B0">
      <w:pPr>
        <w:spacing w:line="360" w:lineRule="auto"/>
        <w:rPr>
          <w:color w:val="auto"/>
          <w:highlight w:val="none"/>
        </w:rPr>
      </w:pPr>
      <w:r>
        <w:rPr>
          <w:rFonts w:hint="eastAsia" w:ascii="宋体" w:hAnsi="宋体" w:cs="宋体"/>
          <w:color w:val="auto"/>
          <w:sz w:val="24"/>
          <w:highlight w:val="none"/>
        </w:rPr>
        <w:t>格式11</w:t>
      </w:r>
    </w:p>
    <w:p w14:paraId="219013E4">
      <w:pPr>
        <w:spacing w:line="380" w:lineRule="exact"/>
        <w:jc w:val="center"/>
        <w:rPr>
          <w:rStyle w:val="67"/>
          <w:rFonts w:ascii="宋体"/>
          <w:b/>
          <w:bCs/>
          <w:color w:val="auto"/>
          <w:sz w:val="28"/>
          <w:szCs w:val="28"/>
          <w:highlight w:val="none"/>
        </w:rPr>
      </w:pPr>
      <w:r>
        <w:rPr>
          <w:rStyle w:val="67"/>
          <w:rFonts w:hint="eastAsia" w:ascii="宋体" w:hAnsi="宋体" w:cs="宋体"/>
          <w:b/>
          <w:bCs/>
          <w:color w:val="auto"/>
          <w:sz w:val="28"/>
          <w:szCs w:val="28"/>
          <w:highlight w:val="none"/>
        </w:rPr>
        <w:t>政府采购供应商诚信承诺书</w:t>
      </w:r>
    </w:p>
    <w:p w14:paraId="2F57DA36">
      <w:pPr>
        <w:spacing w:line="380" w:lineRule="exact"/>
        <w:jc w:val="center"/>
        <w:rPr>
          <w:rStyle w:val="67"/>
          <w:rFonts w:ascii="宋体"/>
          <w:b/>
          <w:bCs/>
          <w:color w:val="auto"/>
          <w:sz w:val="24"/>
          <w:highlight w:val="none"/>
        </w:rPr>
      </w:pPr>
    </w:p>
    <w:p w14:paraId="585B0EED">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858749D">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347E6EB2">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1697D53">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76F9D11C">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8D81807">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51EC44C">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485D65D6">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42188E7F">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431F6A1D">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2736BB6B">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9C0CC63">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46DEDF8">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84F349C">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51A225B4">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48D4CD8">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4BC9EE3C">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1CC53FA0">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5626B012">
      <w:pPr>
        <w:spacing w:line="380" w:lineRule="exact"/>
        <w:ind w:firstLine="3360" w:firstLineChars="1400"/>
        <w:rPr>
          <w:rFonts w:ascii="宋体" w:hAnsi="宋体" w:cs="宋体"/>
          <w:color w:val="auto"/>
          <w:sz w:val="24"/>
          <w:highlight w:val="none"/>
        </w:rPr>
      </w:pPr>
    </w:p>
    <w:p w14:paraId="253D7F4D">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34981DE">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法定代表人：（签字）</w:t>
      </w:r>
    </w:p>
    <w:p w14:paraId="2A1FA967">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45BA725D">
      <w:pPr>
        <w:pStyle w:val="5"/>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4C45B1FA">
      <w:pPr>
        <w:pStyle w:val="80"/>
        <w:spacing w:beforeLines="0" w:afterLines="0"/>
        <w:ind w:left="0" w:firstLine="600" w:firstLineChars="200"/>
        <w:rPr>
          <w:rFonts w:ascii="宋体" w:hAnsi="宋体" w:cs="宋体"/>
          <w:color w:val="auto"/>
          <w:sz w:val="30"/>
          <w:szCs w:val="30"/>
          <w:highlight w:val="none"/>
        </w:rPr>
      </w:pPr>
    </w:p>
    <w:p w14:paraId="28C9B171">
      <w:pPr>
        <w:rPr>
          <w:color w:val="auto"/>
          <w:highlight w:val="none"/>
        </w:rPr>
      </w:pPr>
      <w:r>
        <w:rPr>
          <w:rFonts w:hint="eastAsia"/>
          <w:color w:val="auto"/>
          <w:highlight w:val="none"/>
        </w:rPr>
        <w:t>政府采购项目名称：</w:t>
      </w:r>
    </w:p>
    <w:p w14:paraId="5CA90BEC">
      <w:pPr>
        <w:rPr>
          <w:color w:val="auto"/>
          <w:highlight w:val="none"/>
        </w:rPr>
      </w:pPr>
      <w:r>
        <w:rPr>
          <w:rFonts w:hint="eastAsia"/>
          <w:color w:val="auto"/>
          <w:highlight w:val="none"/>
        </w:rPr>
        <w:t>政府采购项目编号：</w:t>
      </w:r>
    </w:p>
    <w:p w14:paraId="5C3B4EB3">
      <w:pPr>
        <w:rPr>
          <w:color w:val="auto"/>
          <w:highlight w:val="none"/>
        </w:rPr>
      </w:pPr>
      <w:r>
        <w:rPr>
          <w:rFonts w:hint="eastAsia"/>
          <w:color w:val="auto"/>
          <w:highlight w:val="none"/>
        </w:rPr>
        <w:t>采      购    人：</w:t>
      </w:r>
    </w:p>
    <w:p w14:paraId="6A470D6E">
      <w:pPr>
        <w:rPr>
          <w:color w:val="auto"/>
          <w:highlight w:val="none"/>
        </w:rPr>
      </w:pPr>
      <w:r>
        <w:rPr>
          <w:rFonts w:hint="eastAsia"/>
          <w:color w:val="auto"/>
          <w:highlight w:val="none"/>
        </w:rPr>
        <w:t>供      应    商：</w:t>
      </w:r>
    </w:p>
    <w:p w14:paraId="42DB1E16">
      <w:pPr>
        <w:rPr>
          <w:color w:val="auto"/>
          <w:highlight w:val="none"/>
        </w:rPr>
      </w:pPr>
      <w:r>
        <w:rPr>
          <w:rFonts w:hint="eastAsia"/>
          <w:color w:val="auto"/>
          <w:highlight w:val="none"/>
        </w:rPr>
        <w:t>合  同  签 订 地：</w:t>
      </w:r>
    </w:p>
    <w:p w14:paraId="6B1E05C2">
      <w:pPr>
        <w:rPr>
          <w:color w:val="auto"/>
          <w:highlight w:val="none"/>
        </w:rPr>
      </w:pPr>
      <w:r>
        <w:rPr>
          <w:rFonts w:hint="eastAsia"/>
          <w:color w:val="auto"/>
          <w:highlight w:val="none"/>
        </w:rPr>
        <w:t>合 同 签订 时 间：</w:t>
      </w:r>
    </w:p>
    <w:p w14:paraId="79CFE686">
      <w:pPr>
        <w:rPr>
          <w:color w:val="auto"/>
          <w:highlight w:val="none"/>
        </w:rPr>
      </w:pPr>
    </w:p>
    <w:p w14:paraId="37CB970B">
      <w:pPr>
        <w:rPr>
          <w:color w:val="auto"/>
          <w:highlight w:val="none"/>
        </w:rPr>
      </w:pPr>
    </w:p>
    <w:p w14:paraId="186E5E49">
      <w:pPr>
        <w:rPr>
          <w:color w:val="auto"/>
          <w:highlight w:val="none"/>
        </w:rPr>
      </w:pPr>
    </w:p>
    <w:p w14:paraId="5D23CF77">
      <w:pPr>
        <w:rPr>
          <w:color w:val="auto"/>
          <w:sz w:val="32"/>
          <w:szCs w:val="32"/>
          <w:highlight w:val="none"/>
        </w:rPr>
      </w:pPr>
      <w:r>
        <w:rPr>
          <w:rFonts w:hint="eastAsia"/>
          <w:color w:val="auto"/>
          <w:sz w:val="32"/>
          <w:szCs w:val="32"/>
          <w:highlight w:val="none"/>
        </w:rPr>
        <w:t>合同签订指引</w:t>
      </w:r>
    </w:p>
    <w:p w14:paraId="41DAE3DE">
      <w:pPr>
        <w:rPr>
          <w:color w:val="auto"/>
          <w:highlight w:val="none"/>
        </w:rPr>
      </w:pPr>
    </w:p>
    <w:p w14:paraId="05649B1C">
      <w:pPr>
        <w:rPr>
          <w:color w:val="auto"/>
          <w:szCs w:val="21"/>
          <w:highlight w:val="none"/>
        </w:rPr>
      </w:pPr>
      <w:r>
        <w:rPr>
          <w:rFonts w:hint="eastAsia"/>
          <w:color w:val="auto"/>
          <w:szCs w:val="21"/>
          <w:highlight w:val="none"/>
        </w:rPr>
        <w:t>一、采购人在签订合同时应提供的资料：</w:t>
      </w:r>
    </w:p>
    <w:p w14:paraId="7F9F4461">
      <w:pPr>
        <w:rPr>
          <w:color w:val="auto"/>
          <w:szCs w:val="21"/>
          <w:highlight w:val="none"/>
        </w:rPr>
      </w:pPr>
      <w:r>
        <w:rPr>
          <w:rFonts w:hint="eastAsia"/>
          <w:color w:val="auto"/>
          <w:szCs w:val="21"/>
          <w:highlight w:val="none"/>
        </w:rPr>
        <w:t>1、该政府采购项目的招标采购文件（以网上发布内容为准）；</w:t>
      </w:r>
    </w:p>
    <w:p w14:paraId="1C0F3AD2">
      <w:pPr>
        <w:rPr>
          <w:color w:val="auto"/>
          <w:szCs w:val="21"/>
          <w:highlight w:val="none"/>
        </w:rPr>
      </w:pPr>
      <w:r>
        <w:rPr>
          <w:rFonts w:hint="eastAsia"/>
          <w:color w:val="auto"/>
          <w:szCs w:val="21"/>
          <w:highlight w:val="none"/>
        </w:rPr>
        <w:t>2、该政府采购项目招标文件的澄清和修改内容（公告内容）；</w:t>
      </w:r>
    </w:p>
    <w:p w14:paraId="0F504E41">
      <w:pPr>
        <w:rPr>
          <w:color w:val="auto"/>
          <w:szCs w:val="21"/>
          <w:highlight w:val="none"/>
        </w:rPr>
      </w:pPr>
      <w:r>
        <w:rPr>
          <w:rFonts w:hint="eastAsia"/>
          <w:color w:val="auto"/>
          <w:szCs w:val="21"/>
          <w:highlight w:val="none"/>
        </w:rPr>
        <w:t>3、该政府采购项目评审报告；</w:t>
      </w:r>
    </w:p>
    <w:p w14:paraId="16D6BD6D">
      <w:pPr>
        <w:rPr>
          <w:color w:val="auto"/>
          <w:szCs w:val="21"/>
          <w:highlight w:val="none"/>
        </w:rPr>
      </w:pPr>
      <w:r>
        <w:rPr>
          <w:rFonts w:hint="eastAsia"/>
          <w:color w:val="auto"/>
          <w:szCs w:val="21"/>
          <w:highlight w:val="none"/>
        </w:rPr>
        <w:t>4、采购单位法人授权委托书（法人到场并签字的除外）；</w:t>
      </w:r>
    </w:p>
    <w:p w14:paraId="472DBFB6">
      <w:pPr>
        <w:rPr>
          <w:color w:val="auto"/>
          <w:szCs w:val="21"/>
          <w:highlight w:val="none"/>
        </w:rPr>
      </w:pPr>
      <w:r>
        <w:rPr>
          <w:rFonts w:hint="eastAsia"/>
          <w:color w:val="auto"/>
          <w:szCs w:val="21"/>
          <w:highlight w:val="none"/>
        </w:rPr>
        <w:t>5、采购单位被授权人身份证件（法人到场并签字的除外）；</w:t>
      </w:r>
    </w:p>
    <w:p w14:paraId="41207D0A">
      <w:pPr>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1669ACE5">
      <w:pPr>
        <w:rPr>
          <w:color w:val="auto"/>
          <w:szCs w:val="21"/>
          <w:highlight w:val="none"/>
        </w:rPr>
      </w:pPr>
      <w:r>
        <w:rPr>
          <w:rFonts w:hint="eastAsia"/>
          <w:color w:val="auto"/>
          <w:szCs w:val="21"/>
          <w:highlight w:val="none"/>
        </w:rPr>
        <w:t>二、供应商在签订合同时应提供的资料：</w:t>
      </w:r>
    </w:p>
    <w:p w14:paraId="6F1A92DF">
      <w:pPr>
        <w:rPr>
          <w:color w:val="auto"/>
          <w:szCs w:val="21"/>
          <w:highlight w:val="none"/>
        </w:rPr>
      </w:pPr>
      <w:r>
        <w:rPr>
          <w:rFonts w:hint="eastAsia"/>
          <w:color w:val="auto"/>
          <w:szCs w:val="21"/>
          <w:highlight w:val="none"/>
        </w:rPr>
        <w:t>1、该政府采购项目的投标文件（纸质或DPF格式的电子投标文件）；</w:t>
      </w:r>
    </w:p>
    <w:p w14:paraId="6981725D">
      <w:pPr>
        <w:rPr>
          <w:color w:val="auto"/>
          <w:szCs w:val="21"/>
          <w:highlight w:val="none"/>
        </w:rPr>
      </w:pPr>
      <w:r>
        <w:rPr>
          <w:rFonts w:hint="eastAsia"/>
          <w:color w:val="auto"/>
          <w:szCs w:val="21"/>
          <w:highlight w:val="none"/>
        </w:rPr>
        <w:t>2、针对该项目评审时评审委员会提出的质询答复（纸质并签章）；</w:t>
      </w:r>
    </w:p>
    <w:p w14:paraId="260D55A5">
      <w:pPr>
        <w:rPr>
          <w:color w:val="auto"/>
          <w:szCs w:val="21"/>
          <w:highlight w:val="none"/>
        </w:rPr>
      </w:pPr>
      <w:r>
        <w:rPr>
          <w:rFonts w:hint="eastAsia"/>
          <w:color w:val="auto"/>
          <w:szCs w:val="21"/>
          <w:highlight w:val="none"/>
        </w:rPr>
        <w:t>3、该政府采购项目中标通知书；</w:t>
      </w:r>
    </w:p>
    <w:p w14:paraId="689B5815">
      <w:pPr>
        <w:rPr>
          <w:color w:val="auto"/>
          <w:szCs w:val="21"/>
          <w:highlight w:val="none"/>
        </w:rPr>
      </w:pPr>
      <w:r>
        <w:rPr>
          <w:rFonts w:hint="eastAsia"/>
          <w:color w:val="auto"/>
          <w:szCs w:val="21"/>
          <w:highlight w:val="none"/>
        </w:rPr>
        <w:t>4、供应商法人授权委托书（法人到场并签字的除外）；</w:t>
      </w:r>
    </w:p>
    <w:p w14:paraId="2A8EFFDD">
      <w:pPr>
        <w:rPr>
          <w:color w:val="auto"/>
          <w:szCs w:val="21"/>
          <w:highlight w:val="none"/>
        </w:rPr>
      </w:pPr>
      <w:r>
        <w:rPr>
          <w:rFonts w:hint="eastAsia"/>
          <w:color w:val="auto"/>
          <w:szCs w:val="21"/>
          <w:highlight w:val="none"/>
        </w:rPr>
        <w:t>5、供应商被授权人身份证件（法人到场并签字的除外）；</w:t>
      </w:r>
    </w:p>
    <w:p w14:paraId="4AFA79C8">
      <w:pPr>
        <w:rPr>
          <w:color w:val="auto"/>
          <w:szCs w:val="21"/>
          <w:highlight w:val="none"/>
        </w:rPr>
      </w:pPr>
      <w:r>
        <w:rPr>
          <w:rFonts w:hint="eastAsia"/>
          <w:color w:val="auto"/>
          <w:szCs w:val="21"/>
          <w:highlight w:val="none"/>
        </w:rPr>
        <w:t>6、供应商和采购人约定的其它内容（不得超出招标采购文件实质性内容）。</w:t>
      </w:r>
    </w:p>
    <w:p w14:paraId="061EC5DA">
      <w:pPr>
        <w:rPr>
          <w:color w:val="auto"/>
          <w:highlight w:val="none"/>
        </w:rPr>
      </w:pPr>
      <w:r>
        <w:rPr>
          <w:rFonts w:hint="eastAsia"/>
          <w:color w:val="auto"/>
          <w:szCs w:val="21"/>
          <w:highlight w:val="none"/>
        </w:rPr>
        <w:t>三、本合同签订后二个工作日内有采购人在“周口市政府采购网”上进行合同公示。</w:t>
      </w:r>
    </w:p>
    <w:p w14:paraId="6598E7A7">
      <w:pPr>
        <w:rPr>
          <w:bCs/>
          <w:color w:val="auto"/>
          <w:sz w:val="32"/>
          <w:szCs w:val="32"/>
          <w:highlight w:val="none"/>
        </w:rPr>
      </w:pPr>
    </w:p>
    <w:p w14:paraId="35FBD8FF">
      <w:pPr>
        <w:rPr>
          <w:color w:val="auto"/>
          <w:sz w:val="32"/>
          <w:szCs w:val="32"/>
          <w:highlight w:val="none"/>
        </w:rPr>
      </w:pPr>
      <w:r>
        <w:rPr>
          <w:rFonts w:hint="eastAsia"/>
          <w:bCs/>
          <w:color w:val="auto"/>
          <w:sz w:val="32"/>
          <w:szCs w:val="32"/>
          <w:highlight w:val="none"/>
        </w:rPr>
        <w:t>供应商履约验收指引</w:t>
      </w:r>
    </w:p>
    <w:p w14:paraId="19C0749F">
      <w:pPr>
        <w:rPr>
          <w:color w:val="auto"/>
          <w:szCs w:val="27"/>
          <w:highlight w:val="none"/>
        </w:rPr>
      </w:pPr>
      <w:r>
        <w:rPr>
          <w:rFonts w:hint="eastAsia"/>
          <w:color w:val="auto"/>
          <w:szCs w:val="21"/>
          <w:highlight w:val="none"/>
        </w:rPr>
        <w:t>1、供应商不得擅自变更合同标的服务内容；</w:t>
      </w:r>
    </w:p>
    <w:p w14:paraId="0746C444">
      <w:pPr>
        <w:rPr>
          <w:color w:val="auto"/>
          <w:szCs w:val="21"/>
          <w:highlight w:val="none"/>
        </w:rPr>
      </w:pPr>
      <w:r>
        <w:rPr>
          <w:rFonts w:hint="eastAsia"/>
          <w:color w:val="auto"/>
          <w:szCs w:val="21"/>
          <w:highlight w:val="none"/>
        </w:rPr>
        <w:t>2、不得以次充优，随意降低服务标准和水平；</w:t>
      </w:r>
    </w:p>
    <w:p w14:paraId="40E429A3">
      <w:pPr>
        <w:rPr>
          <w:color w:val="auto"/>
          <w:szCs w:val="21"/>
          <w:highlight w:val="none"/>
        </w:rPr>
      </w:pPr>
      <w:r>
        <w:rPr>
          <w:rFonts w:hint="eastAsia"/>
          <w:color w:val="auto"/>
          <w:szCs w:val="21"/>
          <w:highlight w:val="none"/>
        </w:rPr>
        <w:t>3、对因客观上采购人采购需求发生变化造成的，应提供采、供双方的纸质备忘录材料；</w:t>
      </w:r>
    </w:p>
    <w:p w14:paraId="0C1E3041">
      <w:pPr>
        <w:rPr>
          <w:color w:val="auto"/>
          <w:szCs w:val="21"/>
          <w:highlight w:val="none"/>
        </w:rPr>
      </w:pPr>
      <w:r>
        <w:rPr>
          <w:rFonts w:hint="eastAsia"/>
          <w:color w:val="auto"/>
          <w:szCs w:val="21"/>
          <w:highlight w:val="none"/>
        </w:rPr>
        <w:t>4、在满足验收条件5个工作日内通知采购人组织验收；</w:t>
      </w:r>
    </w:p>
    <w:p w14:paraId="7D2DDF83">
      <w:pPr>
        <w:rPr>
          <w:color w:val="auto"/>
          <w:szCs w:val="21"/>
          <w:highlight w:val="none"/>
        </w:rPr>
      </w:pPr>
      <w:r>
        <w:rPr>
          <w:rFonts w:hint="eastAsia"/>
          <w:color w:val="auto"/>
          <w:szCs w:val="21"/>
          <w:highlight w:val="none"/>
        </w:rPr>
        <w:t>5、供应商应提供需验收服务的清单、标准、达到的水平等量化资料；</w:t>
      </w:r>
    </w:p>
    <w:p w14:paraId="63E4A3BE">
      <w:pPr>
        <w:rPr>
          <w:color w:val="auto"/>
          <w:szCs w:val="21"/>
          <w:highlight w:val="none"/>
        </w:rPr>
      </w:pPr>
      <w:r>
        <w:rPr>
          <w:rFonts w:hint="eastAsia"/>
          <w:color w:val="auto"/>
          <w:szCs w:val="21"/>
          <w:highlight w:val="none"/>
        </w:rPr>
        <w:t>6、采、供双方约定的验收机构及相关人员组成情况。</w:t>
      </w:r>
    </w:p>
    <w:p w14:paraId="556A934D">
      <w:pPr>
        <w:rPr>
          <w:color w:val="auto"/>
          <w:szCs w:val="21"/>
          <w:highlight w:val="none"/>
        </w:rPr>
      </w:pPr>
      <w:r>
        <w:rPr>
          <w:rFonts w:hint="eastAsia"/>
          <w:color w:val="auto"/>
          <w:szCs w:val="21"/>
          <w:highlight w:val="none"/>
        </w:rPr>
        <w:t>7、督促采购人在项目验收结束并达到相关要求后一个工作日内，在“周口市政府采购网”上进行“履约验收”公示。</w:t>
      </w:r>
    </w:p>
    <w:p w14:paraId="74A1E4A9">
      <w:pPr>
        <w:rPr>
          <w:color w:val="auto"/>
          <w:szCs w:val="21"/>
          <w:highlight w:val="none"/>
        </w:rPr>
      </w:pPr>
    </w:p>
    <w:p w14:paraId="01CE129F">
      <w:pPr>
        <w:jc w:val="center"/>
        <w:rPr>
          <w:color w:val="auto"/>
          <w:sz w:val="44"/>
          <w:szCs w:val="44"/>
          <w:highlight w:val="none"/>
        </w:rPr>
      </w:pPr>
      <w:r>
        <w:rPr>
          <w:rFonts w:hint="eastAsia"/>
          <w:color w:val="auto"/>
          <w:sz w:val="44"/>
          <w:szCs w:val="44"/>
          <w:highlight w:val="none"/>
        </w:rPr>
        <w:t>服务合同内容</w:t>
      </w:r>
    </w:p>
    <w:p w14:paraId="59AD0E8A">
      <w:pPr>
        <w:rPr>
          <w:color w:val="auto"/>
          <w:szCs w:val="27"/>
          <w:highlight w:val="none"/>
        </w:rPr>
      </w:pPr>
    </w:p>
    <w:p w14:paraId="5F13A77D">
      <w:pPr>
        <w:rPr>
          <w:color w:val="auto"/>
          <w:szCs w:val="27"/>
          <w:highlight w:val="none"/>
          <w:u w:val="single"/>
        </w:rPr>
      </w:pPr>
      <w:r>
        <w:rPr>
          <w:rFonts w:hint="eastAsia"/>
          <w:color w:val="auto"/>
          <w:szCs w:val="27"/>
          <w:highlight w:val="none"/>
        </w:rPr>
        <w:t xml:space="preserve">采购人（甲方）： </w:t>
      </w:r>
    </w:p>
    <w:p w14:paraId="100D51B6">
      <w:pPr>
        <w:rPr>
          <w:color w:val="auto"/>
          <w:szCs w:val="27"/>
          <w:highlight w:val="none"/>
        </w:rPr>
      </w:pPr>
      <w:r>
        <w:rPr>
          <w:rFonts w:hint="eastAsia"/>
          <w:color w:val="auto"/>
          <w:szCs w:val="27"/>
          <w:highlight w:val="none"/>
        </w:rPr>
        <w:t>供应商（乙方）：</w:t>
      </w:r>
    </w:p>
    <w:p w14:paraId="6A046AC9">
      <w:pPr>
        <w:rPr>
          <w:color w:val="auto"/>
          <w:szCs w:val="27"/>
          <w:highlight w:val="none"/>
          <w:u w:val="single"/>
        </w:rPr>
      </w:pPr>
      <w:r>
        <w:rPr>
          <w:rFonts w:hint="eastAsia"/>
          <w:color w:val="auto"/>
          <w:szCs w:val="27"/>
          <w:highlight w:val="none"/>
        </w:rPr>
        <w:t>签订地点：</w:t>
      </w:r>
    </w:p>
    <w:p w14:paraId="46819FA6">
      <w:pPr>
        <w:rPr>
          <w:color w:val="auto"/>
          <w:szCs w:val="27"/>
          <w:highlight w:val="none"/>
          <w:u w:val="single"/>
        </w:rPr>
      </w:pPr>
      <w:r>
        <w:rPr>
          <w:rFonts w:hint="eastAsia"/>
          <w:color w:val="auto"/>
          <w:szCs w:val="27"/>
          <w:highlight w:val="none"/>
        </w:rPr>
        <w:t>项目名称：</w:t>
      </w:r>
    </w:p>
    <w:p w14:paraId="75D67C17">
      <w:pPr>
        <w:rPr>
          <w:color w:val="auto"/>
          <w:szCs w:val="27"/>
          <w:highlight w:val="none"/>
          <w:u w:val="single"/>
        </w:rPr>
      </w:pPr>
      <w:r>
        <w:rPr>
          <w:rFonts w:hint="eastAsia"/>
          <w:color w:val="auto"/>
          <w:szCs w:val="27"/>
          <w:highlight w:val="none"/>
        </w:rPr>
        <w:t>项目编号：</w:t>
      </w:r>
    </w:p>
    <w:p w14:paraId="406387ED">
      <w:pPr>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45625575">
      <w:pPr>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875327B">
      <w:pPr>
        <w:rPr>
          <w:color w:val="auto"/>
          <w:highlight w:val="none"/>
          <w:u w:val="single"/>
        </w:rPr>
      </w:pPr>
      <w:r>
        <w:rPr>
          <w:rFonts w:hint="eastAsia"/>
          <w:b/>
          <w:bCs/>
          <w:color w:val="auto"/>
          <w:szCs w:val="27"/>
          <w:highlight w:val="none"/>
        </w:rPr>
        <w:t>第一条</w:t>
      </w:r>
      <w:r>
        <w:rPr>
          <w:rFonts w:hint="eastAsia"/>
          <w:color w:val="auto"/>
          <w:szCs w:val="27"/>
          <w:highlight w:val="none"/>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F2F3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31E95BC">
            <w:pPr>
              <w:rPr>
                <w:color w:val="auto"/>
                <w:highlight w:val="none"/>
              </w:rPr>
            </w:pPr>
            <w:r>
              <w:rPr>
                <w:rFonts w:hint="eastAsia"/>
                <w:color w:val="auto"/>
                <w:highlight w:val="none"/>
              </w:rPr>
              <w:t>服务内容</w:t>
            </w:r>
          </w:p>
        </w:tc>
        <w:tc>
          <w:tcPr>
            <w:tcW w:w="1623" w:type="dxa"/>
          </w:tcPr>
          <w:p w14:paraId="77635391">
            <w:pPr>
              <w:rPr>
                <w:color w:val="auto"/>
                <w:highlight w:val="none"/>
              </w:rPr>
            </w:pPr>
            <w:r>
              <w:rPr>
                <w:rFonts w:hint="eastAsia"/>
                <w:color w:val="auto"/>
                <w:highlight w:val="none"/>
              </w:rPr>
              <w:t>标准水平</w:t>
            </w:r>
          </w:p>
        </w:tc>
        <w:tc>
          <w:tcPr>
            <w:tcW w:w="902" w:type="dxa"/>
          </w:tcPr>
          <w:p w14:paraId="3889CEB2">
            <w:pPr>
              <w:rPr>
                <w:color w:val="auto"/>
                <w:highlight w:val="none"/>
              </w:rPr>
            </w:pPr>
            <w:r>
              <w:rPr>
                <w:rFonts w:hint="eastAsia"/>
                <w:color w:val="auto"/>
                <w:highlight w:val="none"/>
              </w:rPr>
              <w:t>单位</w:t>
            </w:r>
          </w:p>
        </w:tc>
        <w:tc>
          <w:tcPr>
            <w:tcW w:w="902" w:type="dxa"/>
          </w:tcPr>
          <w:p w14:paraId="19CB6798">
            <w:pPr>
              <w:rPr>
                <w:color w:val="auto"/>
                <w:highlight w:val="none"/>
              </w:rPr>
            </w:pPr>
            <w:r>
              <w:rPr>
                <w:rFonts w:hint="eastAsia"/>
                <w:color w:val="auto"/>
                <w:highlight w:val="none"/>
              </w:rPr>
              <w:t>数量</w:t>
            </w:r>
          </w:p>
        </w:tc>
        <w:tc>
          <w:tcPr>
            <w:tcW w:w="1071" w:type="dxa"/>
          </w:tcPr>
          <w:p w14:paraId="2B51FF65">
            <w:pPr>
              <w:rPr>
                <w:color w:val="auto"/>
                <w:highlight w:val="none"/>
              </w:rPr>
            </w:pPr>
            <w:r>
              <w:rPr>
                <w:rFonts w:hint="eastAsia"/>
                <w:color w:val="auto"/>
                <w:highlight w:val="none"/>
              </w:rPr>
              <w:t>单价</w:t>
            </w:r>
          </w:p>
        </w:tc>
        <w:tc>
          <w:tcPr>
            <w:tcW w:w="1250" w:type="dxa"/>
          </w:tcPr>
          <w:p w14:paraId="03BFA2FB">
            <w:pPr>
              <w:rPr>
                <w:color w:val="auto"/>
                <w:highlight w:val="none"/>
              </w:rPr>
            </w:pPr>
            <w:r>
              <w:rPr>
                <w:rFonts w:hint="eastAsia"/>
                <w:color w:val="auto"/>
                <w:highlight w:val="none"/>
              </w:rPr>
              <w:t>小计</w:t>
            </w:r>
          </w:p>
        </w:tc>
        <w:tc>
          <w:tcPr>
            <w:tcW w:w="1106" w:type="dxa"/>
          </w:tcPr>
          <w:p w14:paraId="69DC3020">
            <w:pPr>
              <w:rPr>
                <w:color w:val="auto"/>
                <w:highlight w:val="none"/>
              </w:rPr>
            </w:pPr>
            <w:r>
              <w:rPr>
                <w:rFonts w:hint="eastAsia"/>
                <w:color w:val="auto"/>
                <w:highlight w:val="none"/>
              </w:rPr>
              <w:t>备注</w:t>
            </w:r>
          </w:p>
        </w:tc>
      </w:tr>
      <w:tr w14:paraId="46A3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5C0296">
            <w:pPr>
              <w:rPr>
                <w:color w:val="auto"/>
                <w:highlight w:val="none"/>
              </w:rPr>
            </w:pPr>
          </w:p>
        </w:tc>
        <w:tc>
          <w:tcPr>
            <w:tcW w:w="1623" w:type="dxa"/>
          </w:tcPr>
          <w:p w14:paraId="6EDBF7B3">
            <w:pPr>
              <w:rPr>
                <w:color w:val="auto"/>
                <w:highlight w:val="none"/>
              </w:rPr>
            </w:pPr>
          </w:p>
        </w:tc>
        <w:tc>
          <w:tcPr>
            <w:tcW w:w="902" w:type="dxa"/>
          </w:tcPr>
          <w:p w14:paraId="07BA8B9C">
            <w:pPr>
              <w:rPr>
                <w:color w:val="auto"/>
                <w:highlight w:val="none"/>
              </w:rPr>
            </w:pPr>
          </w:p>
        </w:tc>
        <w:tc>
          <w:tcPr>
            <w:tcW w:w="902" w:type="dxa"/>
          </w:tcPr>
          <w:p w14:paraId="1A8AA3A2">
            <w:pPr>
              <w:rPr>
                <w:color w:val="auto"/>
                <w:highlight w:val="none"/>
              </w:rPr>
            </w:pPr>
          </w:p>
        </w:tc>
        <w:tc>
          <w:tcPr>
            <w:tcW w:w="1071" w:type="dxa"/>
          </w:tcPr>
          <w:p w14:paraId="53B44E06">
            <w:pPr>
              <w:rPr>
                <w:color w:val="auto"/>
                <w:highlight w:val="none"/>
              </w:rPr>
            </w:pPr>
          </w:p>
        </w:tc>
        <w:tc>
          <w:tcPr>
            <w:tcW w:w="1250" w:type="dxa"/>
          </w:tcPr>
          <w:p w14:paraId="472223A8">
            <w:pPr>
              <w:rPr>
                <w:color w:val="auto"/>
                <w:highlight w:val="none"/>
              </w:rPr>
            </w:pPr>
          </w:p>
        </w:tc>
        <w:tc>
          <w:tcPr>
            <w:tcW w:w="1106" w:type="dxa"/>
          </w:tcPr>
          <w:p w14:paraId="03BEB7F4">
            <w:pPr>
              <w:rPr>
                <w:color w:val="auto"/>
                <w:highlight w:val="none"/>
              </w:rPr>
            </w:pPr>
          </w:p>
        </w:tc>
      </w:tr>
      <w:tr w14:paraId="6C4AA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56B969B">
            <w:pPr>
              <w:rPr>
                <w:color w:val="auto"/>
                <w:highlight w:val="none"/>
              </w:rPr>
            </w:pPr>
          </w:p>
        </w:tc>
        <w:tc>
          <w:tcPr>
            <w:tcW w:w="1623" w:type="dxa"/>
          </w:tcPr>
          <w:p w14:paraId="5B7D68F0">
            <w:pPr>
              <w:rPr>
                <w:color w:val="auto"/>
                <w:highlight w:val="none"/>
              </w:rPr>
            </w:pPr>
          </w:p>
        </w:tc>
        <w:tc>
          <w:tcPr>
            <w:tcW w:w="902" w:type="dxa"/>
          </w:tcPr>
          <w:p w14:paraId="752F949A">
            <w:pPr>
              <w:rPr>
                <w:color w:val="auto"/>
                <w:highlight w:val="none"/>
              </w:rPr>
            </w:pPr>
          </w:p>
        </w:tc>
        <w:tc>
          <w:tcPr>
            <w:tcW w:w="902" w:type="dxa"/>
          </w:tcPr>
          <w:p w14:paraId="3D64DAD8">
            <w:pPr>
              <w:rPr>
                <w:color w:val="auto"/>
                <w:highlight w:val="none"/>
              </w:rPr>
            </w:pPr>
          </w:p>
        </w:tc>
        <w:tc>
          <w:tcPr>
            <w:tcW w:w="1071" w:type="dxa"/>
          </w:tcPr>
          <w:p w14:paraId="612C76E5">
            <w:pPr>
              <w:rPr>
                <w:color w:val="auto"/>
                <w:highlight w:val="none"/>
              </w:rPr>
            </w:pPr>
          </w:p>
        </w:tc>
        <w:tc>
          <w:tcPr>
            <w:tcW w:w="1250" w:type="dxa"/>
          </w:tcPr>
          <w:p w14:paraId="01DA14A6">
            <w:pPr>
              <w:rPr>
                <w:color w:val="auto"/>
                <w:highlight w:val="none"/>
              </w:rPr>
            </w:pPr>
          </w:p>
        </w:tc>
        <w:tc>
          <w:tcPr>
            <w:tcW w:w="1106" w:type="dxa"/>
          </w:tcPr>
          <w:p w14:paraId="2656D589">
            <w:pPr>
              <w:rPr>
                <w:color w:val="auto"/>
                <w:highlight w:val="none"/>
              </w:rPr>
            </w:pPr>
          </w:p>
        </w:tc>
      </w:tr>
      <w:tr w14:paraId="63BCB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74A4F31">
            <w:pPr>
              <w:rPr>
                <w:color w:val="auto"/>
                <w:highlight w:val="none"/>
              </w:rPr>
            </w:pPr>
          </w:p>
        </w:tc>
        <w:tc>
          <w:tcPr>
            <w:tcW w:w="1623" w:type="dxa"/>
          </w:tcPr>
          <w:p w14:paraId="48CCC4DF">
            <w:pPr>
              <w:rPr>
                <w:color w:val="auto"/>
                <w:highlight w:val="none"/>
              </w:rPr>
            </w:pPr>
          </w:p>
        </w:tc>
        <w:tc>
          <w:tcPr>
            <w:tcW w:w="902" w:type="dxa"/>
          </w:tcPr>
          <w:p w14:paraId="72A97015">
            <w:pPr>
              <w:rPr>
                <w:color w:val="auto"/>
                <w:highlight w:val="none"/>
              </w:rPr>
            </w:pPr>
          </w:p>
        </w:tc>
        <w:tc>
          <w:tcPr>
            <w:tcW w:w="902" w:type="dxa"/>
          </w:tcPr>
          <w:p w14:paraId="693DC3FF">
            <w:pPr>
              <w:rPr>
                <w:color w:val="auto"/>
                <w:highlight w:val="none"/>
              </w:rPr>
            </w:pPr>
          </w:p>
        </w:tc>
        <w:tc>
          <w:tcPr>
            <w:tcW w:w="1071" w:type="dxa"/>
          </w:tcPr>
          <w:p w14:paraId="0194FCE9">
            <w:pPr>
              <w:rPr>
                <w:color w:val="auto"/>
                <w:highlight w:val="none"/>
              </w:rPr>
            </w:pPr>
          </w:p>
        </w:tc>
        <w:tc>
          <w:tcPr>
            <w:tcW w:w="1250" w:type="dxa"/>
          </w:tcPr>
          <w:p w14:paraId="4BB72001">
            <w:pPr>
              <w:rPr>
                <w:color w:val="auto"/>
                <w:highlight w:val="none"/>
              </w:rPr>
            </w:pPr>
          </w:p>
        </w:tc>
        <w:tc>
          <w:tcPr>
            <w:tcW w:w="1106" w:type="dxa"/>
          </w:tcPr>
          <w:p w14:paraId="4B53AA65">
            <w:pPr>
              <w:rPr>
                <w:color w:val="auto"/>
                <w:highlight w:val="none"/>
              </w:rPr>
            </w:pPr>
          </w:p>
        </w:tc>
      </w:tr>
      <w:tr w14:paraId="439D5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9AFC70B">
            <w:pPr>
              <w:rPr>
                <w:color w:val="auto"/>
                <w:highlight w:val="none"/>
              </w:rPr>
            </w:pPr>
            <w:r>
              <w:rPr>
                <w:rFonts w:hint="eastAsia"/>
                <w:color w:val="auto"/>
                <w:highlight w:val="none"/>
              </w:rPr>
              <w:t>合同总价款（大小写）：</w:t>
            </w:r>
          </w:p>
          <w:p w14:paraId="4773E177">
            <w:pPr>
              <w:rPr>
                <w:color w:val="auto"/>
                <w:highlight w:val="none"/>
              </w:rPr>
            </w:pPr>
            <w:r>
              <w:rPr>
                <w:rFonts w:hint="eastAsia"/>
                <w:color w:val="auto"/>
                <w:szCs w:val="28"/>
                <w:highlight w:val="none"/>
              </w:rPr>
              <w:t>备注：上述服务包含相关设备购置、人员工资及售后服务、税金、劳保基金、人员培训等费用。</w:t>
            </w:r>
          </w:p>
        </w:tc>
      </w:tr>
    </w:tbl>
    <w:p w14:paraId="0739B7E2">
      <w:pPr>
        <w:rPr>
          <w:color w:val="auto"/>
          <w:highlight w:val="none"/>
        </w:rPr>
      </w:pPr>
      <w:r>
        <w:rPr>
          <w:rFonts w:hint="eastAsia"/>
          <w:b/>
          <w:bCs/>
          <w:color w:val="auto"/>
          <w:szCs w:val="27"/>
          <w:highlight w:val="none"/>
        </w:rPr>
        <w:t xml:space="preserve">第二条  </w:t>
      </w:r>
      <w:r>
        <w:rPr>
          <w:rFonts w:hint="eastAsia"/>
          <w:color w:val="auto"/>
          <w:szCs w:val="27"/>
          <w:highlight w:val="none"/>
        </w:rPr>
        <w:t>服务标准（包括达到的水平要求），按下列第（ ）项执行：</w:t>
      </w:r>
    </w:p>
    <w:p w14:paraId="4C4FFF04">
      <w:pPr>
        <w:rPr>
          <w:color w:val="auto"/>
          <w:szCs w:val="27"/>
          <w:highlight w:val="none"/>
        </w:rPr>
      </w:pPr>
      <w:r>
        <w:rPr>
          <w:rFonts w:hint="eastAsia"/>
          <w:color w:val="auto"/>
          <w:szCs w:val="27"/>
          <w:highlight w:val="none"/>
        </w:rPr>
        <w:t>①按国家标准执行；②按部颁标准执行；③若无以上标准，则应不低于同行业服务标准；④有特殊要求的，按甲乙双方在合同中商定的要求执行；</w:t>
      </w:r>
    </w:p>
    <w:p w14:paraId="33F712D9">
      <w:pPr>
        <w:rPr>
          <w:color w:val="auto"/>
          <w:szCs w:val="27"/>
          <w:highlight w:val="none"/>
          <w:u w:val="single"/>
        </w:rPr>
      </w:pPr>
      <w:r>
        <w:rPr>
          <w:rFonts w:hint="eastAsia"/>
          <w:color w:val="auto"/>
          <w:highlight w:val="none"/>
        </w:rPr>
        <w:t>乙方提供的服务标准和水平应与招标采购文件规定的标准和水平相一致。</w:t>
      </w:r>
    </w:p>
    <w:p w14:paraId="289AD2DE">
      <w:pPr>
        <w:rPr>
          <w:color w:val="auto"/>
          <w:szCs w:val="27"/>
          <w:highlight w:val="none"/>
        </w:rPr>
      </w:pPr>
      <w:r>
        <w:rPr>
          <w:rFonts w:hint="eastAsia"/>
          <w:b/>
          <w:bCs/>
          <w:color w:val="auto"/>
          <w:szCs w:val="27"/>
          <w:highlight w:val="none"/>
        </w:rPr>
        <w:t xml:space="preserve">第三条  </w:t>
      </w:r>
      <w:r>
        <w:rPr>
          <w:rFonts w:hint="eastAsia"/>
          <w:color w:val="auto"/>
          <w:szCs w:val="27"/>
          <w:highlight w:val="none"/>
        </w:rPr>
        <w:t>服务的方式、方法、、地点和期限</w:t>
      </w:r>
    </w:p>
    <w:p w14:paraId="569865CA">
      <w:pPr>
        <w:rPr>
          <w:color w:val="auto"/>
          <w:highlight w:val="none"/>
        </w:rPr>
      </w:pPr>
      <w:r>
        <w:rPr>
          <w:rFonts w:hint="eastAsia"/>
          <w:color w:val="auto"/>
          <w:szCs w:val="27"/>
          <w:highlight w:val="none"/>
        </w:rPr>
        <w:t>1、服务方式：</w:t>
      </w:r>
    </w:p>
    <w:p w14:paraId="2F85D9BD">
      <w:pPr>
        <w:rPr>
          <w:color w:val="auto"/>
          <w:highlight w:val="none"/>
        </w:rPr>
      </w:pPr>
      <w:r>
        <w:rPr>
          <w:rFonts w:hint="eastAsia"/>
          <w:color w:val="auto"/>
          <w:highlight w:val="none"/>
        </w:rPr>
        <w:t>2、服务方法：</w:t>
      </w:r>
    </w:p>
    <w:p w14:paraId="3CFEFBF4">
      <w:pPr>
        <w:rPr>
          <w:color w:val="auto"/>
          <w:szCs w:val="27"/>
          <w:highlight w:val="none"/>
        </w:rPr>
      </w:pPr>
      <w:r>
        <w:rPr>
          <w:rFonts w:hint="eastAsia"/>
          <w:color w:val="auto"/>
          <w:szCs w:val="27"/>
          <w:highlight w:val="none"/>
        </w:rPr>
        <w:t>2、服务地点：</w:t>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p>
    <w:p w14:paraId="1D14A6BF">
      <w:pPr>
        <w:rPr>
          <w:color w:val="auto"/>
          <w:szCs w:val="27"/>
          <w:highlight w:val="none"/>
        </w:rPr>
      </w:pPr>
      <w:r>
        <w:rPr>
          <w:rFonts w:hint="eastAsia"/>
          <w:color w:val="auto"/>
          <w:szCs w:val="27"/>
          <w:highlight w:val="none"/>
        </w:rPr>
        <w:t>3、服务期限：</w:t>
      </w:r>
    </w:p>
    <w:p w14:paraId="3C4D9E77">
      <w:pPr>
        <w:rPr>
          <w:color w:val="auto"/>
          <w:highlight w:val="none"/>
        </w:rPr>
      </w:pPr>
      <w:r>
        <w:rPr>
          <w:rFonts w:hint="eastAsia"/>
          <w:color w:val="auto"/>
          <w:highlight w:val="none"/>
        </w:rPr>
        <w:t>第四条  费用及支付方式</w:t>
      </w:r>
    </w:p>
    <w:p w14:paraId="08C51419">
      <w:pPr>
        <w:rPr>
          <w:b/>
          <w:color w:val="auto"/>
          <w:highlight w:val="none"/>
        </w:rPr>
      </w:pPr>
      <w:r>
        <w:rPr>
          <w:rFonts w:hint="eastAsia"/>
          <w:b/>
          <w:color w:val="auto"/>
          <w:highlight w:val="none"/>
        </w:rPr>
        <w:t>(一)本项目费用有以下组成：</w:t>
      </w:r>
    </w:p>
    <w:p w14:paraId="0BA0C6E5">
      <w:pPr>
        <w:rPr>
          <w:color w:val="auto"/>
          <w:highlight w:val="none"/>
        </w:rPr>
      </w:pPr>
      <w:r>
        <w:rPr>
          <w:rFonts w:hint="eastAsia"/>
          <w:color w:val="auto"/>
          <w:highlight w:val="none"/>
        </w:rPr>
        <w:t xml:space="preserve"> 1、XX 万元；</w:t>
      </w:r>
    </w:p>
    <w:p w14:paraId="31FB016E">
      <w:pPr>
        <w:rPr>
          <w:color w:val="auto"/>
          <w:highlight w:val="none"/>
        </w:rPr>
      </w:pPr>
      <w:r>
        <w:rPr>
          <w:rFonts w:hint="eastAsia"/>
          <w:color w:val="auto"/>
          <w:highlight w:val="none"/>
        </w:rPr>
        <w:t>2、XX 万元；</w:t>
      </w:r>
    </w:p>
    <w:p w14:paraId="0572A252">
      <w:pPr>
        <w:rPr>
          <w:color w:val="auto"/>
          <w:highlight w:val="none"/>
        </w:rPr>
      </w:pPr>
      <w:r>
        <w:rPr>
          <w:rFonts w:hint="eastAsia"/>
          <w:color w:val="auto"/>
          <w:highlight w:val="none"/>
        </w:rPr>
        <w:t>……</w:t>
      </w:r>
    </w:p>
    <w:p w14:paraId="19C9D099">
      <w:pPr>
        <w:rPr>
          <w:b/>
          <w:color w:val="auto"/>
          <w:highlight w:val="none"/>
        </w:rPr>
      </w:pPr>
      <w:r>
        <w:rPr>
          <w:rFonts w:hint="eastAsia"/>
          <w:b/>
          <w:color w:val="auto"/>
          <w:highlight w:val="none"/>
        </w:rPr>
        <w:t>(二)费用支付方式：</w:t>
      </w:r>
    </w:p>
    <w:p w14:paraId="6E5448E2">
      <w:pPr>
        <w:rPr>
          <w:color w:val="auto"/>
          <w:highlight w:val="none"/>
        </w:rPr>
      </w:pPr>
      <w:r>
        <w:rPr>
          <w:rFonts w:hint="eastAsia"/>
          <w:color w:val="auto"/>
          <w:highlight w:val="none"/>
        </w:rPr>
        <w:t>1、XXXX；</w:t>
      </w:r>
    </w:p>
    <w:p w14:paraId="327CF4FF">
      <w:pPr>
        <w:rPr>
          <w:color w:val="auto"/>
          <w:highlight w:val="none"/>
        </w:rPr>
      </w:pPr>
      <w:r>
        <w:rPr>
          <w:rFonts w:hint="eastAsia"/>
          <w:color w:val="auto"/>
          <w:highlight w:val="none"/>
        </w:rPr>
        <w:t>2、XXXX ；</w:t>
      </w:r>
    </w:p>
    <w:p w14:paraId="7ECFADE1">
      <w:pPr>
        <w:rPr>
          <w:color w:val="auto"/>
          <w:highlight w:val="none"/>
        </w:rPr>
      </w:pPr>
      <w:r>
        <w:rPr>
          <w:rFonts w:hint="eastAsia"/>
          <w:color w:val="auto"/>
          <w:highlight w:val="none"/>
        </w:rPr>
        <w:t>3、在支付前甲方对乙方的服务进行考核或验收，合格的支付相应款 项。乙方须向甲方出具合法有效完整的完税发票及凭证资料进行支付结算。</w:t>
      </w:r>
    </w:p>
    <w:p w14:paraId="004E8961">
      <w:pPr>
        <w:rPr>
          <w:color w:val="auto"/>
          <w:highlight w:val="none"/>
        </w:rPr>
      </w:pPr>
      <w:r>
        <w:rPr>
          <w:rFonts w:hint="eastAsia"/>
          <w:b/>
          <w:color w:val="auto"/>
          <w:highlight w:val="none"/>
        </w:rPr>
        <w:t xml:space="preserve">第五条  付款条件   </w:t>
      </w:r>
      <w:r>
        <w:rPr>
          <w:rFonts w:hint="eastAsia"/>
          <w:color w:val="auto"/>
          <w:highlight w:val="none"/>
        </w:rPr>
        <w:t xml:space="preserve">               </w:t>
      </w:r>
    </w:p>
    <w:p w14:paraId="5FF8EC6F">
      <w:pPr>
        <w:rPr>
          <w:color w:val="auto"/>
          <w:highlight w:val="none"/>
        </w:rPr>
      </w:pPr>
      <w:r>
        <w:rPr>
          <w:rFonts w:hint="eastAsia"/>
          <w:color w:val="auto"/>
          <w:highlight w:val="none"/>
        </w:rPr>
        <w:t>本合同以人民币付款。</w:t>
      </w:r>
    </w:p>
    <w:p w14:paraId="6B933FE1">
      <w:pPr>
        <w:rPr>
          <w:color w:val="auto"/>
          <w:highlight w:val="none"/>
        </w:rPr>
      </w:pPr>
      <w:r>
        <w:rPr>
          <w:rFonts w:hint="eastAsia"/>
          <w:color w:val="auto"/>
          <w:highlight w:val="none"/>
        </w:rPr>
        <w:t>该项目是否实行预付款：</w:t>
      </w:r>
    </w:p>
    <w:p w14:paraId="0B069600">
      <w:pPr>
        <w:rPr>
          <w:color w:val="auto"/>
          <w:highlight w:val="none"/>
        </w:rPr>
      </w:pPr>
      <w:r>
        <w:rPr>
          <w:rFonts w:hint="eastAsia"/>
          <w:color w:val="auto"/>
          <w:highlight w:val="none"/>
        </w:rPr>
        <w:t>实行预付款的条件和比例：</w:t>
      </w:r>
    </w:p>
    <w:p w14:paraId="16B529D6">
      <w:pPr>
        <w:rPr>
          <w:color w:val="auto"/>
          <w:highlight w:val="none"/>
        </w:rPr>
      </w:pPr>
      <w:r>
        <w:rPr>
          <w:rFonts w:hint="eastAsia"/>
          <w:color w:val="auto"/>
          <w:highlight w:val="none"/>
        </w:rPr>
        <w:t xml:space="preserve">合同款项结算方式和支付比例：   </w:t>
      </w:r>
    </w:p>
    <w:p w14:paraId="3F12B42F">
      <w:pPr>
        <w:rPr>
          <w:color w:val="auto"/>
          <w:highlight w:val="none"/>
          <w:u w:val="single"/>
        </w:rPr>
      </w:pPr>
      <w:r>
        <w:rPr>
          <w:rFonts w:hint="eastAsia"/>
          <w:color w:val="auto"/>
          <w:highlight w:val="none"/>
        </w:rPr>
        <w:t>(具体付款方式</w:t>
      </w:r>
      <w:r>
        <w:rPr>
          <w:rFonts w:hint="eastAsia"/>
          <w:color w:val="auto"/>
          <w:highlight w:val="none"/>
          <w:u w:val="single"/>
        </w:rPr>
        <w:t>按投标人须知前附表以及采、购双方的具体约定</w:t>
      </w:r>
    </w:p>
    <w:p w14:paraId="4B9746D1">
      <w:pPr>
        <w:rPr>
          <w:color w:val="auto"/>
          <w:szCs w:val="27"/>
          <w:highlight w:val="none"/>
        </w:rPr>
      </w:pPr>
      <w:r>
        <w:rPr>
          <w:rFonts w:hint="eastAsia"/>
          <w:b/>
          <w:bCs/>
          <w:color w:val="auto"/>
          <w:szCs w:val="27"/>
          <w:highlight w:val="none"/>
        </w:rPr>
        <w:t>第六条  验收方法</w:t>
      </w:r>
    </w:p>
    <w:p w14:paraId="05848E4E">
      <w:pPr>
        <w:rPr>
          <w:color w:val="auto"/>
          <w:highlight w:val="none"/>
        </w:rPr>
      </w:pPr>
      <w:r>
        <w:rPr>
          <w:rFonts w:hint="eastAsia"/>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4953F9A9">
      <w:pPr>
        <w:rPr>
          <w:color w:val="auto"/>
          <w:highlight w:val="none"/>
        </w:rPr>
      </w:pPr>
      <w:r>
        <w:rPr>
          <w:rFonts w:hint="eastAsia"/>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59DB27E">
      <w:pPr>
        <w:rPr>
          <w:color w:val="auto"/>
          <w:highlight w:val="none"/>
        </w:rPr>
      </w:pPr>
      <w:r>
        <w:rPr>
          <w:rFonts w:hint="eastAsia"/>
          <w:color w:val="auto"/>
          <w:highlight w:val="none"/>
        </w:rPr>
        <w:t>3、甲方视情况可以邀请参加本项目的其他投标人或者第三方机构参与验收，参与验收的投标人或者第三方机构的意见作为验收书的参考资料一并存档。</w:t>
      </w:r>
    </w:p>
    <w:p w14:paraId="7DD56D67">
      <w:pPr>
        <w:rPr>
          <w:color w:val="auto"/>
          <w:highlight w:val="none"/>
        </w:rPr>
      </w:pPr>
      <w:r>
        <w:rPr>
          <w:rFonts w:hint="eastAsia"/>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7FD2FC41">
      <w:pPr>
        <w:rPr>
          <w:color w:val="auto"/>
          <w:highlight w:val="none"/>
        </w:rPr>
      </w:pPr>
      <w:r>
        <w:rPr>
          <w:rFonts w:hint="eastAsia"/>
          <w:color w:val="auto"/>
          <w:highlight w:val="none"/>
        </w:rPr>
        <w:t>检测、验收费用承担方式：</w:t>
      </w:r>
    </w:p>
    <w:p w14:paraId="5C2442EC">
      <w:pPr>
        <w:rPr>
          <w:b/>
          <w:color w:val="auto"/>
          <w:highlight w:val="none"/>
        </w:rPr>
      </w:pPr>
      <w:r>
        <w:rPr>
          <w:rFonts w:hint="eastAsia"/>
          <w:b/>
          <w:color w:val="auto"/>
          <w:highlight w:val="none"/>
        </w:rPr>
        <w:t>第七条 知识产权</w:t>
      </w:r>
    </w:p>
    <w:p w14:paraId="76283491">
      <w:pPr>
        <w:rPr>
          <w:color w:val="auto"/>
          <w:highlight w:val="none"/>
        </w:rPr>
      </w:pPr>
      <w:r>
        <w:rPr>
          <w:rFonts w:hint="eastAsia"/>
          <w:color w:val="auto"/>
          <w:highlight w:val="none"/>
        </w:rPr>
        <w:t>乙方应保证所提供的服务或其任何一部分均不会侵犯任何第三方的专利权、商标权或著作权。</w:t>
      </w:r>
    </w:p>
    <w:p w14:paraId="7F75A0E6">
      <w:pPr>
        <w:rPr>
          <w:color w:val="auto"/>
          <w:szCs w:val="27"/>
          <w:highlight w:val="none"/>
        </w:rPr>
      </w:pPr>
      <w:r>
        <w:rPr>
          <w:rFonts w:hint="eastAsia"/>
          <w:b/>
          <w:bCs/>
          <w:color w:val="auto"/>
          <w:szCs w:val="27"/>
          <w:highlight w:val="none"/>
        </w:rPr>
        <w:t>第八条 无产权瑕疵条款</w:t>
      </w:r>
    </w:p>
    <w:p w14:paraId="5EAA8C11">
      <w:pPr>
        <w:rPr>
          <w:color w:val="auto"/>
          <w:highlight w:val="none"/>
        </w:rPr>
      </w:pPr>
      <w:r>
        <w:rPr>
          <w:rFonts w:hint="eastAsia"/>
          <w:color w:val="auto"/>
          <w:highlight w:val="none"/>
        </w:rPr>
        <w:t>乙方保证所提供的服务的所有权完全属于乙方且无任何抵押、查封等产权瑕疵。如有产权瑕疵的，视为乙方违约。乙方应负担由此而产生的一切损失。</w:t>
      </w:r>
    </w:p>
    <w:p w14:paraId="4FCC5366">
      <w:pPr>
        <w:rPr>
          <w:b/>
          <w:bCs/>
          <w:color w:val="auto"/>
          <w:szCs w:val="27"/>
          <w:highlight w:val="none"/>
        </w:rPr>
      </w:pPr>
      <w:r>
        <w:rPr>
          <w:rFonts w:hint="eastAsia"/>
          <w:b/>
          <w:bCs/>
          <w:color w:val="auto"/>
          <w:szCs w:val="27"/>
          <w:highlight w:val="none"/>
        </w:rPr>
        <w:t xml:space="preserve">第九条  </w:t>
      </w:r>
      <w:r>
        <w:rPr>
          <w:rFonts w:hint="eastAsia"/>
          <w:color w:val="auto"/>
          <w:szCs w:val="27"/>
          <w:highlight w:val="none"/>
        </w:rPr>
        <w:t>履约（或质量）保证金</w:t>
      </w:r>
    </w:p>
    <w:p w14:paraId="6CA8471E">
      <w:pPr>
        <w:rPr>
          <w:color w:val="auto"/>
          <w:highlight w:val="none"/>
        </w:rPr>
      </w:pPr>
      <w:r>
        <w:rPr>
          <w:rFonts w:hint="eastAsia"/>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0EBD4CA7">
      <w:pPr>
        <w:rPr>
          <w:color w:val="auto"/>
          <w:highlight w:val="none"/>
        </w:rPr>
      </w:pPr>
      <w:r>
        <w:rPr>
          <w:rFonts w:hint="eastAsia"/>
          <w:color w:val="auto"/>
          <w:highlight w:val="none"/>
        </w:rPr>
        <w:t>2.若确需质量保证金的，质量保证金不得超过合同总价款的5%</w:t>
      </w:r>
    </w:p>
    <w:p w14:paraId="0F3254CC">
      <w:pPr>
        <w:rPr>
          <w:color w:val="auto"/>
          <w:highlight w:val="none"/>
        </w:rPr>
      </w:pPr>
      <w:r>
        <w:rPr>
          <w:rFonts w:hint="eastAsia"/>
          <w:color w:val="auto"/>
          <w:highlight w:val="none"/>
        </w:rPr>
        <w:t>3.如乙方未能履行其合同规定的任何义务，甲方有权从履约保证金中取得补偿。</w:t>
      </w:r>
    </w:p>
    <w:p w14:paraId="18EBDD72">
      <w:pPr>
        <w:rPr>
          <w:color w:val="auto"/>
          <w:szCs w:val="27"/>
          <w:highlight w:val="none"/>
        </w:rPr>
      </w:pPr>
      <w:r>
        <w:rPr>
          <w:rFonts w:hint="eastAsia"/>
          <w:b/>
          <w:bCs/>
          <w:color w:val="auto"/>
          <w:szCs w:val="27"/>
          <w:highlight w:val="none"/>
        </w:rPr>
        <w:t>第十条 甲方的权利和义务</w:t>
      </w:r>
    </w:p>
    <w:p w14:paraId="2B9B0EE5">
      <w:pPr>
        <w:rPr>
          <w:color w:val="auto"/>
          <w:highlight w:val="none"/>
        </w:rPr>
      </w:pPr>
      <w:r>
        <w:rPr>
          <w:rFonts w:hint="eastAsia"/>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76972EAC">
      <w:pPr>
        <w:rPr>
          <w:color w:val="auto"/>
          <w:highlight w:val="none"/>
        </w:rPr>
      </w:pPr>
      <w:r>
        <w:rPr>
          <w:rFonts w:hint="eastAsia"/>
          <w:color w:val="auto"/>
          <w:highlight w:val="none"/>
        </w:rPr>
        <w:t>2、甲方有权依据双方签订的考评办法对乙方提供的服务进行定期考评。当考评结果未达到标准时，有权依据考评办法约定的数额扣除履约保证金。</w:t>
      </w:r>
    </w:p>
    <w:p w14:paraId="20E66144">
      <w:pPr>
        <w:rPr>
          <w:color w:val="auto"/>
          <w:highlight w:val="none"/>
        </w:rPr>
      </w:pPr>
      <w:r>
        <w:rPr>
          <w:rFonts w:hint="eastAsia"/>
          <w:color w:val="auto"/>
          <w:highlight w:val="none"/>
        </w:rPr>
        <w:t>3、负责检查监督乙方管理工作的实施及制度的执行情况。</w:t>
      </w:r>
    </w:p>
    <w:p w14:paraId="412E2D05">
      <w:pPr>
        <w:rPr>
          <w:color w:val="auto"/>
          <w:highlight w:val="none"/>
        </w:rPr>
      </w:pPr>
      <w:r>
        <w:rPr>
          <w:rFonts w:hint="eastAsia"/>
          <w:color w:val="auto"/>
          <w:highlight w:val="none"/>
        </w:rPr>
        <w:t>4、根据本合同规定，按时向乙方支付应付服务费用。</w:t>
      </w:r>
    </w:p>
    <w:p w14:paraId="2381DEF4">
      <w:pPr>
        <w:rPr>
          <w:color w:val="auto"/>
          <w:highlight w:val="none"/>
        </w:rPr>
      </w:pPr>
      <w:r>
        <w:rPr>
          <w:rFonts w:hint="eastAsia"/>
          <w:color w:val="auto"/>
          <w:highlight w:val="none"/>
        </w:rPr>
        <w:t xml:space="preserve">5、国家法律、法规所规定由甲方承担的其他责任               </w:t>
      </w:r>
    </w:p>
    <w:p w14:paraId="4852EAB7">
      <w:pPr>
        <w:rPr>
          <w:b/>
          <w:color w:val="auto"/>
          <w:highlight w:val="none"/>
        </w:rPr>
      </w:pPr>
      <w:r>
        <w:rPr>
          <w:rFonts w:hint="eastAsia"/>
          <w:b/>
          <w:color w:val="auto"/>
          <w:highlight w:val="none"/>
        </w:rPr>
        <w:t>第十一条 乙方的权利和义务</w:t>
      </w:r>
    </w:p>
    <w:p w14:paraId="30035189">
      <w:pPr>
        <w:rPr>
          <w:color w:val="auto"/>
          <w:highlight w:val="none"/>
        </w:rPr>
      </w:pPr>
      <w:r>
        <w:rPr>
          <w:rFonts w:hint="eastAsia"/>
          <w:color w:val="auto"/>
          <w:highlight w:val="none"/>
        </w:rPr>
        <w:t>1、对本合同规定的委托服务范围内的项目享有管理权及服务义务。</w:t>
      </w:r>
    </w:p>
    <w:p w14:paraId="0A5BD38F">
      <w:pPr>
        <w:rPr>
          <w:color w:val="auto"/>
          <w:highlight w:val="none"/>
        </w:rPr>
      </w:pPr>
      <w:r>
        <w:rPr>
          <w:rFonts w:hint="eastAsia"/>
          <w:color w:val="auto"/>
          <w:highlight w:val="none"/>
        </w:rPr>
        <w:t>2、根据本合同的规定向甲方收取相关服务费用，并有权在本项目管理范围内管理及合理使用。</w:t>
      </w:r>
    </w:p>
    <w:p w14:paraId="7FCFBFCE">
      <w:pPr>
        <w:rPr>
          <w:color w:val="auto"/>
          <w:highlight w:val="none"/>
        </w:rPr>
      </w:pPr>
      <w:r>
        <w:rPr>
          <w:rFonts w:hint="eastAsia"/>
          <w:color w:val="auto"/>
          <w:highlight w:val="none"/>
        </w:rPr>
        <w:t>3、及时向甲方通告本项目服务范围内有关服务的重大事项，及时配合处理投诉。</w:t>
      </w:r>
    </w:p>
    <w:p w14:paraId="5FFE3E24">
      <w:pPr>
        <w:rPr>
          <w:color w:val="auto"/>
          <w:highlight w:val="none"/>
        </w:rPr>
      </w:pPr>
      <w:r>
        <w:rPr>
          <w:rFonts w:hint="eastAsia"/>
          <w:color w:val="auto"/>
          <w:highlight w:val="none"/>
        </w:rPr>
        <w:t>4、接受项目行业管理部门及政府有关部门的指导，接受甲方的监督。</w:t>
      </w:r>
    </w:p>
    <w:p w14:paraId="37A2D21B">
      <w:pPr>
        <w:rPr>
          <w:color w:val="auto"/>
          <w:highlight w:val="none"/>
        </w:rPr>
      </w:pPr>
      <w:r>
        <w:rPr>
          <w:rFonts w:hint="eastAsia"/>
          <w:color w:val="auto"/>
          <w:highlight w:val="none"/>
        </w:rPr>
        <w:t>5、国家法律、法规所规定由乙方承担的其它责任。</w:t>
      </w:r>
    </w:p>
    <w:p w14:paraId="7C632647">
      <w:pPr>
        <w:rPr>
          <w:b/>
          <w:color w:val="auto"/>
          <w:highlight w:val="none"/>
        </w:rPr>
      </w:pPr>
      <w:r>
        <w:rPr>
          <w:rFonts w:hint="eastAsia"/>
          <w:b/>
          <w:color w:val="auto"/>
          <w:highlight w:val="none"/>
        </w:rPr>
        <w:t>第十二条 违约责任</w:t>
      </w:r>
    </w:p>
    <w:p w14:paraId="02C07525">
      <w:pPr>
        <w:rPr>
          <w:color w:val="auto"/>
          <w:highlight w:val="none"/>
        </w:rPr>
      </w:pPr>
      <w:r>
        <w:rPr>
          <w:rFonts w:hint="eastAsia"/>
          <w:color w:val="auto"/>
          <w:highlight w:val="none"/>
        </w:rPr>
        <w:t>1、甲乙双方必须遵守本合同并执行合同中的各项规定，保证本合同的正常履行。</w:t>
      </w:r>
    </w:p>
    <w:p w14:paraId="2C5ACFF4">
      <w:pPr>
        <w:rPr>
          <w:color w:val="auto"/>
          <w:highlight w:val="none"/>
        </w:rPr>
      </w:pPr>
      <w:r>
        <w:rPr>
          <w:rFonts w:hint="eastAsia"/>
          <w:color w:val="auto"/>
          <w:highlight w:val="none"/>
        </w:rPr>
        <w:t>2、甲方逾期付款的，除应及时付足款项外，应向乙方偿付欠款总额万分之 /天的违约金；逾期付款超过 天的，乙方有权终止合同。</w:t>
      </w:r>
    </w:p>
    <w:p w14:paraId="32E8905F">
      <w:pPr>
        <w:rPr>
          <w:color w:val="auto"/>
          <w:highlight w:val="none"/>
        </w:rPr>
      </w:pPr>
      <w:r>
        <w:rPr>
          <w:rFonts w:hint="eastAsia"/>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EF756FE">
      <w:pPr>
        <w:rPr>
          <w:color w:val="auto"/>
          <w:highlight w:val="none"/>
        </w:rPr>
      </w:pPr>
      <w:r>
        <w:rPr>
          <w:rFonts w:hint="eastAsia"/>
          <w:color w:val="auto"/>
          <w:highlight w:val="none"/>
        </w:rPr>
        <w:t>4、变更、中止或者终止合同，有过错的一方应当承担赔偿责任，双方都有过错的，各自承担相应的责任。</w:t>
      </w:r>
    </w:p>
    <w:p w14:paraId="11D116E2">
      <w:pPr>
        <w:rPr>
          <w:b/>
          <w:color w:val="auto"/>
          <w:highlight w:val="none"/>
        </w:rPr>
      </w:pPr>
      <w:r>
        <w:rPr>
          <w:rFonts w:hint="eastAsia"/>
          <w:b/>
          <w:bCs/>
          <w:color w:val="auto"/>
          <w:szCs w:val="27"/>
          <w:highlight w:val="none"/>
        </w:rPr>
        <w:t xml:space="preserve">第十三条 </w:t>
      </w:r>
      <w:r>
        <w:rPr>
          <w:rFonts w:hint="eastAsia"/>
          <w:bCs/>
          <w:color w:val="auto"/>
          <w:highlight w:val="none"/>
        </w:rPr>
        <w:t>转让与分包</w:t>
      </w:r>
    </w:p>
    <w:p w14:paraId="1D678FF4">
      <w:pPr>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90A51CB">
      <w:pPr>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BF09D89">
      <w:pPr>
        <w:rPr>
          <w:b/>
          <w:color w:val="auto"/>
          <w:highlight w:val="none"/>
        </w:rPr>
      </w:pPr>
      <w:r>
        <w:rPr>
          <w:rFonts w:hint="eastAsia"/>
          <w:b/>
          <w:bCs/>
          <w:color w:val="auto"/>
          <w:szCs w:val="27"/>
          <w:highlight w:val="none"/>
        </w:rPr>
        <w:t xml:space="preserve">第十四条 </w:t>
      </w:r>
      <w:r>
        <w:rPr>
          <w:rFonts w:hint="eastAsia"/>
          <w:bCs/>
          <w:color w:val="auto"/>
          <w:highlight w:val="none"/>
        </w:rPr>
        <w:t>合同文件及资料的使用</w:t>
      </w:r>
    </w:p>
    <w:p w14:paraId="28D83A82">
      <w:pPr>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0A494760">
      <w:pPr>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3843DF8E">
      <w:pPr>
        <w:rPr>
          <w:color w:val="auto"/>
          <w:szCs w:val="27"/>
          <w:highlight w:val="none"/>
        </w:rPr>
      </w:pPr>
      <w:r>
        <w:rPr>
          <w:rFonts w:hint="eastAsia"/>
          <w:b/>
          <w:bCs/>
          <w:color w:val="auto"/>
          <w:szCs w:val="27"/>
          <w:highlight w:val="none"/>
        </w:rPr>
        <w:t>第十五条 不可抗力事件处理</w:t>
      </w:r>
    </w:p>
    <w:p w14:paraId="1EE40E79">
      <w:pPr>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E0C012A">
      <w:pPr>
        <w:rPr>
          <w:color w:val="auto"/>
          <w:szCs w:val="27"/>
          <w:highlight w:val="none"/>
        </w:rPr>
      </w:pPr>
      <w:r>
        <w:rPr>
          <w:rFonts w:hint="eastAsia"/>
          <w:color w:val="auto"/>
          <w:highlight w:val="none"/>
        </w:rPr>
        <w:t>2</w:t>
      </w:r>
      <w:r>
        <w:rPr>
          <w:rFonts w:hint="eastAsia"/>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D956D7E">
      <w:pPr>
        <w:rPr>
          <w:color w:val="auto"/>
          <w:szCs w:val="27"/>
          <w:highlight w:val="none"/>
        </w:rPr>
      </w:pPr>
      <w:r>
        <w:rPr>
          <w:rFonts w:hint="eastAsia"/>
          <w:b/>
          <w:bCs/>
          <w:color w:val="auto"/>
          <w:szCs w:val="27"/>
          <w:highlight w:val="none"/>
        </w:rPr>
        <w:t>第十六条 合同纠纷调处</w:t>
      </w:r>
    </w:p>
    <w:p w14:paraId="08964E52">
      <w:pPr>
        <w:rPr>
          <w:color w:val="auto"/>
          <w:highlight w:val="none"/>
        </w:rPr>
      </w:pPr>
      <w:r>
        <w:rPr>
          <w:rFonts w:hint="eastAsia"/>
          <w:color w:val="auto"/>
          <w:highlight w:val="none"/>
        </w:rPr>
        <w:t>1</w:t>
      </w:r>
      <w:r>
        <w:rPr>
          <w:rFonts w:hint="eastAsia"/>
          <w:color w:val="auto"/>
          <w:szCs w:val="27"/>
          <w:highlight w:val="none"/>
        </w:rPr>
        <w:t>.按本合同规定应该偿付的违约金、赔偿金、保管保养费和各种经济损失，应当在明确责任后10天内，按银行规定的结算办法付清，否则按逾期付款处理。</w:t>
      </w:r>
    </w:p>
    <w:p w14:paraId="09476793">
      <w:pPr>
        <w:rPr>
          <w:color w:val="auto"/>
          <w:szCs w:val="27"/>
          <w:highlight w:val="none"/>
        </w:rPr>
      </w:pPr>
      <w:r>
        <w:rPr>
          <w:rFonts w:hint="eastAsia"/>
          <w:color w:val="auto"/>
          <w:highlight w:val="none"/>
        </w:rPr>
        <w:t>2</w:t>
      </w:r>
      <w:r>
        <w:rPr>
          <w:rFonts w:hint="eastAsia"/>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申请仲裁。②向</w:t>
      </w:r>
      <w:r>
        <w:rPr>
          <w:rFonts w:hint="eastAsia"/>
          <w:color w:val="auto"/>
          <w:highlight w:val="none"/>
        </w:rPr>
        <w:t>合同签订地有级别管辖权的</w:t>
      </w:r>
      <w:r>
        <w:rPr>
          <w:rFonts w:hint="eastAsia"/>
          <w:color w:val="auto"/>
          <w:szCs w:val="27"/>
          <w:highlight w:val="none"/>
        </w:rPr>
        <w:t>人民法院起诉。</w:t>
      </w:r>
    </w:p>
    <w:p w14:paraId="135D2655">
      <w:pPr>
        <w:rPr>
          <w:b/>
          <w:bCs/>
          <w:color w:val="auto"/>
          <w:szCs w:val="27"/>
          <w:highlight w:val="none"/>
        </w:rPr>
      </w:pPr>
      <w:r>
        <w:rPr>
          <w:rFonts w:hint="eastAsia"/>
          <w:color w:val="auto"/>
          <w:szCs w:val="27"/>
          <w:highlight w:val="none"/>
        </w:rPr>
        <w:t>3、甲、乙双方均有权利向本项目具有监管职能的政府采购监督管理部门举报反映对方在合同履约中的违法违纪行为。</w:t>
      </w:r>
    </w:p>
    <w:p w14:paraId="779439A2">
      <w:pPr>
        <w:rPr>
          <w:b/>
          <w:bCs/>
          <w:color w:val="auto"/>
          <w:szCs w:val="27"/>
          <w:highlight w:val="none"/>
        </w:rPr>
      </w:pPr>
      <w:r>
        <w:rPr>
          <w:rFonts w:hint="eastAsia"/>
          <w:b/>
          <w:bCs/>
          <w:color w:val="auto"/>
          <w:szCs w:val="27"/>
          <w:highlight w:val="none"/>
        </w:rPr>
        <w:t>第十七条 其他</w:t>
      </w:r>
    </w:p>
    <w:p w14:paraId="0C73E2E2">
      <w:pPr>
        <w:rPr>
          <w:color w:val="auto"/>
          <w:szCs w:val="27"/>
          <w:highlight w:val="none"/>
        </w:rPr>
      </w:pPr>
      <w:r>
        <w:rPr>
          <w:rFonts w:hint="eastAsia"/>
          <w:b/>
          <w:bCs/>
          <w:color w:val="auto"/>
          <w:szCs w:val="27"/>
          <w:highlight w:val="none"/>
        </w:rPr>
        <w:t xml:space="preserve">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4D3A249">
      <w:pPr>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5605AE79">
      <w:pPr>
        <w:rPr>
          <w:color w:val="auto"/>
          <w:szCs w:val="27"/>
          <w:highlight w:val="none"/>
        </w:rPr>
      </w:pPr>
    </w:p>
    <w:p w14:paraId="33033DA3">
      <w:pPr>
        <w:rPr>
          <w:color w:val="auto"/>
          <w:highlight w:val="none"/>
        </w:rPr>
      </w:pPr>
    </w:p>
    <w:p w14:paraId="1E605C5A">
      <w:pPr>
        <w:rPr>
          <w:color w:val="auto"/>
          <w:szCs w:val="27"/>
          <w:highlight w:val="none"/>
        </w:rPr>
      </w:pPr>
      <w:r>
        <w:rPr>
          <w:rFonts w:hint="eastAsia"/>
          <w:color w:val="auto"/>
          <w:szCs w:val="27"/>
          <w:highlight w:val="none"/>
        </w:rPr>
        <w:t xml:space="preserve">采购人（甲方）：    （公章）           供货人（乙方）：     （公章）  </w:t>
      </w:r>
    </w:p>
    <w:p w14:paraId="71C39CC5">
      <w:pPr>
        <w:rPr>
          <w:color w:val="auto"/>
          <w:highlight w:val="none"/>
        </w:rPr>
      </w:pPr>
      <w:r>
        <w:rPr>
          <w:rFonts w:hint="eastAsia"/>
          <w:color w:val="auto"/>
          <w:szCs w:val="27"/>
          <w:highlight w:val="none"/>
        </w:rPr>
        <w:t>地址：                               地址：</w:t>
      </w:r>
    </w:p>
    <w:p w14:paraId="7862149E">
      <w:pPr>
        <w:rPr>
          <w:color w:val="auto"/>
          <w:szCs w:val="27"/>
          <w:highlight w:val="none"/>
        </w:rPr>
      </w:pPr>
      <w:r>
        <w:rPr>
          <w:rFonts w:hint="eastAsia"/>
          <w:color w:val="auto"/>
          <w:szCs w:val="27"/>
          <w:highlight w:val="none"/>
        </w:rPr>
        <w:t>法定代表人：                         法定代表人：</w:t>
      </w:r>
    </w:p>
    <w:p w14:paraId="65BDF6B2">
      <w:pPr>
        <w:rPr>
          <w:color w:val="auto"/>
          <w:highlight w:val="none"/>
          <w:u w:val="single"/>
        </w:rPr>
      </w:pPr>
      <w:r>
        <w:rPr>
          <w:rFonts w:hint="eastAsia"/>
          <w:color w:val="auto"/>
          <w:szCs w:val="27"/>
          <w:highlight w:val="none"/>
        </w:rPr>
        <w:t>委托代理人：                         委托代理人：</w:t>
      </w:r>
    </w:p>
    <w:p w14:paraId="43ADE9E6">
      <w:pPr>
        <w:rPr>
          <w:color w:val="auto"/>
          <w:highlight w:val="none"/>
        </w:rPr>
      </w:pPr>
      <w:r>
        <w:rPr>
          <w:rFonts w:hint="eastAsia"/>
          <w:color w:val="auto"/>
          <w:highlight w:val="none"/>
        </w:rPr>
        <w:t>电话：                               电话：</w:t>
      </w:r>
    </w:p>
    <w:p w14:paraId="01F2F13A">
      <w:pPr>
        <w:rPr>
          <w:color w:val="auto"/>
          <w:szCs w:val="27"/>
          <w:highlight w:val="none"/>
        </w:rPr>
      </w:pPr>
      <w:r>
        <w:rPr>
          <w:rFonts w:hint="eastAsia"/>
          <w:color w:val="auto"/>
          <w:szCs w:val="27"/>
          <w:highlight w:val="none"/>
        </w:rPr>
        <w:t>开户银行：                           开户银行：</w:t>
      </w:r>
    </w:p>
    <w:p w14:paraId="601CFB49">
      <w:pPr>
        <w:rPr>
          <w:color w:val="auto"/>
          <w:highlight w:val="none"/>
        </w:rPr>
      </w:pPr>
      <w:r>
        <w:rPr>
          <w:rFonts w:hint="eastAsia"/>
          <w:color w:val="auto"/>
          <w:szCs w:val="27"/>
          <w:highlight w:val="none"/>
        </w:rPr>
        <w:t>账号：                               账号：</w:t>
      </w:r>
    </w:p>
    <w:p w14:paraId="52E108B8">
      <w:pPr>
        <w:spacing w:line="640" w:lineRule="exact"/>
        <w:ind w:firstLine="420" w:firstLineChars="200"/>
        <w:rPr>
          <w:rFonts w:ascii="宋体" w:hAnsi="宋体" w:cs="宋体"/>
          <w:color w:val="auto"/>
          <w:szCs w:val="27"/>
          <w:highlight w:val="none"/>
          <w:u w:val="single"/>
        </w:rPr>
      </w:pPr>
    </w:p>
    <w:p w14:paraId="1E186C96">
      <w:pPr>
        <w:pStyle w:val="2"/>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2A0A85FE">
      <w:pPr>
        <w:pStyle w:val="2"/>
        <w:ind w:firstLine="321"/>
        <w:jc w:val="center"/>
        <w:rPr>
          <w:b/>
          <w:color w:val="auto"/>
          <w:sz w:val="32"/>
          <w:szCs w:val="32"/>
          <w:highlight w:val="none"/>
        </w:rPr>
      </w:pPr>
    </w:p>
    <w:p w14:paraId="70C33065">
      <w:pPr>
        <w:pStyle w:val="2"/>
        <w:ind w:firstLine="321"/>
        <w:jc w:val="center"/>
        <w:rPr>
          <w:b/>
          <w:color w:val="auto"/>
          <w:sz w:val="32"/>
          <w:szCs w:val="32"/>
          <w:highlight w:val="none"/>
        </w:rPr>
      </w:pPr>
    </w:p>
    <w:p w14:paraId="0B248BB4">
      <w:pPr>
        <w:pStyle w:val="2"/>
        <w:ind w:firstLine="321"/>
        <w:jc w:val="center"/>
        <w:rPr>
          <w:b/>
          <w:color w:val="auto"/>
          <w:sz w:val="32"/>
          <w:szCs w:val="32"/>
          <w:highlight w:val="none"/>
        </w:rPr>
      </w:pPr>
    </w:p>
    <w:p w14:paraId="1410395B">
      <w:pPr>
        <w:pStyle w:val="2"/>
        <w:ind w:firstLine="321"/>
        <w:jc w:val="center"/>
        <w:rPr>
          <w:b/>
          <w:color w:val="auto"/>
          <w:sz w:val="32"/>
          <w:szCs w:val="32"/>
          <w:highlight w:val="none"/>
        </w:rPr>
      </w:pPr>
    </w:p>
    <w:p w14:paraId="4C77BF3F">
      <w:pPr>
        <w:pStyle w:val="2"/>
        <w:ind w:firstLine="321"/>
        <w:jc w:val="center"/>
        <w:rPr>
          <w:b/>
          <w:color w:val="auto"/>
          <w:sz w:val="32"/>
          <w:szCs w:val="32"/>
          <w:highlight w:val="none"/>
        </w:rPr>
      </w:pPr>
    </w:p>
    <w:p w14:paraId="32823E8C">
      <w:pPr>
        <w:pStyle w:val="2"/>
        <w:ind w:firstLine="321"/>
        <w:jc w:val="center"/>
        <w:rPr>
          <w:b/>
          <w:color w:val="auto"/>
          <w:sz w:val="32"/>
          <w:szCs w:val="32"/>
          <w:highlight w:val="none"/>
        </w:rPr>
      </w:pPr>
    </w:p>
    <w:p w14:paraId="4D751E0B">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210E5880">
      <w:pPr>
        <w:pStyle w:val="2"/>
        <w:ind w:firstLine="240"/>
        <w:rPr>
          <w:rFonts w:asciiTheme="minorEastAsia" w:hAnsiTheme="minorEastAsia" w:eastAsiaTheme="minorEastAsia"/>
          <w:color w:val="auto"/>
          <w:sz w:val="24"/>
          <w:highlight w:val="none"/>
        </w:rPr>
      </w:pPr>
    </w:p>
    <w:p w14:paraId="3E65EB6F">
      <w:pPr>
        <w:pStyle w:val="2"/>
        <w:ind w:firstLine="240"/>
        <w:rPr>
          <w:rFonts w:asciiTheme="minorEastAsia" w:hAnsiTheme="minorEastAsia" w:eastAsiaTheme="minorEastAsia"/>
          <w:color w:val="auto"/>
          <w:sz w:val="24"/>
          <w:highlight w:val="none"/>
        </w:rPr>
      </w:pPr>
    </w:p>
    <w:p w14:paraId="6705DF5B">
      <w:pPr>
        <w:pStyle w:val="2"/>
        <w:ind w:firstLine="240"/>
        <w:rPr>
          <w:rFonts w:asciiTheme="minorEastAsia" w:hAnsiTheme="minorEastAsia" w:eastAsiaTheme="minorEastAsia"/>
          <w:color w:val="auto"/>
          <w:sz w:val="24"/>
          <w:highlight w:val="none"/>
        </w:rPr>
      </w:pPr>
    </w:p>
    <w:p w14:paraId="6756A4AF">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01F8CCB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40D2DEC7">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4B93EA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1A56CA8">
      <w:pPr>
        <w:pStyle w:val="26"/>
        <w:spacing w:before="0" w:beforeAutospacing="0" w:after="0" w:afterAutospacing="0" w:line="330" w:lineRule="atLeast"/>
        <w:rPr>
          <w:rFonts w:cs="仿宋_GB2312"/>
          <w:b/>
          <w:bCs/>
          <w:color w:val="auto"/>
          <w:sz w:val="21"/>
          <w:szCs w:val="21"/>
          <w:highlight w:val="none"/>
        </w:rPr>
      </w:pPr>
    </w:p>
    <w:p w14:paraId="4246105E">
      <w:pPr>
        <w:pStyle w:val="26"/>
        <w:spacing w:before="0" w:beforeAutospacing="0" w:after="0" w:afterAutospacing="0" w:line="330" w:lineRule="atLeast"/>
        <w:rPr>
          <w:rFonts w:cs="仿宋_GB2312"/>
          <w:b/>
          <w:bCs/>
          <w:color w:val="auto"/>
          <w:sz w:val="21"/>
          <w:szCs w:val="21"/>
          <w:highlight w:val="none"/>
        </w:rPr>
      </w:pPr>
    </w:p>
    <w:p w14:paraId="14EECDDA">
      <w:pPr>
        <w:pStyle w:val="26"/>
        <w:spacing w:before="0" w:beforeAutospacing="0" w:after="0" w:afterAutospacing="0" w:line="330" w:lineRule="atLeast"/>
        <w:rPr>
          <w:rFonts w:cs="仿宋_GB2312"/>
          <w:b/>
          <w:bCs/>
          <w:color w:val="auto"/>
          <w:sz w:val="21"/>
          <w:szCs w:val="21"/>
          <w:highlight w:val="none"/>
        </w:rPr>
      </w:pPr>
    </w:p>
    <w:p w14:paraId="285BF21F">
      <w:pPr>
        <w:pStyle w:val="26"/>
        <w:spacing w:before="0" w:beforeAutospacing="0" w:after="0" w:afterAutospacing="0" w:line="330" w:lineRule="atLeast"/>
        <w:rPr>
          <w:rFonts w:cs="仿宋_GB2312"/>
          <w:b/>
          <w:bCs/>
          <w:color w:val="auto"/>
          <w:sz w:val="21"/>
          <w:szCs w:val="21"/>
          <w:highlight w:val="none"/>
        </w:rPr>
      </w:pPr>
    </w:p>
    <w:p w14:paraId="6A646580">
      <w:pPr>
        <w:pStyle w:val="26"/>
        <w:spacing w:before="0" w:beforeAutospacing="0" w:after="0" w:afterAutospacing="0" w:line="330" w:lineRule="atLeast"/>
        <w:rPr>
          <w:rFonts w:cs="仿宋_GB2312"/>
          <w:b/>
          <w:bCs/>
          <w:color w:val="auto"/>
          <w:sz w:val="21"/>
          <w:szCs w:val="21"/>
          <w:highlight w:val="none"/>
        </w:rPr>
      </w:pPr>
    </w:p>
    <w:p w14:paraId="2896E254">
      <w:pPr>
        <w:pStyle w:val="26"/>
        <w:spacing w:before="0" w:beforeAutospacing="0" w:after="0" w:afterAutospacing="0" w:line="330" w:lineRule="atLeast"/>
        <w:rPr>
          <w:rFonts w:cs="仿宋_GB2312"/>
          <w:b/>
          <w:bCs/>
          <w:color w:val="auto"/>
          <w:sz w:val="21"/>
          <w:szCs w:val="21"/>
          <w:highlight w:val="none"/>
        </w:rPr>
      </w:pPr>
    </w:p>
    <w:p w14:paraId="3F756989">
      <w:pPr>
        <w:pStyle w:val="26"/>
        <w:spacing w:before="0" w:beforeAutospacing="0" w:after="0" w:afterAutospacing="0" w:line="330" w:lineRule="atLeast"/>
        <w:rPr>
          <w:rFonts w:cs="仿宋_GB2312"/>
          <w:b/>
          <w:bCs/>
          <w:color w:val="auto"/>
          <w:sz w:val="21"/>
          <w:szCs w:val="21"/>
          <w:highlight w:val="none"/>
        </w:rPr>
      </w:pPr>
    </w:p>
    <w:p w14:paraId="165E8F61">
      <w:pPr>
        <w:pStyle w:val="26"/>
        <w:spacing w:before="0" w:beforeAutospacing="0" w:after="0" w:afterAutospacing="0" w:line="330" w:lineRule="atLeast"/>
        <w:rPr>
          <w:rFonts w:cs="仿宋_GB2312"/>
          <w:b/>
          <w:bCs/>
          <w:color w:val="auto"/>
          <w:sz w:val="21"/>
          <w:szCs w:val="21"/>
          <w:highlight w:val="none"/>
        </w:rPr>
      </w:pPr>
    </w:p>
    <w:p w14:paraId="27F4BF8E">
      <w:pPr>
        <w:pStyle w:val="2"/>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427AD">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69CA">
    <w:pPr>
      <w:pStyle w:val="20"/>
      <w:ind w:right="360"/>
      <w:jc w:val="center"/>
    </w:pPr>
    <w:r>
      <w:fldChar w:fldCharType="begin"/>
    </w:r>
    <w:r>
      <w:rPr>
        <w:rStyle w:val="34"/>
      </w:rPr>
      <w:instrText xml:space="preserve"> PAGE </w:instrText>
    </w:r>
    <w:r>
      <w:fldChar w:fldCharType="separate"/>
    </w:r>
    <w:r>
      <w:rPr>
        <w:rStyle w:val="34"/>
      </w:rPr>
      <w:t>- 30 -</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27098">
    <w:pPr>
      <w:pStyle w:val="20"/>
      <w:framePr w:wrap="around" w:vAnchor="text" w:hAnchor="margin" w:xAlign="right" w:y="1"/>
      <w:rPr>
        <w:rStyle w:val="34"/>
      </w:rPr>
    </w:pPr>
    <w:r>
      <w:fldChar w:fldCharType="begin"/>
    </w:r>
    <w:r>
      <w:rPr>
        <w:rStyle w:val="34"/>
      </w:rPr>
      <w:instrText xml:space="preserve">PAGE  </w:instrText>
    </w:r>
    <w:r>
      <w:fldChar w:fldCharType="end"/>
    </w:r>
  </w:p>
  <w:p w14:paraId="66966E6D">
    <w:pPr>
      <w:pStyle w:val="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A07E8">
    <w:pPr>
      <w:pStyle w:val="21"/>
      <w:pBdr>
        <w:bottom w:val="none" w:color="auto" w:sz="0" w:space="0"/>
      </w:pBdr>
      <w:spacing w:line="160" w:lineRule="atLeast"/>
      <w:jc w:val="both"/>
      <w:rPr>
        <w:rFonts w:ascii="楷体_GB2312" w:eastAsia="楷体_GB2312"/>
        <w:sz w:val="28"/>
        <w:u w:val="single"/>
      </w:rPr>
    </w:pPr>
  </w:p>
  <w:p w14:paraId="598E417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5444035"/>
    <w:multiLevelType w:val="multilevel"/>
    <w:tmpl w:val="05444035"/>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08E7291D"/>
    <w:multiLevelType w:val="multilevel"/>
    <w:tmpl w:val="08E7291D"/>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120634BE"/>
    <w:multiLevelType w:val="multilevel"/>
    <w:tmpl w:val="120634BE"/>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
    <w:nsid w:val="1C925483"/>
    <w:multiLevelType w:val="multilevel"/>
    <w:tmpl w:val="1C925483"/>
    <w:lvl w:ilvl="0" w:tentative="0">
      <w:start w:val="1"/>
      <w:numFmt w:val="chineseCountingThousand"/>
      <w:lvlText w:val="(%1)"/>
      <w:lvlJc w:val="left"/>
      <w:pPr>
        <w:ind w:left="1127" w:hanging="420"/>
      </w:pPr>
      <w:rPr>
        <w:rFonts w:hint="default"/>
      </w:rPr>
    </w:lvl>
    <w:lvl w:ilvl="1" w:tentative="0">
      <w:start w:val="1"/>
      <w:numFmt w:val="lowerLetter"/>
      <w:lvlText w:val="%2)"/>
      <w:lvlJc w:val="left"/>
      <w:pPr>
        <w:ind w:left="1547" w:hanging="420"/>
      </w:pPr>
    </w:lvl>
    <w:lvl w:ilvl="2" w:tentative="0">
      <w:start w:val="1"/>
      <w:numFmt w:val="lowerRoman"/>
      <w:lvlText w:val="%3."/>
      <w:lvlJc w:val="right"/>
      <w:pPr>
        <w:ind w:left="1967" w:hanging="420"/>
      </w:pPr>
    </w:lvl>
    <w:lvl w:ilvl="3" w:tentative="0">
      <w:start w:val="1"/>
      <w:numFmt w:val="decimal"/>
      <w:lvlText w:val="%4."/>
      <w:lvlJc w:val="left"/>
      <w:pPr>
        <w:ind w:left="2387" w:hanging="420"/>
      </w:pPr>
    </w:lvl>
    <w:lvl w:ilvl="4" w:tentative="0">
      <w:start w:val="1"/>
      <w:numFmt w:val="lowerLetter"/>
      <w:lvlText w:val="%5)"/>
      <w:lvlJc w:val="left"/>
      <w:pPr>
        <w:ind w:left="2807" w:hanging="420"/>
      </w:pPr>
    </w:lvl>
    <w:lvl w:ilvl="5" w:tentative="0">
      <w:start w:val="1"/>
      <w:numFmt w:val="lowerRoman"/>
      <w:lvlText w:val="%6."/>
      <w:lvlJc w:val="right"/>
      <w:pPr>
        <w:ind w:left="3227" w:hanging="420"/>
      </w:pPr>
    </w:lvl>
    <w:lvl w:ilvl="6" w:tentative="0">
      <w:start w:val="1"/>
      <w:numFmt w:val="decimal"/>
      <w:lvlText w:val="%7."/>
      <w:lvlJc w:val="left"/>
      <w:pPr>
        <w:ind w:left="3647" w:hanging="420"/>
      </w:pPr>
    </w:lvl>
    <w:lvl w:ilvl="7" w:tentative="0">
      <w:start w:val="1"/>
      <w:numFmt w:val="lowerLetter"/>
      <w:lvlText w:val="%8)"/>
      <w:lvlJc w:val="left"/>
      <w:pPr>
        <w:ind w:left="4067" w:hanging="420"/>
      </w:pPr>
    </w:lvl>
    <w:lvl w:ilvl="8" w:tentative="0">
      <w:start w:val="1"/>
      <w:numFmt w:val="lowerRoman"/>
      <w:lvlText w:val="%9."/>
      <w:lvlJc w:val="right"/>
      <w:pPr>
        <w:ind w:left="4487" w:hanging="420"/>
      </w:pPr>
    </w:lvl>
  </w:abstractNum>
  <w:abstractNum w:abstractNumId="7">
    <w:nsid w:val="232B5DE9"/>
    <w:multiLevelType w:val="multilevel"/>
    <w:tmpl w:val="232B5DE9"/>
    <w:lvl w:ilvl="0" w:tentative="0">
      <w:start w:val="1"/>
      <w:numFmt w:val="decimal"/>
      <w:lvlText w:val="%1)"/>
      <w:lvlJc w:val="left"/>
      <w:pPr>
        <w:ind w:left="1127" w:hanging="420"/>
      </w:pPr>
    </w:lvl>
    <w:lvl w:ilvl="1" w:tentative="0">
      <w:start w:val="1"/>
      <w:numFmt w:val="lowerLetter"/>
      <w:lvlText w:val="%2)"/>
      <w:lvlJc w:val="left"/>
      <w:pPr>
        <w:ind w:left="1547" w:hanging="420"/>
      </w:pPr>
    </w:lvl>
    <w:lvl w:ilvl="2" w:tentative="0">
      <w:start w:val="1"/>
      <w:numFmt w:val="lowerRoman"/>
      <w:lvlText w:val="%3."/>
      <w:lvlJc w:val="right"/>
      <w:pPr>
        <w:ind w:left="1967" w:hanging="420"/>
      </w:pPr>
    </w:lvl>
    <w:lvl w:ilvl="3" w:tentative="0">
      <w:start w:val="1"/>
      <w:numFmt w:val="decimal"/>
      <w:lvlText w:val="%4."/>
      <w:lvlJc w:val="left"/>
      <w:pPr>
        <w:ind w:left="2387" w:hanging="420"/>
      </w:pPr>
    </w:lvl>
    <w:lvl w:ilvl="4" w:tentative="0">
      <w:start w:val="1"/>
      <w:numFmt w:val="lowerLetter"/>
      <w:lvlText w:val="%5)"/>
      <w:lvlJc w:val="left"/>
      <w:pPr>
        <w:ind w:left="2807" w:hanging="420"/>
      </w:pPr>
    </w:lvl>
    <w:lvl w:ilvl="5" w:tentative="0">
      <w:start w:val="1"/>
      <w:numFmt w:val="lowerRoman"/>
      <w:lvlText w:val="%6."/>
      <w:lvlJc w:val="right"/>
      <w:pPr>
        <w:ind w:left="3227" w:hanging="420"/>
      </w:pPr>
    </w:lvl>
    <w:lvl w:ilvl="6" w:tentative="0">
      <w:start w:val="1"/>
      <w:numFmt w:val="decimal"/>
      <w:lvlText w:val="%7."/>
      <w:lvlJc w:val="left"/>
      <w:pPr>
        <w:ind w:left="3647" w:hanging="420"/>
      </w:pPr>
    </w:lvl>
    <w:lvl w:ilvl="7" w:tentative="0">
      <w:start w:val="1"/>
      <w:numFmt w:val="lowerLetter"/>
      <w:lvlText w:val="%8)"/>
      <w:lvlJc w:val="left"/>
      <w:pPr>
        <w:ind w:left="4067" w:hanging="420"/>
      </w:pPr>
    </w:lvl>
    <w:lvl w:ilvl="8" w:tentative="0">
      <w:start w:val="1"/>
      <w:numFmt w:val="lowerRoman"/>
      <w:lvlText w:val="%9."/>
      <w:lvlJc w:val="right"/>
      <w:pPr>
        <w:ind w:left="4487" w:hanging="420"/>
      </w:pPr>
    </w:lvl>
  </w:abstractNum>
  <w:abstractNum w:abstractNumId="8">
    <w:nsid w:val="2A4E31F4"/>
    <w:multiLevelType w:val="multilevel"/>
    <w:tmpl w:val="2A4E31F4"/>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9">
    <w:nsid w:val="3BAF5D42"/>
    <w:multiLevelType w:val="multilevel"/>
    <w:tmpl w:val="3BAF5D4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5D368E9"/>
    <w:multiLevelType w:val="multilevel"/>
    <w:tmpl w:val="45D368E9"/>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1">
    <w:nsid w:val="472C16D6"/>
    <w:multiLevelType w:val="multilevel"/>
    <w:tmpl w:val="472C16D6"/>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2">
    <w:nsid w:val="6213363C"/>
    <w:multiLevelType w:val="multilevel"/>
    <w:tmpl w:val="6213363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3">
    <w:nsid w:val="62D958E9"/>
    <w:multiLevelType w:val="multilevel"/>
    <w:tmpl w:val="62D958E9"/>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4">
    <w:nsid w:val="67AA35C0"/>
    <w:multiLevelType w:val="multilevel"/>
    <w:tmpl w:val="67AA35C0"/>
    <w:lvl w:ilvl="0" w:tentative="0">
      <w:start w:val="1"/>
      <w:numFmt w:val="bullet"/>
      <w:lvlText w:val=""/>
      <w:lvlJc w:val="left"/>
      <w:pPr>
        <w:ind w:left="1127" w:hanging="420"/>
      </w:pPr>
      <w:rPr>
        <w:rFonts w:hint="default" w:ascii="Wingdings" w:hAnsi="Wingdings"/>
      </w:rPr>
    </w:lvl>
    <w:lvl w:ilvl="1" w:tentative="0">
      <w:start w:val="1"/>
      <w:numFmt w:val="bullet"/>
      <w:lvlText w:val=""/>
      <w:lvlJc w:val="left"/>
      <w:pPr>
        <w:ind w:left="1547" w:hanging="420"/>
      </w:pPr>
      <w:rPr>
        <w:rFonts w:hint="default" w:ascii="Wingdings" w:hAnsi="Wingdings"/>
      </w:rPr>
    </w:lvl>
    <w:lvl w:ilvl="2" w:tentative="0">
      <w:start w:val="1"/>
      <w:numFmt w:val="bullet"/>
      <w:lvlText w:val=""/>
      <w:lvlJc w:val="left"/>
      <w:pPr>
        <w:ind w:left="1967" w:hanging="420"/>
      </w:pPr>
      <w:rPr>
        <w:rFonts w:hint="default" w:ascii="Wingdings" w:hAnsi="Wingdings"/>
      </w:rPr>
    </w:lvl>
    <w:lvl w:ilvl="3" w:tentative="0">
      <w:start w:val="1"/>
      <w:numFmt w:val="bullet"/>
      <w:lvlText w:val=""/>
      <w:lvlJc w:val="left"/>
      <w:pPr>
        <w:ind w:left="2387" w:hanging="420"/>
      </w:pPr>
      <w:rPr>
        <w:rFonts w:hint="default" w:ascii="Wingdings" w:hAnsi="Wingdings"/>
      </w:rPr>
    </w:lvl>
    <w:lvl w:ilvl="4" w:tentative="0">
      <w:start w:val="1"/>
      <w:numFmt w:val="bullet"/>
      <w:lvlText w:val=""/>
      <w:lvlJc w:val="left"/>
      <w:pPr>
        <w:ind w:left="2807" w:hanging="420"/>
      </w:pPr>
      <w:rPr>
        <w:rFonts w:hint="default" w:ascii="Wingdings" w:hAnsi="Wingdings"/>
      </w:rPr>
    </w:lvl>
    <w:lvl w:ilvl="5" w:tentative="0">
      <w:start w:val="1"/>
      <w:numFmt w:val="bullet"/>
      <w:lvlText w:val=""/>
      <w:lvlJc w:val="left"/>
      <w:pPr>
        <w:ind w:left="3227" w:hanging="420"/>
      </w:pPr>
      <w:rPr>
        <w:rFonts w:hint="default" w:ascii="Wingdings" w:hAnsi="Wingdings"/>
      </w:rPr>
    </w:lvl>
    <w:lvl w:ilvl="6" w:tentative="0">
      <w:start w:val="1"/>
      <w:numFmt w:val="bullet"/>
      <w:lvlText w:val=""/>
      <w:lvlJc w:val="left"/>
      <w:pPr>
        <w:ind w:left="3647" w:hanging="420"/>
      </w:pPr>
      <w:rPr>
        <w:rFonts w:hint="default" w:ascii="Wingdings" w:hAnsi="Wingdings"/>
      </w:rPr>
    </w:lvl>
    <w:lvl w:ilvl="7" w:tentative="0">
      <w:start w:val="1"/>
      <w:numFmt w:val="bullet"/>
      <w:lvlText w:val=""/>
      <w:lvlJc w:val="left"/>
      <w:pPr>
        <w:ind w:left="4067" w:hanging="420"/>
      </w:pPr>
      <w:rPr>
        <w:rFonts w:hint="default" w:ascii="Wingdings" w:hAnsi="Wingdings"/>
      </w:rPr>
    </w:lvl>
    <w:lvl w:ilvl="8" w:tentative="0">
      <w:start w:val="1"/>
      <w:numFmt w:val="bullet"/>
      <w:lvlText w:val=""/>
      <w:lvlJc w:val="left"/>
      <w:pPr>
        <w:ind w:left="4487" w:hanging="420"/>
      </w:pPr>
      <w:rPr>
        <w:rFonts w:hint="default" w:ascii="Wingdings" w:hAnsi="Wingdings"/>
      </w:rPr>
    </w:lvl>
  </w:abstractNum>
  <w:abstractNum w:abstractNumId="15">
    <w:nsid w:val="70E841BB"/>
    <w:multiLevelType w:val="multilevel"/>
    <w:tmpl w:val="70E841BB"/>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6">
    <w:nsid w:val="70FE0FA7"/>
    <w:multiLevelType w:val="multilevel"/>
    <w:tmpl w:val="70FE0FA7"/>
    <w:lvl w:ilvl="0" w:tentative="0">
      <w:start w:val="1"/>
      <w:numFmt w:val="decimal"/>
      <w:lvlText w:val="%1."/>
      <w:lvlJc w:val="left"/>
      <w:pPr>
        <w:ind w:left="420" w:hanging="420"/>
      </w:pPr>
      <w:rPr>
        <w:rFonts w:hint="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6DC226D"/>
    <w:multiLevelType w:val="multilevel"/>
    <w:tmpl w:val="76DC226D"/>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8">
    <w:nsid w:val="7E2824E7"/>
    <w:multiLevelType w:val="multilevel"/>
    <w:tmpl w:val="7E2824E7"/>
    <w:lvl w:ilvl="0" w:tentative="0">
      <w:start w:val="1"/>
      <w:numFmt w:val="decimal"/>
      <w:lvlText w:val="%1)"/>
      <w:lvlJc w:val="left"/>
      <w:pPr>
        <w:ind w:left="1127" w:hanging="420"/>
      </w:pPr>
    </w:lvl>
    <w:lvl w:ilvl="1" w:tentative="0">
      <w:start w:val="1"/>
      <w:numFmt w:val="lowerLetter"/>
      <w:lvlText w:val="%2)"/>
      <w:lvlJc w:val="left"/>
      <w:pPr>
        <w:ind w:left="1547" w:hanging="420"/>
      </w:pPr>
    </w:lvl>
    <w:lvl w:ilvl="2" w:tentative="0">
      <w:start w:val="1"/>
      <w:numFmt w:val="lowerRoman"/>
      <w:lvlText w:val="%3."/>
      <w:lvlJc w:val="right"/>
      <w:pPr>
        <w:ind w:left="1967" w:hanging="420"/>
      </w:pPr>
    </w:lvl>
    <w:lvl w:ilvl="3" w:tentative="0">
      <w:start w:val="1"/>
      <w:numFmt w:val="decimal"/>
      <w:lvlText w:val="%4."/>
      <w:lvlJc w:val="left"/>
      <w:pPr>
        <w:ind w:left="2387" w:hanging="420"/>
      </w:pPr>
    </w:lvl>
    <w:lvl w:ilvl="4" w:tentative="0">
      <w:start w:val="1"/>
      <w:numFmt w:val="lowerLetter"/>
      <w:lvlText w:val="%5)"/>
      <w:lvlJc w:val="left"/>
      <w:pPr>
        <w:ind w:left="2807" w:hanging="420"/>
      </w:pPr>
    </w:lvl>
    <w:lvl w:ilvl="5" w:tentative="0">
      <w:start w:val="1"/>
      <w:numFmt w:val="lowerRoman"/>
      <w:lvlText w:val="%6."/>
      <w:lvlJc w:val="right"/>
      <w:pPr>
        <w:ind w:left="3227" w:hanging="420"/>
      </w:pPr>
    </w:lvl>
    <w:lvl w:ilvl="6" w:tentative="0">
      <w:start w:val="1"/>
      <w:numFmt w:val="decimal"/>
      <w:lvlText w:val="%7."/>
      <w:lvlJc w:val="left"/>
      <w:pPr>
        <w:ind w:left="3647" w:hanging="420"/>
      </w:pPr>
    </w:lvl>
    <w:lvl w:ilvl="7" w:tentative="0">
      <w:start w:val="1"/>
      <w:numFmt w:val="lowerLetter"/>
      <w:lvlText w:val="%8)"/>
      <w:lvlJc w:val="left"/>
      <w:pPr>
        <w:ind w:left="4067" w:hanging="420"/>
      </w:pPr>
    </w:lvl>
    <w:lvl w:ilvl="8" w:tentative="0">
      <w:start w:val="1"/>
      <w:numFmt w:val="lowerRoman"/>
      <w:lvlText w:val="%9."/>
      <w:lvlJc w:val="right"/>
      <w:pPr>
        <w:ind w:left="4487" w:hanging="420"/>
      </w:pPr>
    </w:lvl>
  </w:abstractNum>
  <w:abstractNum w:abstractNumId="19">
    <w:nsid w:val="7E931031"/>
    <w:multiLevelType w:val="multilevel"/>
    <w:tmpl w:val="7E931031"/>
    <w:lvl w:ilvl="0" w:tentative="0">
      <w:start w:val="1"/>
      <w:numFmt w:val="decimal"/>
      <w:lvlText w:val="%1）"/>
      <w:lvlJc w:val="left"/>
      <w:pPr>
        <w:ind w:left="720" w:hanging="360"/>
      </w:pPr>
      <w:rPr>
        <w:rFonts w:ascii="宋体" w:hAnsi="宋体" w:eastAsiaTheme="minorEastAsia" w:cstheme="minorBidi"/>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2"/>
  </w:num>
  <w:num w:numId="2">
    <w:abstractNumId w:val="1"/>
  </w:num>
  <w:num w:numId="3">
    <w:abstractNumId w:val="9"/>
  </w:num>
  <w:num w:numId="4">
    <w:abstractNumId w:val="4"/>
  </w:num>
  <w:num w:numId="5">
    <w:abstractNumId w:val="19"/>
  </w:num>
  <w:num w:numId="6">
    <w:abstractNumId w:val="17"/>
  </w:num>
  <w:num w:numId="7">
    <w:abstractNumId w:val="5"/>
  </w:num>
  <w:num w:numId="8">
    <w:abstractNumId w:val="8"/>
  </w:num>
  <w:num w:numId="9">
    <w:abstractNumId w:val="11"/>
  </w:num>
  <w:num w:numId="10">
    <w:abstractNumId w:val="15"/>
  </w:num>
  <w:num w:numId="11">
    <w:abstractNumId w:val="13"/>
  </w:num>
  <w:num w:numId="12">
    <w:abstractNumId w:val="10"/>
  </w:num>
  <w:num w:numId="13">
    <w:abstractNumId w:val="3"/>
  </w:num>
  <w:num w:numId="14">
    <w:abstractNumId w:val="16"/>
  </w:num>
  <w:num w:numId="15">
    <w:abstractNumId w:val="7"/>
  </w:num>
  <w:num w:numId="16">
    <w:abstractNumId w:val="6"/>
  </w:num>
  <w:num w:numId="17">
    <w:abstractNumId w:val="18"/>
  </w:num>
  <w:num w:numId="18">
    <w:abstractNumId w:val="14"/>
  </w:num>
  <w:num w:numId="19">
    <w:abstractNumId w:val="1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6CB4"/>
    <w:rsid w:val="0004275F"/>
    <w:rsid w:val="00044689"/>
    <w:rsid w:val="000449D3"/>
    <w:rsid w:val="00045A09"/>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037"/>
    <w:rsid w:val="00091B49"/>
    <w:rsid w:val="000928CD"/>
    <w:rsid w:val="00093E90"/>
    <w:rsid w:val="00094BB5"/>
    <w:rsid w:val="000A257B"/>
    <w:rsid w:val="000A26CA"/>
    <w:rsid w:val="000A2950"/>
    <w:rsid w:val="000A44B1"/>
    <w:rsid w:val="000A520A"/>
    <w:rsid w:val="000A5315"/>
    <w:rsid w:val="000B3B85"/>
    <w:rsid w:val="000B7098"/>
    <w:rsid w:val="000C0E0E"/>
    <w:rsid w:val="000D1060"/>
    <w:rsid w:val="000D13CD"/>
    <w:rsid w:val="000D2FDB"/>
    <w:rsid w:val="000D5EE1"/>
    <w:rsid w:val="000E1C03"/>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5FCA"/>
    <w:rsid w:val="00156E7B"/>
    <w:rsid w:val="00157047"/>
    <w:rsid w:val="00163FD1"/>
    <w:rsid w:val="001670CA"/>
    <w:rsid w:val="00170FFC"/>
    <w:rsid w:val="00172A27"/>
    <w:rsid w:val="001740C8"/>
    <w:rsid w:val="001741A6"/>
    <w:rsid w:val="0017512B"/>
    <w:rsid w:val="0018079E"/>
    <w:rsid w:val="00186974"/>
    <w:rsid w:val="00191897"/>
    <w:rsid w:val="00194767"/>
    <w:rsid w:val="00194853"/>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3A73"/>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6A5"/>
    <w:rsid w:val="003B488B"/>
    <w:rsid w:val="003C0583"/>
    <w:rsid w:val="003C21D6"/>
    <w:rsid w:val="003C2A5C"/>
    <w:rsid w:val="003C33AD"/>
    <w:rsid w:val="003C4372"/>
    <w:rsid w:val="003C5B13"/>
    <w:rsid w:val="003D68C0"/>
    <w:rsid w:val="003D7330"/>
    <w:rsid w:val="003E715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2C85"/>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3BD7"/>
    <w:rsid w:val="005745F5"/>
    <w:rsid w:val="00575B7A"/>
    <w:rsid w:val="00576301"/>
    <w:rsid w:val="005812D3"/>
    <w:rsid w:val="005839B0"/>
    <w:rsid w:val="00586720"/>
    <w:rsid w:val="0058696C"/>
    <w:rsid w:val="005A0AEF"/>
    <w:rsid w:val="005A1487"/>
    <w:rsid w:val="005A5948"/>
    <w:rsid w:val="005A60F7"/>
    <w:rsid w:val="005A6785"/>
    <w:rsid w:val="005A74E0"/>
    <w:rsid w:val="005B0990"/>
    <w:rsid w:val="005B3A63"/>
    <w:rsid w:val="005B7463"/>
    <w:rsid w:val="005B7620"/>
    <w:rsid w:val="005C3659"/>
    <w:rsid w:val="005C4554"/>
    <w:rsid w:val="005C627C"/>
    <w:rsid w:val="005D1CE5"/>
    <w:rsid w:val="005D40FE"/>
    <w:rsid w:val="005D69B1"/>
    <w:rsid w:val="005D6ACD"/>
    <w:rsid w:val="005D71B0"/>
    <w:rsid w:val="005E0004"/>
    <w:rsid w:val="005E260C"/>
    <w:rsid w:val="005E2B47"/>
    <w:rsid w:val="005E43B1"/>
    <w:rsid w:val="005F4D02"/>
    <w:rsid w:val="00601BF7"/>
    <w:rsid w:val="0060524B"/>
    <w:rsid w:val="00607654"/>
    <w:rsid w:val="006113CF"/>
    <w:rsid w:val="006158DC"/>
    <w:rsid w:val="0061645A"/>
    <w:rsid w:val="00620D9E"/>
    <w:rsid w:val="0062126D"/>
    <w:rsid w:val="00621B09"/>
    <w:rsid w:val="006227BE"/>
    <w:rsid w:val="0063018F"/>
    <w:rsid w:val="00632A25"/>
    <w:rsid w:val="006362B0"/>
    <w:rsid w:val="0064217D"/>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4246"/>
    <w:rsid w:val="006B5DA5"/>
    <w:rsid w:val="006B70D2"/>
    <w:rsid w:val="006C1791"/>
    <w:rsid w:val="006C499E"/>
    <w:rsid w:val="006C631F"/>
    <w:rsid w:val="006D09EA"/>
    <w:rsid w:val="006D1BF5"/>
    <w:rsid w:val="006E3FE7"/>
    <w:rsid w:val="006E430F"/>
    <w:rsid w:val="006E6A04"/>
    <w:rsid w:val="006F3DCD"/>
    <w:rsid w:val="006F68AD"/>
    <w:rsid w:val="00702C0E"/>
    <w:rsid w:val="00706198"/>
    <w:rsid w:val="00714C4C"/>
    <w:rsid w:val="00715BAF"/>
    <w:rsid w:val="00726195"/>
    <w:rsid w:val="007268FD"/>
    <w:rsid w:val="00731000"/>
    <w:rsid w:val="00732671"/>
    <w:rsid w:val="00734CE6"/>
    <w:rsid w:val="007353E7"/>
    <w:rsid w:val="00741235"/>
    <w:rsid w:val="00763469"/>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4618"/>
    <w:rsid w:val="008C6860"/>
    <w:rsid w:val="008D14C4"/>
    <w:rsid w:val="008D2636"/>
    <w:rsid w:val="008D4262"/>
    <w:rsid w:val="008D565A"/>
    <w:rsid w:val="008D666A"/>
    <w:rsid w:val="008E0610"/>
    <w:rsid w:val="008E4432"/>
    <w:rsid w:val="008F025C"/>
    <w:rsid w:val="008F0C14"/>
    <w:rsid w:val="008F3065"/>
    <w:rsid w:val="008F3DC2"/>
    <w:rsid w:val="009002BC"/>
    <w:rsid w:val="00903BC1"/>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066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07B28"/>
    <w:rsid w:val="00A11EE6"/>
    <w:rsid w:val="00A21FFC"/>
    <w:rsid w:val="00A248DE"/>
    <w:rsid w:val="00A2758F"/>
    <w:rsid w:val="00A325C7"/>
    <w:rsid w:val="00A37EC9"/>
    <w:rsid w:val="00A37FA9"/>
    <w:rsid w:val="00A51635"/>
    <w:rsid w:val="00A52293"/>
    <w:rsid w:val="00A54E30"/>
    <w:rsid w:val="00A63AD2"/>
    <w:rsid w:val="00A71698"/>
    <w:rsid w:val="00A720FE"/>
    <w:rsid w:val="00A74266"/>
    <w:rsid w:val="00A82462"/>
    <w:rsid w:val="00A86E65"/>
    <w:rsid w:val="00A904CC"/>
    <w:rsid w:val="00A9111B"/>
    <w:rsid w:val="00A96B4F"/>
    <w:rsid w:val="00AA4A5E"/>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92D"/>
    <w:rsid w:val="00B46D0E"/>
    <w:rsid w:val="00B4700B"/>
    <w:rsid w:val="00B50E69"/>
    <w:rsid w:val="00B51ABA"/>
    <w:rsid w:val="00B61578"/>
    <w:rsid w:val="00B61F6A"/>
    <w:rsid w:val="00B63E2D"/>
    <w:rsid w:val="00B63E3B"/>
    <w:rsid w:val="00B65B2B"/>
    <w:rsid w:val="00B74DF6"/>
    <w:rsid w:val="00B75749"/>
    <w:rsid w:val="00B75770"/>
    <w:rsid w:val="00B80066"/>
    <w:rsid w:val="00B810FF"/>
    <w:rsid w:val="00B813C9"/>
    <w:rsid w:val="00B819C0"/>
    <w:rsid w:val="00B832B4"/>
    <w:rsid w:val="00B86C5E"/>
    <w:rsid w:val="00B91785"/>
    <w:rsid w:val="00B957D2"/>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1050"/>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5E67"/>
    <w:rsid w:val="00CD76A3"/>
    <w:rsid w:val="00CE70B2"/>
    <w:rsid w:val="00CF09ED"/>
    <w:rsid w:val="00CF133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36266"/>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879DB"/>
    <w:rsid w:val="00E90570"/>
    <w:rsid w:val="00E91F2D"/>
    <w:rsid w:val="00E94E14"/>
    <w:rsid w:val="00EA3ACE"/>
    <w:rsid w:val="00EB0ADA"/>
    <w:rsid w:val="00EB48A6"/>
    <w:rsid w:val="00EB660A"/>
    <w:rsid w:val="00EB7E8A"/>
    <w:rsid w:val="00EC1F8A"/>
    <w:rsid w:val="00EC5DB1"/>
    <w:rsid w:val="00ED32AA"/>
    <w:rsid w:val="00ED5B5B"/>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597F"/>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0C24"/>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AF32F2D"/>
    <w:rsid w:val="0BEB3B44"/>
    <w:rsid w:val="0C0644C0"/>
    <w:rsid w:val="10D62AA4"/>
    <w:rsid w:val="13552B79"/>
    <w:rsid w:val="13793DF7"/>
    <w:rsid w:val="141C4A83"/>
    <w:rsid w:val="14354A58"/>
    <w:rsid w:val="14677422"/>
    <w:rsid w:val="152E6B10"/>
    <w:rsid w:val="15BF1042"/>
    <w:rsid w:val="1656732A"/>
    <w:rsid w:val="181939B9"/>
    <w:rsid w:val="18D74DC1"/>
    <w:rsid w:val="190001FD"/>
    <w:rsid w:val="1AED58EF"/>
    <w:rsid w:val="1AF9023A"/>
    <w:rsid w:val="1BE166AF"/>
    <w:rsid w:val="1F397F3B"/>
    <w:rsid w:val="1F3A0BB5"/>
    <w:rsid w:val="1FA92FCB"/>
    <w:rsid w:val="20193BC8"/>
    <w:rsid w:val="220D398C"/>
    <w:rsid w:val="221D1FE5"/>
    <w:rsid w:val="2301566F"/>
    <w:rsid w:val="23CD38C9"/>
    <w:rsid w:val="24165293"/>
    <w:rsid w:val="2482721D"/>
    <w:rsid w:val="24A10BF5"/>
    <w:rsid w:val="24D70B68"/>
    <w:rsid w:val="25CC199E"/>
    <w:rsid w:val="26617F8D"/>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6ED4ED1"/>
    <w:rsid w:val="376940D0"/>
    <w:rsid w:val="38204506"/>
    <w:rsid w:val="383E64EC"/>
    <w:rsid w:val="39321D68"/>
    <w:rsid w:val="3BAE6CD9"/>
    <w:rsid w:val="3C3000ED"/>
    <w:rsid w:val="3D232399"/>
    <w:rsid w:val="3D2E2D19"/>
    <w:rsid w:val="3D31181A"/>
    <w:rsid w:val="3DC87CB2"/>
    <w:rsid w:val="3F1749BD"/>
    <w:rsid w:val="3F4F365B"/>
    <w:rsid w:val="3F9A5B70"/>
    <w:rsid w:val="41093759"/>
    <w:rsid w:val="41380196"/>
    <w:rsid w:val="41415EFF"/>
    <w:rsid w:val="41A419AA"/>
    <w:rsid w:val="41D026B4"/>
    <w:rsid w:val="452567EA"/>
    <w:rsid w:val="46886BA6"/>
    <w:rsid w:val="468E6891"/>
    <w:rsid w:val="48462F80"/>
    <w:rsid w:val="48524AAD"/>
    <w:rsid w:val="490552AA"/>
    <w:rsid w:val="4B7A4CDC"/>
    <w:rsid w:val="4E1872F2"/>
    <w:rsid w:val="4F133536"/>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0B538CD"/>
    <w:rsid w:val="622F04A1"/>
    <w:rsid w:val="62707B3A"/>
    <w:rsid w:val="62894684"/>
    <w:rsid w:val="645C0879"/>
    <w:rsid w:val="64741C1C"/>
    <w:rsid w:val="648C064A"/>
    <w:rsid w:val="651024F9"/>
    <w:rsid w:val="656B3097"/>
    <w:rsid w:val="66AB4942"/>
    <w:rsid w:val="687951D6"/>
    <w:rsid w:val="68AB69AF"/>
    <w:rsid w:val="68D653C8"/>
    <w:rsid w:val="68D85250"/>
    <w:rsid w:val="698D4180"/>
    <w:rsid w:val="6D1F0B58"/>
    <w:rsid w:val="6D3654A5"/>
    <w:rsid w:val="6EB24C26"/>
    <w:rsid w:val="72C9147E"/>
    <w:rsid w:val="74170E85"/>
    <w:rsid w:val="75DC35E9"/>
    <w:rsid w:val="77FA11D3"/>
    <w:rsid w:val="7842353E"/>
    <w:rsid w:val="789E6834"/>
    <w:rsid w:val="79DD67E6"/>
    <w:rsid w:val="7BCF79D9"/>
    <w:rsid w:val="7C1A4C7A"/>
    <w:rsid w:val="7C444892"/>
    <w:rsid w:val="7C8557E3"/>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4"/>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2"/>
    <w:qFormat/>
    <w:uiPriority w:val="99"/>
    <w:rPr>
      <w:rFonts w:ascii="宋体" w:hAnsi="Courier New"/>
      <w:szCs w:val="20"/>
    </w:rPr>
  </w:style>
  <w:style w:type="paragraph" w:styleId="17">
    <w:name w:val="Date"/>
    <w:basedOn w:val="1"/>
    <w:next w:val="1"/>
    <w:link w:val="48"/>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9"/>
    <w:qFormat/>
    <w:uiPriority w:val="0"/>
    <w:pPr>
      <w:tabs>
        <w:tab w:val="center" w:pos="4153"/>
        <w:tab w:val="right" w:pos="8306"/>
      </w:tabs>
      <w:snapToGrid w:val="0"/>
      <w:jc w:val="left"/>
    </w:pPr>
    <w:rPr>
      <w:sz w:val="18"/>
      <w:szCs w:val="18"/>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annotation subject"/>
    <w:basedOn w:val="9"/>
    <w:next w:val="9"/>
    <w:link w:val="81"/>
    <w:qFormat/>
    <w:uiPriority w:val="0"/>
    <w:rPr>
      <w:b/>
      <w:bCs/>
    </w:rPr>
  </w:style>
  <w:style w:type="paragraph" w:styleId="28">
    <w:name w:val="Body Text First Indent"/>
    <w:basedOn w:val="11"/>
    <w:link w:val="43"/>
    <w:qFormat/>
    <w:uiPriority w:val="0"/>
    <w:pPr>
      <w:ind w:firstLine="420" w:firstLineChars="100"/>
    </w:pPr>
  </w:style>
  <w:style w:type="paragraph" w:styleId="29">
    <w:name w:val="Body Text First Indent 2"/>
    <w:basedOn w:val="13"/>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8"/>
    <w:qFormat/>
    <w:uiPriority w:val="0"/>
    <w:rPr>
      <w:kern w:val="2"/>
      <w:sz w:val="21"/>
      <w:szCs w:val="24"/>
    </w:rPr>
  </w:style>
  <w:style w:type="character" w:customStyle="1" w:styleId="44">
    <w:name w:val="正文文本 字符"/>
    <w:link w:val="11"/>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9"/>
    <w:qFormat/>
    <w:uiPriority w:val="0"/>
    <w:rPr>
      <w:kern w:val="2"/>
      <w:sz w:val="21"/>
      <w:szCs w:val="24"/>
    </w:rPr>
  </w:style>
  <w:style w:type="character" w:customStyle="1" w:styleId="47">
    <w:name w:val="文档结构图 字符"/>
    <w:link w:val="8"/>
    <w:qFormat/>
    <w:uiPriority w:val="0"/>
    <w:rPr>
      <w:rFonts w:ascii="宋体"/>
      <w:kern w:val="2"/>
      <w:sz w:val="18"/>
      <w:szCs w:val="18"/>
    </w:rPr>
  </w:style>
  <w:style w:type="character" w:customStyle="1" w:styleId="48">
    <w:name w:val="日期 字符"/>
    <w:link w:val="17"/>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6"/>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20"/>
    <w:qFormat/>
    <w:uiPriority w:val="0"/>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2"/>
    <w:qFormat/>
    <w:uiPriority w:val="0"/>
    <w:rPr>
      <w:sz w:val="21"/>
      <w:szCs w:val="21"/>
    </w:rPr>
  </w:style>
  <w:style w:type="character" w:customStyle="1" w:styleId="75">
    <w:name w:val="first-child"/>
    <w:basedOn w:val="32"/>
    <w:qFormat/>
    <w:uiPriority w:val="0"/>
    <w:rPr>
      <w:color w:val="1F3149"/>
      <w:sz w:val="24"/>
      <w:szCs w:val="24"/>
    </w:rPr>
  </w:style>
  <w:style w:type="character" w:customStyle="1" w:styleId="76">
    <w:name w:val="first-child1"/>
    <w:basedOn w:val="32"/>
    <w:qFormat/>
    <w:uiPriority w:val="0"/>
    <w:rPr>
      <w:color w:val="1F3149"/>
      <w:sz w:val="24"/>
      <w:szCs w:val="24"/>
    </w:rPr>
  </w:style>
  <w:style w:type="character" w:customStyle="1" w:styleId="77">
    <w:name w:val="xiadan"/>
    <w:basedOn w:val="32"/>
    <w:qFormat/>
    <w:uiPriority w:val="0"/>
    <w:rPr>
      <w:shd w:val="clear" w:color="auto" w:fill="E4393C"/>
    </w:rPr>
  </w:style>
  <w:style w:type="character" w:customStyle="1" w:styleId="78">
    <w:name w:val="fr"/>
    <w:basedOn w:val="32"/>
    <w:qFormat/>
    <w:uiPriority w:val="0"/>
  </w:style>
  <w:style w:type="character" w:customStyle="1" w:styleId="79">
    <w:name w:val="icon_ds"/>
    <w:basedOn w:val="32"/>
    <w:qFormat/>
    <w:uiPriority w:val="0"/>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批注主题 字符"/>
    <w:basedOn w:val="46"/>
    <w:link w:val="27"/>
    <w:qFormat/>
    <w:uiPriority w:val="0"/>
    <w:rPr>
      <w:b/>
      <w:bCs/>
      <w:kern w:val="2"/>
      <w:sz w:val="21"/>
      <w:szCs w:val="24"/>
    </w:rPr>
  </w:style>
  <w:style w:type="character" w:customStyle="1" w:styleId="82">
    <w:name w:val="样式 金保文档标准正文 Char + 宋体1 Char"/>
    <w:link w:val="83"/>
    <w:qFormat/>
    <w:uiPriority w:val="0"/>
    <w:rPr>
      <w:rFonts w:ascii="宋体" w:hAnsi="宋体"/>
      <w:sz w:val="24"/>
      <w:szCs w:val="24"/>
    </w:rPr>
  </w:style>
  <w:style w:type="paragraph" w:customStyle="1" w:styleId="83">
    <w:name w:val="样式 金保文档标准正文 Char + 宋体1"/>
    <w:basedOn w:val="1"/>
    <w:link w:val="82"/>
    <w:qFormat/>
    <w:uiPriority w:val="0"/>
    <w:pPr>
      <w:spacing w:line="360" w:lineRule="auto"/>
      <w:ind w:firstLine="480" w:firstLineChars="200"/>
      <w:jc w:val="left"/>
    </w:pPr>
    <w:rPr>
      <w:rFonts w:ascii="宋体" w:hAnsi="宋体"/>
      <w:kern w:val="0"/>
      <w:sz w:val="24"/>
    </w:rPr>
  </w:style>
  <w:style w:type="table" w:customStyle="1" w:styleId="84">
    <w:name w:val="Table Normal"/>
    <w:semiHidden/>
    <w:unhideWhenUsed/>
    <w:qFormat/>
    <w:uiPriority w:val="0"/>
    <w:tblPr>
      <w:tblCellMar>
        <w:top w:w="0" w:type="dxa"/>
        <w:left w:w="0" w:type="dxa"/>
        <w:bottom w:w="0" w:type="dxa"/>
        <w:right w:w="0" w:type="dxa"/>
      </w:tblCellMar>
    </w:tblPr>
  </w:style>
  <w:style w:type="paragraph" w:customStyle="1" w:styleId="85">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21852</Words>
  <Characters>22897</Characters>
  <Lines>176</Lines>
  <Paragraphs>49</Paragraphs>
  <TotalTime>2</TotalTime>
  <ScaleCrop>false</ScaleCrop>
  <LinksUpToDate>false</LinksUpToDate>
  <CharactersWithSpaces>23720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2025-12-10T03:25:04Z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F282C4A3E24243ABA52DD0544F5F8ABE_13</vt:lpwstr>
  </property>
  <property fmtid="{D5CDD505-2E9C-101B-9397-08002B2CF9AE}" pid="4" name="KSOTemplateDocerSaveRecord">
    <vt:lpwstr>eyJoZGlkIjoiODU3MGE5NTlkMzc2MzljOWNjY2VmYjRkYjIwYjNiYmUiLCJ1c2VySWQiOiIxMDcyNTQ4NzE4In0=</vt:lpwstr>
  </property>
</Properties>
</file>