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720" w:lineRule="auto"/>
        <w:jc w:val="center"/>
        <w:rPr>
          <w:rFonts w:ascii="宋体" w:hAnsi="宋体"/>
          <w:b/>
          <w:bCs/>
          <w:color w:val="000000" w:themeColor="text1"/>
          <w:sz w:val="36"/>
          <w:szCs w:val="36"/>
          <w:highlight w:val="none"/>
          <w14:textFill>
            <w14:solidFill>
              <w14:schemeClr w14:val="tx1"/>
            </w14:solidFill>
          </w14:textFill>
        </w:rPr>
      </w:pPr>
      <w:r>
        <w:drawing>
          <wp:inline distT="0" distB="0" distL="114300" distR="114300">
            <wp:extent cx="5553075" cy="78867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553075" cy="7886700"/>
                    </a:xfrm>
                    <a:prstGeom prst="rect">
                      <a:avLst/>
                    </a:prstGeom>
                    <a:noFill/>
                    <a:ln>
                      <a:noFill/>
                    </a:ln>
                  </pic:spPr>
                </pic:pic>
              </a:graphicData>
            </a:graphic>
          </wp:inline>
        </w:drawing>
      </w:r>
      <w:r>
        <w:rPr>
          <w:rFonts w:hint="eastAsia" w:ascii="宋体" w:hAnsi="宋体"/>
          <w:b/>
          <w:bCs/>
          <w:color w:val="000000" w:themeColor="text1"/>
          <w:sz w:val="36"/>
          <w:szCs w:val="36"/>
          <w:highlight w:val="none"/>
          <w14:textFill>
            <w14:solidFill>
              <w14:schemeClr w14:val="tx1"/>
            </w14:solidFill>
          </w14:textFill>
        </w:rPr>
        <w:t xml:space="preserve"> </w:t>
      </w:r>
    </w:p>
    <w:sdt>
      <w:sdtPr>
        <w:rPr>
          <w:rFonts w:ascii="Times New Roman" w:hAnsi="Times New Roman" w:eastAsia="宋体" w:cs="Times New Roman"/>
          <w:b w:val="0"/>
          <w:bCs w:val="0"/>
          <w:color w:val="000000" w:themeColor="text1"/>
          <w:kern w:val="2"/>
          <w:sz w:val="21"/>
          <w:szCs w:val="24"/>
          <w:lang w:val="zh-CN"/>
          <w14:textFill>
            <w14:solidFill>
              <w14:schemeClr w14:val="tx1"/>
            </w14:solidFill>
          </w14:textFill>
        </w:rPr>
        <w:id w:val="1894857289"/>
        <w:docPartObj>
          <w:docPartGallery w:val="Table of Contents"/>
          <w:docPartUnique/>
        </w:docPartObj>
      </w:sdtPr>
      <w:sdtEndPr>
        <w:rPr>
          <w:rFonts w:ascii="Times New Roman" w:hAnsi="Times New Roman" w:eastAsia="宋体" w:cs="Times New Roman"/>
          <w:b w:val="0"/>
          <w:bCs w:val="0"/>
          <w:color w:val="000000" w:themeColor="text1"/>
          <w:kern w:val="2"/>
          <w:sz w:val="21"/>
          <w:szCs w:val="24"/>
          <w:lang w:val="zh-CN"/>
          <w14:textFill>
            <w14:solidFill>
              <w14:schemeClr w14:val="tx1"/>
            </w14:solidFill>
          </w14:textFill>
        </w:rPr>
      </w:sdtEndPr>
      <w:sdtContent>
        <w:p>
          <w:pPr>
            <w:pStyle w:val="55"/>
            <w:jc w:val="center"/>
            <w:rPr>
              <w:color w:val="000000" w:themeColor="text1"/>
              <w:sz w:val="44"/>
              <w:szCs w:val="44"/>
              <w14:textFill>
                <w14:solidFill>
                  <w14:schemeClr w14:val="tx1"/>
                </w14:solidFill>
              </w14:textFill>
            </w:rPr>
          </w:pPr>
          <w:r>
            <w:rPr>
              <w:color w:val="000000" w:themeColor="text1"/>
              <w:sz w:val="44"/>
              <w:szCs w:val="44"/>
              <w:lang w:val="zh-CN"/>
              <w14:textFill>
                <w14:solidFill>
                  <w14:schemeClr w14:val="tx1"/>
                </w14:solidFill>
              </w14:textFill>
            </w:rPr>
            <w:t>目</w:t>
          </w:r>
          <w:r>
            <w:rPr>
              <w:rFonts w:hint="eastAsia"/>
              <w:color w:val="000000" w:themeColor="text1"/>
              <w:sz w:val="44"/>
              <w:szCs w:val="44"/>
              <w:lang w:val="zh-CN"/>
              <w14:textFill>
                <w14:solidFill>
                  <w14:schemeClr w14:val="tx1"/>
                </w14:solidFill>
              </w14:textFill>
            </w:rPr>
            <w:t xml:space="preserve">  </w:t>
          </w:r>
          <w:r>
            <w:rPr>
              <w:color w:val="000000" w:themeColor="text1"/>
              <w:sz w:val="44"/>
              <w:szCs w:val="44"/>
              <w:lang w:val="zh-CN"/>
              <w14:textFill>
                <w14:solidFill>
                  <w14:schemeClr w14:val="tx1"/>
                </w14:solidFill>
              </w14:textFill>
            </w:rPr>
            <w:t>录</w:t>
          </w:r>
        </w:p>
        <w:p>
          <w:pPr>
            <w:pStyle w:val="17"/>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"_Toc195875463" </w:instrText>
          </w:r>
          <w:r>
            <w:fldChar w:fldCharType="separate"/>
          </w:r>
          <w:r>
            <w:rPr>
              <w:rStyle w:val="28"/>
              <w:rFonts w:hint="eastAsia" w:ascii="宋体" w:hAnsi="宋体"/>
              <w:color w:val="000000" w:themeColor="text1"/>
              <w:sz w:val="28"/>
              <w:szCs w:val="28"/>
              <w14:textFill>
                <w14:solidFill>
                  <w14:schemeClr w14:val="tx1"/>
                </w14:solidFill>
              </w14:textFill>
            </w:rPr>
            <w:t>第一章</w:t>
          </w:r>
          <w:r>
            <w:rPr>
              <w:rStyle w:val="28"/>
              <w:rFonts w:ascii="宋体" w:hAnsi="宋体"/>
              <w:color w:val="000000" w:themeColor="text1"/>
              <w:sz w:val="28"/>
              <w:szCs w:val="28"/>
              <w14:textFill>
                <w14:solidFill>
                  <w14:schemeClr w14:val="tx1"/>
                </w14:solidFill>
              </w14:textFill>
            </w:rPr>
            <w:t xml:space="preserve">    </w:t>
          </w:r>
          <w:r>
            <w:rPr>
              <w:rStyle w:val="28"/>
              <w:rFonts w:hint="eastAsia" w:ascii="宋体" w:hAnsi="宋体"/>
              <w:color w:val="000000" w:themeColor="text1"/>
              <w:sz w:val="28"/>
              <w:szCs w:val="28"/>
              <w14:textFill>
                <w14:solidFill>
                  <w14:schemeClr w14:val="tx1"/>
                </w14:solidFill>
              </w14:textFill>
            </w:rPr>
            <w:t>竞争性磋商邀请函</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7"/>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"_Toc195875464" </w:instrText>
          </w:r>
          <w:r>
            <w:fldChar w:fldCharType="separate"/>
          </w:r>
          <w:r>
            <w:rPr>
              <w:rStyle w:val="28"/>
              <w:rFonts w:hint="eastAsia"/>
              <w:color w:val="000000" w:themeColor="text1"/>
              <w:sz w:val="28"/>
              <w:szCs w:val="28"/>
              <w14:textFill>
                <w14:solidFill>
                  <w14:schemeClr w14:val="tx1"/>
                </w14:solidFill>
              </w14:textFill>
            </w:rPr>
            <w:t>第二章</w:t>
          </w:r>
          <w:r>
            <w:rPr>
              <w:rStyle w:val="28"/>
              <w:color w:val="000000" w:themeColor="text1"/>
              <w:sz w:val="28"/>
              <w:szCs w:val="28"/>
              <w14:textFill>
                <w14:solidFill>
                  <w14:schemeClr w14:val="tx1"/>
                </w14:solidFill>
              </w14:textFill>
            </w:rPr>
            <w:t xml:space="preserve">    </w:t>
          </w:r>
          <w:r>
            <w:rPr>
              <w:rStyle w:val="28"/>
              <w:rFonts w:hint="eastAsia"/>
              <w:color w:val="000000" w:themeColor="text1"/>
              <w:sz w:val="28"/>
              <w:szCs w:val="28"/>
              <w14:textFill>
                <w14:solidFill>
                  <w14:schemeClr w14:val="tx1"/>
                </w14:solidFill>
              </w14:textFill>
            </w:rPr>
            <w:t>供应商须知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"_Toc195875465" </w:instrText>
          </w:r>
          <w:r>
            <w:fldChar w:fldCharType="separate"/>
          </w:r>
          <w:r>
            <w:rPr>
              <w:rStyle w:val="28"/>
              <w:rFonts w:hint="eastAsia"/>
              <w:color w:val="000000" w:themeColor="text1"/>
              <w:sz w:val="28"/>
              <w:szCs w:val="28"/>
              <w14:textFill>
                <w14:solidFill>
                  <w14:schemeClr w14:val="tx1"/>
                </w14:solidFill>
              </w14:textFill>
            </w:rPr>
            <w:t>一、总则</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8</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"_Toc195875466" </w:instrText>
          </w:r>
          <w:r>
            <w:fldChar w:fldCharType="separate"/>
          </w:r>
          <w:r>
            <w:rPr>
              <w:rStyle w:val="28"/>
              <w:rFonts w:hint="eastAsia"/>
              <w:color w:val="000000" w:themeColor="text1"/>
              <w:sz w:val="28"/>
              <w:szCs w:val="28"/>
              <w14:textFill>
                <w14:solidFill>
                  <w14:schemeClr w14:val="tx1"/>
                </w14:solidFill>
              </w14:textFill>
            </w:rPr>
            <w:t>二、竞争性磋商文件</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_Toc195875466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"_Toc195875467" </w:instrText>
          </w:r>
          <w:r>
            <w:fldChar w:fldCharType="separate"/>
          </w:r>
          <w:r>
            <w:rPr>
              <w:rStyle w:val="28"/>
              <w:rFonts w:hint="eastAsia"/>
              <w:color w:val="000000" w:themeColor="text1"/>
              <w:sz w:val="28"/>
              <w:szCs w:val="28"/>
              <w14:textFill>
                <w14:solidFill>
                  <w14:schemeClr w14:val="tx1"/>
                </w14:solidFill>
              </w14:textFill>
            </w:rPr>
            <w:t>三、响应性文件的编制</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"_Toc195875468" </w:instrText>
          </w:r>
          <w:r>
            <w:fldChar w:fldCharType="separate"/>
          </w:r>
          <w:r>
            <w:rPr>
              <w:rStyle w:val="28"/>
              <w:rFonts w:hint="eastAsia"/>
              <w:color w:val="000000" w:themeColor="text1"/>
              <w:sz w:val="28"/>
              <w:szCs w:val="28"/>
              <w14:textFill>
                <w14:solidFill>
                  <w14:schemeClr w14:val="tx1"/>
                </w14:solidFill>
              </w14:textFill>
            </w:rPr>
            <w:t>四、响应性文件的递交</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"_Toc195875469" </w:instrText>
          </w:r>
          <w:r>
            <w:fldChar w:fldCharType="separate"/>
          </w:r>
          <w:r>
            <w:rPr>
              <w:rStyle w:val="28"/>
              <w:rFonts w:hint="eastAsia"/>
              <w:color w:val="000000" w:themeColor="text1"/>
              <w:sz w:val="28"/>
              <w:szCs w:val="28"/>
              <w14:textFill>
                <w14:solidFill>
                  <w14:schemeClr w14:val="tx1"/>
                </w14:solidFill>
              </w14:textFill>
            </w:rPr>
            <w:t>五、竞争性磋商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"_Toc195875470" </w:instrText>
          </w:r>
          <w:r>
            <w:fldChar w:fldCharType="separate"/>
          </w:r>
          <w:r>
            <w:rPr>
              <w:rStyle w:val="28"/>
              <w:rFonts w:hint="eastAsia"/>
              <w:color w:val="000000" w:themeColor="text1"/>
              <w:sz w:val="28"/>
              <w:szCs w:val="28"/>
              <w14:textFill>
                <w14:solidFill>
                  <w14:schemeClr w14:val="tx1"/>
                </w14:solidFill>
              </w14:textFill>
            </w:rPr>
            <w:t>六、评定标准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_Toc195875470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18</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"_Toc195875471" </w:instrText>
          </w:r>
          <w:r>
            <w:fldChar w:fldCharType="separate"/>
          </w:r>
          <w:r>
            <w:rPr>
              <w:rStyle w:val="28"/>
              <w:rFonts w:hint="eastAsia"/>
              <w:color w:val="000000" w:themeColor="text1"/>
              <w:sz w:val="28"/>
              <w:szCs w:val="28"/>
              <w14:textFill>
                <w14:solidFill>
                  <w14:schemeClr w14:val="tx1"/>
                </w14:solidFill>
              </w14:textFill>
            </w:rPr>
            <w:t>七、成交通知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"_Toc195875472" </w:instrText>
          </w:r>
          <w:r>
            <w:fldChar w:fldCharType="separate"/>
          </w:r>
          <w:r>
            <w:rPr>
              <w:rStyle w:val="28"/>
              <w:rFonts w:hint="eastAsia"/>
              <w:color w:val="000000" w:themeColor="text1"/>
              <w:sz w:val="28"/>
              <w:szCs w:val="28"/>
              <w14:textFill>
                <w14:solidFill>
                  <w14:schemeClr w14:val="tx1"/>
                </w14:solidFill>
              </w14:textFill>
            </w:rPr>
            <w:t>八、合同授予</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_Toc195875472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"_Toc195875473" </w:instrText>
          </w:r>
          <w:r>
            <w:fldChar w:fldCharType="separate"/>
          </w:r>
          <w:r>
            <w:rPr>
              <w:rStyle w:val="28"/>
              <w:rFonts w:hint="eastAsia"/>
              <w:color w:val="000000" w:themeColor="text1"/>
              <w:sz w:val="28"/>
              <w:szCs w:val="28"/>
              <w14:textFill>
                <w14:solidFill>
                  <w14:schemeClr w14:val="tx1"/>
                </w14:solidFill>
              </w14:textFill>
            </w:rPr>
            <w:t>九、质疑处理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7"/>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"_Toc195875474" </w:instrText>
          </w:r>
          <w:r>
            <w:fldChar w:fldCharType="separate"/>
          </w:r>
          <w:r>
            <w:rPr>
              <w:rStyle w:val="28"/>
              <w:rFonts w:hint="eastAsia"/>
              <w:color w:val="000000" w:themeColor="text1"/>
              <w:sz w:val="28"/>
              <w:szCs w:val="28"/>
              <w14:textFill>
                <w14:solidFill>
                  <w14:schemeClr w14:val="tx1"/>
                </w14:solidFill>
              </w14:textFill>
            </w:rPr>
            <w:t>第三章</w:t>
          </w:r>
          <w:r>
            <w:rPr>
              <w:rStyle w:val="28"/>
              <w:color w:val="000000" w:themeColor="text1"/>
              <w:sz w:val="28"/>
              <w:szCs w:val="28"/>
              <w14:textFill>
                <w14:solidFill>
                  <w14:schemeClr w14:val="tx1"/>
                </w14:solidFill>
              </w14:textFill>
            </w:rPr>
            <w:t xml:space="preserve"> </w:t>
          </w:r>
          <w:r>
            <w:rPr>
              <w:rStyle w:val="28"/>
              <w:rFonts w:hint="eastAsia"/>
              <w:color w:val="000000" w:themeColor="text1"/>
              <w:sz w:val="28"/>
              <w:szCs w:val="28"/>
              <w14:textFill>
                <w14:solidFill>
                  <w14:schemeClr w14:val="tx1"/>
                </w14:solidFill>
              </w14:textFill>
            </w:rPr>
            <w:t>采购项目内容及要求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7"/>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"_Toc195875475" </w:instrText>
          </w:r>
          <w:r>
            <w:fldChar w:fldCharType="separate"/>
          </w:r>
          <w:r>
            <w:rPr>
              <w:rStyle w:val="28"/>
              <w:rFonts w:hint="eastAsia"/>
              <w:color w:val="000000" w:themeColor="text1"/>
              <w:sz w:val="28"/>
              <w:szCs w:val="28"/>
              <w14:textFill>
                <w14:solidFill>
                  <w14:schemeClr w14:val="tx1"/>
                </w14:solidFill>
              </w14:textFill>
            </w:rPr>
            <w:t>第四章</w:t>
          </w:r>
          <w:r>
            <w:rPr>
              <w:rStyle w:val="28"/>
              <w:color w:val="000000" w:themeColor="text1"/>
              <w:sz w:val="28"/>
              <w:szCs w:val="28"/>
              <w14:textFill>
                <w14:solidFill>
                  <w14:schemeClr w14:val="tx1"/>
                </w14:solidFill>
              </w14:textFill>
            </w:rPr>
            <w:t xml:space="preserve">  </w:t>
          </w:r>
          <w:r>
            <w:rPr>
              <w:rStyle w:val="28"/>
              <w:rFonts w:hint="eastAsia"/>
              <w:color w:val="000000" w:themeColor="text1"/>
              <w:sz w:val="28"/>
              <w:szCs w:val="28"/>
              <w14:textFill>
                <w14:solidFill>
                  <w14:schemeClr w14:val="tx1"/>
                </w14:solidFill>
              </w14:textFill>
            </w:rPr>
            <w:t>响应性文件内容及格式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7"/>
            <w:tabs>
              <w:tab w:val="right" w:leader="dot" w:pos="9737"/>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"_Toc195875489" </w:instrText>
          </w:r>
          <w:r>
            <w:fldChar w:fldCharType="separate"/>
          </w:r>
          <w:r>
            <w:rPr>
              <w:rStyle w:val="28"/>
              <w:rFonts w:hint="eastAsia"/>
              <w:color w:val="000000" w:themeColor="text1"/>
              <w:sz w:val="28"/>
              <w:szCs w:val="28"/>
              <w14:textFill>
                <w14:solidFill>
                  <w14:schemeClr w14:val="tx1"/>
                </w14:solidFill>
              </w14:textFill>
            </w:rPr>
            <w:t>第五章</w:t>
          </w:r>
          <w:r>
            <w:rPr>
              <w:rStyle w:val="28"/>
              <w:color w:val="000000" w:themeColor="text1"/>
              <w:sz w:val="28"/>
              <w:szCs w:val="28"/>
              <w14:textFill>
                <w14:solidFill>
                  <w14:schemeClr w14:val="tx1"/>
                </w14:solidFill>
              </w14:textFill>
            </w:rPr>
            <w:t xml:space="preserve">  </w:t>
          </w:r>
          <w:r>
            <w:rPr>
              <w:rStyle w:val="28"/>
              <w:rFonts w:hint="eastAsia"/>
              <w:color w:val="000000" w:themeColor="text1"/>
              <w:w w:val="92"/>
              <w:sz w:val="28"/>
              <w:szCs w:val="28"/>
              <w14:textFill>
                <w14:solidFill>
                  <w14:schemeClr w14:val="tx1"/>
                </w14:solidFill>
              </w14:textFill>
            </w:rPr>
            <w:t>周口市</w:t>
          </w:r>
          <w:r>
            <w:rPr>
              <w:rStyle w:val="28"/>
              <w:rFonts w:hint="eastAsia"/>
              <w:color w:val="000000" w:themeColor="text1"/>
              <w:sz w:val="28"/>
              <w:szCs w:val="28"/>
              <w14:textFill>
                <w14:solidFill>
                  <w14:schemeClr w14:val="tx1"/>
                </w14:solidFill>
              </w14:textFill>
            </w:rPr>
            <w:t>政府采购合同（服务类）标准文本</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_Toc195875489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rPr>
              <w:color w:val="000000" w:themeColor="text1"/>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pPr>
        <w:spacing w:line="800" w:lineRule="exact"/>
        <w:ind w:firstLine="2249" w:firstLineChars="700"/>
        <w:rPr>
          <w:rFonts w:ascii="宋体" w:hAnsi="宋体" w:cs="宋体"/>
          <w:b/>
          <w:color w:val="000000" w:themeColor="text1"/>
          <w:sz w:val="32"/>
          <w:szCs w:val="32"/>
          <w14:textFill>
            <w14:solidFill>
              <w14:schemeClr w14:val="tx1"/>
            </w14:solidFill>
          </w14:textFill>
        </w:rPr>
      </w:pPr>
    </w:p>
    <w:p>
      <w:pPr>
        <w:spacing w:line="800" w:lineRule="exact"/>
        <w:ind w:firstLine="2249" w:firstLineChars="700"/>
        <w:rPr>
          <w:rFonts w:ascii="宋体" w:hAnsi="宋体" w:cs="宋体"/>
          <w:b/>
          <w:color w:val="000000" w:themeColor="text1"/>
          <w:sz w:val="32"/>
          <w:szCs w:val="32"/>
          <w14:textFill>
            <w14:solidFill>
              <w14:schemeClr w14:val="tx1"/>
            </w14:solidFill>
          </w14:textFill>
        </w:rPr>
      </w:pPr>
    </w:p>
    <w:p>
      <w:pPr>
        <w:spacing w:line="800" w:lineRule="exact"/>
        <w:ind w:firstLine="2249" w:firstLineChars="700"/>
        <w:rPr>
          <w:rFonts w:ascii="宋体" w:hAnsi="宋体" w:cs="宋体"/>
          <w:b/>
          <w:color w:val="000000" w:themeColor="text1"/>
          <w:sz w:val="32"/>
          <w:szCs w:val="32"/>
          <w14:textFill>
            <w14:solidFill>
              <w14:schemeClr w14:val="tx1"/>
            </w14:solidFill>
          </w14:textFill>
        </w:rPr>
      </w:pPr>
    </w:p>
    <w:p>
      <w:pPr>
        <w:pStyle w:val="22"/>
        <w:rPr>
          <w:rFonts w:ascii="宋体" w:hAnsi="宋体"/>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br w:type="page"/>
      </w:r>
      <w:bookmarkStart w:id="0" w:name="_Toc195875463"/>
      <w:r>
        <w:rPr>
          <w:rFonts w:hint="eastAsia" w:ascii="宋体" w:hAnsi="宋体"/>
          <w:color w:val="000000" w:themeColor="text1"/>
          <w:sz w:val="30"/>
          <w:szCs w:val="30"/>
          <w14:textFill>
            <w14:solidFill>
              <w14:schemeClr w14:val="tx1"/>
            </w14:solidFill>
          </w14:textFill>
        </w:rPr>
        <w:t>第一章    竞争性磋商邀请函</w:t>
      </w:r>
      <w:bookmarkEnd w:id="0"/>
    </w:p>
    <w:p>
      <w:pPr>
        <w:spacing w:line="500" w:lineRule="exact"/>
        <w:ind w:firstLine="960" w:firstLineChars="400"/>
        <w:jc w:val="left"/>
        <w:rPr>
          <w:rFonts w:ascii="宋体" w:hAnsi="宋体" w:cs="宋体"/>
          <w:color w:val="000000" w:themeColor="text1"/>
          <w:sz w:val="24"/>
          <w14:textFill>
            <w14:solidFill>
              <w14:schemeClr w14:val="tx1"/>
            </w14:solidFill>
          </w14:textFill>
        </w:rPr>
      </w:pPr>
      <w:bookmarkStart w:id="1" w:name="_Toc35393629"/>
      <w:bookmarkStart w:id="2" w:name="_Toc28359012"/>
      <w:bookmarkStart w:id="3" w:name="_Toc35393798"/>
      <w:bookmarkStart w:id="4" w:name="_Toc28359089"/>
      <w:r>
        <w:rPr>
          <w:rFonts w:hint="eastAsia" w:ascii="宋体" w:hAnsi="宋体" w:cs="宋体"/>
          <w:color w:val="000000" w:themeColor="text1"/>
          <w:sz w:val="24"/>
          <w:lang w:eastAsia="zh-CN"/>
          <w14:textFill>
            <w14:solidFill>
              <w14:schemeClr w14:val="tx1"/>
            </w14:solidFill>
          </w14:textFill>
        </w:rPr>
        <w:t>项城市发展和改革委员会项城市社会信用体系建设综合运维服务项目</w:t>
      </w:r>
      <w:r>
        <w:rPr>
          <w:rFonts w:hint="eastAsia" w:ascii="宋体" w:hAnsi="宋体" w:cs="宋体"/>
          <w:color w:val="000000" w:themeColor="text1"/>
          <w:sz w:val="24"/>
          <w14:textFill>
            <w14:solidFill>
              <w14:schemeClr w14:val="tx1"/>
            </w14:solidFill>
          </w14:textFill>
        </w:rPr>
        <w:t>的潜在投标人应在周口市公共资源交易中心网（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w:instrText>
      </w:r>
      <w:r>
        <w:rPr>
          <w:color w:val="000000" w:themeColor="text1"/>
          <w14:textFill>
            <w14:solidFill>
              <w14:schemeClr w14:val="tx1"/>
            </w14:solidFill>
          </w14:textFill>
        </w:rPr>
        <w:fldChar w:fldCharType="separate"/>
      </w:r>
      <w:r>
        <w:rPr>
          <w:rStyle w:val="28"/>
          <w:rFonts w:hint="eastAsia" w:ascii="宋体" w:hAnsi="宋体" w:cs="宋体"/>
          <w:color w:val="000000" w:themeColor="text1"/>
          <w:sz w:val="24"/>
          <w14:textFill>
            <w14:solidFill>
              <w14:schemeClr w14:val="tx1"/>
            </w14:solidFill>
          </w14:textFill>
        </w:rPr>
        <w:t>http://jyzx.zhoukou.gov.cn）获取招标文件，并于2025</w:t>
      </w:r>
      <w:r>
        <w:rPr>
          <w:rStyle w:val="28"/>
          <w:rFonts w:hint="eastAsia" w:ascii="宋体" w:hAnsi="宋体" w:cs="宋体"/>
          <w:bCs/>
          <w:color w:val="000000" w:themeColor="text1"/>
          <w:sz w:val="24"/>
          <w14:textFill>
            <w14:solidFill>
              <w14:schemeClr w14:val="tx1"/>
            </w14:solidFill>
          </w14:textFill>
        </w:rPr>
        <w:t>年1</w:t>
      </w:r>
      <w:r>
        <w:rPr>
          <w:rStyle w:val="28"/>
          <w:rFonts w:hint="eastAsia" w:ascii="宋体" w:hAnsi="宋体" w:cs="宋体"/>
          <w:bCs/>
          <w:color w:val="000000" w:themeColor="text1"/>
          <w:sz w:val="24"/>
          <w:lang w:val="en-US" w:eastAsia="zh-CN"/>
          <w14:textFill>
            <w14:solidFill>
              <w14:schemeClr w14:val="tx1"/>
            </w14:solidFill>
          </w14:textFill>
        </w:rPr>
        <w:t>2</w:t>
      </w:r>
      <w:r>
        <w:rPr>
          <w:rStyle w:val="28"/>
          <w:rFonts w:hint="eastAsia" w:ascii="宋体" w:hAnsi="宋体" w:cs="宋体"/>
          <w:bCs/>
          <w:color w:val="000000" w:themeColor="text1"/>
          <w:sz w:val="24"/>
          <w14:textFill>
            <w14:solidFill>
              <w14:schemeClr w14:val="tx1"/>
            </w14:solidFill>
          </w14:textFill>
        </w:rPr>
        <w:t>月</w:t>
      </w:r>
      <w:r>
        <w:rPr>
          <w:rStyle w:val="28"/>
          <w:rFonts w:hint="eastAsia" w:ascii="宋体" w:hAnsi="宋体" w:cs="宋体"/>
          <w:bCs/>
          <w:color w:val="000000" w:themeColor="text1"/>
          <w:sz w:val="24"/>
          <w14:textFill>
            <w14:solidFill>
              <w14:schemeClr w14:val="tx1"/>
            </w14:solidFill>
          </w14:textFill>
        </w:rPr>
        <w:fldChar w:fldCharType="end"/>
      </w:r>
      <w:r>
        <w:rPr>
          <w:rStyle w:val="28"/>
          <w:rFonts w:hint="eastAsia" w:ascii="宋体" w:hAnsi="宋体" w:cs="宋体"/>
          <w:bCs/>
          <w:color w:val="000000" w:themeColor="text1"/>
          <w:sz w:val="24"/>
          <w:highlight w:val="none"/>
          <w:lang w:val="en-US" w:eastAsia="zh-CN"/>
          <w14:textFill>
            <w14:solidFill>
              <w14:schemeClr w14:val="tx1"/>
            </w14:solidFill>
          </w14:textFill>
        </w:rPr>
        <w:t>24</w:t>
      </w:r>
      <w:r>
        <w:rPr>
          <w:rFonts w:hint="eastAsia" w:ascii="宋体" w:hAnsi="宋体" w:cs="宋体"/>
          <w:bCs/>
          <w:color w:val="000000" w:themeColor="text1"/>
          <w:sz w:val="24"/>
          <w:highlight w:val="none"/>
          <w:u w:val="single"/>
          <w14:textFill>
            <w14:solidFill>
              <w14:schemeClr w14:val="tx1"/>
            </w14:solidFill>
          </w14:textFill>
        </w:rPr>
        <w:t>日</w:t>
      </w:r>
      <w:r>
        <w:rPr>
          <w:rFonts w:hint="eastAsia" w:ascii="宋体" w:hAnsi="宋体" w:cs="宋体"/>
          <w:bCs/>
          <w:color w:val="000000" w:themeColor="text1"/>
          <w:sz w:val="24"/>
          <w:highlight w:val="none"/>
          <w:u w:val="single"/>
          <w:lang w:val="en-US" w:eastAsia="zh-CN"/>
          <w14:textFill>
            <w14:solidFill>
              <w14:schemeClr w14:val="tx1"/>
            </w14:solidFill>
          </w14:textFill>
        </w:rPr>
        <w:t>10</w:t>
      </w:r>
      <w:r>
        <w:rPr>
          <w:rFonts w:hint="eastAsia" w:ascii="宋体" w:hAnsi="宋体" w:cs="宋体"/>
          <w:bCs/>
          <w:color w:val="000000" w:themeColor="text1"/>
          <w:sz w:val="24"/>
          <w:highlight w:val="none"/>
          <w:u w:val="single"/>
          <w14:textFill>
            <w14:solidFill>
              <w14:schemeClr w14:val="tx1"/>
            </w14:solidFill>
          </w14:textFill>
        </w:rPr>
        <w:t>点</w:t>
      </w:r>
      <w:r>
        <w:rPr>
          <w:rFonts w:hint="eastAsia" w:ascii="宋体" w:hAnsi="宋体" w:cs="宋体"/>
          <w:bCs/>
          <w:color w:val="000000" w:themeColor="text1"/>
          <w:sz w:val="24"/>
          <w:highlight w:val="none"/>
          <w:u w:val="single"/>
          <w:lang w:val="en-US" w:eastAsia="zh-CN"/>
          <w14:textFill>
            <w14:solidFill>
              <w14:schemeClr w14:val="tx1"/>
            </w14:solidFill>
          </w14:textFill>
        </w:rPr>
        <w:t>00</w:t>
      </w:r>
      <w:r>
        <w:rPr>
          <w:rFonts w:hint="eastAsia" w:ascii="宋体" w:hAnsi="宋体" w:cs="宋体"/>
          <w:bCs/>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14:textFill>
            <w14:solidFill>
              <w14:schemeClr w14:val="tx1"/>
            </w14:solidFill>
          </w14:textFill>
        </w:rPr>
        <w:t>（北京时间）</w:t>
      </w:r>
      <w:r>
        <w:rPr>
          <w:rFonts w:hint="eastAsia" w:ascii="宋体" w:hAnsi="宋体" w:cs="宋体"/>
          <w:color w:val="000000" w:themeColor="text1"/>
          <w:sz w:val="24"/>
          <w14:textFill>
            <w14:solidFill>
              <w14:schemeClr w14:val="tx1"/>
            </w14:solidFill>
          </w14:textFill>
        </w:rPr>
        <w:t>前递交投标文件。</w:t>
      </w:r>
    </w:p>
    <w:bookmarkEnd w:id="1"/>
    <w:bookmarkEnd w:id="2"/>
    <w:bookmarkEnd w:id="3"/>
    <w:bookmarkEnd w:id="4"/>
    <w:p>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一、项目基本情况</w:t>
      </w:r>
    </w:p>
    <w:p>
      <w:pPr>
        <w:autoSpaceDE w:val="0"/>
        <w:autoSpaceDN w:val="0"/>
        <w:spacing w:line="500" w:lineRule="exact"/>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项财磋商采购-2025-</w:t>
      </w:r>
      <w:r>
        <w:rPr>
          <w:rFonts w:hint="eastAsia" w:ascii="宋体" w:hAnsi="宋体" w:cs="宋体"/>
          <w:color w:val="000000" w:themeColor="text1"/>
          <w:sz w:val="24"/>
          <w:highlight w:val="none"/>
          <w:lang w:val="en-US" w:eastAsia="zh-CN"/>
          <w14:textFill>
            <w14:solidFill>
              <w14:schemeClr w14:val="tx1"/>
            </w14:solidFill>
          </w14:textFill>
        </w:rPr>
        <w:t>86</w:t>
      </w:r>
      <w:bookmarkStart w:id="69" w:name="_GoBack"/>
      <w:bookmarkEnd w:id="69"/>
    </w:p>
    <w:p>
      <w:pPr>
        <w:autoSpaceDE w:val="0"/>
        <w:autoSpaceDN w:val="0"/>
        <w:spacing w:line="50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lang w:eastAsia="zh-CN"/>
          <w14:textFill>
            <w14:solidFill>
              <w14:schemeClr w14:val="tx1"/>
            </w14:solidFill>
          </w14:textFill>
        </w:rPr>
        <w:t>项城市发展和改革委员会项城市社会信用体系建设综合运维服务项目</w:t>
      </w:r>
    </w:p>
    <w:p>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采购方式：竞争性磋商</w:t>
      </w:r>
    </w:p>
    <w:p>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预算金额：</w:t>
      </w:r>
      <w:r>
        <w:rPr>
          <w:rFonts w:hint="eastAsia" w:ascii="宋体" w:hAnsi="宋体" w:cs="宋体"/>
          <w:color w:val="000000" w:themeColor="text1"/>
          <w:sz w:val="24"/>
          <w:lang w:val="en-US" w:eastAsia="zh-CN"/>
          <w14:textFill>
            <w14:solidFill>
              <w14:schemeClr w14:val="tx1"/>
            </w14:solidFill>
          </w14:textFill>
        </w:rPr>
        <w:t>38.00</w:t>
      </w:r>
      <w:r>
        <w:rPr>
          <w:rFonts w:hint="eastAsia" w:ascii="宋体" w:hAnsi="宋体" w:cs="宋体"/>
          <w:color w:val="000000" w:themeColor="text1"/>
          <w:sz w:val="24"/>
          <w14:textFill>
            <w14:solidFill>
              <w14:schemeClr w14:val="tx1"/>
            </w14:solidFill>
          </w14:textFill>
        </w:rPr>
        <w:t>万元</w:t>
      </w:r>
    </w:p>
    <w:p>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r>
        <w:rPr>
          <w:rFonts w:hint="eastAsia" w:ascii="宋体" w:hAnsi="宋体" w:cs="宋体"/>
          <w:color w:val="000000" w:themeColor="text1"/>
          <w:sz w:val="24"/>
          <w:lang w:val="en-US" w:eastAsia="zh-CN"/>
          <w14:textFill>
            <w14:solidFill>
              <w14:schemeClr w14:val="tx1"/>
            </w14:solidFill>
          </w14:textFill>
        </w:rPr>
        <w:t>38.00</w:t>
      </w:r>
      <w:r>
        <w:rPr>
          <w:rFonts w:hint="eastAsia" w:ascii="宋体" w:hAnsi="宋体" w:cs="宋体"/>
          <w:color w:val="000000" w:themeColor="text1"/>
          <w:sz w:val="24"/>
          <w14:textFill>
            <w14:solidFill>
              <w14:schemeClr w14:val="tx1"/>
            </w14:solidFill>
          </w14:textFill>
        </w:rPr>
        <w:t>万元</w:t>
      </w:r>
    </w:p>
    <w:p>
      <w:pPr>
        <w:pStyle w:val="21"/>
        <w:snapToGrid w:val="0"/>
        <w:spacing w:before="0" w:beforeAutospacing="0" w:after="0" w:afterAutospacing="0" w:line="500" w:lineRule="exact"/>
        <w:ind w:firstLine="480"/>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包划分：1个包</w:t>
      </w:r>
    </w:p>
    <w:tbl>
      <w:tblPr>
        <w:tblStyle w:val="25"/>
        <w:tblW w:w="48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638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5" w:type="pct"/>
            <w:vAlign w:val="center"/>
          </w:tcPr>
          <w:p>
            <w:pPr>
              <w:pStyle w:val="21"/>
              <w:shd w:val="clear" w:color="auto" w:fill="FFFFFF"/>
              <w:adjustRightInd w:val="0"/>
              <w:snapToGrid w:val="0"/>
              <w:spacing w:before="0" w:beforeAutospacing="0" w:after="0" w:afterAutospacing="0" w:line="500" w:lineRule="exact"/>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包号</w:t>
            </w:r>
          </w:p>
        </w:tc>
        <w:tc>
          <w:tcPr>
            <w:tcW w:w="3320" w:type="pct"/>
            <w:vAlign w:val="center"/>
          </w:tcPr>
          <w:p>
            <w:pPr>
              <w:pStyle w:val="21"/>
              <w:shd w:val="clear" w:color="auto" w:fill="FFFFFF"/>
              <w:adjustRightInd w:val="0"/>
              <w:snapToGrid w:val="0"/>
              <w:spacing w:before="0" w:beforeAutospacing="0" w:after="0" w:afterAutospacing="0" w:line="500" w:lineRule="exact"/>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包名称</w:t>
            </w:r>
          </w:p>
        </w:tc>
        <w:tc>
          <w:tcPr>
            <w:tcW w:w="1254" w:type="pct"/>
            <w:vAlign w:val="center"/>
          </w:tcPr>
          <w:p>
            <w:pPr>
              <w:pStyle w:val="21"/>
              <w:shd w:val="clear" w:color="auto" w:fill="FFFFFF"/>
              <w:adjustRightInd w:val="0"/>
              <w:snapToGrid w:val="0"/>
              <w:spacing w:before="0" w:beforeAutospacing="0" w:after="0" w:afterAutospacing="0" w:line="500" w:lineRule="exact"/>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25" w:type="pct"/>
            <w:vAlign w:val="center"/>
          </w:tcPr>
          <w:p>
            <w:pPr>
              <w:adjustRightInd w:val="0"/>
              <w:snapToGrid w:val="0"/>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3320" w:type="pct"/>
            <w:vAlign w:val="center"/>
          </w:tcPr>
          <w:p>
            <w:pPr>
              <w:adjustRightInd w:val="0"/>
              <w:snapToGrid w:val="0"/>
              <w:spacing w:line="500" w:lineRule="exact"/>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项城市发展和改革委员会项城市社会信用体系建设综合运维服务项目</w:t>
            </w:r>
          </w:p>
        </w:tc>
        <w:tc>
          <w:tcPr>
            <w:tcW w:w="1254" w:type="pct"/>
            <w:vAlign w:val="center"/>
          </w:tcPr>
          <w:p>
            <w:pPr>
              <w:adjustRightInd w:val="0"/>
              <w:snapToGrid w:val="0"/>
              <w:spacing w:line="50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38.00</w:t>
            </w:r>
          </w:p>
        </w:tc>
      </w:tr>
    </w:tbl>
    <w:p>
      <w:pPr>
        <w:autoSpaceDE w:val="0"/>
        <w:autoSpaceDN w:val="0"/>
        <w:spacing w:line="5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采购需求：</w:t>
      </w:r>
      <w:bookmarkStart w:id="5" w:name="OLE_LINK3"/>
      <w:r>
        <w:rPr>
          <w:rFonts w:hint="eastAsia" w:ascii="宋体" w:hAnsi="宋体" w:cs="宋体"/>
          <w:color w:val="000000" w:themeColor="text1"/>
          <w:sz w:val="24"/>
          <w:lang w:eastAsia="zh-CN"/>
          <w14:textFill>
            <w14:solidFill>
              <w14:schemeClr w14:val="tx1"/>
            </w14:solidFill>
          </w14:textFill>
        </w:rPr>
        <w:t>社会信用体系建设综合运维服务</w:t>
      </w:r>
    </w:p>
    <w:bookmarkEnd w:id="5"/>
    <w:p>
      <w:pPr>
        <w:autoSpaceDE w:val="0"/>
        <w:autoSpaceDN w:val="0"/>
        <w:spacing w:line="50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合同履行期限：</w:t>
      </w:r>
      <w:r>
        <w:rPr>
          <w:rFonts w:hint="eastAsia" w:ascii="宋体" w:hAnsi="宋体"/>
          <w:color w:val="000000" w:themeColor="text1"/>
          <w:sz w:val="24"/>
          <w14:textFill>
            <w14:solidFill>
              <w14:schemeClr w14:val="tx1"/>
            </w14:solidFill>
          </w14:textFill>
        </w:rPr>
        <w:t>本次一年，满后合同约定</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bookmarkStart w:id="6" w:name="_Toc35393799"/>
      <w:bookmarkStart w:id="7" w:name="_Toc28359013"/>
      <w:bookmarkStart w:id="8" w:name="_Toc28359090"/>
      <w:bookmarkStart w:id="9" w:name="_Toc35393630"/>
      <w:r>
        <w:rPr>
          <w:rFonts w:hint="eastAsia" w:ascii="宋体" w:hAnsi="宋体" w:cs="宋体"/>
          <w:color w:val="000000" w:themeColor="text1"/>
          <w:sz w:val="24"/>
          <w14:textFill>
            <w14:solidFill>
              <w14:schemeClr w14:val="tx1"/>
            </w14:solidFill>
          </w14:textFill>
        </w:rPr>
        <w:t>是否接受进口产品：否</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本项目是否接受联合体投标：否</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本项目是否为只面向中小企业采购：是，采购预留金额</w:t>
      </w:r>
      <w:r>
        <w:rPr>
          <w:rFonts w:hint="eastAsia" w:ascii="宋体" w:hAnsi="宋体" w:cs="宋体"/>
          <w:color w:val="000000" w:themeColor="text1"/>
          <w:sz w:val="24"/>
          <w:lang w:val="en-US" w:eastAsia="zh-CN"/>
          <w14:textFill>
            <w14:solidFill>
              <w14:schemeClr w14:val="tx1"/>
            </w14:solidFill>
          </w14:textFill>
        </w:rPr>
        <w:t>38.00</w:t>
      </w:r>
      <w:r>
        <w:rPr>
          <w:rFonts w:hint="eastAsia" w:ascii="宋体" w:hAnsi="宋体" w:cs="宋体"/>
          <w:color w:val="000000" w:themeColor="text1"/>
          <w:sz w:val="24"/>
          <w14:textFill>
            <w14:solidFill>
              <w14:schemeClr w14:val="tx1"/>
            </w14:solidFill>
          </w14:textFill>
        </w:rPr>
        <w:t>（万元），必须提供中小企业声明函。</w:t>
      </w: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二、申请人的资格要求：</w:t>
      </w:r>
      <w:bookmarkEnd w:id="6"/>
      <w:bookmarkEnd w:id="7"/>
      <w:bookmarkEnd w:id="8"/>
      <w:bookmarkEnd w:id="9"/>
    </w:p>
    <w:p>
      <w:pPr>
        <w:spacing w:line="500" w:lineRule="exact"/>
        <w:ind w:firstLine="480" w:firstLineChars="200"/>
        <w:rPr>
          <w:rFonts w:ascii="宋体" w:hAnsi="宋体"/>
          <w:color w:val="000000" w:themeColor="text1"/>
          <w:sz w:val="24"/>
          <w14:textFill>
            <w14:solidFill>
              <w14:schemeClr w14:val="tx1"/>
            </w14:solidFill>
          </w14:textFill>
        </w:rPr>
      </w:pPr>
      <w:bookmarkStart w:id="10" w:name="_Toc35393800"/>
      <w:bookmarkStart w:id="11" w:name="_Toc28359014"/>
      <w:bookmarkStart w:id="12" w:name="_Toc28359091"/>
      <w:bookmarkStart w:id="13" w:name="_Toc35393631"/>
      <w:r>
        <w:rPr>
          <w:rFonts w:hint="eastAsia" w:ascii="宋体" w:hAnsi="宋体"/>
          <w:color w:val="000000" w:themeColor="text1"/>
          <w:sz w:val="24"/>
          <w14:textFill>
            <w14:solidFill>
              <w14:schemeClr w14:val="tx1"/>
            </w14:solidFill>
          </w14:textFill>
        </w:rPr>
        <w:t>1.满足《中华人民共和国政府采购法》第二十二条规定；</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（1）具有独立承担民事责任的能力（企业营业执照等证明文件）；</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（2）具有良好的商业信誉和健全的财务会计制度；</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（3）具有履行合同所必需的设备和专业技术能力；</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（4）有依法缴纳税收和社会保障资金的良好记录（缴纳的税收凭据、社会保险凭据，依法免税或不需要缴纳社会保障资金的供应商应提供相应的证明文件）；</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（5）参加政府采购活动前三年内，在经营活动中没有重大违法记录（提供没有重大违法记录的书面声明函，格式自拟）；</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本项目的特定资格要求：（1）根据《关于在政府采购活动中查询及使用信用记录有关问题的通知》(财库[2016]125号)和豫财购【2016】15号的规定，对列入“信用中国”网站（www.creditchina.gov.cn）的“失信被执行人”、“重大税收违法失信主体”、 “政府采购严重违法失信行为记录名单”和“中国政府采购”网站(www.ccgp.gov.cn)的“政府采购严重违法失信行为记录名单”的供应商，将拒绝其参加政府采购活动；在标书中附加盖公章的网页查询扫描件，查询日期为公告发布之日起至投标截止之日止。</w:t>
      </w:r>
    </w:p>
    <w:p>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三、获取采购文件</w:t>
      </w:r>
      <w:bookmarkEnd w:id="10"/>
      <w:bookmarkEnd w:id="11"/>
      <w:bookmarkEnd w:id="12"/>
      <w:bookmarkEnd w:id="13"/>
    </w:p>
    <w:p>
      <w:pPr>
        <w:autoSpaceDE w:val="0"/>
        <w:autoSpaceDN w:val="0"/>
        <w:spacing w:line="500" w:lineRule="exact"/>
        <w:ind w:firstLine="54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u w:val="single"/>
          <w14:textFill>
            <w14:solidFill>
              <w14:schemeClr w14:val="tx1"/>
            </w14:solidFill>
          </w14:textFill>
        </w:rPr>
        <w:t>2025年</w:t>
      </w:r>
      <w:r>
        <w:rPr>
          <w:rFonts w:hint="eastAsia" w:ascii="宋体" w:hAnsi="宋体" w:cs="宋体"/>
          <w:color w:val="000000" w:themeColor="text1"/>
          <w:sz w:val="24"/>
          <w:highlight w:val="none"/>
          <w:u w:val="single"/>
          <w:lang w:val="en-US" w:eastAsia="zh-CN"/>
          <w14:textFill>
            <w14:solidFill>
              <w14:schemeClr w14:val="tx1"/>
            </w14:solidFill>
          </w14:textFill>
        </w:rPr>
        <w:t>12</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u w:val="single"/>
          <w14:textFill>
            <w14:solidFill>
              <w14:schemeClr w14:val="tx1"/>
            </w14:solidFill>
          </w14:textFill>
        </w:rPr>
        <w:t>2025年</w:t>
      </w:r>
      <w:r>
        <w:rPr>
          <w:rFonts w:hint="eastAsia" w:ascii="宋体" w:hAnsi="宋体" w:cs="宋体"/>
          <w:color w:val="000000" w:themeColor="text1"/>
          <w:sz w:val="24"/>
          <w:highlight w:val="none"/>
          <w:u w:val="single"/>
          <w:lang w:val="en-US" w:eastAsia="zh-CN"/>
          <w14:textFill>
            <w14:solidFill>
              <w14:schemeClr w14:val="tx1"/>
            </w14:solidFill>
          </w14:textFill>
        </w:rPr>
        <w:t>12</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16 </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（北京时间，法定节假日除外）</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地点：周口市公共资源交易中心网（http://jyzx.zhoukou.gov.cn）</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方式：供应商请在网站自主注册后下载采购文件（zkzf格式）及资料，需办理CA数字证书后方可提交响应文件，具体办理事宜请查阅周口市公共资源交易中心网站。</w:t>
      </w:r>
    </w:p>
    <w:p>
      <w:pPr>
        <w:autoSpaceDE w:val="0"/>
        <w:autoSpaceDN w:val="0"/>
        <w:spacing w:line="500" w:lineRule="exact"/>
        <w:ind w:firstLine="54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售价：0</w:t>
      </w:r>
    </w:p>
    <w:p>
      <w:pPr>
        <w:spacing w:line="500" w:lineRule="exact"/>
        <w:rPr>
          <w:color w:val="000000" w:themeColor="text1"/>
          <w:sz w:val="24"/>
          <w14:textFill>
            <w14:solidFill>
              <w14:schemeClr w14:val="tx1"/>
            </w14:solidFill>
          </w14:textFill>
        </w:rPr>
      </w:pPr>
      <w:bookmarkStart w:id="14" w:name="_Toc28359092"/>
      <w:bookmarkStart w:id="15" w:name="_Toc35393801"/>
      <w:bookmarkStart w:id="16" w:name="_Toc28359015"/>
      <w:bookmarkStart w:id="17" w:name="_Toc35393632"/>
      <w:r>
        <w:rPr>
          <w:rFonts w:hint="eastAsia"/>
          <w:color w:val="000000" w:themeColor="text1"/>
          <w:sz w:val="24"/>
          <w14:textFill>
            <w14:solidFill>
              <w14:schemeClr w14:val="tx1"/>
            </w14:solidFill>
          </w14:textFill>
        </w:rPr>
        <w:t>四、响应文件提交</w:t>
      </w:r>
      <w:bookmarkEnd w:id="14"/>
      <w:bookmarkEnd w:id="15"/>
      <w:bookmarkEnd w:id="16"/>
      <w:bookmarkEnd w:id="17"/>
    </w:p>
    <w:p>
      <w:pPr>
        <w:autoSpaceDE w:val="0"/>
        <w:autoSpaceDN w:val="0"/>
        <w:spacing w:line="500" w:lineRule="exact"/>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截止时间：</w:t>
      </w:r>
      <w:r>
        <w:rPr>
          <w:rFonts w:hint="eastAsia" w:ascii="宋体" w:hAnsi="宋体" w:cs="宋体"/>
          <w:color w:val="000000" w:themeColor="text1"/>
          <w:sz w:val="24"/>
          <w:highlight w:val="none"/>
          <w:u w:val="single"/>
          <w14:textFill>
            <w14:solidFill>
              <w14:schemeClr w14:val="tx1"/>
            </w14:solidFill>
          </w14:textFill>
        </w:rPr>
        <w:t>2025</w:t>
      </w:r>
      <w:r>
        <w:rPr>
          <w:rFonts w:hint="eastAsia" w:ascii="宋体" w:hAnsi="宋体" w:cs="宋体"/>
          <w:bCs/>
          <w:color w:val="000000" w:themeColor="text1"/>
          <w:sz w:val="24"/>
          <w:highlight w:val="none"/>
          <w:u w:val="single"/>
          <w14:textFill>
            <w14:solidFill>
              <w14:schemeClr w14:val="tx1"/>
            </w14:solidFill>
          </w14:textFill>
        </w:rPr>
        <w:t>年</w:t>
      </w:r>
      <w:r>
        <w:rPr>
          <w:rFonts w:hint="eastAsia" w:ascii="宋体" w:hAnsi="宋体" w:cs="宋体"/>
          <w:bCs/>
          <w:color w:val="000000" w:themeColor="text1"/>
          <w:sz w:val="24"/>
          <w:highlight w:val="none"/>
          <w:u w:val="single"/>
          <w:lang w:val="en-US" w:eastAsia="zh-CN"/>
          <w14:textFill>
            <w14:solidFill>
              <w14:schemeClr w14:val="tx1"/>
            </w14:solidFill>
          </w14:textFill>
        </w:rPr>
        <w:t>12</w:t>
      </w:r>
      <w:r>
        <w:rPr>
          <w:rFonts w:hint="eastAsia" w:ascii="宋体" w:hAnsi="宋体" w:cs="宋体"/>
          <w:bCs/>
          <w:color w:val="000000" w:themeColor="text1"/>
          <w:sz w:val="24"/>
          <w:highlight w:val="none"/>
          <w:u w:val="single"/>
          <w14:textFill>
            <w14:solidFill>
              <w14:schemeClr w14:val="tx1"/>
            </w14:solidFill>
          </w14:textFill>
        </w:rPr>
        <w:t>月</w:t>
      </w:r>
      <w:r>
        <w:rPr>
          <w:rFonts w:hint="eastAsia" w:ascii="宋体" w:hAnsi="宋体" w:cs="宋体"/>
          <w:bCs/>
          <w:color w:val="000000" w:themeColor="text1"/>
          <w:sz w:val="24"/>
          <w:highlight w:val="none"/>
          <w:u w:val="single"/>
          <w:lang w:val="en-US" w:eastAsia="zh-CN"/>
          <w14:textFill>
            <w14:solidFill>
              <w14:schemeClr w14:val="tx1"/>
            </w14:solidFill>
          </w14:textFill>
        </w:rPr>
        <w:t xml:space="preserve">24 </w:t>
      </w:r>
      <w:r>
        <w:rPr>
          <w:rFonts w:hint="eastAsia" w:ascii="宋体" w:hAnsi="宋体" w:cs="宋体"/>
          <w:bCs/>
          <w:color w:val="000000" w:themeColor="text1"/>
          <w:sz w:val="24"/>
          <w:highlight w:val="none"/>
          <w:u w:val="single"/>
          <w14:textFill>
            <w14:solidFill>
              <w14:schemeClr w14:val="tx1"/>
            </w14:solidFill>
          </w14:textFill>
        </w:rPr>
        <w:t>日</w:t>
      </w:r>
      <w:r>
        <w:rPr>
          <w:rFonts w:hint="eastAsia" w:ascii="宋体" w:hAnsi="宋体" w:cs="宋体"/>
          <w:bCs/>
          <w:color w:val="000000" w:themeColor="text1"/>
          <w:sz w:val="24"/>
          <w:highlight w:val="none"/>
          <w:u w:val="single"/>
          <w:lang w:val="en-US" w:eastAsia="zh-CN"/>
          <w14:textFill>
            <w14:solidFill>
              <w14:schemeClr w14:val="tx1"/>
            </w14:solidFill>
          </w14:textFill>
        </w:rPr>
        <w:t>10</w:t>
      </w:r>
      <w:r>
        <w:rPr>
          <w:rFonts w:hint="eastAsia" w:ascii="宋体" w:hAnsi="宋体" w:cs="宋体"/>
          <w:bCs/>
          <w:color w:val="000000" w:themeColor="text1"/>
          <w:sz w:val="24"/>
          <w:highlight w:val="none"/>
          <w:u w:val="single"/>
          <w14:textFill>
            <w14:solidFill>
              <w14:schemeClr w14:val="tx1"/>
            </w14:solidFill>
          </w14:textFill>
        </w:rPr>
        <w:t>点</w:t>
      </w:r>
      <w:r>
        <w:rPr>
          <w:rFonts w:hint="eastAsia" w:ascii="宋体" w:hAnsi="宋体" w:cs="宋体"/>
          <w:bCs/>
          <w:color w:val="000000" w:themeColor="text1"/>
          <w:sz w:val="24"/>
          <w:highlight w:val="none"/>
          <w:u w:val="single"/>
          <w:lang w:val="en-US" w:eastAsia="zh-CN"/>
          <w14:textFill>
            <w14:solidFill>
              <w14:schemeClr w14:val="tx1"/>
            </w14:solidFill>
          </w14:textFill>
        </w:rPr>
        <w:t>00</w:t>
      </w:r>
      <w:r>
        <w:rPr>
          <w:rFonts w:hint="eastAsia" w:ascii="宋体" w:hAnsi="宋体" w:cs="宋体"/>
          <w:bCs/>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14:textFill>
            <w14:solidFill>
              <w14:schemeClr w14:val="tx1"/>
            </w14:solidFill>
          </w14:textFill>
        </w:rPr>
        <w:t>（北京</w:t>
      </w:r>
      <w:r>
        <w:rPr>
          <w:rFonts w:hint="eastAsia" w:ascii="宋体" w:hAnsi="宋体" w:cs="宋体"/>
          <w:bCs/>
          <w:color w:val="000000" w:themeColor="text1"/>
          <w:sz w:val="24"/>
          <w14:textFill>
            <w14:solidFill>
              <w14:schemeClr w14:val="tx1"/>
            </w14:solidFill>
          </w14:textFill>
        </w:rPr>
        <w:t>时间）</w:t>
      </w:r>
    </w:p>
    <w:p>
      <w:pPr>
        <w:autoSpaceDE w:val="0"/>
        <w:autoSpaceDN w:val="0"/>
        <w:spacing w:line="500" w:lineRule="exact"/>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地点：加密电子响应文件须在投标截止时间前通过</w:t>
      </w:r>
      <w:r>
        <w:rPr>
          <w:rFonts w:hint="eastAsia" w:ascii="宋体" w:hAnsi="宋体" w:cs="宋体"/>
          <w:color w:val="000000" w:themeColor="text1"/>
          <w:spacing w:val="-6"/>
          <w:sz w:val="24"/>
          <w14:textFill>
            <w14:solidFill>
              <w14:schemeClr w14:val="tx1"/>
            </w14:solidFill>
          </w14:textFill>
        </w:rPr>
        <w:t>周口市公共资源交易中心网</w:t>
      </w:r>
      <w:r>
        <w:rPr>
          <w:rFonts w:hint="eastAsia" w:ascii="宋体" w:hAnsi="宋体" w:cs="宋体"/>
          <w:color w:val="000000" w:themeColor="text1"/>
          <w:sz w:val="24"/>
          <w14:textFill>
            <w14:solidFill>
              <w14:schemeClr w14:val="tx1"/>
            </w14:solidFill>
          </w14:textFill>
        </w:rPr>
        <w:t>（网址http://jyzx.zhoukou.gov.cn）。</w:t>
      </w:r>
    </w:p>
    <w:p>
      <w:pPr>
        <w:spacing w:line="500" w:lineRule="exact"/>
        <w:rPr>
          <w:color w:val="000000" w:themeColor="text1"/>
          <w:sz w:val="24"/>
          <w14:textFill>
            <w14:solidFill>
              <w14:schemeClr w14:val="tx1"/>
            </w14:solidFill>
          </w14:textFill>
        </w:rPr>
      </w:pPr>
      <w:bookmarkStart w:id="18" w:name="_Toc28359016"/>
      <w:bookmarkStart w:id="19" w:name="_Toc35393633"/>
      <w:bookmarkStart w:id="20" w:name="_Toc35393802"/>
      <w:bookmarkStart w:id="21" w:name="_Toc28359093"/>
      <w:r>
        <w:rPr>
          <w:rFonts w:hint="eastAsia"/>
          <w:color w:val="000000" w:themeColor="text1"/>
          <w:sz w:val="24"/>
          <w14:textFill>
            <w14:solidFill>
              <w14:schemeClr w14:val="tx1"/>
            </w14:solidFill>
          </w14:textFill>
        </w:rPr>
        <w:t>五、开启</w:t>
      </w:r>
      <w:bookmarkEnd w:id="18"/>
      <w:bookmarkEnd w:id="19"/>
      <w:bookmarkEnd w:id="20"/>
      <w:bookmarkEnd w:id="21"/>
    </w:p>
    <w:p>
      <w:pPr>
        <w:autoSpaceDE w:val="0"/>
        <w:autoSpaceDN w:val="0"/>
        <w:spacing w:line="500" w:lineRule="exact"/>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highlight w:val="none"/>
          <w:u w:val="single"/>
          <w14:textFill>
            <w14:solidFill>
              <w14:schemeClr w14:val="tx1"/>
            </w14:solidFill>
          </w14:textFill>
        </w:rPr>
        <w:t>2025</w:t>
      </w:r>
      <w:r>
        <w:rPr>
          <w:rFonts w:hint="eastAsia" w:ascii="宋体" w:hAnsi="宋体" w:cs="宋体"/>
          <w:bCs/>
          <w:color w:val="000000" w:themeColor="text1"/>
          <w:sz w:val="24"/>
          <w:highlight w:val="none"/>
          <w:u w:val="single"/>
          <w14:textFill>
            <w14:solidFill>
              <w14:schemeClr w14:val="tx1"/>
            </w14:solidFill>
          </w14:textFill>
        </w:rPr>
        <w:t>年</w:t>
      </w:r>
      <w:r>
        <w:rPr>
          <w:rFonts w:hint="eastAsia" w:ascii="宋体" w:hAnsi="宋体" w:cs="宋体"/>
          <w:bCs/>
          <w:color w:val="000000" w:themeColor="text1"/>
          <w:sz w:val="24"/>
          <w:highlight w:val="none"/>
          <w:u w:val="single"/>
          <w:lang w:val="en-US" w:eastAsia="zh-CN"/>
          <w14:textFill>
            <w14:solidFill>
              <w14:schemeClr w14:val="tx1"/>
            </w14:solidFill>
          </w14:textFill>
        </w:rPr>
        <w:t>12</w:t>
      </w:r>
      <w:r>
        <w:rPr>
          <w:rFonts w:hint="eastAsia" w:ascii="宋体" w:hAnsi="宋体" w:cs="宋体"/>
          <w:bCs/>
          <w:color w:val="000000" w:themeColor="text1"/>
          <w:sz w:val="24"/>
          <w:highlight w:val="none"/>
          <w:u w:val="single"/>
          <w14:textFill>
            <w14:solidFill>
              <w14:schemeClr w14:val="tx1"/>
            </w14:solidFill>
          </w14:textFill>
        </w:rPr>
        <w:t>月</w:t>
      </w:r>
      <w:r>
        <w:rPr>
          <w:rFonts w:hint="eastAsia" w:ascii="宋体" w:hAnsi="宋体" w:cs="宋体"/>
          <w:bCs/>
          <w:color w:val="000000" w:themeColor="text1"/>
          <w:sz w:val="24"/>
          <w:highlight w:val="none"/>
          <w:u w:val="single"/>
          <w:lang w:val="en-US" w:eastAsia="zh-CN"/>
          <w14:textFill>
            <w14:solidFill>
              <w14:schemeClr w14:val="tx1"/>
            </w14:solidFill>
          </w14:textFill>
        </w:rPr>
        <w:t xml:space="preserve">24 </w:t>
      </w:r>
      <w:r>
        <w:rPr>
          <w:rFonts w:hint="eastAsia" w:ascii="宋体" w:hAnsi="宋体" w:cs="宋体"/>
          <w:bCs/>
          <w:color w:val="000000" w:themeColor="text1"/>
          <w:sz w:val="24"/>
          <w:highlight w:val="none"/>
          <w:u w:val="single"/>
          <w14:textFill>
            <w14:solidFill>
              <w14:schemeClr w14:val="tx1"/>
            </w14:solidFill>
          </w14:textFill>
        </w:rPr>
        <w:t>日</w:t>
      </w:r>
      <w:r>
        <w:rPr>
          <w:rFonts w:hint="eastAsia" w:ascii="宋体" w:hAnsi="宋体" w:cs="宋体"/>
          <w:bCs/>
          <w:color w:val="000000" w:themeColor="text1"/>
          <w:sz w:val="24"/>
          <w:highlight w:val="none"/>
          <w:u w:val="single"/>
          <w:lang w:val="en-US" w:eastAsia="zh-CN"/>
          <w14:textFill>
            <w14:solidFill>
              <w14:schemeClr w14:val="tx1"/>
            </w14:solidFill>
          </w14:textFill>
        </w:rPr>
        <w:t>10</w:t>
      </w:r>
      <w:r>
        <w:rPr>
          <w:rFonts w:hint="eastAsia" w:ascii="宋体" w:hAnsi="宋体" w:cs="宋体"/>
          <w:bCs/>
          <w:color w:val="000000" w:themeColor="text1"/>
          <w:sz w:val="24"/>
          <w:highlight w:val="none"/>
          <w:u w:val="single"/>
          <w14:textFill>
            <w14:solidFill>
              <w14:schemeClr w14:val="tx1"/>
            </w14:solidFill>
          </w14:textFill>
        </w:rPr>
        <w:t>点</w:t>
      </w:r>
      <w:r>
        <w:rPr>
          <w:rFonts w:hint="eastAsia" w:ascii="宋体" w:hAnsi="宋体" w:cs="宋体"/>
          <w:bCs/>
          <w:color w:val="000000" w:themeColor="text1"/>
          <w:sz w:val="24"/>
          <w:highlight w:val="none"/>
          <w:u w:val="single"/>
          <w:lang w:val="en-US" w:eastAsia="zh-CN"/>
          <w14:textFill>
            <w14:solidFill>
              <w14:schemeClr w14:val="tx1"/>
            </w14:solidFill>
          </w14:textFill>
        </w:rPr>
        <w:t>00</w:t>
      </w:r>
      <w:r>
        <w:rPr>
          <w:rFonts w:hint="eastAsia" w:ascii="宋体" w:hAnsi="宋体" w:cs="宋体"/>
          <w:bCs/>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14:textFill>
            <w14:solidFill>
              <w14:schemeClr w14:val="tx1"/>
            </w14:solidFill>
          </w14:textFill>
        </w:rPr>
        <w:t>（北京时间）</w:t>
      </w:r>
    </w:p>
    <w:p>
      <w:pPr>
        <w:autoSpaceDE w:val="0"/>
        <w:autoSpaceDN w:val="0"/>
        <w:spacing w:line="500" w:lineRule="exact"/>
        <w:ind w:firstLine="480" w:firstLineChars="200"/>
        <w:jc w:val="left"/>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地点：周口市公共资源交易中心开标室</w:t>
      </w:r>
    </w:p>
    <w:p>
      <w:pPr>
        <w:spacing w:line="500" w:lineRule="exact"/>
        <w:rPr>
          <w:color w:val="000000" w:themeColor="text1"/>
          <w:sz w:val="24"/>
          <w14:textFill>
            <w14:solidFill>
              <w14:schemeClr w14:val="tx1"/>
            </w14:solidFill>
          </w14:textFill>
        </w:rPr>
      </w:pPr>
      <w:bookmarkStart w:id="22" w:name="_Toc35393803"/>
      <w:bookmarkStart w:id="23" w:name="_Toc28359017"/>
      <w:bookmarkStart w:id="24" w:name="_Toc35393634"/>
      <w:bookmarkStart w:id="25" w:name="_Toc28359094"/>
      <w:r>
        <w:rPr>
          <w:rFonts w:hint="eastAsia"/>
          <w:color w:val="000000" w:themeColor="text1"/>
          <w:sz w:val="24"/>
          <w14:textFill>
            <w14:solidFill>
              <w14:schemeClr w14:val="tx1"/>
            </w14:solidFill>
          </w14:textFill>
        </w:rPr>
        <w:t>六、公告期限</w:t>
      </w:r>
      <w:bookmarkEnd w:id="22"/>
      <w:bookmarkEnd w:id="23"/>
      <w:bookmarkEnd w:id="24"/>
      <w:bookmarkEnd w:id="25"/>
    </w:p>
    <w:p>
      <w:pPr>
        <w:autoSpaceDE w:val="0"/>
        <w:autoSpaceDN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本次招标公告在《河南省政府采购网》《周口市公共资源交易中心网》上发布</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自本公告发布之日起5个工作日。</w:t>
      </w:r>
    </w:p>
    <w:p>
      <w:pPr>
        <w:spacing w:line="500" w:lineRule="exact"/>
        <w:rPr>
          <w:color w:val="000000" w:themeColor="text1"/>
          <w:sz w:val="24"/>
          <w14:textFill>
            <w14:solidFill>
              <w14:schemeClr w14:val="tx1"/>
            </w14:solidFill>
          </w14:textFill>
        </w:rPr>
      </w:pPr>
      <w:bookmarkStart w:id="26" w:name="_Toc35393635"/>
      <w:bookmarkStart w:id="27" w:name="_Toc35393804"/>
      <w:r>
        <w:rPr>
          <w:rFonts w:hint="eastAsia"/>
          <w:color w:val="000000" w:themeColor="text1"/>
          <w:sz w:val="24"/>
          <w14:textFill>
            <w14:solidFill>
              <w14:schemeClr w14:val="tx1"/>
            </w14:solidFill>
          </w14:textFill>
        </w:rPr>
        <w:t>七、其他补充事宜</w:t>
      </w:r>
      <w:bookmarkEnd w:id="26"/>
      <w:bookmarkEnd w:id="27"/>
    </w:p>
    <w:p>
      <w:pPr>
        <w:spacing w:line="5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无</w:t>
      </w:r>
    </w:p>
    <w:p>
      <w:pPr>
        <w:spacing w:line="500" w:lineRule="exact"/>
        <w:rPr>
          <w:color w:val="000000" w:themeColor="text1"/>
          <w:sz w:val="24"/>
          <w14:textFill>
            <w14:solidFill>
              <w14:schemeClr w14:val="tx1"/>
            </w14:solidFill>
          </w14:textFill>
        </w:rPr>
      </w:pPr>
      <w:bookmarkStart w:id="28" w:name="_Toc28359018"/>
      <w:bookmarkStart w:id="29" w:name="_Toc35393636"/>
      <w:bookmarkStart w:id="30" w:name="_Toc28359095"/>
      <w:bookmarkStart w:id="31" w:name="_Toc35393805"/>
      <w:r>
        <w:rPr>
          <w:rFonts w:hint="eastAsia"/>
          <w:color w:val="000000" w:themeColor="text1"/>
          <w:sz w:val="24"/>
          <w14:textFill>
            <w14:solidFill>
              <w14:schemeClr w14:val="tx1"/>
            </w14:solidFill>
          </w14:textFill>
        </w:rPr>
        <w:t>八、凡对本次采购提出询问，请按以下方式联系</w:t>
      </w:r>
      <w:bookmarkEnd w:id="28"/>
      <w:bookmarkEnd w:id="29"/>
      <w:bookmarkEnd w:id="30"/>
      <w:bookmarkEnd w:id="31"/>
    </w:p>
    <w:p>
      <w:pPr>
        <w:spacing w:line="500" w:lineRule="exact"/>
        <w:ind w:firstLine="480"/>
        <w:jc w:val="left"/>
        <w:rPr>
          <w:rFonts w:ascii="宋体" w:hAnsi="宋体" w:cs="宋体"/>
          <w:color w:val="000000" w:themeColor="text1"/>
          <w:sz w:val="24"/>
          <w14:textFill>
            <w14:solidFill>
              <w14:schemeClr w14:val="tx1"/>
            </w14:solidFill>
          </w14:textFill>
        </w:rPr>
      </w:pPr>
      <w:bookmarkStart w:id="32" w:name="OLE_LINK4"/>
      <w:r>
        <w:rPr>
          <w:rFonts w:ascii="宋体" w:hAnsi="宋体" w:cs="宋体"/>
          <w:color w:val="000000" w:themeColor="text1"/>
          <w:sz w:val="24"/>
          <w14:textFill>
            <w14:solidFill>
              <w14:schemeClr w14:val="tx1"/>
            </w14:solidFill>
          </w14:textFill>
        </w:rPr>
        <w:t>1.采购人信息</w:t>
      </w:r>
    </w:p>
    <w:p>
      <w:pPr>
        <w:pStyle w:val="30"/>
        <w:adjustRightInd w:val="0"/>
        <w:snapToGrid w:val="0"/>
        <w:spacing w:after="0"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val="en-US" w:eastAsia="zh-CN"/>
          <w14:textFill>
            <w14:solidFill>
              <w14:schemeClr w14:val="tx1"/>
            </w14:solidFill>
          </w14:textFill>
        </w:rPr>
        <w:t>项城市发展和改革委员会</w:t>
      </w:r>
      <w:r>
        <w:rPr>
          <w:rFonts w:hint="eastAsia" w:ascii="宋体" w:hAnsi="宋体"/>
          <w:color w:val="000000" w:themeColor="text1"/>
          <w:sz w:val="24"/>
          <w:highlight w:val="none"/>
          <w14:textFill>
            <w14:solidFill>
              <w14:schemeClr w14:val="tx1"/>
            </w14:solidFill>
          </w14:textFill>
        </w:rPr>
        <w:t>　　　　　　　　　　　　</w:t>
      </w:r>
    </w:p>
    <w:p>
      <w:pPr>
        <w:pStyle w:val="30"/>
        <w:adjustRightInd w:val="0"/>
        <w:snapToGrid w:val="0"/>
        <w:spacing w:after="0"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地址：河南省</w:t>
      </w:r>
      <w:r>
        <w:rPr>
          <w:rFonts w:hint="eastAsia" w:ascii="宋体" w:hAnsi="宋体"/>
          <w:color w:val="000000" w:themeColor="text1"/>
          <w:sz w:val="24"/>
          <w:highlight w:val="none"/>
          <w:lang w:val="en-US" w:eastAsia="zh-CN"/>
          <w14:textFill>
            <w14:solidFill>
              <w14:schemeClr w14:val="tx1"/>
            </w14:solidFill>
          </w14:textFill>
        </w:rPr>
        <w:t>项城市境内</w:t>
      </w:r>
      <w:r>
        <w:rPr>
          <w:rFonts w:hint="eastAsia" w:ascii="宋体" w:hAnsi="宋体"/>
          <w:color w:val="000000" w:themeColor="text1"/>
          <w:sz w:val="24"/>
          <w:highlight w:val="none"/>
          <w14:textFill>
            <w14:solidFill>
              <w14:schemeClr w14:val="tx1"/>
            </w14:solidFill>
          </w14:textFill>
        </w:rPr>
        <w:t>　　　　　　　　　　　　</w:t>
      </w:r>
    </w:p>
    <w:p>
      <w:pPr>
        <w:pStyle w:val="30"/>
        <w:adjustRightInd w:val="0"/>
        <w:snapToGrid w:val="0"/>
        <w:spacing w:after="0"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项目联系人：王</w:t>
      </w:r>
      <w:r>
        <w:rPr>
          <w:rFonts w:hint="eastAsia" w:ascii="宋体" w:hAnsi="宋体"/>
          <w:color w:val="000000" w:themeColor="text1"/>
          <w:sz w:val="24"/>
          <w:highlight w:val="none"/>
          <w:lang w:val="en-US" w:eastAsia="zh-CN"/>
          <w14:textFill>
            <w14:solidFill>
              <w14:schemeClr w14:val="tx1"/>
            </w14:solidFill>
          </w14:textFill>
        </w:rPr>
        <w:t>先生</w:t>
      </w:r>
      <w:r>
        <w:rPr>
          <w:rFonts w:hint="eastAsia" w:ascii="宋体" w:hAnsi="宋体"/>
          <w:color w:val="000000" w:themeColor="text1"/>
          <w:sz w:val="24"/>
          <w:highlight w:val="none"/>
          <w14:textFill>
            <w14:solidFill>
              <w14:schemeClr w14:val="tx1"/>
            </w14:solidFill>
          </w14:textFill>
        </w:rPr>
        <w:t xml:space="preserve">    </w:t>
      </w:r>
    </w:p>
    <w:p>
      <w:pPr>
        <w:pStyle w:val="30"/>
        <w:adjustRightInd w:val="0"/>
        <w:snapToGrid w:val="0"/>
        <w:spacing w:after="0" w:line="5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联系方式：</w:t>
      </w:r>
      <w:r>
        <w:rPr>
          <w:rFonts w:hint="eastAsia" w:ascii="宋体" w:hAnsi="宋体"/>
          <w:color w:val="000000" w:themeColor="text1"/>
          <w:sz w:val="24"/>
          <w:highlight w:val="none"/>
          <w:lang w:val="en-US" w:eastAsia="zh-CN"/>
          <w14:textFill>
            <w14:solidFill>
              <w14:schemeClr w14:val="tx1"/>
            </w14:solidFill>
          </w14:textFill>
        </w:rPr>
        <w:t>13673855598</w:t>
      </w:r>
      <w:r>
        <w:rPr>
          <w:rFonts w:hint="eastAsia" w:ascii="宋体" w:hAnsi="宋体"/>
          <w:color w:val="000000" w:themeColor="text1"/>
          <w:sz w:val="24"/>
          <w:highlight w:val="none"/>
          <w14:textFill>
            <w14:solidFill>
              <w14:schemeClr w14:val="tx1"/>
            </w14:solidFill>
          </w14:textFill>
        </w:rPr>
        <w:t>　　</w:t>
      </w:r>
      <w:r>
        <w:rPr>
          <w:rFonts w:hint="eastAsia" w:ascii="宋体" w:hAnsi="宋体"/>
          <w:color w:val="000000" w:themeColor="text1"/>
          <w:sz w:val="24"/>
          <w14:textFill>
            <w14:solidFill>
              <w14:schemeClr w14:val="tx1"/>
            </w14:solidFill>
          </w14:textFill>
        </w:rPr>
        <w:t xml:space="preserve">　　　　　　　　　　　 </w:t>
      </w:r>
      <w:bookmarkStart w:id="33" w:name="_Toc28359086"/>
      <w:bookmarkStart w:id="34" w:name="_Toc28359009"/>
    </w:p>
    <w:p>
      <w:pPr>
        <w:pStyle w:val="30"/>
        <w:adjustRightInd w:val="0"/>
        <w:snapToGrid w:val="0"/>
        <w:spacing w:after="0" w:line="5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2.采购代理机构信息</w:t>
      </w:r>
      <w:bookmarkEnd w:id="33"/>
      <w:bookmarkEnd w:id="34"/>
    </w:p>
    <w:p>
      <w:pPr>
        <w:pStyle w:val="30"/>
        <w:adjustRightInd w:val="0"/>
        <w:snapToGrid w:val="0"/>
        <w:spacing w:after="0" w:line="5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招标代理机构名称：永道工程咨询（江苏）有限公司</w:t>
      </w:r>
    </w:p>
    <w:p>
      <w:pPr>
        <w:pStyle w:val="30"/>
        <w:adjustRightInd w:val="0"/>
        <w:snapToGrid w:val="0"/>
        <w:spacing w:after="0" w:line="5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地址：</w:t>
      </w:r>
      <w:bookmarkStart w:id="35" w:name="OLE_LINK1"/>
      <w:r>
        <w:rPr>
          <w:rFonts w:hint="eastAsia" w:ascii="宋体" w:hAnsi="宋体"/>
          <w:color w:val="000000" w:themeColor="text1"/>
          <w:sz w:val="24"/>
          <w:lang w:val="en-US" w:eastAsia="zh-CN"/>
          <w14:textFill>
            <w14:solidFill>
              <w14:schemeClr w14:val="tx1"/>
            </w14:solidFill>
          </w14:textFill>
        </w:rPr>
        <w:t>周口市交通路与工农路交叉口周口国贸1302室</w:t>
      </w:r>
      <w:bookmarkEnd w:id="35"/>
    </w:p>
    <w:p>
      <w:pPr>
        <w:pStyle w:val="30"/>
        <w:adjustRightInd w:val="0"/>
        <w:snapToGrid w:val="0"/>
        <w:spacing w:after="0" w:line="5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联系人：陈女士</w:t>
      </w:r>
    </w:p>
    <w:p>
      <w:pPr>
        <w:pStyle w:val="30"/>
        <w:adjustRightInd w:val="0"/>
        <w:snapToGrid w:val="0"/>
        <w:spacing w:after="0" w:line="5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联系方式：</w:t>
      </w:r>
      <w:bookmarkStart w:id="36" w:name="OLE_LINK5"/>
      <w:r>
        <w:rPr>
          <w:rFonts w:hint="eastAsia" w:ascii="宋体" w:hAnsi="宋体"/>
          <w:color w:val="000000" w:themeColor="text1"/>
          <w:sz w:val="24"/>
          <w:lang w:val="en-US" w:eastAsia="zh-CN"/>
          <w14:textFill>
            <w14:solidFill>
              <w14:schemeClr w14:val="tx1"/>
            </w14:solidFill>
          </w14:textFill>
        </w:rPr>
        <w:t>0394-7866627</w:t>
      </w:r>
    </w:p>
    <w:bookmarkEnd w:id="36"/>
    <w:p>
      <w:pPr>
        <w:pStyle w:val="30"/>
        <w:numPr>
          <w:ilvl w:val="0"/>
          <w:numId w:val="1"/>
        </w:numPr>
        <w:adjustRightInd w:val="0"/>
        <w:snapToGrid w:val="0"/>
        <w:spacing w:after="0" w:line="500" w:lineRule="exact"/>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监督部门</w:t>
      </w:r>
    </w:p>
    <w:p>
      <w:pPr>
        <w:pStyle w:val="30"/>
        <w:numPr>
          <w:ilvl w:val="0"/>
          <w:numId w:val="0"/>
        </w:numPr>
        <w:adjustRightInd w:val="0"/>
        <w:snapToGrid w:val="0"/>
        <w:spacing w:after="0" w:line="500" w:lineRule="exact"/>
        <w:rPr>
          <w:rFonts w:hint="default" w:ascii="宋体" w:hAnsi="宋体"/>
          <w:color w:val="000000"/>
          <w:sz w:val="24"/>
          <w:lang w:val="en-US" w:eastAsia="zh-CN"/>
        </w:rPr>
      </w:pPr>
      <w:r>
        <w:rPr>
          <w:rFonts w:hint="eastAsia" w:ascii="宋体" w:hAnsi="宋体"/>
          <w:color w:val="000000"/>
          <w:sz w:val="24"/>
          <w:lang w:val="en-US" w:eastAsia="zh-CN"/>
        </w:rPr>
        <w:t xml:space="preserve">    监督单位：项城市财政局</w:t>
      </w:r>
    </w:p>
    <w:bookmarkEnd w:id="32"/>
    <w:p/>
    <w:p>
      <w:pPr>
        <w:pStyle w:val="30"/>
        <w:adjustRightInd w:val="0"/>
        <w:snapToGrid w:val="0"/>
        <w:spacing w:after="0" w:line="500" w:lineRule="exact"/>
        <w:ind w:firstLine="480" w:firstLineChars="200"/>
        <w:rPr>
          <w:rFonts w:hint="eastAsia" w:ascii="宋体" w:hAnsi="宋体"/>
          <w:color w:val="000000" w:themeColor="text1"/>
          <w:sz w:val="24"/>
          <w:lang w:val="en-US" w:eastAsia="zh-CN"/>
          <w14:textFill>
            <w14:solidFill>
              <w14:schemeClr w14:val="tx1"/>
            </w14:solidFill>
          </w14:textFill>
        </w:rPr>
      </w:pPr>
    </w:p>
    <w:p>
      <w:pPr>
        <w:pStyle w:val="30"/>
        <w:adjustRightInd w:val="0"/>
        <w:snapToGrid w:val="0"/>
        <w:spacing w:after="0"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pStyle w:val="30"/>
        <w:adjustRightInd w:val="0"/>
        <w:snapToGrid w:val="0"/>
        <w:spacing w:after="0"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pStyle w:val="30"/>
        <w:adjustRightInd w:val="0"/>
        <w:snapToGrid w:val="0"/>
        <w:spacing w:after="0"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pStyle w:val="8"/>
        <w:adjustRightInd w:val="0"/>
        <w:snapToGrid w:val="0"/>
        <w:spacing w:line="500" w:lineRule="exact"/>
        <w:ind w:firstLine="3240" w:firstLineChars="1350"/>
        <w:rPr>
          <w:rFonts w:ascii="宋体" w:hAnsi="宋体" w:cs="宋体"/>
          <w:color w:val="000000" w:themeColor="text1"/>
          <w:sz w:val="24"/>
          <w14:textFill>
            <w14:solidFill>
              <w14:schemeClr w14:val="tx1"/>
            </w14:solidFill>
          </w14:textFill>
        </w:rPr>
      </w:pPr>
    </w:p>
    <w:p>
      <w:pPr>
        <w:pStyle w:val="8"/>
        <w:adjustRightInd w:val="0"/>
        <w:snapToGrid w:val="0"/>
        <w:spacing w:line="500" w:lineRule="exact"/>
        <w:ind w:firstLine="3240" w:firstLineChars="1350"/>
        <w:rPr>
          <w:rFonts w:ascii="宋体" w:hAnsi="宋体" w:cs="宋体"/>
          <w:color w:val="000000" w:themeColor="text1"/>
          <w:sz w:val="24"/>
          <w14:textFill>
            <w14:solidFill>
              <w14:schemeClr w14:val="tx1"/>
            </w14:solidFill>
          </w14:textFill>
        </w:rPr>
      </w:pPr>
    </w:p>
    <w:p>
      <w:pPr>
        <w:pStyle w:val="8"/>
        <w:adjustRightInd w:val="0"/>
        <w:snapToGrid w:val="0"/>
        <w:spacing w:line="500" w:lineRule="exact"/>
        <w:ind w:firstLine="3240" w:firstLineChars="1350"/>
        <w:rPr>
          <w:rFonts w:ascii="宋体" w:hAnsi="宋体" w:cs="宋体"/>
          <w:color w:val="000000" w:themeColor="text1"/>
          <w:sz w:val="24"/>
          <w14:textFill>
            <w14:solidFill>
              <w14:schemeClr w14:val="tx1"/>
            </w14:solidFill>
          </w14:textFill>
        </w:rPr>
      </w:pPr>
    </w:p>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pStyle w:val="22"/>
        <w:ind w:firstLine="3213" w:firstLineChars="1000"/>
        <w:jc w:val="both"/>
        <w:rPr>
          <w:color w:val="000000" w:themeColor="text1"/>
          <w14:textFill>
            <w14:solidFill>
              <w14:schemeClr w14:val="tx1"/>
            </w14:solidFill>
          </w14:textFill>
        </w:rPr>
      </w:pPr>
      <w:bookmarkStart w:id="37" w:name="_Toc195875464"/>
      <w:r>
        <w:rPr>
          <w:rFonts w:hint="eastAsia"/>
          <w:color w:val="000000" w:themeColor="text1"/>
          <w14:textFill>
            <w14:solidFill>
              <w14:schemeClr w14:val="tx1"/>
            </w14:solidFill>
          </w14:textFill>
        </w:rPr>
        <w:t>第二章    供应商须知</w:t>
      </w:r>
      <w:bookmarkEnd w:id="37"/>
    </w:p>
    <w:tbl>
      <w:tblPr>
        <w:tblStyle w:val="25"/>
        <w:tblW w:w="985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250"/>
        <w:gridCol w:w="68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859"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s="楷体_GB2312"/>
                <w:color w:val="000000" w:themeColor="text1"/>
                <w:sz w:val="32"/>
                <w:szCs w:val="32"/>
                <w14:textFill>
                  <w14:solidFill>
                    <w14:schemeClr w14:val="tx1"/>
                  </w14:solidFill>
                </w14:textFill>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5"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条款</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tc>
        <w:tc>
          <w:tcPr>
            <w:tcW w:w="6834" w:type="dxa"/>
            <w:vAlign w:val="center"/>
          </w:tcPr>
          <w:p>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lang w:eastAsia="zh-CN"/>
                <w14:textFill>
                  <w14:solidFill>
                    <w14:schemeClr w14:val="tx1"/>
                  </w14:solidFill>
                </w14:textFill>
              </w:rPr>
              <w:t>项城市发展和改革委员会项城市社会信用体系建设综合运维服务项目</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采购内容：</w:t>
            </w:r>
            <w:r>
              <w:rPr>
                <w:rFonts w:hint="eastAsia" w:ascii="宋体" w:hAnsi="宋体" w:cs="宋体"/>
                <w:color w:val="000000" w:themeColor="text1"/>
                <w:sz w:val="24"/>
                <w:lang w:eastAsia="zh-CN"/>
                <w14:textFill>
                  <w14:solidFill>
                    <w14:schemeClr w14:val="tx1"/>
                  </w14:solidFill>
                </w14:textFill>
              </w:rPr>
              <w:t>社会信用体系建设综合运维服务</w:t>
            </w:r>
            <w:r>
              <w:rPr>
                <w:rFonts w:hint="eastAsia" w:ascii="宋体" w:hAnsi="宋体" w:cs="宋体"/>
                <w:color w:val="000000" w:themeColor="text1"/>
                <w:sz w:val="24"/>
                <w14:textFill>
                  <w14:solidFill>
                    <w14:schemeClr w14:val="tx1"/>
                  </w14:solidFill>
                </w14:textFill>
              </w:rPr>
              <w:t>。</w:t>
            </w:r>
          </w:p>
          <w:p>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lang w:eastAsia="zh-CN"/>
                <w14:textFill>
                  <w14:solidFill>
                    <w14:schemeClr w14:val="tx1"/>
                  </w14:solidFill>
                </w14:textFill>
              </w:rPr>
              <w:t>项城市发展和改革委员会</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w:t>
            </w:r>
            <w:r>
              <w:rPr>
                <w:rFonts w:hint="eastAsia" w:ascii="宋体" w:hAnsi="宋体"/>
                <w:color w:val="000000" w:themeColor="text1"/>
                <w:sz w:val="24"/>
                <w:lang w:val="en-US" w:eastAsia="zh-CN"/>
                <w14:textFill>
                  <w14:solidFill>
                    <w14:schemeClr w14:val="tx1"/>
                  </w14:solidFill>
                </w14:textFill>
              </w:rPr>
              <w:t>永道工程咨询（江苏）有限公司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ind w:left="-4" w:leftChars="-4" w:hanging="4" w:hangingChars="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对供应商的资格要求</w:t>
            </w:r>
          </w:p>
        </w:tc>
        <w:tc>
          <w:tcPr>
            <w:tcW w:w="6834" w:type="dxa"/>
            <w:vAlign w:val="center"/>
          </w:tcPr>
          <w:p>
            <w:pPr>
              <w:spacing w:before="156" w:beforeLines="50"/>
              <w:ind w:left="-4" w:leftChars="-4" w:hanging="4" w:hangingChars="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报价费用</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无论报价和磋商的过程和结果如何，供应商自行承担所有与参加报价及磋商有关活动的全部费用。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75" w:type="dxa"/>
            <w:vAlign w:val="center"/>
          </w:tcPr>
          <w:p>
            <w:pPr>
              <w:numPr>
                <w:ilvl w:val="0"/>
                <w:numId w:val="2"/>
              </w:numPr>
              <w:spacing w:before="156" w:beforeLines="50"/>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响应文件语言</w:t>
            </w:r>
          </w:p>
        </w:tc>
        <w:tc>
          <w:tcPr>
            <w:tcW w:w="6834" w:type="dxa"/>
            <w:vAlign w:val="center"/>
          </w:tcPr>
          <w:p>
            <w:pPr>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75" w:type="dxa"/>
            <w:vAlign w:val="center"/>
          </w:tcPr>
          <w:p>
            <w:pPr>
              <w:numPr>
                <w:ilvl w:val="0"/>
                <w:numId w:val="2"/>
              </w:numPr>
              <w:spacing w:before="156" w:beforeLines="50"/>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报价货币</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报价范围及说明</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报价包括本项目所招标的服务、保险、税费、验收等（采购项目技术规格、参数及要求）。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响应文件有效期</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响应文件递交截止期后60日内有效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tabs>
                <w:tab w:val="left" w:pos="8640"/>
              </w:tabs>
              <w:spacing w:before="156" w:beforeLines="50"/>
              <w:ind w:left="-2" w:leftChars="-1"/>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响应文件的组成</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tabs>
                <w:tab w:val="left" w:pos="8640"/>
              </w:tabs>
              <w:spacing w:before="156" w:beforeLines="50"/>
              <w:ind w:left="-2" w:leftChars="-1"/>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响应文件封面要求</w:t>
            </w:r>
          </w:p>
        </w:tc>
        <w:tc>
          <w:tcPr>
            <w:tcW w:w="6834" w:type="dxa"/>
            <w:vAlign w:val="center"/>
          </w:tcPr>
          <w:p>
            <w:pPr>
              <w:tabs>
                <w:tab w:val="left" w:pos="864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响应文件封面须包含项目名称、项目编号、供应商名称、地址、联系人及联系电话等内容。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响应文件份数要求</w:t>
            </w:r>
          </w:p>
        </w:tc>
        <w:tc>
          <w:tcPr>
            <w:tcW w:w="6834" w:type="dxa"/>
            <w:vAlign w:val="center"/>
          </w:tcPr>
          <w:p>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响应文件装订和密封要求</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竞争性磋商文件的澄清</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对竞争性磋商文件进行的澄清，以网上公告的方式通知供应商。澄清或修改的内容可能影响响应文件编制的，采购人、采购代理机构应当在提交响应文件截止时间至少5日前。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响应文件递交截止时间</w:t>
            </w:r>
          </w:p>
        </w:tc>
        <w:tc>
          <w:tcPr>
            <w:tcW w:w="6834"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响应文件递交地点</w:t>
            </w:r>
          </w:p>
        </w:tc>
        <w:tc>
          <w:tcPr>
            <w:tcW w:w="6834" w:type="dxa"/>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周口市公共资源交易中心网</w:t>
            </w:r>
          </w:p>
          <w:p>
            <w:pP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网址：周口市公共资源电子交易服务平台会员系统（网址</w:t>
            </w:r>
            <w:r>
              <w:rPr>
                <w:rFonts w:hint="eastAsia" w:ascii="宋体" w:hAnsi="宋体"/>
                <w:color w:val="000000" w:themeColor="text1"/>
                <w14:textFill>
                  <w14:solidFill>
                    <w14:schemeClr w14:val="tx1"/>
                  </w14:solidFill>
                </w14:textFill>
              </w:rPr>
              <w:t>http://jyzx.zhoukou.gov.cn）</w:t>
            </w:r>
          </w:p>
          <w:p>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磋商时间</w:t>
            </w:r>
          </w:p>
        </w:tc>
        <w:tc>
          <w:tcPr>
            <w:tcW w:w="6834" w:type="dxa"/>
            <w:vAlign w:val="center"/>
          </w:tcPr>
          <w:p>
            <w:pPr>
              <w:tabs>
                <w:tab w:val="left" w:pos="864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磋商程序和内容</w:t>
            </w:r>
          </w:p>
        </w:tc>
        <w:tc>
          <w:tcPr>
            <w:tcW w:w="6834" w:type="dxa"/>
            <w:vAlign w:val="center"/>
          </w:tcPr>
          <w:p>
            <w:pPr>
              <w:tabs>
                <w:tab w:val="left" w:pos="864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授予合同</w:t>
            </w:r>
          </w:p>
        </w:tc>
        <w:tc>
          <w:tcPr>
            <w:tcW w:w="6834" w:type="dxa"/>
            <w:vAlign w:val="center"/>
          </w:tcPr>
          <w:p>
            <w:pPr>
              <w:tabs>
                <w:tab w:val="left" w:pos="864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ind w:firstLine="14" w:firstLine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签订合同</w:t>
            </w:r>
          </w:p>
        </w:tc>
        <w:tc>
          <w:tcPr>
            <w:tcW w:w="6834" w:type="dxa"/>
            <w:vAlign w:val="center"/>
          </w:tcPr>
          <w:p>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1）接到成交通知书30天内，成交供应商应与采购人签订采购合同。</w:t>
            </w:r>
          </w:p>
          <w:p>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ind w:firstLine="14" w:firstLine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w:t>
            </w:r>
          </w:p>
        </w:tc>
        <w:tc>
          <w:tcPr>
            <w:tcW w:w="6834" w:type="dxa"/>
            <w:vAlign w:val="center"/>
          </w:tcPr>
          <w:p>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本项目不需要交纳投标保证金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服务期限</w:t>
            </w:r>
          </w:p>
        </w:tc>
        <w:tc>
          <w:tcPr>
            <w:tcW w:w="6834" w:type="dxa"/>
            <w:vAlign w:val="center"/>
          </w:tcPr>
          <w:p>
            <w:pPr>
              <w:autoSpaceDE w:val="0"/>
              <w:autoSpaceDN w:val="0"/>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本次一年，满后合同约定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spacing w:before="156" w:beforeLines="50"/>
              <w:ind w:firstLine="14" w:firstLine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6834" w:type="dxa"/>
            <w:vAlign w:val="center"/>
          </w:tcPr>
          <w:p>
            <w:pPr>
              <w:tabs>
                <w:tab w:val="left" w:pos="8640"/>
              </w:tabs>
              <w:jc w:val="left"/>
              <w:rPr>
                <w:rFonts w:ascii="宋体" w:hAnsi="宋体" w:cs="宋体"/>
                <w:color w:val="000000" w:themeColor="text1"/>
                <w:sz w:val="24"/>
                <w14:textFill>
                  <w14:solidFill>
                    <w14:schemeClr w14:val="tx1"/>
                  </w14:solidFill>
                </w14:textFill>
              </w:rPr>
            </w:pPr>
            <w:r>
              <w:rPr>
                <w:rFonts w:hint="eastAsia" w:ascii="宋体" w:hAnsi="宋体"/>
                <w:sz w:val="24"/>
              </w:rPr>
              <w:t>服务结束验收合格后支付全部费用</w:t>
            </w:r>
            <w:r>
              <w:rPr>
                <w:rFonts w:hint="eastAsia" w:ascii="宋体" w:hAnsi="宋体" w:cs="宋体"/>
                <w:color w:val="000000" w:themeColor="text1"/>
                <w:sz w:val="24"/>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报价</w:t>
            </w:r>
          </w:p>
        </w:tc>
        <w:tc>
          <w:tcPr>
            <w:tcW w:w="6834" w:type="dxa"/>
            <w:vAlign w:val="center"/>
          </w:tcPr>
          <w:p>
            <w:pPr>
              <w:tabs>
                <w:tab w:val="left" w:pos="8640"/>
              </w:tabs>
              <w:jc w:val="left"/>
              <w:rPr>
                <w:rFonts w:ascii="宋体" w:hAnsi="宋体" w:cs="宋体"/>
                <w:b/>
                <w:bCs/>
                <w:color w:val="000000" w:themeColor="text1"/>
                <w:sz w:val="24"/>
                <w:u w:val="singl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一次报价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质量</w:t>
            </w:r>
          </w:p>
        </w:tc>
        <w:tc>
          <w:tcPr>
            <w:tcW w:w="6834" w:type="dxa"/>
            <w:vAlign w:val="center"/>
          </w:tcPr>
          <w:p>
            <w:pPr>
              <w:tabs>
                <w:tab w:val="left" w:pos="8640"/>
              </w:tabs>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75" w:type="dxa"/>
            <w:vAlign w:val="center"/>
          </w:tcPr>
          <w:p>
            <w:pPr>
              <w:numPr>
                <w:ilvl w:val="0"/>
                <w:numId w:val="2"/>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所属行业类别</w:t>
            </w:r>
          </w:p>
        </w:tc>
        <w:tc>
          <w:tcPr>
            <w:tcW w:w="6834" w:type="dxa"/>
            <w:vAlign w:val="center"/>
          </w:tcPr>
          <w:p>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技术服务</w:t>
            </w:r>
            <w:r>
              <w:rPr>
                <w:rFonts w:hint="eastAsia" w:ascii="宋体" w:hAnsi="宋体" w:cs="宋体"/>
                <w:b/>
                <w:bCs/>
                <w:color w:val="000000" w:themeColor="text1"/>
                <w:sz w:val="24"/>
                <w14:textFill>
                  <w14:solidFill>
                    <w14:schemeClr w14:val="tx1"/>
                  </w14:solidFill>
                </w14:textFill>
              </w:rPr>
              <w:t>。</w:t>
            </w:r>
          </w:p>
        </w:tc>
      </w:tr>
    </w:tbl>
    <w:p>
      <w:pPr>
        <w:pStyle w:val="24"/>
        <w:ind w:firstLine="0" w:firstLineChars="0"/>
        <w:rPr>
          <w:rFonts w:ascii="宋体" w:hAnsi="宋体" w:eastAsia="宋体" w:cs="宋体"/>
          <w:b/>
          <w:color w:val="000000" w:themeColor="text1"/>
          <w:sz w:val="30"/>
          <w:szCs w:val="30"/>
          <w14:textFill>
            <w14:solidFill>
              <w14:schemeClr w14:val="tx1"/>
            </w14:solidFill>
          </w14:textFill>
        </w:rPr>
      </w:pPr>
    </w:p>
    <w:p>
      <w:pPr>
        <w:spacing w:line="720" w:lineRule="auto"/>
        <w:jc w:val="center"/>
        <w:rPr>
          <w:rFonts w:ascii="宋体" w:hAnsi="宋体" w:cs="宋体"/>
          <w:b/>
          <w:color w:val="000000" w:themeColor="text1"/>
          <w:sz w:val="30"/>
          <w:szCs w:val="30"/>
          <w14:textFill>
            <w14:solidFill>
              <w14:schemeClr w14:val="tx1"/>
            </w14:solidFill>
          </w14:textFill>
        </w:rPr>
      </w:pPr>
    </w:p>
    <w:p>
      <w:pPr>
        <w:spacing w:line="720" w:lineRule="auto"/>
        <w:jc w:val="center"/>
        <w:rPr>
          <w:rFonts w:ascii="宋体" w:hAnsi="宋体" w:cs="宋体"/>
          <w:b/>
          <w:color w:val="000000" w:themeColor="text1"/>
          <w:sz w:val="30"/>
          <w:szCs w:val="30"/>
          <w14:textFill>
            <w14:solidFill>
              <w14:schemeClr w14:val="tx1"/>
            </w14:solidFill>
          </w14:textFill>
        </w:rPr>
      </w:pPr>
    </w:p>
    <w:p>
      <w:pPr>
        <w:spacing w:line="720" w:lineRule="auto"/>
        <w:jc w:val="center"/>
        <w:rPr>
          <w:rFonts w:ascii="宋体" w:hAnsi="宋体" w:cs="宋体"/>
          <w:b/>
          <w:color w:val="000000" w:themeColor="text1"/>
          <w:sz w:val="30"/>
          <w:szCs w:val="30"/>
          <w14:textFill>
            <w14:solidFill>
              <w14:schemeClr w14:val="tx1"/>
            </w14:solidFill>
          </w14:textFill>
        </w:rPr>
      </w:pPr>
    </w:p>
    <w:p>
      <w:pPr>
        <w:spacing w:line="720" w:lineRule="auto"/>
        <w:jc w:val="center"/>
        <w:rPr>
          <w:rFonts w:ascii="宋体" w:hAnsi="宋体" w:cs="宋体"/>
          <w:b/>
          <w:color w:val="000000" w:themeColor="text1"/>
          <w:sz w:val="30"/>
          <w:szCs w:val="30"/>
          <w14:textFill>
            <w14:solidFill>
              <w14:schemeClr w14:val="tx1"/>
            </w14:solidFill>
          </w14:textFill>
        </w:rPr>
      </w:pPr>
    </w:p>
    <w:p>
      <w:pPr>
        <w:pStyle w:val="18"/>
        <w:rPr>
          <w:color w:val="000000" w:themeColor="text1"/>
          <w:sz w:val="30"/>
          <w:szCs w:val="30"/>
          <w14:textFill>
            <w14:solidFill>
              <w14:schemeClr w14:val="tx1"/>
            </w14:solidFill>
          </w14:textFill>
        </w:rPr>
      </w:pPr>
      <w:bookmarkStart w:id="38" w:name="_Toc195875465"/>
      <w:r>
        <w:rPr>
          <w:rFonts w:hint="eastAsia"/>
          <w:color w:val="000000" w:themeColor="text1"/>
          <w:sz w:val="30"/>
          <w:szCs w:val="30"/>
          <w14:textFill>
            <w14:solidFill>
              <w14:schemeClr w14:val="tx1"/>
            </w14:solidFill>
          </w14:textFill>
        </w:rPr>
        <w:t>一、总则</w:t>
      </w:r>
      <w:bookmarkEnd w:id="38"/>
    </w:p>
    <w:p>
      <w:pPr>
        <w:spacing w:line="5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1．适用范围</w:t>
      </w:r>
    </w:p>
    <w:p>
      <w:pPr>
        <w:spacing w:line="5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1.1本竞争性磋商文件仅适用于本次竞争性磋商邀请函中所述</w:t>
      </w:r>
      <w:r>
        <w:rPr>
          <w:rFonts w:hint="eastAsia" w:ascii="宋体" w:hAnsi="宋体" w:cs="宋体"/>
          <w:bCs/>
          <w:color w:val="000000" w:themeColor="text1"/>
          <w:sz w:val="24"/>
          <w14:textFill>
            <w14:solidFill>
              <w14:schemeClr w14:val="tx1"/>
            </w14:solidFill>
          </w14:textFill>
        </w:rPr>
        <w:t>项目。</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2．定义</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2.1“采购代理机构”：</w:t>
      </w:r>
      <w:r>
        <w:rPr>
          <w:rFonts w:hint="eastAsia" w:ascii="宋体" w:hAnsi="宋体" w:cs="宋体"/>
          <w:b/>
          <w:bCs/>
          <w:color w:val="000000" w:themeColor="text1"/>
          <w:sz w:val="24"/>
          <w:lang w:val="en-US" w:eastAsia="zh-CN"/>
          <w14:textFill>
            <w14:solidFill>
              <w14:schemeClr w14:val="tx1"/>
            </w14:solidFill>
          </w14:textFill>
        </w:rPr>
        <w:t>永道工程咨询（江苏）有限公司</w:t>
      </w:r>
      <w:r>
        <w:rPr>
          <w:rFonts w:hint="eastAsia" w:ascii="宋体" w:hAnsi="宋体" w:cs="宋体"/>
          <w:color w:val="000000" w:themeColor="text1"/>
          <w:sz w:val="24"/>
          <w14:textFill>
            <w14:solidFill>
              <w14:schemeClr w14:val="tx1"/>
            </w14:solidFill>
          </w14:textFill>
        </w:rPr>
        <w:t>。</w:t>
      </w:r>
    </w:p>
    <w:p>
      <w:pPr>
        <w:tabs>
          <w:tab w:val="left" w:pos="0"/>
        </w:tabs>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2.2“采购人”：</w:t>
      </w:r>
      <w:r>
        <w:rPr>
          <w:rFonts w:hint="eastAsia" w:ascii="宋体" w:hAnsi="宋体" w:cs="宋体"/>
          <w:b/>
          <w:bCs/>
          <w:color w:val="000000" w:themeColor="text1"/>
          <w:sz w:val="24"/>
          <w14:textFill>
            <w14:solidFill>
              <w14:schemeClr w14:val="tx1"/>
            </w14:solidFill>
          </w14:textFill>
        </w:rPr>
        <w:t xml:space="preserve">  </w:t>
      </w:r>
      <w:r>
        <w:rPr>
          <w:rFonts w:hint="eastAsia" w:ascii="宋体" w:hAnsi="宋体" w:cs="宋体"/>
          <w:b/>
          <w:bCs/>
          <w:color w:val="000000" w:themeColor="text1"/>
          <w:sz w:val="24"/>
          <w:lang w:eastAsia="zh-CN"/>
          <w14:textFill>
            <w14:solidFill>
              <w14:schemeClr w14:val="tx1"/>
            </w14:solidFill>
          </w14:textFill>
        </w:rPr>
        <w:t>项城市发展和改革委员会</w:t>
      </w:r>
      <w:r>
        <w:rPr>
          <w:rFonts w:hint="eastAsia" w:ascii="宋体" w:hAnsi="宋体" w:cs="宋体"/>
          <w:color w:val="000000" w:themeColor="text1"/>
          <w:sz w:val="24"/>
          <w14:textFill>
            <w14:solidFill>
              <w14:schemeClr w14:val="tx1"/>
            </w14:solidFill>
          </w14:textFill>
        </w:rPr>
        <w:t>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2.3“供应商”系指按竞争性磋商文件规定取得竞争性磋商文件并参加竞争性磋商活动的法人、其他组织或者自然人。</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2.4“供应商代表”：系指代表供应商参加本次竞争性磋商活动的供应商的法定代表人或其委托代理人。（本项目供应商代表须为本单位正式员工，提供劳动合同或社保缴纳证明。）</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2.5“服务”：系指本项目所采购的服务及其他要求等。</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2.7“重大违法记录”系指供应商因违法经营受到刑事处罚或者责令停产停业、吊销许可证或者执照、较大数额罚款等行政处罚。</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2.8“不具备良好的商业信誉”是指：</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（1）有重大违法记录的（满三年的除外）；</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（2）被各级财政部门列入政府采购严重违法失信行为信息记录的（期限已满的除外）；</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（3）被各级政府采购监督管理部门禁止在一定期限内参加政府采购活动等处罚的（期限已满的除外）；</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（4）被各级法院列入失信名单的（已依法解除的除外）；</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（5）法律法规规定的其他情形。</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3.采购预算</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3.1本次采购预算：见公告。</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4.合格的供应商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4.1.1符合供应商资格条件（详见第一部分供应商资格条件），合格的供应商须出具声明函，格式自拟。</w:t>
      </w:r>
    </w:p>
    <w:p>
      <w:pPr>
        <w:widowControl/>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4.1.2参加政府采购活动前三年内，在经营活动中没有重大违法记录的声明函；</w:t>
      </w:r>
    </w:p>
    <w:p>
      <w:pPr>
        <w:widowControl/>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4.1.3 政府采购供应商诚信承诺书；</w:t>
      </w:r>
    </w:p>
    <w:p>
      <w:pPr>
        <w:pStyle w:val="34"/>
        <w:spacing w:line="360" w:lineRule="auto"/>
        <w:ind w:firstLine="480" w:firstLineChars="200"/>
        <w:rPr>
          <w:rFonts w:hAnsi="宋体" w:eastAsia="宋体"/>
          <w:color w:val="000000" w:themeColor="text1"/>
          <w:sz w:val="24"/>
          <w14:textFill>
            <w14:solidFill>
              <w14:schemeClr w14:val="tx1"/>
            </w14:solidFill>
          </w14:textFill>
        </w:rPr>
      </w:pPr>
      <w:r>
        <w:rPr>
          <w:rFonts w:hint="eastAsia" w:hAnsi="宋体" w:eastAsia="宋体"/>
          <w:color w:val="000000" w:themeColor="text1"/>
          <w:sz w:val="24"/>
          <w14:textFill>
            <w14:solidFill>
              <w14:schemeClr w14:val="tx1"/>
            </w14:solidFill>
          </w14:textFill>
        </w:rPr>
        <w:t>4.</w:t>
      </w:r>
      <w:r>
        <w:rPr>
          <w:rFonts w:hint="eastAsia" w:hAnsi="宋体" w:eastAsia="宋体"/>
          <w:color w:val="000000" w:themeColor="text1"/>
          <w:sz w:val="24"/>
          <w:lang w:val="en-US"/>
          <w14:textFill>
            <w14:solidFill>
              <w14:schemeClr w14:val="tx1"/>
            </w14:solidFill>
          </w14:textFill>
        </w:rPr>
        <w:t>1.4 供应商</w:t>
      </w:r>
      <w:r>
        <w:rPr>
          <w:rFonts w:hint="eastAsia" w:hAnsi="宋体" w:eastAsia="宋体"/>
          <w:color w:val="000000" w:themeColor="text1"/>
          <w:sz w:val="24"/>
          <w14:textFill>
            <w14:solidFill>
              <w14:schemeClr w14:val="tx1"/>
            </w14:solidFill>
          </w14:textFill>
        </w:rPr>
        <w:t>自觉抵制政府采购领域商业贿赂行为承诺书；</w:t>
      </w:r>
    </w:p>
    <w:p>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4.2 </w:t>
      </w:r>
      <w:r>
        <w:rPr>
          <w:rFonts w:hint="eastAsia" w:ascii="宋体" w:hAnsi="宋体" w:cs="宋体"/>
          <w:color w:val="000000" w:themeColor="text1"/>
          <w:kern w:val="0"/>
          <w:sz w:val="24"/>
          <w14:textFill>
            <w14:solidFill>
              <w14:schemeClr w14:val="tx1"/>
            </w14:solidFill>
          </w14:textFill>
        </w:rPr>
        <w:t>供应商需提供售后服务体系与承诺</w:t>
      </w:r>
      <w:r>
        <w:rPr>
          <w:rFonts w:hint="eastAsia" w:ascii="宋体" w:hAnsi="宋体" w:cs="宋体"/>
          <w:color w:val="000000" w:themeColor="text1"/>
          <w:kern w:val="0"/>
          <w:sz w:val="24"/>
          <w:lang w:val="zh-CN"/>
          <w14:textFill>
            <w14:solidFill>
              <w14:schemeClr w14:val="tx1"/>
            </w14:solidFill>
          </w14:textFill>
        </w:rPr>
        <w:t>。</w:t>
      </w:r>
    </w:p>
    <w:p>
      <w:pPr>
        <w:pStyle w:val="34"/>
        <w:spacing w:line="360" w:lineRule="auto"/>
        <w:ind w:firstLine="480" w:firstLineChars="200"/>
        <w:rPr>
          <w:rFonts w:hAnsi="宋体" w:eastAsia="宋体"/>
          <w:color w:val="000000" w:themeColor="text1"/>
          <w:sz w:val="24"/>
          <w14:textFill>
            <w14:solidFill>
              <w14:schemeClr w14:val="tx1"/>
            </w14:solidFill>
          </w14:textFill>
        </w:rPr>
      </w:pPr>
      <w:r>
        <w:rPr>
          <w:rFonts w:hint="eastAsia" w:hAnsi="宋体" w:eastAsia="宋体"/>
          <w:color w:val="000000" w:themeColor="text1"/>
          <w:sz w:val="24"/>
          <w14:textFill>
            <w14:solidFill>
              <w14:schemeClr w14:val="tx1"/>
            </w14:solidFill>
          </w14:textFill>
        </w:rPr>
        <w:t>4.</w:t>
      </w:r>
      <w:r>
        <w:rPr>
          <w:rFonts w:hint="eastAsia" w:hAnsi="宋体" w:eastAsia="宋体"/>
          <w:color w:val="000000" w:themeColor="text1"/>
          <w:sz w:val="24"/>
          <w:lang w:val="en-US"/>
          <w14:textFill>
            <w14:solidFill>
              <w14:schemeClr w14:val="tx1"/>
            </w14:solidFill>
          </w14:textFill>
        </w:rPr>
        <w:t>3</w:t>
      </w:r>
      <w:r>
        <w:rPr>
          <w:rFonts w:hint="eastAsia" w:hAnsi="宋体" w:eastAsia="宋体"/>
          <w:color w:val="000000" w:themeColor="text1"/>
          <w:sz w:val="24"/>
          <w14:textFill>
            <w14:solidFill>
              <w14:schemeClr w14:val="tx1"/>
            </w14:solidFill>
          </w14:textFill>
        </w:rPr>
        <w:t>符合本竞争性磋商文件规定的供应商资格要求及项目要求的其它条件，并按照要求提供相关证明材料,供应商所提交的涉及投标资格审查、符合性审查的相关证明材料均须标注“与原件一致”字样。</w:t>
      </w:r>
    </w:p>
    <w:p>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4.4供应商应承诺遵守国家法律、法规有关竞争性磋商的规定。</w:t>
      </w:r>
    </w:p>
    <w:p>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4.5 凡通过磋商小组符合性审查的供应商均为合格供应商。未通过符合性审查的供应商将视为不响应本项目的竞争性磋商文件被否决。</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5.竞争性磋商文件的约束力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5.l供应商一旦参加竞争性磋商，即被认为接受了本竞争性磋商文件中的所有条款和规定。</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5.3本磋商文件由采购人负责解释。</w:t>
      </w:r>
    </w:p>
    <w:p>
      <w:pPr>
        <w:pStyle w:val="18"/>
        <w:rPr>
          <w:color w:val="000000" w:themeColor="text1"/>
          <w:sz w:val="30"/>
          <w:szCs w:val="30"/>
          <w14:textFill>
            <w14:solidFill>
              <w14:schemeClr w14:val="tx1"/>
            </w14:solidFill>
          </w14:textFill>
        </w:rPr>
      </w:pPr>
      <w:bookmarkStart w:id="39" w:name="_Toc195875466"/>
      <w:r>
        <w:rPr>
          <w:rFonts w:hint="eastAsia"/>
          <w:color w:val="000000" w:themeColor="text1"/>
          <w:sz w:val="30"/>
          <w:szCs w:val="30"/>
          <w14:textFill>
            <w14:solidFill>
              <w14:schemeClr w14:val="tx1"/>
            </w14:solidFill>
          </w14:textFill>
        </w:rPr>
        <w:t>二、竞争性磋商文件</w:t>
      </w:r>
      <w:bookmarkEnd w:id="39"/>
    </w:p>
    <w:p>
      <w:pPr>
        <w:tabs>
          <w:tab w:val="left" w:pos="632"/>
          <w:tab w:val="left" w:pos="790"/>
        </w:tabs>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6．竞争性磋商文件的组成</w:t>
      </w:r>
    </w:p>
    <w:p>
      <w:pPr>
        <w:autoSpaceDE w:val="0"/>
        <w:autoSpaceDN w:val="0"/>
        <w:adjustRightIn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6.1竞争性磋商</w:t>
      </w:r>
      <w:r>
        <w:rPr>
          <w:rFonts w:hint="eastAsia" w:ascii="宋体" w:hAnsi="宋体" w:cs="宋体"/>
          <w:color w:val="000000" w:themeColor="text1"/>
          <w:sz w:val="24"/>
          <w:lang w:val="zh-CN"/>
          <w14:textFill>
            <w14:solidFill>
              <w14:schemeClr w14:val="tx1"/>
            </w14:solidFill>
          </w14:textFill>
        </w:rPr>
        <w:t>文件是用以阐明的采购需求、采购程序和合同格式等的规范性文件。竞争性磋商文件主要由以下部分组成：</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（1）竞争性磋商邀请函；</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（3）采购需求；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（4）响应性文件内容及格式；</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（5）合同主要条款。</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6.4供应商必须详阅竞争性磋商文件的所有条款、文件及表格格式等。供应商须承诺按竞争性磋商文件的要求和规范编制、提交响应性文件，否则将有可能导致响应性文件被拒绝接受或被视为无效。</w:t>
      </w:r>
    </w:p>
    <w:p>
      <w:pPr>
        <w:widowControl/>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7.竞争性磋商文件的澄清与修改</w:t>
      </w:r>
    </w:p>
    <w:p>
      <w:pPr>
        <w:autoSpaceDE w:val="0"/>
        <w:autoSpaceDN w:val="0"/>
        <w:adjustRightIn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autoSpaceDE w:val="0"/>
        <w:autoSpaceDN w:val="0"/>
        <w:adjustRightIn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7.2供应商应仔细阅读竞争性磋商文件的所有内容，如果有异议在规定的时间内提出，没有异议需做出“无异议”承诺书，承诺书作为响应文件的组织部分，否则为无效响应文件。</w:t>
      </w:r>
    </w:p>
    <w:p>
      <w:pPr>
        <w:pStyle w:val="18"/>
        <w:rPr>
          <w:color w:val="000000" w:themeColor="text1"/>
          <w:sz w:val="30"/>
          <w:szCs w:val="30"/>
          <w14:textFill>
            <w14:solidFill>
              <w14:schemeClr w14:val="tx1"/>
            </w14:solidFill>
          </w14:textFill>
        </w:rPr>
      </w:pPr>
      <w:bookmarkStart w:id="40" w:name="_Toc195875467"/>
      <w:r>
        <w:rPr>
          <w:rFonts w:hint="eastAsia"/>
          <w:color w:val="000000" w:themeColor="text1"/>
          <w:sz w:val="30"/>
          <w:szCs w:val="30"/>
          <w14:textFill>
            <w14:solidFill>
              <w14:schemeClr w14:val="tx1"/>
            </w14:solidFill>
          </w14:textFill>
        </w:rPr>
        <w:t>三、响应性文件的编制</w:t>
      </w:r>
      <w:bookmarkEnd w:id="40"/>
    </w:p>
    <w:p>
      <w:pPr>
        <w:spacing w:line="5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8.要求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8.1供应商应仔细阅读、并充分理解竞争性磋商文件的所有内容，按照竞争性磋商文件的要求编制、提交响应性文件。响应性文件应对竞争性磋商文件的要求作出实质性响应，</w:t>
      </w:r>
      <w:r>
        <w:rPr>
          <w:rFonts w:hint="eastAsia" w:ascii="宋体" w:hAnsi="宋体"/>
          <w:color w:val="000000" w:themeColor="text1"/>
          <w:spacing w:val="-3"/>
          <w:sz w:val="24"/>
          <w14:textFill>
            <w14:solidFill>
              <w14:schemeClr w14:val="tx1"/>
            </w14:solidFill>
          </w14:textFill>
        </w:rPr>
        <w:t>并声明所提供的全部资料</w:t>
      </w:r>
      <w:r>
        <w:rPr>
          <w:rFonts w:hint="eastAsia" w:ascii="宋体" w:hAnsi="宋体" w:cs="宋体"/>
          <w:color w:val="000000" w:themeColor="text1"/>
          <w:sz w:val="24"/>
          <w14:textFill>
            <w14:solidFill>
              <w14:schemeClr w14:val="tx1"/>
            </w14:solidFill>
          </w14:textFill>
        </w:rPr>
        <w:t>的真实性、合规性，否则其响应性文件将作为无效处理。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8.2任何对竞争性磋商文件的忽略或误解不能作为响应性文件没有完全响应竞争性磋商文件的有效理由。</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8.3供应商没有按照竞争性磋商文件要求提供全部资料，或者供应商没有对竞争性磋商文件在各方面都作出实质性响应是供应商的风险，并可能导致其响应性文件被拒绝。供应商不得相互串通投标报价，不得妨碍其他供应商的公平竞争，不得损害采购人或其他供应商的合法权益，供应商不得以向采购人、评委会成员行贿或者采取其他不正当手段谋取中标。对上述作出保证并附响应文件中，否则视为不响应竞争性磋商文件要求。</w:t>
      </w:r>
    </w:p>
    <w:p>
      <w:pPr>
        <w:widowControl/>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9.响应性文件的语言及度量衡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9.1响应性文件以及供应商与采购代理机构之间的所有书面往来都应用简体中文书写。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9.2供应商使用其他语言的，以中文翻译为准。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9.4本竞争性磋商文件所表述的时间均为北京时间。</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10.响应性文件的组成</w:t>
      </w:r>
    </w:p>
    <w:p>
      <w:pPr>
        <w:widowControl/>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10.1响应性文件由</w:t>
      </w:r>
      <w:r>
        <w:rPr>
          <w:rFonts w:hint="eastAsia" w:ascii="宋体" w:hAnsi="宋体" w:cs="宋体"/>
          <w:bCs/>
          <w:color w:val="000000" w:themeColor="text1"/>
          <w:sz w:val="24"/>
          <w:u w:val="single"/>
          <w14:textFill>
            <w14:solidFill>
              <w14:schemeClr w14:val="tx1"/>
            </w14:solidFill>
          </w14:textFill>
        </w:rPr>
        <w:t>资格性证明材料</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u w:val="single"/>
          <w14:textFill>
            <w14:solidFill>
              <w14:schemeClr w14:val="tx1"/>
            </w14:solidFill>
          </w14:textFill>
        </w:rPr>
        <w:t>符合性证明材料</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u w:val="single"/>
          <w14:textFill>
            <w14:solidFill>
              <w14:schemeClr w14:val="tx1"/>
            </w14:solidFill>
          </w14:textFill>
        </w:rPr>
        <w:t>其他材料</w:t>
      </w:r>
      <w:r>
        <w:rPr>
          <w:rFonts w:hint="eastAsia" w:ascii="宋体" w:hAnsi="宋体" w:cs="宋体"/>
          <w:color w:val="000000" w:themeColor="text1"/>
          <w:sz w:val="24"/>
          <w14:textFill>
            <w14:solidFill>
              <w14:schemeClr w14:val="tx1"/>
            </w14:solidFill>
          </w14:textFill>
        </w:rPr>
        <w:t>三部分组成。具体内容和格式见竞争性磋商文件</w:t>
      </w:r>
      <w:r>
        <w:rPr>
          <w:rFonts w:hint="eastAsia" w:ascii="宋体" w:hAnsi="宋体" w:cs="宋体"/>
          <w:bCs/>
          <w:color w:val="000000" w:themeColor="text1"/>
          <w:sz w:val="24"/>
          <w14:textFill>
            <w14:solidFill>
              <w14:schemeClr w14:val="tx1"/>
            </w14:solidFill>
          </w14:textFill>
        </w:rPr>
        <w:t>第四章</w:t>
      </w:r>
      <w:r>
        <w:rPr>
          <w:rFonts w:hint="eastAsia" w:ascii="宋体" w:hAnsi="宋体" w:cs="宋体"/>
          <w:color w:val="000000" w:themeColor="text1"/>
          <w:sz w:val="24"/>
          <w14:textFill>
            <w14:solidFill>
              <w14:schemeClr w14:val="tx1"/>
            </w14:solidFill>
          </w14:textFill>
        </w:rPr>
        <w:t>。</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11.响应性文件格式</w:t>
      </w:r>
    </w:p>
    <w:p>
      <w:pPr>
        <w:widowControl/>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11.2竞争性磋商文件应编制详细目录、连续页码，除特殊规格的图纸或方案、图片资料等外，均应按A4规格制作；</w:t>
      </w:r>
    </w:p>
    <w:p>
      <w:pPr>
        <w:widowControl/>
        <w:spacing w:line="56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12.竞争性磋商报价</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12.1报价包括所投服务、保险、税费、检测、验收和交付后约定期限内免费维保等工作所发生的一切应有费用。</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12.2供应商需保证自行承担参加本次采购活动有关的全部费用，采购组织人在任何情况下均无义务和责任承担上述费用。</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12.3经过磋商后进行的报价为供应商的最终报价。</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12.4采购人不接受有选择的报价。</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12.5最终报价不得超过采购预算。</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12.6报价均须以人民币为计算单位。</w:t>
      </w:r>
    </w:p>
    <w:p>
      <w:pPr>
        <w:spacing w:line="5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13．响应性文件有效期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13.l响应性文件有效期为自竞争性磋商开始之日起60天，有效期短于此规定的响应性文件将被视为无效。供应商须对此作出承诺，并保证在投标有效期内，不得撤销或修改投标响应文件。</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14.响应性文件的签署、盖章</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14.1</w:t>
      </w:r>
      <w:r>
        <w:rPr>
          <w:rFonts w:hint="eastAsia" w:ascii="宋体" w:hAnsi="宋体" w:cs="宋体"/>
          <w:color w:val="000000" w:themeColor="text1"/>
          <w:sz w:val="24"/>
          <w:lang w:val="zh-CN"/>
          <w14:textFill>
            <w14:solidFill>
              <w14:schemeClr w14:val="tx1"/>
            </w14:solidFill>
          </w14:textFill>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14.3供应商提交的资料应证明其满足竞争性磋商文件要求，该文件可以是文字资料、图纸和数据等详细描述的资料。</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15.电子投标文件制作，见周口市公共资源交易中心网站下载中心版块《投标单位-电子投标文件视频制作手册》的相关规定。</w:t>
      </w:r>
    </w:p>
    <w:p>
      <w:pPr>
        <w:pStyle w:val="18"/>
        <w:rPr>
          <w:color w:val="000000" w:themeColor="text1"/>
          <w:sz w:val="30"/>
          <w:szCs w:val="30"/>
          <w14:textFill>
            <w14:solidFill>
              <w14:schemeClr w14:val="tx1"/>
            </w14:solidFill>
          </w14:textFill>
        </w:rPr>
      </w:pPr>
      <w:bookmarkStart w:id="41" w:name="_Toc195875468"/>
      <w:r>
        <w:rPr>
          <w:rFonts w:hint="eastAsia"/>
          <w:color w:val="000000" w:themeColor="text1"/>
          <w:sz w:val="30"/>
          <w:szCs w:val="30"/>
          <w14:textFill>
            <w14:solidFill>
              <w14:schemeClr w14:val="tx1"/>
            </w14:solidFill>
          </w14:textFill>
        </w:rPr>
        <w:t>四、响应性文件的递交</w:t>
      </w:r>
      <w:bookmarkEnd w:id="41"/>
    </w:p>
    <w:p>
      <w:pPr>
        <w:autoSpaceDE w:val="0"/>
        <w:autoSpaceDN w:val="0"/>
        <w:adjustRightIn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pPr>
        <w:autoSpaceDE w:val="0"/>
        <w:autoSpaceDN w:val="0"/>
        <w:adjustRightInd w:val="0"/>
        <w:spacing w:line="500" w:lineRule="exact"/>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供应商须使用单位CA证书进行电子响应文件远程解密，详见周口市公共资源电子交易中心网站（网址：http://jyzx.zhoukou.gov.cn）办事指南</w:t>
      </w:r>
      <w:r>
        <w:rPr>
          <w:rFonts w:hint="eastAsia" w:ascii="宋体" w:hAnsi="宋体" w:cs="宋体"/>
          <w:bCs/>
          <w:color w:val="000000" w:themeColor="text1"/>
          <w:sz w:val="24"/>
          <w14:textFill>
            <w14:solidFill>
              <w14:schemeClr w14:val="tx1"/>
            </w14:solidFill>
          </w14:textFill>
        </w:rPr>
        <w:t>《不见面开标远程在线解密会员端操作手册操作指南》</w:t>
      </w:r>
      <w:r>
        <w:rPr>
          <w:rFonts w:hint="eastAsia" w:ascii="宋体" w:hAnsi="宋体" w:cs="宋体"/>
          <w:color w:val="000000" w:themeColor="text1"/>
          <w:sz w:val="24"/>
          <w14:textFill>
            <w14:solidFill>
              <w14:schemeClr w14:val="tx1"/>
            </w14:solidFill>
          </w14:textFill>
        </w:rPr>
        <w:t>。</w:t>
      </w:r>
    </w:p>
    <w:p>
      <w:pPr>
        <w:spacing w:line="56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16.响应性文件的递交</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16.2若采购人推迟了响应性文件接收截止时间，采购人和供应商受响应性文件接收截止时间制约的所有权利和义务均应以新的截止时间为准。 </w:t>
      </w:r>
    </w:p>
    <w:p>
      <w:pPr>
        <w:pStyle w:val="35"/>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17</w:t>
      </w:r>
      <w:r>
        <w:rPr>
          <w:rFonts w:hint="eastAsia" w:ascii="宋体" w:hAnsi="宋体"/>
          <w:b/>
          <w:color w:val="000000" w:themeColor="text1"/>
          <w:sz w:val="24"/>
          <w:szCs w:val="24"/>
          <w14:textFill>
            <w14:solidFill>
              <w14:schemeClr w14:val="tx1"/>
            </w14:solidFill>
          </w14:textFill>
        </w:rPr>
        <w:t>.响应性文件的修改和撤回</w:t>
      </w:r>
    </w:p>
    <w:p>
      <w:pPr>
        <w:pStyle w:val="35"/>
        <w:spacing w:line="560" w:lineRule="exact"/>
        <w:ind w:left="279" w:leftChars="133" w:firstLine="240" w:firstLineChars="100"/>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17.1供应商在提交响应性文件截止时间前，可以对已上传的响应文件进行撤回补充、修改或撤回，补充、修改之后进行再次上传，再次上传内容作为响应性文件的组成部分。</w:t>
      </w:r>
    </w:p>
    <w:p>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17.2响应性文件的补充、修改文件应按照本竞争性磋商文件有关规定进行密封、签署，修改后的加密的电子投标文件须在投标截止时间前成功上传。 </w:t>
      </w:r>
    </w:p>
    <w:p>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17.3供应商在响应性文件接收截止时间后不得修改、撤回响应性文件。供应商在响应性文件接收截止时间后修改响应性文件的，将被拒绝接受。</w:t>
      </w:r>
    </w:p>
    <w:p>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17.4供应商有下列情形之一的，采购人将拒绝接受其响应性文件：</w:t>
      </w:r>
    </w:p>
    <w:p>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17.4.1在竞争性磋商文件规定的响应性文件接收截止时间之后递交响应性文件的；</w:t>
      </w:r>
    </w:p>
    <w:p>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17.4.2响应性文件未按竞争性磋商文件规定密封、签署、盖章的；</w:t>
      </w:r>
    </w:p>
    <w:p>
      <w:pPr>
        <w:pStyle w:val="35"/>
        <w:spacing w:line="560" w:lineRule="exact"/>
        <w:ind w:firstLine="480" w:firstLineChars="20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17.4.3一个供应商不止递交一套响应性文件的。</w:t>
      </w:r>
    </w:p>
    <w:p>
      <w:pPr>
        <w:pStyle w:val="18"/>
        <w:rPr>
          <w:color w:val="000000" w:themeColor="text1"/>
          <w:sz w:val="30"/>
          <w:szCs w:val="30"/>
          <w14:textFill>
            <w14:solidFill>
              <w14:schemeClr w14:val="tx1"/>
            </w14:solidFill>
          </w14:textFill>
        </w:rPr>
      </w:pPr>
      <w:bookmarkStart w:id="42" w:name="_Toc195875469"/>
      <w:r>
        <w:rPr>
          <w:rFonts w:hint="eastAsia"/>
          <w:color w:val="000000" w:themeColor="text1"/>
          <w:sz w:val="30"/>
          <w:szCs w:val="30"/>
          <w14:textFill>
            <w14:solidFill>
              <w14:schemeClr w14:val="tx1"/>
            </w14:solidFill>
          </w14:textFill>
        </w:rPr>
        <w:t>五、竞争性磋商</w:t>
      </w:r>
      <w:bookmarkEnd w:id="42"/>
    </w:p>
    <w:p>
      <w:pPr>
        <w:spacing w:line="560" w:lineRule="exact"/>
        <w:ind w:firstLine="482" w:firstLineChars="200"/>
        <w:rPr>
          <w:rFonts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18.组建</w:t>
      </w:r>
      <w:r>
        <w:rPr>
          <w:rFonts w:hint="eastAsia" w:ascii="宋体" w:hAnsi="宋体" w:cs="宋体"/>
          <w:b/>
          <w:color w:val="000000" w:themeColor="text1"/>
          <w:sz w:val="24"/>
          <w:lang w:val="zh-CN"/>
          <w14:textFill>
            <w14:solidFill>
              <w14:schemeClr w14:val="tx1"/>
            </w14:solidFill>
          </w14:textFill>
        </w:rPr>
        <w:t>竞争性磋商小组</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18.1采购人根据采购项目的特点依法组建竞争性磋商小组。</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18.2竞争性磋商小组</w:t>
      </w:r>
      <w:r>
        <w:rPr>
          <w:rFonts w:hint="eastAsia" w:ascii="宋体" w:hAnsi="宋体" w:cs="宋体"/>
          <w:bCs/>
          <w:color w:val="000000" w:themeColor="text1"/>
          <w:kern w:val="0"/>
          <w:sz w:val="24"/>
          <w14:textFill>
            <w14:solidFill>
              <w14:schemeClr w14:val="tx1"/>
            </w14:solidFill>
          </w14:textFill>
        </w:rPr>
        <w:t>确认竞争性磋商文件，并</w:t>
      </w:r>
      <w:r>
        <w:rPr>
          <w:rFonts w:hint="eastAsia" w:ascii="宋体" w:hAnsi="宋体" w:cs="宋体"/>
          <w:color w:val="000000" w:themeColor="text1"/>
          <w:kern w:val="0"/>
          <w:sz w:val="24"/>
          <w14:textFill>
            <w14:solidFill>
              <w14:schemeClr w14:val="tx1"/>
            </w14:solidFill>
          </w14:textFill>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19.资格性和符合性审查</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19.1.1资格性审查的内容包括：竞争性磋商文件规定的供应商资格条件；</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19.2.1符合性审查的内容包括：</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（1）响应性文件的有效性(签署情况等)；</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（2）响应性文件的完整性；</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（3）对竞争性磋商文件的响应程度（是否存在重大负偏离等）。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以上资格性审查和符合性审查的内容只要有一条不满足，则响应性文件无效，将不进入竞争性磋商程序。</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注意事项：资格性、符合性证明材料见竞争性磋商文件第四章规定。</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19.6竞争性磋商小组审定响应性文件的响应性只根据响应性文件本身的内容而不寻求外部证据。</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19.7.1未按竞争性磋商文件规定要求</w:t>
      </w:r>
      <w:r>
        <w:rPr>
          <w:rFonts w:hint="eastAsia" w:ascii="宋体" w:hAnsi="宋体" w:cs="宋体"/>
          <w:color w:val="000000" w:themeColor="text1"/>
          <w:sz w:val="24"/>
          <w:lang w:val="zh-CN"/>
          <w14:textFill>
            <w14:solidFill>
              <w14:schemeClr w14:val="tx1"/>
            </w14:solidFill>
          </w14:textFill>
        </w:rPr>
        <w:t>签署、盖章的；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19.7.2资格证明文件不全的，或不符合竞争性磋商文件中规定的资格要求的；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19.7.3供应商代表未能出具有效身份证明，或与身份不符的；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19.7.4不符合竞争性磋商文件规定的实质性要求的；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19.7.5响应性文件内容不齐全或内容虚假的；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19.7.6响应性文件的实质性内容未使用中文表述；</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19.7.7响应性文件的内容修改处未按规定签名或盖章的；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19.7.8违反法律、行政法规、竞争性磋商文件规定的其他情形的。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19.7.9不同供应商的电子投标（响应）文件上传计算机的网卡 MAC 地址、CPU 序列号和硬盘序列号等硬件信息相同的;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19.7.10不同供应商的投标（响应）文件由同一电子设备编制，打印、复印、加密或者上传的；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19.7.11不同供应商的投标（响应）文件由同一人送达或者分发，或者不同供应商联系人为同一人或不同联系人的联系电话一致的；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19.7.12不同供应商的投标（响应）文件的内容存在两处以上细节错误一致；</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19.7.13不同供应商的法定代表人、委托代理人、项目经理、项目负责人等由同一个单位缴纳社会保险或者领取报酬的；</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不同供应商投标（响应）文件中法定代表人或者负责人签字出自同一人之手。</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19.8.1不同供应商的响应性文件互相混装的；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19.8.2不同供应商授权同一人作为供应商委托代理人的；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19.8.3不同供应商的响应性文件载明的项目管理成员为同一人的；</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19.8.4有证据证明供应商与采购人、采购代理机构或者其他供应商串通的其他情形；</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19.8.5竞争性磋商小组认定的其他串通情形。</w:t>
      </w:r>
    </w:p>
    <w:p>
      <w:pPr>
        <w:pStyle w:val="33"/>
        <w:rPr>
          <w:rFonts w:ascii="宋体" w:hAnsi="宋体" w:cs="宋体"/>
          <w:color w:val="000000" w:themeColor="text1"/>
          <w:sz w:val="24"/>
          <w:szCs w:val="24"/>
          <w14:textFill>
            <w14:solidFill>
              <w14:schemeClr w14:val="tx1"/>
            </w14:solidFill>
          </w14:textFill>
        </w:rPr>
      </w:pPr>
    </w:p>
    <w:tbl>
      <w:tblPr>
        <w:tblStyle w:val="25"/>
        <w:tblW w:w="9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788"/>
        <w:gridCol w:w="3969"/>
        <w:gridCol w:w="850"/>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467" w:type="dxa"/>
            <w:gridSpan w:val="5"/>
            <w:vAlign w:val="center"/>
          </w:tcPr>
          <w:p>
            <w:pPr>
              <w:pStyle w:val="36"/>
              <w:pBdr>
                <w:bottom w:val="none" w:color="auto" w:sz="0" w:space="0"/>
              </w:pBdr>
              <w:tabs>
                <w:tab w:val="clear" w:pos="4153"/>
                <w:tab w:val="clear" w:pos="8306"/>
              </w:tabs>
              <w:snapToGrid w:val="0"/>
              <w:spacing w:line="360" w:lineRule="auto"/>
              <w:ind w:right="-10"/>
              <w:textAlignment w:val="auto"/>
              <w:rPr>
                <w:rFonts w:ascii="宋体" w:hAnsi="宋体" w:cs="宋体"/>
                <w:b/>
                <w:color w:val="000000" w:themeColor="text1"/>
                <w:kern w:val="2"/>
                <w:szCs w:val="24"/>
                <w14:textFill>
                  <w14:solidFill>
                    <w14:schemeClr w14:val="tx1"/>
                  </w14:solidFill>
                </w14:textFill>
              </w:rPr>
            </w:pPr>
            <w:r>
              <w:rPr>
                <w:rFonts w:hint="eastAsia" w:ascii="宋体" w:hAnsi="宋体" w:cs="宋体"/>
                <w:b/>
                <w:color w:val="000000" w:themeColor="text1"/>
                <w:kern w:val="2"/>
                <w:szCs w:val="24"/>
                <w14:textFill>
                  <w14:solidFill>
                    <w14:schemeClr w14:val="tx1"/>
                  </w14:solidFill>
                </w14:textFill>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906"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788" w:type="dxa"/>
            <w:tcBorders>
              <w:bottom w:val="single" w:color="auto" w:sz="4" w:space="0"/>
            </w:tcBorders>
            <w:vAlign w:val="center"/>
          </w:tcPr>
          <w:p>
            <w:pPr>
              <w:pStyle w:val="36"/>
              <w:pBdr>
                <w:bottom w:val="none" w:color="auto" w:sz="0" w:space="0"/>
              </w:pBdr>
              <w:tabs>
                <w:tab w:val="clear" w:pos="4153"/>
                <w:tab w:val="clear" w:pos="8306"/>
              </w:tabs>
              <w:snapToGrid w:val="0"/>
              <w:spacing w:line="360" w:lineRule="auto"/>
              <w:ind w:right="-10"/>
              <w:textAlignment w:val="auto"/>
              <w:rPr>
                <w:rFonts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指标名称</w:t>
            </w:r>
          </w:p>
        </w:tc>
        <w:tc>
          <w:tcPr>
            <w:tcW w:w="3969"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指标要求</w:t>
            </w:r>
          </w:p>
        </w:tc>
        <w:tc>
          <w:tcPr>
            <w:tcW w:w="850"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w:t>
            </w:r>
          </w:p>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w:t>
            </w:r>
          </w:p>
        </w:tc>
        <w:tc>
          <w:tcPr>
            <w:tcW w:w="1954"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投标文件格式及</w:t>
            </w:r>
          </w:p>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营业执照</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具有有效的营业执照</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06"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788"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法定代表人及身份证</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有效得法定代表人身份证</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06" w:type="dxa"/>
            <w:vAlign w:val="center"/>
          </w:tcPr>
          <w:p>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p>
        </w:tc>
        <w:tc>
          <w:tcPr>
            <w:tcW w:w="1788"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纳税凭证和社保证明</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提供2025年1月份以来任意1个月的缴纳凭证或证明材料，新成立企业从成立之日计算；</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906" w:type="dxa"/>
            <w:vAlign w:val="center"/>
          </w:tcPr>
          <w:p>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财务审计报告</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提供2024年度的财务审计报告(注：公司成立年限不足的企业应提供其基本户开户银行出具的资信证明）</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906" w:type="dxa"/>
            <w:vAlign w:val="center"/>
          </w:tcPr>
          <w:p>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“信用中国”“中国政府采购网”查询</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906" w:type="dxa"/>
            <w:vAlign w:val="center"/>
          </w:tcPr>
          <w:p>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投标文件签字盖章格式</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906" w:type="dxa"/>
            <w:vAlign w:val="center"/>
          </w:tcPr>
          <w:p>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合格供应商的声明函和承诺书</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06" w:type="dxa"/>
            <w:vAlign w:val="center"/>
          </w:tcPr>
          <w:p>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服务期</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906" w:type="dxa"/>
            <w:vAlign w:val="center"/>
          </w:tcPr>
          <w:p>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投标有效期</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906" w:type="dxa"/>
            <w:vAlign w:val="center"/>
          </w:tcPr>
          <w:p>
            <w:pPr>
              <w:adjustRightInd w:val="0"/>
              <w:snapToGrid w:val="0"/>
              <w:spacing w:line="360" w:lineRule="auto"/>
              <w:ind w:right="-10"/>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p>
        </w:tc>
        <w:tc>
          <w:tcPr>
            <w:tcW w:w="1788"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服务技术要求</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06" w:type="dxa"/>
            <w:vAlign w:val="center"/>
          </w:tcPr>
          <w:p>
            <w:pPr>
              <w:adjustRightInd w:val="0"/>
              <w:snapToGrid w:val="0"/>
              <w:spacing w:line="360" w:lineRule="auto"/>
              <w:ind w:right="-10"/>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11</w:t>
            </w:r>
          </w:p>
        </w:tc>
        <w:tc>
          <w:tcPr>
            <w:tcW w:w="1788"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其他实质性要求</w:t>
            </w:r>
          </w:p>
        </w:tc>
        <w:tc>
          <w:tcPr>
            <w:tcW w:w="3969" w:type="dxa"/>
            <w:vAlign w:val="center"/>
          </w:tcPr>
          <w:p>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906" w:type="dxa"/>
            <w:vAlign w:val="center"/>
          </w:tcPr>
          <w:p>
            <w:pPr>
              <w:adjustRightInd w:val="0"/>
              <w:snapToGrid w:val="0"/>
              <w:spacing w:line="360" w:lineRule="auto"/>
              <w:ind w:right="-10"/>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12</w:t>
            </w:r>
          </w:p>
        </w:tc>
        <w:tc>
          <w:tcPr>
            <w:tcW w:w="1788" w:type="dxa"/>
            <w:vAlign w:val="center"/>
          </w:tcPr>
          <w:p>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结论</w:t>
            </w:r>
          </w:p>
        </w:tc>
        <w:tc>
          <w:tcPr>
            <w:tcW w:w="6773" w:type="dxa"/>
            <w:gridSpan w:val="3"/>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是否通过审查</w:t>
            </w:r>
          </w:p>
        </w:tc>
      </w:tr>
    </w:tbl>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20.响应性文件的澄清</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20.4供应商的书面澄清材料作为响应性文件的补充。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20.5竞争性磋商小组不得接受供应商主动提出的澄清和解释。 </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20.6并非每个供应商都将被询问、澄清。</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21.竞争性磋商</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21.1资格性审查和符合性审查合格的供应商，将进入本次竞争性磋商程序。</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21.2竞争性磋商将按照供应商的签到顺序进行。</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21.3磋商内容包括：</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21.3.1按照竞争性磋商文件中商务部分的内容，对照供应商提交的响应文件逐一进行比较各项指标和要求。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21.3.2按照竞争性磋商文件中技术部分的内容，对照供应商提交的响应文件逐一进行比较各项指标和要求。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21.3.4在磋商中，磋商的任何一方不得透露与磋商有关的其他供应商的技术资料及其他信息。</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21.4</w:t>
      </w:r>
      <w:r>
        <w:rPr>
          <w:rFonts w:hint="eastAsia" w:ascii="宋体" w:hAnsi="宋体" w:cs="宋体"/>
          <w:color w:val="000000" w:themeColor="text1"/>
          <w:sz w:val="24"/>
          <w:lang w:val="zh-CN"/>
          <w14:textFill>
            <w14:solidFill>
              <w14:schemeClr w14:val="tx1"/>
            </w14:solidFill>
          </w14:textFill>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21.4.1</w:t>
      </w:r>
      <w:r>
        <w:rPr>
          <w:rFonts w:hint="eastAsia" w:ascii="宋体" w:hAnsi="宋体" w:cs="宋体"/>
          <w:color w:val="000000" w:themeColor="text1"/>
          <w:sz w:val="24"/>
          <w:lang w:val="zh-CN"/>
          <w14:textFill>
            <w14:solidFill>
              <w14:schemeClr w14:val="tx1"/>
            </w14:solidFill>
          </w14:textFill>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1.本次竞争性磋商的报价选择一次报价。</w:t>
      </w:r>
    </w:p>
    <w:p>
      <w:pPr>
        <w:pStyle w:val="18"/>
        <w:rPr>
          <w:color w:val="000000" w:themeColor="text1"/>
          <w:sz w:val="30"/>
          <w:szCs w:val="30"/>
          <w14:textFill>
            <w14:solidFill>
              <w14:schemeClr w14:val="tx1"/>
            </w14:solidFill>
          </w14:textFill>
        </w:rPr>
      </w:pPr>
      <w:bookmarkStart w:id="43" w:name="_Toc195875470"/>
      <w:r>
        <w:rPr>
          <w:rFonts w:hint="eastAsia"/>
          <w:color w:val="000000" w:themeColor="text1"/>
          <w:sz w:val="30"/>
          <w:szCs w:val="30"/>
          <w14:textFill>
            <w14:solidFill>
              <w14:schemeClr w14:val="tx1"/>
            </w14:solidFill>
          </w14:textFill>
        </w:rPr>
        <w:t>六、评定标准</w:t>
      </w:r>
      <w:bookmarkEnd w:id="43"/>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22.竞争性磋商过程及保密原则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采购代理机构在评标结束后2个工作日内将评标报告送采购人。采购人自收到评标报告之日起５个工作日内，在评标报告确定的中标候选人名单中确定中标人。</w:t>
      </w:r>
    </w:p>
    <w:p>
      <w:pPr>
        <w:pStyle w:val="13"/>
        <w:spacing w:after="0" w:line="560" w:lineRule="exact"/>
        <w:ind w:left="0" w:leftChars="0"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22.2对通过初步审查的响应文件，采用百分制综合评分法进行评价。</w:t>
      </w:r>
    </w:p>
    <w:p>
      <w:pPr>
        <w:spacing w:line="360" w:lineRule="auto"/>
        <w:ind w:right="-92" w:rightChars="-44"/>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评标方法：</w:t>
      </w:r>
    </w:p>
    <w:tbl>
      <w:tblPr>
        <w:tblStyle w:val="2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987"/>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208"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5408"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2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报价</w:t>
            </w:r>
          </w:p>
          <w:p>
            <w:pPr>
              <w:jc w:val="center"/>
              <w:rPr>
                <w:rFonts w:hint="eastAsia" w:ascii="宋体" w:hAnsi="宋体" w:eastAsia="宋体" w:cs="宋体"/>
                <w:sz w:val="24"/>
                <w:szCs w:val="24"/>
              </w:rPr>
            </w:pPr>
            <w:r>
              <w:rPr>
                <w:rFonts w:hint="eastAsia" w:ascii="宋体" w:hAnsi="宋体" w:eastAsia="宋体" w:cs="宋体"/>
                <w:sz w:val="24"/>
                <w:szCs w:val="24"/>
              </w:rPr>
              <w:t>部分</w:t>
            </w:r>
          </w:p>
          <w:p>
            <w:pPr>
              <w:jc w:val="center"/>
              <w:rPr>
                <w:rFonts w:hint="eastAsia" w:ascii="宋体" w:hAnsi="宋体" w:eastAsia="宋体" w:cs="宋体"/>
                <w:sz w:val="24"/>
                <w:szCs w:val="24"/>
              </w:rPr>
            </w:pPr>
            <w:r>
              <w:rPr>
                <w:rFonts w:hint="eastAsia" w:ascii="宋体" w:hAnsi="宋体" w:eastAsia="宋体" w:cs="宋体"/>
                <w:sz w:val="24"/>
                <w:szCs w:val="24"/>
              </w:rPr>
              <w:t>（10分）</w:t>
            </w:r>
          </w:p>
        </w:tc>
        <w:tc>
          <w:tcPr>
            <w:tcW w:w="198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报价得分</w:t>
            </w:r>
          </w:p>
          <w:p>
            <w:pPr>
              <w:jc w:val="center"/>
              <w:rPr>
                <w:rFonts w:hint="eastAsia" w:ascii="宋体" w:hAnsi="宋体" w:eastAsia="宋体" w:cs="宋体"/>
                <w:sz w:val="24"/>
                <w:szCs w:val="24"/>
              </w:rPr>
            </w:pPr>
            <w:r>
              <w:rPr>
                <w:rFonts w:hint="eastAsia" w:ascii="宋体" w:hAnsi="宋体" w:eastAsia="宋体" w:cs="宋体"/>
                <w:sz w:val="24"/>
                <w:szCs w:val="24"/>
              </w:rPr>
              <w:t>(0-10分)</w:t>
            </w:r>
          </w:p>
        </w:tc>
        <w:tc>
          <w:tcPr>
            <w:tcW w:w="5408"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最终报价超过最高限价的，其响应无效。</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满足招标文件要求且投标报价最低的为评标基准价，投标报价最低的为满分</w:t>
            </w:r>
            <w:r>
              <w:rPr>
                <w:rFonts w:hint="eastAsia" w:ascii="宋体" w:hAnsi="宋体" w:eastAsia="宋体" w:cs="宋体"/>
                <w:sz w:val="24"/>
                <w:szCs w:val="24"/>
                <w:lang w:val="en-US"/>
              </w:rPr>
              <w:t>10</w:t>
            </w:r>
            <w:r>
              <w:rPr>
                <w:rFonts w:hint="eastAsia" w:ascii="宋体" w:hAnsi="宋体" w:eastAsia="宋体" w:cs="宋体"/>
                <w:sz w:val="24"/>
                <w:szCs w:val="24"/>
              </w:rPr>
              <w:t>分。其他投标人的价格分别按照下列公式计算：投标报价得分=(评标基准价／投标报价)×</w:t>
            </w:r>
            <w:r>
              <w:rPr>
                <w:rFonts w:hint="eastAsia" w:ascii="宋体" w:hAnsi="宋体" w:eastAsia="宋体" w:cs="宋体"/>
                <w:sz w:val="24"/>
                <w:szCs w:val="24"/>
                <w:lang w:val="en-US"/>
              </w:rPr>
              <w:t>10</w:t>
            </w:r>
            <w:r>
              <w:rPr>
                <w:rFonts w:hint="eastAsia" w:ascii="宋体" w:hAnsi="宋体" w:eastAsia="宋体" w:cs="宋体"/>
                <w:sz w:val="24"/>
                <w:szCs w:val="24"/>
              </w:rPr>
              <w:t>，计算过程按四舍五入，保留两位小数</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rPr>
              <w:t>商务</w:t>
            </w:r>
            <w:r>
              <w:rPr>
                <w:rFonts w:hint="eastAsia" w:ascii="宋体" w:hAnsi="宋体" w:eastAsia="宋体" w:cs="宋体"/>
                <w:sz w:val="24"/>
                <w:szCs w:val="24"/>
              </w:rPr>
              <w:t>部分（30分）</w:t>
            </w:r>
          </w:p>
        </w:tc>
        <w:tc>
          <w:tcPr>
            <w:tcW w:w="1987" w:type="dxa"/>
            <w:noWrap w:val="0"/>
            <w:vAlign w:val="center"/>
          </w:tcPr>
          <w:p>
            <w:pPr>
              <w:pStyle w:val="43"/>
              <w:spacing w:before="57"/>
              <w:ind w:left="8" w:right="6"/>
              <w:jc w:val="center"/>
              <w:rPr>
                <w:rFonts w:hint="eastAsia" w:ascii="宋体" w:hAnsi="宋体" w:eastAsia="宋体" w:cs="宋体"/>
                <w:sz w:val="24"/>
                <w:szCs w:val="24"/>
              </w:rPr>
            </w:pPr>
            <w:r>
              <w:rPr>
                <w:rFonts w:hint="eastAsia" w:ascii="宋体" w:hAnsi="宋体" w:eastAsia="宋体" w:cs="宋体"/>
                <w:sz w:val="24"/>
                <w:szCs w:val="24"/>
              </w:rPr>
              <w:t>企业能力</w:t>
            </w:r>
          </w:p>
          <w:p>
            <w:pPr>
              <w:pStyle w:val="43"/>
              <w:spacing w:before="57"/>
              <w:ind w:left="8" w:right="6"/>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18分</w:t>
            </w:r>
            <w:r>
              <w:rPr>
                <w:rFonts w:hint="eastAsia" w:ascii="宋体" w:hAnsi="宋体" w:eastAsia="宋体" w:cs="宋体"/>
                <w:sz w:val="24"/>
                <w:szCs w:val="24"/>
              </w:rPr>
              <w:t>）</w:t>
            </w:r>
          </w:p>
        </w:tc>
        <w:tc>
          <w:tcPr>
            <w:tcW w:w="5408" w:type="dxa"/>
            <w:noWrap w:val="0"/>
            <w:vAlign w:val="center"/>
          </w:tcPr>
          <w:p>
            <w:pPr>
              <w:pStyle w:val="43"/>
              <w:numPr>
                <w:ilvl w:val="0"/>
                <w:numId w:val="3"/>
              </w:numPr>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rPr>
              <w:t>具备信息技术服务标准符合性证书</w:t>
            </w:r>
            <w:r>
              <w:rPr>
                <w:rFonts w:hint="eastAsia" w:ascii="宋体" w:hAnsi="宋体" w:eastAsia="宋体" w:cs="宋体"/>
                <w:sz w:val="24"/>
                <w:szCs w:val="24"/>
                <w:lang w:val="en-US"/>
              </w:rPr>
              <w:t>三级或以上证书，得3分；</w:t>
            </w:r>
          </w:p>
          <w:p>
            <w:pPr>
              <w:pStyle w:val="43"/>
              <w:numPr>
                <w:ilvl w:val="0"/>
                <w:numId w:val="3"/>
              </w:numPr>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软件能力成熟度模型CMMI 3级或以上认证的，得3分；</w:t>
            </w:r>
          </w:p>
          <w:p>
            <w:pPr>
              <w:pStyle w:val="43"/>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3、具备ISO 9001质量管理体系认证证书、ISO 20000信息技术服务管理体系认证证书、ISO 27001信息安全管理体系认证证书，每具备一个得2分，满分6分。</w:t>
            </w:r>
          </w:p>
          <w:p>
            <w:pPr>
              <w:pStyle w:val="43"/>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4、具有信用信息类软件著作权(如:联合奖惩、双公示、运维服务平台、信用修复等），每提供一个得1.5分，满分6分。</w:t>
            </w:r>
          </w:p>
          <w:p>
            <w:pPr>
              <w:pStyle w:val="43"/>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（需提供上述证书原件扫描件，否则不得分。）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continue"/>
            <w:noWrap w:val="0"/>
            <w:vAlign w:val="center"/>
          </w:tcPr>
          <w:p>
            <w:pPr>
              <w:jc w:val="center"/>
              <w:rPr>
                <w:rFonts w:hint="eastAsia" w:ascii="宋体" w:hAnsi="宋体" w:eastAsia="宋体" w:cs="宋体"/>
                <w:sz w:val="24"/>
                <w:szCs w:val="24"/>
                <w:lang w:val="en-US"/>
              </w:rPr>
            </w:pPr>
          </w:p>
        </w:tc>
        <w:tc>
          <w:tcPr>
            <w:tcW w:w="1987" w:type="dxa"/>
            <w:noWrap w:val="0"/>
            <w:vAlign w:val="center"/>
          </w:tcPr>
          <w:p>
            <w:pPr>
              <w:pStyle w:val="43"/>
              <w:spacing w:before="57"/>
              <w:ind w:left="8" w:right="6"/>
              <w:jc w:val="center"/>
              <w:rPr>
                <w:rFonts w:hint="eastAsia" w:ascii="宋体" w:hAnsi="宋体" w:eastAsia="宋体" w:cs="宋体"/>
                <w:sz w:val="24"/>
                <w:szCs w:val="24"/>
                <w:lang w:val="en-US"/>
              </w:rPr>
            </w:pPr>
            <w:r>
              <w:rPr>
                <w:rFonts w:hint="eastAsia" w:ascii="宋体" w:hAnsi="宋体" w:eastAsia="宋体" w:cs="宋体"/>
                <w:sz w:val="24"/>
                <w:szCs w:val="24"/>
                <w:lang w:val="en-US"/>
              </w:rPr>
              <w:t>团队要求</w:t>
            </w:r>
          </w:p>
          <w:p>
            <w:pPr>
              <w:pStyle w:val="43"/>
              <w:spacing w:before="57"/>
              <w:ind w:left="8" w:right="6"/>
              <w:jc w:val="center"/>
              <w:rPr>
                <w:rFonts w:hint="eastAsia" w:ascii="宋体" w:hAnsi="宋体" w:eastAsia="宋体" w:cs="宋体"/>
                <w:sz w:val="24"/>
                <w:szCs w:val="24"/>
                <w:lang w:val="en-US"/>
              </w:rPr>
            </w:pPr>
            <w:r>
              <w:rPr>
                <w:rFonts w:hint="eastAsia" w:ascii="宋体" w:hAnsi="宋体" w:eastAsia="宋体" w:cs="宋体"/>
                <w:sz w:val="24"/>
                <w:szCs w:val="24"/>
                <w:lang w:val="en-US"/>
              </w:rPr>
              <w:t>（6分）</w:t>
            </w:r>
          </w:p>
        </w:tc>
        <w:tc>
          <w:tcPr>
            <w:tcW w:w="5408" w:type="dxa"/>
            <w:noWrap w:val="0"/>
            <w:vAlign w:val="center"/>
          </w:tcPr>
          <w:p>
            <w:pPr>
              <w:pStyle w:val="43"/>
              <w:numPr>
                <w:ilvl w:val="0"/>
                <w:numId w:val="4"/>
              </w:numPr>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项目负责人具备一级信用管理师，得2分；</w:t>
            </w:r>
          </w:p>
          <w:p>
            <w:pPr>
              <w:pStyle w:val="43"/>
              <w:numPr>
                <w:ilvl w:val="0"/>
                <w:numId w:val="4"/>
              </w:numPr>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项目团队成员（除项目负责人外）具备高级信息系统项目管理师、一级项目管理师、数据库系统工程师、系统集成项目管理工程师，每有1人具备得1分，同一人员具有多个证书不重复计分，满分4分。</w:t>
            </w:r>
          </w:p>
          <w:p>
            <w:pPr>
              <w:pStyle w:val="43"/>
              <w:spacing w:line="360" w:lineRule="auto"/>
              <w:ind w:right="57" w:rightChars="27"/>
              <w:rPr>
                <w:rFonts w:hint="eastAsia" w:ascii="宋体" w:hAnsi="宋体" w:eastAsia="宋体" w:cs="宋体"/>
                <w:sz w:val="24"/>
                <w:szCs w:val="24"/>
                <w:lang w:val="en-US"/>
              </w:rPr>
            </w:pPr>
            <w:r>
              <w:rPr>
                <w:rFonts w:hint="eastAsia" w:ascii="宋体" w:hAnsi="宋体" w:eastAsia="宋体" w:cs="宋体"/>
                <w:sz w:val="24"/>
                <w:szCs w:val="24"/>
                <w:lang w:val="en-US"/>
              </w:rPr>
              <w:t>（项目组成员需提供近半年社保缴纳证明及证书原件的扫描件，未提供或提供的扫描件不清晰的不得分）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continue"/>
            <w:noWrap w:val="0"/>
            <w:vAlign w:val="center"/>
          </w:tcPr>
          <w:p>
            <w:pPr>
              <w:jc w:val="center"/>
              <w:rPr>
                <w:rFonts w:hint="eastAsia" w:ascii="宋体" w:hAnsi="宋体" w:eastAsia="宋体" w:cs="宋体"/>
                <w:sz w:val="24"/>
                <w:szCs w:val="24"/>
              </w:rPr>
            </w:pPr>
          </w:p>
        </w:tc>
        <w:tc>
          <w:tcPr>
            <w:tcW w:w="1987" w:type="dxa"/>
            <w:noWrap w:val="0"/>
            <w:vAlign w:val="center"/>
          </w:tcPr>
          <w:p>
            <w:pPr>
              <w:pStyle w:val="43"/>
              <w:spacing w:before="50"/>
              <w:ind w:left="8" w:right="8"/>
              <w:jc w:val="center"/>
              <w:rPr>
                <w:rFonts w:hint="eastAsia" w:ascii="宋体" w:hAnsi="宋体" w:eastAsia="宋体" w:cs="宋体"/>
                <w:sz w:val="24"/>
                <w:szCs w:val="24"/>
                <w:lang w:val="en-US"/>
              </w:rPr>
            </w:pPr>
            <w:r>
              <w:rPr>
                <w:rFonts w:hint="eastAsia" w:ascii="宋体" w:hAnsi="宋体" w:eastAsia="宋体" w:cs="宋体"/>
                <w:sz w:val="24"/>
                <w:szCs w:val="24"/>
                <w:lang w:val="en-US"/>
              </w:rPr>
              <w:t>类似业绩</w:t>
            </w:r>
          </w:p>
          <w:p>
            <w:pPr>
              <w:pStyle w:val="43"/>
              <w:spacing w:before="50"/>
              <w:ind w:left="8" w:right="8"/>
              <w:jc w:val="center"/>
              <w:rPr>
                <w:rFonts w:hint="eastAsia" w:ascii="宋体" w:hAnsi="宋体" w:eastAsia="宋体" w:cs="宋体"/>
                <w:sz w:val="24"/>
                <w:szCs w:val="24"/>
                <w:lang w:val="en-US"/>
              </w:rPr>
            </w:pPr>
            <w:r>
              <w:rPr>
                <w:rFonts w:hint="eastAsia" w:ascii="宋体" w:hAnsi="宋体" w:eastAsia="宋体" w:cs="宋体"/>
                <w:sz w:val="24"/>
                <w:szCs w:val="24"/>
                <w:lang w:val="en-US"/>
              </w:rPr>
              <w:t>（6分）</w:t>
            </w:r>
          </w:p>
          <w:p>
            <w:pPr>
              <w:pStyle w:val="43"/>
              <w:spacing w:before="50"/>
              <w:ind w:left="8" w:right="8"/>
              <w:jc w:val="center"/>
              <w:rPr>
                <w:rFonts w:hint="eastAsia" w:ascii="宋体" w:hAnsi="宋体" w:eastAsia="宋体" w:cs="宋体"/>
                <w:sz w:val="24"/>
                <w:szCs w:val="24"/>
                <w:lang w:val="en-US"/>
              </w:rPr>
            </w:pPr>
          </w:p>
        </w:tc>
        <w:tc>
          <w:tcPr>
            <w:tcW w:w="5408" w:type="dxa"/>
            <w:noWrap w:val="0"/>
            <w:vAlign w:val="center"/>
          </w:tcPr>
          <w:p>
            <w:pPr>
              <w:pStyle w:val="43"/>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lang w:val="en-US"/>
              </w:rPr>
              <w:t>提供</w:t>
            </w:r>
            <w:r>
              <w:rPr>
                <w:rFonts w:hint="eastAsia" w:ascii="宋体" w:hAnsi="宋体" w:eastAsia="宋体" w:cs="宋体"/>
                <w:sz w:val="24"/>
                <w:szCs w:val="24"/>
              </w:rPr>
              <w:t>自</w:t>
            </w:r>
            <w:r>
              <w:rPr>
                <w:rFonts w:hint="eastAsia" w:ascii="宋体" w:hAnsi="宋体" w:eastAsia="宋体" w:cs="宋体"/>
                <w:sz w:val="24"/>
                <w:szCs w:val="24"/>
                <w:lang w:val="en-US"/>
              </w:rPr>
              <w:t>2022</w:t>
            </w:r>
            <w:r>
              <w:rPr>
                <w:rFonts w:hint="eastAsia" w:ascii="宋体" w:hAnsi="宋体" w:eastAsia="宋体" w:cs="宋体"/>
                <w:sz w:val="24"/>
                <w:szCs w:val="24"/>
              </w:rPr>
              <w:t>年</w:t>
            </w:r>
            <w:r>
              <w:rPr>
                <w:rFonts w:hint="eastAsia" w:ascii="宋体" w:hAnsi="宋体" w:eastAsia="宋体" w:cs="宋体"/>
                <w:sz w:val="24"/>
                <w:szCs w:val="24"/>
                <w:lang w:val="en-US"/>
              </w:rPr>
              <w:t>1</w:t>
            </w:r>
            <w:r>
              <w:rPr>
                <w:rFonts w:hint="eastAsia" w:ascii="宋体" w:hAnsi="宋体" w:eastAsia="宋体" w:cs="宋体"/>
                <w:sz w:val="24"/>
                <w:szCs w:val="24"/>
              </w:rPr>
              <w:t>月</w:t>
            </w:r>
            <w:r>
              <w:rPr>
                <w:rFonts w:hint="eastAsia" w:ascii="宋体" w:hAnsi="宋体" w:eastAsia="宋体" w:cs="宋体"/>
                <w:sz w:val="24"/>
                <w:szCs w:val="24"/>
                <w:lang w:val="en-US"/>
              </w:rPr>
              <w:t>1</w:t>
            </w:r>
            <w:r>
              <w:rPr>
                <w:rFonts w:hint="eastAsia" w:ascii="宋体" w:hAnsi="宋体" w:eastAsia="宋体" w:cs="宋体"/>
                <w:sz w:val="24"/>
                <w:szCs w:val="24"/>
              </w:rPr>
              <w:t>日以来承担过类似项目业绩每</w:t>
            </w:r>
            <w:r>
              <w:rPr>
                <w:rFonts w:hint="eastAsia" w:ascii="宋体" w:hAnsi="宋体" w:eastAsia="宋体" w:cs="宋体"/>
                <w:sz w:val="24"/>
                <w:szCs w:val="24"/>
                <w:lang w:val="en-US"/>
              </w:rPr>
              <w:t>有1个</w:t>
            </w:r>
            <w:r>
              <w:rPr>
                <w:rFonts w:hint="eastAsia" w:ascii="宋体" w:hAnsi="宋体" w:eastAsia="宋体" w:cs="宋体"/>
                <w:sz w:val="24"/>
                <w:szCs w:val="24"/>
              </w:rPr>
              <w:t>得</w:t>
            </w:r>
            <w:r>
              <w:rPr>
                <w:rFonts w:hint="eastAsia" w:ascii="宋体" w:hAnsi="宋体" w:eastAsia="宋体" w:cs="宋体"/>
                <w:sz w:val="24"/>
                <w:szCs w:val="24"/>
                <w:lang w:val="en-US"/>
              </w:rPr>
              <w:t>2</w:t>
            </w:r>
            <w:r>
              <w:rPr>
                <w:rFonts w:hint="eastAsia" w:ascii="宋体" w:hAnsi="宋体" w:eastAsia="宋体" w:cs="宋体"/>
                <w:sz w:val="24"/>
                <w:szCs w:val="24"/>
              </w:rPr>
              <w:t>分，</w:t>
            </w:r>
            <w:r>
              <w:rPr>
                <w:rFonts w:hint="eastAsia" w:ascii="宋体" w:hAnsi="宋体" w:eastAsia="宋体" w:cs="宋体"/>
                <w:sz w:val="24"/>
                <w:szCs w:val="24"/>
                <w:lang w:val="en-US"/>
              </w:rPr>
              <w:t>满分6分</w:t>
            </w:r>
            <w:r>
              <w:rPr>
                <w:rFonts w:hint="eastAsia" w:ascii="宋体" w:hAnsi="宋体" w:eastAsia="宋体" w:cs="宋体"/>
                <w:sz w:val="24"/>
                <w:szCs w:val="24"/>
              </w:rPr>
              <w:t>。</w:t>
            </w:r>
          </w:p>
          <w:p>
            <w:pPr>
              <w:pStyle w:val="43"/>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需提供合同及中标通知书扫描件（合同至少应附合同签字盖章页、金额页、项目内容页）</w:t>
            </w:r>
            <w:r>
              <w:rPr>
                <w:rFonts w:hint="eastAsia" w:ascii="宋体" w:hAnsi="宋体" w:eastAsia="宋体" w:cs="宋体"/>
                <w:sz w:val="24"/>
                <w:szCs w:val="24"/>
              </w:rPr>
              <w:t>，时间以合同签订时间为准，否则不予得分）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技术部分</w:t>
            </w:r>
          </w:p>
          <w:p>
            <w:pPr>
              <w:jc w:val="center"/>
              <w:rPr>
                <w:rFonts w:hint="eastAsia" w:ascii="宋体" w:hAnsi="宋体" w:eastAsia="宋体" w:cs="宋体"/>
                <w:sz w:val="24"/>
                <w:szCs w:val="24"/>
              </w:rPr>
            </w:pPr>
            <w:r>
              <w:rPr>
                <w:rFonts w:hint="eastAsia" w:ascii="宋体" w:hAnsi="宋体" w:eastAsia="宋体" w:cs="宋体"/>
                <w:sz w:val="24"/>
                <w:szCs w:val="24"/>
              </w:rPr>
              <w:t>（60分）</w:t>
            </w:r>
          </w:p>
        </w:tc>
        <w:tc>
          <w:tcPr>
            <w:tcW w:w="1987"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方案总</w:t>
            </w:r>
          </w:p>
          <w:p>
            <w:pPr>
              <w:jc w:val="center"/>
              <w:rPr>
                <w:rFonts w:hint="eastAsia" w:ascii="宋体" w:hAnsi="宋体" w:eastAsia="宋体" w:cs="宋体"/>
                <w:bCs/>
                <w:sz w:val="24"/>
                <w:szCs w:val="24"/>
              </w:rPr>
            </w:pPr>
            <w:r>
              <w:rPr>
                <w:rFonts w:hint="eastAsia" w:ascii="宋体" w:hAnsi="宋体" w:eastAsia="宋体" w:cs="宋体"/>
                <w:bCs/>
                <w:sz w:val="24"/>
                <w:szCs w:val="24"/>
              </w:rPr>
              <w:t>体设计</w:t>
            </w:r>
          </w:p>
          <w:p>
            <w:pPr>
              <w:jc w:val="center"/>
              <w:rPr>
                <w:rFonts w:hint="eastAsia" w:ascii="宋体" w:hAnsi="宋体" w:eastAsia="宋体" w:cs="宋体"/>
                <w:sz w:val="24"/>
                <w:szCs w:val="24"/>
              </w:rPr>
            </w:pPr>
            <w:r>
              <w:rPr>
                <w:rFonts w:hint="eastAsia" w:ascii="宋体" w:hAnsi="宋体" w:eastAsia="宋体" w:cs="宋体"/>
                <w:bCs/>
                <w:sz w:val="24"/>
                <w:szCs w:val="24"/>
              </w:rPr>
              <w:t>（10分）</w:t>
            </w:r>
          </w:p>
        </w:tc>
        <w:tc>
          <w:tcPr>
            <w:tcW w:w="5408" w:type="dxa"/>
            <w:noWrap w:val="0"/>
            <w:vAlign w:val="center"/>
          </w:tcPr>
          <w:p>
            <w:pPr>
              <w:tabs>
                <w:tab w:val="left" w:pos="-22"/>
              </w:tabs>
              <w:spacing w:line="300" w:lineRule="auto"/>
              <w:rPr>
                <w:rFonts w:hint="eastAsia" w:ascii="宋体" w:hAnsi="宋体" w:eastAsia="宋体" w:cs="宋体"/>
                <w:sz w:val="24"/>
                <w:szCs w:val="24"/>
              </w:rPr>
            </w:pPr>
            <w:r>
              <w:rPr>
                <w:rFonts w:hint="eastAsia" w:ascii="宋体" w:hAnsi="宋体" w:eastAsia="宋体" w:cs="宋体"/>
                <w:sz w:val="24"/>
                <w:szCs w:val="24"/>
              </w:rPr>
              <w:t>1、投标供应商对服务背景、服务思路、服务目标有清晰的认识与分析，能够根据服务需求针对性的建立完善的服务实施体系，包括服务方案、实施方案以及售后运营方案。整体方案架构完善，逻辑性强得10分；整体方案架构、逻辑一般，得5分；整体方案架构、逻辑混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continue"/>
            <w:noWrap w:val="0"/>
            <w:vAlign w:val="center"/>
          </w:tcPr>
          <w:p>
            <w:pPr>
              <w:jc w:val="center"/>
              <w:rPr>
                <w:rFonts w:hint="eastAsia" w:ascii="宋体" w:hAnsi="宋体" w:eastAsia="宋体" w:cs="宋体"/>
                <w:sz w:val="24"/>
                <w:szCs w:val="24"/>
              </w:rPr>
            </w:pPr>
          </w:p>
        </w:tc>
        <w:tc>
          <w:tcPr>
            <w:tcW w:w="1987"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方案设</w:t>
            </w:r>
          </w:p>
          <w:p>
            <w:pPr>
              <w:jc w:val="center"/>
              <w:rPr>
                <w:rFonts w:hint="eastAsia" w:ascii="宋体" w:hAnsi="宋体" w:eastAsia="宋体" w:cs="宋体"/>
                <w:bCs/>
                <w:sz w:val="24"/>
                <w:szCs w:val="24"/>
              </w:rPr>
            </w:pPr>
            <w:r>
              <w:rPr>
                <w:rFonts w:hint="eastAsia" w:ascii="宋体" w:hAnsi="宋体" w:eastAsia="宋体" w:cs="宋体"/>
                <w:bCs/>
                <w:sz w:val="24"/>
                <w:szCs w:val="24"/>
              </w:rPr>
              <w:t>计与功</w:t>
            </w:r>
          </w:p>
          <w:p>
            <w:pPr>
              <w:jc w:val="center"/>
              <w:rPr>
                <w:rFonts w:hint="eastAsia" w:ascii="宋体" w:hAnsi="宋体" w:eastAsia="宋体" w:cs="宋体"/>
                <w:bCs/>
                <w:sz w:val="24"/>
                <w:szCs w:val="24"/>
              </w:rPr>
            </w:pPr>
            <w:r>
              <w:rPr>
                <w:rFonts w:hint="eastAsia" w:ascii="宋体" w:hAnsi="宋体" w:eastAsia="宋体" w:cs="宋体"/>
                <w:bCs/>
                <w:sz w:val="24"/>
                <w:szCs w:val="24"/>
              </w:rPr>
              <w:t>能响应</w:t>
            </w:r>
          </w:p>
          <w:p>
            <w:pPr>
              <w:jc w:val="center"/>
              <w:rPr>
                <w:rFonts w:hint="eastAsia"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rPr>
              <w:t>3</w:t>
            </w:r>
            <w:r>
              <w:rPr>
                <w:rFonts w:hint="eastAsia" w:ascii="宋体" w:hAnsi="宋体" w:eastAsia="宋体" w:cs="宋体"/>
                <w:bCs/>
                <w:sz w:val="24"/>
                <w:szCs w:val="24"/>
              </w:rPr>
              <w:t>0分）</w:t>
            </w:r>
          </w:p>
        </w:tc>
        <w:tc>
          <w:tcPr>
            <w:tcW w:w="5408" w:type="dxa"/>
            <w:noWrap w:val="0"/>
            <w:vAlign w:val="center"/>
          </w:tcPr>
          <w:p>
            <w:pPr>
              <w:tabs>
                <w:tab w:val="left" w:pos="-22"/>
              </w:tabs>
              <w:spacing w:line="300" w:lineRule="auto"/>
              <w:rPr>
                <w:rFonts w:hint="eastAsia" w:ascii="宋体" w:hAnsi="宋体" w:eastAsia="宋体" w:cs="宋体"/>
                <w:sz w:val="24"/>
                <w:szCs w:val="24"/>
              </w:rPr>
            </w:pPr>
            <w:r>
              <w:rPr>
                <w:rFonts w:hint="eastAsia" w:ascii="宋体" w:hAnsi="宋体" w:eastAsia="宋体" w:cs="宋体"/>
                <w:sz w:val="24"/>
                <w:szCs w:val="24"/>
              </w:rPr>
              <w:t>根据采购文件采购需求，投标人针对本项目提供完整的运维服务方案,方案内容包括：</w:t>
            </w:r>
          </w:p>
          <w:p>
            <w:pPr>
              <w:tabs>
                <w:tab w:val="left" w:pos="-22"/>
              </w:tabs>
              <w:spacing w:line="300" w:lineRule="auto"/>
              <w:rPr>
                <w:rFonts w:hint="eastAsia" w:ascii="宋体" w:hAnsi="宋体" w:eastAsia="宋体" w:cs="宋体"/>
                <w:sz w:val="24"/>
                <w:szCs w:val="24"/>
              </w:rPr>
            </w:pPr>
            <w:r>
              <w:rPr>
                <w:rFonts w:hint="eastAsia" w:ascii="宋体" w:hAnsi="宋体" w:eastAsia="宋体" w:cs="宋体"/>
                <w:sz w:val="24"/>
                <w:szCs w:val="24"/>
              </w:rPr>
              <w:t>（1）基础技术服务：标准规范制定、数据交换支持、接口服务；（2）平台网站服务：系统运维服务、定期巡检服务、系统培训服务、应用推进服务、其他服务、稳定性保障服务；（3）日常工作协同服务：内容更新维护服务、会务服务、专项治理协助服务、联合奖惩推动服务、业务培训服务、制度咨询服务、信息归集协助服务、工作考核协助服；（4）推进运维服务：规划咨询服务、机制建设咨询服务、协助推进信用应用服务、协助推动专项领域信用服务、工作交流辅导服务、宣传策划服务；方案内容完整、逻辑清晰，符合项目实际要求，得30分；每有一项缺项、偏差、缺陷不符合的扣3分，扣完为止。（缺陷是指只提供评分标准标题、凭空编造、内容前后不一致、前后逻辑错误、涉及的规范及标准错误、内容缺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continue"/>
            <w:noWrap w:val="0"/>
            <w:vAlign w:val="center"/>
          </w:tcPr>
          <w:p>
            <w:pPr>
              <w:jc w:val="center"/>
              <w:rPr>
                <w:rFonts w:hint="eastAsia" w:ascii="宋体" w:hAnsi="宋体" w:eastAsia="宋体" w:cs="宋体"/>
                <w:sz w:val="24"/>
                <w:szCs w:val="24"/>
              </w:rPr>
            </w:pPr>
          </w:p>
        </w:tc>
        <w:tc>
          <w:tcPr>
            <w:tcW w:w="1987" w:type="dxa"/>
            <w:noWrap w:val="0"/>
            <w:vAlign w:val="center"/>
          </w:tcPr>
          <w:p>
            <w:pPr>
              <w:tabs>
                <w:tab w:val="left" w:pos="-22"/>
              </w:tabs>
              <w:spacing w:line="300" w:lineRule="auto"/>
              <w:jc w:val="center"/>
              <w:rPr>
                <w:rFonts w:hint="eastAsia" w:ascii="宋体" w:hAnsi="宋体" w:eastAsia="宋体" w:cs="宋体"/>
                <w:sz w:val="24"/>
                <w:szCs w:val="24"/>
              </w:rPr>
            </w:pPr>
            <w:r>
              <w:rPr>
                <w:rFonts w:hint="eastAsia" w:ascii="宋体" w:hAnsi="宋体" w:eastAsia="宋体" w:cs="宋体"/>
                <w:sz w:val="24"/>
                <w:szCs w:val="24"/>
              </w:rPr>
              <w:t>项目服务方案（10分）</w:t>
            </w:r>
          </w:p>
        </w:tc>
        <w:tc>
          <w:tcPr>
            <w:tcW w:w="5408" w:type="dxa"/>
            <w:noWrap w:val="0"/>
            <w:vAlign w:val="center"/>
          </w:tcPr>
          <w:p>
            <w:pPr>
              <w:pStyle w:val="8"/>
              <w:tabs>
                <w:tab w:val="left" w:pos="-22"/>
              </w:tabs>
              <w:spacing w:line="300" w:lineRule="auto"/>
              <w:rPr>
                <w:rFonts w:hint="eastAsia" w:ascii="宋体" w:hAnsi="宋体" w:eastAsia="宋体" w:cs="宋体"/>
                <w:sz w:val="24"/>
                <w:szCs w:val="24"/>
              </w:rPr>
            </w:pPr>
            <w:r>
              <w:rPr>
                <w:rFonts w:hint="eastAsia" w:ascii="宋体" w:hAnsi="宋体" w:eastAsia="宋体" w:cs="宋体"/>
                <w:sz w:val="24"/>
                <w:szCs w:val="24"/>
              </w:rPr>
              <w:t>根据采购文件采购需求，投标人针对本项目提供完整的项目实施方案主要包括：（1）实施管理体系；（2）进度安排；（3）质量保障措施；（4）培训工作；（5）组织机构及人员等方面；方案内容完整、逻辑清晰，符合项目实际要求，得10分；每有一项缺项、偏差、缺陷不符合的扣2分，扣完为止。（缺陷是指只提供评分标准标题、凭空编造、内容前后不一致、前后逻辑错误、涉及的规范及标准错误、内容缺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Merge w:val="continue"/>
            <w:noWrap w:val="0"/>
            <w:vAlign w:val="center"/>
          </w:tcPr>
          <w:p>
            <w:pPr>
              <w:jc w:val="center"/>
              <w:rPr>
                <w:rFonts w:hint="eastAsia" w:ascii="宋体" w:hAnsi="宋体" w:eastAsia="宋体" w:cs="宋体"/>
                <w:sz w:val="24"/>
                <w:szCs w:val="24"/>
              </w:rPr>
            </w:pPr>
          </w:p>
        </w:tc>
        <w:tc>
          <w:tcPr>
            <w:tcW w:w="1987" w:type="dxa"/>
            <w:noWrap w:val="0"/>
            <w:vAlign w:val="center"/>
          </w:tcPr>
          <w:p>
            <w:pPr>
              <w:tabs>
                <w:tab w:val="left" w:pos="-22"/>
              </w:tabs>
              <w:spacing w:line="300" w:lineRule="auto"/>
              <w:jc w:val="center"/>
              <w:rPr>
                <w:rFonts w:hint="eastAsia" w:ascii="宋体" w:hAnsi="宋体" w:eastAsia="宋体" w:cs="宋体"/>
                <w:sz w:val="24"/>
                <w:szCs w:val="24"/>
              </w:rPr>
            </w:pPr>
            <w:r>
              <w:rPr>
                <w:rFonts w:hint="eastAsia" w:ascii="宋体" w:hAnsi="宋体" w:eastAsia="宋体" w:cs="宋体"/>
                <w:sz w:val="24"/>
                <w:szCs w:val="24"/>
              </w:rPr>
              <w:t>服务质量保障</w:t>
            </w:r>
          </w:p>
          <w:p>
            <w:pPr>
              <w:tabs>
                <w:tab w:val="left" w:pos="-22"/>
              </w:tabs>
              <w:spacing w:line="300" w:lineRule="auto"/>
              <w:jc w:val="center"/>
              <w:rPr>
                <w:rFonts w:hint="eastAsia" w:ascii="宋体" w:hAnsi="宋体" w:eastAsia="宋体" w:cs="宋体"/>
                <w:sz w:val="24"/>
                <w:szCs w:val="24"/>
              </w:rPr>
            </w:pPr>
            <w:r>
              <w:rPr>
                <w:rFonts w:hint="eastAsia" w:ascii="宋体" w:hAnsi="宋体" w:eastAsia="宋体" w:cs="宋体"/>
                <w:sz w:val="24"/>
                <w:szCs w:val="24"/>
              </w:rPr>
              <w:t>(10分)</w:t>
            </w:r>
          </w:p>
        </w:tc>
        <w:tc>
          <w:tcPr>
            <w:tcW w:w="5408" w:type="dxa"/>
            <w:noWrap w:val="0"/>
            <w:vAlign w:val="center"/>
          </w:tcPr>
          <w:p>
            <w:pPr>
              <w:tabs>
                <w:tab w:val="left" w:pos="-22"/>
              </w:tabs>
              <w:spacing w:line="300" w:lineRule="auto"/>
              <w:jc w:val="both"/>
              <w:rPr>
                <w:rFonts w:hint="eastAsia" w:ascii="宋体" w:hAnsi="宋体" w:eastAsia="宋体" w:cs="宋体"/>
                <w:sz w:val="24"/>
                <w:szCs w:val="24"/>
              </w:rPr>
            </w:pPr>
            <w:r>
              <w:rPr>
                <w:rFonts w:hint="eastAsia" w:ascii="宋体" w:hAnsi="宋体" w:eastAsia="宋体" w:cs="宋体"/>
                <w:sz w:val="24"/>
                <w:szCs w:val="24"/>
              </w:rPr>
              <w:t>1、投标人提供的服务方案能够无缝融合市公共信息平台信用库对接方案；提供方案，方案可行且对接效果较好，5分；提供方案，但方案无缝对接性非最佳，3分；方案可行性较低，1分。</w:t>
            </w:r>
          </w:p>
          <w:p>
            <w:pPr>
              <w:tabs>
                <w:tab w:val="left" w:pos="-22"/>
              </w:tabs>
              <w:spacing w:line="300" w:lineRule="auto"/>
              <w:rPr>
                <w:rFonts w:hint="eastAsia" w:ascii="宋体" w:hAnsi="宋体" w:eastAsia="宋体" w:cs="宋体"/>
                <w:sz w:val="24"/>
                <w:szCs w:val="24"/>
              </w:rPr>
            </w:pPr>
            <w:r>
              <w:rPr>
                <w:rFonts w:hint="eastAsia" w:ascii="宋体" w:hAnsi="宋体" w:eastAsia="宋体" w:cs="宋体"/>
                <w:sz w:val="24"/>
                <w:szCs w:val="24"/>
              </w:rPr>
              <w:t>2、根据投标人提供的服务时效响应、服务承诺进行打分，提供得5分。无此项叙述不得分。</w:t>
            </w:r>
          </w:p>
        </w:tc>
      </w:tr>
    </w:tbl>
    <w:p>
      <w:pPr>
        <w:spacing w:line="360" w:lineRule="auto"/>
        <w:ind w:right="-92" w:rightChars="-44"/>
        <w:rPr>
          <w:rFonts w:ascii="宋体" w:hAnsi="宋体" w:cs="宋体"/>
          <w:b/>
          <w:color w:val="000000" w:themeColor="text1"/>
          <w:sz w:val="28"/>
          <w:szCs w:val="28"/>
          <w14:textFill>
            <w14:solidFill>
              <w14:schemeClr w14:val="tx1"/>
            </w14:solidFill>
          </w14:textFill>
        </w:rPr>
      </w:pPr>
    </w:p>
    <w:p>
      <w:pPr>
        <w:spacing w:line="50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最终得分为磋商小组所有成员计分的算术平均值，计算保留小数点两位，小数点后第三位四舍五入。</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22.3磋商小组根据综合评分情况，按照评审得分由高到低顺序推荐成交候选供应商，并编写评审报告。综合得分相同的供应商，报价较低者优先；报价也相同的，由采购人自行确定。</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22.5若供应商的报价高于项目预算，磋商小组有权根据采购人意见及其实际情况，拒绝该报价。</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22.7在竞争性磋商期间，供应商不得向竞争性磋商小组成员询问其它供应商竞争性磋商情况，不得进行旨在影响成交结果的活动。</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22.8在竞争性磋商期间，采购人将有专门人员与供应商进行联络。</w:t>
      </w:r>
    </w:p>
    <w:p>
      <w:pPr>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23.竞争性磋商终止</w:t>
      </w:r>
    </w:p>
    <w:p>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23.1出现下列情形之一时，采购人有权宣布竞争性磋商终止，并将理由通知所有供应商：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（1）因情况变化，不再符合竞争性磋商适用情形的；</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（2）出现影响采购公正的违法、违规行为的；</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（3）在采购过程中符合磋商文件要求的供应商不足3家的；</w:t>
      </w:r>
    </w:p>
    <w:p>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（4）在采购活动中因重大变故，采购任务取消的；</w:t>
      </w:r>
    </w:p>
    <w:p>
      <w:pPr>
        <w:pStyle w:val="18"/>
        <w:rPr>
          <w:color w:val="000000" w:themeColor="text1"/>
          <w:sz w:val="30"/>
          <w:szCs w:val="30"/>
          <w14:textFill>
            <w14:solidFill>
              <w14:schemeClr w14:val="tx1"/>
            </w14:solidFill>
          </w14:textFill>
        </w:rPr>
      </w:pPr>
      <w:bookmarkStart w:id="44" w:name="_Toc195875471"/>
      <w:r>
        <w:rPr>
          <w:rFonts w:hint="eastAsia"/>
          <w:color w:val="000000" w:themeColor="text1"/>
          <w:sz w:val="30"/>
          <w:szCs w:val="30"/>
          <w14:textFill>
            <w14:solidFill>
              <w14:schemeClr w14:val="tx1"/>
            </w14:solidFill>
          </w14:textFill>
        </w:rPr>
        <w:t>七、成交通知</w:t>
      </w:r>
      <w:bookmarkEnd w:id="44"/>
    </w:p>
    <w:p>
      <w:pPr>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24.成交通知</w:t>
      </w:r>
    </w:p>
    <w:p>
      <w:pPr>
        <w:pStyle w:val="3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24.1采购人应当自收到评审报告之日起5个工作日内在评审报告推荐的中标或者成交候选人中按顺序确定中标或者成交供应商。</w:t>
      </w:r>
    </w:p>
    <w:p>
      <w:pPr>
        <w:tabs>
          <w:tab w:val="left" w:pos="18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24.2在发出成交公告后请采购人、中标人登录周口市公共资源交易中心网（http://jyzx.zhoukou.gov.cn）自行下载成交通知书。</w:t>
      </w:r>
    </w:p>
    <w:p>
      <w:pPr>
        <w:tabs>
          <w:tab w:val="left" w:pos="18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24.3成交通知书对采购人和成交供应商具有同等法律效力。成交通知书发出后，采购人改变成交结果，或者成交供应商放弃成交，应当承担相应的法律责任。</w:t>
      </w:r>
    </w:p>
    <w:p>
      <w:pPr>
        <w:pStyle w:val="18"/>
        <w:rPr>
          <w:color w:val="000000" w:themeColor="text1"/>
          <w:sz w:val="30"/>
          <w:szCs w:val="30"/>
          <w14:textFill>
            <w14:solidFill>
              <w14:schemeClr w14:val="tx1"/>
            </w14:solidFill>
          </w14:textFill>
        </w:rPr>
      </w:pPr>
      <w:bookmarkStart w:id="45" w:name="_Toc195875472"/>
      <w:r>
        <w:rPr>
          <w:rFonts w:hint="eastAsia"/>
          <w:color w:val="000000" w:themeColor="text1"/>
          <w:sz w:val="30"/>
          <w:szCs w:val="30"/>
          <w14:textFill>
            <w14:solidFill>
              <w14:schemeClr w14:val="tx1"/>
            </w14:solidFill>
          </w14:textFill>
        </w:rPr>
        <w:t>八、合同授予</w:t>
      </w:r>
      <w:bookmarkEnd w:id="45"/>
    </w:p>
    <w:p>
      <w:pPr>
        <w:tabs>
          <w:tab w:val="left" w:pos="1620"/>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25.签订合同及合同的执行</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25.1采购人、成交供应商按照竞争性磋商文件确定的合同文本签订政府采购合同。</w:t>
      </w:r>
    </w:p>
    <w:p>
      <w:pPr>
        <w:pStyle w:val="37"/>
        <w:tabs>
          <w:tab w:val="left" w:pos="932"/>
        </w:tabs>
        <w:adjustRightInd w:val="0"/>
        <w:snapToGrid w:val="0"/>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25.2采购人不得向成交供应商提出超过竞争性磋商文件以外的任何要求作为签订合同的条件，不得与成交供应商订立背离竞争性磋商文件确定的合同文本协议。</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pStyle w:val="30"/>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25.4</w:t>
      </w:r>
      <w:r>
        <w:rPr>
          <w:rFonts w:hint="eastAsia" w:ascii="宋体" w:hAnsi="宋体" w:cs="宋体"/>
          <w:color w:val="000000" w:themeColor="text1"/>
          <w:sz w:val="24"/>
          <w14:textFill>
            <w14:solidFill>
              <w14:schemeClr w14:val="tx1"/>
            </w14:solidFill>
          </w14:textFill>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pPr>
        <w:pStyle w:val="18"/>
        <w:rPr>
          <w:color w:val="000000" w:themeColor="text1"/>
          <w:sz w:val="30"/>
          <w:szCs w:val="30"/>
          <w14:textFill>
            <w14:solidFill>
              <w14:schemeClr w14:val="tx1"/>
            </w14:solidFill>
          </w14:textFill>
        </w:rPr>
      </w:pPr>
      <w:bookmarkStart w:id="46" w:name="_Toc195875473"/>
      <w:r>
        <w:rPr>
          <w:rFonts w:hint="eastAsia"/>
          <w:color w:val="000000" w:themeColor="text1"/>
          <w:sz w:val="30"/>
          <w:szCs w:val="30"/>
          <w14:textFill>
            <w14:solidFill>
              <w14:schemeClr w14:val="tx1"/>
            </w14:solidFill>
          </w14:textFill>
        </w:rPr>
        <w:t>九、质疑处理</w:t>
      </w:r>
      <w:bookmarkEnd w:id="46"/>
    </w:p>
    <w:p>
      <w:pPr>
        <w:tabs>
          <w:tab w:val="left" w:pos="1620"/>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26.质疑程序及处理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w:t>
      </w:r>
      <w:r>
        <w:rPr>
          <w:rFonts w:hint="eastAsia" w:ascii="宋体" w:hAnsi="宋体" w:cs="宋体"/>
          <w:bCs/>
          <w:color w:val="000000" w:themeColor="text1"/>
          <w:sz w:val="24"/>
          <w14:textFill>
            <w14:solidFill>
              <w14:schemeClr w14:val="tx1"/>
            </w14:solidFill>
          </w14:textFill>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26.2采购人在收到供应商的书面质疑后七个工作日内做出答复，并以书面形式通知质疑供应商和其他供应商，但答复内容不得涉及商业秘密。</w:t>
      </w:r>
    </w:p>
    <w:p>
      <w:pPr>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26.3</w:t>
      </w:r>
      <w:r>
        <w:rPr>
          <w:rFonts w:hint="eastAsia" w:ascii="宋体" w:hAnsi="宋体" w:cs="宋体"/>
          <w:bCs/>
          <w:color w:val="000000" w:themeColor="text1"/>
          <w:sz w:val="24"/>
          <w14:textFill>
            <w14:solidFill>
              <w14:schemeClr w14:val="tx1"/>
            </w14:solidFill>
          </w14:textFill>
        </w:rPr>
        <w:t>质疑供应商行使质疑权时，必须遵守“实事求是”和“谨慎性”原则，承担使用虚假材料或恶意方式质疑的法律责任，</w:t>
      </w:r>
      <w:r>
        <w:rPr>
          <w:rFonts w:hint="eastAsia" w:ascii="宋体" w:hAnsi="宋体" w:cs="宋体"/>
          <w:color w:val="000000" w:themeColor="text1"/>
          <w:sz w:val="24"/>
          <w14:textFill>
            <w14:solidFill>
              <w14:schemeClr w14:val="tx1"/>
            </w14:solidFill>
          </w14:textFill>
        </w:rPr>
        <w:t>采购人</w:t>
      </w:r>
      <w:r>
        <w:rPr>
          <w:rFonts w:hint="eastAsia" w:ascii="宋体" w:hAnsi="宋体" w:cs="宋体"/>
          <w:bCs/>
          <w:color w:val="000000" w:themeColor="text1"/>
          <w:sz w:val="24"/>
          <w14:textFill>
            <w14:solidFill>
              <w14:schemeClr w14:val="tx1"/>
            </w14:solidFill>
          </w14:textFill>
        </w:rPr>
        <w:t>将遵循“谁过错谁负担”的原则，由过错方提交相关的调查论证费用。</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00" w:lineRule="exact"/>
        <w:rPr>
          <w:rFonts w:ascii="宋体" w:hAnsi="宋体" w:cs="宋体"/>
          <w:color w:val="000000" w:themeColor="text1"/>
          <w:sz w:val="24"/>
          <w14:textFill>
            <w14:solidFill>
              <w14:schemeClr w14:val="tx1"/>
            </w14:solidFill>
          </w14:textFill>
        </w:rPr>
      </w:pPr>
    </w:p>
    <w:p>
      <w:pPr>
        <w:spacing w:line="500" w:lineRule="exact"/>
        <w:rPr>
          <w:rFonts w:ascii="宋体" w:hAnsi="宋体" w:cs="宋体"/>
          <w:color w:val="000000" w:themeColor="text1"/>
          <w:sz w:val="24"/>
          <w14:textFill>
            <w14:solidFill>
              <w14:schemeClr w14:val="tx1"/>
            </w14:solidFill>
          </w14:textFill>
        </w:rPr>
        <w:sectPr>
          <w:headerReference r:id="rId3" w:type="default"/>
          <w:footerReference r:id="rId4" w:type="default"/>
          <w:pgSz w:w="11907" w:h="16840"/>
          <w:pgMar w:top="1440" w:right="1080" w:bottom="1440" w:left="1080" w:header="510" w:footer="0" w:gutter="0"/>
          <w:cols w:space="720" w:num="1"/>
          <w:docGrid w:type="lines" w:linePitch="312" w:charSpace="0"/>
        </w:sectPr>
      </w:pPr>
    </w:p>
    <w:p>
      <w:pPr>
        <w:pStyle w:val="22"/>
        <w:rPr>
          <w:color w:val="000000" w:themeColor="text1"/>
          <w:sz w:val="30"/>
          <w:szCs w:val="30"/>
          <w14:textFill>
            <w14:solidFill>
              <w14:schemeClr w14:val="tx1"/>
            </w14:solidFill>
          </w14:textFill>
        </w:rPr>
      </w:pPr>
      <w:bookmarkStart w:id="47" w:name="_Toc195875474"/>
      <w:r>
        <w:rPr>
          <w:rFonts w:hint="eastAsia"/>
          <w:color w:val="000000" w:themeColor="text1"/>
          <w:sz w:val="30"/>
          <w:szCs w:val="30"/>
          <w14:textFill>
            <w14:solidFill>
              <w14:schemeClr w14:val="tx1"/>
            </w14:solidFill>
          </w14:textFill>
        </w:rPr>
        <w:t>第三章 采购项目内容及要求</w:t>
      </w:r>
      <w:bookmarkEnd w:id="47"/>
    </w:p>
    <w:p>
      <w:pPr>
        <w:spacing w:line="560" w:lineRule="exact"/>
        <w:ind w:firstLine="480" w:firstLineChars="200"/>
        <w:rPr>
          <w:rStyle w:val="38"/>
          <w:sz w:val="24"/>
        </w:rPr>
      </w:pPr>
      <w:bookmarkStart w:id="48" w:name="_Toc11739_WPSOffice_Level1"/>
      <w:bookmarkStart w:id="49" w:name="_Toc40975439"/>
      <w:r>
        <w:rPr>
          <w:rStyle w:val="38"/>
          <w:rFonts w:hint="eastAsia"/>
          <w:sz w:val="24"/>
        </w:rPr>
        <w:t>1、项目概况：项城市发展和改革委员会项城市社会信用体系建设综合运维服务项目</w:t>
      </w:r>
      <w:r>
        <w:rPr>
          <w:rStyle w:val="38"/>
          <w:sz w:val="24"/>
        </w:rPr>
        <w:t>。</w:t>
      </w:r>
    </w:p>
    <w:p>
      <w:pPr>
        <w:spacing w:line="560" w:lineRule="exact"/>
        <w:ind w:firstLine="480" w:firstLineChars="200"/>
        <w:rPr>
          <w:rStyle w:val="38"/>
          <w:sz w:val="24"/>
        </w:rPr>
      </w:pPr>
      <w:r>
        <w:rPr>
          <w:rStyle w:val="38"/>
          <w:sz w:val="24"/>
        </w:rPr>
        <w:t>2</w:t>
      </w:r>
      <w:r>
        <w:rPr>
          <w:rStyle w:val="38"/>
          <w:rFonts w:hint="eastAsia"/>
          <w:sz w:val="24"/>
        </w:rPr>
        <w:t>、服务思路：按照信息化运维管理理论、方法和标准，结合项城市综合运维服务实际和建设需要，遵循立足需求、统一规划、保障重点、分步实施、务求实效的原则，建立一套融合组织、制度、流程、人员、技术的信息化运维管理体系。</w:t>
      </w:r>
    </w:p>
    <w:p>
      <w:pPr>
        <w:spacing w:line="560" w:lineRule="exact"/>
        <w:ind w:firstLine="480" w:firstLineChars="200"/>
        <w:rPr>
          <w:rStyle w:val="38"/>
        </w:rPr>
      </w:pPr>
      <w:r>
        <w:rPr>
          <w:rStyle w:val="38"/>
          <w:sz w:val="24"/>
        </w:rPr>
        <w:t>3</w:t>
      </w:r>
      <w:r>
        <w:rPr>
          <w:rStyle w:val="38"/>
          <w:rFonts w:hint="eastAsia"/>
          <w:sz w:val="24"/>
        </w:rPr>
        <w:t>、服务要求：按照《中共中央办公厅 国务院办公厅关于健全社会信用体系的意见</w:t>
      </w:r>
      <w:r>
        <w:rPr>
          <w:rStyle w:val="38"/>
          <w:sz w:val="24"/>
        </w:rPr>
        <w:t>》</w:t>
      </w:r>
      <w:r>
        <w:rPr>
          <w:rStyle w:val="38"/>
          <w:rFonts w:hint="eastAsia"/>
          <w:sz w:val="24"/>
        </w:rPr>
        <w:t>《国家发展改革委办公厅关于印发&lt;2024—2025年社会信用体系建设行动计划&gt;的通知》</w:t>
      </w:r>
      <w:r>
        <w:rPr>
          <w:rStyle w:val="38"/>
          <w:sz w:val="24"/>
        </w:rPr>
        <w:t>等文件的相关要求，充分结合实际情况，建设法人、个人等基础信用数据库，统一数据标准，以覆盖全社会的公共信用平台为基础，以政务诚信、商务诚信、社会诚信、司法公信建设为主要内容进一步推进信用信息归集、信用宣传工作开展、信用应用推广落地等方面的工作，促进</w:t>
      </w:r>
      <w:r>
        <w:rPr>
          <w:rStyle w:val="38"/>
          <w:rFonts w:hint="eastAsia"/>
          <w:sz w:val="24"/>
        </w:rPr>
        <w:t>项城市</w:t>
      </w:r>
      <w:r>
        <w:rPr>
          <w:rStyle w:val="38"/>
          <w:sz w:val="24"/>
        </w:rPr>
        <w:t>社会信用体系建设的高效发展</w:t>
      </w:r>
      <w:r>
        <w:rPr>
          <w:rStyle w:val="38"/>
          <w:rFonts w:hint="eastAsia"/>
          <w:sz w:val="24"/>
        </w:rPr>
        <w:t>。</w:t>
      </w:r>
    </w:p>
    <w:tbl>
      <w:tblPr>
        <w:tblStyle w:val="25"/>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137"/>
        <w:gridCol w:w="1319"/>
        <w:gridCol w:w="546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9124" w:type="dxa"/>
            <w:gridSpan w:val="5"/>
            <w:noWrap/>
            <w:vAlign w:val="center"/>
          </w:tcPr>
          <w:p>
            <w:pPr>
              <w:pStyle w:val="56"/>
              <w:jc w:val="center"/>
              <w:rPr>
                <w:rFonts w:hint="eastAsia" w:ascii="宋体" w:hAnsi="宋体" w:eastAsia="宋体" w:cs="宋体"/>
                <w:b/>
                <w:bCs/>
                <w:szCs w:val="24"/>
              </w:rPr>
            </w:pPr>
            <w:r>
              <w:rPr>
                <w:rFonts w:hint="eastAsia" w:ascii="宋体" w:hAnsi="宋体" w:eastAsia="宋体" w:cs="宋体"/>
                <w:b/>
                <w:bCs/>
                <w:sz w:val="28"/>
                <w:szCs w:val="21"/>
              </w:rPr>
              <w:t>周口市项城市社会信用体系建设综合运维服务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498" w:type="dxa"/>
            <w:noWrap/>
            <w:vAlign w:val="center"/>
          </w:tcPr>
          <w:p>
            <w:pPr>
              <w:pStyle w:val="56"/>
              <w:jc w:val="center"/>
              <w:rPr>
                <w:rFonts w:hint="eastAsia" w:ascii="宋体" w:hAnsi="宋体" w:eastAsia="宋体" w:cs="宋体"/>
                <w:b/>
                <w:bCs/>
                <w:szCs w:val="24"/>
              </w:rPr>
            </w:pPr>
            <w:r>
              <w:rPr>
                <w:rFonts w:hint="eastAsia" w:ascii="宋体" w:hAnsi="宋体" w:eastAsia="宋体" w:cs="宋体"/>
                <w:b/>
                <w:bCs/>
                <w:szCs w:val="24"/>
              </w:rPr>
              <w:t>序号</w:t>
            </w:r>
          </w:p>
        </w:tc>
        <w:tc>
          <w:tcPr>
            <w:tcW w:w="1137" w:type="dxa"/>
            <w:vAlign w:val="center"/>
          </w:tcPr>
          <w:p>
            <w:pPr>
              <w:pStyle w:val="56"/>
              <w:jc w:val="center"/>
              <w:rPr>
                <w:rFonts w:hint="eastAsia" w:ascii="宋体" w:hAnsi="宋体" w:eastAsia="宋体" w:cs="宋体"/>
                <w:b/>
                <w:bCs/>
                <w:szCs w:val="24"/>
              </w:rPr>
            </w:pPr>
            <w:r>
              <w:rPr>
                <w:rFonts w:hint="eastAsia" w:ascii="宋体" w:hAnsi="宋体" w:eastAsia="宋体" w:cs="宋体"/>
                <w:b/>
                <w:bCs/>
                <w:szCs w:val="24"/>
              </w:rPr>
              <w:t>服务内容</w:t>
            </w:r>
          </w:p>
        </w:tc>
        <w:tc>
          <w:tcPr>
            <w:tcW w:w="1319" w:type="dxa"/>
            <w:vAlign w:val="center"/>
          </w:tcPr>
          <w:p>
            <w:pPr>
              <w:pStyle w:val="56"/>
              <w:jc w:val="center"/>
              <w:rPr>
                <w:rFonts w:hint="eastAsia" w:ascii="宋体" w:hAnsi="宋体" w:eastAsia="宋体" w:cs="宋体"/>
                <w:b/>
                <w:bCs/>
                <w:szCs w:val="24"/>
              </w:rPr>
            </w:pPr>
            <w:r>
              <w:rPr>
                <w:rFonts w:hint="eastAsia" w:ascii="宋体" w:hAnsi="宋体" w:eastAsia="宋体" w:cs="宋体"/>
                <w:b/>
                <w:bCs/>
                <w:szCs w:val="24"/>
              </w:rPr>
              <w:t>详细内容</w:t>
            </w:r>
          </w:p>
        </w:tc>
        <w:tc>
          <w:tcPr>
            <w:tcW w:w="5461" w:type="dxa"/>
            <w:noWrap/>
            <w:vAlign w:val="center"/>
          </w:tcPr>
          <w:p>
            <w:pPr>
              <w:pStyle w:val="56"/>
              <w:jc w:val="center"/>
              <w:rPr>
                <w:rFonts w:hint="eastAsia" w:ascii="宋体" w:hAnsi="宋体" w:eastAsia="宋体" w:cs="宋体"/>
                <w:b/>
                <w:bCs/>
                <w:szCs w:val="24"/>
              </w:rPr>
            </w:pPr>
            <w:r>
              <w:rPr>
                <w:rFonts w:hint="eastAsia" w:ascii="宋体" w:hAnsi="宋体" w:eastAsia="宋体" w:cs="宋体"/>
                <w:b/>
                <w:bCs/>
                <w:szCs w:val="24"/>
              </w:rPr>
              <w:t>内容描述</w:t>
            </w:r>
          </w:p>
        </w:tc>
        <w:tc>
          <w:tcPr>
            <w:tcW w:w="709" w:type="dxa"/>
            <w:noWrap/>
            <w:vAlign w:val="center"/>
          </w:tcPr>
          <w:p>
            <w:pPr>
              <w:pStyle w:val="56"/>
              <w:jc w:val="center"/>
              <w:rPr>
                <w:rFonts w:hint="eastAsia" w:ascii="宋体" w:hAnsi="宋体" w:eastAsia="宋体" w:cs="宋体"/>
                <w:b/>
                <w:bCs/>
                <w:szCs w:val="24"/>
              </w:rPr>
            </w:pPr>
            <w:r>
              <w:rPr>
                <w:rFonts w:hint="eastAsia" w:ascii="宋体" w:hAnsi="宋体" w:eastAsia="宋体" w:cs="宋体"/>
                <w:b/>
                <w:bCs/>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w:t>
            </w:r>
          </w:p>
        </w:tc>
        <w:tc>
          <w:tcPr>
            <w:tcW w:w="1137" w:type="dxa"/>
            <w:vMerge w:val="restart"/>
            <w:vAlign w:val="center"/>
          </w:tcPr>
          <w:p>
            <w:pPr>
              <w:pStyle w:val="56"/>
              <w:jc w:val="center"/>
              <w:rPr>
                <w:rFonts w:hint="eastAsia" w:ascii="宋体" w:hAnsi="宋体" w:eastAsia="宋体" w:cs="宋体"/>
                <w:szCs w:val="24"/>
              </w:rPr>
            </w:pPr>
            <w:r>
              <w:rPr>
                <w:rFonts w:hint="eastAsia" w:ascii="宋体" w:hAnsi="宋体" w:eastAsia="宋体" w:cs="宋体"/>
                <w:szCs w:val="24"/>
              </w:rPr>
              <w:t>基础技术服务</w:t>
            </w: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标准规范制定</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制定基础数据规范，包括基础数据的范围定义、每个基础数据的业务语义定义与表示、每个基础数据元的类型定义与取值范围等。</w:t>
            </w:r>
          </w:p>
          <w:p>
            <w:pPr>
              <w:pStyle w:val="56"/>
              <w:rPr>
                <w:rFonts w:hint="eastAsia" w:ascii="宋体" w:hAnsi="宋体" w:eastAsia="宋体" w:cs="宋体"/>
                <w:szCs w:val="24"/>
              </w:rPr>
            </w:pPr>
            <w:r>
              <w:rPr>
                <w:rFonts w:hint="eastAsia" w:ascii="宋体" w:hAnsi="宋体" w:eastAsia="宋体" w:cs="宋体"/>
                <w:szCs w:val="24"/>
              </w:rPr>
              <w:t>为保障本项目数据传输的实时性、准确性、安全性等方面，需对数据交换方面编制相应的要求，需制定应用集成运行平台数据对接标准。</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2</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数据交换支持服务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根据客户的需求及各部门信用数据对接的需求，提供公共信用信息共享交换平台的交换扩展支持服务。在通过数据模板导入和系统录入的基础上，在具备条件时使更多的部门以数据交换方式进行数据归集，确保数据归集的效率和准确度，拓展数据共享交换实现数据互联互通的新路径。</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3</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接口服务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根据目前国内公共信用平台接口标准规范体系要求，服务团队将会协助构建动态的接口管理机制，实现公共信用信息平台与其他部门、业务系统或第三方数据服务机构等接口连接，保障不同应用平台/系统间数据的互联互通。</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4</w:t>
            </w:r>
          </w:p>
        </w:tc>
        <w:tc>
          <w:tcPr>
            <w:tcW w:w="1137" w:type="dxa"/>
            <w:vMerge w:val="restart"/>
            <w:vAlign w:val="center"/>
          </w:tcPr>
          <w:p>
            <w:pPr>
              <w:pStyle w:val="56"/>
              <w:jc w:val="center"/>
              <w:rPr>
                <w:rFonts w:hint="eastAsia" w:ascii="宋体" w:hAnsi="宋体" w:eastAsia="宋体" w:cs="宋体"/>
                <w:szCs w:val="24"/>
              </w:rPr>
            </w:pPr>
            <w:r>
              <w:rPr>
                <w:rFonts w:hint="eastAsia" w:ascii="宋体" w:hAnsi="宋体" w:eastAsia="宋体" w:cs="宋体"/>
                <w:szCs w:val="24"/>
              </w:rPr>
              <w:t>平台网站服务</w:t>
            </w: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系统运维服务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为项城市公共信用信息平台及“信用项城”门户网站提供维护服务，保障平台和网站安全可靠运行，及时解答各参建部门在系统使用过程中遇到的问题。通过现场、远程等服务方式及时解决相关问题，保障平台和网站的正常运行，并能使系统不断得到改善和提高，以充分发挥作用。具体将提供信用信息平台维护、系统补丁、系统优化、软件升级、系统崩溃恢复等多样化服务等。解决系统运行过程中出现的系统故障（包括日常故障排除、系统崩溃恢复等），同时对建设中的相关业务开展建议等。</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5</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定期巡检服务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建立定期巡检工作机制，提供月、季、年度巡检等服务。除故障响应服务外，服务团队定期提供对系统的巡检及维护服务，及时监控系统运行状态，并提供系统故障预防措施的建议，确保平台一直处于最佳运行状态。通过定期巡检等方式对平台提供预防性维护和系统性能优化。</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6</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系统培训服务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负责对用户进行全面的技术培训，针对“项城市公共信用信息平台”提供定期的培训服务，包含平台应用和维护所需要的配套培训服务，采用现场集中培训和分散培训相结合的方式，确保主管部门及各相关部门用户、管理人员能够掌握平台的使用。除应用培训外，服务团队负责对用户进行全面的技术培训，使用户达到能独立进行管理、维护和故障处理等工作，以便用户所使用的软件产品能够正常、安全地运行。</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7</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应用推进服务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根据多地社会信用体系建设的发展经验以及平台、网站的创新应用对项城市现有的基础平台不断提出升级和优化的建议，促进完善以实现更好的应用体验。同时，后续可以根据客户的需求，拓展创新领域应用，开辟新的功能点，进一步打造信用项城市新模式。</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8</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其他服务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提供包括共建单位服务、数据管理服务、网络及安全系统运维服务、主机及存储系统运维服务、数据库运维服务、中间件运维服务等其他服务。</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9</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稳定性保障服务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提供的信用平台应用了先进的访问控制、身份认证等技术防止非法用户的入侵，保证系统能够正常、可靠的运行。数据在采集、存储、传输和处理的过程中，始终保持完整性和一致性。保证系统在后台维护与数据安全层次及业务层次都是可靠的，确保系统极高的可靠性。</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10</w:t>
            </w:r>
          </w:p>
        </w:tc>
        <w:tc>
          <w:tcPr>
            <w:tcW w:w="1137" w:type="dxa"/>
            <w:vMerge w:val="restart"/>
            <w:vAlign w:val="center"/>
          </w:tcPr>
          <w:p>
            <w:pPr>
              <w:pStyle w:val="56"/>
              <w:jc w:val="center"/>
              <w:rPr>
                <w:rFonts w:hint="eastAsia" w:ascii="宋体" w:hAnsi="宋体" w:eastAsia="宋体" w:cs="宋体"/>
                <w:szCs w:val="24"/>
              </w:rPr>
            </w:pPr>
            <w:r>
              <w:rPr>
                <w:rFonts w:hint="eastAsia" w:ascii="宋体" w:hAnsi="宋体" w:eastAsia="宋体" w:cs="宋体"/>
                <w:szCs w:val="24"/>
              </w:rPr>
              <w:t>日常工作协同服务</w:t>
            </w: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内容更新维护服务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运维服务人员将会根据项城市信用门户网站的更新的要求，配合项城市信用办做好门户网站的信息更新与维护工作，充分体现信用展示的活跃度。</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11</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会务服务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服务人员将结合项城市社会信用体系建设的工作需要，辅助开展其余临时事项。完成信用办交办的临时事项，如协助信用办下发会议通知、到某委办局对接开展专项信用领域的信用应用、协调数据采集等事务等。</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12</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专项治理工作协助服务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服务团队将协助信用办根据国家、省、市的相关工作部署，完成各项信用专项治理工作。具体将在电信网络诈骗专项治理；互联网虚假信息、造谣传谣专项治理；涉金融领域失信问题专项治理和互联网金融风险专项整治;生态环境保护失信行为专项治理等领域开展专项治理。</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13</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联合奖惩推动服务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以《全国失信惩戒措施基础清单（2025版）》为依据，通过模块化的方式实现联合奖惩措施的入库，并依法依规建立健全失信联合惩戒对象名单制度。协助项城市建立并落实联合惩戒措施，实现措施清单动态更新并向社会公开，形成行政性、市场性和行业性等惩戒措施多管齐下，社会力量广泛参与的失信联合惩戒大格局。奖惩的发起部门建立起备忘录关联的对象名单后，实现名单自动推送给联合参与部门。各部门在办理相关业务时，通过项城市联合奖惩的奖惩插件或者客户端等形式接收对象名单后在行政事项中对对象库里的成员进行惩戒（激励）措施的记录，最终形成奖惩结果。</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14</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业务培训服务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服务团队将协助项城市信用办提供培训活动的组织策划服务，帮助政府联系国内权威的专家担任培训导师，配套科学的教材，结合培训活动的实际情况量身定制开展相应培训。培训形式包括现场培训会和线上培训等；培训对象包括企业、信用主管单位、信用参建单位等；培训的主题涵盖：“信用修复培训”专题培训、信用承诺培训、联合奖惩培训、“双公示数据规范”专题培训、“诚信大讲堂”主题培训等。</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15</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制度咨询服务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服务团队将协助项城市建立完善已有的的信用体系相关规范、制度、办法，为信用体系建设提供良好的保障基础。同时，可以辅助信用办制定新的信用制度文件，为信用办收集可参考素材、提供合理化建议。</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16</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信息归集指导服务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服务人员将会协助项城市信用办指导各单位信息归集工作，协助信用办推动各部门信用数据报送相关工作，保持数据通道畅通，由下自上归集高质量的信用信息。针对平台各共建单位在数据提报、接入平台等方面提供服务，配合项目建设单位完成各数据源单位数据采集、处理和入库工作。</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17</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工作考核协助服务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针对项城市的信用工作推进要求，协助制定考核评价办法与措施，同时协助信用办完成上级单位的考核工作和下达的工作任务。主要是通过协助信用办进行信用工作考核，能够实现基于系统应用情况，并提供各部门的平台应用情况、数据归集情况统计、分析表，从而作为项城市信用工作考核的参考依据，以推动平台良好应用。另外，将会配合信用办完成上级单位对信用体系相关的考核任务，协助信用办进行考察接待工作。</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18</w:t>
            </w:r>
          </w:p>
        </w:tc>
        <w:tc>
          <w:tcPr>
            <w:tcW w:w="1137" w:type="dxa"/>
            <w:vMerge w:val="restart"/>
            <w:vAlign w:val="center"/>
          </w:tcPr>
          <w:p>
            <w:pPr>
              <w:pStyle w:val="56"/>
              <w:jc w:val="center"/>
              <w:rPr>
                <w:rFonts w:hint="eastAsia" w:ascii="宋体" w:hAnsi="宋体" w:eastAsia="宋体" w:cs="宋体"/>
                <w:szCs w:val="24"/>
              </w:rPr>
            </w:pPr>
            <w:r>
              <w:rPr>
                <w:rFonts w:hint="eastAsia" w:ascii="宋体" w:hAnsi="宋体" w:eastAsia="宋体" w:cs="宋体"/>
                <w:szCs w:val="24"/>
              </w:rPr>
              <w:t>推广及运维服务</w:t>
            </w: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规划咨询服务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结合最新的信用政策制度和发展动态，遵循国家标准，河南省、周口市主管部门的统一规划，协助信用办，为项城市后续的信用体系建设提供必要的建议。同时协助信用办对目前项城市的基础平台和功能提出优化和完善方案，进而完善当前的信用体系建设和信用平台应用状态，共同推进信用体系建设和应用工作。</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19</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社会信用体系体制机制建设咨询服务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根据国家和河南省社会信用体系建设工作的相关要求，结合项城市实际需求，协同规划设计项城市社会信用体系建设体制机制工作。</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20</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协助推动信用应用服务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服务团队将积极推广运维服务项目，协助进行应用场景的宣传，提供应用场景的操作指导，并对应用场景的实际开展工作进行统计分析，支持各类运营应用更好的开展，并在具体运营工作开展时，基于现有平台和网站功能，为第三方提供必要的技术和服务支持，保障运营方案有效落地。</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21</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协助推动专项领域信用服务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项城市在建立各类专项信用管理体系时，服务团队可以协助信用办完成与对应主管部门的对接、沟通，协助主管部门落实专项信用管理要求。在专项领域信用应用建设工作中，服务团队后期也可以提供支持。</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22</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信用工作相关交流辅导服务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根据综合运维服务需求，我们对于信用工作对内和对外的考察和交流提供服务，配合信用办与各主要相关参建部门进行交流协调。如上级单位视察工作时，对信用平台和相关工作的汇报、讲解等。</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498" w:type="dxa"/>
            <w:noWrap/>
            <w:vAlign w:val="center"/>
          </w:tcPr>
          <w:p>
            <w:pPr>
              <w:pStyle w:val="56"/>
              <w:jc w:val="center"/>
              <w:rPr>
                <w:rFonts w:hint="eastAsia" w:ascii="宋体" w:hAnsi="宋体" w:eastAsia="宋体" w:cs="宋体"/>
                <w:szCs w:val="24"/>
              </w:rPr>
            </w:pPr>
            <w:r>
              <w:rPr>
                <w:rFonts w:hint="eastAsia" w:ascii="宋体" w:hAnsi="宋体" w:eastAsia="宋体" w:cs="宋体"/>
                <w:szCs w:val="24"/>
              </w:rPr>
              <w:t>23</w:t>
            </w:r>
          </w:p>
        </w:tc>
        <w:tc>
          <w:tcPr>
            <w:tcW w:w="1137" w:type="dxa"/>
            <w:vMerge w:val="continue"/>
            <w:vAlign w:val="center"/>
          </w:tcPr>
          <w:p>
            <w:pPr>
              <w:pStyle w:val="56"/>
              <w:jc w:val="center"/>
              <w:rPr>
                <w:rFonts w:hint="eastAsia" w:ascii="宋体" w:hAnsi="宋体" w:eastAsia="宋体" w:cs="宋体"/>
                <w:szCs w:val="24"/>
              </w:rPr>
            </w:pPr>
          </w:p>
        </w:tc>
        <w:tc>
          <w:tcPr>
            <w:tcW w:w="1319" w:type="dxa"/>
            <w:vAlign w:val="center"/>
          </w:tcPr>
          <w:p>
            <w:pPr>
              <w:pStyle w:val="56"/>
              <w:jc w:val="center"/>
              <w:rPr>
                <w:rFonts w:hint="eastAsia" w:ascii="宋体" w:hAnsi="宋体" w:eastAsia="宋体" w:cs="宋体"/>
                <w:szCs w:val="24"/>
              </w:rPr>
            </w:pPr>
            <w:r>
              <w:rPr>
                <w:rFonts w:hint="eastAsia" w:ascii="宋体" w:hAnsi="宋体" w:eastAsia="宋体" w:cs="宋体"/>
                <w:szCs w:val="24"/>
              </w:rPr>
              <w:t>宣传策划服务</w:t>
            </w:r>
          </w:p>
        </w:tc>
        <w:tc>
          <w:tcPr>
            <w:tcW w:w="5461" w:type="dxa"/>
            <w:vAlign w:val="center"/>
          </w:tcPr>
          <w:p>
            <w:pPr>
              <w:pStyle w:val="56"/>
              <w:rPr>
                <w:rFonts w:hint="eastAsia" w:ascii="宋体" w:hAnsi="宋体" w:eastAsia="宋体" w:cs="宋体"/>
                <w:szCs w:val="24"/>
              </w:rPr>
            </w:pPr>
            <w:r>
              <w:rPr>
                <w:rFonts w:hint="eastAsia" w:ascii="宋体" w:hAnsi="宋体" w:eastAsia="宋体" w:cs="宋体"/>
                <w:szCs w:val="24"/>
              </w:rPr>
              <w:t>在运维服务期间，我方将协助信用办对既有的信用工作成果进行包装和宣传，按照工作需要策划宣传活动，协助信用办做好信用宣传工作，展现工作成绩，营造良好的诚信氛围。</w:t>
            </w:r>
          </w:p>
        </w:tc>
        <w:tc>
          <w:tcPr>
            <w:tcW w:w="709" w:type="dxa"/>
            <w:noWrap/>
            <w:vAlign w:val="center"/>
          </w:tcPr>
          <w:p>
            <w:pPr>
              <w:pStyle w:val="56"/>
              <w:rPr>
                <w:rFonts w:hint="eastAsia" w:ascii="宋体" w:hAnsi="宋体" w:eastAsia="宋体" w:cs="宋体"/>
                <w:szCs w:val="24"/>
              </w:rPr>
            </w:pPr>
            <w:r>
              <w:rPr>
                <w:rFonts w:hint="eastAsia" w:ascii="宋体" w:hAnsi="宋体" w:eastAsia="宋体" w:cs="宋体"/>
                <w:szCs w:val="24"/>
              </w:rPr>
              <w:t>1套</w:t>
            </w:r>
          </w:p>
        </w:tc>
      </w:tr>
    </w:tbl>
    <w:p>
      <w:pPr>
        <w:pStyle w:val="3"/>
        <w:ind w:firstLine="0"/>
        <w:rPr>
          <w:rFonts w:hint="eastAsia" w:ascii="宋体" w:hAnsi="宋体" w:eastAsia="宋体" w:cs="宋体"/>
        </w:rPr>
      </w:pPr>
    </w:p>
    <w:bookmarkEnd w:id="48"/>
    <w:bookmarkEnd w:id="49"/>
    <w:p>
      <w:pPr>
        <w:spacing w:line="44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pPr>
        <w:spacing w:line="44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pPr>
        <w:spacing w:line="44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pPr>
        <w:spacing w:line="44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pPr>
        <w:pStyle w:val="22"/>
        <w:rPr>
          <w:color w:val="000000" w:themeColor="text1"/>
          <w:sz w:val="30"/>
          <w:szCs w:val="30"/>
          <w14:textFill>
            <w14:solidFill>
              <w14:schemeClr w14:val="tx1"/>
            </w14:solidFill>
          </w14:textFill>
        </w:rPr>
      </w:pPr>
      <w:bookmarkStart w:id="50" w:name="_Toc195875475"/>
      <w:r>
        <w:rPr>
          <w:rFonts w:hint="eastAsia"/>
          <w:color w:val="000000" w:themeColor="text1"/>
          <w:sz w:val="30"/>
          <w:szCs w:val="30"/>
          <w14:textFill>
            <w14:solidFill>
              <w14:schemeClr w14:val="tx1"/>
            </w14:solidFill>
          </w14:textFill>
        </w:rPr>
        <w:t>第四章  响应性文件内容及格式</w:t>
      </w:r>
      <w:bookmarkEnd w:id="50"/>
    </w:p>
    <w:p>
      <w:pPr>
        <w:widowControl/>
        <w:spacing w:line="520" w:lineRule="exact"/>
        <w:ind w:firstLine="480" w:firstLineChars="200"/>
        <w:jc w:val="center"/>
        <w:rPr>
          <w:rFonts w:ascii="宋体" w:hAnsi="宋体" w:cs="宋体"/>
          <w:color w:val="000000" w:themeColor="text1"/>
          <w:sz w:val="24"/>
          <w14:textFill>
            <w14:solidFill>
              <w14:schemeClr w14:val="tx1"/>
            </w14:solidFill>
          </w14:textFill>
        </w:rPr>
      </w:pP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注：请供应商按照以下文件的要求格式、内容，顺序制作响应性文件，并编制目录及页码，否则可能将影响对响应性文件的评价。 </w:t>
      </w:r>
    </w:p>
    <w:p>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重要提示：</w:t>
      </w:r>
    </w:p>
    <w:p>
      <w:pPr>
        <w:snapToGri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1．供应商在编制响应性文件时，对于给定格式的文件内容，必须按照给定的标准格式进行填报；对于没有给定标准格式的文件内容，可以由供应商自行设计。</w:t>
      </w:r>
    </w:p>
    <w:p>
      <w:pPr>
        <w:snapToGri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2.法定代表人本人参加竞争性磋商的，不需提供授权委托书。</w:t>
      </w:r>
    </w:p>
    <w:p>
      <w:pPr>
        <w:snapToGrid w:val="0"/>
        <w:spacing w:line="560" w:lineRule="exact"/>
        <w:ind w:firstLine="480" w:firstLineChars="200"/>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snapToGrid w:val="0"/>
        <w:jc w:val="left"/>
        <w:rPr>
          <w:rFonts w:ascii="宋体" w:hAnsi="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24"/>
        <w:ind w:firstLine="480"/>
        <w:rPr>
          <w:rFonts w:ascii="宋体" w:hAnsi="宋体" w:eastAsia="宋体" w:cs="宋体"/>
          <w:color w:val="000000" w:themeColor="text1"/>
          <w:sz w:val="24"/>
          <w14:textFill>
            <w14:solidFill>
              <w14:schemeClr w14:val="tx1"/>
            </w14:solidFill>
          </w14:textFill>
        </w:rPr>
      </w:pPr>
    </w:p>
    <w:p>
      <w:pPr>
        <w:pStyle w:val="18"/>
        <w:rPr>
          <w:color w:val="000000" w:themeColor="text1"/>
          <w:sz w:val="30"/>
          <w:szCs w:val="30"/>
          <w14:textFill>
            <w14:solidFill>
              <w14:schemeClr w14:val="tx1"/>
            </w14:solidFill>
          </w14:textFill>
        </w:rPr>
      </w:pPr>
      <w:bookmarkStart w:id="51" w:name="_Toc195875476"/>
      <w:r>
        <w:rPr>
          <w:rFonts w:hint="eastAsia"/>
          <w:color w:val="000000" w:themeColor="text1"/>
          <w:sz w:val="30"/>
          <w:szCs w:val="30"/>
          <w14:textFill>
            <w14:solidFill>
              <w14:schemeClr w14:val="tx1"/>
            </w14:solidFill>
          </w14:textFill>
        </w:rPr>
        <w:t>格式2-1企业营业执照副本及资格性证明材料</w:t>
      </w:r>
      <w:bookmarkEnd w:id="51"/>
    </w:p>
    <w:p>
      <w:pPr>
        <w:pStyle w:val="30"/>
        <w:ind w:firstLine="210"/>
        <w:rPr>
          <w:rFonts w:ascii="宋体" w:hAnsi="宋体"/>
          <w:color w:val="000000" w:themeColor="text1"/>
          <w14:textFill>
            <w14:solidFill>
              <w14:schemeClr w14:val="tx1"/>
            </w14:solidFill>
          </w14:textFill>
        </w:rPr>
      </w:pPr>
    </w:p>
    <w:p>
      <w:pPr>
        <w:pStyle w:val="18"/>
        <w:rPr>
          <w:color w:val="000000" w:themeColor="text1"/>
          <w:sz w:val="30"/>
          <w:szCs w:val="30"/>
          <w14:textFill>
            <w14:solidFill>
              <w14:schemeClr w14:val="tx1"/>
            </w14:solidFill>
          </w14:textFill>
        </w:rPr>
      </w:pPr>
      <w:bookmarkStart w:id="52" w:name="_Toc195875477"/>
      <w:r>
        <w:rPr>
          <w:rFonts w:hint="eastAsia"/>
          <w:color w:val="000000" w:themeColor="text1"/>
          <w:sz w:val="30"/>
          <w:szCs w:val="30"/>
          <w14:textFill>
            <w14:solidFill>
              <w14:schemeClr w14:val="tx1"/>
            </w14:solidFill>
          </w14:textFill>
        </w:rPr>
        <w:t>格式2-2 法定代表人身份证明书</w:t>
      </w:r>
      <w:bookmarkEnd w:id="52"/>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（法定代表人参加竞争性磋商的，出具此证明书）</w:t>
      </w: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1440" w:firstLineChars="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同志，系我单位法定代表人，任    职务。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附：联系地址：</w:t>
      </w:r>
    </w:p>
    <w:p>
      <w:pPr>
        <w:spacing w:line="360" w:lineRule="auto"/>
        <w:ind w:firstLine="960" w:firstLineChars="4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bl>
      <w:tblPr>
        <w:tblStyle w:val="25"/>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ascii="宋体" w:hAnsi="宋体" w:cs="宋体"/>
                <w:b/>
                <w:bCs/>
                <w:color w:val="000000" w:themeColor="text1"/>
                <w:sz w:val="24"/>
                <w14:textFill>
                  <w14:solidFill>
                    <w14:schemeClr w14:val="tx1"/>
                  </w14:solidFill>
                </w14:textFill>
              </w:rPr>
            </w:pPr>
          </w:p>
          <w:p>
            <w:pPr>
              <w:spacing w:line="480" w:lineRule="exact"/>
              <w:rPr>
                <w:rFonts w:ascii="宋体" w:hAnsi="宋体" w:cs="宋体"/>
                <w:b/>
                <w:bCs/>
                <w:color w:val="000000" w:themeColor="text1"/>
                <w:sz w:val="24"/>
                <w14:textFill>
                  <w14:solidFill>
                    <w14:schemeClr w14:val="tx1"/>
                  </w14:solidFill>
                </w14:textFill>
              </w:rPr>
            </w:pPr>
          </w:p>
          <w:p>
            <w:pPr>
              <w:spacing w:line="48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（※附：法定代表人身份证复印件※）</w:t>
            </w:r>
          </w:p>
          <w:p>
            <w:pPr>
              <w:spacing w:line="480" w:lineRule="exact"/>
              <w:rPr>
                <w:rFonts w:ascii="宋体" w:hAnsi="宋体" w:cs="宋体"/>
                <w:color w:val="000000" w:themeColor="text1"/>
                <w:sz w:val="24"/>
                <w14:textFill>
                  <w14:solidFill>
                    <w14:schemeClr w14:val="tx1"/>
                  </w14:solidFill>
                </w14:textFill>
              </w:rPr>
            </w:pPr>
          </w:p>
          <w:p>
            <w:pPr>
              <w:spacing w:line="480" w:lineRule="exact"/>
              <w:rPr>
                <w:rFonts w:ascii="宋体" w:hAnsi="宋体" w:cs="宋体"/>
                <w:color w:val="000000" w:themeColor="text1"/>
                <w:sz w:val="24"/>
                <w14:textFill>
                  <w14:solidFill>
                    <w14:schemeClr w14:val="tx1"/>
                  </w14:solidFill>
                </w14:textFill>
              </w:rPr>
            </w:pPr>
          </w:p>
        </w:tc>
      </w:tr>
    </w:tbl>
    <w:p>
      <w:pPr>
        <w:spacing w:line="360" w:lineRule="auto"/>
        <w:ind w:firstLine="960" w:firstLineChars="400"/>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18"/>
        <w:rPr>
          <w:color w:val="000000" w:themeColor="text1"/>
          <w:sz w:val="30"/>
          <w:szCs w:val="30"/>
          <w14:textFill>
            <w14:solidFill>
              <w14:schemeClr w14:val="tx1"/>
            </w14:solidFill>
          </w14:textFill>
        </w:rPr>
      </w:pPr>
      <w:bookmarkStart w:id="53" w:name="_Toc195875478"/>
      <w:r>
        <w:rPr>
          <w:rFonts w:hint="eastAsia"/>
          <w:color w:val="000000" w:themeColor="text1"/>
          <w:sz w:val="30"/>
          <w:szCs w:val="30"/>
          <w14:textFill>
            <w14:solidFill>
              <w14:schemeClr w14:val="tx1"/>
            </w14:solidFill>
          </w14:textFill>
        </w:rPr>
        <w:t>格式2-3 授权委托书</w:t>
      </w:r>
      <w:bookmarkEnd w:id="53"/>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（委托代理人参加竞争性磋商的，出具此证明书）</w:t>
      </w: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委托人授权    （被委托人的姓名、职务）为委托人的委托代理人，就项目编号为    的项目及合同的执行，以本单位名义处理一切与之有关的事务。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   年   月    日签字生效，特此声明。</w:t>
      </w:r>
    </w:p>
    <w:p>
      <w:pPr>
        <w:spacing w:line="360" w:lineRule="auto"/>
        <w:rPr>
          <w:rFonts w:ascii="宋体" w:hAnsi="宋体" w:cs="宋体"/>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供应商电子签章：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被委托人：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tbl>
      <w:tblPr>
        <w:tblStyle w:val="25"/>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宋体"/>
                <w:b/>
                <w:bCs/>
                <w:color w:val="000000" w:themeColor="text1"/>
                <w:sz w:val="24"/>
                <w14:textFill>
                  <w14:solidFill>
                    <w14:schemeClr w14:val="tx1"/>
                  </w14:solidFill>
                </w14:textFill>
              </w:rPr>
            </w:pPr>
          </w:p>
          <w:p>
            <w:pPr>
              <w:spacing w:line="480" w:lineRule="exact"/>
              <w:rPr>
                <w:rFonts w:ascii="宋体" w:hAnsi="宋体" w:cs="宋体"/>
                <w:b/>
                <w:bCs/>
                <w:color w:val="000000" w:themeColor="text1"/>
                <w:sz w:val="24"/>
                <w14:textFill>
                  <w14:solidFill>
                    <w14:schemeClr w14:val="tx1"/>
                  </w14:solidFill>
                </w14:textFill>
              </w:rPr>
            </w:pPr>
          </w:p>
          <w:p>
            <w:pPr>
              <w:spacing w:line="480" w:lineRule="exact"/>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（※附：被委托人身份证复印件※）</w:t>
            </w:r>
          </w:p>
        </w:tc>
      </w:tr>
    </w:tbl>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4920" w:firstLineChars="2050"/>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pStyle w:val="30"/>
        <w:ind w:firstLine="210"/>
        <w:rPr>
          <w:rFonts w:ascii="宋体" w:hAnsi="宋体"/>
          <w:color w:val="000000" w:themeColor="text1"/>
          <w14:textFill>
            <w14:solidFill>
              <w14:schemeClr w14:val="tx1"/>
            </w14:solidFill>
          </w14:textFill>
        </w:rPr>
      </w:pPr>
    </w:p>
    <w:p>
      <w:pPr>
        <w:pStyle w:val="30"/>
        <w:ind w:firstLine="210"/>
        <w:rPr>
          <w:rFonts w:ascii="宋体" w:hAnsi="宋体"/>
          <w:color w:val="000000" w:themeColor="text1"/>
          <w14:textFill>
            <w14:solidFill>
              <w14:schemeClr w14:val="tx1"/>
            </w14:solidFill>
          </w14:textFill>
        </w:rPr>
      </w:pPr>
    </w:p>
    <w:p>
      <w:pPr>
        <w:pStyle w:val="30"/>
        <w:ind w:firstLine="210"/>
        <w:rPr>
          <w:rFonts w:ascii="宋体" w:hAnsi="宋体"/>
          <w:color w:val="000000" w:themeColor="text1"/>
          <w14:textFill>
            <w14:solidFill>
              <w14:schemeClr w14:val="tx1"/>
            </w14:solidFill>
          </w14:textFill>
        </w:rPr>
      </w:pPr>
    </w:p>
    <w:p>
      <w:pPr>
        <w:pStyle w:val="30"/>
        <w:ind w:firstLine="0" w:firstLineChars="0"/>
        <w:rPr>
          <w:rFonts w:ascii="宋体" w:hAnsi="宋体"/>
          <w:color w:val="000000" w:themeColor="text1"/>
          <w14:textFill>
            <w14:solidFill>
              <w14:schemeClr w14:val="tx1"/>
            </w14:solidFill>
          </w14:textFill>
        </w:rPr>
      </w:pPr>
    </w:p>
    <w:p>
      <w:pPr>
        <w:pStyle w:val="30"/>
        <w:ind w:firstLine="0" w:firstLineChars="0"/>
        <w:rPr>
          <w:rFonts w:ascii="宋体" w:hAnsi="宋体"/>
          <w:color w:val="000000" w:themeColor="text1"/>
          <w14:textFill>
            <w14:solidFill>
              <w14:schemeClr w14:val="tx1"/>
            </w14:solidFill>
          </w14:textFill>
        </w:rPr>
      </w:pPr>
    </w:p>
    <w:p>
      <w:pPr>
        <w:pStyle w:val="30"/>
        <w:ind w:firstLine="0" w:firstLineChars="0"/>
        <w:rPr>
          <w:rFonts w:ascii="宋体" w:hAnsi="宋体"/>
          <w:color w:val="000000" w:themeColor="text1"/>
          <w14:textFill>
            <w14:solidFill>
              <w14:schemeClr w14:val="tx1"/>
            </w14:solidFill>
          </w14:textFill>
        </w:rPr>
      </w:pPr>
    </w:p>
    <w:p>
      <w:pPr>
        <w:pStyle w:val="30"/>
        <w:ind w:firstLine="0" w:firstLineChars="0"/>
        <w:rPr>
          <w:rFonts w:ascii="宋体" w:hAnsi="宋体"/>
          <w:color w:val="000000" w:themeColor="text1"/>
          <w14:textFill>
            <w14:solidFill>
              <w14:schemeClr w14:val="tx1"/>
            </w14:solidFill>
          </w14:textFill>
        </w:rPr>
      </w:pPr>
    </w:p>
    <w:p>
      <w:pPr>
        <w:pStyle w:val="30"/>
        <w:ind w:firstLine="0" w:firstLineChars="0"/>
        <w:rPr>
          <w:rFonts w:ascii="宋体" w:hAnsi="宋体"/>
          <w:color w:val="000000" w:themeColor="text1"/>
          <w14:textFill>
            <w14:solidFill>
              <w14:schemeClr w14:val="tx1"/>
            </w14:solidFill>
          </w14:textFill>
        </w:rPr>
      </w:pPr>
    </w:p>
    <w:p>
      <w:pPr>
        <w:pStyle w:val="30"/>
        <w:ind w:firstLine="0" w:firstLineChars="0"/>
        <w:rPr>
          <w:rFonts w:ascii="宋体" w:hAnsi="宋体"/>
          <w:color w:val="000000" w:themeColor="text1"/>
          <w14:textFill>
            <w14:solidFill>
              <w14:schemeClr w14:val="tx1"/>
            </w14:solidFill>
          </w14:textFill>
        </w:rPr>
      </w:pPr>
    </w:p>
    <w:p>
      <w:pPr>
        <w:pStyle w:val="18"/>
        <w:rPr>
          <w:rFonts w:ascii="宋体" w:hAnsi="宋体"/>
          <w:color w:val="000000" w:themeColor="text1"/>
          <w:sz w:val="30"/>
          <w:szCs w:val="30"/>
          <w14:textFill>
            <w14:solidFill>
              <w14:schemeClr w14:val="tx1"/>
            </w14:solidFill>
          </w14:textFill>
        </w:rPr>
      </w:pPr>
      <w:bookmarkStart w:id="54" w:name="_Toc195875479"/>
      <w:r>
        <w:rPr>
          <w:rFonts w:hint="eastAsia" w:ascii="宋体" w:hAnsi="宋体"/>
          <w:color w:val="000000" w:themeColor="text1"/>
          <w:sz w:val="30"/>
          <w:szCs w:val="30"/>
          <w14:textFill>
            <w14:solidFill>
              <w14:schemeClr w14:val="tx1"/>
            </w14:solidFill>
          </w14:textFill>
        </w:rPr>
        <w:t>格式2-4政府采购法第二十二条及参加政府采购活动前三年内无重大违法记录的书面声明</w:t>
      </w:r>
      <w:bookmarkEnd w:id="54"/>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36" w:lineRule="auto"/>
        <w:jc w:val="left"/>
        <w:rPr>
          <w:rFonts w:ascii="宋体" w:hAnsi="宋体" w:cs="宋体"/>
          <w:color w:val="000000" w:themeColor="text1"/>
          <w:sz w:val="24"/>
          <w14:textFill>
            <w14:solidFill>
              <w14:schemeClr w14:val="tx1"/>
            </w14:solidFill>
          </w14:textFill>
        </w:rPr>
      </w:pPr>
    </w:p>
    <w:p>
      <w:pPr>
        <w:pStyle w:val="18"/>
        <w:rPr>
          <w:color w:val="000000" w:themeColor="text1"/>
          <w:sz w:val="30"/>
          <w:szCs w:val="30"/>
          <w14:textFill>
            <w14:solidFill>
              <w14:schemeClr w14:val="tx1"/>
            </w14:solidFill>
          </w14:textFill>
        </w:rPr>
      </w:pPr>
      <w:bookmarkStart w:id="55" w:name="_Toc195875480"/>
      <w:r>
        <w:rPr>
          <w:rFonts w:hint="eastAsia"/>
          <w:color w:val="000000" w:themeColor="text1"/>
          <w:sz w:val="30"/>
          <w:szCs w:val="30"/>
          <w14:textFill>
            <w14:solidFill>
              <w14:schemeClr w14:val="tx1"/>
            </w14:solidFill>
          </w14:textFill>
        </w:rPr>
        <w:t>格式3 投标函</w:t>
      </w:r>
      <w:bookmarkEnd w:id="55"/>
    </w:p>
    <w:p>
      <w:pPr>
        <w:pStyle w:val="21"/>
        <w:shd w:val="clear" w:color="auto" w:fill="FFFFFF"/>
        <w:adjustRightInd w:val="0"/>
        <w:snapToGrid w:val="0"/>
        <w:spacing w:before="0" w:beforeAutospacing="0" w:after="0" w:afterAutospacing="0" w:line="336" w:lineRule="auto"/>
        <w:rPr>
          <w:rFonts w:cs="宋体"/>
          <w:color w:val="000000" w:themeColor="text1"/>
          <w14:textFill>
            <w14:solidFill>
              <w14:schemeClr w14:val="tx1"/>
            </w14:solidFill>
          </w14:textFill>
        </w:rPr>
      </w:pPr>
      <w:r>
        <w:rPr>
          <w:rFonts w:hint="eastAsia" w:cs="宋体"/>
          <w:color w:val="000000" w:themeColor="text1"/>
          <w:szCs w:val="24"/>
          <w14:textFill>
            <w14:solidFill>
              <w14:schemeClr w14:val="tx1"/>
            </w14:solidFill>
          </w14:textFill>
        </w:rPr>
        <w:t>致：</w:t>
      </w:r>
      <w:r>
        <w:rPr>
          <w:rFonts w:hint="eastAsia" w:cs="宋体"/>
          <w:color w:val="000000" w:themeColor="text1"/>
          <w:kern w:val="2"/>
          <w14:textFill>
            <w14:solidFill>
              <w14:schemeClr w14:val="tx1"/>
            </w14:solidFill>
          </w14:textFill>
        </w:rPr>
        <w:t>（采购人或采购代理机构）</w:t>
      </w:r>
    </w:p>
    <w:p>
      <w:pPr>
        <w:pStyle w:val="35"/>
        <w:spacing w:line="336"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根据贵方</w:t>
      </w:r>
      <w:r>
        <w:rPr>
          <w:rFonts w:hint="eastAsia" w:ascii="宋体" w:hAnsi="宋体"/>
          <w:color w:val="000000" w:themeColor="text1"/>
          <w:sz w:val="24"/>
          <w:szCs w:val="24"/>
          <w:u w:val="single"/>
          <w14:textFill>
            <w14:solidFill>
              <w14:schemeClr w14:val="tx1"/>
            </w14:solidFill>
          </w14:textFill>
        </w:rPr>
        <w:t>（本项目名称）</w:t>
      </w:r>
      <w:r>
        <w:rPr>
          <w:rFonts w:hint="eastAsia" w:ascii="宋体" w:hAnsi="宋体"/>
          <w:color w:val="000000" w:themeColor="text1"/>
          <w:sz w:val="24"/>
          <w:szCs w:val="24"/>
          <w14:textFill>
            <w14:solidFill>
              <w14:schemeClr w14:val="tx1"/>
            </w14:solidFill>
          </w14:textFill>
        </w:rPr>
        <w:t>项目的竞争性磋商邀请（项目编号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），委托代理人         (全名、职务)代表         供应商名称、地址)提交投标文件，报价为</w:t>
      </w:r>
      <w:r>
        <w:rPr>
          <w:rFonts w:hint="eastAsia" w:ascii="宋体" w:hAnsi="宋体"/>
          <w:color w:val="000000" w:themeColor="text1"/>
          <w:sz w:val="24"/>
          <w:szCs w:val="24"/>
          <w:u w:val="single"/>
          <w14:textFill>
            <w14:solidFill>
              <w14:schemeClr w14:val="tx1"/>
            </w14:solidFill>
          </w14:textFill>
        </w:rPr>
        <w:t>：    元，</w:t>
      </w:r>
      <w:r>
        <w:rPr>
          <w:rFonts w:hint="eastAsia" w:ascii="宋体" w:hAnsi="宋体"/>
          <w:color w:val="000000" w:themeColor="text1"/>
          <w:sz w:val="24"/>
          <w:szCs w:val="24"/>
          <w14:textFill>
            <w14:solidFill>
              <w14:schemeClr w14:val="tx1"/>
            </w14:solidFill>
          </w14:textFill>
        </w:rPr>
        <w:t>并对之负法律责任。</w:t>
      </w:r>
    </w:p>
    <w:p>
      <w:pPr>
        <w:spacing w:line="336" w:lineRule="auto"/>
        <w:ind w:firstLine="568" w:firstLineChars="23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据此函，宣布同意如下：</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(1)我们完全理解贵方不一定要接受最低报价，并同意本文件规定的响应性文件有效期。</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(2)我们已详细审核全部竞争性磋商文件，我们知道必须放弃提出含糊不清或误解的问题的权利。</w:t>
      </w:r>
    </w:p>
    <w:p>
      <w:pPr>
        <w:numPr>
          <w:ilvl w:val="0"/>
          <w:numId w:val="5"/>
        </w:num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同意向贵方提供贵方可能另外要求的与其竞争性磋商有关的任何证据和资料。</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(4)一旦我们成交，我们将严格履行合同责任和义务。</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(5)我们完全理解不向未成交人解释未成交理由的义务。</w:t>
      </w:r>
    </w:p>
    <w:p>
      <w:pPr>
        <w:spacing w:line="336"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如果我们的</w:t>
      </w:r>
      <w:r>
        <w:rPr>
          <w:rFonts w:hint="eastAsia" w:ascii="宋体" w:hAnsi="宋体" w:cs="宋体"/>
          <w:color w:val="000000" w:themeColor="text1"/>
          <w:sz w:val="24"/>
          <w14:textFill>
            <w14:solidFill>
              <w14:schemeClr w14:val="tx1"/>
            </w14:solidFill>
          </w14:textFill>
        </w:rPr>
        <w:t>磋商</w:t>
      </w:r>
      <w:r>
        <w:rPr>
          <w:rFonts w:hint="eastAsia" w:ascii="宋体" w:hAnsi="宋体" w:cs="宋体"/>
          <w:color w:val="000000" w:themeColor="text1"/>
          <w:sz w:val="24"/>
          <w:lang w:val="zh-CN"/>
          <w14:textFill>
            <w14:solidFill>
              <w14:schemeClr w14:val="tx1"/>
            </w14:solidFill>
          </w14:textFill>
        </w:rPr>
        <w:t>响应文件被接受，我们将履行</w:t>
      </w:r>
      <w:r>
        <w:rPr>
          <w:rFonts w:hint="eastAsia" w:ascii="宋体" w:hAnsi="宋体" w:cs="宋体"/>
          <w:color w:val="000000" w:themeColor="text1"/>
          <w:sz w:val="24"/>
          <w14:textFill>
            <w14:solidFill>
              <w14:schemeClr w14:val="tx1"/>
            </w14:solidFill>
          </w14:textFill>
        </w:rPr>
        <w:t>磋商</w:t>
      </w:r>
      <w:r>
        <w:rPr>
          <w:rFonts w:hint="eastAsia" w:ascii="宋体" w:hAnsi="宋体" w:cs="宋体"/>
          <w:color w:val="000000" w:themeColor="text1"/>
          <w:sz w:val="24"/>
          <w:lang w:val="zh-CN"/>
          <w14:textFill>
            <w14:solidFill>
              <w14:schemeClr w14:val="tx1"/>
            </w14:solidFill>
          </w14:textFill>
        </w:rPr>
        <w:t>文件中规定的每一项要求，按期、按质、按量履行合同。</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lang w:val="zh-CN"/>
          <w14:textFill>
            <w14:solidFill>
              <w14:schemeClr w14:val="tx1"/>
            </w14:solidFill>
          </w14:textFill>
        </w:rPr>
        <w:t>我方愿按《中华人民共和国民法典》履行我方的全部责任。</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(8)与本次竞争性磋商有关的正式通讯地址为：</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                  邮 编：</w:t>
      </w:r>
    </w:p>
    <w:p>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                  电子信箱：</w:t>
      </w:r>
    </w:p>
    <w:p>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我们保证：</w:t>
      </w:r>
    </w:p>
    <w:p>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(1)不提供虚假材料谋取成交；</w:t>
      </w:r>
    </w:p>
    <w:p>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(2)不以不正当手段抵毁、排挤其他供应商；</w:t>
      </w:r>
    </w:p>
    <w:p>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(3)不与采购人和其它供应商恶意串通；</w:t>
      </w:r>
    </w:p>
    <w:p>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(4)不向采购人和采购代理机构提供不正当利益；</w:t>
      </w:r>
    </w:p>
    <w:p>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(5)不拒绝有关部门监督检查或提供虚假情况。</w:t>
      </w:r>
    </w:p>
    <w:p>
      <w:pPr>
        <w:spacing w:line="336" w:lineRule="auto"/>
        <w:jc w:val="left"/>
        <w:rPr>
          <w:rFonts w:ascii="宋体" w:hAnsi="宋体" w:cs="宋体"/>
          <w:color w:val="000000" w:themeColor="text1"/>
          <w:sz w:val="24"/>
          <w14:textFill>
            <w14:solidFill>
              <w14:schemeClr w14:val="tx1"/>
            </w14:solidFill>
          </w14:textFill>
        </w:rPr>
      </w:pPr>
    </w:p>
    <w:p>
      <w:pPr>
        <w:spacing w:line="336"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联系人：              联系电话：</w:t>
      </w:r>
    </w:p>
    <w:p>
      <w:pPr>
        <w:spacing w:line="336"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36"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pStyle w:val="18"/>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56" w:name="_Toc195875481"/>
      <w:r>
        <w:rPr>
          <w:rFonts w:hint="eastAsia" w:ascii="宋体" w:hAnsi="宋体"/>
          <w:color w:val="000000" w:themeColor="text1"/>
          <w14:textFill>
            <w14:solidFill>
              <w14:schemeClr w14:val="tx1"/>
            </w14:solidFill>
          </w14:textFill>
        </w:rPr>
        <w:t>格式4</w:t>
      </w:r>
      <w:bookmarkStart w:id="57" w:name="_Toc495414231"/>
      <w:bookmarkStart w:id="58" w:name="_Toc197934561"/>
      <w:r>
        <w:rPr>
          <w:rFonts w:hint="eastAsia" w:ascii="宋体" w:hAnsi="宋体"/>
          <w:color w:val="000000" w:themeColor="text1"/>
          <w14:textFill>
            <w14:solidFill>
              <w14:schemeClr w14:val="tx1"/>
            </w14:solidFill>
          </w14:textFill>
        </w:rPr>
        <w:t xml:space="preserve"> 报价一览表</w:t>
      </w:r>
      <w:bookmarkEnd w:id="56"/>
      <w:bookmarkEnd w:id="57"/>
      <w:bookmarkEnd w:id="58"/>
    </w:p>
    <w:tbl>
      <w:tblPr>
        <w:tblStyle w:val="2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最终投标报价（包：）</w:t>
            </w:r>
          </w:p>
          <w:p>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6667" w:type="dxa"/>
            <w:tcBorders>
              <w:top w:val="nil"/>
            </w:tcBorders>
            <w:vAlign w:val="center"/>
          </w:tcPr>
          <w:p>
            <w:pPr>
              <w:spacing w:line="360" w:lineRule="auto"/>
              <w:ind w:right="-67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投标总价：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14:textFill>
                  <w14:solidFill>
                    <w14:schemeClr w14:val="tx1"/>
                  </w14:solidFill>
                </w14:textFill>
              </w:rPr>
            </w:pPr>
          </w:p>
        </w:tc>
      </w:tr>
    </w:tbl>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1、此表用于开标会唱标之用。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2、表中最终投标报价即为优惠后报价，并作为评审及定标依据。任何有选择或有条件的最终投标报价，或者表中某一包填写多个报价，均为无效报价，供应商须在报价处加盖单位公章。</w:t>
      </w:r>
    </w:p>
    <w:p>
      <w:pPr>
        <w:spacing w:line="360" w:lineRule="auto"/>
        <w:jc w:val="left"/>
        <w:rPr>
          <w:rFonts w:ascii="宋体" w:hAnsi="宋体" w:cs="宋体"/>
          <w:color w:val="000000" w:themeColor="text1"/>
          <w:sz w:val="24"/>
          <w14:textFill>
            <w14:solidFill>
              <w14:schemeClr w14:val="tx1"/>
            </w14:solidFill>
          </w14:textFill>
        </w:rPr>
      </w:pPr>
      <w:bookmarkStart w:id="59" w:name="_Toc495414234"/>
      <w:bookmarkStart w:id="60" w:name="_Toc220232409"/>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18"/>
        <w:rPr>
          <w:color w:val="000000" w:themeColor="text1"/>
          <w:sz w:val="30"/>
          <w:szCs w:val="30"/>
          <w14:textFill>
            <w14:solidFill>
              <w14:schemeClr w14:val="tx1"/>
            </w14:solidFill>
          </w14:textFill>
        </w:rPr>
      </w:pPr>
      <w:bookmarkStart w:id="61" w:name="_Toc195875482"/>
      <w:r>
        <w:rPr>
          <w:rFonts w:hint="eastAsia"/>
          <w:color w:val="000000" w:themeColor="text1"/>
          <w:sz w:val="30"/>
          <w:szCs w:val="30"/>
          <w14:textFill>
            <w14:solidFill>
              <w14:schemeClr w14:val="tx1"/>
            </w14:solidFill>
          </w14:textFill>
        </w:rPr>
        <w:t>格式5 投标分项报价表</w:t>
      </w:r>
      <w:bookmarkEnd w:id="59"/>
      <w:bookmarkEnd w:id="60"/>
      <w:bookmarkEnd w:id="61"/>
    </w:p>
    <w:tbl>
      <w:tblPr>
        <w:tblStyle w:val="25"/>
        <w:tblW w:w="98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722"/>
        <w:gridCol w:w="1190"/>
        <w:gridCol w:w="1570"/>
        <w:gridCol w:w="1080"/>
        <w:gridCol w:w="675"/>
        <w:gridCol w:w="975"/>
        <w:gridCol w:w="1147"/>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vAlign w:val="center"/>
          </w:tcPr>
          <w:p>
            <w:pPr>
              <w:pStyle w:val="39"/>
              <w:widowControl w:val="0"/>
              <w:spacing w:before="0" w:beforeAutospacing="0" w:after="0" w:afterAutospacing="0" w:line="340" w:lineRule="exact"/>
              <w:rPr>
                <w:rFonts w:cs="宋体"/>
                <w:b w:val="0"/>
                <w:bCs w:val="0"/>
                <w:color w:val="000000" w:themeColor="text1"/>
                <w:kern w:val="2"/>
                <w:sz w:val="24"/>
                <w:szCs w:val="24"/>
                <w14:textFill>
                  <w14:solidFill>
                    <w14:schemeClr w14:val="tx1"/>
                  </w14:solidFill>
                </w14:textFill>
              </w:rPr>
            </w:pPr>
            <w:r>
              <w:rPr>
                <w:rFonts w:hint="eastAsia" w:cs="宋体"/>
                <w:b w:val="0"/>
                <w:bCs w:val="0"/>
                <w:color w:val="000000" w:themeColor="text1"/>
                <w:kern w:val="2"/>
                <w:sz w:val="24"/>
                <w:szCs w:val="24"/>
                <w14:textFill>
                  <w14:solidFill>
                    <w14:schemeClr w14:val="tx1"/>
                  </w14:solidFill>
                </w14:textFill>
              </w:rPr>
              <w:t>序号</w:t>
            </w:r>
          </w:p>
        </w:tc>
        <w:tc>
          <w:tcPr>
            <w:tcW w:w="1722" w:type="dxa"/>
            <w:vAlign w:val="center"/>
          </w:tcPr>
          <w:p>
            <w:pPr>
              <w:spacing w:line="3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服务内容</w:t>
            </w:r>
          </w:p>
        </w:tc>
        <w:tc>
          <w:tcPr>
            <w:tcW w:w="1190" w:type="dxa"/>
            <w:vAlign w:val="center"/>
          </w:tcPr>
          <w:p>
            <w:pPr>
              <w:spacing w:line="3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详细内容</w:t>
            </w:r>
          </w:p>
        </w:tc>
        <w:tc>
          <w:tcPr>
            <w:tcW w:w="1570" w:type="dxa"/>
            <w:vAlign w:val="center"/>
          </w:tcPr>
          <w:p>
            <w:pPr>
              <w:spacing w:line="3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内容描述</w:t>
            </w:r>
          </w:p>
        </w:tc>
        <w:tc>
          <w:tcPr>
            <w:tcW w:w="1080" w:type="dxa"/>
            <w:shd w:val="clear" w:color="auto" w:fill="auto"/>
            <w:vAlign w:val="center"/>
          </w:tcPr>
          <w:p>
            <w:pPr>
              <w:spacing w:line="340" w:lineRule="exact"/>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675" w:type="dxa"/>
            <w:shd w:val="clear" w:color="auto" w:fill="auto"/>
            <w:vAlign w:val="center"/>
          </w:tcPr>
          <w:p>
            <w:pPr>
              <w:spacing w:line="340" w:lineRule="exact"/>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975" w:type="dxa"/>
            <w:shd w:val="clear" w:color="auto" w:fill="auto"/>
            <w:vAlign w:val="center"/>
          </w:tcPr>
          <w:p>
            <w:pPr>
              <w:spacing w:line="340" w:lineRule="exact"/>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w:t>
            </w:r>
          </w:p>
        </w:tc>
        <w:tc>
          <w:tcPr>
            <w:tcW w:w="1147" w:type="dxa"/>
            <w:shd w:val="clear" w:color="auto" w:fill="auto"/>
            <w:vAlign w:val="center"/>
          </w:tcPr>
          <w:p>
            <w:pPr>
              <w:spacing w:line="340" w:lineRule="exact"/>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小计</w:t>
            </w:r>
          </w:p>
        </w:tc>
        <w:tc>
          <w:tcPr>
            <w:tcW w:w="653" w:type="dxa"/>
            <w:shd w:val="clear" w:color="auto" w:fill="auto"/>
            <w:vAlign w:val="center"/>
          </w:tcPr>
          <w:p>
            <w:pPr>
              <w:spacing w:line="34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Borders>
              <w:bottom w:val="single" w:color="auto" w:sz="4" w:space="0"/>
            </w:tcBorders>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1722" w:type="dxa"/>
          </w:tcPr>
          <w:p>
            <w:pPr>
              <w:spacing w:line="340" w:lineRule="exact"/>
              <w:rPr>
                <w:rFonts w:ascii="宋体" w:hAnsi="宋体" w:cs="宋体"/>
                <w:color w:val="000000" w:themeColor="text1"/>
                <w:sz w:val="24"/>
                <w14:textFill>
                  <w14:solidFill>
                    <w14:schemeClr w14:val="tx1"/>
                  </w14:solidFill>
                </w14:textFill>
              </w:rPr>
            </w:pP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p>
        </w:tc>
        <w:tc>
          <w:tcPr>
            <w:tcW w:w="1722" w:type="dxa"/>
            <w:vAlign w:val="center"/>
          </w:tcPr>
          <w:p>
            <w:pPr>
              <w:pStyle w:val="40"/>
              <w:spacing w:line="34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p>
        </w:tc>
        <w:tc>
          <w:tcPr>
            <w:tcW w:w="1722" w:type="dxa"/>
          </w:tcPr>
          <w:p>
            <w:pPr>
              <w:spacing w:line="3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p>
        </w:tc>
        <w:tc>
          <w:tcPr>
            <w:tcW w:w="1722" w:type="dxa"/>
          </w:tcPr>
          <w:p>
            <w:pPr>
              <w:pStyle w:val="40"/>
              <w:spacing w:line="34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w:t>
            </w: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p>
        </w:tc>
        <w:tc>
          <w:tcPr>
            <w:tcW w:w="1722" w:type="dxa"/>
          </w:tcPr>
          <w:p>
            <w:pPr>
              <w:spacing w:line="3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pPr>
              <w:spacing w:line="340" w:lineRule="exact"/>
              <w:jc w:val="center"/>
              <w:rPr>
                <w:rFonts w:ascii="宋体" w:hAnsi="宋体" w:cs="宋体"/>
                <w:color w:val="000000" w:themeColor="text1"/>
                <w:sz w:val="24"/>
                <w14:textFill>
                  <w14:solidFill>
                    <w14:schemeClr w14:val="tx1"/>
                  </w14:solidFill>
                </w14:textFill>
              </w:rPr>
            </w:pPr>
          </w:p>
        </w:tc>
        <w:tc>
          <w:tcPr>
            <w:tcW w:w="1722" w:type="dxa"/>
            <w:vAlign w:val="center"/>
          </w:tcPr>
          <w:p>
            <w:pPr>
              <w:pStyle w:val="40"/>
              <w:spacing w:line="34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合计</w:t>
            </w:r>
          </w:p>
        </w:tc>
        <w:tc>
          <w:tcPr>
            <w:tcW w:w="1190" w:type="dxa"/>
          </w:tcPr>
          <w:p>
            <w:pPr>
              <w:spacing w:line="340" w:lineRule="exact"/>
              <w:rPr>
                <w:rFonts w:ascii="宋体" w:hAnsi="宋体" w:cs="宋体"/>
                <w:color w:val="000000" w:themeColor="text1"/>
                <w:sz w:val="24"/>
                <w14:textFill>
                  <w14:solidFill>
                    <w14:schemeClr w14:val="tx1"/>
                  </w14:solidFill>
                </w14:textFill>
              </w:rPr>
            </w:pPr>
          </w:p>
        </w:tc>
        <w:tc>
          <w:tcPr>
            <w:tcW w:w="1570" w:type="dxa"/>
          </w:tcPr>
          <w:p>
            <w:pPr>
              <w:spacing w:line="340" w:lineRule="exact"/>
              <w:rPr>
                <w:rFonts w:ascii="宋体" w:hAnsi="宋体" w:cs="宋体"/>
                <w:color w:val="000000" w:themeColor="text1"/>
                <w:sz w:val="24"/>
                <w14:textFill>
                  <w14:solidFill>
                    <w14:schemeClr w14:val="tx1"/>
                  </w14:solidFill>
                </w14:textFill>
              </w:rPr>
            </w:pPr>
          </w:p>
        </w:tc>
        <w:tc>
          <w:tcPr>
            <w:tcW w:w="1080" w:type="dxa"/>
          </w:tcPr>
          <w:p>
            <w:pPr>
              <w:spacing w:line="340" w:lineRule="exact"/>
              <w:rPr>
                <w:rFonts w:ascii="宋体" w:hAnsi="宋体" w:cs="宋体"/>
                <w:color w:val="000000" w:themeColor="text1"/>
                <w:sz w:val="24"/>
                <w14:textFill>
                  <w14:solidFill>
                    <w14:schemeClr w14:val="tx1"/>
                  </w14:solidFill>
                </w14:textFill>
              </w:rPr>
            </w:pPr>
          </w:p>
        </w:tc>
        <w:tc>
          <w:tcPr>
            <w:tcW w:w="675" w:type="dxa"/>
          </w:tcPr>
          <w:p>
            <w:pPr>
              <w:spacing w:line="340" w:lineRule="exact"/>
              <w:rPr>
                <w:rFonts w:ascii="宋体" w:hAnsi="宋体" w:cs="宋体"/>
                <w:color w:val="000000" w:themeColor="text1"/>
                <w:sz w:val="24"/>
                <w14:textFill>
                  <w14:solidFill>
                    <w14:schemeClr w14:val="tx1"/>
                  </w14:solidFill>
                </w14:textFill>
              </w:rPr>
            </w:pPr>
          </w:p>
        </w:tc>
        <w:tc>
          <w:tcPr>
            <w:tcW w:w="975" w:type="dxa"/>
          </w:tcPr>
          <w:p>
            <w:pPr>
              <w:spacing w:line="340" w:lineRule="exact"/>
              <w:rPr>
                <w:rFonts w:ascii="宋体" w:hAnsi="宋体" w:cs="宋体"/>
                <w:color w:val="000000" w:themeColor="text1"/>
                <w:sz w:val="24"/>
                <w14:textFill>
                  <w14:solidFill>
                    <w14:schemeClr w14:val="tx1"/>
                  </w14:solidFill>
                </w14:textFill>
              </w:rPr>
            </w:pPr>
          </w:p>
        </w:tc>
        <w:tc>
          <w:tcPr>
            <w:tcW w:w="1147" w:type="dxa"/>
          </w:tcPr>
          <w:p>
            <w:pPr>
              <w:spacing w:line="340" w:lineRule="exact"/>
              <w:rPr>
                <w:rFonts w:ascii="宋体" w:hAnsi="宋体" w:cs="宋体"/>
                <w:color w:val="000000" w:themeColor="text1"/>
                <w:sz w:val="24"/>
                <w14:textFill>
                  <w14:solidFill>
                    <w14:schemeClr w14:val="tx1"/>
                  </w14:solidFill>
                </w14:textFill>
              </w:rPr>
            </w:pPr>
          </w:p>
        </w:tc>
        <w:tc>
          <w:tcPr>
            <w:tcW w:w="653" w:type="dxa"/>
          </w:tcPr>
          <w:p>
            <w:pPr>
              <w:spacing w:line="340" w:lineRule="exact"/>
              <w:rPr>
                <w:rFonts w:ascii="宋体" w:hAnsi="宋体" w:cs="宋体"/>
                <w:color w:val="000000" w:themeColor="text1"/>
                <w:sz w:val="24"/>
                <w14:textFill>
                  <w14:solidFill>
                    <w14:schemeClr w14:val="tx1"/>
                  </w14:solidFill>
                </w14:textFill>
              </w:rPr>
            </w:pPr>
          </w:p>
        </w:tc>
      </w:tr>
    </w:tbl>
    <w:p>
      <w:pPr>
        <w:spacing w:line="360" w:lineRule="auto"/>
        <w:ind w:firstLine="3840" w:firstLineChars="1600"/>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60" w:lineRule="auto"/>
        <w:ind w:right="960" w:firstLine="5760" w:firstLineChars="2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表中所列内容为对应本项目需求的全部要求。如有漏项或缺项，投标人承担全部责任。</w:t>
      </w: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pStyle w:val="30"/>
        <w:ind w:firstLine="241"/>
        <w:rPr>
          <w:rFonts w:ascii="宋体" w:hAnsi="宋体" w:cs="宋体"/>
          <w:b/>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pStyle w:val="18"/>
        <w:rPr>
          <w:color w:val="000000" w:themeColor="text1"/>
          <w:sz w:val="30"/>
          <w:szCs w:val="30"/>
          <w14:textFill>
            <w14:solidFill>
              <w14:schemeClr w14:val="tx1"/>
            </w14:solidFill>
          </w14:textFill>
        </w:rPr>
      </w:pPr>
      <w:bookmarkStart w:id="62" w:name="_Toc195875483"/>
      <w:r>
        <w:rPr>
          <w:rFonts w:hint="eastAsia"/>
          <w:color w:val="000000" w:themeColor="text1"/>
          <w:sz w:val="30"/>
          <w:szCs w:val="30"/>
          <w14:textFill>
            <w14:solidFill>
              <w14:schemeClr w14:val="tx1"/>
            </w14:solidFill>
          </w14:textFill>
        </w:rPr>
        <w:t>格式6  技术参数响应表</w:t>
      </w:r>
      <w:bookmarkEnd w:id="62"/>
    </w:p>
    <w:p>
      <w:pPr>
        <w:rPr>
          <w:rFonts w:ascii="宋体" w:hAnsi="宋体" w:cs="宋体"/>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p>
    <w:tbl>
      <w:tblPr>
        <w:tblStyle w:val="25"/>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序号</w:t>
            </w:r>
          </w:p>
        </w:tc>
        <w:tc>
          <w:tcPr>
            <w:tcW w:w="723" w:type="dxa"/>
            <w:tcBorders>
              <w:top w:val="single" w:color="auto" w:sz="4" w:space="0"/>
              <w:left w:val="nil"/>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品名</w:t>
            </w:r>
          </w:p>
        </w:tc>
        <w:tc>
          <w:tcPr>
            <w:tcW w:w="3490" w:type="dxa"/>
            <w:tcBorders>
              <w:top w:val="single" w:color="auto" w:sz="4" w:space="0"/>
              <w:left w:val="nil"/>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响应</w:t>
            </w:r>
          </w:p>
        </w:tc>
        <w:tc>
          <w:tcPr>
            <w:tcW w:w="1336" w:type="dxa"/>
            <w:tcBorders>
              <w:top w:val="single" w:color="auto" w:sz="4" w:space="0"/>
              <w:left w:val="nil"/>
              <w:bottom w:val="single" w:color="auto" w:sz="4" w:space="0"/>
              <w:right w:val="single" w:color="auto" w:sz="4" w:space="0"/>
            </w:tcBorders>
            <w:vAlign w:val="center"/>
          </w:tcPr>
          <w:p>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2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themeColor="text1"/>
                <w:kern w:val="0"/>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tcPr>
          <w:p>
            <w:pPr>
              <w:widowControl/>
              <w:rPr>
                <w:rFonts w:ascii="宋体" w:hAnsi="宋体" w:cs="宋体"/>
                <w:color w:val="000000" w:themeColor="text1"/>
                <w:kern w:val="0"/>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4"/>
                <w14:textFill>
                  <w14:solidFill>
                    <w14:schemeClr w14:val="tx1"/>
                  </w14:solidFill>
                </w14:textFill>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4"/>
                <w14:textFill>
                  <w14:solidFill>
                    <w14:schemeClr w14:val="tx1"/>
                  </w14:solidFill>
                </w14:textFill>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4"/>
                <w14:textFill>
                  <w14:solidFill>
                    <w14:schemeClr w14:val="tx1"/>
                  </w14:solidFill>
                </w14:textFill>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(可根据需求自行更改)</w:t>
      </w:r>
    </w:p>
    <w:p>
      <w:pPr>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60" w:lineRule="auto"/>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pStyle w:val="18"/>
        <w:rPr>
          <w:rFonts w:ascii="宋体" w:hAnsi="宋体"/>
          <w:color w:val="000000" w:themeColor="text1"/>
          <w:sz w:val="30"/>
          <w:szCs w:val="30"/>
          <w14:textFill>
            <w14:solidFill>
              <w14:schemeClr w14:val="tx1"/>
            </w14:solidFill>
          </w14:textFill>
        </w:rPr>
      </w:pPr>
      <w:r>
        <w:rPr>
          <w:rFonts w:hint="eastAsia"/>
          <w:color w:val="000000" w:themeColor="text1"/>
          <w14:textFill>
            <w14:solidFill>
              <w14:schemeClr w14:val="tx1"/>
            </w14:solidFill>
          </w14:textFill>
        </w:rPr>
        <w:br w:type="page"/>
      </w:r>
      <w:bookmarkStart w:id="63" w:name="_Toc195875484"/>
      <w:r>
        <w:rPr>
          <w:rFonts w:hint="eastAsia" w:ascii="宋体" w:hAnsi="宋体"/>
          <w:color w:val="000000" w:themeColor="text1"/>
          <w:sz w:val="30"/>
          <w:szCs w:val="30"/>
          <w14:textFill>
            <w14:solidFill>
              <w14:schemeClr w14:val="tx1"/>
            </w14:solidFill>
          </w14:textFill>
        </w:rPr>
        <w:t>格式7 服务方案及服务承诺</w:t>
      </w:r>
      <w:bookmarkEnd w:id="63"/>
    </w:p>
    <w:p>
      <w:pPr>
        <w:spacing w:line="380" w:lineRule="exact"/>
        <w:rPr>
          <w:rFonts w:ascii="宋体" w:hAnsi="宋体" w:cs="宋体"/>
          <w:color w:val="000000" w:themeColor="text1"/>
          <w:sz w:val="24"/>
          <w14:textFill>
            <w14:solidFill>
              <w14:schemeClr w14:val="tx1"/>
            </w14:solidFill>
          </w14:textFill>
        </w:rPr>
      </w:pPr>
    </w:p>
    <w:p>
      <w:pPr>
        <w:spacing w:line="380" w:lineRule="exact"/>
        <w:ind w:firstLine="360" w:firstLineChars="150"/>
        <w:rPr>
          <w:rFonts w:ascii="宋体" w:hAnsi="宋体" w:cs="宋体"/>
          <w:color w:val="000000" w:themeColor="text1"/>
          <w:sz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spacing w:line="380" w:lineRule="exact"/>
        <w:rPr>
          <w:rFonts w:ascii="宋体" w:hAnsi="宋体" w:cs="宋体"/>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80" w:lineRule="exact"/>
        <w:ind w:right="640" w:firstLine="1560" w:firstLineChars="650"/>
        <w:rPr>
          <w:rFonts w:ascii="宋体" w:hAnsi="宋体" w:cs="宋体"/>
          <w:color w:val="000000" w:themeColor="text1"/>
          <w:sz w:val="24"/>
          <w14:textFill>
            <w14:solidFill>
              <w14:schemeClr w14:val="tx1"/>
            </w14:solidFill>
          </w14:textFill>
        </w:rPr>
      </w:pPr>
    </w:p>
    <w:p>
      <w:pPr>
        <w:spacing w:line="380" w:lineRule="exact"/>
        <w:ind w:right="640" w:firstLine="4680" w:firstLineChars="1950"/>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p>
    <w:p>
      <w:pPr>
        <w:pStyle w:val="18"/>
        <w:rPr>
          <w:color w:val="000000" w:themeColor="text1"/>
          <w:sz w:val="30"/>
          <w:szCs w:val="30"/>
          <w14:textFill>
            <w14:solidFill>
              <w14:schemeClr w14:val="tx1"/>
            </w14:solidFill>
          </w14:textFill>
        </w:rPr>
      </w:pPr>
      <w:bookmarkStart w:id="64" w:name="_Toc195875485"/>
      <w:r>
        <w:rPr>
          <w:rFonts w:hint="eastAsia"/>
          <w:color w:val="000000" w:themeColor="text1"/>
          <w:sz w:val="30"/>
          <w:szCs w:val="30"/>
          <w14:textFill>
            <w14:solidFill>
              <w14:schemeClr w14:val="tx1"/>
            </w14:solidFill>
          </w14:textFill>
        </w:rPr>
        <w:t>格式8 合格供应商的声明函和承诺书</w:t>
      </w:r>
      <w:bookmarkEnd w:id="64"/>
    </w:p>
    <w:p>
      <w:pPr>
        <w:spacing w:line="360" w:lineRule="auto"/>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b/>
          <w:bCs/>
          <w:color w:val="000000" w:themeColor="text1"/>
          <w:sz w:val="24"/>
          <w14:textFill>
            <w14:solidFill>
              <w14:schemeClr w14:val="tx1"/>
            </w14:solidFill>
          </w14:textFill>
        </w:rPr>
      </w:pPr>
    </w:p>
    <w:p>
      <w:pPr>
        <w:pStyle w:val="33"/>
        <w:rPr>
          <w:rFonts w:ascii="宋体" w:hAnsi="宋体"/>
          <w:color w:val="000000" w:themeColor="text1"/>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pPr>
        <w:spacing w:line="380" w:lineRule="exact"/>
        <w:ind w:right="640" w:firstLine="1560" w:firstLineChars="650"/>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spacing w:line="380" w:lineRule="exact"/>
        <w:jc w:val="center"/>
        <w:rPr>
          <w:rFonts w:ascii="宋体" w:hAnsi="宋体" w:cs="宋体"/>
          <w:color w:val="000000" w:themeColor="text1"/>
          <w:sz w:val="24"/>
          <w14:textFill>
            <w14:solidFill>
              <w14:schemeClr w14:val="tx1"/>
            </w14:solidFill>
          </w14:textFill>
        </w:rPr>
      </w:pPr>
    </w:p>
    <w:p>
      <w:pPr>
        <w:pStyle w:val="18"/>
        <w:rPr>
          <w:color w:val="000000" w:themeColor="text1"/>
          <w:sz w:val="30"/>
          <w:szCs w:val="30"/>
          <w14:textFill>
            <w14:solidFill>
              <w14:schemeClr w14:val="tx1"/>
            </w14:solidFill>
          </w14:textFill>
        </w:rPr>
      </w:pPr>
      <w:bookmarkStart w:id="65" w:name="_Toc195875486"/>
      <w:r>
        <w:rPr>
          <w:rFonts w:hint="eastAsia"/>
          <w:color w:val="000000" w:themeColor="text1"/>
          <w:sz w:val="30"/>
          <w:szCs w:val="30"/>
          <w14:textFill>
            <w14:solidFill>
              <w14:schemeClr w14:val="tx1"/>
            </w14:solidFill>
          </w14:textFill>
        </w:rPr>
        <w:t>格式9 中小企业声明函（工程、服务）</w:t>
      </w:r>
      <w:bookmarkEnd w:id="65"/>
    </w:p>
    <w:p>
      <w:pPr>
        <w:spacing w:line="360" w:lineRule="auto"/>
        <w:rPr>
          <w:rFonts w:ascii="宋体" w:hAnsi="宋体"/>
          <w:b/>
          <w:bCs/>
          <w:color w:val="000000" w:themeColor="text1"/>
          <w:sz w:val="32"/>
          <w:szCs w:val="32"/>
          <w14:textFill>
            <w14:solidFill>
              <w14:schemeClr w14:val="tx1"/>
            </w14:solidFill>
          </w14:textFill>
        </w:rPr>
      </w:pPr>
    </w:p>
    <w:p>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w:t>
      </w:r>
      <w:r>
        <w:rPr>
          <w:rFonts w:hint="eastAsia" w:ascii="宋体" w:hAnsi="宋体" w:cs="宋体"/>
          <w:color w:val="000000" w:themeColor="text1"/>
          <w:sz w:val="24"/>
          <w:u w:val="single"/>
          <w14:textFill>
            <w14:solidFill>
              <w14:schemeClr w14:val="tx1"/>
            </w14:solidFill>
          </w14:textFill>
        </w:rPr>
        <w:t>（或者：服务全部由符合政策要求的中小企业承接）</w:t>
      </w:r>
      <w:r>
        <w:rPr>
          <w:rFonts w:hint="eastAsia" w:ascii="宋体" w:hAnsi="宋体" w:cs="宋体"/>
          <w:color w:val="000000" w:themeColor="text1"/>
          <w:sz w:val="24"/>
          <w14:textFill>
            <w14:solidFill>
              <w14:schemeClr w14:val="tx1"/>
            </w14:solidFill>
          </w14:textFill>
        </w:rPr>
        <w:t>。相关企业</w:t>
      </w:r>
      <w:r>
        <w:rPr>
          <w:rFonts w:hint="eastAsia" w:ascii="宋体" w:hAnsi="宋体" w:cs="宋体"/>
          <w:color w:val="000000" w:themeColor="text1"/>
          <w:sz w:val="24"/>
          <w:u w:val="single"/>
          <w14:textFill>
            <w14:solidFill>
              <w14:schemeClr w14:val="tx1"/>
            </w14:solidFill>
          </w14:textFill>
        </w:rPr>
        <w:t>（含联合 体中的中小企业、签订分包意向协议的中小企业）</w:t>
      </w:r>
      <w:r>
        <w:rPr>
          <w:rFonts w:hint="eastAsia" w:ascii="宋体" w:hAnsi="宋体" w:cs="宋体"/>
          <w:color w:val="000000" w:themeColor="text1"/>
          <w:sz w:val="24"/>
          <w14:textFill>
            <w14:solidFill>
              <w14:schemeClr w14:val="tx1"/>
            </w14:solidFill>
          </w14:textFill>
        </w:rPr>
        <w:t>的具体情 况如下：</w:t>
      </w:r>
    </w:p>
    <w:p>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 承建（承接）企业为（企业名称），从业人员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（中型企业、小型企业、微型企业）； </w:t>
      </w:r>
    </w:p>
    <w:p>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 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（中型企业、小型企业、微型企业）；  ……</w:t>
      </w:r>
    </w:p>
    <w:p>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 为大企业的情形，也不存在与大企业的负责人为同一人的情形。</w:t>
      </w:r>
    </w:p>
    <w:p>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本企业对上述声明内容的真实性负责。如有虚假，将依 法承担相应责任。 </w:t>
      </w:r>
    </w:p>
    <w:p>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企业名称（盖章）： </w:t>
      </w:r>
    </w:p>
    <w:p>
      <w:pPr>
        <w:spacing w:line="360" w:lineRule="auto"/>
        <w:ind w:firstLine="4800" w:firstLineChars="20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 期：  </w:t>
      </w:r>
    </w:p>
    <w:p>
      <w:pPr>
        <w:pStyle w:val="33"/>
        <w:rPr>
          <w:rFonts w:ascii="宋体" w:hAnsi="宋体" w:cs="宋体"/>
          <w:color w:val="000000" w:themeColor="text1"/>
          <w:sz w:val="24"/>
          <w:szCs w:val="24"/>
          <w14:textFill>
            <w14:solidFill>
              <w14:schemeClr w14:val="tx1"/>
            </w14:solidFill>
          </w14:textFill>
        </w:rPr>
      </w:pPr>
    </w:p>
    <w:p>
      <w:pPr>
        <w:pStyle w:val="5"/>
        <w:rPr>
          <w:rFonts w:ascii="宋体" w:hAnsi="宋体" w:eastAsia="宋体" w:cs="宋体"/>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p>
    <w:p>
      <w:pPr>
        <w:pStyle w:val="33"/>
        <w:rPr>
          <w:rFonts w:ascii="宋体" w:hAnsi="宋体" w:cs="宋体"/>
          <w:color w:val="000000" w:themeColor="text1"/>
          <w:sz w:val="24"/>
          <w:szCs w:val="24"/>
          <w14:textFill>
            <w14:solidFill>
              <w14:schemeClr w14:val="tx1"/>
            </w14:solidFill>
          </w14:textFill>
        </w:rPr>
      </w:pPr>
    </w:p>
    <w:p>
      <w:pPr>
        <w:pStyle w:val="5"/>
        <w:rPr>
          <w:rFonts w:ascii="宋体" w:hAnsi="宋体" w:eastAsia="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注：1.从业人员、营业收入、资产总额填报上一年度数据，无上一年度数据的新成立企业可不填报。</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2.本项目如是只面向中小企业采购的应当必须提供。</w:t>
      </w:r>
    </w:p>
    <w:p>
      <w:pPr>
        <w:spacing w:line="360" w:lineRule="auto"/>
        <w:jc w:val="center"/>
        <w:rPr>
          <w:rFonts w:ascii="宋体" w:hAnsi="宋体" w:cs="宋体"/>
          <w:b/>
          <w:bCs/>
          <w:color w:val="000000" w:themeColor="text1"/>
          <w:sz w:val="24"/>
          <w14:textFill>
            <w14:solidFill>
              <w14:schemeClr w14:val="tx1"/>
            </w14:solidFill>
          </w14:textFill>
        </w:rPr>
      </w:pPr>
    </w:p>
    <w:p>
      <w:pPr>
        <w:spacing w:line="360" w:lineRule="auto"/>
        <w:jc w:val="center"/>
        <w:rPr>
          <w:rFonts w:ascii="宋体" w:hAnsi="宋体" w:cs="宋体"/>
          <w:b/>
          <w:bCs/>
          <w:color w:val="000000" w:themeColor="text1"/>
          <w:sz w:val="24"/>
          <w14:textFill>
            <w14:solidFill>
              <w14:schemeClr w14:val="tx1"/>
            </w14:solidFill>
          </w14:textFill>
        </w:rPr>
      </w:pPr>
    </w:p>
    <w:p>
      <w:pPr>
        <w:pStyle w:val="33"/>
        <w:rPr>
          <w:rFonts w:ascii="宋体" w:hAnsi="宋体" w:cs="宋体"/>
          <w:b/>
          <w:bCs/>
          <w:color w:val="000000" w:themeColor="text1"/>
          <w:sz w:val="24"/>
          <w14:textFill>
            <w14:solidFill>
              <w14:schemeClr w14:val="tx1"/>
            </w14:solidFill>
          </w14:textFill>
        </w:rPr>
      </w:pPr>
    </w:p>
    <w:p>
      <w:pPr>
        <w:pStyle w:val="18"/>
        <w:rPr>
          <w:color w:val="000000" w:themeColor="text1"/>
          <w:sz w:val="30"/>
          <w:szCs w:val="30"/>
          <w14:textFill>
            <w14:solidFill>
              <w14:schemeClr w14:val="tx1"/>
            </w14:solidFill>
          </w14:textFill>
        </w:rPr>
      </w:pPr>
      <w:bookmarkStart w:id="66" w:name="_Toc195875487"/>
      <w:r>
        <w:rPr>
          <w:rFonts w:hint="eastAsia"/>
          <w:color w:val="000000" w:themeColor="text1"/>
          <w:sz w:val="30"/>
          <w:szCs w:val="30"/>
          <w14:textFill>
            <w14:solidFill>
              <w14:schemeClr w14:val="tx1"/>
            </w14:solidFill>
          </w14:textFill>
        </w:rPr>
        <w:t>格式10 供应商认为需要提供的其他资料</w:t>
      </w:r>
      <w:bookmarkEnd w:id="66"/>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30"/>
        <w:ind w:firstLine="240"/>
        <w:rPr>
          <w:rFonts w:ascii="宋体" w:hAnsi="宋体" w:cs="宋体"/>
          <w:color w:val="000000" w:themeColor="text1"/>
          <w:sz w:val="24"/>
          <w14:textFill>
            <w14:solidFill>
              <w14:schemeClr w14:val="tx1"/>
            </w14:solidFill>
          </w14:textFill>
        </w:rPr>
      </w:pPr>
    </w:p>
    <w:p>
      <w:pPr>
        <w:pStyle w:val="18"/>
        <w:rPr>
          <w:rStyle w:val="38"/>
          <w:rFonts w:ascii="宋体" w:hAnsi="宋体"/>
          <w:bCs w:val="0"/>
          <w:color w:val="000000" w:themeColor="text1"/>
          <w:sz w:val="30"/>
          <w:szCs w:val="30"/>
          <w14:textFill>
            <w14:solidFill>
              <w14:schemeClr w14:val="tx1"/>
            </w14:solidFill>
          </w14:textFill>
        </w:rPr>
      </w:pPr>
      <w:bookmarkStart w:id="67" w:name="_Toc195875488"/>
      <w:r>
        <w:rPr>
          <w:rFonts w:hint="eastAsia" w:ascii="宋体" w:hAnsi="宋体"/>
          <w:color w:val="000000" w:themeColor="text1"/>
          <w:sz w:val="30"/>
          <w:szCs w:val="30"/>
          <w14:textFill>
            <w14:solidFill>
              <w14:schemeClr w14:val="tx1"/>
            </w14:solidFill>
          </w14:textFill>
        </w:rPr>
        <w:t xml:space="preserve">格式11 </w:t>
      </w:r>
      <w:r>
        <w:rPr>
          <w:rStyle w:val="38"/>
          <w:rFonts w:hint="eastAsia" w:ascii="宋体" w:hAnsi="宋体" w:cs="宋体"/>
          <w:bCs w:val="0"/>
          <w:color w:val="000000" w:themeColor="text1"/>
          <w:sz w:val="30"/>
          <w:szCs w:val="30"/>
          <w14:textFill>
            <w14:solidFill>
              <w14:schemeClr w14:val="tx1"/>
            </w14:solidFill>
          </w14:textFill>
        </w:rPr>
        <w:t>政府采购供应商诚信承诺书</w:t>
      </w:r>
      <w:bookmarkEnd w:id="67"/>
    </w:p>
    <w:p>
      <w:pPr>
        <w:spacing w:line="380" w:lineRule="exact"/>
        <w:jc w:val="center"/>
        <w:rPr>
          <w:rStyle w:val="38"/>
          <w:rFonts w:ascii="宋体" w:hAnsi="宋体"/>
          <w:b/>
          <w:bCs/>
          <w:color w:val="000000" w:themeColor="text1"/>
          <w:sz w:val="24"/>
          <w14:textFill>
            <w14:solidFill>
              <w14:schemeClr w14:val="tx1"/>
            </w14:solidFill>
          </w14:textFill>
        </w:rPr>
      </w:pPr>
    </w:p>
    <w:p>
      <w:pPr>
        <w:spacing w:line="380" w:lineRule="exact"/>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（一）提供虚假材料谋取中标;</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（二）采取不正当手段诋毁、排挤其他供应商;</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（三）与招标采购单位、其他投标人恶意串通;</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（四）向招标采购单位或提供其他不正当利益;</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（五）在招标过程中与招标采购单位进行协商谈判、不按照招标文件和投标文件订立合同，或者与采购人另立背离合同实质性内容协议;</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（六）开标后擅自撤销投标，影响招标继续进行的或领取招标文件纳投标保证金后不投标导致废标;</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（七）中标后无正当理由，在规定时间内不与采购单位签订合同;</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（八）将中标项目转让给他人或非法分包他人;</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（九）无正当理由，拒绝履行合同义务;</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（十）无正当理由放弃中标（成交）项目;</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（十一）撞自或与与采购人串通或接受采购人要求，在履约合同中通过减少货物数量，更换品牌、降低配置、技术要求、质量和服务标准等，却仍按原合同进行虚假验收或终止政府采购合同;</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（十二）与采购人串通，对尚未履约完毕的采购项目出具虚假验收报告；</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（十三）无不可抗力因素，拒绝提供售后服务、售后服务态度恶劣、故意提高维修配件价格（高于市场平均价）；</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（十四）开标后对招标文件的相关内容再进行质疑；</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（十五）恶意投诉的行为：投诉经查无实据的、捏造事实或者提供虚假设诉材料；</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（十六）拒绝有关部门监督检查或者提供虚假情况；</w:t>
      </w:r>
    </w:p>
    <w:p>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（十七）政府采购监管部门认定的其他政府采购活动中的不诚信行为。</w:t>
      </w:r>
    </w:p>
    <w:p>
      <w:pPr>
        <w:spacing w:line="380" w:lineRule="exact"/>
        <w:ind w:firstLine="3360" w:firstLineChars="1400"/>
        <w:rPr>
          <w:rFonts w:ascii="宋体" w:hAnsi="宋体" w:cs="宋体"/>
          <w:color w:val="000000" w:themeColor="text1"/>
          <w:sz w:val="24"/>
          <w14:textFill>
            <w14:solidFill>
              <w14:schemeClr w14:val="tx1"/>
            </w14:solidFill>
          </w14:textFill>
        </w:rPr>
      </w:pPr>
    </w:p>
    <w:p>
      <w:pPr>
        <w:spacing w:line="380" w:lineRule="exact"/>
        <w:ind w:firstLine="3360" w:firstLineChars="1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 （盖章）</w:t>
      </w:r>
    </w:p>
    <w:p>
      <w:pPr>
        <w:spacing w:line="380" w:lineRule="exact"/>
        <w:ind w:firstLine="3360" w:firstLineChars="1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     （签字）</w:t>
      </w:r>
    </w:p>
    <w:p>
      <w:pPr>
        <w:spacing w:line="380" w:lineRule="exact"/>
        <w:ind w:firstLine="3360" w:firstLineChars="1400"/>
        <w:rPr>
          <w:rFonts w:ascii="宋体" w:hAnsi="宋体" w:cs="宋体"/>
          <w:color w:val="000000" w:themeColor="text1"/>
          <w:sz w:val="24"/>
          <w14:textFill>
            <w14:solidFill>
              <w14:schemeClr w14:val="tx1"/>
            </w14:solidFill>
          </w14:textFill>
        </w:rPr>
      </w:pPr>
    </w:p>
    <w:p>
      <w:pPr>
        <w:spacing w:line="380" w:lineRule="exact"/>
        <w:ind w:firstLine="3360" w:firstLineChars="14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 月 日</w:t>
      </w:r>
    </w:p>
    <w:p>
      <w:pPr>
        <w:pStyle w:val="30"/>
        <w:ind w:firstLine="0" w:firstLineChars="0"/>
        <w:rPr>
          <w:rFonts w:ascii="宋体" w:hAnsi="宋体" w:cs="宋体"/>
          <w:b/>
          <w:color w:val="000000" w:themeColor="text1"/>
          <w:sz w:val="24"/>
          <w14:textFill>
            <w14:solidFill>
              <w14:schemeClr w14:val="tx1"/>
            </w14:solidFill>
          </w14:textFill>
        </w:rPr>
      </w:pPr>
    </w:p>
    <w:p>
      <w:pPr>
        <w:pStyle w:val="30"/>
        <w:ind w:firstLine="241"/>
        <w:rPr>
          <w:rFonts w:ascii="宋体" w:hAnsi="宋体" w:cs="宋体"/>
          <w:b/>
          <w:color w:val="000000" w:themeColor="text1"/>
          <w:sz w:val="24"/>
          <w14:textFill>
            <w14:solidFill>
              <w14:schemeClr w14:val="tx1"/>
            </w14:solidFill>
          </w14:textFill>
        </w:rPr>
      </w:pPr>
    </w:p>
    <w:p>
      <w:pPr>
        <w:pStyle w:val="22"/>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68" w:name="_Toc195875489"/>
      <w:r>
        <w:rPr>
          <w:rFonts w:hint="eastAsia"/>
          <w:color w:val="000000" w:themeColor="text1"/>
          <w14:textFill>
            <w14:solidFill>
              <w14:schemeClr w14:val="tx1"/>
            </w14:solidFill>
          </w14:textFill>
        </w:rPr>
        <w:t xml:space="preserve">第五章  </w:t>
      </w:r>
      <w:r>
        <w:rPr>
          <w:rFonts w:hint="eastAsia"/>
          <w:color w:val="000000" w:themeColor="text1"/>
          <w:w w:val="92"/>
          <w14:textFill>
            <w14:solidFill>
              <w14:schemeClr w14:val="tx1"/>
            </w14:solidFill>
          </w14:textFill>
        </w:rPr>
        <w:t>周口市</w:t>
      </w:r>
      <w:r>
        <w:rPr>
          <w:rFonts w:hint="eastAsia"/>
          <w:color w:val="000000" w:themeColor="text1"/>
          <w14:textFill>
            <w14:solidFill>
              <w14:schemeClr w14:val="tx1"/>
            </w14:solidFill>
          </w14:textFill>
        </w:rPr>
        <w:t>政府采购合同（服务类）标准文本</w:t>
      </w:r>
      <w:bookmarkEnd w:id="68"/>
    </w:p>
    <w:p>
      <w:pPr>
        <w:ind w:firstLine="640" w:firstLineChars="200"/>
        <w:rPr>
          <w:rFonts w:ascii="宋体" w:hAnsi="宋体" w:cs="宋体"/>
          <w:color w:val="000000" w:themeColor="text1"/>
          <w:sz w:val="32"/>
          <w:szCs w:val="32"/>
          <w14:textFill>
            <w14:solidFill>
              <w14:schemeClr w14:val="tx1"/>
            </w14:solidFill>
          </w14:textFill>
        </w:rPr>
      </w:pPr>
    </w:p>
    <w:p>
      <w:pPr>
        <w:pStyle w:val="41"/>
        <w:spacing w:beforeLines="0" w:afterLines="0"/>
        <w:ind w:left="0" w:firstLine="640" w:firstLineChars="200"/>
        <w:rPr>
          <w:rFonts w:ascii="宋体" w:hAnsi="宋体" w:cs="宋体"/>
          <w:color w:val="000000" w:themeColor="text1"/>
          <w:sz w:val="32"/>
          <w:szCs w:val="32"/>
          <w14:textFill>
            <w14:solidFill>
              <w14:schemeClr w14:val="tx1"/>
            </w14:solidFill>
          </w14:textFill>
        </w:rPr>
      </w:pPr>
    </w:p>
    <w:p>
      <w:pPr>
        <w:pStyle w:val="41"/>
        <w:spacing w:beforeLines="0" w:afterLines="0"/>
        <w:ind w:left="0" w:firstLine="640" w:firstLineChars="200"/>
        <w:rPr>
          <w:rFonts w:ascii="宋体" w:hAnsi="宋体" w:cs="宋体"/>
          <w:color w:val="000000" w:themeColor="text1"/>
          <w:sz w:val="32"/>
          <w:szCs w:val="32"/>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政府采购项目名称：</w:t>
      </w: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政府采购项目编号：</w:t>
      </w: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采      购    人：</w:t>
      </w: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供      应    商：</w:t>
      </w: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  同  签 订 地：</w:t>
      </w: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 同 签订 时 间：</w:t>
      </w: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pPr>
        <w:pStyle w:val="41"/>
        <w:spacing w:beforeLines="0" w:afterLines="0" w:line="440" w:lineRule="exact"/>
        <w:ind w:left="0"/>
        <w:jc w:val="center"/>
        <w:rPr>
          <w:rFonts w:ascii="宋体" w:hAnsi="宋体" w:cs="宋体"/>
          <w:color w:val="000000" w:themeColor="text1"/>
          <w:sz w:val="32"/>
          <w:szCs w:val="32"/>
          <w14:textFill>
            <w14:solidFill>
              <w14:schemeClr w14:val="tx1"/>
            </w14:solidFill>
          </w14:textFill>
        </w:rPr>
        <w:sectPr>
          <w:pgSz w:w="11900" w:h="16820"/>
          <w:pgMar w:top="1440" w:right="1080" w:bottom="1440" w:left="1080" w:header="0" w:footer="518" w:gutter="0"/>
          <w:cols w:space="720" w:num="1"/>
        </w:sectPr>
      </w:pPr>
    </w:p>
    <w:p>
      <w:pPr>
        <w:spacing w:line="360" w:lineRule="auto"/>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合同签订指引</w:t>
      </w:r>
    </w:p>
    <w:p>
      <w:pPr>
        <w:spacing w:line="360" w:lineRule="auto"/>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一、采购人在签订合同时应提供的资料：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1、该政府采购项目的招标采购文件（以网上发布内容为准）；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2、该政府采购项目招标文件的澄清和修改内容（公告内容）；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3、该政府采购项目评审报告；</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4、采购单位法人授权委托书（法人到场并签字的除外）；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5、采购单位被授权人身份证件（法人到场并签字的除外）；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6、采购人和中标供应商（或服务商，下同）约定的其他内容（不得超出招标采购文件实质性内容）。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二、供应商在签订合同时应提供的资料：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1、该政府采购项目的投标文件（纸质或PDF格式的电子投标文件）；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2、针对该项目评审时评审委员会提出的质询答复（纸质并签章）；</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3、该政府采购项目中标通知书；</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4、供应商法人授权委托书（法人到场并签字的除外）；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5、供应商被授权人身份证件（法人到场并签字的除外）；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6、供应商和采购人约定的其他内容（不得超出招标采购文件实质性内容）。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三、本合同签订后两个工作日内有采购人在“周口市政府采购网”上进行合同公示。</w:t>
      </w:r>
    </w:p>
    <w:p>
      <w:pPr>
        <w:spacing w:line="360" w:lineRule="auto"/>
        <w:ind w:firstLine="480" w:firstLineChars="200"/>
        <w:jc w:val="center"/>
        <w:rPr>
          <w:rFonts w:ascii="宋体" w:hAnsi="宋体"/>
          <w:color w:val="000000" w:themeColor="text1"/>
          <w:sz w:val="24"/>
          <w14:textFill>
            <w14:solidFill>
              <w14:schemeClr w14:val="tx1"/>
            </w14:solidFill>
          </w14:textFill>
        </w:rPr>
      </w:pPr>
    </w:p>
    <w:p>
      <w:pPr>
        <w:spacing w:line="360" w:lineRule="auto"/>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供应商履约验收指引</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1、供应商不得擅自变更合同标的服务内容；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2、不得以次充优，随意降低服务标准和水平；</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3、对因客观上采购人采购需求发生变化造成的，应提供采、供双方的纸质备忘录材料；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4、在满足验收条件5个工作日内通知采购人组织验收；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5、供应商应提供需验收服务的清单、标准、达到的水平等量化资料；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6、采、供双方约定的验收机构及相关人员组成情况。</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7、督促采购人在项目验收结束并达到相关要求后一个工作日内，在“周口市政府采购网”上进行“履约验收”公示。</w:t>
      </w: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960" w:firstLineChars="200"/>
        <w:jc w:val="center"/>
        <w:rPr>
          <w:rFonts w:ascii="宋体" w:hAnsi="宋体"/>
          <w:color w:val="000000" w:themeColor="text1"/>
          <w:sz w:val="48"/>
          <w:szCs w:val="48"/>
          <w14:textFill>
            <w14:solidFill>
              <w14:schemeClr w14:val="tx1"/>
            </w14:solidFill>
          </w14:textFill>
        </w:rPr>
      </w:pPr>
      <w:r>
        <w:rPr>
          <w:rFonts w:hint="eastAsia" w:ascii="宋体" w:hAnsi="宋体"/>
          <w:color w:val="000000" w:themeColor="text1"/>
          <w:sz w:val="48"/>
          <w:szCs w:val="48"/>
          <w14:textFill>
            <w14:solidFill>
              <w14:schemeClr w14:val="tx1"/>
            </w14:solidFill>
          </w14:textFill>
        </w:rPr>
        <w:t>服务合同内容</w:t>
      </w:r>
    </w:p>
    <w:p>
      <w:pPr>
        <w:spacing w:line="360" w:lineRule="auto"/>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采购人（甲方）：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供应商（乙方）：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签订地点：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财政委托号：      （财政资金项目必须填写)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本项目经批准采用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方式，经本项目评审委员会认真评审，决定将采购合同授予乙方。为进一步明确双方的责任，确保合同的顺利履行，根据《中华人民共和国政府采购法》《中华人民共和国民法典》（第三编合同）之规定，经甲乙双方充分协商，特订立本合同，以便共同遵守。</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第一条   服务的内容、标准、数量和价格：（若服务项目过多则见附表，如有附表则必须加盖印章）</w:t>
      </w:r>
    </w:p>
    <w:tbl>
      <w:tblPr>
        <w:tblStyle w:val="25"/>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服务内容</w:t>
            </w:r>
          </w:p>
        </w:tc>
        <w:tc>
          <w:tcPr>
            <w:tcW w:w="1623"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标准水平</w:t>
            </w:r>
          </w:p>
        </w:tc>
        <w:tc>
          <w:tcPr>
            <w:tcW w:w="902"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902"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1071"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单价</w:t>
            </w:r>
          </w:p>
        </w:tc>
        <w:tc>
          <w:tcPr>
            <w:tcW w:w="1250"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小计</w:t>
            </w:r>
          </w:p>
        </w:tc>
        <w:tc>
          <w:tcPr>
            <w:tcW w:w="1106" w:type="dxa"/>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rPr>
                <w:rFonts w:ascii="宋体" w:hAnsi="宋体"/>
                <w:color w:val="000000" w:themeColor="text1"/>
                <w:sz w:val="24"/>
                <w14:textFill>
                  <w14:solidFill>
                    <w14:schemeClr w14:val="tx1"/>
                  </w14:solidFill>
                </w14:textFill>
              </w:rPr>
            </w:pPr>
          </w:p>
        </w:tc>
        <w:tc>
          <w:tcPr>
            <w:tcW w:w="1623" w:type="dxa"/>
          </w:tcPr>
          <w:p>
            <w:pPr>
              <w:spacing w:line="360" w:lineRule="auto"/>
              <w:rPr>
                <w:rFonts w:ascii="宋体" w:hAnsi="宋体"/>
                <w:color w:val="000000" w:themeColor="text1"/>
                <w:sz w:val="24"/>
                <w14:textFill>
                  <w14:solidFill>
                    <w14:schemeClr w14:val="tx1"/>
                  </w14:solidFill>
                </w14:textFill>
              </w:rPr>
            </w:pPr>
          </w:p>
        </w:tc>
        <w:tc>
          <w:tcPr>
            <w:tcW w:w="902" w:type="dxa"/>
          </w:tcPr>
          <w:p>
            <w:pPr>
              <w:spacing w:line="360" w:lineRule="auto"/>
              <w:rPr>
                <w:rFonts w:ascii="宋体" w:hAnsi="宋体"/>
                <w:color w:val="000000" w:themeColor="text1"/>
                <w:sz w:val="24"/>
                <w14:textFill>
                  <w14:solidFill>
                    <w14:schemeClr w14:val="tx1"/>
                  </w14:solidFill>
                </w14:textFill>
              </w:rPr>
            </w:pPr>
          </w:p>
        </w:tc>
        <w:tc>
          <w:tcPr>
            <w:tcW w:w="902" w:type="dxa"/>
          </w:tcPr>
          <w:p>
            <w:pPr>
              <w:spacing w:line="360" w:lineRule="auto"/>
              <w:rPr>
                <w:rFonts w:ascii="宋体" w:hAnsi="宋体"/>
                <w:color w:val="000000" w:themeColor="text1"/>
                <w:sz w:val="24"/>
                <w14:textFill>
                  <w14:solidFill>
                    <w14:schemeClr w14:val="tx1"/>
                  </w14:solidFill>
                </w14:textFill>
              </w:rPr>
            </w:pPr>
          </w:p>
        </w:tc>
        <w:tc>
          <w:tcPr>
            <w:tcW w:w="1071" w:type="dxa"/>
          </w:tcPr>
          <w:p>
            <w:pPr>
              <w:spacing w:line="360" w:lineRule="auto"/>
              <w:rPr>
                <w:rFonts w:ascii="宋体" w:hAnsi="宋体"/>
                <w:color w:val="000000" w:themeColor="text1"/>
                <w:sz w:val="24"/>
                <w14:textFill>
                  <w14:solidFill>
                    <w14:schemeClr w14:val="tx1"/>
                  </w14:solidFill>
                </w14:textFill>
              </w:rPr>
            </w:pPr>
          </w:p>
        </w:tc>
        <w:tc>
          <w:tcPr>
            <w:tcW w:w="1250" w:type="dxa"/>
          </w:tcPr>
          <w:p>
            <w:pPr>
              <w:spacing w:line="360" w:lineRule="auto"/>
              <w:rPr>
                <w:rFonts w:ascii="宋体" w:hAnsi="宋体"/>
                <w:color w:val="000000" w:themeColor="text1"/>
                <w:sz w:val="24"/>
                <w14:textFill>
                  <w14:solidFill>
                    <w14:schemeClr w14:val="tx1"/>
                  </w14:solidFill>
                </w14:textFill>
              </w:rPr>
            </w:pPr>
          </w:p>
        </w:tc>
        <w:tc>
          <w:tcPr>
            <w:tcW w:w="1106" w:type="dxa"/>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rPr>
                <w:rFonts w:ascii="宋体" w:hAnsi="宋体"/>
                <w:color w:val="000000" w:themeColor="text1"/>
                <w:sz w:val="24"/>
                <w14:textFill>
                  <w14:solidFill>
                    <w14:schemeClr w14:val="tx1"/>
                  </w14:solidFill>
                </w14:textFill>
              </w:rPr>
            </w:pPr>
          </w:p>
        </w:tc>
        <w:tc>
          <w:tcPr>
            <w:tcW w:w="1623" w:type="dxa"/>
          </w:tcPr>
          <w:p>
            <w:pPr>
              <w:spacing w:line="360" w:lineRule="auto"/>
              <w:rPr>
                <w:rFonts w:ascii="宋体" w:hAnsi="宋体"/>
                <w:color w:val="000000" w:themeColor="text1"/>
                <w:sz w:val="24"/>
                <w14:textFill>
                  <w14:solidFill>
                    <w14:schemeClr w14:val="tx1"/>
                  </w14:solidFill>
                </w14:textFill>
              </w:rPr>
            </w:pPr>
          </w:p>
        </w:tc>
        <w:tc>
          <w:tcPr>
            <w:tcW w:w="902" w:type="dxa"/>
          </w:tcPr>
          <w:p>
            <w:pPr>
              <w:spacing w:line="360" w:lineRule="auto"/>
              <w:rPr>
                <w:rFonts w:ascii="宋体" w:hAnsi="宋体"/>
                <w:color w:val="000000" w:themeColor="text1"/>
                <w:sz w:val="24"/>
                <w14:textFill>
                  <w14:solidFill>
                    <w14:schemeClr w14:val="tx1"/>
                  </w14:solidFill>
                </w14:textFill>
              </w:rPr>
            </w:pPr>
          </w:p>
        </w:tc>
        <w:tc>
          <w:tcPr>
            <w:tcW w:w="902" w:type="dxa"/>
          </w:tcPr>
          <w:p>
            <w:pPr>
              <w:spacing w:line="360" w:lineRule="auto"/>
              <w:rPr>
                <w:rFonts w:ascii="宋体" w:hAnsi="宋体"/>
                <w:color w:val="000000" w:themeColor="text1"/>
                <w:sz w:val="24"/>
                <w14:textFill>
                  <w14:solidFill>
                    <w14:schemeClr w14:val="tx1"/>
                  </w14:solidFill>
                </w14:textFill>
              </w:rPr>
            </w:pPr>
          </w:p>
        </w:tc>
        <w:tc>
          <w:tcPr>
            <w:tcW w:w="1071" w:type="dxa"/>
          </w:tcPr>
          <w:p>
            <w:pPr>
              <w:spacing w:line="360" w:lineRule="auto"/>
              <w:rPr>
                <w:rFonts w:ascii="宋体" w:hAnsi="宋体"/>
                <w:color w:val="000000" w:themeColor="text1"/>
                <w:sz w:val="24"/>
                <w14:textFill>
                  <w14:solidFill>
                    <w14:schemeClr w14:val="tx1"/>
                  </w14:solidFill>
                </w14:textFill>
              </w:rPr>
            </w:pPr>
          </w:p>
        </w:tc>
        <w:tc>
          <w:tcPr>
            <w:tcW w:w="1250" w:type="dxa"/>
          </w:tcPr>
          <w:p>
            <w:pPr>
              <w:spacing w:line="360" w:lineRule="auto"/>
              <w:rPr>
                <w:rFonts w:ascii="宋体" w:hAnsi="宋体"/>
                <w:color w:val="000000" w:themeColor="text1"/>
                <w:sz w:val="24"/>
                <w14:textFill>
                  <w14:solidFill>
                    <w14:schemeClr w14:val="tx1"/>
                  </w14:solidFill>
                </w14:textFill>
              </w:rPr>
            </w:pPr>
          </w:p>
        </w:tc>
        <w:tc>
          <w:tcPr>
            <w:tcW w:w="1106" w:type="dxa"/>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rPr>
                <w:rFonts w:ascii="宋体" w:hAnsi="宋体"/>
                <w:color w:val="000000" w:themeColor="text1"/>
                <w:sz w:val="24"/>
                <w14:textFill>
                  <w14:solidFill>
                    <w14:schemeClr w14:val="tx1"/>
                  </w14:solidFill>
                </w14:textFill>
              </w:rPr>
            </w:pPr>
          </w:p>
        </w:tc>
        <w:tc>
          <w:tcPr>
            <w:tcW w:w="1623" w:type="dxa"/>
          </w:tcPr>
          <w:p>
            <w:pPr>
              <w:spacing w:line="360" w:lineRule="auto"/>
              <w:rPr>
                <w:rFonts w:ascii="宋体" w:hAnsi="宋体"/>
                <w:color w:val="000000" w:themeColor="text1"/>
                <w:sz w:val="24"/>
                <w14:textFill>
                  <w14:solidFill>
                    <w14:schemeClr w14:val="tx1"/>
                  </w14:solidFill>
                </w14:textFill>
              </w:rPr>
            </w:pPr>
          </w:p>
        </w:tc>
        <w:tc>
          <w:tcPr>
            <w:tcW w:w="902" w:type="dxa"/>
          </w:tcPr>
          <w:p>
            <w:pPr>
              <w:spacing w:line="360" w:lineRule="auto"/>
              <w:rPr>
                <w:rFonts w:ascii="宋体" w:hAnsi="宋体"/>
                <w:color w:val="000000" w:themeColor="text1"/>
                <w:sz w:val="24"/>
                <w14:textFill>
                  <w14:solidFill>
                    <w14:schemeClr w14:val="tx1"/>
                  </w14:solidFill>
                </w14:textFill>
              </w:rPr>
            </w:pPr>
          </w:p>
        </w:tc>
        <w:tc>
          <w:tcPr>
            <w:tcW w:w="902" w:type="dxa"/>
          </w:tcPr>
          <w:p>
            <w:pPr>
              <w:spacing w:line="360" w:lineRule="auto"/>
              <w:rPr>
                <w:rFonts w:ascii="宋体" w:hAnsi="宋体"/>
                <w:color w:val="000000" w:themeColor="text1"/>
                <w:sz w:val="24"/>
                <w14:textFill>
                  <w14:solidFill>
                    <w14:schemeClr w14:val="tx1"/>
                  </w14:solidFill>
                </w14:textFill>
              </w:rPr>
            </w:pPr>
          </w:p>
        </w:tc>
        <w:tc>
          <w:tcPr>
            <w:tcW w:w="1071" w:type="dxa"/>
          </w:tcPr>
          <w:p>
            <w:pPr>
              <w:spacing w:line="360" w:lineRule="auto"/>
              <w:rPr>
                <w:rFonts w:ascii="宋体" w:hAnsi="宋体"/>
                <w:color w:val="000000" w:themeColor="text1"/>
                <w:sz w:val="24"/>
                <w14:textFill>
                  <w14:solidFill>
                    <w14:schemeClr w14:val="tx1"/>
                  </w14:solidFill>
                </w14:textFill>
              </w:rPr>
            </w:pPr>
          </w:p>
        </w:tc>
        <w:tc>
          <w:tcPr>
            <w:tcW w:w="1250" w:type="dxa"/>
          </w:tcPr>
          <w:p>
            <w:pPr>
              <w:spacing w:line="360" w:lineRule="auto"/>
              <w:rPr>
                <w:rFonts w:ascii="宋体" w:hAnsi="宋体"/>
                <w:color w:val="000000" w:themeColor="text1"/>
                <w:sz w:val="24"/>
                <w14:textFill>
                  <w14:solidFill>
                    <w14:schemeClr w14:val="tx1"/>
                  </w14:solidFill>
                </w14:textFill>
              </w:rPr>
            </w:pPr>
          </w:p>
        </w:tc>
        <w:tc>
          <w:tcPr>
            <w:tcW w:w="1106" w:type="dxa"/>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合同总价款（大小写）：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备注：上述服务包含相关设备购置、人员工资及售后服务、税金、劳保基金、人员培训等费用。</w:t>
            </w:r>
          </w:p>
        </w:tc>
      </w:tr>
    </w:tbl>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第二条  服务标准（包括达到的水平要求），按下列第（ ）项执行：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①按国家标准执行；②按部颁标准执行；③若无以上标准，则应不低于同行业服务标准；④有特殊要求的，按甲乙双方在合同中商定的要求执行；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乙方提供的服务标准和水平应与招标采购文件规定的标准和水平相一致，并满足采购人需求。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第三条  服务的方式、方法、地点和期限</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1、服务方式：</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2、服务方法：</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2、服务地点：</w:t>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3、服务期限：</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第四条（ 费用及支付方式</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(一)本项目费用有以下组成：</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1、XX 万元；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2、（X 万元；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(二)费用支付方式：</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1、XXXX；</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2、XXXX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3、在支付前甲方对乙方的服务进行考核或验收，合格的支付相应款 项。乙方须向甲方出具合法有效完整的完税发票及凭证资料进行支付结算。</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第五条  付款条件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本合同以人民币付款。</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该项目是否实行预付款：</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实行预付款的条件和比例：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合同款项结算方式（支付比例：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(具体付款方式按投标人须知前附表以及采、购双方的具体约定)</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第六条  验收方法</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甲方视情况可以邀请参加本项目的其他投标人或者第三方机构参与验收，参与验收的投标人或者第三方机构的意见作为验收书的参考资料一并存档。第三方机构参与验收的所需费用由供应商承担，采购人不承担此费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检测、验收费用承担方式：</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第七条 知识产权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乙方应保证所提供的服务或其任何一部分均不会侵犯任何第三方的专利权、商标权或著作权。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第八条 无产权瑕疵条款</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乙方保证所提供的服务的所有权完全属于乙方且无任何抵押、查封等产权瑕疵。如有产权瑕疵的，视为乙方违约。乙方应负担由此而产生的一切损失。</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第九条  履约（或质量）保证金</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2.若确需质量保证金的，质量保证金不得超过合同总价款的5%。</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3.如乙方未能履行其合同规定的任何义务，甲方有权从履约保证金中取得补偿。</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第十条 甲方的权利和义务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2、甲方有权依据双方签订的考评办法对乙方提供的服务进行定期考评。当考评结果未达到标准时，有权依据考评办法约定的数额扣除履约保证金。</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3、负责检查监督乙方管理工作的实施及制度的执行情况。</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4、根据本合同规定，按时向乙方支付应付服务费用。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5、国家法律法规所规定由甲方承担的其他责任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第十一条 乙方的权利和义务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1、对本合同规定的委托服务范围内的项目享有管理权及服务义务。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2、根据本合同的规定向甲方收取相关服务费用，并有权在本项目管理范围内管理及合理使用。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3、供应商应及时向甲方通告本项目服务范围内有关服务的重大事项，及时配合处理投诉。若因投诉处理不及时给采购人造成的损失，供应商须自行承担。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4、接受项目行业管理部门及政府有关部门的指导，接受甲方的监督。</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5、国家法律法规所规定由乙方承担的其他责任。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第十二条 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1、甲乙双方必须遵守本合同并执行合同中的各项规定，保证本合同的正常履行。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2、甲方逾期付款的，除应及时付足款项外，应向乙方偿付欠款总额万分之 /天的违约金；逾期付款超过 天的，乙方有权终止合同。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如因自己工作人员在履行职务过程中的疏忽、失职、过错等故意或者过失原因给甲方造成损失或侵害，包括但不限于甲方本身的财产损失、由此而导致的甲方对任何第三方的法律责任等，对此均应承担全部的赔偿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4、变更、中止或者终止合同，有过错的一方应当承担赔偿责任，双方都有过错的，各自承担相应的责任。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第十三条 转让与分包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1.除甲方事先书面同意外，乙方不得部分转让或全部转让其应履行的合同义务。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第十四条 合同文件及资料的使用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1.乙方在未经甲方同意的情况下，不得将合同、合同中的规定、有关计划、图纸、样本或甲方为上述内容向乙方提供的资料透露给任何人。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2.除非执行合同需要，在事先未得到甲方同意的情况下，乙方不得使用前款所列的任何文件和资料。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第十五条 不可抗力事件处理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乙双方的任何一方由于不可抗力的原因不能履行合同时，应及时向对方通报不能履行或不能完全履行的理由，在取得有关部门证明以后，允许延期履行、部分履行或者不履行合同，并根据情况可部分或全部免于承担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第十六条 合同纠纷调处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1.按本合同规定应该偿付的违约金、赔偿金、保管保养费和各种经济损失，应当在明确责任后10天内，按银行规定的结算办法付清，否则按逾期付款处理。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2.本合同如发生纠纷，当事人双方应当及时协商解决，协商不成时，任何一方均可请本项目政府采购监督管理部门调解，调解不成，按以下第（② ）项方式处理：①根据《中华人民共和国仲裁法》的规定向周口仲裁委员会申请仲裁。②向合同签订地有级别管辖权的人民法院起诉。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3、甲、乙双方均有权利向本项目具有监管职能的政府采购监督管理部门举报反映对方在合同履约中的违法违纪行为。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第十七条 其他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下列关于周口市公共资源交易中心政府采购代理机构名称某项目（项目编号：某编号）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本合同一式</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份，甲乙双方各执</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份，自双方当事人签字盖章之日起生效。</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采购人（甲方）：    （公章）           供货人（乙方）：     （公章）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                               地址：</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                         法定代表人：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                         委托代理人：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                               电话：</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开户银行：                           开户银行：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账号：                               账号：</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                  年    月  日</w:t>
      </w:r>
    </w:p>
    <w:p>
      <w:pPr>
        <w:spacing w:line="360" w:lineRule="auto"/>
        <w:rPr>
          <w:rFonts w:ascii="宋体" w:hAnsi="宋体"/>
          <w:color w:val="000000" w:themeColor="text1"/>
          <w:sz w:val="24"/>
          <w14:textFill>
            <w14:solidFill>
              <w14:schemeClr w14:val="tx1"/>
            </w14:solidFill>
          </w14:textFill>
        </w:rPr>
        <w:sectPr>
          <w:pgSz w:w="11900" w:h="16820"/>
          <w:pgMar w:top="1440" w:right="1080" w:bottom="1440" w:left="1080" w:header="0" w:footer="518" w:gutter="0"/>
          <w:cols w:space="720" w:num="1"/>
        </w:sectPr>
      </w:pPr>
    </w:p>
    <w:p>
      <w:pPr>
        <w:pStyle w:val="30"/>
        <w:ind w:firstLine="0" w:firstLineChars="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周口市政府采购合同融资政策告知函</w:t>
      </w:r>
    </w:p>
    <w:p>
      <w:pPr>
        <w:pStyle w:val="30"/>
        <w:ind w:firstLine="240"/>
        <w:rPr>
          <w:rFonts w:ascii="宋体" w:hAnsi="宋体"/>
          <w:color w:val="000000" w:themeColor="text1"/>
          <w:sz w:val="24"/>
          <w14:textFill>
            <w14:solidFill>
              <w14:schemeClr w14:val="tx1"/>
            </w14:solidFill>
          </w14:textFill>
        </w:rPr>
      </w:pPr>
    </w:p>
    <w:p>
      <w:pPr>
        <w:pStyle w:val="30"/>
        <w:ind w:firstLine="240"/>
        <w:rPr>
          <w:rFonts w:ascii="宋体" w:hAnsi="宋体"/>
          <w:color w:val="000000" w:themeColor="text1"/>
          <w:sz w:val="24"/>
          <w14:textFill>
            <w14:solidFill>
              <w14:schemeClr w14:val="tx1"/>
            </w14:solidFill>
          </w14:textFill>
        </w:rPr>
      </w:pPr>
    </w:p>
    <w:p>
      <w:pPr>
        <w:pStyle w:val="30"/>
        <w:ind w:firstLine="240"/>
        <w:rPr>
          <w:rFonts w:ascii="宋体" w:hAnsi="宋体"/>
          <w:color w:val="000000" w:themeColor="text1"/>
          <w:sz w:val="24"/>
          <w14:textFill>
            <w14:solidFill>
              <w14:schemeClr w14:val="tx1"/>
            </w14:solidFill>
          </w14:textFill>
        </w:rPr>
      </w:pPr>
    </w:p>
    <w:p>
      <w:pPr>
        <w:pStyle w:val="30"/>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各供应商：</w:t>
      </w:r>
    </w:p>
    <w:p>
      <w:pPr>
        <w:pStyle w:val="30"/>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欢迎贵公司参与周口市政府采购活动！</w:t>
      </w:r>
    </w:p>
    <w:p>
      <w:pPr>
        <w:pStyle w:val="30"/>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0"/>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贷款渠道和提供贷款的金融机构，可在河南省政府采购网“河南省政府采购合同融资平台”查询联系。</w:t>
      </w: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pPr>
        <w:pStyle w:val="30"/>
        <w:ind w:firstLine="210"/>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4682931"/>
    </w:sdtPr>
    <w:sdtContent>
      <w:p>
        <w:pPr>
          <w:pStyle w:val="15"/>
          <w:jc w:val="center"/>
        </w:pPr>
        <w:r>
          <w:fldChar w:fldCharType="begin"/>
        </w:r>
        <w:r>
          <w:instrText xml:space="preserve">PAGE   \* MERGEFORMAT</w:instrText>
        </w:r>
        <w:r>
          <w:fldChar w:fldCharType="separate"/>
        </w:r>
        <w:r>
          <w:rPr>
            <w:lang w:val="zh-CN"/>
          </w:rPr>
          <w:t>12</w:t>
        </w:r>
        <w:r>
          <w:fldChar w:fldCharType="end"/>
        </w:r>
      </w:p>
      <w:p>
        <w:pPr>
          <w:pStyle w:val="15"/>
          <w:jc w:val="center"/>
        </w:pPr>
      </w:p>
      <w:p>
        <w:pPr>
          <w:pStyle w:val="15"/>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C2EF4"/>
    <w:multiLevelType w:val="singleLevel"/>
    <w:tmpl w:val="A55C2EF4"/>
    <w:lvl w:ilvl="0" w:tentative="0">
      <w:start w:val="3"/>
      <w:numFmt w:val="decimal"/>
      <w:lvlText w:val="%1."/>
      <w:lvlJc w:val="left"/>
      <w:pPr>
        <w:tabs>
          <w:tab w:val="left" w:pos="312"/>
        </w:tabs>
      </w:pPr>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8"/>
    <w:multiLevelType w:val="multilevel"/>
    <w:tmpl w:val="00000008"/>
    <w:lvl w:ilvl="0" w:tentative="0">
      <w:start w:val="1"/>
      <w:numFmt w:val="decimal"/>
      <w:lvlText w:val="%1."/>
      <w:lvlJc w:val="left"/>
      <w:pPr>
        <w:tabs>
          <w:tab w:val="left" w:pos="420"/>
        </w:tabs>
        <w:ind w:left="63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403AD80"/>
    <w:multiLevelType w:val="singleLevel"/>
    <w:tmpl w:val="1403AD80"/>
    <w:lvl w:ilvl="0" w:tentative="0">
      <w:start w:val="1"/>
      <w:numFmt w:val="decimal"/>
      <w:suff w:val="nothing"/>
      <w:lvlText w:val="%1、"/>
      <w:lvlJc w:val="left"/>
    </w:lvl>
  </w:abstractNum>
  <w:abstractNum w:abstractNumId="4">
    <w:nsid w:val="7998933E"/>
    <w:multiLevelType w:val="singleLevel"/>
    <w:tmpl w:val="7998933E"/>
    <w:lvl w:ilvl="0" w:tentative="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MGI1Yjk2MGQzY2NmMjJiN2E4ZTQyNDQyZjFiMDEifQ=="/>
  </w:docVars>
  <w:rsids>
    <w:rsidRoot w:val="00660FDA"/>
    <w:rsid w:val="00012EFE"/>
    <w:rsid w:val="000305B7"/>
    <w:rsid w:val="00032C00"/>
    <w:rsid w:val="00045701"/>
    <w:rsid w:val="00075155"/>
    <w:rsid w:val="000769CB"/>
    <w:rsid w:val="000819BE"/>
    <w:rsid w:val="00092053"/>
    <w:rsid w:val="0009415E"/>
    <w:rsid w:val="000B734E"/>
    <w:rsid w:val="000C4EA8"/>
    <w:rsid w:val="000E658D"/>
    <w:rsid w:val="00115257"/>
    <w:rsid w:val="00120342"/>
    <w:rsid w:val="00121D2E"/>
    <w:rsid w:val="00123B2E"/>
    <w:rsid w:val="00152AD7"/>
    <w:rsid w:val="001D3B8B"/>
    <w:rsid w:val="001E2AC1"/>
    <w:rsid w:val="002020F2"/>
    <w:rsid w:val="00222C97"/>
    <w:rsid w:val="00261AC8"/>
    <w:rsid w:val="00262B9D"/>
    <w:rsid w:val="002676FF"/>
    <w:rsid w:val="0028598A"/>
    <w:rsid w:val="002A0694"/>
    <w:rsid w:val="002C5F21"/>
    <w:rsid w:val="002E125B"/>
    <w:rsid w:val="00303DCC"/>
    <w:rsid w:val="00313394"/>
    <w:rsid w:val="00323618"/>
    <w:rsid w:val="00351D17"/>
    <w:rsid w:val="003714CA"/>
    <w:rsid w:val="00375D78"/>
    <w:rsid w:val="0038177C"/>
    <w:rsid w:val="00390BEF"/>
    <w:rsid w:val="00391CA5"/>
    <w:rsid w:val="003941AE"/>
    <w:rsid w:val="003B2D19"/>
    <w:rsid w:val="003E379F"/>
    <w:rsid w:val="00441901"/>
    <w:rsid w:val="00445496"/>
    <w:rsid w:val="004641DD"/>
    <w:rsid w:val="00481CD2"/>
    <w:rsid w:val="004B212A"/>
    <w:rsid w:val="004C507B"/>
    <w:rsid w:val="00500F2A"/>
    <w:rsid w:val="005245F8"/>
    <w:rsid w:val="00524F2A"/>
    <w:rsid w:val="005250BB"/>
    <w:rsid w:val="005413F7"/>
    <w:rsid w:val="00543559"/>
    <w:rsid w:val="0057594B"/>
    <w:rsid w:val="005832C6"/>
    <w:rsid w:val="005858D7"/>
    <w:rsid w:val="00606686"/>
    <w:rsid w:val="00607F47"/>
    <w:rsid w:val="00612B0A"/>
    <w:rsid w:val="00631A20"/>
    <w:rsid w:val="00637056"/>
    <w:rsid w:val="006407A9"/>
    <w:rsid w:val="00644ACB"/>
    <w:rsid w:val="00660FDA"/>
    <w:rsid w:val="00664A96"/>
    <w:rsid w:val="00665645"/>
    <w:rsid w:val="006B51E6"/>
    <w:rsid w:val="006E1FFD"/>
    <w:rsid w:val="006F2F66"/>
    <w:rsid w:val="00715B00"/>
    <w:rsid w:val="0072311B"/>
    <w:rsid w:val="00743BD6"/>
    <w:rsid w:val="00746C88"/>
    <w:rsid w:val="0075481D"/>
    <w:rsid w:val="00786DC6"/>
    <w:rsid w:val="007A4CDD"/>
    <w:rsid w:val="007A6FF5"/>
    <w:rsid w:val="007C1738"/>
    <w:rsid w:val="007C268F"/>
    <w:rsid w:val="007D228F"/>
    <w:rsid w:val="007F30BC"/>
    <w:rsid w:val="007F35AB"/>
    <w:rsid w:val="00815CE5"/>
    <w:rsid w:val="0083164E"/>
    <w:rsid w:val="00837A0E"/>
    <w:rsid w:val="0084343A"/>
    <w:rsid w:val="00852F39"/>
    <w:rsid w:val="008557BE"/>
    <w:rsid w:val="0089254B"/>
    <w:rsid w:val="008D68BE"/>
    <w:rsid w:val="008D733C"/>
    <w:rsid w:val="008E5FA3"/>
    <w:rsid w:val="008F5B9B"/>
    <w:rsid w:val="009172A4"/>
    <w:rsid w:val="00923BF0"/>
    <w:rsid w:val="00924E54"/>
    <w:rsid w:val="0092766B"/>
    <w:rsid w:val="009328FF"/>
    <w:rsid w:val="00935C4E"/>
    <w:rsid w:val="00981792"/>
    <w:rsid w:val="00982279"/>
    <w:rsid w:val="0099682E"/>
    <w:rsid w:val="009B1FFD"/>
    <w:rsid w:val="009B2D12"/>
    <w:rsid w:val="009E363E"/>
    <w:rsid w:val="00A14CBF"/>
    <w:rsid w:val="00A25F1B"/>
    <w:rsid w:val="00A36157"/>
    <w:rsid w:val="00A453EB"/>
    <w:rsid w:val="00A56787"/>
    <w:rsid w:val="00A732D3"/>
    <w:rsid w:val="00AB605C"/>
    <w:rsid w:val="00AC129B"/>
    <w:rsid w:val="00AC210D"/>
    <w:rsid w:val="00AE1287"/>
    <w:rsid w:val="00AF40A9"/>
    <w:rsid w:val="00AF5995"/>
    <w:rsid w:val="00B00D09"/>
    <w:rsid w:val="00B21C2A"/>
    <w:rsid w:val="00B35406"/>
    <w:rsid w:val="00B35911"/>
    <w:rsid w:val="00B42A0F"/>
    <w:rsid w:val="00B4416F"/>
    <w:rsid w:val="00B6602F"/>
    <w:rsid w:val="00B6748B"/>
    <w:rsid w:val="00BA78B8"/>
    <w:rsid w:val="00BB015A"/>
    <w:rsid w:val="00BB0A0A"/>
    <w:rsid w:val="00C20B58"/>
    <w:rsid w:val="00C307B8"/>
    <w:rsid w:val="00C43F98"/>
    <w:rsid w:val="00C47447"/>
    <w:rsid w:val="00C53079"/>
    <w:rsid w:val="00C57D4C"/>
    <w:rsid w:val="00C66196"/>
    <w:rsid w:val="00CA0A95"/>
    <w:rsid w:val="00CC2E29"/>
    <w:rsid w:val="00CD44FE"/>
    <w:rsid w:val="00CD5828"/>
    <w:rsid w:val="00CE0926"/>
    <w:rsid w:val="00D12D39"/>
    <w:rsid w:val="00D60CE8"/>
    <w:rsid w:val="00DA4469"/>
    <w:rsid w:val="00DA635C"/>
    <w:rsid w:val="00DB7805"/>
    <w:rsid w:val="00DD6E73"/>
    <w:rsid w:val="00DF0CAE"/>
    <w:rsid w:val="00DF6A02"/>
    <w:rsid w:val="00E1625D"/>
    <w:rsid w:val="00E1665D"/>
    <w:rsid w:val="00E54CA6"/>
    <w:rsid w:val="00E576A3"/>
    <w:rsid w:val="00E70FED"/>
    <w:rsid w:val="00E877A4"/>
    <w:rsid w:val="00E94935"/>
    <w:rsid w:val="00EA0024"/>
    <w:rsid w:val="00EC4DB1"/>
    <w:rsid w:val="00EC6D3B"/>
    <w:rsid w:val="00EF67DB"/>
    <w:rsid w:val="00F010A5"/>
    <w:rsid w:val="00F14DA2"/>
    <w:rsid w:val="00F14E72"/>
    <w:rsid w:val="00F16016"/>
    <w:rsid w:val="00F322E8"/>
    <w:rsid w:val="00F80527"/>
    <w:rsid w:val="00F87B20"/>
    <w:rsid w:val="00FC7BFD"/>
    <w:rsid w:val="00FD0B33"/>
    <w:rsid w:val="00FE406F"/>
    <w:rsid w:val="00FE43EE"/>
    <w:rsid w:val="00FF5261"/>
    <w:rsid w:val="00FF7324"/>
    <w:rsid w:val="013D3934"/>
    <w:rsid w:val="015007B6"/>
    <w:rsid w:val="01664743"/>
    <w:rsid w:val="016C134C"/>
    <w:rsid w:val="02AB0B17"/>
    <w:rsid w:val="03A013F2"/>
    <w:rsid w:val="03A26B8E"/>
    <w:rsid w:val="04131BA8"/>
    <w:rsid w:val="050C2C6B"/>
    <w:rsid w:val="05370C0F"/>
    <w:rsid w:val="05600DF4"/>
    <w:rsid w:val="06B949BB"/>
    <w:rsid w:val="06D356D1"/>
    <w:rsid w:val="06ED1334"/>
    <w:rsid w:val="07063DE2"/>
    <w:rsid w:val="078B6E2B"/>
    <w:rsid w:val="08404F36"/>
    <w:rsid w:val="08752E31"/>
    <w:rsid w:val="08A60005"/>
    <w:rsid w:val="08CA7F34"/>
    <w:rsid w:val="096B4234"/>
    <w:rsid w:val="0A2E4339"/>
    <w:rsid w:val="0A3E54A5"/>
    <w:rsid w:val="0A427979"/>
    <w:rsid w:val="0A7315F2"/>
    <w:rsid w:val="0BA5708B"/>
    <w:rsid w:val="0BB11572"/>
    <w:rsid w:val="0C050269"/>
    <w:rsid w:val="0C3B6D6D"/>
    <w:rsid w:val="0D5527FE"/>
    <w:rsid w:val="0DDC5DDD"/>
    <w:rsid w:val="0E230C39"/>
    <w:rsid w:val="0E8B7795"/>
    <w:rsid w:val="0EAA62A3"/>
    <w:rsid w:val="0F6C4862"/>
    <w:rsid w:val="0F6F7B99"/>
    <w:rsid w:val="101B0D50"/>
    <w:rsid w:val="10643980"/>
    <w:rsid w:val="10C7395A"/>
    <w:rsid w:val="113F5177"/>
    <w:rsid w:val="11B74920"/>
    <w:rsid w:val="1210778C"/>
    <w:rsid w:val="130549BB"/>
    <w:rsid w:val="13201BEB"/>
    <w:rsid w:val="139275C9"/>
    <w:rsid w:val="143F754A"/>
    <w:rsid w:val="144D6A10"/>
    <w:rsid w:val="156363BD"/>
    <w:rsid w:val="16187D58"/>
    <w:rsid w:val="16A9014A"/>
    <w:rsid w:val="16B32D77"/>
    <w:rsid w:val="174457A9"/>
    <w:rsid w:val="17493D7C"/>
    <w:rsid w:val="177C13BA"/>
    <w:rsid w:val="181B23C9"/>
    <w:rsid w:val="18333308"/>
    <w:rsid w:val="184616E2"/>
    <w:rsid w:val="189D5A8C"/>
    <w:rsid w:val="18F3752E"/>
    <w:rsid w:val="19E27BFB"/>
    <w:rsid w:val="19F53DD2"/>
    <w:rsid w:val="1A1C1438"/>
    <w:rsid w:val="1A2D3846"/>
    <w:rsid w:val="1A853153"/>
    <w:rsid w:val="1ADF2731"/>
    <w:rsid w:val="1B4C6C57"/>
    <w:rsid w:val="1CA078F9"/>
    <w:rsid w:val="1DDB169B"/>
    <w:rsid w:val="1E110C64"/>
    <w:rsid w:val="1E13515F"/>
    <w:rsid w:val="1E1E31CB"/>
    <w:rsid w:val="1FDD0151"/>
    <w:rsid w:val="202F4A91"/>
    <w:rsid w:val="203211B0"/>
    <w:rsid w:val="20344F28"/>
    <w:rsid w:val="205B4263"/>
    <w:rsid w:val="20692E24"/>
    <w:rsid w:val="21A34ECE"/>
    <w:rsid w:val="21C53F84"/>
    <w:rsid w:val="22C03C12"/>
    <w:rsid w:val="22F32E79"/>
    <w:rsid w:val="22FA4207"/>
    <w:rsid w:val="239D1036"/>
    <w:rsid w:val="23E32EED"/>
    <w:rsid w:val="23F35C21"/>
    <w:rsid w:val="249C7C31"/>
    <w:rsid w:val="24A93EDD"/>
    <w:rsid w:val="24BD10D6"/>
    <w:rsid w:val="252F5CBE"/>
    <w:rsid w:val="255409E7"/>
    <w:rsid w:val="25585215"/>
    <w:rsid w:val="256911D0"/>
    <w:rsid w:val="26233A75"/>
    <w:rsid w:val="26752664"/>
    <w:rsid w:val="26974C2A"/>
    <w:rsid w:val="283200BF"/>
    <w:rsid w:val="28793E20"/>
    <w:rsid w:val="29601DE6"/>
    <w:rsid w:val="2A331DAD"/>
    <w:rsid w:val="2A4B3D8E"/>
    <w:rsid w:val="2A8A5D4D"/>
    <w:rsid w:val="2B744625"/>
    <w:rsid w:val="2C373598"/>
    <w:rsid w:val="2C934D84"/>
    <w:rsid w:val="2D4A18E7"/>
    <w:rsid w:val="2D4C4236"/>
    <w:rsid w:val="2DF838F9"/>
    <w:rsid w:val="2E14405A"/>
    <w:rsid w:val="2EC358A3"/>
    <w:rsid w:val="2FC31E25"/>
    <w:rsid w:val="2FE71A7E"/>
    <w:rsid w:val="30115C1C"/>
    <w:rsid w:val="308521A0"/>
    <w:rsid w:val="308D5BD0"/>
    <w:rsid w:val="31034AC5"/>
    <w:rsid w:val="31403146"/>
    <w:rsid w:val="31A54EF5"/>
    <w:rsid w:val="31B87D9B"/>
    <w:rsid w:val="32494863"/>
    <w:rsid w:val="32B3444F"/>
    <w:rsid w:val="32BF2D77"/>
    <w:rsid w:val="33022D55"/>
    <w:rsid w:val="332F3627"/>
    <w:rsid w:val="338D313B"/>
    <w:rsid w:val="34BF0E0C"/>
    <w:rsid w:val="364721AA"/>
    <w:rsid w:val="36850080"/>
    <w:rsid w:val="3753694F"/>
    <w:rsid w:val="375F68D7"/>
    <w:rsid w:val="383B014F"/>
    <w:rsid w:val="39253208"/>
    <w:rsid w:val="3A5D1C13"/>
    <w:rsid w:val="3AEE1E1D"/>
    <w:rsid w:val="3B4007CD"/>
    <w:rsid w:val="3B4D4F66"/>
    <w:rsid w:val="3B783AC3"/>
    <w:rsid w:val="3BC44F5A"/>
    <w:rsid w:val="3C4147FD"/>
    <w:rsid w:val="3C456BAD"/>
    <w:rsid w:val="3CC9176A"/>
    <w:rsid w:val="3E014244"/>
    <w:rsid w:val="3E0F1961"/>
    <w:rsid w:val="3EFB14C4"/>
    <w:rsid w:val="3F193A6C"/>
    <w:rsid w:val="3F5860E5"/>
    <w:rsid w:val="3F966D63"/>
    <w:rsid w:val="40AB45C6"/>
    <w:rsid w:val="40AB7B12"/>
    <w:rsid w:val="40D878EC"/>
    <w:rsid w:val="41070D14"/>
    <w:rsid w:val="414473B0"/>
    <w:rsid w:val="416C231C"/>
    <w:rsid w:val="4177653C"/>
    <w:rsid w:val="41D8150D"/>
    <w:rsid w:val="420C7479"/>
    <w:rsid w:val="4242307D"/>
    <w:rsid w:val="424B0572"/>
    <w:rsid w:val="42643C06"/>
    <w:rsid w:val="4268268D"/>
    <w:rsid w:val="42E14644"/>
    <w:rsid w:val="42FD00DA"/>
    <w:rsid w:val="4347117C"/>
    <w:rsid w:val="434929F0"/>
    <w:rsid w:val="43C755E8"/>
    <w:rsid w:val="43DD4E0B"/>
    <w:rsid w:val="43DE2931"/>
    <w:rsid w:val="441775F9"/>
    <w:rsid w:val="44B82928"/>
    <w:rsid w:val="44C9538F"/>
    <w:rsid w:val="44E93C84"/>
    <w:rsid w:val="46144D30"/>
    <w:rsid w:val="46B207D1"/>
    <w:rsid w:val="47A149E5"/>
    <w:rsid w:val="484336AB"/>
    <w:rsid w:val="484A2C8B"/>
    <w:rsid w:val="484C5680"/>
    <w:rsid w:val="488F68F0"/>
    <w:rsid w:val="48D01AA7"/>
    <w:rsid w:val="48FA7BF0"/>
    <w:rsid w:val="490F3E8C"/>
    <w:rsid w:val="49A04C0B"/>
    <w:rsid w:val="4A471146"/>
    <w:rsid w:val="4AD96341"/>
    <w:rsid w:val="4B2C0B56"/>
    <w:rsid w:val="4B751DCD"/>
    <w:rsid w:val="4EE51018"/>
    <w:rsid w:val="4EFB4CDF"/>
    <w:rsid w:val="503C55AF"/>
    <w:rsid w:val="507808FC"/>
    <w:rsid w:val="50834F8C"/>
    <w:rsid w:val="511447ED"/>
    <w:rsid w:val="51E4305C"/>
    <w:rsid w:val="52A01E26"/>
    <w:rsid w:val="531B76FE"/>
    <w:rsid w:val="53446C55"/>
    <w:rsid w:val="539B4B5F"/>
    <w:rsid w:val="53E43F94"/>
    <w:rsid w:val="540A3A96"/>
    <w:rsid w:val="54232B17"/>
    <w:rsid w:val="54522561"/>
    <w:rsid w:val="55734998"/>
    <w:rsid w:val="558C043F"/>
    <w:rsid w:val="55997E7C"/>
    <w:rsid w:val="55CC2F32"/>
    <w:rsid w:val="56041DE8"/>
    <w:rsid w:val="565A22EB"/>
    <w:rsid w:val="56A91802"/>
    <w:rsid w:val="57671CF1"/>
    <w:rsid w:val="57F70580"/>
    <w:rsid w:val="591744C4"/>
    <w:rsid w:val="5A760B2C"/>
    <w:rsid w:val="5AB7324F"/>
    <w:rsid w:val="5B531D7D"/>
    <w:rsid w:val="5BB73DB5"/>
    <w:rsid w:val="5BF81E12"/>
    <w:rsid w:val="5C6206BF"/>
    <w:rsid w:val="5CC04E72"/>
    <w:rsid w:val="5CE65281"/>
    <w:rsid w:val="5D7F5C75"/>
    <w:rsid w:val="5DA4085F"/>
    <w:rsid w:val="5E145476"/>
    <w:rsid w:val="5E5F0DD7"/>
    <w:rsid w:val="5EBB1D95"/>
    <w:rsid w:val="5F1A6F9E"/>
    <w:rsid w:val="5F452001"/>
    <w:rsid w:val="5F5D6265"/>
    <w:rsid w:val="5F9433DD"/>
    <w:rsid w:val="5FB20CF5"/>
    <w:rsid w:val="5FF05E71"/>
    <w:rsid w:val="5FF774BE"/>
    <w:rsid w:val="5FFC1289"/>
    <w:rsid w:val="60472DDC"/>
    <w:rsid w:val="60863F57"/>
    <w:rsid w:val="609A237A"/>
    <w:rsid w:val="60DB671F"/>
    <w:rsid w:val="61343622"/>
    <w:rsid w:val="617701F5"/>
    <w:rsid w:val="61DE6BAB"/>
    <w:rsid w:val="61F419AE"/>
    <w:rsid w:val="624D354F"/>
    <w:rsid w:val="62B45479"/>
    <w:rsid w:val="63147CC6"/>
    <w:rsid w:val="631771E9"/>
    <w:rsid w:val="638E5CCA"/>
    <w:rsid w:val="63FE5509"/>
    <w:rsid w:val="644840CB"/>
    <w:rsid w:val="64C00105"/>
    <w:rsid w:val="6509582C"/>
    <w:rsid w:val="65194781"/>
    <w:rsid w:val="65424FBE"/>
    <w:rsid w:val="65AD121A"/>
    <w:rsid w:val="65C757C7"/>
    <w:rsid w:val="65F629E0"/>
    <w:rsid w:val="66B8294F"/>
    <w:rsid w:val="66D8501F"/>
    <w:rsid w:val="68C77CB4"/>
    <w:rsid w:val="68DE0B5A"/>
    <w:rsid w:val="69117181"/>
    <w:rsid w:val="69825B76"/>
    <w:rsid w:val="69A61A9E"/>
    <w:rsid w:val="69BD6C81"/>
    <w:rsid w:val="69F820EF"/>
    <w:rsid w:val="6A6B466F"/>
    <w:rsid w:val="6C295DE8"/>
    <w:rsid w:val="6CB66857"/>
    <w:rsid w:val="6D2D34EE"/>
    <w:rsid w:val="6D7026B9"/>
    <w:rsid w:val="6DA22398"/>
    <w:rsid w:val="6DBB590E"/>
    <w:rsid w:val="6EE025C2"/>
    <w:rsid w:val="6FB46AB9"/>
    <w:rsid w:val="6FD20CED"/>
    <w:rsid w:val="6FD902CD"/>
    <w:rsid w:val="706B0310"/>
    <w:rsid w:val="70804B10"/>
    <w:rsid w:val="715D03C3"/>
    <w:rsid w:val="71997D14"/>
    <w:rsid w:val="727E0E37"/>
    <w:rsid w:val="72800ED4"/>
    <w:rsid w:val="72AC3A77"/>
    <w:rsid w:val="72B14D59"/>
    <w:rsid w:val="731F0181"/>
    <w:rsid w:val="74842EFD"/>
    <w:rsid w:val="74DD1716"/>
    <w:rsid w:val="74EC2851"/>
    <w:rsid w:val="752E10BB"/>
    <w:rsid w:val="75381B96"/>
    <w:rsid w:val="75A44ED9"/>
    <w:rsid w:val="75AF6236"/>
    <w:rsid w:val="75DA3651"/>
    <w:rsid w:val="76212B2F"/>
    <w:rsid w:val="769D4813"/>
    <w:rsid w:val="784604CA"/>
    <w:rsid w:val="784F3822"/>
    <w:rsid w:val="78724754"/>
    <w:rsid w:val="797057FE"/>
    <w:rsid w:val="79C04885"/>
    <w:rsid w:val="79E043AE"/>
    <w:rsid w:val="7A5736F2"/>
    <w:rsid w:val="7A8760AF"/>
    <w:rsid w:val="7AD46E57"/>
    <w:rsid w:val="7B340346"/>
    <w:rsid w:val="7C75137E"/>
    <w:rsid w:val="7C98614A"/>
    <w:rsid w:val="7CA642AE"/>
    <w:rsid w:val="7D7B5762"/>
    <w:rsid w:val="7DA17541"/>
    <w:rsid w:val="7DB83C18"/>
    <w:rsid w:val="7E0B2D72"/>
    <w:rsid w:val="7E586806"/>
    <w:rsid w:val="7E5D031B"/>
    <w:rsid w:val="7E977CD1"/>
    <w:rsid w:val="7EB048EF"/>
    <w:rsid w:val="7EEE32D5"/>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spacing w:line="0" w:lineRule="atLeast"/>
      <w:jc w:val="center"/>
      <w:outlineLvl w:val="1"/>
    </w:pPr>
    <w:rPr>
      <w:kern w:val="0"/>
      <w:sz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qFormat/>
    <w:uiPriority w:val="0"/>
    <w:rPr>
      <w:rFonts w:ascii="Cambria" w:hAnsi="Cambria" w:eastAsia="黑体"/>
      <w:sz w:val="20"/>
    </w:rPr>
  </w:style>
  <w:style w:type="paragraph" w:styleId="6">
    <w:name w:val="annotation text"/>
    <w:basedOn w:val="1"/>
    <w:autoRedefine/>
    <w:qFormat/>
    <w:uiPriority w:val="0"/>
    <w:pPr>
      <w:jc w:val="left"/>
    </w:pPr>
  </w:style>
  <w:style w:type="paragraph" w:styleId="7">
    <w:name w:val="Body Text 3"/>
    <w:basedOn w:val="1"/>
    <w:autoRedefine/>
    <w:qFormat/>
    <w:uiPriority w:val="0"/>
    <w:pPr>
      <w:spacing w:after="120"/>
    </w:pPr>
    <w:rPr>
      <w:sz w:val="16"/>
      <w:szCs w:val="16"/>
    </w:rPr>
  </w:style>
  <w:style w:type="paragraph" w:styleId="8">
    <w:name w:val="Body Text"/>
    <w:basedOn w:val="1"/>
    <w:autoRedefine/>
    <w:qFormat/>
    <w:uiPriority w:val="99"/>
    <w:pPr>
      <w:spacing w:after="120"/>
    </w:pPr>
  </w:style>
  <w:style w:type="paragraph" w:styleId="9">
    <w:name w:val="Body Text Indent"/>
    <w:basedOn w:val="1"/>
    <w:next w:val="10"/>
    <w:autoRedefine/>
    <w:qFormat/>
    <w:uiPriority w:val="0"/>
    <w:pPr>
      <w:ind w:firstLine="632" w:firstLineChars="200"/>
    </w:pPr>
    <w:rPr>
      <w:rFonts w:ascii="仿宋_GB2312" w:hAnsi="华文楷体" w:eastAsia="仿宋_GB2312"/>
      <w:sz w:val="32"/>
    </w:rPr>
  </w:style>
  <w:style w:type="paragraph" w:styleId="10">
    <w:name w:val="envelope return"/>
    <w:basedOn w:val="1"/>
    <w:autoRedefine/>
    <w:qFormat/>
    <w:uiPriority w:val="99"/>
    <w:pPr>
      <w:snapToGrid w:val="0"/>
    </w:pPr>
    <w:rPr>
      <w:rFonts w:ascii="Arial" w:hAnsi="Arial"/>
    </w:rPr>
  </w:style>
  <w:style w:type="paragraph" w:styleId="11">
    <w:name w:val="Plain Text"/>
    <w:basedOn w:val="1"/>
    <w:autoRedefine/>
    <w:qFormat/>
    <w:uiPriority w:val="99"/>
    <w:rPr>
      <w:rFonts w:ascii="宋体" w:hAnsi="Courier New"/>
      <w:szCs w:val="20"/>
    </w:rPr>
  </w:style>
  <w:style w:type="paragraph" w:styleId="12">
    <w:name w:val="Date"/>
    <w:basedOn w:val="1"/>
    <w:next w:val="1"/>
    <w:link w:val="51"/>
    <w:autoRedefine/>
    <w:qFormat/>
    <w:uiPriority w:val="0"/>
    <w:pPr>
      <w:ind w:left="100" w:leftChars="2500"/>
    </w:pPr>
  </w:style>
  <w:style w:type="paragraph" w:styleId="13">
    <w:name w:val="Body Text Indent 2"/>
    <w:basedOn w:val="1"/>
    <w:autoRedefine/>
    <w:qFormat/>
    <w:uiPriority w:val="0"/>
    <w:pPr>
      <w:spacing w:after="120" w:line="480" w:lineRule="auto"/>
      <w:ind w:left="420" w:leftChars="200"/>
    </w:pPr>
  </w:style>
  <w:style w:type="paragraph" w:styleId="14">
    <w:name w:val="Balloon Text"/>
    <w:basedOn w:val="1"/>
    <w:link w:val="49"/>
    <w:autoRedefine/>
    <w:qFormat/>
    <w:uiPriority w:val="0"/>
    <w:rPr>
      <w:sz w:val="18"/>
      <w:szCs w:val="18"/>
    </w:rPr>
  </w:style>
  <w:style w:type="paragraph" w:styleId="15">
    <w:name w:val="footer"/>
    <w:basedOn w:val="1"/>
    <w:link w:val="53"/>
    <w:autoRedefine/>
    <w:qFormat/>
    <w:uiPriority w:val="99"/>
    <w:pPr>
      <w:tabs>
        <w:tab w:val="center" w:pos="4153"/>
        <w:tab w:val="right" w:pos="8306"/>
      </w:tabs>
      <w:snapToGrid w:val="0"/>
      <w:jc w:val="left"/>
    </w:pPr>
    <w:rPr>
      <w:sz w:val="18"/>
      <w:szCs w:val="18"/>
    </w:rPr>
  </w:style>
  <w:style w:type="paragraph" w:styleId="16">
    <w:name w:val="header"/>
    <w:basedOn w:val="1"/>
    <w:link w:val="48"/>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Subtitle"/>
    <w:basedOn w:val="1"/>
    <w:next w:val="1"/>
    <w:link w:val="52"/>
    <w:autoRedefine/>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9">
    <w:name w:val="footnote text"/>
    <w:basedOn w:val="1"/>
    <w:autoRedefine/>
    <w:qFormat/>
    <w:uiPriority w:val="99"/>
    <w:pPr>
      <w:snapToGrid w:val="0"/>
      <w:jc w:val="left"/>
    </w:pPr>
    <w:rPr>
      <w:sz w:val="18"/>
      <w:szCs w:val="18"/>
    </w:rPr>
  </w:style>
  <w:style w:type="paragraph" w:styleId="20">
    <w:name w:val="toc 2"/>
    <w:basedOn w:val="1"/>
    <w:next w:val="1"/>
    <w:autoRedefine/>
    <w:qFormat/>
    <w:uiPriority w:val="39"/>
    <w:pPr>
      <w:ind w:left="420" w:leftChars="200"/>
    </w:p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22">
    <w:name w:val="Title"/>
    <w:basedOn w:val="1"/>
    <w:next w:val="1"/>
    <w:link w:val="50"/>
    <w:autoRedefine/>
    <w:qFormat/>
    <w:uiPriority w:val="0"/>
    <w:pPr>
      <w:spacing w:before="240" w:after="60"/>
      <w:jc w:val="center"/>
      <w:outlineLvl w:val="0"/>
    </w:pPr>
    <w:rPr>
      <w:rFonts w:asciiTheme="majorHAnsi" w:hAnsiTheme="majorHAnsi" w:cstheme="majorBidi"/>
      <w:b/>
      <w:bCs/>
      <w:sz w:val="32"/>
      <w:szCs w:val="32"/>
    </w:rPr>
  </w:style>
  <w:style w:type="paragraph" w:styleId="23">
    <w:name w:val="Body Text First Indent"/>
    <w:basedOn w:val="8"/>
    <w:next w:val="24"/>
    <w:autoRedefine/>
    <w:qFormat/>
    <w:uiPriority w:val="0"/>
    <w:pPr>
      <w:ind w:firstLine="420" w:firstLineChars="100"/>
    </w:pPr>
  </w:style>
  <w:style w:type="paragraph" w:styleId="24">
    <w:name w:val="Body Text First Indent 2"/>
    <w:basedOn w:val="9"/>
    <w:autoRedefine/>
    <w:qFormat/>
    <w:uiPriority w:val="99"/>
    <w:pPr>
      <w:tabs>
        <w:tab w:val="left" w:pos="0"/>
        <w:tab w:val="left" w:pos="993"/>
        <w:tab w:val="left" w:pos="1134"/>
      </w:tabs>
      <w:ind w:firstLine="42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autoRedefine/>
    <w:qFormat/>
    <w:uiPriority w:val="99"/>
    <w:rPr>
      <w:color w:val="0000FF" w:themeColor="hyperlink"/>
      <w:u w:val="single"/>
      <w14:textFill>
        <w14:solidFill>
          <w14:schemeClr w14:val="hlink"/>
        </w14:solidFill>
      </w14:textFill>
    </w:rPr>
  </w:style>
  <w:style w:type="paragraph" w:customStyle="1" w:styleId="29">
    <w:name w:val="Default"/>
    <w:next w:val="19"/>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0">
    <w:name w:val="BodyText1I"/>
    <w:basedOn w:val="31"/>
    <w:autoRedefine/>
    <w:qFormat/>
    <w:uiPriority w:val="99"/>
    <w:pPr>
      <w:ind w:firstLine="420" w:firstLineChars="100"/>
    </w:pPr>
  </w:style>
  <w:style w:type="paragraph" w:customStyle="1" w:styleId="31">
    <w:name w:val="BodyText"/>
    <w:basedOn w:val="1"/>
    <w:qFormat/>
    <w:uiPriority w:val="99"/>
    <w:pPr>
      <w:spacing w:after="120"/>
    </w:pPr>
  </w:style>
  <w:style w:type="paragraph" w:customStyle="1" w:styleId="32">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3">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Body Text First Indent1"/>
    <w:basedOn w:val="8"/>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35">
    <w:name w:val="p0"/>
    <w:basedOn w:val="1"/>
    <w:autoRedefine/>
    <w:qFormat/>
    <w:uiPriority w:val="0"/>
    <w:pPr>
      <w:widowControl/>
    </w:pPr>
    <w:rPr>
      <w:rFonts w:ascii="Calibri" w:hAnsi="Calibri" w:cs="宋体"/>
      <w:kern w:val="0"/>
      <w:szCs w:val="21"/>
    </w:rPr>
  </w:style>
  <w:style w:type="paragraph" w:customStyle="1" w:styleId="36">
    <w:name w:val="D&amp;L"/>
    <w:basedOn w:val="16"/>
    <w:autoRedefine/>
    <w:qFormat/>
    <w:uiPriority w:val="0"/>
    <w:pPr>
      <w:pBdr>
        <w:bottom w:val="thinThickSmallGap" w:color="auto" w:sz="18" w:space="1"/>
      </w:pBdr>
      <w:adjustRightInd w:val="0"/>
      <w:snapToGrid/>
      <w:spacing w:line="240" w:lineRule="atLeast"/>
      <w:textAlignment w:val="baseline"/>
    </w:pPr>
    <w:rPr>
      <w:kern w:val="0"/>
      <w:sz w:val="24"/>
    </w:rPr>
  </w:style>
  <w:style w:type="paragraph" w:styleId="37">
    <w:name w:val="List Paragraph"/>
    <w:basedOn w:val="1"/>
    <w:autoRedefine/>
    <w:qFormat/>
    <w:uiPriority w:val="34"/>
    <w:pPr>
      <w:ind w:firstLine="420" w:firstLineChars="200"/>
    </w:pPr>
  </w:style>
  <w:style w:type="character" w:customStyle="1" w:styleId="38">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39">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40">
    <w:name w:val="Char Char Char Char Char Char Char1 Char"/>
    <w:basedOn w:val="1"/>
    <w:autoRedefine/>
    <w:qFormat/>
    <w:uiPriority w:val="0"/>
    <w:rPr>
      <w:rFonts w:ascii="Tahoma" w:hAnsi="Tahoma"/>
      <w:sz w:val="24"/>
      <w:szCs w:val="20"/>
    </w:rPr>
  </w:style>
  <w:style w:type="paragraph" w:customStyle="1" w:styleId="41">
    <w:name w:val="正文1"/>
    <w:basedOn w:val="1"/>
    <w:autoRedefine/>
    <w:qFormat/>
    <w:uiPriority w:val="0"/>
    <w:pPr>
      <w:widowControl/>
      <w:topLinePunct/>
      <w:spacing w:beforeLines="50" w:afterLines="50" w:line="300" w:lineRule="auto"/>
      <w:ind w:left="420"/>
    </w:pPr>
  </w:style>
  <w:style w:type="paragraph" w:customStyle="1" w:styleId="42">
    <w:name w:val="样式 标题 3 + (中文) 黑体 小四 非加粗 段前: 7.8 磅 段后: 0 磅 行距: 固定值 20 磅"/>
    <w:basedOn w:val="4"/>
    <w:autoRedefine/>
    <w:qFormat/>
    <w:uiPriority w:val="99"/>
    <w:pPr>
      <w:tabs>
        <w:tab w:val="left" w:pos="0"/>
      </w:tabs>
      <w:spacing w:before="0" w:after="0" w:line="400" w:lineRule="exact"/>
    </w:pPr>
    <w:rPr>
      <w:rFonts w:ascii="Calibri" w:hAnsi="Calibri" w:eastAsia="黑体" w:cs="宋体"/>
      <w:b w:val="0"/>
      <w:kern w:val="0"/>
      <w:sz w:val="24"/>
      <w:szCs w:val="24"/>
      <w:lang w:val="en-GB"/>
    </w:rPr>
  </w:style>
  <w:style w:type="paragraph" w:customStyle="1" w:styleId="43">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44">
    <w:name w:val="Table Text"/>
    <w:basedOn w:val="1"/>
    <w:autoRedefine/>
    <w:semiHidden/>
    <w:qFormat/>
    <w:uiPriority w:val="0"/>
    <w:rPr>
      <w:rFonts w:ascii="宋体" w:hAnsi="宋体" w:cs="宋体"/>
      <w:szCs w:val="21"/>
      <w:lang w:eastAsia="en-US"/>
    </w:rPr>
  </w:style>
  <w:style w:type="table" w:customStyle="1" w:styleId="45">
    <w:name w:val="Table Normal"/>
    <w:autoRedefine/>
    <w:unhideWhenUsed/>
    <w:qFormat/>
    <w:uiPriority w:val="0"/>
    <w:tblPr>
      <w:tblCellMar>
        <w:top w:w="0" w:type="dxa"/>
        <w:left w:w="0" w:type="dxa"/>
        <w:bottom w:w="0" w:type="dxa"/>
        <w:right w:w="0" w:type="dxa"/>
      </w:tblCellMar>
    </w:tblPr>
  </w:style>
  <w:style w:type="paragraph" w:customStyle="1" w:styleId="46">
    <w:name w:val="UserStyle_0"/>
    <w:basedOn w:val="1"/>
    <w:autoRedefine/>
    <w:qFormat/>
    <w:uiPriority w:val="0"/>
    <w:pPr>
      <w:spacing w:line="400" w:lineRule="exact"/>
      <w:textAlignment w:val="baseline"/>
    </w:pPr>
    <w:rPr>
      <w:rFonts w:ascii="宋体" w:hAnsi="宋体"/>
      <w:sz w:val="24"/>
      <w:szCs w:val="22"/>
      <w:lang w:val="zh-CN" w:bidi="zh-CN"/>
    </w:rPr>
  </w:style>
  <w:style w:type="paragraph" w:customStyle="1" w:styleId="47">
    <w:name w:val="179"/>
    <w:basedOn w:val="1"/>
    <w:qFormat/>
    <w:uiPriority w:val="0"/>
    <w:pPr>
      <w:spacing w:before="158"/>
      <w:ind w:left="311" w:hanging="602"/>
      <w:textAlignment w:val="baseline"/>
    </w:pPr>
    <w:rPr>
      <w:rFonts w:ascii="宋体" w:hAnsi="宋体"/>
      <w:sz w:val="22"/>
      <w:szCs w:val="22"/>
      <w:lang w:val="zh-CN" w:bidi="zh-CN"/>
    </w:rPr>
  </w:style>
  <w:style w:type="character" w:customStyle="1" w:styleId="48">
    <w:name w:val="页眉 Char"/>
    <w:basedOn w:val="27"/>
    <w:link w:val="16"/>
    <w:autoRedefine/>
    <w:qFormat/>
    <w:uiPriority w:val="99"/>
    <w:rPr>
      <w:kern w:val="2"/>
      <w:sz w:val="18"/>
      <w:szCs w:val="18"/>
    </w:rPr>
  </w:style>
  <w:style w:type="character" w:customStyle="1" w:styleId="49">
    <w:name w:val="批注框文本 Char"/>
    <w:basedOn w:val="27"/>
    <w:link w:val="14"/>
    <w:autoRedefine/>
    <w:qFormat/>
    <w:uiPriority w:val="0"/>
    <w:rPr>
      <w:kern w:val="2"/>
      <w:sz w:val="18"/>
      <w:szCs w:val="18"/>
    </w:rPr>
  </w:style>
  <w:style w:type="character" w:customStyle="1" w:styleId="50">
    <w:name w:val="标题 Char"/>
    <w:basedOn w:val="27"/>
    <w:link w:val="22"/>
    <w:autoRedefine/>
    <w:qFormat/>
    <w:uiPriority w:val="0"/>
    <w:rPr>
      <w:rFonts w:asciiTheme="majorHAnsi" w:hAnsiTheme="majorHAnsi" w:cstheme="majorBidi"/>
      <w:b/>
      <w:bCs/>
      <w:kern w:val="2"/>
      <w:sz w:val="32"/>
      <w:szCs w:val="32"/>
    </w:rPr>
  </w:style>
  <w:style w:type="character" w:customStyle="1" w:styleId="51">
    <w:name w:val="日期 Char"/>
    <w:basedOn w:val="27"/>
    <w:link w:val="12"/>
    <w:autoRedefine/>
    <w:qFormat/>
    <w:uiPriority w:val="0"/>
    <w:rPr>
      <w:kern w:val="2"/>
      <w:sz w:val="21"/>
      <w:szCs w:val="24"/>
    </w:rPr>
  </w:style>
  <w:style w:type="character" w:customStyle="1" w:styleId="52">
    <w:name w:val="副标题 Char"/>
    <w:basedOn w:val="27"/>
    <w:link w:val="18"/>
    <w:autoRedefine/>
    <w:qFormat/>
    <w:uiPriority w:val="0"/>
    <w:rPr>
      <w:rFonts w:asciiTheme="majorHAnsi" w:hAnsiTheme="majorHAnsi" w:cstheme="majorBidi"/>
      <w:b/>
      <w:bCs/>
      <w:kern w:val="28"/>
      <w:sz w:val="32"/>
      <w:szCs w:val="32"/>
    </w:rPr>
  </w:style>
  <w:style w:type="character" w:customStyle="1" w:styleId="53">
    <w:name w:val="页脚 Char"/>
    <w:basedOn w:val="27"/>
    <w:link w:val="15"/>
    <w:autoRedefine/>
    <w:qFormat/>
    <w:uiPriority w:val="99"/>
    <w:rPr>
      <w:kern w:val="2"/>
      <w:sz w:val="18"/>
      <w:szCs w:val="18"/>
    </w:rPr>
  </w:style>
  <w:style w:type="character" w:customStyle="1" w:styleId="54">
    <w:name w:val="标题 1 Char"/>
    <w:basedOn w:val="27"/>
    <w:link w:val="2"/>
    <w:autoRedefine/>
    <w:qFormat/>
    <w:uiPriority w:val="0"/>
    <w:rPr>
      <w:b/>
      <w:bCs/>
      <w:kern w:val="44"/>
      <w:sz w:val="44"/>
      <w:szCs w:val="44"/>
    </w:rPr>
  </w:style>
  <w:style w:type="paragraph" w:customStyle="1" w:styleId="55">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6">
    <w:name w:val="*正文-表格"/>
    <w:basedOn w:val="1"/>
    <w:autoRedefine/>
    <w:qFormat/>
    <w:uiPriority w:val="0"/>
    <w:pPr>
      <w:autoSpaceDE/>
      <w:autoSpaceDN/>
      <w:spacing w:before="60" w:after="60" w:line="360" w:lineRule="auto"/>
      <w:jc w:val="both"/>
    </w:pPr>
    <w:rPr>
      <w:rFonts w:ascii="Times New Roman" w:hAnsi="Times New Roman" w:cs="Times New Roman"/>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90CC5-57AF-43CA-9BD0-361487CE55F8}">
  <ds:schemaRefs/>
</ds:datastoreItem>
</file>

<file path=docProps/app.xml><?xml version="1.0" encoding="utf-8"?>
<Properties xmlns="http://schemas.openxmlformats.org/officeDocument/2006/extended-properties" xmlns:vt="http://schemas.openxmlformats.org/officeDocument/2006/docPropsVTypes">
  <Template>Normal</Template>
  <Pages>50</Pages>
  <Words>22099</Words>
  <Characters>23016</Characters>
  <Lines>163</Lines>
  <Paragraphs>45</Paragraphs>
  <TotalTime>53</TotalTime>
  <ScaleCrop>false</ScaleCrop>
  <LinksUpToDate>false</LinksUpToDate>
  <CharactersWithSpaces>23879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2023-10-18T03:09:00Z</dcterms:created>
  <dc:creator>Administrator</dc:creator>
  <cp:lastModifiedBy>hero</cp:lastModifiedBy>
  <dcterms:modified xsi:type="dcterms:W3CDTF">2025-12-09T02:00:56Z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172AB8712AF849B4A29C76BBAC5E6E92_13</vt:lpwstr>
  </property>
  <property fmtid="{D5CDD505-2E9C-101B-9397-08002B2CF9AE}" pid="4" name="KSOTemplateDocerSaveRecord">
    <vt:lpwstr>eyJoZGlkIjoiOWExZDI1ZTE4ZjQzMmExYmFmZDI2MWQ3MmVhMTMyYjAiLCJ1c2VySWQiOiI0NDY2MDEzNjIifQ==</vt:lpwstr>
  </property>
</Properties>
</file>