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sz w:val="20"/>
        </w:rPr>
      </w:pPr>
    </w:p>
    <w:p>
      <w:pPr>
        <w:pStyle w:val="9"/>
        <w:rPr>
          <w:sz w:val="20"/>
        </w:rPr>
      </w:pPr>
    </w:p>
    <w:p>
      <w:pPr>
        <w:pStyle w:val="9"/>
        <w:spacing w:before="4"/>
        <w:rPr>
          <w:sz w:val="21"/>
        </w:rPr>
      </w:pPr>
    </w:p>
    <w:p>
      <w:pPr>
        <w:pStyle w:val="4"/>
        <w:spacing w:line="487" w:lineRule="auto"/>
        <w:ind w:right="987"/>
        <w:rPr>
          <w:spacing w:val="-1"/>
          <w:w w:val="95"/>
        </w:rPr>
      </w:pPr>
      <w:r>
        <w:rPr>
          <w:rFonts w:hint="eastAsia"/>
          <w:spacing w:val="-1"/>
          <w:w w:val="95"/>
        </w:rPr>
        <w:t>周口市公共资源交易中心政府采购中心</w:t>
      </w:r>
    </w:p>
    <w:p>
      <w:pPr>
        <w:pStyle w:val="4"/>
        <w:spacing w:line="487" w:lineRule="auto"/>
        <w:ind w:right="987"/>
        <w:rPr>
          <w:spacing w:val="-1"/>
          <w:w w:val="95"/>
        </w:rPr>
      </w:pPr>
    </w:p>
    <w:p>
      <w:pPr>
        <w:rPr>
          <w:spacing w:val="-1"/>
          <w:w w:val="95"/>
        </w:rPr>
      </w:pPr>
    </w:p>
    <w:p>
      <w:pPr>
        <w:pStyle w:val="9"/>
      </w:pPr>
    </w:p>
    <w:p>
      <w:pPr>
        <w:pStyle w:val="4"/>
        <w:spacing w:line="487" w:lineRule="auto"/>
        <w:ind w:right="987"/>
        <w:rPr>
          <w:spacing w:val="-1"/>
          <w:w w:val="95"/>
        </w:rPr>
      </w:pPr>
    </w:p>
    <w:p>
      <w:pPr>
        <w:pStyle w:val="4"/>
        <w:spacing w:line="487" w:lineRule="auto"/>
        <w:ind w:right="987"/>
      </w:pPr>
      <w:r>
        <w:rPr>
          <w:rFonts w:hint="eastAsia"/>
        </w:rPr>
        <w:t>竞争性谈判文件</w:t>
      </w:r>
    </w:p>
    <w:p>
      <w:pPr>
        <w:pStyle w:val="9"/>
        <w:rPr>
          <w:b/>
          <w:sz w:val="44"/>
          <w:lang w:val="en-US"/>
        </w:rPr>
      </w:pPr>
    </w:p>
    <w:p>
      <w:pPr>
        <w:pStyle w:val="9"/>
        <w:rPr>
          <w:b/>
          <w:sz w:val="44"/>
        </w:rPr>
      </w:pPr>
    </w:p>
    <w:p>
      <w:pPr>
        <w:pStyle w:val="9"/>
        <w:rPr>
          <w:b/>
          <w:sz w:val="44"/>
        </w:rPr>
      </w:pPr>
    </w:p>
    <w:p>
      <w:pPr>
        <w:pStyle w:val="9"/>
        <w:rPr>
          <w:b/>
          <w:sz w:val="44"/>
        </w:rPr>
      </w:pPr>
    </w:p>
    <w:p>
      <w:pPr>
        <w:pStyle w:val="9"/>
        <w:rPr>
          <w:b/>
          <w:sz w:val="44"/>
        </w:rPr>
      </w:pPr>
    </w:p>
    <w:p>
      <w:pPr>
        <w:pStyle w:val="9"/>
        <w:rPr>
          <w:b/>
          <w:sz w:val="32"/>
          <w:szCs w:val="32"/>
        </w:rPr>
      </w:pPr>
    </w:p>
    <w:p>
      <w:pPr>
        <w:spacing w:before="1"/>
        <w:ind w:right="987"/>
        <w:rPr>
          <w:sz w:val="32"/>
          <w:szCs w:val="32"/>
          <w:shd w:val="clear" w:color="auto" w:fill="FFFFFF"/>
        </w:rPr>
      </w:pPr>
      <w:r>
        <w:rPr>
          <w:rFonts w:hint="eastAsia"/>
          <w:sz w:val="32"/>
          <w:szCs w:val="32"/>
        </w:rPr>
        <w:t>项目名称：</w:t>
      </w:r>
      <w:r>
        <w:rPr>
          <w:rFonts w:hint="eastAsia"/>
          <w:sz w:val="32"/>
          <w:szCs w:val="32"/>
          <w:shd w:val="clear" w:color="auto" w:fill="FFFFFF"/>
        </w:rPr>
        <w:t>周口市公安局科信支队图控中心升级改造项目</w:t>
      </w:r>
    </w:p>
    <w:p>
      <w:pPr>
        <w:spacing w:before="1"/>
        <w:ind w:right="987"/>
        <w:rPr>
          <w:sz w:val="32"/>
          <w:szCs w:val="32"/>
        </w:rPr>
      </w:pPr>
      <w:r>
        <w:rPr>
          <w:rFonts w:hint="eastAsia"/>
          <w:sz w:val="32"/>
          <w:szCs w:val="32"/>
        </w:rPr>
        <w:t>项目编号：周财竞谈</w:t>
      </w:r>
      <w:r>
        <w:rPr>
          <w:rFonts w:hint="eastAsia"/>
          <w:sz w:val="32"/>
          <w:szCs w:val="32"/>
          <w:lang w:val="en-US"/>
        </w:rPr>
        <w:t>-2024-152</w:t>
      </w:r>
    </w:p>
    <w:p>
      <w:pPr>
        <w:spacing w:before="1"/>
        <w:ind w:right="987"/>
        <w:rPr>
          <w:sz w:val="32"/>
          <w:szCs w:val="32"/>
        </w:rPr>
      </w:pPr>
    </w:p>
    <w:p>
      <w:pPr>
        <w:rPr>
          <w:sz w:val="32"/>
          <w:szCs w:val="32"/>
        </w:rPr>
      </w:pPr>
    </w:p>
    <w:p>
      <w:pPr>
        <w:ind w:left="592" w:right="987"/>
        <w:jc w:val="center"/>
        <w:rPr>
          <w:sz w:val="32"/>
          <w:szCs w:val="32"/>
        </w:rPr>
      </w:pPr>
      <w:r>
        <w:rPr>
          <w:rFonts w:hint="eastAsia"/>
          <w:sz w:val="32"/>
          <w:szCs w:val="32"/>
          <w:shd w:val="clear" w:color="auto" w:fill="FFFFFF"/>
        </w:rPr>
        <w:t>2024</w:t>
      </w:r>
      <w:r>
        <w:rPr>
          <w:rFonts w:hint="eastAsia"/>
          <w:sz w:val="32"/>
          <w:szCs w:val="32"/>
        </w:rPr>
        <w:t>年05月16日</w:t>
      </w:r>
    </w:p>
    <w:p>
      <w:pPr>
        <w:jc w:val="center"/>
        <w:sectPr>
          <w:footerReference r:id="rId3" w:type="default"/>
          <w:type w:val="continuous"/>
          <w:pgSz w:w="11850" w:h="16790"/>
          <w:pgMar w:top="1600" w:right="1180" w:bottom="920" w:left="1580" w:header="720" w:footer="721" w:gutter="0"/>
          <w:pgNumType w:start="1"/>
          <w:cols w:space="720" w:num="1"/>
        </w:sectPr>
      </w:pPr>
    </w:p>
    <w:p>
      <w:pPr>
        <w:pStyle w:val="5"/>
        <w:tabs>
          <w:tab w:val="left" w:pos="965"/>
        </w:tabs>
        <w:spacing w:before="39"/>
        <w:ind w:right="395"/>
      </w:pPr>
      <w:r>
        <w:rPr>
          <w:rFonts w:hint="eastAsia"/>
        </w:rPr>
        <w:t>目</w:t>
      </w:r>
      <w:r>
        <w:rPr>
          <w:rFonts w:hint="eastAsia"/>
        </w:rPr>
        <w:tab/>
      </w:r>
      <w:r>
        <w:rPr>
          <w:rFonts w:hint="eastAsia"/>
        </w:rPr>
        <w:t>录</w:t>
      </w:r>
    </w:p>
    <w:p>
      <w:pPr>
        <w:pStyle w:val="12"/>
        <w:tabs>
          <w:tab w:val="left" w:pos="1619"/>
          <w:tab w:val="right" w:leader="dot" w:pos="8851"/>
        </w:tabs>
        <w:spacing w:before="419"/>
      </w:pPr>
      <w:r>
        <w:fldChar w:fldCharType="begin"/>
      </w:r>
      <w:r>
        <w:instrText xml:space="preserve">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fldChar w:fldCharType="end"/>
      </w:r>
    </w:p>
    <w:p>
      <w:pPr>
        <w:pStyle w:val="12"/>
        <w:tabs>
          <w:tab w:val="left" w:pos="1619"/>
          <w:tab w:val="right" w:leader="dot" w:pos="8851"/>
        </w:tabs>
      </w:pPr>
      <w:r>
        <w:fldChar w:fldCharType="begin"/>
      </w:r>
      <w:r>
        <w:instrText xml:space="preserve">HYPERLINK  \l "_bookmark1" </w:instrText>
      </w:r>
      <w:r>
        <w:fldChar w:fldCharType="separate"/>
      </w:r>
      <w:r>
        <w:rPr>
          <w:rFonts w:hint="eastAsia"/>
        </w:rPr>
        <w:t>第二部分</w:t>
      </w:r>
      <w:r>
        <w:rPr>
          <w:rFonts w:hint="eastAsia"/>
        </w:rPr>
        <w:tab/>
      </w:r>
      <w:r>
        <w:rPr>
          <w:rFonts w:hint="eastAsia"/>
        </w:rPr>
        <w:t>谈</w:t>
      </w:r>
      <w:r>
        <w:rPr>
          <w:rFonts w:hint="eastAsia"/>
          <w:spacing w:val="-3"/>
        </w:rPr>
        <w:t>判供</w:t>
      </w:r>
      <w:r>
        <w:rPr>
          <w:rFonts w:hint="eastAsia"/>
        </w:rPr>
        <w:t>应商须知</w:t>
      </w:r>
      <w:r>
        <w:rPr>
          <w:rFonts w:hint="eastAsia"/>
        </w:rPr>
        <w:tab/>
      </w:r>
      <w:r>
        <w:fldChar w:fldCharType="end"/>
      </w:r>
      <w:r>
        <w:rPr>
          <w:rFonts w:hint="eastAsia"/>
        </w:rPr>
        <w:t>6</w:t>
      </w:r>
    </w:p>
    <w:p>
      <w:pPr>
        <w:pStyle w:val="12"/>
        <w:tabs>
          <w:tab w:val="left" w:pos="1619"/>
          <w:tab w:val="right" w:leader="dot" w:pos="8851"/>
        </w:tabs>
        <w:rPr>
          <w:lang w:val="en-US"/>
        </w:rPr>
      </w:pPr>
      <w:r>
        <w:fldChar w:fldCharType="begin"/>
      </w:r>
      <w:r>
        <w:instrText xml:space="preserve">HYPERLINK  \l "_bookmark2" </w:instrText>
      </w:r>
      <w:r>
        <w:fldChar w:fldCharType="separate"/>
      </w:r>
      <w:r>
        <w:rPr>
          <w:rFonts w:hint="eastAsia"/>
        </w:rPr>
        <w:t>第三部分</w:t>
      </w:r>
      <w:r>
        <w:rPr>
          <w:rFonts w:hint="eastAsia"/>
        </w:rPr>
        <w:tab/>
      </w:r>
      <w:r>
        <w:rPr>
          <w:rFonts w:hint="eastAsia"/>
        </w:rPr>
        <w:t>谈</w:t>
      </w:r>
      <w:r>
        <w:rPr>
          <w:rFonts w:hint="eastAsia"/>
          <w:spacing w:val="-3"/>
        </w:rPr>
        <w:t>判项</w:t>
      </w:r>
      <w:r>
        <w:rPr>
          <w:rFonts w:hint="eastAsia"/>
        </w:rPr>
        <w:t>目要求</w:t>
      </w:r>
      <w:r>
        <w:rPr>
          <w:rFonts w:hint="eastAsia"/>
        </w:rPr>
        <w:tab/>
      </w:r>
      <w:r>
        <w:fldChar w:fldCharType="end"/>
      </w:r>
      <w:r>
        <w:rPr>
          <w:rFonts w:hint="eastAsia"/>
        </w:rPr>
        <w:t>18</w:t>
      </w:r>
    </w:p>
    <w:p>
      <w:pPr>
        <w:pStyle w:val="12"/>
        <w:tabs>
          <w:tab w:val="left" w:pos="1619"/>
          <w:tab w:val="right" w:leader="dot" w:pos="8851"/>
        </w:tabs>
        <w:rPr>
          <w:lang w:val="en-US"/>
        </w:rPr>
      </w:pPr>
      <w:r>
        <w:fldChar w:fldCharType="begin"/>
      </w:r>
      <w:r>
        <w:instrText xml:space="preserve">HYPERLINK  \l "_bookmark3" </w:instrText>
      </w:r>
      <w:r>
        <w:fldChar w:fldCharType="separate"/>
      </w:r>
      <w:r>
        <w:rPr>
          <w:rFonts w:hint="eastAsia"/>
        </w:rPr>
        <w:t>第四部分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fldChar w:fldCharType="end"/>
      </w:r>
      <w:r>
        <w:rPr>
          <w:rFonts w:hint="eastAsia"/>
        </w:rPr>
        <w:t>19</w:t>
      </w:r>
    </w:p>
    <w:p>
      <w:pPr>
        <w:pStyle w:val="12"/>
        <w:tabs>
          <w:tab w:val="left" w:pos="1619"/>
          <w:tab w:val="right" w:leader="dot" w:pos="8852"/>
        </w:tabs>
        <w:rPr>
          <w:lang w:val="en-US"/>
        </w:rPr>
      </w:pPr>
      <w:r>
        <w:fldChar w:fldCharType="begin"/>
      </w:r>
      <w:r>
        <w:instrText xml:space="preserve">HYPERLINK  \l "_bookmark4" </w:instrText>
      </w:r>
      <w:r>
        <w:fldChar w:fldCharType="separate"/>
      </w:r>
      <w:r>
        <w:rPr>
          <w:rFonts w:hint="eastAsia"/>
        </w:rPr>
        <w:t>第五部分</w:t>
      </w:r>
      <w:r>
        <w:rPr>
          <w:rFonts w:hint="eastAsia"/>
        </w:rPr>
        <w:tab/>
      </w:r>
      <w:r>
        <w:rPr>
          <w:rFonts w:hint="eastAsia"/>
        </w:rPr>
        <w:t>谈</w:t>
      </w:r>
      <w:r>
        <w:rPr>
          <w:rFonts w:hint="eastAsia"/>
          <w:spacing w:val="-3"/>
        </w:rPr>
        <w:t>判响</w:t>
      </w:r>
      <w:r>
        <w:rPr>
          <w:rFonts w:hint="eastAsia"/>
        </w:rPr>
        <w:t>应文件</w:t>
      </w:r>
      <w:r>
        <w:rPr>
          <w:rFonts w:hint="eastAsia"/>
          <w:spacing w:val="-3"/>
        </w:rPr>
        <w:t>格</w:t>
      </w:r>
      <w:r>
        <w:rPr>
          <w:rFonts w:hint="eastAsia"/>
        </w:rPr>
        <w:t>式</w:t>
      </w:r>
      <w:r>
        <w:fldChar w:fldCharType="end"/>
      </w:r>
      <w:r>
        <w:rPr>
          <w:rFonts w:hint="eastAsia"/>
        </w:rPr>
        <w:tab/>
      </w:r>
      <w:r>
        <w:rPr>
          <w:rFonts w:hint="eastAsia"/>
        </w:rPr>
        <w:t>25</w:t>
      </w:r>
    </w:p>
    <w:p>
      <w:pPr>
        <w:pStyle w:val="12"/>
        <w:tabs>
          <w:tab w:val="left" w:pos="1619"/>
          <w:tab w:val="right" w:leader="dot" w:pos="8851"/>
        </w:tabs>
        <w:rPr>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spacing w:val="0"/>
          <w:w w:val="75"/>
          <w:kern w:val="0"/>
          <w:fitText w:val="840" w:id="621809703"/>
        </w:rPr>
        <w:t>…………</w:t>
      </w:r>
      <w:r>
        <w:rPr>
          <w:rFonts w:hint="eastAsia"/>
          <w:lang w:val="en-US"/>
        </w:rPr>
        <w:t xml:space="preserve"> 39</w:t>
      </w:r>
    </w:p>
    <w:p/>
    <w:p>
      <w:pPr>
        <w:pStyle w:val="12"/>
        <w:tabs>
          <w:tab w:val="left" w:pos="1619"/>
          <w:tab w:val="right" w:leader="dot" w:pos="8852"/>
        </w:tabs>
      </w:pPr>
    </w:p>
    <w:p/>
    <w:p>
      <w:pPr>
        <w:pStyle w:val="25"/>
        <w:ind w:left="440" w:firstLine="482"/>
        <w:rPr>
          <w:rFonts w:ascii="宋体" w:hAnsi="宋体"/>
          <w:b/>
          <w:bCs/>
          <w:sz w:val="24"/>
          <w:szCs w:val="24"/>
        </w:rPr>
      </w:pPr>
    </w:p>
    <w:p>
      <w:pPr>
        <w:pStyle w:val="25"/>
        <w:ind w:left="440" w:firstLine="482"/>
        <w:rPr>
          <w:rFonts w:ascii="宋体" w:hAnsi="宋体"/>
          <w:b/>
          <w:bCs/>
          <w:sz w:val="24"/>
          <w:szCs w:val="24"/>
        </w:rPr>
      </w:pPr>
    </w:p>
    <w:p>
      <w:pPr>
        <w:pStyle w:val="25"/>
        <w:ind w:left="440" w:firstLine="560"/>
        <w:sectPr>
          <w:pgSz w:w="11850" w:h="16790"/>
          <w:pgMar w:top="1400" w:right="1180" w:bottom="920" w:left="1580" w:header="0" w:footer="721" w:gutter="0"/>
          <w:cols w:space="720" w:num="1"/>
        </w:sectPr>
      </w:pPr>
    </w:p>
    <w:p>
      <w:pPr>
        <w:pStyle w:val="5"/>
        <w:numPr>
          <w:ilvl w:val="0"/>
          <w:numId w:val="1"/>
        </w:numPr>
        <w:tabs>
          <w:tab w:val="left" w:pos="1607"/>
        </w:tabs>
        <w:spacing w:before="100"/>
        <w:rPr>
          <w:sz w:val="36"/>
        </w:rPr>
      </w:pPr>
      <w:bookmarkStart w:id="0" w:name="第一部分__谈判采购邀请函"/>
      <w:bookmarkEnd w:id="0"/>
      <w:bookmarkStart w:id="1" w:name="_bookmark0"/>
      <w:bookmarkEnd w:id="1"/>
      <w:r>
        <w:rPr>
          <w:rFonts w:hint="eastAsia"/>
          <w:sz w:val="36"/>
        </w:rPr>
        <w:t>谈判采购邀请函</w:t>
      </w:r>
    </w:p>
    <w:p>
      <w:pPr>
        <w:pStyle w:val="4"/>
        <w:tabs>
          <w:tab w:val="left" w:pos="0"/>
        </w:tabs>
        <w:adjustRightInd w:val="0"/>
        <w:spacing w:before="0" w:line="360" w:lineRule="auto"/>
        <w:rPr>
          <w:sz w:val="32"/>
        </w:rPr>
      </w:pPr>
      <w:bookmarkStart w:id="2" w:name="_Toc35393797"/>
      <w:bookmarkStart w:id="3" w:name="_Toc28359011"/>
      <w:bookmarkStart w:id="4" w:name="OLE_LINK1"/>
      <w:bookmarkStart w:id="5" w:name="OLE_LINK2"/>
      <w:r>
        <w:rPr>
          <w:rFonts w:hint="eastAsia"/>
          <w:sz w:val="32"/>
        </w:rPr>
        <w:t>周口市公安局科信支队图控中心升级改造项目</w:t>
      </w:r>
    </w:p>
    <w:p>
      <w:pPr>
        <w:pStyle w:val="4"/>
        <w:tabs>
          <w:tab w:val="left" w:pos="0"/>
        </w:tabs>
        <w:adjustRightInd w:val="0"/>
        <w:spacing w:before="0" w:line="360" w:lineRule="auto"/>
        <w:rPr>
          <w:sz w:val="32"/>
        </w:rPr>
      </w:pPr>
      <w:r>
        <w:rPr>
          <w:rFonts w:hint="eastAsia"/>
          <w:sz w:val="32"/>
        </w:rPr>
        <w:t>竞争性谈判公告</w:t>
      </w:r>
      <w:bookmarkEnd w:id="2"/>
      <w:bookmarkEnd w:id="3"/>
      <w:bookmarkEnd w:id="4"/>
      <w:bookmarkEnd w:id="5"/>
    </w:p>
    <w:p>
      <w:pPr>
        <w:pStyle w:val="31"/>
      </w:pPr>
    </w:p>
    <w:p>
      <w:pPr>
        <w:spacing w:line="360" w:lineRule="auto"/>
        <w:ind w:firstLine="480" w:firstLineChars="200"/>
        <w:rPr>
          <w:sz w:val="24"/>
          <w:szCs w:val="24"/>
          <w:lang w:val="en-US"/>
        </w:rPr>
      </w:pPr>
      <w:r>
        <w:rPr>
          <w:rFonts w:hint="eastAsia"/>
          <w:sz w:val="24"/>
          <w:szCs w:val="24"/>
          <w:lang w:val="en-US"/>
        </w:rPr>
        <w:t>项目概况</w:t>
      </w:r>
    </w:p>
    <w:p>
      <w:pPr>
        <w:spacing w:line="500" w:lineRule="exact"/>
        <w:ind w:firstLine="480" w:firstLineChars="200"/>
        <w:rPr>
          <w:rFonts w:cs="Times New Roman"/>
          <w:sz w:val="24"/>
          <w:szCs w:val="24"/>
        </w:rPr>
      </w:pPr>
      <w:bookmarkStart w:id="6" w:name="_Toc35393798"/>
      <w:bookmarkStart w:id="7" w:name="_Toc35393629"/>
      <w:bookmarkStart w:id="8" w:name="_Toc28359012"/>
      <w:bookmarkStart w:id="9" w:name="_Toc28359089"/>
      <w:r>
        <w:rPr>
          <w:rFonts w:hint="eastAsia"/>
          <w:color w:val="000000"/>
          <w:sz w:val="24"/>
          <w:szCs w:val="24"/>
        </w:rPr>
        <w:t>周口市公安局科信支队图控中心升级改造项目</w:t>
      </w:r>
      <w:r>
        <w:rPr>
          <w:color w:val="000000"/>
          <w:sz w:val="24"/>
          <w:szCs w:val="24"/>
        </w:rPr>
        <w:t>的潜在供应商应在周口市公共资源交易中心网获取</w:t>
      </w:r>
      <w:r>
        <w:rPr>
          <w:rFonts w:hint="eastAsia"/>
          <w:color w:val="000000"/>
          <w:sz w:val="24"/>
          <w:szCs w:val="24"/>
        </w:rPr>
        <w:t>竞争性谈判</w:t>
      </w:r>
      <w:r>
        <w:rPr>
          <w:color w:val="000000"/>
          <w:sz w:val="24"/>
          <w:szCs w:val="24"/>
        </w:rPr>
        <w:t>文件，</w:t>
      </w:r>
      <w:r>
        <w:rPr>
          <w:rFonts w:hint="eastAsia"/>
          <w:color w:val="000000"/>
          <w:sz w:val="24"/>
          <w:szCs w:val="24"/>
        </w:rPr>
        <w:t>并于2024年05月</w:t>
      </w:r>
      <w:r>
        <w:rPr>
          <w:rFonts w:hint="eastAsia"/>
          <w:color w:val="000000"/>
          <w:sz w:val="24"/>
          <w:szCs w:val="24"/>
          <w:lang w:val="en-US" w:eastAsia="zh-CN"/>
        </w:rPr>
        <w:t>23</w:t>
      </w:r>
      <w:r>
        <w:rPr>
          <w:rFonts w:hint="eastAsia"/>
          <w:color w:val="000000"/>
          <w:sz w:val="24"/>
          <w:szCs w:val="24"/>
        </w:rPr>
        <w:t>日10点00分（</w:t>
      </w:r>
      <w:r>
        <w:rPr>
          <w:sz w:val="24"/>
          <w:szCs w:val="24"/>
        </w:rPr>
        <w:t>北京时间）前提交响应文件。</w:t>
      </w:r>
    </w:p>
    <w:p>
      <w:pPr>
        <w:pStyle w:val="5"/>
        <w:spacing w:line="360" w:lineRule="auto"/>
        <w:jc w:val="left"/>
        <w:rPr>
          <w:b w:val="0"/>
          <w:sz w:val="24"/>
          <w:szCs w:val="24"/>
        </w:rPr>
      </w:pPr>
      <w:r>
        <w:rPr>
          <w:rFonts w:hint="eastAsia"/>
          <w:b w:val="0"/>
          <w:sz w:val="24"/>
          <w:szCs w:val="24"/>
        </w:rPr>
        <w:t>一、项目基本情况</w:t>
      </w:r>
      <w:bookmarkEnd w:id="6"/>
      <w:bookmarkEnd w:id="7"/>
      <w:bookmarkEnd w:id="8"/>
      <w:bookmarkEnd w:id="9"/>
    </w:p>
    <w:p>
      <w:pPr>
        <w:spacing w:before="1"/>
        <w:ind w:right="987"/>
        <w:rPr>
          <w:sz w:val="32"/>
          <w:szCs w:val="32"/>
        </w:rPr>
      </w:pPr>
      <w:r>
        <w:rPr>
          <w:rFonts w:hint="eastAsia"/>
          <w:sz w:val="24"/>
          <w:szCs w:val="24"/>
          <w:lang w:val="en-US"/>
        </w:rPr>
        <w:t xml:space="preserve">    </w:t>
      </w:r>
      <w:r>
        <w:rPr>
          <w:rFonts w:hint="eastAsia"/>
          <w:sz w:val="24"/>
          <w:szCs w:val="24"/>
        </w:rPr>
        <w:t>项目编号：周财竞谈</w:t>
      </w:r>
      <w:r>
        <w:rPr>
          <w:rFonts w:hint="eastAsia"/>
          <w:sz w:val="24"/>
          <w:szCs w:val="24"/>
          <w:lang w:val="en-US"/>
        </w:rPr>
        <w:t>-2024-152</w:t>
      </w:r>
    </w:p>
    <w:p>
      <w:pPr>
        <w:spacing w:line="360" w:lineRule="auto"/>
        <w:ind w:firstLine="480" w:firstLineChars="200"/>
        <w:rPr>
          <w:sz w:val="24"/>
          <w:szCs w:val="24"/>
          <w:u w:val="single"/>
        </w:rPr>
      </w:pPr>
      <w:r>
        <w:rPr>
          <w:rFonts w:hint="eastAsia"/>
          <w:sz w:val="24"/>
          <w:szCs w:val="24"/>
        </w:rPr>
        <w:t>项目名称：周口市公安局科信支队图控中心升级改造项目</w:t>
      </w:r>
    </w:p>
    <w:p>
      <w:pPr>
        <w:spacing w:line="360" w:lineRule="auto"/>
        <w:ind w:firstLine="480" w:firstLineChars="200"/>
        <w:rPr>
          <w:sz w:val="24"/>
          <w:szCs w:val="24"/>
        </w:rPr>
      </w:pPr>
      <w:r>
        <w:rPr>
          <w:rFonts w:hint="eastAsia"/>
          <w:sz w:val="24"/>
          <w:szCs w:val="24"/>
        </w:rPr>
        <w:t>采购方式：竞争性谈判</w:t>
      </w:r>
    </w:p>
    <w:p>
      <w:pPr>
        <w:spacing w:line="360" w:lineRule="auto"/>
        <w:ind w:firstLine="480" w:firstLineChars="200"/>
        <w:rPr>
          <w:sz w:val="24"/>
          <w:szCs w:val="24"/>
        </w:rPr>
      </w:pPr>
      <w:r>
        <w:rPr>
          <w:rFonts w:hint="eastAsia"/>
          <w:sz w:val="24"/>
          <w:szCs w:val="24"/>
        </w:rPr>
        <w:t>预算金额：77.689445万元</w:t>
      </w:r>
    </w:p>
    <w:p>
      <w:pPr>
        <w:spacing w:line="360" w:lineRule="auto"/>
        <w:ind w:firstLine="480" w:firstLineChars="200"/>
        <w:rPr>
          <w:sz w:val="24"/>
          <w:szCs w:val="24"/>
        </w:rPr>
      </w:pPr>
      <w:r>
        <w:rPr>
          <w:rFonts w:hint="eastAsia"/>
          <w:sz w:val="24"/>
          <w:szCs w:val="24"/>
        </w:rPr>
        <w:t>最高限价：77.689</w:t>
      </w:r>
      <w:r>
        <w:rPr>
          <w:rFonts w:hint="eastAsia"/>
          <w:color w:val="000000"/>
          <w:sz w:val="24"/>
          <w:szCs w:val="24"/>
        </w:rPr>
        <w:t>445万元</w:t>
      </w:r>
    </w:p>
    <w:p>
      <w:pPr>
        <w:pStyle w:val="30"/>
        <w:snapToGrid w:val="0"/>
        <w:spacing w:before="0" w:beforeAutospacing="0" w:after="0" w:afterAutospacing="0" w:line="360" w:lineRule="auto"/>
        <w:ind w:firstLine="480"/>
        <w:jc w:val="both"/>
        <w:rPr>
          <w:color w:val="000000"/>
        </w:rPr>
      </w:pPr>
      <w:r>
        <w:rPr>
          <w:rFonts w:hint="eastAsia"/>
          <w:color w:val="000000"/>
        </w:rPr>
        <w:t>包划分：1个包</w:t>
      </w:r>
    </w:p>
    <w:tbl>
      <w:tblPr>
        <w:tblStyle w:val="15"/>
        <w:tblW w:w="81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4252"/>
        <w:gridCol w:w="2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526" w:type="dxa"/>
            <w:vAlign w:val="center"/>
          </w:tcPr>
          <w:p>
            <w:pPr>
              <w:pStyle w:val="30"/>
              <w:shd w:val="clear" w:color="auto" w:fill="FFFFFF"/>
              <w:adjustRightInd w:val="0"/>
              <w:snapToGrid w:val="0"/>
              <w:spacing w:before="0" w:beforeAutospacing="0" w:after="0" w:afterAutospacing="0" w:line="360" w:lineRule="auto"/>
              <w:jc w:val="center"/>
            </w:pPr>
            <w:r>
              <w:rPr>
                <w:rFonts w:hint="eastAsia"/>
                <w:kern w:val="2"/>
              </w:rPr>
              <w:t>包号</w:t>
            </w:r>
          </w:p>
        </w:tc>
        <w:tc>
          <w:tcPr>
            <w:tcW w:w="4252" w:type="dxa"/>
            <w:vAlign w:val="center"/>
          </w:tcPr>
          <w:p>
            <w:pPr>
              <w:pStyle w:val="30"/>
              <w:shd w:val="clear" w:color="auto" w:fill="FFFFFF"/>
              <w:adjustRightInd w:val="0"/>
              <w:snapToGrid w:val="0"/>
              <w:spacing w:before="0" w:beforeAutospacing="0" w:after="0" w:afterAutospacing="0" w:line="360" w:lineRule="auto"/>
              <w:jc w:val="center"/>
            </w:pPr>
            <w:r>
              <w:rPr>
                <w:rFonts w:hint="eastAsia"/>
                <w:kern w:val="2"/>
              </w:rPr>
              <w:t>包名称</w:t>
            </w:r>
          </w:p>
        </w:tc>
        <w:tc>
          <w:tcPr>
            <w:tcW w:w="2353" w:type="dxa"/>
            <w:vAlign w:val="center"/>
          </w:tcPr>
          <w:p>
            <w:pPr>
              <w:pStyle w:val="30"/>
              <w:shd w:val="clear" w:color="auto" w:fill="FFFFFF"/>
              <w:adjustRightInd w:val="0"/>
              <w:snapToGrid w:val="0"/>
              <w:spacing w:before="0" w:beforeAutospacing="0" w:after="0" w:afterAutospacing="0" w:line="360" w:lineRule="auto"/>
              <w:jc w:val="center"/>
            </w:pPr>
            <w:r>
              <w:rPr>
                <w:rFonts w:hint="eastAsia"/>
                <w:kern w:val="2"/>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526" w:type="dxa"/>
            <w:vAlign w:val="center"/>
          </w:tcPr>
          <w:p>
            <w:pPr>
              <w:pStyle w:val="30"/>
              <w:shd w:val="clear" w:color="auto" w:fill="FFFFFF"/>
              <w:adjustRightInd w:val="0"/>
              <w:snapToGrid w:val="0"/>
              <w:spacing w:before="0" w:beforeAutospacing="0" w:after="0" w:afterAutospacing="0" w:line="360" w:lineRule="auto"/>
              <w:jc w:val="center"/>
            </w:pPr>
            <w:r>
              <w:rPr>
                <w:rFonts w:hint="eastAsia"/>
                <w:kern w:val="2"/>
              </w:rPr>
              <w:t>1</w:t>
            </w:r>
          </w:p>
        </w:tc>
        <w:tc>
          <w:tcPr>
            <w:tcW w:w="4252" w:type="dxa"/>
            <w:vAlign w:val="center"/>
          </w:tcPr>
          <w:p>
            <w:pPr>
              <w:adjustRightInd w:val="0"/>
              <w:snapToGrid w:val="0"/>
              <w:spacing w:line="360" w:lineRule="auto"/>
              <w:jc w:val="both"/>
            </w:pPr>
            <w:r>
              <w:rPr>
                <w:rFonts w:hint="eastAsia"/>
                <w:color w:val="000000"/>
                <w:sz w:val="24"/>
                <w:szCs w:val="24"/>
              </w:rPr>
              <w:t>周口市公安局科信支队图控中心升级改造项目</w:t>
            </w:r>
          </w:p>
        </w:tc>
        <w:tc>
          <w:tcPr>
            <w:tcW w:w="2353" w:type="dxa"/>
            <w:vAlign w:val="center"/>
          </w:tcPr>
          <w:p>
            <w:pPr>
              <w:adjustRightInd w:val="0"/>
              <w:snapToGrid w:val="0"/>
              <w:spacing w:line="360" w:lineRule="auto"/>
              <w:jc w:val="both"/>
            </w:pPr>
            <w:r>
              <w:rPr>
                <w:rFonts w:hint="eastAsia"/>
                <w:color w:val="000000"/>
                <w:sz w:val="24"/>
                <w:szCs w:val="24"/>
              </w:rPr>
              <w:t>77.689445</w:t>
            </w:r>
          </w:p>
        </w:tc>
      </w:tr>
    </w:tbl>
    <w:p>
      <w:pPr>
        <w:spacing w:line="360" w:lineRule="auto"/>
        <w:ind w:firstLine="480" w:firstLineChars="200"/>
        <w:rPr>
          <w:sz w:val="24"/>
          <w:szCs w:val="24"/>
        </w:rPr>
      </w:pPr>
      <w:r>
        <w:rPr>
          <w:rFonts w:hint="eastAsia"/>
          <w:sz w:val="24"/>
          <w:szCs w:val="24"/>
        </w:rPr>
        <w:t>采购需求：（包括但不限于标的的名称、数量、简要技术需求或服务要求等）</w:t>
      </w:r>
    </w:p>
    <w:p>
      <w:pPr>
        <w:spacing w:line="500" w:lineRule="exact"/>
        <w:ind w:firstLine="480"/>
        <w:rPr>
          <w:rFonts w:cs="Times New Roman"/>
          <w:sz w:val="24"/>
          <w:szCs w:val="24"/>
        </w:rPr>
      </w:pPr>
      <w:r>
        <w:rPr>
          <w:rFonts w:hint="eastAsia"/>
          <w:sz w:val="24"/>
          <w:szCs w:val="24"/>
        </w:rPr>
        <w:t>合同履行期限：合同签订后</w:t>
      </w:r>
      <w:r>
        <w:rPr>
          <w:rFonts w:hint="eastAsia"/>
          <w:sz w:val="24"/>
          <w:szCs w:val="24"/>
          <w:u w:val="single"/>
        </w:rPr>
        <w:t xml:space="preserve"> 7 </w:t>
      </w:r>
      <w:r>
        <w:rPr>
          <w:rFonts w:hint="eastAsia"/>
          <w:sz w:val="24"/>
          <w:szCs w:val="24"/>
        </w:rPr>
        <w:t>日历天</w:t>
      </w:r>
    </w:p>
    <w:p>
      <w:pPr>
        <w:spacing w:line="360" w:lineRule="auto"/>
        <w:ind w:firstLine="480" w:firstLineChars="200"/>
        <w:rPr>
          <w:color w:val="000000"/>
          <w:sz w:val="24"/>
          <w:szCs w:val="24"/>
          <w:lang w:val="en-US"/>
        </w:rPr>
      </w:pPr>
      <w:bookmarkStart w:id="10" w:name="_Toc28359013"/>
      <w:bookmarkStart w:id="11" w:name="_Toc35393799"/>
      <w:bookmarkStart w:id="12" w:name="_Toc28359090"/>
      <w:bookmarkStart w:id="13" w:name="_Toc35393630"/>
      <w:r>
        <w:rPr>
          <w:rFonts w:hint="eastAsia"/>
          <w:color w:val="000000"/>
          <w:sz w:val="24"/>
          <w:szCs w:val="24"/>
        </w:rPr>
        <w:t>是否接受进口产品：否</w:t>
      </w:r>
    </w:p>
    <w:p>
      <w:pPr>
        <w:spacing w:line="360" w:lineRule="auto"/>
        <w:ind w:firstLine="480" w:firstLineChars="200"/>
        <w:rPr>
          <w:color w:val="000000"/>
          <w:sz w:val="24"/>
          <w:szCs w:val="24"/>
        </w:rPr>
      </w:pPr>
      <w:r>
        <w:rPr>
          <w:rFonts w:hint="eastAsia"/>
          <w:color w:val="000000"/>
          <w:sz w:val="24"/>
          <w:szCs w:val="24"/>
        </w:rPr>
        <w:t>本项目是否接受联合体投标：否</w:t>
      </w:r>
    </w:p>
    <w:p>
      <w:pPr>
        <w:spacing w:line="360" w:lineRule="auto"/>
        <w:ind w:firstLine="480" w:firstLineChars="200"/>
        <w:rPr>
          <w:color w:val="000000"/>
          <w:sz w:val="24"/>
          <w:szCs w:val="24"/>
          <w:lang w:val="en-US"/>
        </w:rPr>
      </w:pPr>
      <w:r>
        <w:rPr>
          <w:rFonts w:hint="eastAsia"/>
          <w:color w:val="000000"/>
          <w:sz w:val="24"/>
          <w:szCs w:val="24"/>
        </w:rPr>
        <w:t>本项目</w:t>
      </w:r>
      <w:r>
        <w:rPr>
          <w:rFonts w:hint="eastAsia"/>
          <w:color w:val="000000"/>
          <w:sz w:val="24"/>
          <w:szCs w:val="24"/>
          <w:lang w:val="en-US"/>
        </w:rPr>
        <w:t>是否为只面向中小企业采购：</w:t>
      </w:r>
      <w:r>
        <w:rPr>
          <w:rFonts w:hint="eastAsia"/>
          <w:color w:val="000000"/>
          <w:sz w:val="24"/>
          <w:szCs w:val="24"/>
        </w:rPr>
        <w:t>否</w:t>
      </w:r>
    </w:p>
    <w:p>
      <w:pPr>
        <w:pStyle w:val="5"/>
        <w:spacing w:line="360" w:lineRule="auto"/>
        <w:jc w:val="left"/>
        <w:rPr>
          <w:b w:val="0"/>
          <w:sz w:val="24"/>
          <w:szCs w:val="24"/>
        </w:rPr>
      </w:pPr>
      <w:r>
        <w:rPr>
          <w:rFonts w:hint="eastAsia"/>
          <w:b w:val="0"/>
          <w:sz w:val="24"/>
          <w:szCs w:val="24"/>
        </w:rPr>
        <w:t>二、申请人的资格要求：</w:t>
      </w:r>
      <w:bookmarkEnd w:id="10"/>
      <w:bookmarkEnd w:id="11"/>
      <w:bookmarkEnd w:id="12"/>
      <w:bookmarkEnd w:id="13"/>
    </w:p>
    <w:p>
      <w:pPr>
        <w:adjustRightInd w:val="0"/>
        <w:snapToGrid w:val="0"/>
        <w:spacing w:line="360" w:lineRule="auto"/>
        <w:ind w:firstLine="480" w:firstLineChars="200"/>
        <w:rPr>
          <w:sz w:val="24"/>
        </w:rPr>
      </w:pPr>
      <w:r>
        <w:rPr>
          <w:rFonts w:hint="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pPr>
      <w:r>
        <w:rPr>
          <w:rFonts w:hint="eastAsia"/>
          <w:sz w:val="24"/>
        </w:rPr>
        <w:t xml:space="preserve">（6）法律、行政法规规定的其他条件。 </w:t>
      </w:r>
    </w:p>
    <w:p>
      <w:pPr>
        <w:spacing w:line="360" w:lineRule="auto"/>
        <w:ind w:firstLine="540"/>
        <w:rPr>
          <w:sz w:val="24"/>
          <w:szCs w:val="24"/>
        </w:rPr>
      </w:pPr>
      <w:bookmarkStart w:id="14" w:name="_Toc28359091"/>
      <w:bookmarkStart w:id="15" w:name="_Toc28359014"/>
      <w:r>
        <w:rPr>
          <w:rFonts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rPr>
          <w:sz w:val="24"/>
          <w:szCs w:val="24"/>
        </w:rPr>
      </w:pPr>
      <w:r>
        <w:rPr>
          <w:rFonts w:hint="eastAsia"/>
          <w:sz w:val="24"/>
          <w:szCs w:val="24"/>
        </w:rPr>
        <w:t>3.本项目的特定资格要求：（1）根据《关于在政府采购活动中查询及使用信用记录有关问题的通知》(财库[2016]125号)和豫财购【2016】15号的规定，对列入“信用中国”网站（</w:t>
      </w:r>
      <w:r>
        <w:fldChar w:fldCharType="begin"/>
      </w:r>
      <w:r>
        <w:instrText xml:space="preserve">HYPERLINK "http://www.creditchina.gov.cn/" </w:instrText>
      </w:r>
      <w:r>
        <w:fldChar w:fldCharType="separate"/>
      </w:r>
      <w:r>
        <w:rPr>
          <w:rFonts w:hint="eastAsia"/>
          <w:sz w:val="24"/>
          <w:szCs w:val="24"/>
        </w:rPr>
        <w:t>www.creditchina.gov.cn</w:t>
      </w:r>
      <w:r>
        <w:fldChar w:fldCharType="end"/>
      </w:r>
      <w:r>
        <w:rPr>
          <w:rFonts w:hint="eastAsia"/>
          <w:sz w:val="24"/>
          <w:szCs w:val="24"/>
        </w:rPr>
        <w:t>）的“失信被执行人”、“</w:t>
      </w:r>
      <w:r>
        <w:rPr>
          <w:rFonts w:hint="eastAsia"/>
          <w:color w:val="000000"/>
          <w:sz w:val="24"/>
          <w:szCs w:val="24"/>
          <w:lang w:val="en-US"/>
        </w:rPr>
        <w:t>重大税收违法失信主体</w:t>
      </w:r>
      <w:r>
        <w:rPr>
          <w:rFonts w:hint="eastAsia"/>
          <w:sz w:val="24"/>
          <w:szCs w:val="24"/>
        </w:rPr>
        <w:t>”和“中国政府采购”网站(</w:t>
      </w:r>
      <w:r>
        <w:fldChar w:fldCharType="begin"/>
      </w:r>
      <w:r>
        <w:instrText xml:space="preserve">HYPERLINK "http://www.ccgp.gov.cn/" </w:instrText>
      </w:r>
      <w:r>
        <w:fldChar w:fldCharType="separate"/>
      </w:r>
      <w:r>
        <w:rPr>
          <w:rFonts w:hint="eastAsia"/>
          <w:sz w:val="24"/>
          <w:szCs w:val="24"/>
        </w:rPr>
        <w:t>www.ccgp.gov.cn</w:t>
      </w:r>
      <w:r>
        <w:fldChar w:fldCharType="end"/>
      </w:r>
      <w:r>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pPr>
        <w:pStyle w:val="5"/>
        <w:spacing w:line="360" w:lineRule="auto"/>
        <w:jc w:val="left"/>
        <w:rPr>
          <w:b w:val="0"/>
          <w:sz w:val="24"/>
          <w:szCs w:val="24"/>
        </w:rPr>
      </w:pPr>
      <w:bookmarkStart w:id="16" w:name="_Toc35393631"/>
      <w:bookmarkStart w:id="17" w:name="_Toc35393800"/>
      <w:r>
        <w:rPr>
          <w:rFonts w:hint="eastAsia"/>
          <w:b w:val="0"/>
          <w:sz w:val="24"/>
          <w:szCs w:val="24"/>
        </w:rPr>
        <w:t>三、获取采购文件</w:t>
      </w:r>
      <w:bookmarkEnd w:id="14"/>
      <w:bookmarkEnd w:id="15"/>
      <w:bookmarkEnd w:id="16"/>
      <w:bookmarkEnd w:id="17"/>
    </w:p>
    <w:p>
      <w:pPr>
        <w:spacing w:line="360" w:lineRule="auto"/>
        <w:ind w:firstLine="480" w:firstLineChars="200"/>
        <w:rPr>
          <w:rFonts w:hint="eastAsia"/>
          <w:sz w:val="24"/>
          <w:szCs w:val="24"/>
        </w:rPr>
      </w:pPr>
      <w:r>
        <w:rPr>
          <w:rFonts w:hint="eastAsia"/>
          <w:color w:val="000000"/>
          <w:sz w:val="24"/>
          <w:szCs w:val="24"/>
        </w:rPr>
        <w:t>1.</w:t>
      </w:r>
      <w:r>
        <w:rPr>
          <w:color w:val="000000"/>
          <w:sz w:val="24"/>
          <w:szCs w:val="24"/>
        </w:rPr>
        <w:t>时间：</w:t>
      </w:r>
      <w:r>
        <w:rPr>
          <w:rFonts w:hint="eastAsia" w:cs="Times New Roman"/>
          <w:color w:val="FF0000"/>
          <w:sz w:val="24"/>
          <w:szCs w:val="24"/>
        </w:rPr>
        <w:t>2024</w:t>
      </w:r>
      <w:r>
        <w:rPr>
          <w:color w:val="FF0000"/>
          <w:sz w:val="24"/>
          <w:szCs w:val="24"/>
        </w:rPr>
        <w:t>年</w:t>
      </w:r>
      <w:r>
        <w:rPr>
          <w:rFonts w:hint="eastAsia"/>
          <w:color w:val="FF0000"/>
          <w:sz w:val="24"/>
          <w:szCs w:val="24"/>
        </w:rPr>
        <w:t>05</w:t>
      </w:r>
      <w:r>
        <w:rPr>
          <w:color w:val="FF0000"/>
          <w:sz w:val="24"/>
          <w:szCs w:val="24"/>
        </w:rPr>
        <w:t>月</w:t>
      </w:r>
      <w:r>
        <w:rPr>
          <w:rFonts w:hint="eastAsia"/>
          <w:color w:val="FF0000"/>
          <w:sz w:val="24"/>
          <w:szCs w:val="24"/>
        </w:rPr>
        <w:t>16</w:t>
      </w:r>
      <w:r>
        <w:rPr>
          <w:color w:val="FF0000"/>
          <w:sz w:val="24"/>
          <w:szCs w:val="24"/>
        </w:rPr>
        <w:t>日至</w:t>
      </w:r>
      <w:r>
        <w:rPr>
          <w:rFonts w:hint="eastAsia" w:cs="Times New Roman"/>
          <w:color w:val="FF0000"/>
          <w:sz w:val="24"/>
          <w:szCs w:val="24"/>
        </w:rPr>
        <w:t>2024</w:t>
      </w:r>
      <w:r>
        <w:rPr>
          <w:color w:val="FF0000"/>
          <w:sz w:val="24"/>
          <w:szCs w:val="24"/>
        </w:rPr>
        <w:t>年</w:t>
      </w:r>
      <w:r>
        <w:rPr>
          <w:rFonts w:hint="eastAsia"/>
          <w:color w:val="FF0000"/>
          <w:sz w:val="24"/>
          <w:szCs w:val="24"/>
        </w:rPr>
        <w:t>05</w:t>
      </w:r>
      <w:r>
        <w:rPr>
          <w:color w:val="FF0000"/>
          <w:sz w:val="24"/>
          <w:szCs w:val="24"/>
        </w:rPr>
        <w:t>月</w:t>
      </w:r>
      <w:r>
        <w:rPr>
          <w:rFonts w:hint="eastAsia"/>
          <w:color w:val="FF0000"/>
          <w:sz w:val="24"/>
          <w:szCs w:val="24"/>
        </w:rPr>
        <w:t>21</w:t>
      </w:r>
      <w:r>
        <w:rPr>
          <w:color w:val="FF0000"/>
          <w:sz w:val="24"/>
          <w:szCs w:val="24"/>
        </w:rPr>
        <w:t>日</w:t>
      </w:r>
      <w:r>
        <w:rPr>
          <w:color w:val="000000"/>
          <w:sz w:val="24"/>
          <w:szCs w:val="24"/>
        </w:rPr>
        <w:t>（北京时间，法定节假日除</w:t>
      </w:r>
      <w:r>
        <w:rPr>
          <w:rFonts w:hint="eastAsia"/>
          <w:sz w:val="24"/>
          <w:szCs w:val="24"/>
        </w:rPr>
        <w:t>外 ）</w:t>
      </w:r>
    </w:p>
    <w:p>
      <w:pPr>
        <w:spacing w:line="360" w:lineRule="auto"/>
        <w:ind w:firstLine="480" w:firstLineChars="200"/>
        <w:rPr>
          <w:rFonts w:hint="eastAsia"/>
          <w:sz w:val="24"/>
          <w:szCs w:val="24"/>
        </w:rPr>
      </w:pPr>
      <w:r>
        <w:rPr>
          <w:rFonts w:hint="eastAsia"/>
          <w:sz w:val="24"/>
          <w:szCs w:val="24"/>
        </w:rPr>
        <w:t>2.地点：周口市公共资源交易中心网（</w:t>
      </w:r>
      <w:r>
        <w:rPr>
          <w:rFonts w:hint="eastAsia"/>
          <w:sz w:val="24"/>
          <w:szCs w:val="24"/>
        </w:rPr>
        <w:fldChar w:fldCharType="begin"/>
      </w:r>
      <w:r>
        <w:rPr>
          <w:rFonts w:hint="eastAsia"/>
          <w:sz w:val="24"/>
          <w:szCs w:val="24"/>
        </w:rPr>
        <w:instrText xml:space="preserve">HYPERLINK "http://jyzx.zhoukou.gov.cn/" </w:instrText>
      </w:r>
      <w:r>
        <w:rPr>
          <w:rFonts w:hint="eastAsia"/>
          <w:sz w:val="24"/>
          <w:szCs w:val="24"/>
        </w:rPr>
        <w:fldChar w:fldCharType="separate"/>
      </w:r>
      <w:r>
        <w:rPr>
          <w:rFonts w:hint="eastAsia"/>
          <w:sz w:val="24"/>
          <w:szCs w:val="24"/>
        </w:rPr>
        <w:t>http://jyzx.zhoukou.gov.cn</w:t>
      </w:r>
      <w:r>
        <w:rPr>
          <w:rFonts w:hint="eastAsia"/>
          <w:sz w:val="24"/>
          <w:szCs w:val="24"/>
        </w:rPr>
        <w:fldChar w:fldCharType="end"/>
      </w:r>
      <w:r>
        <w:rPr>
          <w:rFonts w:hint="eastAsia"/>
          <w:sz w:val="24"/>
          <w:szCs w:val="24"/>
        </w:rPr>
        <w:t>）</w:t>
      </w:r>
    </w:p>
    <w:p>
      <w:pPr>
        <w:spacing w:line="360" w:lineRule="auto"/>
        <w:ind w:firstLine="480" w:firstLineChars="200"/>
        <w:rPr>
          <w:rFonts w:hint="eastAsia"/>
          <w:sz w:val="24"/>
          <w:szCs w:val="24"/>
        </w:rPr>
      </w:pPr>
      <w:r>
        <w:rPr>
          <w:rFonts w:hint="eastAsia"/>
          <w:sz w:val="24"/>
          <w:szCs w:val="24"/>
        </w:rPr>
        <w:t>3.方式：供应商请在网站自主注册后下载采购文件（zkzf格式）及资料，需办理CA数字证书后方可提交响应文件，具体办理事宜请查阅周口市公共资源交易中心网站。</w:t>
      </w:r>
    </w:p>
    <w:p>
      <w:pPr>
        <w:spacing w:line="360" w:lineRule="auto"/>
        <w:ind w:firstLine="480" w:firstLineChars="200"/>
        <w:rPr>
          <w:rFonts w:hint="eastAsia"/>
          <w:sz w:val="24"/>
          <w:szCs w:val="24"/>
        </w:rPr>
      </w:pPr>
      <w:r>
        <w:rPr>
          <w:rFonts w:hint="eastAsia"/>
          <w:sz w:val="24"/>
          <w:szCs w:val="24"/>
        </w:rPr>
        <w:t>4.售价：0元</w:t>
      </w:r>
    </w:p>
    <w:p>
      <w:pPr>
        <w:spacing w:line="360" w:lineRule="auto"/>
        <w:rPr>
          <w:rFonts w:hint="eastAsia"/>
          <w:sz w:val="24"/>
          <w:szCs w:val="24"/>
        </w:rPr>
      </w:pPr>
      <w:bookmarkStart w:id="18" w:name="_Toc28359092"/>
      <w:bookmarkStart w:id="19" w:name="_Toc35393801"/>
      <w:bookmarkStart w:id="20" w:name="_Toc35393632"/>
      <w:bookmarkStart w:id="21" w:name="_Toc28359015"/>
      <w:r>
        <w:rPr>
          <w:rFonts w:hint="eastAsia"/>
          <w:sz w:val="24"/>
          <w:szCs w:val="24"/>
        </w:rPr>
        <w:t>四、响应文件提交</w:t>
      </w:r>
      <w:bookmarkEnd w:id="18"/>
      <w:bookmarkEnd w:id="19"/>
      <w:bookmarkEnd w:id="20"/>
      <w:bookmarkEnd w:id="21"/>
    </w:p>
    <w:p>
      <w:pPr>
        <w:spacing w:line="360" w:lineRule="auto"/>
        <w:ind w:firstLine="480" w:firstLineChars="200"/>
        <w:rPr>
          <w:rFonts w:hint="eastAsia"/>
          <w:sz w:val="24"/>
          <w:szCs w:val="24"/>
        </w:rPr>
      </w:pPr>
      <w:r>
        <w:rPr>
          <w:rFonts w:hint="eastAsia"/>
          <w:sz w:val="24"/>
          <w:szCs w:val="24"/>
        </w:rPr>
        <w:t>1.截止时间：</w:t>
      </w:r>
      <w:r>
        <w:rPr>
          <w:rFonts w:hint="eastAsia"/>
          <w:color w:val="000000"/>
          <w:sz w:val="24"/>
          <w:szCs w:val="24"/>
        </w:rPr>
        <w:t>2024年05月</w:t>
      </w:r>
      <w:r>
        <w:rPr>
          <w:rFonts w:hint="eastAsia"/>
          <w:color w:val="000000"/>
          <w:sz w:val="24"/>
          <w:szCs w:val="24"/>
          <w:lang w:val="en-US" w:eastAsia="zh-CN"/>
        </w:rPr>
        <w:t>23</w:t>
      </w:r>
      <w:r>
        <w:rPr>
          <w:rFonts w:hint="eastAsia"/>
          <w:color w:val="000000"/>
          <w:sz w:val="24"/>
          <w:szCs w:val="24"/>
        </w:rPr>
        <w:t>日10点00分</w:t>
      </w:r>
      <w:r>
        <w:rPr>
          <w:rFonts w:hint="eastAsia"/>
          <w:sz w:val="24"/>
          <w:szCs w:val="24"/>
        </w:rPr>
        <w:t>（北京时间）</w:t>
      </w:r>
    </w:p>
    <w:p>
      <w:pPr>
        <w:spacing w:line="360" w:lineRule="auto"/>
        <w:ind w:firstLine="480" w:firstLineChars="200"/>
        <w:rPr>
          <w:rFonts w:hint="eastAsia"/>
          <w:sz w:val="24"/>
          <w:szCs w:val="24"/>
        </w:rPr>
      </w:pPr>
      <w:r>
        <w:rPr>
          <w:rFonts w:hint="eastAsia"/>
          <w:sz w:val="24"/>
          <w:szCs w:val="24"/>
        </w:rPr>
        <w:t>2.地点：加密电子响应文件须在投标截止时间前通过“周口市公共资源交易中心网（</w:t>
      </w:r>
      <w:r>
        <w:rPr>
          <w:rFonts w:hint="eastAsia"/>
          <w:sz w:val="24"/>
          <w:szCs w:val="24"/>
        </w:rPr>
        <w:fldChar w:fldCharType="begin"/>
      </w:r>
      <w:r>
        <w:rPr>
          <w:rFonts w:hint="eastAsia"/>
          <w:sz w:val="24"/>
          <w:szCs w:val="24"/>
        </w:rPr>
        <w:instrText xml:space="preserve">HYPERLINK "http://jyzx.zhoukou.gov.cn/" </w:instrText>
      </w:r>
      <w:r>
        <w:rPr>
          <w:rFonts w:hint="eastAsia"/>
          <w:sz w:val="24"/>
          <w:szCs w:val="24"/>
        </w:rPr>
        <w:fldChar w:fldCharType="separate"/>
      </w:r>
      <w:r>
        <w:rPr>
          <w:rFonts w:hint="eastAsia"/>
          <w:sz w:val="24"/>
          <w:szCs w:val="24"/>
        </w:rPr>
        <w:t>http://jyzx.zhoukou.gov.cn</w:t>
      </w:r>
      <w:r>
        <w:rPr>
          <w:rFonts w:hint="eastAsia"/>
          <w:sz w:val="24"/>
          <w:szCs w:val="24"/>
        </w:rPr>
        <w:fldChar w:fldCharType="end"/>
      </w:r>
      <w:r>
        <w:rPr>
          <w:rFonts w:hint="eastAsia"/>
          <w:sz w:val="24"/>
          <w:szCs w:val="24"/>
        </w:rPr>
        <w:t>）”。</w:t>
      </w:r>
    </w:p>
    <w:p>
      <w:pPr>
        <w:spacing w:line="360" w:lineRule="auto"/>
        <w:rPr>
          <w:rFonts w:hint="eastAsia"/>
          <w:sz w:val="24"/>
          <w:szCs w:val="24"/>
        </w:rPr>
      </w:pPr>
      <w:bookmarkStart w:id="22" w:name="_Toc35393802"/>
      <w:bookmarkStart w:id="23" w:name="_Toc35393633"/>
      <w:bookmarkStart w:id="24" w:name="_Toc28359093"/>
      <w:bookmarkStart w:id="25" w:name="_Toc28359016"/>
      <w:r>
        <w:rPr>
          <w:rFonts w:hint="eastAsia"/>
          <w:sz w:val="24"/>
          <w:szCs w:val="24"/>
        </w:rPr>
        <w:t>五、开启（竞争性磋商方式必须填写）</w:t>
      </w:r>
      <w:bookmarkEnd w:id="22"/>
      <w:bookmarkEnd w:id="23"/>
      <w:bookmarkEnd w:id="24"/>
      <w:bookmarkEnd w:id="25"/>
    </w:p>
    <w:p>
      <w:pPr>
        <w:spacing w:line="360" w:lineRule="auto"/>
        <w:ind w:firstLine="480" w:firstLineChars="200"/>
        <w:rPr>
          <w:rFonts w:hint="eastAsia"/>
          <w:sz w:val="24"/>
          <w:szCs w:val="24"/>
        </w:rPr>
      </w:pPr>
      <w:r>
        <w:rPr>
          <w:rFonts w:hint="eastAsia"/>
          <w:sz w:val="24"/>
          <w:szCs w:val="24"/>
        </w:rPr>
        <w:t>1.时间：</w:t>
      </w:r>
      <w:r>
        <w:rPr>
          <w:rFonts w:hint="eastAsia"/>
          <w:color w:val="000000"/>
          <w:sz w:val="24"/>
          <w:szCs w:val="24"/>
        </w:rPr>
        <w:t>2024年05月</w:t>
      </w:r>
      <w:r>
        <w:rPr>
          <w:rFonts w:hint="eastAsia"/>
          <w:color w:val="000000"/>
          <w:sz w:val="24"/>
          <w:szCs w:val="24"/>
          <w:lang w:val="en-US" w:eastAsia="zh-CN"/>
        </w:rPr>
        <w:t>23</w:t>
      </w:r>
      <w:r>
        <w:rPr>
          <w:rFonts w:hint="eastAsia"/>
          <w:color w:val="000000"/>
          <w:sz w:val="24"/>
          <w:szCs w:val="24"/>
        </w:rPr>
        <w:t>日10点00分</w:t>
      </w:r>
      <w:r>
        <w:rPr>
          <w:rFonts w:hint="eastAsia"/>
          <w:sz w:val="24"/>
          <w:szCs w:val="24"/>
        </w:rPr>
        <w:t>（北京时间）</w:t>
      </w:r>
    </w:p>
    <w:p>
      <w:pPr>
        <w:spacing w:line="360" w:lineRule="auto"/>
        <w:ind w:firstLine="480" w:firstLineChars="200"/>
      </w:pPr>
      <w:r>
        <w:rPr>
          <w:rFonts w:hint="eastAsia"/>
          <w:sz w:val="24"/>
          <w:szCs w:val="24"/>
        </w:rPr>
        <w:t>2.地点：周</w:t>
      </w:r>
      <w:r>
        <w:rPr>
          <w:rFonts w:cs="Segoe UI"/>
          <w:color w:val="333333"/>
          <w:sz w:val="24"/>
          <w:szCs w:val="24"/>
        </w:rPr>
        <w:t>口市公共资源交易中心开标室</w:t>
      </w:r>
    </w:p>
    <w:p>
      <w:pPr>
        <w:pStyle w:val="5"/>
        <w:spacing w:line="360" w:lineRule="auto"/>
        <w:jc w:val="left"/>
        <w:rPr>
          <w:b w:val="0"/>
          <w:sz w:val="24"/>
          <w:szCs w:val="24"/>
        </w:rPr>
      </w:pPr>
      <w:bookmarkStart w:id="26" w:name="_Toc35393634"/>
      <w:bookmarkStart w:id="27" w:name="_Toc35393803"/>
      <w:bookmarkStart w:id="28" w:name="_Toc28359017"/>
      <w:bookmarkStart w:id="29" w:name="_Toc28359094"/>
      <w:r>
        <w:rPr>
          <w:rFonts w:hint="eastAsia"/>
          <w:b w:val="0"/>
          <w:sz w:val="24"/>
          <w:szCs w:val="24"/>
        </w:rPr>
        <w:t>六、公告期限</w:t>
      </w:r>
      <w:bookmarkEnd w:id="26"/>
      <w:bookmarkEnd w:id="27"/>
      <w:bookmarkEnd w:id="28"/>
      <w:bookmarkEnd w:id="29"/>
    </w:p>
    <w:p>
      <w:pPr>
        <w:spacing w:line="360" w:lineRule="auto"/>
        <w:ind w:firstLine="480" w:firstLineChars="200"/>
        <w:rPr>
          <w:sz w:val="24"/>
          <w:szCs w:val="24"/>
        </w:rPr>
      </w:pPr>
      <w:r>
        <w:rPr>
          <w:rFonts w:cs="Segoe UI"/>
          <w:sz w:val="24"/>
          <w:szCs w:val="24"/>
        </w:rPr>
        <w:t>本次招标公告在《河南省政府采购网》</w:t>
      </w:r>
      <w:r>
        <w:rPr>
          <w:rFonts w:hint="eastAsia" w:cs="Segoe UI"/>
          <w:sz w:val="24"/>
          <w:szCs w:val="24"/>
        </w:rPr>
        <w:t>、</w:t>
      </w:r>
      <w:r>
        <w:rPr>
          <w:rFonts w:cs="Segoe UI"/>
          <w:sz w:val="24"/>
          <w:szCs w:val="24"/>
        </w:rPr>
        <w:t>《周口市公共资源交易中心网》上发布，</w:t>
      </w:r>
      <w:r>
        <w:rPr>
          <w:rFonts w:hint="eastAsia"/>
          <w:sz w:val="24"/>
          <w:szCs w:val="24"/>
        </w:rPr>
        <w:t>自本公告发布之日起3个工作日。</w:t>
      </w:r>
    </w:p>
    <w:p>
      <w:pPr>
        <w:pStyle w:val="5"/>
        <w:spacing w:line="360" w:lineRule="auto"/>
        <w:jc w:val="left"/>
        <w:rPr>
          <w:b w:val="0"/>
          <w:sz w:val="24"/>
          <w:szCs w:val="24"/>
        </w:rPr>
      </w:pPr>
      <w:bookmarkStart w:id="30" w:name="_Toc35393635"/>
      <w:bookmarkStart w:id="31" w:name="_Toc35393804"/>
      <w:r>
        <w:rPr>
          <w:rFonts w:hint="eastAsia"/>
          <w:b w:val="0"/>
          <w:sz w:val="24"/>
          <w:szCs w:val="24"/>
        </w:rPr>
        <w:t>七、其他补充事宜</w:t>
      </w:r>
      <w:bookmarkEnd w:id="30"/>
      <w:bookmarkEnd w:id="31"/>
    </w:p>
    <w:p>
      <w:pPr>
        <w:spacing w:line="360" w:lineRule="auto"/>
        <w:ind w:firstLine="480" w:firstLineChars="200"/>
        <w:rPr>
          <w:color w:val="000000"/>
          <w:sz w:val="24"/>
          <w:szCs w:val="24"/>
        </w:rPr>
      </w:pPr>
      <w:r>
        <w:rPr>
          <w:rFonts w:hint="eastAsia"/>
          <w:color w:val="000000"/>
          <w:sz w:val="24"/>
          <w:szCs w:val="24"/>
        </w:rPr>
        <w:t>无</w:t>
      </w:r>
    </w:p>
    <w:p>
      <w:pPr>
        <w:pStyle w:val="5"/>
        <w:spacing w:line="360" w:lineRule="auto"/>
        <w:jc w:val="left"/>
        <w:rPr>
          <w:b w:val="0"/>
          <w:sz w:val="24"/>
          <w:szCs w:val="24"/>
        </w:rPr>
      </w:pPr>
      <w:bookmarkStart w:id="32" w:name="_Toc35393636"/>
      <w:bookmarkStart w:id="33" w:name="_Toc35393805"/>
      <w:bookmarkStart w:id="34" w:name="_Toc28359095"/>
      <w:bookmarkStart w:id="35" w:name="_Toc28359018"/>
      <w:r>
        <w:rPr>
          <w:rFonts w:hint="eastAsia"/>
          <w:b w:val="0"/>
          <w:sz w:val="24"/>
          <w:szCs w:val="24"/>
        </w:rPr>
        <w:t>八、凡对本次采购提出询问，请按以下方式联系。</w:t>
      </w:r>
      <w:bookmarkEnd w:id="32"/>
      <w:bookmarkEnd w:id="33"/>
      <w:bookmarkEnd w:id="34"/>
      <w:bookmarkEnd w:id="35"/>
    </w:p>
    <w:p>
      <w:pPr>
        <w:spacing w:line="360" w:lineRule="auto"/>
        <w:ind w:firstLine="480"/>
        <w:rPr>
          <w:color w:val="000000"/>
          <w:sz w:val="24"/>
          <w:szCs w:val="24"/>
        </w:rPr>
      </w:pPr>
      <w:r>
        <w:rPr>
          <w:color w:val="000000"/>
          <w:sz w:val="24"/>
          <w:szCs w:val="24"/>
        </w:rPr>
        <w:t>1.采购人信息</w:t>
      </w:r>
    </w:p>
    <w:p>
      <w:pPr>
        <w:spacing w:line="360" w:lineRule="auto"/>
        <w:ind w:firstLine="480"/>
        <w:rPr>
          <w:color w:val="000000"/>
          <w:sz w:val="24"/>
          <w:szCs w:val="24"/>
        </w:rPr>
      </w:pPr>
      <w:r>
        <w:rPr>
          <w:color w:val="000000"/>
          <w:sz w:val="24"/>
          <w:szCs w:val="24"/>
        </w:rPr>
        <w:t>名 称：</w:t>
      </w:r>
      <w:r>
        <w:rPr>
          <w:rFonts w:hint="eastAsia"/>
          <w:color w:val="000000"/>
          <w:sz w:val="24"/>
          <w:szCs w:val="24"/>
        </w:rPr>
        <w:t>周口市公安局</w:t>
      </w:r>
      <w:r>
        <w:rPr>
          <w:color w:val="000000"/>
          <w:sz w:val="24"/>
          <w:szCs w:val="24"/>
        </w:rPr>
        <w:t>　　　　　　　　　　　　</w:t>
      </w:r>
    </w:p>
    <w:p>
      <w:pPr>
        <w:spacing w:line="360" w:lineRule="auto"/>
        <w:ind w:firstLine="480"/>
        <w:rPr>
          <w:color w:val="000000"/>
          <w:sz w:val="24"/>
          <w:szCs w:val="24"/>
        </w:rPr>
      </w:pPr>
      <w:r>
        <w:rPr>
          <w:color w:val="000000"/>
          <w:sz w:val="24"/>
          <w:szCs w:val="24"/>
        </w:rPr>
        <w:t>地址：</w:t>
      </w:r>
      <w:r>
        <w:rPr>
          <w:rFonts w:hint="eastAsia"/>
          <w:color w:val="000000"/>
          <w:sz w:val="24"/>
          <w:szCs w:val="24"/>
        </w:rPr>
        <w:t>周口市光明路与政通路交叉口</w:t>
      </w:r>
      <w:r>
        <w:rPr>
          <w:color w:val="000000"/>
          <w:sz w:val="24"/>
          <w:szCs w:val="24"/>
        </w:rPr>
        <w:t>　　　　　　　　　　　　</w:t>
      </w:r>
    </w:p>
    <w:p>
      <w:pPr>
        <w:spacing w:line="360" w:lineRule="auto"/>
        <w:ind w:firstLine="480"/>
        <w:rPr>
          <w:rFonts w:hint="eastAsia"/>
          <w:color w:val="000000"/>
          <w:sz w:val="24"/>
          <w:szCs w:val="24"/>
        </w:rPr>
      </w:pPr>
      <w:r>
        <w:rPr>
          <w:color w:val="000000"/>
          <w:sz w:val="24"/>
          <w:szCs w:val="24"/>
        </w:rPr>
        <w:t>联</w:t>
      </w:r>
      <w:r>
        <w:rPr>
          <w:rFonts w:hint="eastAsia"/>
          <w:color w:val="000000"/>
          <w:sz w:val="24"/>
          <w:szCs w:val="24"/>
        </w:rPr>
        <w:t xml:space="preserve">系人：刘天奎   电  话：18638090966　　　　　　　　　　　 </w:t>
      </w:r>
    </w:p>
    <w:p>
      <w:pPr>
        <w:spacing w:line="360" w:lineRule="auto"/>
        <w:ind w:firstLine="480"/>
        <w:rPr>
          <w:rFonts w:hint="eastAsia"/>
          <w:color w:val="000000"/>
          <w:sz w:val="24"/>
          <w:szCs w:val="24"/>
        </w:rPr>
      </w:pPr>
      <w:r>
        <w:rPr>
          <w:rFonts w:hint="eastAsia"/>
          <w:color w:val="000000"/>
          <w:sz w:val="24"/>
          <w:szCs w:val="24"/>
        </w:rPr>
        <w:t>2.采购代理机构信息</w:t>
      </w:r>
    </w:p>
    <w:p>
      <w:pPr>
        <w:spacing w:line="360" w:lineRule="auto"/>
        <w:ind w:firstLine="480"/>
        <w:rPr>
          <w:rFonts w:hint="eastAsia"/>
          <w:color w:val="000000"/>
          <w:sz w:val="24"/>
          <w:szCs w:val="24"/>
        </w:rPr>
      </w:pPr>
      <w:r>
        <w:rPr>
          <w:rFonts w:hint="eastAsia"/>
          <w:color w:val="000000"/>
          <w:sz w:val="24"/>
          <w:szCs w:val="24"/>
        </w:rPr>
        <w:t>名 称：周口市公共资源交易中心政府采购中心　　　　　　　　　　　　</w:t>
      </w:r>
    </w:p>
    <w:p>
      <w:pPr>
        <w:spacing w:line="360" w:lineRule="auto"/>
        <w:ind w:firstLine="480"/>
        <w:rPr>
          <w:rFonts w:hint="eastAsia"/>
          <w:color w:val="000000"/>
          <w:sz w:val="24"/>
          <w:szCs w:val="24"/>
        </w:rPr>
      </w:pPr>
      <w:r>
        <w:rPr>
          <w:rFonts w:hint="eastAsia"/>
          <w:color w:val="000000"/>
          <w:sz w:val="24"/>
          <w:szCs w:val="24"/>
        </w:rPr>
        <w:t>地　址：周口市光明路与政通路交叉口向北100米路东</w:t>
      </w:r>
    </w:p>
    <w:p>
      <w:pPr>
        <w:spacing w:line="360" w:lineRule="auto"/>
        <w:ind w:firstLine="480"/>
        <w:rPr>
          <w:rFonts w:hint="eastAsia"/>
          <w:color w:val="000000"/>
          <w:sz w:val="24"/>
          <w:szCs w:val="24"/>
        </w:rPr>
      </w:pPr>
      <w:r>
        <w:rPr>
          <w:rFonts w:hint="eastAsia"/>
          <w:color w:val="000000"/>
          <w:sz w:val="24"/>
          <w:szCs w:val="24"/>
        </w:rPr>
        <w:t xml:space="preserve">项目联系人：  </w:t>
      </w:r>
      <w:r>
        <w:rPr>
          <w:rFonts w:hint="eastAsia"/>
          <w:color w:val="000000"/>
          <w:sz w:val="24"/>
          <w:szCs w:val="24"/>
          <w:lang w:val="en-US" w:eastAsia="zh-CN"/>
        </w:rPr>
        <w:t>张光</w:t>
      </w:r>
      <w:r>
        <w:rPr>
          <w:rFonts w:hint="eastAsia"/>
          <w:color w:val="000000"/>
          <w:sz w:val="24"/>
          <w:szCs w:val="24"/>
        </w:rPr>
        <w:t xml:space="preserve">    联系方式：</w:t>
      </w:r>
      <w:r>
        <w:rPr>
          <w:rFonts w:hint="eastAsia"/>
          <w:color w:val="000000"/>
          <w:sz w:val="24"/>
          <w:szCs w:val="24"/>
          <w:lang w:val="en-US" w:eastAsia="zh-CN"/>
        </w:rPr>
        <w:t>0394-8106517</w:t>
      </w:r>
      <w:r>
        <w:rPr>
          <w:rFonts w:hint="eastAsia"/>
          <w:color w:val="000000"/>
          <w:sz w:val="24"/>
          <w:szCs w:val="24"/>
        </w:rPr>
        <w:t>　　　　　　　　</w:t>
      </w:r>
    </w:p>
    <w:p>
      <w:pPr>
        <w:spacing w:line="360" w:lineRule="auto"/>
        <w:ind w:firstLine="480"/>
        <w:rPr>
          <w:rFonts w:hint="eastAsia"/>
          <w:color w:val="000000"/>
          <w:sz w:val="24"/>
          <w:szCs w:val="24"/>
        </w:rPr>
      </w:pPr>
      <w:r>
        <w:rPr>
          <w:rFonts w:hint="eastAsia"/>
          <w:color w:val="000000"/>
          <w:sz w:val="24"/>
          <w:szCs w:val="24"/>
        </w:rPr>
        <w:t>3.监督单位：周口市财政局政府采购监督管理科</w:t>
      </w:r>
    </w:p>
    <w:p>
      <w:pPr>
        <w:spacing w:line="360" w:lineRule="auto"/>
        <w:ind w:firstLine="480"/>
        <w:rPr>
          <w:color w:val="000000"/>
          <w:sz w:val="24"/>
          <w:szCs w:val="24"/>
        </w:rPr>
      </w:pPr>
      <w:r>
        <w:rPr>
          <w:color w:val="000000"/>
          <w:sz w:val="24"/>
          <w:szCs w:val="24"/>
        </w:rPr>
        <w:t xml:space="preserve">联系方式：0394-8106976  </w:t>
      </w:r>
    </w:p>
    <w:p>
      <w:pPr>
        <w:ind w:firstLine="420"/>
        <w:rPr>
          <w:rFonts w:ascii="Times New Roman" w:hAnsi="Times New Roman" w:cs="Times New Roman"/>
          <w:color w:val="000000"/>
        </w:rPr>
      </w:pPr>
    </w:p>
    <w:p>
      <w:pPr>
        <w:pStyle w:val="2"/>
        <w:ind w:firstLine="220"/>
      </w:pPr>
    </w:p>
    <w:p>
      <w:pPr>
        <w:pStyle w:val="7"/>
        <w:ind w:left="1700"/>
      </w:pPr>
    </w:p>
    <w:p>
      <w:pPr>
        <w:spacing w:after="120" w:line="360" w:lineRule="auto"/>
        <w:ind w:firstLine="3360" w:firstLineChars="1400"/>
        <w:rPr>
          <w:sz w:val="24"/>
        </w:rPr>
      </w:pPr>
      <w:r>
        <w:rPr>
          <w:sz w:val="24"/>
        </w:rPr>
        <w:t>周口市公共资源交易中心政府采购中心</w:t>
      </w:r>
    </w:p>
    <w:p>
      <w:pPr>
        <w:tabs>
          <w:tab w:val="left" w:pos="0"/>
          <w:tab w:val="left" w:pos="993"/>
          <w:tab w:val="left" w:pos="1134"/>
        </w:tabs>
        <w:ind w:firstLine="4440" w:firstLineChars="1850"/>
        <w:rPr>
          <w:sz w:val="24"/>
        </w:rPr>
      </w:pPr>
      <w:r>
        <w:rPr>
          <w:rFonts w:hint="eastAsia"/>
          <w:sz w:val="24"/>
        </w:rPr>
        <w:t>2</w:t>
      </w:r>
      <w:r>
        <w:rPr>
          <w:sz w:val="24"/>
        </w:rPr>
        <w:t>02</w:t>
      </w:r>
      <w:r>
        <w:rPr>
          <w:rFonts w:hint="eastAsia"/>
          <w:sz w:val="24"/>
        </w:rPr>
        <w:t>4</w:t>
      </w:r>
      <w:r>
        <w:rPr>
          <w:sz w:val="24"/>
        </w:rPr>
        <w:t>年</w:t>
      </w:r>
      <w:r>
        <w:rPr>
          <w:rFonts w:hint="eastAsia"/>
          <w:sz w:val="24"/>
        </w:rPr>
        <w:t>05</w:t>
      </w:r>
      <w:r>
        <w:rPr>
          <w:sz w:val="24"/>
        </w:rPr>
        <w:t>月</w:t>
      </w:r>
      <w:r>
        <w:rPr>
          <w:rFonts w:hint="eastAsia"/>
          <w:sz w:val="24"/>
        </w:rPr>
        <w:t>16</w:t>
      </w:r>
      <w:r>
        <w:rPr>
          <w:sz w:val="24"/>
        </w:rPr>
        <w:t>日</w:t>
      </w:r>
    </w:p>
    <w:p>
      <w:pPr>
        <w:pStyle w:val="2"/>
        <w:ind w:firstLine="240"/>
        <w:rPr>
          <w:sz w:val="24"/>
        </w:rPr>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
      <w:pPr>
        <w:pStyle w:val="5"/>
        <w:numPr>
          <w:ilvl w:val="0"/>
          <w:numId w:val="1"/>
        </w:numPr>
        <w:tabs>
          <w:tab w:val="left" w:pos="1607"/>
        </w:tabs>
        <w:spacing w:before="100"/>
      </w:pPr>
      <w:bookmarkStart w:id="36" w:name="第二部分__项目内容及施工要求"/>
      <w:bookmarkEnd w:id="36"/>
      <w:bookmarkStart w:id="37" w:name="_bookmark1"/>
      <w:bookmarkEnd w:id="37"/>
      <w:r>
        <w:rPr>
          <w:rFonts w:hint="eastAsia"/>
          <w:lang w:val="en-US"/>
        </w:rPr>
        <w:t>谈判供应商须知</w:t>
      </w:r>
    </w:p>
    <w:p>
      <w:pPr>
        <w:spacing w:line="360" w:lineRule="auto"/>
        <w:jc w:val="center"/>
        <w:rPr>
          <w:b/>
          <w:szCs w:val="21"/>
        </w:rPr>
      </w:pPr>
    </w:p>
    <w:p>
      <w:pPr>
        <w:spacing w:line="360" w:lineRule="auto"/>
        <w:jc w:val="center"/>
        <w:rPr>
          <w:b/>
          <w:szCs w:val="21"/>
        </w:rPr>
      </w:pPr>
      <w:r>
        <w:rPr>
          <w:rFonts w:hint="eastAsia"/>
          <w:b/>
          <w:szCs w:val="21"/>
        </w:rPr>
        <w:t>投标须知前附表</w:t>
      </w:r>
    </w:p>
    <w:p>
      <w:pPr>
        <w:pStyle w:val="13"/>
      </w:pPr>
    </w:p>
    <w:tbl>
      <w:tblPr>
        <w:tblStyle w:val="15"/>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序号</w:t>
            </w:r>
          </w:p>
        </w:tc>
        <w:tc>
          <w:tcPr>
            <w:tcW w:w="1418" w:type="dxa"/>
            <w:tcBorders>
              <w:left w:val="single" w:color="auto" w:sz="4" w:space="0"/>
            </w:tcBorders>
            <w:vAlign w:val="center"/>
          </w:tcPr>
          <w:p>
            <w:pPr>
              <w:spacing w:line="360" w:lineRule="auto"/>
              <w:jc w:val="center"/>
              <w:rPr>
                <w:sz w:val="24"/>
                <w:szCs w:val="24"/>
              </w:rPr>
            </w:pPr>
            <w:r>
              <w:rPr>
                <w:rFonts w:hint="eastAsia"/>
                <w:sz w:val="24"/>
                <w:szCs w:val="24"/>
              </w:rPr>
              <w:t>名称</w:t>
            </w:r>
          </w:p>
        </w:tc>
        <w:tc>
          <w:tcPr>
            <w:tcW w:w="6601" w:type="dxa"/>
            <w:vAlign w:val="center"/>
          </w:tcPr>
          <w:p>
            <w:pPr>
              <w:spacing w:line="360" w:lineRule="auto"/>
              <w:jc w:val="center"/>
              <w:rPr>
                <w:b/>
                <w:sz w:val="24"/>
                <w:szCs w:val="24"/>
              </w:rPr>
            </w:pPr>
            <w:r>
              <w:rPr>
                <w:rFonts w:hint="eastAsia"/>
                <w:b/>
                <w:sz w:val="24"/>
                <w:szCs w:val="24"/>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sz w:val="24"/>
                <w:szCs w:val="24"/>
              </w:rPr>
            </w:pPr>
            <w:r>
              <w:rPr>
                <w:sz w:val="24"/>
                <w:szCs w:val="24"/>
              </w:rPr>
              <w:t>1</w:t>
            </w:r>
          </w:p>
        </w:tc>
        <w:tc>
          <w:tcPr>
            <w:tcW w:w="1418" w:type="dxa"/>
            <w:tcBorders>
              <w:left w:val="single" w:color="auto" w:sz="4" w:space="0"/>
            </w:tcBorders>
            <w:vAlign w:val="center"/>
          </w:tcPr>
          <w:p>
            <w:pPr>
              <w:spacing w:line="360" w:lineRule="auto"/>
              <w:jc w:val="center"/>
              <w:rPr>
                <w:sz w:val="24"/>
                <w:szCs w:val="24"/>
              </w:rPr>
            </w:pPr>
            <w:r>
              <w:rPr>
                <w:rFonts w:hint="eastAsia"/>
                <w:bCs/>
                <w:sz w:val="24"/>
                <w:szCs w:val="24"/>
              </w:rPr>
              <w:t>项目名称</w:t>
            </w:r>
          </w:p>
        </w:tc>
        <w:tc>
          <w:tcPr>
            <w:tcW w:w="6601" w:type="dxa"/>
            <w:vAlign w:val="center"/>
          </w:tcPr>
          <w:p>
            <w:pPr>
              <w:spacing w:line="500" w:lineRule="exact"/>
              <w:rPr>
                <w:sz w:val="24"/>
                <w:szCs w:val="24"/>
              </w:rPr>
            </w:pPr>
            <w:r>
              <w:rPr>
                <w:rFonts w:hint="eastAsia"/>
                <w:sz w:val="24"/>
                <w:szCs w:val="24"/>
              </w:rPr>
              <w:t>周口市公安局科信支队图控中心升级改造项目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2</w:t>
            </w:r>
          </w:p>
        </w:tc>
        <w:tc>
          <w:tcPr>
            <w:tcW w:w="1418" w:type="dxa"/>
            <w:tcBorders>
              <w:left w:val="single" w:color="auto" w:sz="4" w:space="0"/>
            </w:tcBorders>
            <w:vAlign w:val="center"/>
          </w:tcPr>
          <w:p>
            <w:pPr>
              <w:spacing w:line="360" w:lineRule="auto"/>
              <w:jc w:val="center"/>
              <w:rPr>
                <w:bCs/>
                <w:sz w:val="24"/>
                <w:szCs w:val="24"/>
              </w:rPr>
            </w:pPr>
            <w:r>
              <w:rPr>
                <w:rFonts w:hint="eastAsia"/>
                <w:bCs/>
                <w:sz w:val="24"/>
                <w:szCs w:val="24"/>
              </w:rPr>
              <w:t>采购项目</w:t>
            </w:r>
          </w:p>
          <w:p>
            <w:pPr>
              <w:spacing w:line="360" w:lineRule="auto"/>
              <w:jc w:val="center"/>
              <w:rPr>
                <w:bCs/>
                <w:sz w:val="24"/>
                <w:szCs w:val="24"/>
              </w:rPr>
            </w:pPr>
            <w:r>
              <w:rPr>
                <w:rFonts w:hint="eastAsia"/>
                <w:bCs/>
                <w:sz w:val="24"/>
                <w:szCs w:val="24"/>
              </w:rPr>
              <w:t>编号</w:t>
            </w:r>
          </w:p>
        </w:tc>
        <w:tc>
          <w:tcPr>
            <w:tcW w:w="6601" w:type="dxa"/>
            <w:vAlign w:val="center"/>
          </w:tcPr>
          <w:p>
            <w:pPr>
              <w:spacing w:line="360" w:lineRule="auto"/>
              <w:rPr>
                <w:bCs/>
                <w:sz w:val="24"/>
                <w:szCs w:val="24"/>
                <w:lang w:val="en-US"/>
              </w:rPr>
            </w:pPr>
            <w:r>
              <w:rPr>
                <w:rFonts w:hint="eastAsia"/>
                <w:sz w:val="24"/>
                <w:szCs w:val="24"/>
              </w:rPr>
              <w:t>周财竞谈</w:t>
            </w:r>
            <w:r>
              <w:rPr>
                <w:rFonts w:hint="eastAsia"/>
                <w:sz w:val="24"/>
                <w:szCs w:val="24"/>
                <w:lang w:val="en-US"/>
              </w:rPr>
              <w:t>-2024-152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3</w:t>
            </w:r>
          </w:p>
        </w:tc>
        <w:tc>
          <w:tcPr>
            <w:tcW w:w="1418" w:type="dxa"/>
            <w:tcBorders>
              <w:left w:val="single" w:color="auto" w:sz="4" w:space="0"/>
            </w:tcBorders>
            <w:vAlign w:val="center"/>
          </w:tcPr>
          <w:p>
            <w:pPr>
              <w:spacing w:line="360" w:lineRule="auto"/>
              <w:jc w:val="center"/>
              <w:rPr>
                <w:sz w:val="24"/>
                <w:szCs w:val="24"/>
              </w:rPr>
            </w:pPr>
            <w:r>
              <w:rPr>
                <w:rFonts w:hint="eastAsia"/>
                <w:bCs/>
                <w:sz w:val="24"/>
                <w:szCs w:val="24"/>
              </w:rPr>
              <w:t>采购人</w:t>
            </w:r>
          </w:p>
        </w:tc>
        <w:tc>
          <w:tcPr>
            <w:tcW w:w="6601" w:type="dxa"/>
            <w:vAlign w:val="center"/>
          </w:tcPr>
          <w:p>
            <w:pPr>
              <w:spacing w:line="360" w:lineRule="auto"/>
              <w:rPr>
                <w:sz w:val="24"/>
                <w:szCs w:val="24"/>
              </w:rPr>
            </w:pPr>
            <w:r>
              <w:rPr>
                <w:sz w:val="24"/>
                <w:szCs w:val="24"/>
              </w:rPr>
              <w:t xml:space="preserve">名 </w:t>
            </w:r>
            <w:r>
              <w:rPr>
                <w:rFonts w:hint="eastAsia"/>
                <w:sz w:val="24"/>
                <w:szCs w:val="24"/>
              </w:rPr>
              <w:t xml:space="preserve"> </w:t>
            </w:r>
            <w:r>
              <w:rPr>
                <w:sz w:val="24"/>
                <w:szCs w:val="24"/>
              </w:rPr>
              <w:t>称：</w:t>
            </w:r>
            <w:r>
              <w:rPr>
                <w:rFonts w:hint="eastAsia"/>
                <w:sz w:val="24"/>
                <w:szCs w:val="24"/>
              </w:rPr>
              <w:t>周口市公安局</w:t>
            </w:r>
            <w:r>
              <w:rPr>
                <w:sz w:val="24"/>
                <w:szCs w:val="24"/>
              </w:rPr>
              <w:t>　　　　　　　　　　　　</w:t>
            </w:r>
          </w:p>
          <w:p>
            <w:pPr>
              <w:spacing w:line="360" w:lineRule="auto"/>
              <w:rPr>
                <w:sz w:val="24"/>
                <w:szCs w:val="24"/>
              </w:rPr>
            </w:pPr>
            <w:r>
              <w:rPr>
                <w:sz w:val="24"/>
                <w:szCs w:val="24"/>
              </w:rPr>
              <w:t>联系人：</w:t>
            </w:r>
            <w:r>
              <w:rPr>
                <w:rFonts w:hint="eastAsia"/>
                <w:sz w:val="24"/>
                <w:szCs w:val="24"/>
              </w:rPr>
              <w:t>刘天奎</w:t>
            </w:r>
          </w:p>
          <w:p>
            <w:pPr>
              <w:spacing w:line="360" w:lineRule="auto"/>
              <w:rPr>
                <w:sz w:val="24"/>
                <w:szCs w:val="24"/>
              </w:rPr>
            </w:pPr>
            <w:r>
              <w:rPr>
                <w:rFonts w:hint="eastAsia"/>
                <w:sz w:val="24"/>
                <w:szCs w:val="24"/>
              </w:rPr>
              <w:t>电  话</w:t>
            </w:r>
            <w:r>
              <w:rPr>
                <w:sz w:val="24"/>
                <w:szCs w:val="24"/>
              </w:rPr>
              <w:t>：</w:t>
            </w:r>
            <w:r>
              <w:rPr>
                <w:rFonts w:hint="eastAsia"/>
                <w:sz w:val="24"/>
                <w:szCs w:val="24"/>
              </w:rPr>
              <w:t>18638090966</w:t>
            </w:r>
          </w:p>
          <w:p>
            <w:pPr>
              <w:spacing w:line="360" w:lineRule="auto"/>
              <w:rPr>
                <w:sz w:val="24"/>
                <w:szCs w:val="24"/>
                <w:lang w:val="en-US"/>
              </w:rPr>
            </w:pPr>
            <w:r>
              <w:rPr>
                <w:rFonts w:hint="eastAsia"/>
                <w:sz w:val="24"/>
                <w:szCs w:val="24"/>
              </w:rPr>
              <w:t>地  址：周口市光明路与政通路交叉口</w:t>
            </w:r>
            <w:r>
              <w:rPr>
                <w:sz w:val="24"/>
                <w:szCs w:val="24"/>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4</w:t>
            </w:r>
          </w:p>
        </w:tc>
        <w:tc>
          <w:tcPr>
            <w:tcW w:w="1418" w:type="dxa"/>
            <w:tcBorders>
              <w:left w:val="single" w:color="auto" w:sz="4" w:space="0"/>
            </w:tcBorders>
            <w:vAlign w:val="center"/>
          </w:tcPr>
          <w:p>
            <w:pPr>
              <w:spacing w:line="360" w:lineRule="auto"/>
              <w:jc w:val="center"/>
              <w:rPr>
                <w:bCs/>
                <w:sz w:val="24"/>
                <w:szCs w:val="24"/>
              </w:rPr>
            </w:pPr>
            <w:r>
              <w:rPr>
                <w:rFonts w:hint="eastAsia"/>
                <w:bCs/>
                <w:sz w:val="24"/>
                <w:szCs w:val="24"/>
              </w:rPr>
              <w:t>采购代理</w:t>
            </w:r>
          </w:p>
          <w:p>
            <w:pPr>
              <w:spacing w:line="360" w:lineRule="auto"/>
              <w:jc w:val="center"/>
              <w:rPr>
                <w:sz w:val="24"/>
                <w:szCs w:val="24"/>
              </w:rPr>
            </w:pPr>
            <w:r>
              <w:rPr>
                <w:rFonts w:hint="eastAsia"/>
                <w:bCs/>
                <w:sz w:val="24"/>
                <w:szCs w:val="24"/>
              </w:rPr>
              <w:t>机构</w:t>
            </w:r>
          </w:p>
        </w:tc>
        <w:tc>
          <w:tcPr>
            <w:tcW w:w="6601" w:type="dxa"/>
            <w:vAlign w:val="center"/>
          </w:tcPr>
          <w:p>
            <w:pPr>
              <w:spacing w:line="360" w:lineRule="auto"/>
              <w:rPr>
                <w:bCs/>
                <w:sz w:val="24"/>
                <w:szCs w:val="24"/>
                <w:lang w:val="en-US"/>
              </w:rPr>
            </w:pPr>
            <w:r>
              <w:rPr>
                <w:rFonts w:hint="eastAsia"/>
                <w:bCs/>
                <w:sz w:val="24"/>
                <w:szCs w:val="24"/>
              </w:rPr>
              <w:t>采购代理机构：</w:t>
            </w:r>
            <w:r>
              <w:rPr>
                <w:rFonts w:hint="eastAsia"/>
                <w:bCs/>
                <w:sz w:val="24"/>
                <w:szCs w:val="24"/>
                <w:lang w:val="en-US"/>
              </w:rPr>
              <w:t>周口市公共资源交易中心政府采购中心</w:t>
            </w:r>
          </w:p>
          <w:p>
            <w:pPr>
              <w:spacing w:line="360" w:lineRule="auto"/>
              <w:rPr>
                <w:sz w:val="24"/>
                <w:szCs w:val="24"/>
              </w:rPr>
            </w:pPr>
            <w:r>
              <w:rPr>
                <w:rFonts w:hint="eastAsia"/>
                <w:bCs/>
                <w:sz w:val="24"/>
                <w:szCs w:val="24"/>
              </w:rPr>
              <w:t>联系地址：</w:t>
            </w:r>
            <w:r>
              <w:rPr>
                <w:sz w:val="24"/>
                <w:szCs w:val="24"/>
              </w:rPr>
              <w:t>周口市光明路与政通路交叉口向北100米路东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5</w:t>
            </w:r>
          </w:p>
        </w:tc>
        <w:tc>
          <w:tcPr>
            <w:tcW w:w="1418" w:type="dxa"/>
            <w:tcBorders>
              <w:left w:val="single" w:color="auto" w:sz="4" w:space="0"/>
            </w:tcBorders>
            <w:vAlign w:val="center"/>
          </w:tcPr>
          <w:p>
            <w:pPr>
              <w:spacing w:line="360" w:lineRule="auto"/>
              <w:jc w:val="center"/>
              <w:rPr>
                <w:sz w:val="24"/>
                <w:szCs w:val="24"/>
              </w:rPr>
            </w:pPr>
            <w:r>
              <w:rPr>
                <w:rFonts w:hint="eastAsia"/>
                <w:bCs/>
                <w:sz w:val="24"/>
                <w:szCs w:val="24"/>
              </w:rPr>
              <w:t>资金来源</w:t>
            </w:r>
          </w:p>
        </w:tc>
        <w:tc>
          <w:tcPr>
            <w:tcW w:w="6601" w:type="dxa"/>
            <w:vAlign w:val="center"/>
          </w:tcPr>
          <w:p>
            <w:pPr>
              <w:spacing w:line="360" w:lineRule="auto"/>
              <w:rPr>
                <w:bCs/>
                <w:sz w:val="24"/>
                <w:szCs w:val="24"/>
              </w:rPr>
            </w:pPr>
            <w:r>
              <w:rPr>
                <w:rFonts w:hint="eastAsia"/>
                <w:bCs/>
                <w:sz w:val="24"/>
                <w:szCs w:val="24"/>
              </w:rPr>
              <w:t>财政资金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6</w:t>
            </w:r>
          </w:p>
        </w:tc>
        <w:tc>
          <w:tcPr>
            <w:tcW w:w="1418" w:type="dxa"/>
            <w:tcBorders>
              <w:left w:val="single" w:color="auto" w:sz="4" w:space="0"/>
            </w:tcBorders>
            <w:vAlign w:val="center"/>
          </w:tcPr>
          <w:p>
            <w:pPr>
              <w:spacing w:line="360" w:lineRule="auto"/>
              <w:jc w:val="center"/>
              <w:rPr>
                <w:sz w:val="24"/>
                <w:szCs w:val="24"/>
              </w:rPr>
            </w:pPr>
            <w:r>
              <w:rPr>
                <w:rFonts w:hint="eastAsia"/>
                <w:bCs/>
                <w:sz w:val="24"/>
                <w:szCs w:val="24"/>
                <w:lang w:val="en-US"/>
              </w:rPr>
              <w:t>预算</w:t>
            </w:r>
            <w:r>
              <w:rPr>
                <w:rFonts w:hint="eastAsia"/>
                <w:bCs/>
                <w:sz w:val="24"/>
                <w:szCs w:val="24"/>
              </w:rPr>
              <w:t>金额</w:t>
            </w:r>
          </w:p>
        </w:tc>
        <w:tc>
          <w:tcPr>
            <w:tcW w:w="6601" w:type="dxa"/>
            <w:vAlign w:val="center"/>
          </w:tcPr>
          <w:p>
            <w:pPr>
              <w:spacing w:line="360" w:lineRule="auto"/>
              <w:rPr>
                <w:bCs/>
                <w:sz w:val="24"/>
                <w:szCs w:val="24"/>
              </w:rPr>
            </w:pPr>
            <w:r>
              <w:rPr>
                <w:bCs/>
                <w:sz w:val="24"/>
                <w:szCs w:val="24"/>
              </w:rPr>
              <w:t>77.689445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7</w:t>
            </w:r>
          </w:p>
        </w:tc>
        <w:tc>
          <w:tcPr>
            <w:tcW w:w="1418" w:type="dxa"/>
            <w:tcBorders>
              <w:left w:val="single" w:color="auto" w:sz="4" w:space="0"/>
            </w:tcBorders>
            <w:vAlign w:val="center"/>
          </w:tcPr>
          <w:p>
            <w:pPr>
              <w:spacing w:line="360" w:lineRule="auto"/>
              <w:jc w:val="center"/>
              <w:rPr>
                <w:sz w:val="24"/>
                <w:szCs w:val="24"/>
              </w:rPr>
            </w:pPr>
            <w:r>
              <w:rPr>
                <w:rFonts w:hint="eastAsia"/>
                <w:bCs/>
                <w:sz w:val="24"/>
                <w:szCs w:val="24"/>
              </w:rPr>
              <w:t>交货期</w:t>
            </w:r>
          </w:p>
        </w:tc>
        <w:tc>
          <w:tcPr>
            <w:tcW w:w="6601" w:type="dxa"/>
            <w:vAlign w:val="center"/>
          </w:tcPr>
          <w:p>
            <w:pPr>
              <w:spacing w:line="500" w:lineRule="exact"/>
              <w:rPr>
                <w:rFonts w:cs="Times New Roman"/>
                <w:sz w:val="24"/>
                <w:szCs w:val="24"/>
              </w:rPr>
            </w:pPr>
            <w:r>
              <w:rPr>
                <w:rFonts w:hint="eastAsia"/>
                <w:sz w:val="24"/>
                <w:szCs w:val="24"/>
              </w:rPr>
              <w:t>合同签订后</w:t>
            </w:r>
            <w:r>
              <w:rPr>
                <w:rFonts w:hint="eastAsia"/>
                <w:sz w:val="24"/>
                <w:szCs w:val="24"/>
                <w:u w:val="single"/>
              </w:rPr>
              <w:t xml:space="preserve"> 7 </w:t>
            </w:r>
            <w:r>
              <w:rPr>
                <w:rFonts w:hint="eastAsia"/>
                <w:sz w:val="24"/>
                <w:szCs w:val="24"/>
              </w:rPr>
              <w:t>日历天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8</w:t>
            </w:r>
          </w:p>
        </w:tc>
        <w:tc>
          <w:tcPr>
            <w:tcW w:w="1418" w:type="dxa"/>
            <w:tcBorders>
              <w:left w:val="single" w:color="auto" w:sz="4" w:space="0"/>
            </w:tcBorders>
            <w:vAlign w:val="center"/>
          </w:tcPr>
          <w:p>
            <w:pPr>
              <w:spacing w:line="360" w:lineRule="auto"/>
              <w:jc w:val="center"/>
              <w:rPr>
                <w:sz w:val="24"/>
                <w:szCs w:val="24"/>
              </w:rPr>
            </w:pPr>
            <w:r>
              <w:rPr>
                <w:rFonts w:hint="eastAsia"/>
                <w:bCs/>
                <w:sz w:val="24"/>
                <w:szCs w:val="24"/>
              </w:rPr>
              <w:t>交货地点</w:t>
            </w:r>
          </w:p>
        </w:tc>
        <w:tc>
          <w:tcPr>
            <w:tcW w:w="6601" w:type="dxa"/>
            <w:vAlign w:val="center"/>
          </w:tcPr>
          <w:p>
            <w:pPr>
              <w:spacing w:line="360" w:lineRule="auto"/>
              <w:rPr>
                <w:bCs/>
                <w:sz w:val="24"/>
                <w:szCs w:val="24"/>
              </w:rPr>
            </w:pPr>
            <w:r>
              <w:rPr>
                <w:rFonts w:hint="eastAsia"/>
                <w:bCs/>
                <w:sz w:val="24"/>
                <w:szCs w:val="24"/>
              </w:rPr>
              <w:t>采购人指定地点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9</w:t>
            </w:r>
          </w:p>
        </w:tc>
        <w:tc>
          <w:tcPr>
            <w:tcW w:w="1418" w:type="dxa"/>
            <w:tcBorders>
              <w:left w:val="single" w:color="auto" w:sz="4" w:space="0"/>
            </w:tcBorders>
            <w:vAlign w:val="center"/>
          </w:tcPr>
          <w:p>
            <w:pPr>
              <w:spacing w:line="360" w:lineRule="auto"/>
              <w:jc w:val="center"/>
              <w:rPr>
                <w:bCs/>
                <w:sz w:val="24"/>
                <w:szCs w:val="24"/>
              </w:rPr>
            </w:pPr>
            <w:r>
              <w:rPr>
                <w:rFonts w:hint="eastAsia"/>
                <w:bCs/>
                <w:sz w:val="24"/>
                <w:szCs w:val="24"/>
              </w:rPr>
              <w:t>采购内容</w:t>
            </w:r>
          </w:p>
        </w:tc>
        <w:tc>
          <w:tcPr>
            <w:tcW w:w="6601" w:type="dxa"/>
            <w:vAlign w:val="center"/>
          </w:tcPr>
          <w:p>
            <w:pPr>
              <w:rPr>
                <w:color w:val="000000"/>
                <w:sz w:val="24"/>
                <w:szCs w:val="24"/>
              </w:rPr>
            </w:pPr>
            <w:r>
              <w:rPr>
                <w:rFonts w:hint="eastAsia"/>
                <w:color w:val="000000"/>
                <w:sz w:val="24"/>
                <w:szCs w:val="24"/>
              </w:rPr>
              <w:t>周口市公安局科信支队图控中心升级改造（详见采购需求）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10</w:t>
            </w:r>
          </w:p>
        </w:tc>
        <w:tc>
          <w:tcPr>
            <w:tcW w:w="1418" w:type="dxa"/>
            <w:tcBorders>
              <w:left w:val="single" w:color="auto" w:sz="4" w:space="0"/>
            </w:tcBorders>
            <w:vAlign w:val="center"/>
          </w:tcPr>
          <w:p>
            <w:pPr>
              <w:adjustRightInd w:val="0"/>
              <w:snapToGrid w:val="0"/>
              <w:spacing w:line="360" w:lineRule="auto"/>
              <w:jc w:val="center"/>
              <w:rPr>
                <w:sz w:val="24"/>
                <w:szCs w:val="24"/>
              </w:rPr>
            </w:pPr>
            <w:r>
              <w:rPr>
                <w:rFonts w:hint="eastAsia"/>
                <w:sz w:val="24"/>
                <w:szCs w:val="24"/>
              </w:rPr>
              <w:t>供应商资格</w:t>
            </w:r>
          </w:p>
          <w:p>
            <w:pPr>
              <w:adjustRightInd w:val="0"/>
              <w:snapToGrid w:val="0"/>
              <w:spacing w:line="360" w:lineRule="auto"/>
              <w:jc w:val="center"/>
              <w:rPr>
                <w:sz w:val="24"/>
                <w:szCs w:val="24"/>
              </w:rPr>
            </w:pPr>
            <w:r>
              <w:rPr>
                <w:rFonts w:hint="eastAsia"/>
                <w:sz w:val="24"/>
                <w:szCs w:val="24"/>
              </w:rPr>
              <w:t>要求</w:t>
            </w:r>
          </w:p>
        </w:tc>
        <w:tc>
          <w:tcPr>
            <w:tcW w:w="6601" w:type="dxa"/>
            <w:vAlign w:val="center"/>
          </w:tcPr>
          <w:p>
            <w:pPr>
              <w:adjustRightInd w:val="0"/>
              <w:snapToGrid w:val="0"/>
              <w:spacing w:line="360" w:lineRule="auto"/>
              <w:rPr>
                <w:sz w:val="24"/>
                <w:szCs w:val="24"/>
                <w:lang w:val="en-US"/>
              </w:rPr>
            </w:pPr>
            <w:r>
              <w:rPr>
                <w:rFonts w:hint="eastAsia"/>
                <w:sz w:val="24"/>
                <w:szCs w:val="24"/>
                <w:lang w:val="en-US"/>
              </w:rPr>
              <w:t>见公告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11</w:t>
            </w:r>
          </w:p>
        </w:tc>
        <w:tc>
          <w:tcPr>
            <w:tcW w:w="1418" w:type="dxa"/>
            <w:tcBorders>
              <w:left w:val="single" w:color="auto" w:sz="4" w:space="0"/>
            </w:tcBorders>
            <w:vAlign w:val="center"/>
          </w:tcPr>
          <w:p>
            <w:pPr>
              <w:spacing w:line="360" w:lineRule="auto"/>
              <w:jc w:val="center"/>
              <w:rPr>
                <w:sz w:val="24"/>
                <w:szCs w:val="24"/>
              </w:rPr>
            </w:pPr>
            <w:r>
              <w:rPr>
                <w:sz w:val="24"/>
                <w:szCs w:val="24"/>
              </w:rPr>
              <w:t>投标有效期</w:t>
            </w:r>
          </w:p>
        </w:tc>
        <w:tc>
          <w:tcPr>
            <w:tcW w:w="6601" w:type="dxa"/>
            <w:vAlign w:val="center"/>
          </w:tcPr>
          <w:p>
            <w:pPr>
              <w:spacing w:line="360" w:lineRule="auto"/>
              <w:rPr>
                <w:sz w:val="24"/>
                <w:szCs w:val="24"/>
              </w:rPr>
            </w:pPr>
            <w:r>
              <w:rPr>
                <w:sz w:val="24"/>
                <w:szCs w:val="24"/>
              </w:rPr>
              <w:t>自投标截止之日起</w:t>
            </w:r>
            <w:r>
              <w:rPr>
                <w:rFonts w:hint="eastAsia"/>
                <w:sz w:val="24"/>
                <w:szCs w:val="24"/>
              </w:rPr>
              <w:t>6</w:t>
            </w:r>
            <w:r>
              <w:rPr>
                <w:sz w:val="24"/>
                <w:szCs w:val="24"/>
              </w:rPr>
              <w:t>0日历天。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12</w:t>
            </w:r>
          </w:p>
        </w:tc>
        <w:tc>
          <w:tcPr>
            <w:tcW w:w="1418" w:type="dxa"/>
            <w:tcBorders>
              <w:left w:val="single" w:color="auto" w:sz="4" w:space="0"/>
            </w:tcBorders>
            <w:vAlign w:val="center"/>
          </w:tcPr>
          <w:p>
            <w:pPr>
              <w:spacing w:line="360" w:lineRule="auto"/>
              <w:jc w:val="center"/>
              <w:rPr>
                <w:sz w:val="24"/>
                <w:szCs w:val="24"/>
              </w:rPr>
            </w:pPr>
            <w:r>
              <w:rPr>
                <w:rFonts w:hint="eastAsia"/>
                <w:sz w:val="24"/>
                <w:szCs w:val="24"/>
              </w:rPr>
              <w:t>投标保证金</w:t>
            </w:r>
          </w:p>
        </w:tc>
        <w:tc>
          <w:tcPr>
            <w:tcW w:w="6601" w:type="dxa"/>
            <w:vAlign w:val="center"/>
          </w:tcPr>
          <w:p>
            <w:pPr>
              <w:adjustRightInd w:val="0"/>
              <w:spacing w:line="380" w:lineRule="exact"/>
              <w:textAlignment w:val="baseline"/>
              <w:rPr>
                <w:sz w:val="24"/>
                <w:szCs w:val="24"/>
                <w:lang w:val="en-US"/>
              </w:rPr>
            </w:pPr>
            <w:r>
              <w:rPr>
                <w:rFonts w:hint="eastAsia"/>
                <w:sz w:val="24"/>
                <w:szCs w:val="24"/>
                <w:lang w:val="en-US"/>
              </w:rPr>
              <w:t>本项目不需要缴纳谈判保证金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13</w:t>
            </w:r>
          </w:p>
        </w:tc>
        <w:tc>
          <w:tcPr>
            <w:tcW w:w="1418" w:type="dxa"/>
            <w:tcBorders>
              <w:left w:val="single" w:color="auto" w:sz="4" w:space="0"/>
            </w:tcBorders>
            <w:vAlign w:val="center"/>
          </w:tcPr>
          <w:p>
            <w:pPr>
              <w:spacing w:line="360" w:lineRule="auto"/>
              <w:jc w:val="center"/>
              <w:rPr>
                <w:sz w:val="24"/>
                <w:szCs w:val="24"/>
              </w:rPr>
            </w:pPr>
            <w:r>
              <w:rPr>
                <w:rFonts w:hint="eastAsia"/>
                <w:sz w:val="24"/>
                <w:szCs w:val="24"/>
              </w:rPr>
              <w:t>签字或盖章要求</w:t>
            </w:r>
          </w:p>
        </w:tc>
        <w:tc>
          <w:tcPr>
            <w:tcW w:w="6601" w:type="dxa"/>
            <w:vAlign w:val="center"/>
          </w:tcPr>
          <w:p>
            <w:pPr>
              <w:keepNext/>
              <w:spacing w:line="360" w:lineRule="auto"/>
              <w:rPr>
                <w:sz w:val="24"/>
                <w:szCs w:val="24"/>
              </w:rPr>
            </w:pPr>
            <w:r>
              <w:rPr>
                <w:rFonts w:hint="eastAsia"/>
                <w:sz w:val="24"/>
                <w:szCs w:val="24"/>
              </w:rPr>
              <w:t>本竞争性谈判文件中明确需法定代表人、授权代表签字的地方内容应全姓名签署，明确加盖单位公章的内容应加盖单位公章，不得用其它印章代替。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14</w:t>
            </w:r>
          </w:p>
        </w:tc>
        <w:tc>
          <w:tcPr>
            <w:tcW w:w="1418" w:type="dxa"/>
            <w:tcBorders>
              <w:left w:val="single" w:color="auto" w:sz="4" w:space="0"/>
            </w:tcBorders>
            <w:vAlign w:val="center"/>
          </w:tcPr>
          <w:p>
            <w:pPr>
              <w:spacing w:line="360" w:lineRule="auto"/>
              <w:jc w:val="center"/>
              <w:rPr>
                <w:sz w:val="24"/>
                <w:szCs w:val="24"/>
              </w:rPr>
            </w:pPr>
            <w:r>
              <w:rPr>
                <w:sz w:val="24"/>
                <w:szCs w:val="24"/>
              </w:rPr>
              <w:t>投标文件份数</w:t>
            </w:r>
          </w:p>
        </w:tc>
        <w:tc>
          <w:tcPr>
            <w:tcW w:w="6601" w:type="dxa"/>
            <w:vAlign w:val="center"/>
          </w:tcPr>
          <w:p>
            <w:pPr>
              <w:pStyle w:val="2"/>
              <w:ind w:firstLine="480" w:firstLineChars="200"/>
              <w:rPr>
                <w:sz w:val="24"/>
                <w:szCs w:val="24"/>
              </w:rPr>
            </w:pPr>
            <w:r>
              <w:rPr>
                <w:rFonts w:hint="eastAsia"/>
                <w:sz w:val="24"/>
                <w:szCs w:val="24"/>
              </w:rPr>
              <w:t>1、投标文件为使用周口市公共资源交易中心提供的电子标书制作工具软件（</w:t>
            </w:r>
            <w:r>
              <w:fldChar w:fldCharType="begin"/>
            </w:r>
            <w:r>
              <w:instrText xml:space="preserve">HYPERLINK "http://jyzx.zhoukou.gov.cn/" </w:instrText>
            </w:r>
            <w:r>
              <w:fldChar w:fldCharType="separate"/>
            </w:r>
            <w:r>
              <w:rPr>
                <w:rStyle w:val="19"/>
                <w:rFonts w:cs="Segoe UI"/>
                <w:sz w:val="24"/>
                <w:szCs w:val="24"/>
              </w:rPr>
              <w:t>http://jyzx.zhoukou.gov.cn</w:t>
            </w:r>
            <w:r>
              <w:fldChar w:fldCharType="end"/>
            </w:r>
            <w:r>
              <w:rPr>
                <w:rFonts w:hint="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pPr>
              <w:keepNext/>
              <w:spacing w:line="360" w:lineRule="auto"/>
              <w:rPr>
                <w:sz w:val="24"/>
                <w:szCs w:val="24"/>
              </w:rPr>
            </w:pPr>
            <w:r>
              <w:rPr>
                <w:rFonts w:hint="eastAsia"/>
                <w:sz w:val="24"/>
                <w:szCs w:val="24"/>
              </w:rPr>
              <w:t>2、本项目实行网上远程开标无须到现场提交响应文件，未加密的电子投标文件和纸质文件不再提交。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pPr>
              <w:spacing w:line="360" w:lineRule="auto"/>
              <w:jc w:val="center"/>
              <w:rPr>
                <w:sz w:val="24"/>
                <w:szCs w:val="24"/>
                <w:lang w:val="en-US"/>
              </w:rPr>
            </w:pPr>
            <w:r>
              <w:rPr>
                <w:rFonts w:hint="eastAsia"/>
                <w:sz w:val="24"/>
                <w:szCs w:val="24"/>
                <w:lang w:val="en-US"/>
              </w:rPr>
              <w:t>15</w:t>
            </w:r>
          </w:p>
        </w:tc>
        <w:tc>
          <w:tcPr>
            <w:tcW w:w="1418" w:type="dxa"/>
            <w:tcBorders>
              <w:left w:val="single" w:color="auto" w:sz="4" w:space="0"/>
            </w:tcBorders>
            <w:vAlign w:val="center"/>
          </w:tcPr>
          <w:p>
            <w:pPr>
              <w:spacing w:line="360" w:lineRule="auto"/>
              <w:jc w:val="center"/>
              <w:rPr>
                <w:sz w:val="24"/>
                <w:szCs w:val="24"/>
              </w:rPr>
            </w:pPr>
            <w:r>
              <w:rPr>
                <w:sz w:val="24"/>
                <w:szCs w:val="24"/>
              </w:rPr>
              <w:t>投标截止时间</w:t>
            </w:r>
          </w:p>
        </w:tc>
        <w:tc>
          <w:tcPr>
            <w:tcW w:w="6601" w:type="dxa"/>
            <w:vAlign w:val="center"/>
          </w:tcPr>
          <w:p>
            <w:pPr>
              <w:spacing w:line="360" w:lineRule="auto"/>
              <w:rPr>
                <w:color w:val="FF0000"/>
                <w:sz w:val="24"/>
                <w:szCs w:val="24"/>
              </w:rPr>
            </w:pPr>
            <w:r>
              <w:rPr>
                <w:sz w:val="24"/>
                <w:szCs w:val="24"/>
              </w:rPr>
              <w:t>递交</w:t>
            </w:r>
            <w:r>
              <w:rPr>
                <w:rFonts w:hint="eastAsia"/>
                <w:sz w:val="24"/>
                <w:szCs w:val="24"/>
                <w:lang w:val="en-US"/>
              </w:rPr>
              <w:t>响应</w:t>
            </w:r>
            <w:r>
              <w:rPr>
                <w:sz w:val="24"/>
                <w:szCs w:val="24"/>
              </w:rPr>
              <w:t>文件截止时间：</w:t>
            </w:r>
            <w:r>
              <w:rPr>
                <w:rFonts w:hint="eastAsia"/>
                <w:color w:val="000000"/>
                <w:sz w:val="24"/>
                <w:szCs w:val="24"/>
              </w:rPr>
              <w:t>2024年05月</w:t>
            </w:r>
            <w:r>
              <w:rPr>
                <w:rFonts w:hint="eastAsia"/>
                <w:color w:val="000000"/>
                <w:sz w:val="24"/>
                <w:szCs w:val="24"/>
                <w:lang w:val="en-US" w:eastAsia="zh-CN"/>
              </w:rPr>
              <w:t>23</w:t>
            </w:r>
            <w:r>
              <w:rPr>
                <w:rFonts w:hint="eastAsia"/>
                <w:color w:val="000000"/>
                <w:sz w:val="24"/>
                <w:szCs w:val="24"/>
              </w:rPr>
              <w:t>日10点00分</w:t>
            </w:r>
          </w:p>
          <w:p>
            <w:pPr>
              <w:spacing w:line="360" w:lineRule="auto"/>
              <w:rPr>
                <w:sz w:val="24"/>
                <w:szCs w:val="24"/>
              </w:rPr>
            </w:pPr>
            <w:r>
              <w:rPr>
                <w:sz w:val="24"/>
                <w:szCs w:val="24"/>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1</w:t>
            </w:r>
            <w:r>
              <w:rPr>
                <w:rFonts w:hint="eastAsia"/>
                <w:sz w:val="24"/>
                <w:szCs w:val="24"/>
                <w:lang w:val="en-US"/>
              </w:rPr>
              <w:t>6</w:t>
            </w:r>
          </w:p>
        </w:tc>
        <w:tc>
          <w:tcPr>
            <w:tcW w:w="1418" w:type="dxa"/>
            <w:tcBorders>
              <w:left w:val="single" w:color="auto" w:sz="4" w:space="0"/>
            </w:tcBorders>
            <w:vAlign w:val="center"/>
          </w:tcPr>
          <w:p>
            <w:pPr>
              <w:spacing w:line="360" w:lineRule="auto"/>
              <w:jc w:val="center"/>
              <w:rPr>
                <w:sz w:val="24"/>
                <w:szCs w:val="24"/>
              </w:rPr>
            </w:pPr>
            <w:r>
              <w:rPr>
                <w:sz w:val="24"/>
                <w:szCs w:val="24"/>
              </w:rPr>
              <w:t>开标时间</w:t>
            </w:r>
          </w:p>
          <w:p>
            <w:pPr>
              <w:spacing w:line="360" w:lineRule="auto"/>
              <w:jc w:val="center"/>
              <w:rPr>
                <w:sz w:val="24"/>
                <w:szCs w:val="24"/>
              </w:rPr>
            </w:pPr>
            <w:r>
              <w:rPr>
                <w:sz w:val="24"/>
                <w:szCs w:val="24"/>
              </w:rPr>
              <w:t>和地点</w:t>
            </w:r>
          </w:p>
        </w:tc>
        <w:tc>
          <w:tcPr>
            <w:tcW w:w="6601" w:type="dxa"/>
            <w:vAlign w:val="center"/>
          </w:tcPr>
          <w:p>
            <w:pPr>
              <w:spacing w:line="400" w:lineRule="exact"/>
              <w:rPr>
                <w:sz w:val="24"/>
                <w:szCs w:val="24"/>
              </w:rPr>
            </w:pPr>
            <w:r>
              <w:rPr>
                <w:rFonts w:hint="eastAsia"/>
                <w:sz w:val="24"/>
                <w:szCs w:val="24"/>
              </w:rPr>
              <w:t>开标时间：</w:t>
            </w:r>
            <w:r>
              <w:rPr>
                <w:rFonts w:hint="eastAsia"/>
                <w:color w:val="000000"/>
                <w:sz w:val="24"/>
                <w:szCs w:val="24"/>
              </w:rPr>
              <w:t>2024年05月</w:t>
            </w:r>
            <w:r>
              <w:rPr>
                <w:rFonts w:hint="eastAsia"/>
                <w:color w:val="000000"/>
                <w:sz w:val="24"/>
                <w:szCs w:val="24"/>
                <w:lang w:val="en-US" w:eastAsia="zh-CN"/>
              </w:rPr>
              <w:t>23</w:t>
            </w:r>
            <w:r>
              <w:rPr>
                <w:rFonts w:hint="eastAsia"/>
                <w:color w:val="000000"/>
                <w:sz w:val="24"/>
                <w:szCs w:val="24"/>
              </w:rPr>
              <w:t>日10点00分</w:t>
            </w:r>
            <w:bookmarkStart w:id="56" w:name="_GoBack"/>
            <w:bookmarkEnd w:id="56"/>
            <w:r>
              <w:rPr>
                <w:sz w:val="24"/>
                <w:szCs w:val="24"/>
              </w:rPr>
              <w:t>（北京时间）</w:t>
            </w:r>
          </w:p>
          <w:p>
            <w:pPr>
              <w:spacing w:line="360" w:lineRule="auto"/>
              <w:rPr>
                <w:sz w:val="24"/>
                <w:szCs w:val="24"/>
                <w:lang w:val="en-US"/>
              </w:rPr>
            </w:pPr>
            <w:r>
              <w:rPr>
                <w:rFonts w:hint="eastAsia"/>
                <w:sz w:val="24"/>
                <w:szCs w:val="24"/>
              </w:rPr>
              <w:t>开标地点：周口市公共资源交易中心</w:t>
            </w:r>
            <w:r>
              <w:rPr>
                <w:rFonts w:hint="eastAsia"/>
                <w:sz w:val="24"/>
                <w:szCs w:val="24"/>
                <w:lang w:val="en-US"/>
              </w:rPr>
              <w:t>网</w:t>
            </w:r>
          </w:p>
          <w:p>
            <w:pPr>
              <w:pStyle w:val="2"/>
              <w:ind w:firstLine="480" w:firstLineChars="200"/>
              <w:rPr>
                <w:sz w:val="24"/>
                <w:szCs w:val="24"/>
                <w:lang w:val="en-US"/>
              </w:rPr>
            </w:pPr>
            <w:r>
              <w:rPr>
                <w:rFonts w:hint="eastAsia"/>
                <w:sz w:val="24"/>
                <w:szCs w:val="24"/>
              </w:rPr>
              <w:t>网址</w:t>
            </w:r>
            <w:r>
              <w:rPr>
                <w:rFonts w:hint="eastAsia"/>
                <w:sz w:val="24"/>
                <w:szCs w:val="24"/>
                <w:lang w:val="en-US"/>
              </w:rPr>
              <w:t>：</w:t>
            </w:r>
            <w:r>
              <w:rPr>
                <w:rFonts w:hint="eastAsia"/>
                <w:sz w:val="24"/>
                <w:szCs w:val="24"/>
              </w:rPr>
              <w:t>周口市公共资源电子交易服务平台会员系统</w:t>
            </w:r>
            <w:r>
              <w:rPr>
                <w:rFonts w:hint="eastAsia"/>
                <w:sz w:val="24"/>
                <w:szCs w:val="24"/>
                <w:lang w:val="en-US"/>
              </w:rPr>
              <w:t>（</w:t>
            </w:r>
            <w:r>
              <w:rPr>
                <w:rFonts w:hint="eastAsia"/>
                <w:sz w:val="24"/>
                <w:szCs w:val="24"/>
              </w:rPr>
              <w:t>网址</w:t>
            </w:r>
            <w:r>
              <w:fldChar w:fldCharType="begin"/>
            </w:r>
            <w:r>
              <w:instrText xml:space="preserve">HYPERLINK "http://jyzx.zhoukou.gov.cn/" </w:instrText>
            </w:r>
            <w:r>
              <w:fldChar w:fldCharType="separate"/>
            </w:r>
            <w:r>
              <w:rPr>
                <w:rStyle w:val="19"/>
                <w:rFonts w:cs="Segoe UI"/>
                <w:sz w:val="24"/>
                <w:szCs w:val="24"/>
                <w:lang w:val="en-US"/>
              </w:rPr>
              <w:t>http://jyzx.zhoukou.gov.cn</w:t>
            </w:r>
            <w:r>
              <w:fldChar w:fldCharType="end"/>
            </w:r>
            <w:r>
              <w:rPr>
                <w:rFonts w:cs="Segoe UI"/>
                <w:color w:val="333333"/>
                <w:sz w:val="24"/>
                <w:szCs w:val="24"/>
                <w:lang w:val="en-US"/>
              </w:rPr>
              <w:t>）</w:t>
            </w:r>
          </w:p>
          <w:p>
            <w:pPr>
              <w:spacing w:line="360" w:lineRule="auto"/>
              <w:rPr>
                <w:sz w:val="24"/>
                <w:szCs w:val="24"/>
                <w:lang w:val="en-US"/>
              </w:rPr>
            </w:pPr>
            <w:r>
              <w:rPr>
                <w:rFonts w:hint="eastAsia"/>
                <w:sz w:val="24"/>
                <w:szCs w:val="24"/>
              </w:rPr>
              <w:t>（本项目实行网上远程开标无须到现场提交响应文件）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1</w:t>
            </w:r>
            <w:r>
              <w:rPr>
                <w:rFonts w:hint="eastAsia"/>
                <w:sz w:val="24"/>
                <w:szCs w:val="24"/>
                <w:lang w:val="en-US"/>
              </w:rPr>
              <w:t>7</w:t>
            </w:r>
          </w:p>
        </w:tc>
        <w:tc>
          <w:tcPr>
            <w:tcW w:w="1418" w:type="dxa"/>
            <w:tcBorders>
              <w:left w:val="single" w:color="auto" w:sz="4" w:space="0"/>
            </w:tcBorders>
            <w:vAlign w:val="center"/>
          </w:tcPr>
          <w:p>
            <w:pPr>
              <w:spacing w:line="360" w:lineRule="auto"/>
              <w:jc w:val="center"/>
              <w:rPr>
                <w:sz w:val="24"/>
                <w:szCs w:val="24"/>
              </w:rPr>
            </w:pPr>
            <w:r>
              <w:rPr>
                <w:rFonts w:hint="eastAsia"/>
                <w:sz w:val="24"/>
                <w:szCs w:val="24"/>
              </w:rPr>
              <w:t>评标委员会的组建</w:t>
            </w:r>
          </w:p>
        </w:tc>
        <w:tc>
          <w:tcPr>
            <w:tcW w:w="6601" w:type="dxa"/>
            <w:vAlign w:val="center"/>
          </w:tcPr>
          <w:p>
            <w:pPr>
              <w:spacing w:line="360" w:lineRule="auto"/>
              <w:jc w:val="both"/>
              <w:rPr>
                <w:sz w:val="24"/>
                <w:szCs w:val="24"/>
              </w:rPr>
            </w:pPr>
            <w:r>
              <w:rPr>
                <w:rFonts w:hint="eastAsia"/>
                <w:sz w:val="24"/>
                <w:szCs w:val="24"/>
              </w:rPr>
              <w:t>评标委员会构成：由技术类专家评委3人组成。</w:t>
            </w:r>
          </w:p>
          <w:p>
            <w:pPr>
              <w:spacing w:line="360" w:lineRule="auto"/>
              <w:rPr>
                <w:sz w:val="24"/>
                <w:szCs w:val="24"/>
              </w:rPr>
            </w:pPr>
            <w:r>
              <w:rPr>
                <w:rFonts w:hint="eastAsia"/>
                <w:sz w:val="24"/>
                <w:szCs w:val="24"/>
              </w:rPr>
              <w:t>评标专家确定方式：在评标前从相关专家库中随机抽取选定。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1</w:t>
            </w:r>
            <w:r>
              <w:rPr>
                <w:rFonts w:hint="eastAsia"/>
                <w:sz w:val="24"/>
                <w:szCs w:val="24"/>
                <w:lang w:val="en-US"/>
              </w:rPr>
              <w:t>8</w:t>
            </w:r>
          </w:p>
        </w:tc>
        <w:tc>
          <w:tcPr>
            <w:tcW w:w="1418" w:type="dxa"/>
            <w:tcBorders>
              <w:left w:val="single" w:color="auto" w:sz="4" w:space="0"/>
            </w:tcBorders>
            <w:vAlign w:val="center"/>
          </w:tcPr>
          <w:p>
            <w:pPr>
              <w:spacing w:line="400" w:lineRule="exact"/>
              <w:jc w:val="center"/>
              <w:rPr>
                <w:sz w:val="24"/>
                <w:szCs w:val="24"/>
              </w:rPr>
            </w:pPr>
            <w:r>
              <w:rPr>
                <w:rFonts w:hint="eastAsia"/>
                <w:sz w:val="24"/>
                <w:szCs w:val="24"/>
              </w:rPr>
              <w:t>是否授权评标委员会确定中标人</w:t>
            </w:r>
          </w:p>
        </w:tc>
        <w:tc>
          <w:tcPr>
            <w:tcW w:w="6601" w:type="dxa"/>
            <w:vAlign w:val="center"/>
          </w:tcPr>
          <w:p>
            <w:pPr>
              <w:spacing w:line="400" w:lineRule="exact"/>
              <w:rPr>
                <w:sz w:val="24"/>
                <w:szCs w:val="24"/>
                <w:lang w:val="en-US"/>
              </w:rPr>
            </w:pPr>
            <w:r>
              <w:rPr>
                <w:rFonts w:hint="eastAsia"/>
                <w:sz w:val="24"/>
                <w:szCs w:val="24"/>
              </w:rPr>
              <w:t>否，</w:t>
            </w:r>
            <w:r>
              <w:rPr>
                <w:rFonts w:hint="eastAsia"/>
                <w:sz w:val="24"/>
                <w:szCs w:val="24"/>
                <w:lang w:val="en-US"/>
              </w:rPr>
              <w:t>由谈判小组推荐中标候选人，由采购人确定中标人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rPr>
              <w:t>19</w:t>
            </w:r>
          </w:p>
        </w:tc>
        <w:tc>
          <w:tcPr>
            <w:tcW w:w="1418" w:type="dxa"/>
            <w:tcBorders>
              <w:left w:val="single" w:color="auto" w:sz="4" w:space="0"/>
            </w:tcBorders>
            <w:vAlign w:val="center"/>
          </w:tcPr>
          <w:p>
            <w:pPr>
              <w:spacing w:line="400" w:lineRule="exact"/>
              <w:rPr>
                <w:sz w:val="24"/>
                <w:szCs w:val="24"/>
              </w:rPr>
            </w:pPr>
            <w:r>
              <w:rPr>
                <w:rFonts w:hint="eastAsia"/>
                <w:sz w:val="24"/>
                <w:szCs w:val="24"/>
                <w:lang w:val="en-US"/>
              </w:rPr>
              <w:t>代理</w:t>
            </w:r>
            <w:r>
              <w:rPr>
                <w:rFonts w:hint="eastAsia"/>
                <w:sz w:val="24"/>
                <w:szCs w:val="24"/>
              </w:rPr>
              <w:t>服务费</w:t>
            </w:r>
          </w:p>
        </w:tc>
        <w:tc>
          <w:tcPr>
            <w:tcW w:w="6601" w:type="dxa"/>
            <w:vAlign w:val="center"/>
          </w:tcPr>
          <w:p>
            <w:pPr>
              <w:spacing w:line="400" w:lineRule="exact"/>
              <w:rPr>
                <w:sz w:val="24"/>
                <w:szCs w:val="24"/>
                <w:lang w:val="en-US"/>
              </w:rPr>
            </w:pPr>
            <w:r>
              <w:rPr>
                <w:rFonts w:hint="eastAsia"/>
                <w:sz w:val="24"/>
                <w:szCs w:val="24"/>
                <w:lang w:val="en-US"/>
              </w:rPr>
              <w:t>本项目不收取代理服务费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pPr>
              <w:spacing w:line="360" w:lineRule="auto"/>
              <w:jc w:val="center"/>
              <w:rPr>
                <w:sz w:val="24"/>
                <w:szCs w:val="24"/>
              </w:rPr>
            </w:pPr>
            <w:r>
              <w:rPr>
                <w:rFonts w:hint="eastAsia"/>
                <w:sz w:val="24"/>
                <w:szCs w:val="24"/>
                <w:lang w:val="en-US"/>
              </w:rPr>
              <w:t>20</w:t>
            </w:r>
          </w:p>
        </w:tc>
        <w:tc>
          <w:tcPr>
            <w:tcW w:w="1418" w:type="dxa"/>
            <w:tcBorders>
              <w:left w:val="single" w:color="auto" w:sz="4" w:space="0"/>
            </w:tcBorders>
            <w:vAlign w:val="center"/>
          </w:tcPr>
          <w:p>
            <w:pPr>
              <w:spacing w:beforeLines="50"/>
              <w:ind w:firstLine="14" w:firstLineChars="6"/>
              <w:jc w:val="center"/>
              <w:rPr>
                <w:sz w:val="24"/>
                <w:szCs w:val="24"/>
                <w:lang w:val="en-US"/>
              </w:rPr>
            </w:pPr>
            <w:r>
              <w:rPr>
                <w:rFonts w:hint="eastAsia"/>
                <w:bCs/>
                <w:sz w:val="24"/>
                <w:szCs w:val="24"/>
                <w:lang w:val="en-US"/>
              </w:rPr>
              <w:t>报价</w:t>
            </w:r>
          </w:p>
        </w:tc>
        <w:tc>
          <w:tcPr>
            <w:tcW w:w="6601" w:type="dxa"/>
            <w:vAlign w:val="center"/>
          </w:tcPr>
          <w:p>
            <w:pPr>
              <w:tabs>
                <w:tab w:val="left" w:pos="8640"/>
              </w:tabs>
              <w:rPr>
                <w:sz w:val="24"/>
                <w:szCs w:val="24"/>
                <w:lang w:val="en-US"/>
              </w:rPr>
            </w:pPr>
            <w:r>
              <w:rPr>
                <w:rFonts w:hint="eastAsia"/>
                <w:bCs/>
                <w:sz w:val="24"/>
                <w:szCs w:val="24"/>
                <w:lang w:val="en-US"/>
              </w:rPr>
              <w:t>二次报价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pPr>
              <w:spacing w:line="360" w:lineRule="auto"/>
              <w:jc w:val="center"/>
              <w:rPr>
                <w:sz w:val="24"/>
                <w:szCs w:val="24"/>
                <w:lang w:val="en-US"/>
              </w:rPr>
            </w:pPr>
            <w:r>
              <w:rPr>
                <w:rFonts w:hint="eastAsia"/>
                <w:sz w:val="24"/>
                <w:szCs w:val="24"/>
                <w:lang w:val="en-US"/>
              </w:rPr>
              <w:t>21</w:t>
            </w:r>
          </w:p>
        </w:tc>
        <w:tc>
          <w:tcPr>
            <w:tcW w:w="1418" w:type="dxa"/>
            <w:tcBorders>
              <w:left w:val="single" w:color="auto" w:sz="4" w:space="0"/>
            </w:tcBorders>
            <w:vAlign w:val="center"/>
          </w:tcPr>
          <w:p>
            <w:pPr>
              <w:ind w:firstLine="14"/>
              <w:jc w:val="center"/>
              <w:rPr>
                <w:sz w:val="24"/>
                <w:szCs w:val="24"/>
              </w:rPr>
            </w:pPr>
            <w:r>
              <w:rPr>
                <w:sz w:val="24"/>
                <w:szCs w:val="24"/>
              </w:rPr>
              <w:t>勘察现场</w:t>
            </w:r>
          </w:p>
        </w:tc>
        <w:tc>
          <w:tcPr>
            <w:tcW w:w="6601" w:type="dxa"/>
            <w:vAlign w:val="center"/>
          </w:tcPr>
          <w:p>
            <w:pPr>
              <w:tabs>
                <w:tab w:val="left" w:pos="8640"/>
              </w:tabs>
              <w:ind w:firstLine="120" w:firstLineChars="50"/>
              <w:rPr>
                <w:sz w:val="24"/>
                <w:szCs w:val="24"/>
              </w:rPr>
            </w:pPr>
            <w:r>
              <w:rPr>
                <w:rFonts w:hint="eastAsia"/>
                <w:sz w:val="24"/>
                <w:szCs w:val="24"/>
              </w:rPr>
              <w:t>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sz w:val="24"/>
                <w:szCs w:val="24"/>
                <w:lang w:val="en-US"/>
              </w:rPr>
            </w:pPr>
            <w:r>
              <w:rPr>
                <w:rFonts w:hint="eastAsia"/>
                <w:sz w:val="24"/>
                <w:szCs w:val="24"/>
                <w:lang w:val="en-US"/>
              </w:rPr>
              <w:t>22</w:t>
            </w:r>
          </w:p>
        </w:tc>
        <w:tc>
          <w:tcPr>
            <w:tcW w:w="8019" w:type="dxa"/>
            <w:gridSpan w:val="2"/>
            <w:tcBorders>
              <w:left w:val="single" w:color="auto" w:sz="4" w:space="0"/>
            </w:tcBorders>
            <w:vAlign w:val="center"/>
          </w:tcPr>
          <w:p>
            <w:pPr>
              <w:spacing w:line="400" w:lineRule="exact"/>
              <w:rPr>
                <w:sz w:val="24"/>
                <w:szCs w:val="24"/>
              </w:rPr>
            </w:pPr>
            <w:r>
              <w:rPr>
                <w:rFonts w:hint="eastAsia"/>
                <w:sz w:val="24"/>
                <w:szCs w:val="24"/>
              </w:rPr>
              <w:t>本项目招标文件最终解释权归采购人所有。</w:t>
            </w:r>
          </w:p>
        </w:tc>
      </w:tr>
    </w:tbl>
    <w:p>
      <w:pPr>
        <w:sectPr>
          <w:footerReference r:id="rId4" w:type="default"/>
          <w:pgSz w:w="11906" w:h="16838"/>
          <w:pgMar w:top="1440" w:right="1800" w:bottom="1440" w:left="1800" w:header="851" w:footer="992" w:gutter="0"/>
          <w:pgNumType w:start="3"/>
          <w:cols w:space="720" w:num="1"/>
          <w:docGrid w:type="lines" w:linePitch="312" w:charSpace="0"/>
        </w:sectPr>
      </w:pPr>
    </w:p>
    <w:p>
      <w:pPr>
        <w:pStyle w:val="6"/>
        <w:numPr>
          <w:ilvl w:val="0"/>
          <w:numId w:val="2"/>
        </w:numPr>
        <w:adjustRightInd w:val="0"/>
        <w:snapToGrid w:val="0"/>
        <w:spacing w:line="360" w:lineRule="auto"/>
        <w:ind w:left="0" w:firstLine="602" w:firstLineChars="200"/>
      </w:pPr>
      <w:bookmarkStart w:id="38" w:name="第三部分__谈判项目要求"/>
      <w:bookmarkEnd w:id="38"/>
      <w:bookmarkStart w:id="39" w:name="_bookmark3"/>
      <w:bookmarkEnd w:id="39"/>
      <w:bookmarkStart w:id="40" w:name="第四部分__谈判供应商须知"/>
      <w:bookmarkEnd w:id="40"/>
      <w:r>
        <w:rPr>
          <w:rFonts w:hint="eastAsia"/>
        </w:rPr>
        <w:t>说明</w:t>
      </w:r>
    </w:p>
    <w:p>
      <w:pPr>
        <w:pStyle w:val="6"/>
        <w:adjustRightInd w:val="0"/>
        <w:snapToGrid w:val="0"/>
        <w:spacing w:line="360" w:lineRule="auto"/>
        <w:ind w:left="0" w:firstLine="482" w:firstLineChars="200"/>
        <w:rPr>
          <w:sz w:val="24"/>
          <w:szCs w:val="24"/>
        </w:rPr>
      </w:pPr>
      <w:r>
        <w:rPr>
          <w:rFonts w:hint="eastAsia"/>
          <w:sz w:val="24"/>
          <w:szCs w:val="24"/>
        </w:rPr>
        <w:t>1、适用范围</w:t>
      </w:r>
    </w:p>
    <w:p>
      <w:pPr>
        <w:pStyle w:val="9"/>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pPr>
        <w:pStyle w:val="7"/>
        <w:adjustRightInd w:val="0"/>
        <w:snapToGrid w:val="0"/>
        <w:spacing w:line="360" w:lineRule="auto"/>
        <w:ind w:left="0" w:firstLine="482" w:firstLineChars="200"/>
      </w:pPr>
      <w:r>
        <w:rPr>
          <w:rFonts w:hint="eastAsia"/>
        </w:rPr>
        <w:t>2、定义</w:t>
      </w:r>
    </w:p>
    <w:p>
      <w:pPr>
        <w:pStyle w:val="32"/>
        <w:numPr>
          <w:ilvl w:val="1"/>
          <w:numId w:val="3"/>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pPr>
        <w:pStyle w:val="32"/>
        <w:numPr>
          <w:ilvl w:val="1"/>
          <w:numId w:val="3"/>
        </w:numPr>
        <w:tabs>
          <w:tab w:val="left" w:pos="819"/>
        </w:tabs>
        <w:adjustRightInd w:val="0"/>
        <w:snapToGrid w:val="0"/>
        <w:spacing w:line="360" w:lineRule="auto"/>
        <w:ind w:left="0" w:firstLine="480" w:firstLineChars="200"/>
        <w:rPr>
          <w:spacing w:val="4"/>
          <w:sz w:val="24"/>
        </w:rPr>
      </w:pPr>
      <w:r>
        <w:rPr>
          <w:rFonts w:hint="eastAsia"/>
          <w:sz w:val="24"/>
        </w:rPr>
        <w:t>谈判供应商——</w:t>
      </w:r>
      <w:r>
        <w:rPr>
          <w:rFonts w:hint="eastAsia"/>
          <w:spacing w:val="4"/>
          <w:sz w:val="24"/>
        </w:rPr>
        <w:t>是</w:t>
      </w:r>
      <w:r>
        <w:rPr>
          <w:rFonts w:hint="eastAsia"/>
          <w:spacing w:val="4"/>
          <w:sz w:val="24"/>
          <w:lang w:val="en-US"/>
        </w:rPr>
        <w:t>指</w:t>
      </w:r>
      <w:r>
        <w:rPr>
          <w:rFonts w:hint="eastAsia"/>
          <w:spacing w:val="4"/>
          <w:sz w:val="24"/>
        </w:rPr>
        <w:t>响应</w:t>
      </w:r>
      <w:r>
        <w:rPr>
          <w:rFonts w:hint="eastAsia"/>
          <w:spacing w:val="4"/>
          <w:sz w:val="24"/>
          <w:lang w:val="en-US"/>
        </w:rPr>
        <w:t>谈判</w:t>
      </w:r>
      <w:r>
        <w:rPr>
          <w:rFonts w:hint="eastAsia"/>
          <w:spacing w:val="4"/>
          <w:sz w:val="24"/>
        </w:rPr>
        <w:t>文件、参加</w:t>
      </w:r>
      <w:r>
        <w:rPr>
          <w:rFonts w:hint="eastAsia"/>
          <w:spacing w:val="4"/>
          <w:sz w:val="24"/>
          <w:lang w:val="en-US"/>
        </w:rPr>
        <w:t>谈判</w:t>
      </w:r>
      <w:r>
        <w:rPr>
          <w:rFonts w:hint="eastAsia"/>
          <w:spacing w:val="4"/>
          <w:sz w:val="24"/>
        </w:rPr>
        <w:t>竞争的中华人民共和国境内的法人、其它组织，向谈判组织人提交谈判文件的供应商。</w:t>
      </w:r>
    </w:p>
    <w:p>
      <w:pPr>
        <w:pStyle w:val="32"/>
        <w:numPr>
          <w:ilvl w:val="1"/>
          <w:numId w:val="3"/>
        </w:numPr>
        <w:tabs>
          <w:tab w:val="left" w:pos="819"/>
        </w:tabs>
        <w:adjustRightInd w:val="0"/>
        <w:snapToGrid w:val="0"/>
        <w:spacing w:line="360" w:lineRule="auto"/>
        <w:ind w:left="0" w:firstLine="496" w:firstLineChars="200"/>
        <w:rPr>
          <w:spacing w:val="4"/>
          <w:sz w:val="24"/>
        </w:rPr>
      </w:pPr>
      <w:r>
        <w:rPr>
          <w:rFonts w:hint="eastAsia"/>
          <w:spacing w:val="4"/>
          <w:sz w:val="24"/>
        </w:rPr>
        <w:t>采购人——周口市公安局</w:t>
      </w:r>
    </w:p>
    <w:p>
      <w:pPr>
        <w:pStyle w:val="32"/>
        <w:tabs>
          <w:tab w:val="left" w:pos="819"/>
        </w:tabs>
        <w:adjustRightInd w:val="0"/>
        <w:snapToGrid w:val="0"/>
        <w:spacing w:line="360" w:lineRule="auto"/>
        <w:ind w:left="480" w:firstLine="0"/>
        <w:rPr>
          <w:spacing w:val="4"/>
          <w:sz w:val="24"/>
        </w:rPr>
      </w:pPr>
      <w:r>
        <w:rPr>
          <w:rFonts w:hint="eastAsia"/>
          <w:spacing w:val="4"/>
          <w:sz w:val="24"/>
        </w:rPr>
        <w:t>2.4货物——指谈判供应商按谈判文件规定，须向最终用户提供的货物及其它有</w:t>
      </w:r>
    </w:p>
    <w:p>
      <w:pPr>
        <w:tabs>
          <w:tab w:val="left" w:pos="819"/>
        </w:tabs>
        <w:adjustRightInd w:val="0"/>
        <w:snapToGrid w:val="0"/>
        <w:spacing w:line="360" w:lineRule="auto"/>
        <w:rPr>
          <w:spacing w:val="4"/>
          <w:sz w:val="24"/>
        </w:rPr>
      </w:pPr>
      <w:r>
        <w:rPr>
          <w:rFonts w:hint="eastAsia"/>
          <w:spacing w:val="4"/>
          <w:sz w:val="24"/>
        </w:rPr>
        <w:t>关技术资料。</w:t>
      </w:r>
    </w:p>
    <w:p>
      <w:pPr>
        <w:tabs>
          <w:tab w:val="left" w:pos="826"/>
        </w:tabs>
        <w:adjustRightInd w:val="0"/>
        <w:snapToGrid w:val="0"/>
        <w:spacing w:line="360" w:lineRule="auto"/>
        <w:ind w:firstLine="496" w:firstLineChars="200"/>
        <w:rPr>
          <w:spacing w:val="4"/>
          <w:sz w:val="24"/>
        </w:rPr>
      </w:pPr>
      <w:r>
        <w:rPr>
          <w:rFonts w:hint="eastAsia"/>
          <w:spacing w:val="4"/>
          <w:sz w:val="24"/>
        </w:rPr>
        <w:t>2.5服务</w:t>
      </w:r>
      <w:r>
        <w:rPr>
          <w:spacing w:val="4"/>
          <w:sz w:val="24"/>
        </w:rPr>
        <w:t>——</w:t>
      </w:r>
      <w:r>
        <w:rPr>
          <w:rFonts w:hint="eastAsia"/>
          <w:spacing w:val="4"/>
          <w:sz w:val="24"/>
        </w:rPr>
        <w:t>指谈判文件规定谈判供应商须承担的送货、安装、维修和其它类似义务。</w:t>
      </w:r>
    </w:p>
    <w:p>
      <w:pPr>
        <w:pStyle w:val="32"/>
        <w:tabs>
          <w:tab w:val="left" w:pos="826"/>
        </w:tabs>
        <w:adjustRightInd w:val="0"/>
        <w:snapToGrid w:val="0"/>
        <w:spacing w:line="360" w:lineRule="auto"/>
        <w:ind w:left="0" w:firstLine="496" w:firstLineChars="200"/>
        <w:rPr>
          <w:spacing w:val="4"/>
          <w:sz w:val="24"/>
        </w:rPr>
      </w:pPr>
      <w:r>
        <w:rPr>
          <w:rFonts w:hint="eastAsia"/>
          <w:spacing w:val="4"/>
          <w:sz w:val="24"/>
          <w:lang w:val="en-US"/>
        </w:rPr>
        <w:t>2.6</w:t>
      </w:r>
      <w:r>
        <w:rPr>
          <w:rFonts w:hint="eastAsia"/>
          <w:spacing w:val="4"/>
          <w:sz w:val="24"/>
        </w:rPr>
        <w:t>偏离——</w:t>
      </w:r>
      <w:r>
        <w:rPr>
          <w:rFonts w:hint="eastAsia"/>
          <w:spacing w:val="4"/>
          <w:sz w:val="24"/>
          <w:lang w:val="en-US"/>
        </w:rPr>
        <w:t>指</w:t>
      </w:r>
      <w:r>
        <w:rPr>
          <w:rFonts w:hint="eastAsia"/>
          <w:spacing w:val="4"/>
          <w:sz w:val="24"/>
        </w:rPr>
        <w:t>响应文件的响应相对于</w:t>
      </w:r>
      <w:r>
        <w:rPr>
          <w:rFonts w:hint="eastAsia"/>
          <w:spacing w:val="4"/>
          <w:sz w:val="24"/>
          <w:lang w:val="en-US"/>
        </w:rPr>
        <w:t>谈判</w:t>
      </w:r>
      <w:r>
        <w:rPr>
          <w:rFonts w:hint="eastAsia"/>
          <w:spacing w:val="4"/>
          <w:sz w:val="24"/>
        </w:rPr>
        <w:t>文件要求的偏差，该偏差优于</w:t>
      </w:r>
      <w:r>
        <w:rPr>
          <w:rFonts w:hint="eastAsia"/>
          <w:spacing w:val="4"/>
          <w:sz w:val="24"/>
          <w:lang w:val="en-US"/>
        </w:rPr>
        <w:t>谈判</w:t>
      </w:r>
      <w:r>
        <w:rPr>
          <w:rFonts w:hint="eastAsia"/>
          <w:spacing w:val="4"/>
          <w:sz w:val="24"/>
        </w:rPr>
        <w:t>文件要求的为正偏离；劣于的，为负偏离。</w:t>
      </w:r>
    </w:p>
    <w:p>
      <w:pPr>
        <w:pStyle w:val="7"/>
        <w:adjustRightInd w:val="0"/>
        <w:snapToGrid w:val="0"/>
        <w:spacing w:line="360" w:lineRule="auto"/>
        <w:ind w:left="0" w:firstLine="482" w:firstLineChars="200"/>
      </w:pPr>
      <w:r>
        <w:rPr>
          <w:rFonts w:hint="eastAsia"/>
        </w:rPr>
        <w:t>3、谈判供应商条件</w:t>
      </w:r>
    </w:p>
    <w:p>
      <w:pPr>
        <w:pStyle w:val="32"/>
        <w:numPr>
          <w:ilvl w:val="1"/>
          <w:numId w:val="4"/>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pPr>
        <w:pStyle w:val="32"/>
        <w:numPr>
          <w:ilvl w:val="1"/>
          <w:numId w:val="4"/>
        </w:numPr>
        <w:tabs>
          <w:tab w:val="left" w:pos="819"/>
        </w:tabs>
        <w:adjustRightInd w:val="0"/>
        <w:snapToGrid w:val="0"/>
        <w:spacing w:line="360" w:lineRule="auto"/>
        <w:ind w:left="0" w:firstLine="468" w:firstLineChars="200"/>
        <w:rPr>
          <w:sz w:val="24"/>
          <w:szCs w:val="24"/>
        </w:rPr>
      </w:pPr>
      <w:r>
        <w:rPr>
          <w:rFonts w:hint="eastAsia"/>
          <w:spacing w:val="-3"/>
          <w:sz w:val="24"/>
          <w:szCs w:val="24"/>
        </w:rPr>
        <w:t>凡符合“谈判项目要求”条件，承认本谈判文件所有内容的供应商均为合</w:t>
      </w:r>
      <w:r>
        <w:rPr>
          <w:rFonts w:hint="eastAsia"/>
          <w:sz w:val="24"/>
          <w:szCs w:val="24"/>
        </w:rPr>
        <w:t>格的谈判供应商。</w:t>
      </w:r>
    </w:p>
    <w:p>
      <w:pPr>
        <w:pStyle w:val="32"/>
        <w:tabs>
          <w:tab w:val="left" w:pos="819"/>
        </w:tabs>
        <w:adjustRightInd w:val="0"/>
        <w:snapToGrid w:val="0"/>
        <w:spacing w:line="360" w:lineRule="auto"/>
        <w:ind w:left="0" w:firstLine="468" w:firstLineChars="200"/>
        <w:rPr>
          <w:sz w:val="24"/>
          <w:szCs w:val="24"/>
        </w:rPr>
      </w:pPr>
      <w:r>
        <w:rPr>
          <w:rFonts w:hint="eastAsia"/>
          <w:spacing w:val="-3"/>
          <w:sz w:val="24"/>
          <w:szCs w:val="24"/>
        </w:rPr>
        <w:t>3.3谈判供应商应遵守中华人民共和国法律、法规和谈判组织人有关谈判的规</w:t>
      </w:r>
      <w:r>
        <w:rPr>
          <w:rFonts w:hint="eastAsia"/>
          <w:sz w:val="24"/>
          <w:szCs w:val="24"/>
        </w:rPr>
        <w:t>定。</w:t>
      </w:r>
    </w:p>
    <w:p>
      <w:pPr>
        <w:spacing w:line="360" w:lineRule="auto"/>
        <w:ind w:firstLine="480" w:firstLineChars="200"/>
        <w:rPr>
          <w:sz w:val="24"/>
          <w:szCs w:val="24"/>
        </w:rPr>
      </w:pPr>
      <w:r>
        <w:rPr>
          <w:rFonts w:hint="eastAsia"/>
          <w:sz w:val="24"/>
          <w:szCs w:val="24"/>
        </w:rPr>
        <w:t>3.4为避免供应商盲目投标，确保项目顺利实施，供应商</w:t>
      </w:r>
      <w:r>
        <w:rPr>
          <w:rFonts w:hint="eastAsia"/>
          <w:sz w:val="24"/>
        </w:rPr>
        <w:t>应对供货现场和周围环境进行勘</w:t>
      </w:r>
      <w:r>
        <w:rPr>
          <w:rFonts w:hint="eastAsia"/>
          <w:sz w:val="24"/>
          <w:szCs w:val="24"/>
        </w:rPr>
        <w:t>查</w:t>
      </w:r>
      <w:r>
        <w:rPr>
          <w:rFonts w:hint="eastAsia"/>
          <w:sz w:val="24"/>
        </w:rPr>
        <w:t>，以获取编制响应文件和签署合同所需的资料，</w:t>
      </w:r>
      <w:r>
        <w:rPr>
          <w:rFonts w:hint="eastAsia"/>
          <w:sz w:val="24"/>
          <w:szCs w:val="24"/>
        </w:rPr>
        <w:t>请合格的供应商在下载谈判文件截止后的第一个工作日内及时到现场进行实地勘查，勘查现场由供应商自行与采购人联系，并</w:t>
      </w:r>
      <w:r>
        <w:rPr>
          <w:rFonts w:hint="eastAsia"/>
          <w:sz w:val="24"/>
          <w:szCs w:val="24"/>
          <w:lang w:val="en-US"/>
        </w:rPr>
        <w:t>由</w:t>
      </w:r>
      <w:r>
        <w:rPr>
          <w:rFonts w:hint="eastAsia"/>
          <w:sz w:val="24"/>
          <w:szCs w:val="24"/>
        </w:rPr>
        <w:t>采购单位</w:t>
      </w:r>
      <w:r>
        <w:rPr>
          <w:rFonts w:hint="eastAsia"/>
          <w:sz w:val="24"/>
          <w:szCs w:val="24"/>
          <w:lang w:val="en-US"/>
        </w:rPr>
        <w:t>出具</w:t>
      </w:r>
      <w:r>
        <w:rPr>
          <w:rFonts w:hint="eastAsia"/>
          <w:sz w:val="24"/>
          <w:szCs w:val="24"/>
        </w:rPr>
        <w:t>供应商确实已到现场勘查</w:t>
      </w:r>
      <w:r>
        <w:rPr>
          <w:rFonts w:hint="eastAsia"/>
          <w:sz w:val="24"/>
          <w:szCs w:val="24"/>
          <w:lang w:val="en-US"/>
        </w:rPr>
        <w:t>的证明文件</w:t>
      </w:r>
      <w:r>
        <w:rPr>
          <w:rFonts w:hint="eastAsia"/>
          <w:sz w:val="24"/>
          <w:szCs w:val="24"/>
        </w:rPr>
        <w:t>，供应商</w:t>
      </w:r>
      <w:r>
        <w:rPr>
          <w:rFonts w:hint="eastAsia"/>
          <w:sz w:val="24"/>
          <w:szCs w:val="24"/>
          <w:lang w:val="en-US"/>
        </w:rPr>
        <w:t>须</w:t>
      </w:r>
      <w:r>
        <w:rPr>
          <w:rFonts w:hint="eastAsia"/>
          <w:sz w:val="24"/>
          <w:szCs w:val="24"/>
        </w:rPr>
        <w:t>将证明原件放在竞争性谈判响应文件中（电子标为原件扫描件），否则视为无效投标。</w:t>
      </w:r>
    </w:p>
    <w:p>
      <w:pPr>
        <w:pStyle w:val="7"/>
        <w:adjustRightInd w:val="0"/>
        <w:snapToGrid w:val="0"/>
        <w:spacing w:line="360" w:lineRule="auto"/>
        <w:ind w:left="0" w:firstLine="482" w:firstLineChars="200"/>
      </w:pPr>
      <w:r>
        <w:rPr>
          <w:rFonts w:hint="eastAsia"/>
        </w:rPr>
        <w:t>4、谈判费用</w:t>
      </w:r>
    </w:p>
    <w:p>
      <w:pPr>
        <w:pStyle w:val="32"/>
        <w:numPr>
          <w:ilvl w:val="1"/>
          <w:numId w:val="5"/>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pPr>
        <w:pStyle w:val="7"/>
        <w:numPr>
          <w:ilvl w:val="1"/>
          <w:numId w:val="5"/>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pPr>
        <w:adjustRightInd w:val="0"/>
        <w:snapToGrid w:val="0"/>
        <w:spacing w:line="360" w:lineRule="auto"/>
        <w:ind w:firstLine="440" w:firstLineChars="200"/>
        <w:sectPr>
          <w:footerReference r:id="rId5" w:type="default"/>
          <w:pgSz w:w="11850" w:h="16790"/>
          <w:pgMar w:top="1600" w:right="1180" w:bottom="920" w:left="1580" w:header="0" w:footer="721" w:gutter="0"/>
          <w:cols w:space="720" w:num="1"/>
        </w:sectPr>
      </w:pPr>
    </w:p>
    <w:p>
      <w:pPr>
        <w:numPr>
          <w:ilvl w:val="0"/>
          <w:numId w:val="2"/>
        </w:numPr>
        <w:adjustRightInd w:val="0"/>
        <w:snapToGrid w:val="0"/>
        <w:spacing w:line="360" w:lineRule="auto"/>
        <w:ind w:firstLine="572" w:firstLineChars="200"/>
        <w:rPr>
          <w:b/>
          <w:w w:val="95"/>
          <w:sz w:val="30"/>
        </w:rPr>
      </w:pPr>
      <w:r>
        <w:rPr>
          <w:rFonts w:hint="eastAsia"/>
          <w:b/>
          <w:w w:val="95"/>
          <w:sz w:val="30"/>
        </w:rPr>
        <w:t>谈判文件说明</w:t>
      </w:r>
    </w:p>
    <w:p>
      <w:pPr>
        <w:adjustRightInd w:val="0"/>
        <w:snapToGrid w:val="0"/>
        <w:spacing w:line="360" w:lineRule="auto"/>
        <w:ind w:left="440" w:leftChars="200"/>
        <w:rPr>
          <w:b/>
          <w:sz w:val="24"/>
        </w:rPr>
      </w:pPr>
      <w:r>
        <w:rPr>
          <w:rFonts w:hint="eastAsia"/>
          <w:b/>
          <w:w w:val="95"/>
          <w:sz w:val="24"/>
        </w:rPr>
        <w:t>5、谈判文件的构成：</w:t>
      </w:r>
    </w:p>
    <w:p>
      <w:pPr>
        <w:pStyle w:val="9"/>
        <w:adjustRightInd w:val="0"/>
        <w:snapToGrid w:val="0"/>
        <w:spacing w:line="360" w:lineRule="auto"/>
        <w:ind w:firstLine="480" w:firstLineChars="200"/>
      </w:pPr>
      <w:r>
        <w:rPr>
          <w:rFonts w:hint="eastAsia"/>
        </w:rPr>
        <w:t>5.1谈判文件用以阐明所采购</w:t>
      </w:r>
      <w:r>
        <w:rPr>
          <w:rFonts w:hint="eastAsia"/>
          <w:lang w:val="en-US"/>
        </w:rPr>
        <w:t>服务</w:t>
      </w:r>
      <w:r>
        <w:rPr>
          <w:rFonts w:hint="eastAsia"/>
        </w:rPr>
        <w:t>的内容、要求及谈判程序。谈判文件由下述部分组成：</w:t>
      </w:r>
    </w:p>
    <w:p>
      <w:pPr>
        <w:pStyle w:val="9"/>
        <w:adjustRightInd w:val="0"/>
        <w:snapToGrid w:val="0"/>
        <w:spacing w:line="360" w:lineRule="auto"/>
        <w:ind w:firstLine="480" w:firstLineChars="200"/>
      </w:pPr>
      <w:r>
        <w:rPr>
          <w:rFonts w:hint="eastAsia"/>
        </w:rPr>
        <w:t>谈判邀请函</w:t>
      </w:r>
    </w:p>
    <w:p>
      <w:pPr>
        <w:pStyle w:val="9"/>
        <w:adjustRightInd w:val="0"/>
        <w:snapToGrid w:val="0"/>
        <w:spacing w:line="360" w:lineRule="auto"/>
        <w:ind w:firstLine="480" w:firstLineChars="200"/>
      </w:pPr>
      <w:r>
        <w:rPr>
          <w:rFonts w:hint="eastAsia"/>
          <w:lang w:val="en-US"/>
        </w:rPr>
        <w:t>谈判</w:t>
      </w:r>
      <w:r>
        <w:rPr>
          <w:rFonts w:hint="eastAsia"/>
        </w:rPr>
        <w:t>供应商须知；</w:t>
      </w:r>
    </w:p>
    <w:p>
      <w:pPr>
        <w:pStyle w:val="9"/>
        <w:adjustRightInd w:val="0"/>
        <w:snapToGrid w:val="0"/>
        <w:spacing w:line="360" w:lineRule="auto"/>
        <w:ind w:firstLine="480" w:firstLineChars="200"/>
      </w:pPr>
      <w:r>
        <w:fldChar w:fldCharType="begin"/>
      </w:r>
      <w:r>
        <w:instrText xml:space="preserve">HYPERLINK  \l "_bookmark2" </w:instrText>
      </w:r>
      <w:r>
        <w:fldChar w:fldCharType="separate"/>
      </w:r>
      <w:r>
        <w:rPr>
          <w:rFonts w:hint="eastAsia"/>
        </w:rPr>
        <w:t>谈判项目要求</w:t>
      </w:r>
      <w:r>
        <w:fldChar w:fldCharType="end"/>
      </w:r>
    </w:p>
    <w:p>
      <w:pPr>
        <w:pStyle w:val="9"/>
        <w:adjustRightInd w:val="0"/>
        <w:snapToGrid w:val="0"/>
        <w:spacing w:line="360" w:lineRule="auto"/>
        <w:ind w:firstLine="480" w:firstLineChars="200"/>
      </w:pPr>
      <w:r>
        <w:fldChar w:fldCharType="begin"/>
      </w:r>
      <w:r>
        <w:instrText xml:space="preserve">HYPERLINK  \l "_bookmark3" </w:instrText>
      </w:r>
      <w:r>
        <w:fldChar w:fldCharType="separate"/>
      </w:r>
      <w:r>
        <w:rPr>
          <w:rFonts w:hint="eastAsia"/>
        </w:rPr>
        <w:t>项目内容及技术要求</w:t>
      </w:r>
      <w:r>
        <w:fldChar w:fldCharType="end"/>
      </w:r>
    </w:p>
    <w:p>
      <w:pPr>
        <w:pStyle w:val="9"/>
        <w:adjustRightInd w:val="0"/>
        <w:snapToGrid w:val="0"/>
        <w:spacing w:line="360" w:lineRule="auto"/>
        <w:ind w:firstLine="480" w:firstLineChars="200"/>
      </w:pPr>
      <w:r>
        <w:fldChar w:fldCharType="begin"/>
      </w:r>
      <w:r>
        <w:instrText xml:space="preserve">HYPERLINK  \l "_bookmark4" </w:instrText>
      </w:r>
      <w:r>
        <w:fldChar w:fldCharType="separate"/>
      </w:r>
      <w:r>
        <w:rPr>
          <w:rFonts w:hint="eastAsia"/>
        </w:rPr>
        <w:t>谈判响应文件格式</w:t>
      </w:r>
      <w:r>
        <w:fldChar w:fldCharType="end"/>
      </w:r>
      <w:r>
        <w:rPr>
          <w:rFonts w:hint="eastAsia"/>
        </w:rPr>
        <w:t>；</w:t>
      </w:r>
    </w:p>
    <w:p>
      <w:pPr>
        <w:pStyle w:val="9"/>
        <w:adjustRightInd w:val="0"/>
        <w:snapToGrid w:val="0"/>
        <w:spacing w:line="360" w:lineRule="auto"/>
        <w:ind w:firstLine="480" w:firstLineChars="200"/>
      </w:pPr>
      <w:r>
        <w:rPr>
          <w:rFonts w:hint="eastAsia"/>
          <w:lang w:val="en-US"/>
        </w:rPr>
        <w:t>合同条款及格式</w:t>
      </w:r>
    </w:p>
    <w:p>
      <w:pPr>
        <w:pStyle w:val="7"/>
        <w:adjustRightInd w:val="0"/>
        <w:snapToGrid w:val="0"/>
        <w:spacing w:line="360" w:lineRule="auto"/>
        <w:ind w:left="0" w:firstLine="482" w:firstLineChars="200"/>
      </w:pPr>
      <w:r>
        <w:rPr>
          <w:rFonts w:hint="eastAsia"/>
        </w:rPr>
        <w:t>6、谈判文件的澄清</w:t>
      </w:r>
    </w:p>
    <w:p>
      <w:pPr>
        <w:pStyle w:val="32"/>
        <w:numPr>
          <w:ilvl w:val="1"/>
          <w:numId w:val="6"/>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或以网上公告的形式告知</w:t>
      </w:r>
      <w:r>
        <w:rPr>
          <w:rFonts w:hint="eastAsia"/>
          <w:sz w:val="24"/>
        </w:rPr>
        <w:t>谈判文件的所有潜在谈判供应商。</w:t>
      </w:r>
    </w:p>
    <w:p>
      <w:pPr>
        <w:pStyle w:val="32"/>
        <w:numPr>
          <w:ilvl w:val="1"/>
          <w:numId w:val="6"/>
        </w:numPr>
        <w:tabs>
          <w:tab w:val="left" w:pos="819"/>
        </w:tabs>
        <w:adjustRightInd w:val="0"/>
        <w:snapToGrid w:val="0"/>
        <w:spacing w:line="360" w:lineRule="auto"/>
        <w:ind w:left="0" w:firstLine="480" w:firstLineChars="200"/>
        <w:rPr>
          <w:sz w:val="24"/>
        </w:rPr>
      </w:pPr>
      <w:r>
        <w:rPr>
          <w:rFonts w:hint="eastAsia"/>
          <w:sz w:val="24"/>
        </w:rPr>
        <w:t>谈判组织人将视情况在认为必要时于谈判截止前答疑。</w:t>
      </w:r>
    </w:p>
    <w:p>
      <w:pPr>
        <w:pStyle w:val="7"/>
        <w:adjustRightInd w:val="0"/>
        <w:snapToGrid w:val="0"/>
        <w:spacing w:line="360" w:lineRule="auto"/>
        <w:ind w:left="0" w:firstLine="482" w:firstLineChars="200"/>
      </w:pPr>
      <w:r>
        <w:rPr>
          <w:rFonts w:hint="eastAsia"/>
        </w:rPr>
        <w:t>7、谈判文件的修改</w:t>
      </w:r>
    </w:p>
    <w:p>
      <w:pPr>
        <w:pStyle w:val="9"/>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文件进行的澄清，以网上公告的方式通知供应商。澄清或修改的内容可能影响响应文件编制的，采购人、采购代理机构应当在提交响应文件截止时间至少5日前。</w:t>
      </w:r>
    </w:p>
    <w:p>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pPr>
        <w:pStyle w:val="6"/>
        <w:adjustRightInd w:val="0"/>
        <w:snapToGrid w:val="0"/>
        <w:spacing w:line="360" w:lineRule="auto"/>
        <w:ind w:left="0" w:firstLine="602" w:firstLineChars="200"/>
      </w:pPr>
      <w:r>
        <w:rPr>
          <w:rFonts w:hint="eastAsia"/>
        </w:rPr>
        <w:t>C、谈判响应文件的编写</w:t>
      </w:r>
    </w:p>
    <w:p>
      <w:pPr>
        <w:pStyle w:val="7"/>
        <w:adjustRightInd w:val="0"/>
        <w:snapToGrid w:val="0"/>
        <w:spacing w:line="360" w:lineRule="auto"/>
        <w:ind w:left="0" w:firstLine="482" w:firstLineChars="200"/>
      </w:pPr>
      <w:r>
        <w:rPr>
          <w:rFonts w:hint="eastAsia"/>
        </w:rPr>
        <w:t>8、要求</w:t>
      </w:r>
    </w:p>
    <w:p>
      <w:pPr>
        <w:pStyle w:val="32"/>
        <w:numPr>
          <w:ilvl w:val="1"/>
          <w:numId w:val="7"/>
        </w:numPr>
        <w:tabs>
          <w:tab w:val="left" w:pos="819"/>
        </w:tabs>
        <w:adjustRightInd w:val="0"/>
        <w:snapToGrid w:val="0"/>
        <w:spacing w:line="360" w:lineRule="auto"/>
        <w:ind w:left="0" w:firstLine="468" w:firstLineChars="200"/>
        <w:jc w:val="both"/>
        <w:rPr>
          <w:sz w:val="24"/>
        </w:rPr>
      </w:pPr>
      <w:r>
        <w:rPr>
          <w:rFonts w:hint="eastAsia"/>
          <w:spacing w:val="-3"/>
          <w:sz w:val="24"/>
        </w:rPr>
        <w:t>谈判供应商应仔细阅读谈判文件的所有内容，按谈判文件的要求提供响</w:t>
      </w:r>
      <w:r>
        <w:rPr>
          <w:rFonts w:hint="eastAsia"/>
          <w:sz w:val="24"/>
        </w:rPr>
        <w:t>应文件，并保证所提供的全部资料的真实性</w:t>
      </w:r>
      <w:r>
        <w:rPr>
          <w:rFonts w:hint="eastAsia"/>
          <w:sz w:val="24"/>
          <w:szCs w:val="24"/>
        </w:rPr>
        <w:t>并做出承诺</w:t>
      </w:r>
      <w:r>
        <w:rPr>
          <w:rFonts w:hint="eastAsia"/>
          <w:sz w:val="24"/>
        </w:rPr>
        <w:t>，以使其投标对谈判文件做出实质性响应，否则，其响应文件可能被拒绝。</w:t>
      </w:r>
    </w:p>
    <w:p>
      <w:pPr>
        <w:pStyle w:val="32"/>
        <w:numPr>
          <w:ilvl w:val="1"/>
          <w:numId w:val="7"/>
        </w:numPr>
        <w:tabs>
          <w:tab w:val="left" w:pos="805"/>
        </w:tabs>
        <w:adjustRightInd w:val="0"/>
        <w:snapToGrid w:val="0"/>
        <w:spacing w:line="360" w:lineRule="auto"/>
        <w:ind w:left="0" w:firstLine="468" w:firstLineChars="200"/>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pPr>
        <w:pStyle w:val="32"/>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pPr>
        <w:pStyle w:val="32"/>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pPr>
        <w:pStyle w:val="32"/>
        <w:tabs>
          <w:tab w:val="left" w:pos="710"/>
        </w:tabs>
        <w:adjustRightInd w:val="0"/>
        <w:snapToGrid w:val="0"/>
        <w:spacing w:line="360" w:lineRule="auto"/>
        <w:ind w:left="0" w:firstLine="516" w:firstLineChars="200"/>
        <w:jc w:val="both"/>
        <w:rPr>
          <w:sz w:val="24"/>
        </w:rPr>
      </w:pPr>
      <w:r>
        <w:rPr>
          <w:rFonts w:hint="eastAsia"/>
          <w:spacing w:val="9"/>
          <w:sz w:val="24"/>
          <w:lang w:val="en-US"/>
        </w:rPr>
        <w:t>8.4</w:t>
      </w:r>
      <w:r>
        <w:rPr>
          <w:rFonts w:hint="eastAsia"/>
          <w:spacing w:val="9"/>
          <w:sz w:val="24"/>
        </w:rPr>
        <w:t>谈判供应商的谈判响应文件必须加盖谈判供应商公章</w:t>
      </w:r>
      <w:r>
        <w:rPr>
          <w:rFonts w:hint="eastAsia"/>
          <w:spacing w:val="11"/>
          <w:sz w:val="24"/>
        </w:rPr>
        <w:t>（</w:t>
      </w:r>
      <w:r>
        <w:rPr>
          <w:rFonts w:hint="eastAsia"/>
          <w:spacing w:val="7"/>
          <w:sz w:val="24"/>
        </w:rPr>
        <w:t>指投标人的行政章）</w:t>
      </w:r>
      <w:r>
        <w:rPr>
          <w:rFonts w:hint="eastAsia"/>
          <w:sz w:val="24"/>
        </w:rPr>
        <w:t>，</w:t>
      </w:r>
      <w:r>
        <w:rPr>
          <w:rFonts w:hint="eastAsia"/>
          <w:sz w:val="24"/>
          <w:lang w:val="en-US"/>
        </w:rPr>
        <w:t>采购人</w:t>
      </w:r>
      <w:r>
        <w:rPr>
          <w:rFonts w:hint="eastAsia"/>
          <w:sz w:val="24"/>
        </w:rPr>
        <w:t>不接受加盖其他印鉴（如合同章、投标专用章等印鉴）的谈判文件。</w:t>
      </w:r>
    </w:p>
    <w:p>
      <w:pPr>
        <w:pStyle w:val="7"/>
        <w:adjustRightInd w:val="0"/>
        <w:snapToGrid w:val="0"/>
        <w:spacing w:line="360" w:lineRule="auto"/>
        <w:ind w:left="0" w:firstLine="482" w:firstLineChars="200"/>
      </w:pPr>
      <w:r>
        <w:rPr>
          <w:rFonts w:hint="eastAsia"/>
        </w:rPr>
        <w:t>9、谈判文件的组成</w:t>
      </w:r>
    </w:p>
    <w:p>
      <w:pPr>
        <w:pStyle w:val="32"/>
        <w:tabs>
          <w:tab w:val="left" w:pos="580"/>
        </w:tabs>
        <w:adjustRightInd w:val="0"/>
        <w:snapToGrid w:val="0"/>
        <w:spacing w:line="360" w:lineRule="auto"/>
        <w:ind w:left="440" w:leftChars="200" w:firstLine="0"/>
        <w:rPr>
          <w:spacing w:val="-3"/>
          <w:sz w:val="24"/>
        </w:rPr>
      </w:pPr>
      <w:r>
        <w:rPr>
          <w:rFonts w:hint="eastAsia"/>
          <w:spacing w:val="-3"/>
          <w:sz w:val="24"/>
          <w:lang w:val="en-US"/>
        </w:rPr>
        <w:t>9.1</w:t>
      </w:r>
      <w:r>
        <w:rPr>
          <w:rFonts w:hint="eastAsia"/>
          <w:spacing w:val="-3"/>
          <w:sz w:val="24"/>
        </w:rPr>
        <w:t>谈判文件应包括下列部分。</w:t>
      </w:r>
    </w:p>
    <w:p>
      <w:pPr>
        <w:pStyle w:val="32"/>
        <w:tabs>
          <w:tab w:val="left" w:pos="580"/>
        </w:tabs>
        <w:adjustRightInd w:val="0"/>
        <w:snapToGrid w:val="0"/>
        <w:spacing w:line="360" w:lineRule="auto"/>
        <w:ind w:left="440" w:leftChars="200" w:firstLine="0"/>
        <w:rPr>
          <w:spacing w:val="-3"/>
          <w:sz w:val="24"/>
        </w:rPr>
      </w:pPr>
      <w:bookmarkStart w:id="41" w:name="_Toc31433"/>
      <w:bookmarkStart w:id="42" w:name="_Toc455080125"/>
      <w:bookmarkStart w:id="43" w:name="_Toc779"/>
      <w:bookmarkStart w:id="44" w:name="_Toc490667845"/>
      <w:bookmarkStart w:id="45" w:name="_Toc455867785"/>
      <w:bookmarkStart w:id="46" w:name="_Toc18750"/>
      <w:bookmarkStart w:id="47" w:name="_Toc31931"/>
      <w:bookmarkStart w:id="48" w:name="_Toc8768"/>
      <w:bookmarkStart w:id="49" w:name="_Toc13280"/>
      <w:bookmarkStart w:id="50" w:name="_Toc22864"/>
      <w:bookmarkStart w:id="51" w:name="_Toc466298108"/>
      <w:bookmarkStart w:id="52" w:name="_Toc5953"/>
      <w:r>
        <w:rPr>
          <w:rFonts w:hint="eastAsia"/>
          <w:spacing w:val="-3"/>
          <w:sz w:val="24"/>
        </w:rPr>
        <w:t>详见第</w:t>
      </w:r>
      <w:r>
        <w:rPr>
          <w:rFonts w:hint="eastAsia"/>
          <w:spacing w:val="-3"/>
          <w:sz w:val="24"/>
          <w:lang w:val="en-US"/>
        </w:rPr>
        <w:t>五</w:t>
      </w:r>
      <w:r>
        <w:rPr>
          <w:rFonts w:hint="eastAsia"/>
          <w:spacing w:val="-3"/>
          <w:sz w:val="24"/>
        </w:rPr>
        <w:t>章“响应文件格式”</w:t>
      </w:r>
      <w:bookmarkEnd w:id="41"/>
      <w:bookmarkEnd w:id="42"/>
      <w:bookmarkEnd w:id="43"/>
      <w:bookmarkEnd w:id="44"/>
      <w:bookmarkEnd w:id="45"/>
      <w:bookmarkEnd w:id="46"/>
      <w:bookmarkEnd w:id="47"/>
      <w:bookmarkEnd w:id="48"/>
      <w:bookmarkEnd w:id="49"/>
      <w:bookmarkEnd w:id="50"/>
      <w:bookmarkEnd w:id="51"/>
      <w:r>
        <w:rPr>
          <w:rFonts w:hint="eastAsia"/>
          <w:spacing w:val="-3"/>
          <w:sz w:val="24"/>
        </w:rPr>
        <w:t>。</w:t>
      </w:r>
      <w:bookmarkEnd w:id="52"/>
    </w:p>
    <w:p>
      <w:pPr>
        <w:pStyle w:val="32"/>
        <w:tabs>
          <w:tab w:val="left" w:pos="580"/>
        </w:tabs>
        <w:adjustRightInd w:val="0"/>
        <w:snapToGrid w:val="0"/>
        <w:spacing w:line="360" w:lineRule="auto"/>
        <w:ind w:left="440" w:leftChars="200" w:firstLine="0"/>
        <w:rPr>
          <w:spacing w:val="-3"/>
          <w:sz w:val="24"/>
        </w:rPr>
      </w:pPr>
      <w:r>
        <w:rPr>
          <w:rFonts w:hint="eastAsia"/>
          <w:spacing w:val="-3"/>
          <w:sz w:val="24"/>
          <w:lang w:val="en-US"/>
        </w:rPr>
        <w:t>9.2</w:t>
      </w:r>
      <w:r>
        <w:rPr>
          <w:rFonts w:hint="eastAsia"/>
          <w:spacing w:val="-3"/>
          <w:sz w:val="24"/>
        </w:rPr>
        <w:t>资格证明文件包括:</w:t>
      </w:r>
    </w:p>
    <w:p>
      <w:pPr>
        <w:pStyle w:val="9"/>
        <w:adjustRightInd w:val="0"/>
        <w:snapToGrid w:val="0"/>
        <w:spacing w:line="360" w:lineRule="auto"/>
        <w:ind w:firstLine="480" w:firstLineChars="200"/>
      </w:pPr>
      <w:r>
        <w:rPr>
          <w:rFonts w:hint="eastAsia"/>
        </w:rPr>
        <w:t>加盖单位公章的营业执照复印件。</w:t>
      </w:r>
    </w:p>
    <w:p>
      <w:pPr>
        <w:pStyle w:val="9"/>
        <w:adjustRightInd w:val="0"/>
        <w:snapToGrid w:val="0"/>
        <w:spacing w:line="360" w:lineRule="auto"/>
        <w:ind w:firstLine="480" w:firstLineChars="200"/>
      </w:pPr>
      <w:r>
        <w:rPr>
          <w:rFonts w:hint="eastAsia"/>
        </w:rPr>
        <w:t>法人授权委托书。</w:t>
      </w:r>
    </w:p>
    <w:p>
      <w:pPr>
        <w:pStyle w:val="9"/>
        <w:adjustRightInd w:val="0"/>
        <w:snapToGrid w:val="0"/>
        <w:spacing w:line="360" w:lineRule="auto"/>
        <w:ind w:firstLine="480" w:firstLineChars="200"/>
      </w:pPr>
      <w:r>
        <w:rPr>
          <w:rFonts w:hint="eastAsia"/>
        </w:rPr>
        <w:t>授权代表身份证复印件。</w:t>
      </w:r>
    </w:p>
    <w:p>
      <w:pPr>
        <w:pStyle w:val="9"/>
        <w:adjustRightInd w:val="0"/>
        <w:snapToGrid w:val="0"/>
        <w:spacing w:line="360" w:lineRule="auto"/>
        <w:ind w:firstLine="480" w:firstLineChars="200"/>
        <w:rPr>
          <w:sz w:val="28"/>
        </w:rPr>
      </w:pPr>
      <w:r>
        <w:rPr>
          <w:rFonts w:hint="eastAsia"/>
        </w:rPr>
        <w:t>其他有关证明复印件</w:t>
      </w:r>
      <w:r>
        <w:rPr>
          <w:rFonts w:hint="eastAsia"/>
          <w:sz w:val="28"/>
        </w:rPr>
        <w:t>。</w:t>
      </w:r>
    </w:p>
    <w:p>
      <w:pPr>
        <w:pStyle w:val="7"/>
        <w:adjustRightInd w:val="0"/>
        <w:snapToGrid w:val="0"/>
        <w:spacing w:line="360" w:lineRule="auto"/>
        <w:ind w:left="0" w:firstLine="482" w:firstLineChars="200"/>
      </w:pPr>
      <w:r>
        <w:rPr>
          <w:rFonts w:hint="eastAsia"/>
        </w:rPr>
        <w:t>10、谈判文件格式</w:t>
      </w:r>
    </w:p>
    <w:p>
      <w:pPr>
        <w:pStyle w:val="9"/>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pPr>
        <w:pStyle w:val="7"/>
        <w:adjustRightInd w:val="0"/>
        <w:snapToGrid w:val="0"/>
        <w:spacing w:line="360" w:lineRule="auto"/>
        <w:ind w:left="0" w:firstLine="482" w:firstLineChars="200"/>
      </w:pPr>
      <w:r>
        <w:rPr>
          <w:rFonts w:hint="eastAsia"/>
        </w:rPr>
        <w:t>11、谈判报价</w:t>
      </w:r>
    </w:p>
    <w:p>
      <w:pPr>
        <w:pStyle w:val="32"/>
        <w:numPr>
          <w:ilvl w:val="1"/>
          <w:numId w:val="8"/>
        </w:numPr>
        <w:tabs>
          <w:tab w:val="left" w:pos="939"/>
        </w:tabs>
        <w:adjustRightInd w:val="0"/>
        <w:snapToGrid w:val="0"/>
        <w:spacing w:line="360" w:lineRule="auto"/>
        <w:ind w:left="0" w:firstLine="480" w:firstLineChars="200"/>
        <w:rPr>
          <w:sz w:val="24"/>
          <w:szCs w:val="24"/>
        </w:rPr>
      </w:pPr>
      <w:r>
        <w:rPr>
          <w:rFonts w:hint="eastAsia"/>
          <w:sz w:val="24"/>
          <w:szCs w:val="24"/>
        </w:rPr>
        <w:t>谈判报价应按照</w:t>
      </w:r>
      <w:r>
        <w:rPr>
          <w:rFonts w:hint="eastAsia"/>
          <w:sz w:val="24"/>
          <w:szCs w:val="24"/>
          <w:lang w:val="en-US"/>
        </w:rPr>
        <w:t>谈判</w:t>
      </w:r>
      <w:r>
        <w:rPr>
          <w:rFonts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lang w:val="en-US"/>
        </w:rPr>
        <w:t>投标报价应为</w:t>
      </w:r>
      <w:r>
        <w:rPr>
          <w:rFonts w:hint="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pPr>
        <w:pStyle w:val="32"/>
        <w:numPr>
          <w:ilvl w:val="1"/>
          <w:numId w:val="8"/>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谈判供应商应填写谈判价格一览表，如果分项报价与单价不符，则以单价为准；其它表格与谈判报价一览表不符，以谈判报价一览表为准；小写与大写不符，以大写为准；</w:t>
      </w:r>
    </w:p>
    <w:p>
      <w:pPr>
        <w:pStyle w:val="32"/>
        <w:numPr>
          <w:ilvl w:val="1"/>
          <w:numId w:val="8"/>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谈判报价执行政府采购政策，被认定为小微企业最终报价按扣除10%作为评审报价。</w:t>
      </w:r>
    </w:p>
    <w:p>
      <w:pPr>
        <w:pStyle w:val="32"/>
        <w:numPr>
          <w:ilvl w:val="1"/>
          <w:numId w:val="8"/>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pPr>
        <w:pStyle w:val="32"/>
        <w:numPr>
          <w:ilvl w:val="1"/>
          <w:numId w:val="8"/>
        </w:numPr>
        <w:tabs>
          <w:tab w:val="left" w:pos="941"/>
        </w:tabs>
        <w:adjustRightInd w:val="0"/>
        <w:snapToGrid w:val="0"/>
        <w:spacing w:line="360" w:lineRule="auto"/>
        <w:ind w:left="0" w:firstLine="480" w:firstLineChars="200"/>
        <w:jc w:val="both"/>
        <w:rPr>
          <w:sz w:val="24"/>
        </w:rPr>
      </w:pPr>
      <w:r>
        <w:rPr>
          <w:rFonts w:hint="eastAsia"/>
          <w:sz w:val="24"/>
          <w:lang w:val="en-US"/>
        </w:rPr>
        <w:t>网上报价</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w:t>
      </w:r>
      <w:r>
        <w:rPr>
          <w:rFonts w:hint="eastAsia"/>
          <w:sz w:val="24"/>
          <w:lang w:val="en-US"/>
        </w:rPr>
        <w:t>中的《周口市公共资源交易系统政府采购供应商操作手册》相关规定。</w:t>
      </w:r>
    </w:p>
    <w:p>
      <w:pPr>
        <w:pStyle w:val="7"/>
        <w:adjustRightInd w:val="0"/>
        <w:snapToGrid w:val="0"/>
        <w:spacing w:line="360" w:lineRule="auto"/>
        <w:ind w:left="0" w:firstLine="482" w:firstLineChars="200"/>
      </w:pPr>
      <w:r>
        <w:rPr>
          <w:rFonts w:hint="eastAsia"/>
        </w:rPr>
        <w:t>12、谈判供应商资格证明文件</w:t>
      </w:r>
    </w:p>
    <w:p>
      <w:pPr>
        <w:pStyle w:val="32"/>
        <w:numPr>
          <w:ilvl w:val="1"/>
          <w:numId w:val="9"/>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pPr>
        <w:pStyle w:val="32"/>
        <w:numPr>
          <w:ilvl w:val="1"/>
          <w:numId w:val="9"/>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pPr>
        <w:pStyle w:val="32"/>
        <w:numPr>
          <w:ilvl w:val="1"/>
          <w:numId w:val="9"/>
        </w:numPr>
        <w:tabs>
          <w:tab w:val="left" w:pos="932"/>
        </w:tabs>
        <w:adjustRightInd w:val="0"/>
        <w:snapToGrid w:val="0"/>
        <w:spacing w:line="360" w:lineRule="auto"/>
        <w:ind w:left="0" w:firstLine="480" w:firstLineChars="200"/>
        <w:rPr>
          <w:sz w:val="24"/>
        </w:rPr>
      </w:pPr>
      <w:r>
        <w:rPr>
          <w:rFonts w:hint="eastAsia"/>
          <w:sz w:val="24"/>
        </w:rPr>
        <w:t>谈判供应商</w:t>
      </w:r>
      <w:r>
        <w:rPr>
          <w:rFonts w:hint="eastAsia"/>
          <w:sz w:val="24"/>
          <w:lang w:val="en-US"/>
        </w:rPr>
        <w:t>应</w:t>
      </w:r>
      <w:r>
        <w:rPr>
          <w:rFonts w:hint="eastAsia"/>
          <w:sz w:val="24"/>
        </w:rPr>
        <w:t>有履行合同所需的财务、技术、施工能力。</w:t>
      </w:r>
    </w:p>
    <w:p>
      <w:pPr>
        <w:pStyle w:val="32"/>
        <w:numPr>
          <w:ilvl w:val="1"/>
          <w:numId w:val="9"/>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w:t>
      </w:r>
      <w:r>
        <w:rPr>
          <w:rFonts w:hint="eastAsia"/>
          <w:sz w:val="24"/>
          <w:lang w:val="en-US"/>
        </w:rPr>
        <w:t>采购</w:t>
      </w:r>
      <w:r>
        <w:rPr>
          <w:rFonts w:hint="eastAsia"/>
          <w:sz w:val="24"/>
        </w:rPr>
        <w:t>要求规定的由谈判供应商履行的服务义务。</w:t>
      </w:r>
    </w:p>
    <w:p>
      <w:pPr>
        <w:pStyle w:val="7"/>
        <w:adjustRightInd w:val="0"/>
        <w:snapToGrid w:val="0"/>
        <w:spacing w:line="360" w:lineRule="auto"/>
        <w:ind w:left="0" w:firstLine="482" w:firstLineChars="200"/>
      </w:pPr>
      <w:r>
        <w:rPr>
          <w:rFonts w:hint="eastAsia"/>
        </w:rPr>
        <w:t>13、谈判保证金</w:t>
      </w:r>
    </w:p>
    <w:p>
      <w:pPr>
        <w:pStyle w:val="7"/>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pPr>
        <w:pStyle w:val="7"/>
        <w:adjustRightInd w:val="0"/>
        <w:snapToGrid w:val="0"/>
        <w:spacing w:line="360" w:lineRule="auto"/>
        <w:ind w:left="0" w:firstLine="482" w:firstLineChars="200"/>
      </w:pPr>
      <w:r>
        <w:rPr>
          <w:rFonts w:hint="eastAsia"/>
        </w:rPr>
        <w:t>14、投标有效期</w:t>
      </w:r>
    </w:p>
    <w:p>
      <w:pPr>
        <w:pStyle w:val="32"/>
        <w:numPr>
          <w:ilvl w:val="1"/>
          <w:numId w:val="10"/>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响应文件其有效期应延续至合同执行结束，有效期短于这个规定期限的谈判供应商将被拒绝。供应商须承诺，如若成交谈判响应文件其有效期延续至合同执行结束，</w:t>
      </w:r>
      <w:r>
        <w:rPr>
          <w:sz w:val="24"/>
          <w:szCs w:val="24"/>
        </w:rPr>
        <w:t>否则视为无效投标。</w:t>
      </w:r>
    </w:p>
    <w:p>
      <w:pPr>
        <w:pStyle w:val="32"/>
        <w:numPr>
          <w:ilvl w:val="1"/>
          <w:numId w:val="10"/>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pPr>
        <w:pStyle w:val="7"/>
        <w:adjustRightInd w:val="0"/>
        <w:snapToGrid w:val="0"/>
        <w:spacing w:line="360" w:lineRule="auto"/>
        <w:ind w:left="0" w:firstLine="482" w:firstLineChars="200"/>
      </w:pPr>
      <w:r>
        <w:rPr>
          <w:rFonts w:hint="eastAsia"/>
        </w:rPr>
        <w:t>15、谈判响应文件的签署及规定</w:t>
      </w:r>
    </w:p>
    <w:p>
      <w:pPr>
        <w:pStyle w:val="32"/>
        <w:numPr>
          <w:ilvl w:val="1"/>
          <w:numId w:val="11"/>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pPr>
        <w:pStyle w:val="32"/>
        <w:numPr>
          <w:ilvl w:val="1"/>
          <w:numId w:val="11"/>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pPr>
        <w:pStyle w:val="6"/>
        <w:adjustRightInd w:val="0"/>
        <w:snapToGrid w:val="0"/>
        <w:spacing w:line="360" w:lineRule="auto"/>
        <w:ind w:left="0" w:firstLine="602" w:firstLineChars="200"/>
      </w:pPr>
      <w:r>
        <w:rPr>
          <w:rFonts w:hint="eastAsia"/>
        </w:rPr>
        <w:t>D、谈判响应文件的递交</w:t>
      </w:r>
    </w:p>
    <w:p>
      <w:pPr>
        <w:pStyle w:val="9"/>
        <w:adjustRightInd w:val="0"/>
        <w:snapToGrid w:val="0"/>
        <w:spacing w:line="360" w:lineRule="auto"/>
        <w:ind w:firstLine="494" w:firstLineChars="200"/>
        <w:jc w:val="both"/>
        <w:rPr>
          <w:lang w:val="en-US"/>
        </w:rPr>
      </w:pPr>
      <w:r>
        <w:rPr>
          <w:rFonts w:hint="eastAsia"/>
          <w:b/>
          <w:spacing w:val="3"/>
        </w:rPr>
        <w:t>16</w:t>
      </w:r>
      <w:r>
        <w:rPr>
          <w:rFonts w:hint="eastAsia"/>
          <w:b/>
          <w:spacing w:val="4"/>
        </w:rPr>
        <w:t>、</w:t>
      </w:r>
      <w:r>
        <w:rPr>
          <w:rFonts w:hint="eastAsia"/>
        </w:rPr>
        <w:t>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pPr>
        <w:pStyle w:val="9"/>
        <w:adjustRightInd w:val="0"/>
        <w:snapToGrid w:val="0"/>
        <w:spacing w:line="360" w:lineRule="auto"/>
        <w:ind w:firstLine="480" w:firstLineChars="200"/>
        <w:jc w:val="both"/>
      </w:pPr>
      <w:r>
        <w:rPr>
          <w:rFonts w:hint="eastAsia"/>
        </w:rPr>
        <w:t>本项目施行网上远程开标无须到现场提交响应文件（未加密的电子投标文件和纸质文件均不再提交）</w:t>
      </w:r>
    </w:p>
    <w:p>
      <w:pPr>
        <w:adjustRightInd w:val="0"/>
        <w:snapToGrid w:val="0"/>
        <w:spacing w:line="360" w:lineRule="auto"/>
        <w:ind w:firstLine="482" w:firstLineChars="200"/>
        <w:rPr>
          <w:b/>
          <w:sz w:val="24"/>
        </w:rPr>
      </w:pPr>
      <w:r>
        <w:rPr>
          <w:rFonts w:hint="eastAsia"/>
          <w:b/>
          <w:sz w:val="24"/>
        </w:rPr>
        <w:t>17、递交谈判响应文件的截止时间</w:t>
      </w:r>
    </w:p>
    <w:p>
      <w:pPr>
        <w:pStyle w:val="32"/>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pPr>
        <w:pStyle w:val="32"/>
        <w:numPr>
          <w:ilvl w:val="1"/>
          <w:numId w:val="12"/>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pPr>
        <w:pStyle w:val="32"/>
        <w:numPr>
          <w:ilvl w:val="1"/>
          <w:numId w:val="12"/>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pPr>
        <w:pStyle w:val="32"/>
        <w:numPr>
          <w:ilvl w:val="1"/>
          <w:numId w:val="12"/>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pPr>
        <w:pStyle w:val="7"/>
        <w:adjustRightInd w:val="0"/>
        <w:snapToGrid w:val="0"/>
        <w:spacing w:line="360" w:lineRule="auto"/>
        <w:ind w:left="0" w:firstLine="482" w:firstLineChars="200"/>
      </w:pPr>
      <w:r>
        <w:rPr>
          <w:rFonts w:hint="eastAsia"/>
        </w:rPr>
        <w:t>18、迟交的谈判响应文件</w:t>
      </w:r>
    </w:p>
    <w:p>
      <w:pPr>
        <w:pStyle w:val="9"/>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文件的截止时间之后制作上传的响应文件为无效投标文件，</w:t>
      </w:r>
      <w:r>
        <w:rPr>
          <w:rFonts w:hint="eastAsia"/>
          <w:bCs/>
        </w:rPr>
        <w:t>采购人</w:t>
      </w:r>
      <w:r>
        <w:rPr>
          <w:rFonts w:hint="eastAsia"/>
          <w:bCs/>
          <w:lang w:val="en-US"/>
        </w:rPr>
        <w:t>和网上开评标系统</w:t>
      </w:r>
      <w:r>
        <w:rPr>
          <w:rFonts w:hint="eastAsia"/>
        </w:rPr>
        <w:t>将拒绝接收。</w:t>
      </w:r>
    </w:p>
    <w:p>
      <w:pPr>
        <w:pStyle w:val="6"/>
        <w:adjustRightInd w:val="0"/>
        <w:snapToGrid w:val="0"/>
        <w:spacing w:line="360" w:lineRule="auto"/>
        <w:ind w:left="0" w:firstLine="602" w:firstLineChars="200"/>
      </w:pPr>
      <w:r>
        <w:rPr>
          <w:rFonts w:hint="eastAsia"/>
        </w:rPr>
        <w:t>E、开始和谈判</w:t>
      </w:r>
    </w:p>
    <w:p>
      <w:pPr>
        <w:pStyle w:val="7"/>
        <w:adjustRightInd w:val="0"/>
        <w:snapToGrid w:val="0"/>
        <w:spacing w:line="360" w:lineRule="auto"/>
        <w:ind w:left="0" w:firstLine="482" w:firstLineChars="200"/>
      </w:pPr>
      <w:r>
        <w:rPr>
          <w:rFonts w:hint="eastAsia"/>
        </w:rPr>
        <w:t>19、开始</w:t>
      </w:r>
    </w:p>
    <w:p>
      <w:pPr>
        <w:pStyle w:val="9"/>
        <w:adjustRightInd w:val="0"/>
        <w:snapToGrid w:val="0"/>
        <w:spacing w:line="500" w:lineRule="exact"/>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pPr>
        <w:pStyle w:val="2"/>
        <w:spacing w:line="500" w:lineRule="exact"/>
        <w:ind w:firstLine="480" w:firstLineChars="200"/>
        <w:rPr>
          <w:rFonts w:cs="Segoe UI"/>
          <w:sz w:val="24"/>
          <w:szCs w:val="24"/>
        </w:rPr>
      </w:pPr>
      <w:r>
        <w:rPr>
          <w:rFonts w:hint="eastAsia"/>
          <w:sz w:val="24"/>
          <w:szCs w:val="24"/>
          <w:lang w:val="en-US"/>
        </w:rPr>
        <w:t>19.2</w:t>
      </w:r>
      <w:r>
        <w:rPr>
          <w:rFonts w:hint="eastAsia"/>
          <w:sz w:val="24"/>
          <w:szCs w:val="24"/>
        </w:rPr>
        <w:t>请各投标人在开标规定时间内进行网上远程响应文件解密，远程响应文件解密程序见“周口市公共资</w:t>
      </w:r>
      <w:r>
        <w:rPr>
          <w:rFonts w:hint="eastAsia"/>
          <w:spacing w:val="-4"/>
          <w:sz w:val="24"/>
          <w:szCs w:val="24"/>
        </w:rPr>
        <w:t>源电子交易服务平台</w:t>
      </w:r>
      <w:r>
        <w:rPr>
          <w:rFonts w:hint="eastAsia"/>
          <w:sz w:val="24"/>
          <w:szCs w:val="24"/>
        </w:rPr>
        <w:t>（</w:t>
      </w:r>
      <w:r>
        <w:rPr>
          <w:rFonts w:hint="eastAsia"/>
          <w:spacing w:val="-20"/>
          <w:sz w:val="24"/>
          <w:szCs w:val="24"/>
        </w:rPr>
        <w:t>网址</w:t>
      </w:r>
      <w:r>
        <w:fldChar w:fldCharType="begin"/>
      </w:r>
      <w:r>
        <w:instrText xml:space="preserve">HYPERLINK "http://jyzx.zhoukou.gov.cn/" </w:instrText>
      </w:r>
      <w:r>
        <w:fldChar w:fldCharType="separate"/>
      </w:r>
      <w:r>
        <w:rPr>
          <w:rStyle w:val="19"/>
          <w:rFonts w:cs="Segoe UI"/>
          <w:color w:val="auto"/>
          <w:sz w:val="24"/>
          <w:szCs w:val="24"/>
        </w:rPr>
        <w:t>http://jyzx.zhoukou.gov.cn</w:t>
      </w:r>
      <w:r>
        <w:fldChar w:fldCharType="end"/>
      </w:r>
      <w:r>
        <w:rPr>
          <w:rFonts w:cs="Segoe UI"/>
          <w:sz w:val="24"/>
          <w:szCs w:val="24"/>
        </w:rPr>
        <w:t>）</w:t>
      </w:r>
      <w:r>
        <w:rPr>
          <w:rFonts w:hint="eastAsia"/>
          <w:sz w:val="24"/>
          <w:szCs w:val="24"/>
        </w:rPr>
        <w:t>下载</w:t>
      </w:r>
      <w:r>
        <w:rPr>
          <w:rFonts w:hint="eastAsia"/>
          <w:spacing w:val="-8"/>
          <w:sz w:val="24"/>
          <w:szCs w:val="24"/>
        </w:rPr>
        <w:t>中心</w:t>
      </w:r>
      <w:r>
        <w:rPr>
          <w:rFonts w:hint="eastAsia"/>
          <w:spacing w:val="3"/>
          <w:sz w:val="24"/>
          <w:szCs w:val="24"/>
        </w:rPr>
        <w:t>（</w:t>
      </w:r>
      <w:r>
        <w:fldChar w:fldCharType="begin"/>
      </w:r>
      <w:r>
        <w:instrText xml:space="preserve">HYPERLINK "http://www.zkggzyjy.gov.cn/TPFront/infodetail/?infoid=47eea74d-b982-411d-875f-1b63772b7810&amp;amp;categoryNum=010" </w:instrText>
      </w:r>
      <w:r>
        <w:fldChar w:fldCharType="separate"/>
      </w:r>
      <w:r>
        <w:rPr>
          <w:rFonts w:hint="eastAsia"/>
          <w:sz w:val="24"/>
          <w:szCs w:val="24"/>
        </w:rPr>
        <w:t>远程在线解</w:t>
      </w:r>
      <w:r>
        <w:fldChar w:fldCharType="end"/>
      </w:r>
      <w:r>
        <w:fldChar w:fldCharType="begin"/>
      </w:r>
      <w:r>
        <w:instrText xml:space="preserve">HYPERLINK "http://www.zkggzyjy.gov.cn/TPFront/infodetail/?infoid=47eea74d-b982-411d-875f-1b63772b7810&amp;amp;categoryNum=010" </w:instrText>
      </w:r>
      <w:r>
        <w:fldChar w:fldCharType="separate"/>
      </w:r>
      <w:r>
        <w:rPr>
          <w:rFonts w:hint="eastAsia"/>
          <w:sz w:val="24"/>
          <w:szCs w:val="24"/>
        </w:rPr>
        <w:t>密操作手册</w:t>
      </w:r>
      <w:r>
        <w:fldChar w:fldCharType="end"/>
      </w:r>
      <w:r>
        <w:rPr>
          <w:rFonts w:hint="eastAsia"/>
          <w:sz w:val="24"/>
          <w:szCs w:val="24"/>
        </w:rPr>
        <w:t>）”。在规定时间内（</w:t>
      </w:r>
      <w:r>
        <w:rPr>
          <w:rFonts w:hint="eastAsia"/>
          <w:sz w:val="24"/>
          <w:szCs w:val="24"/>
          <w:lang w:val="en-US"/>
        </w:rPr>
        <w:t>半个小时</w:t>
      </w:r>
      <w:r>
        <w:rPr>
          <w:rFonts w:hint="eastAsia"/>
          <w:sz w:val="24"/>
          <w:szCs w:val="24"/>
        </w:rPr>
        <w:t>）不进行解密的视为不提交响应文件。</w:t>
      </w:r>
    </w:p>
    <w:p>
      <w:pPr>
        <w:spacing w:line="500" w:lineRule="exact"/>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pPr>
        <w:pStyle w:val="7"/>
        <w:adjustRightInd w:val="0"/>
        <w:snapToGrid w:val="0"/>
        <w:spacing w:line="360" w:lineRule="auto"/>
        <w:ind w:left="0" w:firstLine="458" w:firstLineChars="200"/>
      </w:pPr>
      <w:r>
        <w:rPr>
          <w:rFonts w:hint="eastAsia"/>
          <w:w w:val="95"/>
        </w:rPr>
        <w:t>20、谈判小组</w:t>
      </w:r>
    </w:p>
    <w:p>
      <w:pPr>
        <w:pStyle w:val="9"/>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将根据所采购项目的特点组建谈判小组，其成员由3名技术</w:t>
      </w:r>
      <w:r>
        <w:rPr>
          <w:rFonts w:hint="eastAsia"/>
          <w:spacing w:val="-5"/>
        </w:rPr>
        <w:t>专家评委组成。谈判小组对谈判响应文件进行审查、质疑、</w:t>
      </w:r>
      <w:r>
        <w:rPr>
          <w:rFonts w:hint="eastAsia"/>
        </w:rPr>
        <w:t>评估和比较。</w:t>
      </w:r>
    </w:p>
    <w:p>
      <w:pPr>
        <w:pStyle w:val="7"/>
        <w:adjustRightInd w:val="0"/>
        <w:snapToGrid w:val="0"/>
        <w:spacing w:line="360" w:lineRule="auto"/>
        <w:ind w:left="0" w:firstLine="482" w:firstLineChars="200"/>
      </w:pPr>
      <w:r>
        <w:rPr>
          <w:rFonts w:hint="eastAsia"/>
        </w:rPr>
        <w:t>21、谈判响应文件的审查</w:t>
      </w:r>
    </w:p>
    <w:p>
      <w:pPr>
        <w:pStyle w:val="32"/>
        <w:numPr>
          <w:ilvl w:val="1"/>
          <w:numId w:val="13"/>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不同供应商在同一台计算上制作的响应文件，视为无效投标。</w:t>
      </w:r>
    </w:p>
    <w:p>
      <w:pPr>
        <w:pStyle w:val="32"/>
        <w:numPr>
          <w:ilvl w:val="1"/>
          <w:numId w:val="13"/>
        </w:numPr>
        <w:tabs>
          <w:tab w:val="left" w:pos="941"/>
        </w:tabs>
        <w:adjustRightInd w:val="0"/>
        <w:snapToGrid w:val="0"/>
        <w:spacing w:line="360" w:lineRule="auto"/>
        <w:ind w:left="0" w:firstLine="480" w:firstLineChars="200"/>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pPr>
        <w:pStyle w:val="32"/>
        <w:numPr>
          <w:ilvl w:val="1"/>
          <w:numId w:val="13"/>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32"/>
        <w:numPr>
          <w:ilvl w:val="1"/>
          <w:numId w:val="13"/>
        </w:numPr>
        <w:tabs>
          <w:tab w:val="left" w:pos="941"/>
        </w:tabs>
        <w:adjustRightInd w:val="0"/>
        <w:snapToGrid w:val="0"/>
        <w:spacing w:line="360" w:lineRule="auto"/>
        <w:ind w:left="0" w:firstLine="480" w:firstLineChars="200"/>
        <w:rPr>
          <w:sz w:val="24"/>
        </w:rPr>
      </w:pPr>
      <w:r>
        <w:rPr>
          <w:rFonts w:hint="eastAsia"/>
          <w:sz w:val="24"/>
        </w:rPr>
        <w:t>谈判小组判断谈判文件的响应性仅基于谈判响应文件本身内容而不靠外部证据。</w:t>
      </w:r>
    </w:p>
    <w:p>
      <w:pPr>
        <w:pStyle w:val="32"/>
        <w:numPr>
          <w:ilvl w:val="1"/>
          <w:numId w:val="13"/>
        </w:numPr>
        <w:tabs>
          <w:tab w:val="left" w:pos="941"/>
        </w:tabs>
        <w:adjustRightInd w:val="0"/>
        <w:snapToGrid w:val="0"/>
        <w:spacing w:line="360" w:lineRule="auto"/>
        <w:ind w:left="0" w:firstLine="480" w:firstLineChars="200"/>
        <w:rPr>
          <w:sz w:val="24"/>
        </w:rPr>
      </w:pPr>
      <w:r>
        <w:rPr>
          <w:rFonts w:hint="eastAsia"/>
          <w:sz w:val="24"/>
        </w:rPr>
        <w:t>谈判小组将拒绝被确定为非实质性响应的谈判供应商，谈判供应商不能通过修正或撤消不符之处而使其成为实质性响应的谈判供应商。</w:t>
      </w:r>
    </w:p>
    <w:p>
      <w:pPr>
        <w:pStyle w:val="32"/>
        <w:numPr>
          <w:ilvl w:val="1"/>
          <w:numId w:val="13"/>
        </w:numPr>
        <w:tabs>
          <w:tab w:val="left" w:pos="941"/>
        </w:tabs>
        <w:adjustRightInd w:val="0"/>
        <w:snapToGrid w:val="0"/>
        <w:spacing w:line="360" w:lineRule="auto"/>
        <w:ind w:left="0" w:firstLine="480" w:firstLineChars="200"/>
        <w:rPr>
          <w:sz w:val="24"/>
        </w:rPr>
      </w:pPr>
      <w:r>
        <w:rPr>
          <w:rFonts w:hint="eastAsia"/>
          <w:sz w:val="24"/>
        </w:rPr>
        <w:t>谈判小组允许修改谈判响应中不构成重大偏离的、微小的、非正规、不一致或不规则的地方。</w:t>
      </w:r>
    </w:p>
    <w:p>
      <w:pPr>
        <w:pStyle w:val="32"/>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pPr>
        <w:pStyle w:val="9"/>
        <w:adjustRightInd w:val="0"/>
        <w:snapToGrid w:val="0"/>
        <w:spacing w:line="360" w:lineRule="auto"/>
        <w:ind w:firstLine="480" w:firstLineChars="200"/>
      </w:pPr>
      <w:r>
        <w:rPr>
          <w:rFonts w:hint="eastAsia"/>
        </w:rPr>
        <w:t>遇到下列情况之一时,投标人的投标将被视为无效投标:</w:t>
      </w:r>
    </w:p>
    <w:p>
      <w:pPr>
        <w:pStyle w:val="32"/>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pPr>
        <w:pStyle w:val="32"/>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pPr>
        <w:pStyle w:val="32"/>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pPr>
        <w:pStyle w:val="32"/>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pPr>
        <w:pStyle w:val="32"/>
        <w:tabs>
          <w:tab w:val="left" w:pos="1190"/>
        </w:tabs>
        <w:adjustRightInd w:val="0"/>
        <w:snapToGrid w:val="0"/>
        <w:spacing w:line="360" w:lineRule="auto"/>
        <w:ind w:left="0" w:firstLine="0"/>
        <w:rPr>
          <w:sz w:val="24"/>
          <w:szCs w:val="24"/>
        </w:rPr>
      </w:pPr>
      <w:r>
        <w:rPr>
          <w:rFonts w:hint="eastAsia"/>
          <w:sz w:val="24"/>
          <w:szCs w:val="24"/>
        </w:rPr>
        <w:t>外）；</w:t>
      </w:r>
    </w:p>
    <w:p>
      <w:pPr>
        <w:pStyle w:val="32"/>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pPr>
        <w:pStyle w:val="32"/>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pPr>
        <w:pStyle w:val="32"/>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pPr>
        <w:pStyle w:val="32"/>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pPr>
        <w:pStyle w:val="32"/>
        <w:tabs>
          <w:tab w:val="left" w:pos="1190"/>
        </w:tabs>
        <w:adjustRightInd w:val="0"/>
        <w:snapToGrid w:val="0"/>
        <w:spacing w:line="360" w:lineRule="auto"/>
        <w:ind w:left="0" w:firstLine="0"/>
        <w:rPr>
          <w:sz w:val="24"/>
          <w:szCs w:val="24"/>
        </w:rPr>
      </w:pPr>
      <w:r>
        <w:rPr>
          <w:rFonts w:hint="eastAsia"/>
          <w:sz w:val="24"/>
          <w:szCs w:val="24"/>
        </w:rPr>
        <w:t>方式投标的；</w:t>
      </w:r>
    </w:p>
    <w:p>
      <w:pPr>
        <w:pStyle w:val="32"/>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pPr>
        <w:pStyle w:val="32"/>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pPr>
        <w:pStyle w:val="32"/>
        <w:tabs>
          <w:tab w:val="left" w:pos="1299"/>
        </w:tabs>
        <w:adjustRightInd w:val="0"/>
        <w:snapToGrid w:val="0"/>
        <w:spacing w:line="360" w:lineRule="auto"/>
        <w:ind w:left="440" w:leftChars="200" w:firstLine="0"/>
        <w:rPr>
          <w:sz w:val="24"/>
          <w:szCs w:val="24"/>
        </w:rPr>
      </w:pPr>
      <w:r>
        <w:rPr>
          <w:rFonts w:hint="eastAsia"/>
          <w:sz w:val="24"/>
          <w:szCs w:val="24"/>
          <w:lang w:val="en-US"/>
        </w:rPr>
        <w:t>21.7.9</w:t>
      </w:r>
      <w:r>
        <w:rPr>
          <w:rFonts w:hint="eastAsia"/>
          <w:sz w:val="24"/>
          <w:szCs w:val="24"/>
        </w:rPr>
        <w:t>违反《中华人民共和国政府采购法》等法律的投标；</w:t>
      </w:r>
    </w:p>
    <w:p>
      <w:pPr>
        <w:spacing w:line="360" w:lineRule="auto"/>
        <w:ind w:firstLine="480" w:firstLineChars="200"/>
        <w:rPr>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pPr>
        <w:spacing w:line="360" w:lineRule="auto"/>
        <w:ind w:firstLine="480" w:firstLineChars="200"/>
        <w:rPr>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pPr>
        <w:spacing w:line="360" w:lineRule="auto"/>
        <w:ind w:firstLine="480" w:firstLineChars="200"/>
        <w:rPr>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pPr>
        <w:spacing w:line="360" w:lineRule="auto"/>
        <w:ind w:firstLine="480" w:firstLineChars="200"/>
        <w:rPr>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pPr>
        <w:spacing w:line="360" w:lineRule="auto"/>
        <w:ind w:firstLine="480" w:firstLineChars="200"/>
        <w:rPr>
          <w:sz w:val="24"/>
        </w:rPr>
      </w:pPr>
      <w:r>
        <w:rPr>
          <w:rFonts w:hint="eastAsia"/>
          <w:sz w:val="24"/>
          <w:szCs w:val="24"/>
          <w:lang w:val="en-US"/>
        </w:rPr>
        <w:t>21.7.</w:t>
      </w:r>
      <w:r>
        <w:rPr>
          <w:rFonts w:hint="eastAsia"/>
          <w:sz w:val="24"/>
          <w:lang w:val="en-US"/>
        </w:rPr>
        <w:t>14</w:t>
      </w:r>
      <w:r>
        <w:rPr>
          <w:rFonts w:hint="eastAsia"/>
          <w:sz w:val="24"/>
        </w:rPr>
        <w:t>不同供应商的法定代表人、委托代理人、项目经理、项目负责人等由同一个单位缴纳社会保险或者领取报酬的；</w:t>
      </w:r>
    </w:p>
    <w:p>
      <w:pPr>
        <w:spacing w:line="360" w:lineRule="auto"/>
        <w:ind w:firstLine="480" w:firstLineChars="200"/>
        <w:rPr>
          <w:sz w:val="24"/>
          <w:szCs w:val="24"/>
        </w:rPr>
      </w:pPr>
      <w:r>
        <w:rPr>
          <w:rFonts w:hint="eastAsia"/>
          <w:sz w:val="24"/>
          <w:szCs w:val="24"/>
          <w:lang w:val="en-US"/>
        </w:rPr>
        <w:t>21.7.</w:t>
      </w:r>
      <w:r>
        <w:rPr>
          <w:rFonts w:hint="eastAsia"/>
          <w:sz w:val="24"/>
          <w:lang w:val="en-US"/>
        </w:rPr>
        <w:t>15</w:t>
      </w:r>
      <w:r>
        <w:rPr>
          <w:rFonts w:hint="eastAsia"/>
          <w:sz w:val="24"/>
        </w:rPr>
        <w:t>不同供应商投标（响应）文件中法定代表人或者负责人签字出自同一人之手。</w:t>
      </w:r>
    </w:p>
    <w:p>
      <w:pPr>
        <w:pStyle w:val="32"/>
        <w:tabs>
          <w:tab w:val="left" w:pos="1299"/>
        </w:tabs>
        <w:adjustRightInd w:val="0"/>
        <w:snapToGrid w:val="0"/>
        <w:spacing w:line="360" w:lineRule="auto"/>
        <w:ind w:left="440" w:leftChars="200" w:firstLine="0"/>
        <w:rPr>
          <w:sz w:val="24"/>
          <w:szCs w:val="24"/>
        </w:rPr>
      </w:pPr>
      <w:r>
        <w:rPr>
          <w:rFonts w:hint="eastAsia"/>
          <w:sz w:val="24"/>
          <w:szCs w:val="24"/>
          <w:lang w:val="en-US"/>
        </w:rPr>
        <w:t>21.7.16</w:t>
      </w:r>
      <w:r>
        <w:rPr>
          <w:rFonts w:hint="eastAsia"/>
          <w:sz w:val="24"/>
          <w:szCs w:val="24"/>
        </w:rPr>
        <w:t>其它未响应招标文件而可能导致废标；</w:t>
      </w:r>
    </w:p>
    <w:p>
      <w:pPr>
        <w:pStyle w:val="32"/>
        <w:tabs>
          <w:tab w:val="left" w:pos="1299"/>
        </w:tabs>
        <w:adjustRightInd w:val="0"/>
        <w:snapToGrid w:val="0"/>
        <w:spacing w:line="360" w:lineRule="auto"/>
        <w:ind w:left="440" w:leftChars="200" w:firstLine="0"/>
        <w:rPr>
          <w:sz w:val="24"/>
          <w:szCs w:val="24"/>
        </w:rPr>
      </w:pPr>
      <w:r>
        <w:rPr>
          <w:rFonts w:hint="eastAsia"/>
          <w:sz w:val="24"/>
          <w:szCs w:val="24"/>
          <w:lang w:val="en-US"/>
        </w:rPr>
        <w:t>21.7.17</w:t>
      </w:r>
      <w:r>
        <w:rPr>
          <w:rFonts w:hint="eastAsia"/>
          <w:sz w:val="24"/>
          <w:szCs w:val="24"/>
        </w:rPr>
        <w:t>所有投标人的投标报价均超出采购人预算的；</w:t>
      </w:r>
    </w:p>
    <w:p>
      <w:pPr>
        <w:pStyle w:val="32"/>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pPr>
        <w:pStyle w:val="7"/>
        <w:adjustRightInd w:val="0"/>
        <w:snapToGrid w:val="0"/>
        <w:spacing w:line="360" w:lineRule="auto"/>
        <w:ind w:left="0" w:firstLine="482" w:firstLineChars="200"/>
      </w:pPr>
      <w:r>
        <w:rPr>
          <w:rFonts w:hint="eastAsia"/>
        </w:rPr>
        <w:t>22、谈判文响应件的澄清</w:t>
      </w:r>
    </w:p>
    <w:p>
      <w:pPr>
        <w:pStyle w:val="32"/>
        <w:numPr>
          <w:ilvl w:val="1"/>
          <w:numId w:val="14"/>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32"/>
        <w:numPr>
          <w:ilvl w:val="1"/>
          <w:numId w:val="14"/>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pPr>
        <w:pStyle w:val="32"/>
        <w:numPr>
          <w:ilvl w:val="1"/>
          <w:numId w:val="14"/>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pPr>
        <w:pStyle w:val="32"/>
        <w:numPr>
          <w:ilvl w:val="1"/>
          <w:numId w:val="14"/>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pPr>
        <w:pStyle w:val="7"/>
        <w:adjustRightInd w:val="0"/>
        <w:snapToGrid w:val="0"/>
        <w:spacing w:line="360" w:lineRule="auto"/>
        <w:ind w:left="0" w:firstLine="482" w:firstLineChars="200"/>
      </w:pPr>
      <w:r>
        <w:rPr>
          <w:rFonts w:hint="eastAsia"/>
        </w:rPr>
        <w:t>23、谈判原则和方法</w:t>
      </w:r>
    </w:p>
    <w:p>
      <w:pPr>
        <w:pStyle w:val="32"/>
        <w:numPr>
          <w:ilvl w:val="1"/>
          <w:numId w:val="15"/>
        </w:numPr>
        <w:tabs>
          <w:tab w:val="left" w:pos="939"/>
        </w:tabs>
        <w:adjustRightInd w:val="0"/>
        <w:snapToGrid w:val="0"/>
        <w:spacing w:line="360" w:lineRule="auto"/>
        <w:ind w:left="0" w:firstLine="480" w:firstLineChars="200"/>
      </w:pPr>
      <w:r>
        <w:rPr>
          <w:rFonts w:hint="eastAsia"/>
          <w:sz w:val="24"/>
        </w:rPr>
        <w:t>坚持公平、公正的原则。</w:t>
      </w:r>
    </w:p>
    <w:p>
      <w:pPr>
        <w:pStyle w:val="32"/>
        <w:numPr>
          <w:ilvl w:val="1"/>
          <w:numId w:val="15"/>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pPr>
        <w:pStyle w:val="7"/>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pPr>
        <w:pStyle w:val="32"/>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pPr>
        <w:pStyle w:val="32"/>
        <w:adjustRightInd w:val="0"/>
        <w:snapToGrid w:val="0"/>
        <w:spacing w:line="360" w:lineRule="auto"/>
        <w:ind w:left="0" w:firstLine="0"/>
        <w:rPr>
          <w:sz w:val="24"/>
        </w:rPr>
      </w:pPr>
      <w:r>
        <w:rPr>
          <w:sz w:val="24"/>
        </w:rPr>
        <w:t>应商为</w:t>
      </w:r>
      <w:r>
        <w:rPr>
          <w:rFonts w:hint="eastAsia"/>
          <w:sz w:val="24"/>
        </w:rPr>
        <w:t>成交</w:t>
      </w:r>
      <w:r>
        <w:rPr>
          <w:sz w:val="24"/>
        </w:rPr>
        <w:t>人</w:t>
      </w:r>
      <w:r>
        <w:rPr>
          <w:rFonts w:hint="eastAsia"/>
          <w:sz w:val="24"/>
        </w:rPr>
        <w:t>。</w:t>
      </w:r>
    </w:p>
    <w:p>
      <w:pPr>
        <w:pStyle w:val="32"/>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w:t>
      </w:r>
      <w:r>
        <w:rPr>
          <w:rFonts w:hint="eastAsia" w:cs="仿宋_GB2312"/>
          <w:sz w:val="24"/>
          <w:szCs w:val="24"/>
          <w:lang w:val="en-US"/>
        </w:rPr>
        <w:t>谈判响应函上为第一轮报价</w:t>
      </w:r>
      <w:r>
        <w:rPr>
          <w:rFonts w:hint="eastAsia" w:cs="仿宋_GB2312"/>
          <w:sz w:val="24"/>
          <w:szCs w:val="24"/>
        </w:rPr>
        <w:t>）；每</w:t>
      </w:r>
      <w:r>
        <w:rPr>
          <w:rFonts w:hint="eastAsia" w:cs="仿宋_GB2312"/>
          <w:sz w:val="24"/>
          <w:szCs w:val="24"/>
          <w:lang w:val="en-US"/>
        </w:rPr>
        <w:t>轮</w:t>
      </w:r>
      <w:r>
        <w:rPr>
          <w:rFonts w:hint="eastAsia" w:cs="仿宋_GB2312"/>
          <w:sz w:val="24"/>
          <w:szCs w:val="24"/>
        </w:rPr>
        <w:t>的报价由供应商自定，谈判小组不作限制，但每次的报价不得高于上次报价（可以等于或小于）；供应商最终报价最低者为成交供应商。</w:t>
      </w:r>
    </w:p>
    <w:p>
      <w:pPr>
        <w:pStyle w:val="32"/>
        <w:adjustRightInd w:val="0"/>
        <w:snapToGrid w:val="0"/>
        <w:spacing w:line="360" w:lineRule="auto"/>
        <w:ind w:left="0" w:firstLine="480" w:firstLineChars="200"/>
        <w:rPr>
          <w:rFonts w:cs="仿宋_GB2312"/>
          <w:sz w:val="24"/>
          <w:szCs w:val="24"/>
        </w:rPr>
      </w:pPr>
      <w:r>
        <w:rPr>
          <w:rFonts w:hint="eastAsia" w:cs="仿宋_GB2312"/>
          <w:sz w:val="24"/>
          <w:szCs w:val="24"/>
        </w:rPr>
        <w:t>23.3.1审查供应商资质；</w:t>
      </w:r>
    </w:p>
    <w:p>
      <w:pPr>
        <w:pStyle w:val="32"/>
        <w:adjustRightInd w:val="0"/>
        <w:snapToGrid w:val="0"/>
        <w:spacing w:line="360" w:lineRule="auto"/>
        <w:ind w:left="0" w:firstLine="480" w:firstLineChars="200"/>
        <w:rPr>
          <w:rFonts w:cs="仿宋_GB2312"/>
          <w:sz w:val="24"/>
          <w:szCs w:val="24"/>
        </w:rPr>
      </w:pPr>
      <w:r>
        <w:rPr>
          <w:rFonts w:hint="eastAsia" w:cs="仿宋_GB2312"/>
          <w:sz w:val="24"/>
          <w:szCs w:val="24"/>
        </w:rPr>
        <w:t>23.3.2审查供应商对货物技术参数、质保及售后等要求的响应情况；</w:t>
      </w:r>
    </w:p>
    <w:p>
      <w:pPr>
        <w:pStyle w:val="32"/>
        <w:adjustRightInd w:val="0"/>
        <w:snapToGrid w:val="0"/>
        <w:spacing w:line="360" w:lineRule="auto"/>
        <w:ind w:left="0" w:firstLine="480" w:firstLineChars="200"/>
        <w:rPr>
          <w:rFonts w:cs="仿宋_GB2312"/>
          <w:sz w:val="24"/>
          <w:szCs w:val="24"/>
        </w:rPr>
      </w:pPr>
      <w:r>
        <w:rPr>
          <w:rFonts w:hint="eastAsia" w:cs="仿宋_GB2312"/>
          <w:sz w:val="24"/>
          <w:szCs w:val="24"/>
        </w:rPr>
        <w:t>23.3.3比较供应商的报价；</w:t>
      </w:r>
    </w:p>
    <w:p>
      <w:pPr>
        <w:pStyle w:val="32"/>
        <w:adjustRightInd w:val="0"/>
        <w:snapToGrid w:val="0"/>
        <w:spacing w:line="360" w:lineRule="auto"/>
        <w:ind w:left="0" w:firstLine="480" w:firstLineChars="200"/>
        <w:rPr>
          <w:rFonts w:cs="仿宋_GB2312"/>
          <w:sz w:val="24"/>
          <w:szCs w:val="24"/>
        </w:rPr>
      </w:pPr>
      <w:r>
        <w:rPr>
          <w:rFonts w:hint="eastAsia" w:cs="仿宋_GB2312"/>
          <w:sz w:val="24"/>
          <w:szCs w:val="24"/>
        </w:rPr>
        <w:t>23.3.4对其它内容进行分析比较</w:t>
      </w:r>
    </w:p>
    <w:p>
      <w:pPr>
        <w:pStyle w:val="32"/>
        <w:adjustRightInd w:val="0"/>
        <w:snapToGrid w:val="0"/>
        <w:spacing w:line="360" w:lineRule="auto"/>
        <w:ind w:left="0" w:firstLine="480" w:firstLineChars="200"/>
        <w:rPr>
          <w:rFonts w:cs="仿宋_GB2312"/>
          <w:sz w:val="24"/>
          <w:szCs w:val="24"/>
        </w:rPr>
      </w:pPr>
      <w:r>
        <w:rPr>
          <w:rFonts w:hint="eastAsia" w:cs="仿宋_GB2312"/>
          <w:sz w:val="24"/>
          <w:szCs w:val="24"/>
        </w:rPr>
        <w:t>通过资格性审查和符合性审查的供应商须在谈判小组设定的时间内使用本单位CA证书在网上进行二次报价。</w:t>
      </w:r>
    </w:p>
    <w:p>
      <w:pPr>
        <w:pStyle w:val="32"/>
        <w:adjustRightInd w:val="0"/>
        <w:snapToGrid w:val="0"/>
        <w:spacing w:line="360" w:lineRule="auto"/>
        <w:ind w:left="0" w:firstLine="480" w:firstLineChars="200"/>
        <w:rPr>
          <w:rFonts w:cs="仿宋_GB2312"/>
        </w:rPr>
      </w:pPr>
      <w:r>
        <w:rPr>
          <w:rFonts w:hint="eastAsia" w:cs="仿宋_GB2312"/>
          <w:sz w:val="24"/>
          <w:szCs w:val="24"/>
          <w:lang w:val="en-US"/>
        </w:rPr>
        <w:t>注：开标后请供应商在计算前等待报价。</w:t>
      </w:r>
    </w:p>
    <w:p>
      <w:pPr>
        <w:adjustRightInd w:val="0"/>
        <w:snapToGrid w:val="0"/>
        <w:spacing w:line="360" w:lineRule="auto"/>
        <w:ind w:firstLine="482" w:firstLineChars="200"/>
        <w:rPr>
          <w:b/>
          <w:sz w:val="24"/>
        </w:rPr>
      </w:pPr>
      <w:r>
        <w:rPr>
          <w:rFonts w:hint="eastAsia"/>
          <w:b/>
          <w:sz w:val="24"/>
        </w:rPr>
        <w:t>24、保密及其它注意事项</w:t>
      </w:r>
    </w:p>
    <w:p>
      <w:pPr>
        <w:pStyle w:val="32"/>
        <w:numPr>
          <w:ilvl w:val="1"/>
          <w:numId w:val="16"/>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32"/>
        <w:numPr>
          <w:ilvl w:val="1"/>
          <w:numId w:val="16"/>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32"/>
        <w:numPr>
          <w:ilvl w:val="1"/>
          <w:numId w:val="16"/>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pPr>
        <w:pStyle w:val="32"/>
        <w:numPr>
          <w:ilvl w:val="1"/>
          <w:numId w:val="16"/>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pPr>
        <w:pStyle w:val="6"/>
        <w:adjustRightInd w:val="0"/>
        <w:snapToGrid w:val="0"/>
        <w:spacing w:line="360" w:lineRule="auto"/>
        <w:ind w:left="0" w:firstLine="572" w:firstLineChars="200"/>
      </w:pPr>
      <w:r>
        <w:rPr>
          <w:rFonts w:hint="eastAsia"/>
          <w:w w:val="95"/>
        </w:rPr>
        <w:t>F、授予合同</w:t>
      </w:r>
    </w:p>
    <w:p>
      <w:pPr>
        <w:pStyle w:val="7"/>
        <w:adjustRightInd w:val="0"/>
        <w:snapToGrid w:val="0"/>
        <w:spacing w:line="360" w:lineRule="auto"/>
        <w:ind w:left="0" w:firstLine="482" w:firstLineChars="200"/>
      </w:pPr>
      <w:r>
        <w:rPr>
          <w:rFonts w:hint="eastAsia"/>
        </w:rPr>
        <w:t>25、成交原则</w:t>
      </w:r>
    </w:p>
    <w:p>
      <w:pPr>
        <w:pStyle w:val="32"/>
        <w:numPr>
          <w:ilvl w:val="1"/>
          <w:numId w:val="17"/>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pPr>
        <w:pStyle w:val="32"/>
        <w:numPr>
          <w:ilvl w:val="1"/>
          <w:numId w:val="17"/>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pPr>
        <w:pStyle w:val="7"/>
        <w:numPr>
          <w:ilvl w:val="0"/>
          <w:numId w:val="18"/>
        </w:numPr>
        <w:adjustRightInd w:val="0"/>
        <w:snapToGrid w:val="0"/>
        <w:spacing w:line="500" w:lineRule="exact"/>
        <w:ind w:left="0" w:firstLine="482" w:firstLineChars="200"/>
      </w:pPr>
      <w:r>
        <w:rPr>
          <w:rFonts w:hint="eastAsia"/>
        </w:rPr>
        <w:t>成交通知</w:t>
      </w:r>
    </w:p>
    <w:p>
      <w:pPr>
        <w:pStyle w:val="2"/>
        <w:spacing w:after="0" w:line="500" w:lineRule="exact"/>
        <w:ind w:firstLine="480" w:firstLineChars="200"/>
        <w:rPr>
          <w:rFonts w:cs="Segoe UI"/>
          <w:sz w:val="24"/>
          <w:szCs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w:t>
      </w:r>
      <w:r>
        <w:fldChar w:fldCharType="begin"/>
      </w:r>
      <w:r>
        <w:instrText xml:space="preserve">HYPERLINK "http://jyzx.zhoukou.gov.cn/" </w:instrText>
      </w:r>
      <w:r>
        <w:fldChar w:fldCharType="separate"/>
      </w:r>
      <w:r>
        <w:rPr>
          <w:rStyle w:val="19"/>
          <w:rFonts w:cs="Segoe UI"/>
          <w:color w:val="auto"/>
          <w:sz w:val="24"/>
          <w:szCs w:val="24"/>
        </w:rPr>
        <w:t>http://jyzx.zhoukou.gov.cn</w:t>
      </w:r>
      <w:r>
        <w:fldChar w:fldCharType="end"/>
      </w:r>
      <w:r>
        <w:rPr>
          <w:rFonts w:cs="Segoe UI"/>
          <w:sz w:val="24"/>
          <w:szCs w:val="24"/>
        </w:rPr>
        <w:t>）</w:t>
      </w:r>
      <w:r>
        <w:rPr>
          <w:rFonts w:hint="eastAsia"/>
          <w:sz w:val="24"/>
          <w:szCs w:val="24"/>
          <w:lang w:val="en-US"/>
        </w:rPr>
        <w:t>自行下载</w:t>
      </w:r>
      <w:r>
        <w:rPr>
          <w:rFonts w:hint="eastAsia"/>
          <w:sz w:val="24"/>
          <w:lang w:val="en-US"/>
        </w:rPr>
        <w:t>成交</w:t>
      </w:r>
      <w:r>
        <w:rPr>
          <w:rFonts w:hint="eastAsia"/>
          <w:sz w:val="24"/>
        </w:rPr>
        <w:t>通知书。</w:t>
      </w:r>
    </w:p>
    <w:p>
      <w:pPr>
        <w:pStyle w:val="7"/>
        <w:adjustRightInd w:val="0"/>
        <w:snapToGrid w:val="0"/>
        <w:spacing w:line="360" w:lineRule="auto"/>
        <w:ind w:left="0" w:firstLine="482" w:firstLineChars="200"/>
      </w:pPr>
      <w:r>
        <w:rPr>
          <w:rFonts w:hint="eastAsia"/>
        </w:rPr>
        <w:t>27、质疑处理</w:t>
      </w:r>
    </w:p>
    <w:p>
      <w:pPr>
        <w:pStyle w:val="32"/>
        <w:numPr>
          <w:ilvl w:val="1"/>
          <w:numId w:val="19"/>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pPr>
        <w:pStyle w:val="32"/>
        <w:numPr>
          <w:ilvl w:val="1"/>
          <w:numId w:val="19"/>
        </w:numPr>
        <w:tabs>
          <w:tab w:val="left" w:pos="941"/>
        </w:tabs>
        <w:adjustRightInd w:val="0"/>
        <w:snapToGrid w:val="0"/>
        <w:spacing w:line="500" w:lineRule="exact"/>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7"/>
        <w:adjustRightInd w:val="0"/>
        <w:snapToGrid w:val="0"/>
        <w:spacing w:line="500" w:lineRule="exact"/>
        <w:ind w:left="0" w:firstLine="482" w:firstLineChars="200"/>
      </w:pPr>
      <w:r>
        <w:rPr>
          <w:rFonts w:hint="eastAsia"/>
        </w:rPr>
        <w:t>28、签订合同</w:t>
      </w:r>
    </w:p>
    <w:p>
      <w:pPr>
        <w:spacing w:line="500" w:lineRule="exact"/>
        <w:ind w:firstLine="480" w:firstLineChars="200"/>
        <w:rPr>
          <w:b/>
          <w:sz w:val="24"/>
        </w:rPr>
      </w:pPr>
      <w:r>
        <w:rPr>
          <w:rFonts w:hint="eastAsia"/>
          <w:sz w:val="24"/>
        </w:rPr>
        <w:t>成交供应商应按照成交通知规定的时间、地点与采购人签订成交合同，否则给采购人造成损失的，谈判供应商还应承担赔偿责任。</w:t>
      </w:r>
    </w:p>
    <w:p>
      <w:pPr>
        <w:pStyle w:val="32"/>
        <w:numPr>
          <w:ilvl w:val="1"/>
          <w:numId w:val="20"/>
        </w:numPr>
        <w:tabs>
          <w:tab w:val="left" w:pos="941"/>
        </w:tabs>
        <w:adjustRightInd w:val="0"/>
        <w:snapToGrid w:val="0"/>
        <w:spacing w:line="500" w:lineRule="exact"/>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pPr>
        <w:pStyle w:val="32"/>
        <w:numPr>
          <w:ilvl w:val="1"/>
          <w:numId w:val="20"/>
        </w:numPr>
        <w:tabs>
          <w:tab w:val="left" w:pos="941"/>
        </w:tabs>
        <w:adjustRightInd w:val="0"/>
        <w:snapToGrid w:val="0"/>
        <w:spacing w:line="500" w:lineRule="exact"/>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3" w:name="_bookmark4"/>
      <w:bookmarkEnd w:id="53"/>
      <w:r>
        <w:rPr>
          <w:rFonts w:hint="eastAsia"/>
          <w:sz w:val="24"/>
          <w:lang w:val="en-US"/>
        </w:rPr>
        <w:t>及其澄清文件等，均为签订合同的依据。</w:t>
      </w:r>
    </w:p>
    <w:p>
      <w:pPr>
        <w:pStyle w:val="32"/>
        <w:numPr>
          <w:ilvl w:val="1"/>
          <w:numId w:val="20"/>
        </w:numPr>
        <w:tabs>
          <w:tab w:val="left" w:pos="941"/>
        </w:tabs>
        <w:adjustRightInd w:val="0"/>
        <w:snapToGrid w:val="0"/>
        <w:spacing w:line="500" w:lineRule="exact"/>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32"/>
        <w:numPr>
          <w:ilvl w:val="1"/>
          <w:numId w:val="20"/>
        </w:numPr>
        <w:tabs>
          <w:tab w:val="left" w:pos="941"/>
        </w:tabs>
        <w:adjustRightInd w:val="0"/>
        <w:snapToGrid w:val="0"/>
        <w:spacing w:line="500" w:lineRule="exact"/>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pPr>
        <w:pStyle w:val="32"/>
        <w:numPr>
          <w:ilvl w:val="1"/>
          <w:numId w:val="20"/>
        </w:numPr>
        <w:tabs>
          <w:tab w:val="left" w:pos="941"/>
        </w:tabs>
        <w:adjustRightInd w:val="0"/>
        <w:snapToGrid w:val="0"/>
        <w:spacing w:line="500" w:lineRule="exact"/>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pPr>
        <w:pStyle w:val="32"/>
        <w:tabs>
          <w:tab w:val="left" w:pos="941"/>
        </w:tabs>
        <w:adjustRightInd w:val="0"/>
        <w:snapToGrid w:val="0"/>
        <w:spacing w:line="360" w:lineRule="auto"/>
        <w:ind w:left="480" w:firstLine="0"/>
        <w:jc w:val="both"/>
        <w:rPr>
          <w:b/>
          <w:sz w:val="24"/>
        </w:rPr>
      </w:pPr>
      <w:r>
        <w:rPr>
          <w:rFonts w:hint="eastAsia"/>
          <w:b/>
          <w:sz w:val="24"/>
        </w:rPr>
        <w:t>29.技术响应说明</w:t>
      </w:r>
    </w:p>
    <w:p>
      <w:pPr>
        <w:tabs>
          <w:tab w:val="left" w:pos="941"/>
        </w:tabs>
        <w:adjustRightInd w:val="0"/>
        <w:snapToGrid w:val="0"/>
        <w:spacing w:line="360" w:lineRule="auto"/>
        <w:ind w:firstLine="480" w:firstLineChars="200"/>
        <w:jc w:val="both"/>
      </w:pPr>
      <w:r>
        <w:rPr>
          <w:rFonts w:hint="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pPr>
        <w:spacing w:line="360" w:lineRule="auto"/>
        <w:ind w:firstLine="549"/>
        <w:rPr>
          <w:b/>
          <w:sz w:val="24"/>
        </w:rPr>
      </w:pPr>
      <w:r>
        <w:rPr>
          <w:rFonts w:hint="eastAsia"/>
          <w:b/>
          <w:sz w:val="24"/>
        </w:rPr>
        <w:t>30未尽事宜</w:t>
      </w:r>
    </w:p>
    <w:p>
      <w:pPr>
        <w:spacing w:line="360" w:lineRule="auto"/>
        <w:ind w:firstLine="549"/>
        <w:rPr>
          <w:sz w:val="24"/>
          <w:lang w:val="en-US"/>
        </w:rPr>
      </w:pPr>
      <w:r>
        <w:rPr>
          <w:rFonts w:hint="eastAsia"/>
          <w:sz w:val="24"/>
          <w:lang w:val="en-US"/>
        </w:rPr>
        <w:t>30.1</w:t>
      </w:r>
      <w:r>
        <w:rPr>
          <w:rFonts w:hint="eastAsia"/>
          <w:sz w:val="24"/>
        </w:rPr>
        <w:t>按《中华人民共和国政府采购法》、</w:t>
      </w:r>
      <w:r>
        <w:rPr>
          <w:rFonts w:hint="eastAsia"/>
          <w:sz w:val="24"/>
          <w:lang w:val="en-US"/>
        </w:rPr>
        <w:t>《政府采购非招标采购方式管理办法》及其他有关法律法规的规定执行。</w:t>
      </w:r>
    </w:p>
    <w:p>
      <w:pPr>
        <w:spacing w:line="360" w:lineRule="auto"/>
        <w:ind w:firstLine="549"/>
        <w:rPr>
          <w:bCs/>
          <w:sz w:val="24"/>
        </w:rPr>
      </w:pPr>
      <w:r>
        <w:rPr>
          <w:rFonts w:hint="eastAsia"/>
          <w:b/>
          <w:sz w:val="24"/>
          <w:lang w:val="en-US"/>
        </w:rPr>
        <w:t>31</w:t>
      </w:r>
      <w:r>
        <w:rPr>
          <w:rFonts w:hint="eastAsia"/>
          <w:b/>
          <w:sz w:val="24"/>
        </w:rPr>
        <w:t>.解释权</w:t>
      </w:r>
    </w:p>
    <w:p>
      <w:pPr>
        <w:pStyle w:val="13"/>
        <w:ind w:firstLine="480" w:firstLineChars="200"/>
        <w:rPr>
          <w:bCs/>
          <w:sz w:val="24"/>
        </w:rPr>
      </w:pPr>
      <w:r>
        <w:rPr>
          <w:rFonts w:hint="eastAsia"/>
          <w:bCs/>
          <w:sz w:val="24"/>
        </w:rPr>
        <w:t>本</w:t>
      </w:r>
      <w:r>
        <w:rPr>
          <w:rFonts w:hint="eastAsia"/>
          <w:bCs/>
          <w:sz w:val="24"/>
          <w:lang w:val="en-US"/>
        </w:rPr>
        <w:t>谈判</w:t>
      </w:r>
      <w:r>
        <w:rPr>
          <w:rFonts w:hint="eastAsia"/>
          <w:bCs/>
          <w:sz w:val="24"/>
        </w:rPr>
        <w:t>文件的解释权属于</w:t>
      </w:r>
      <w:r>
        <w:rPr>
          <w:rFonts w:hint="eastAsia"/>
          <w:bCs/>
          <w:sz w:val="24"/>
          <w:lang w:val="en-US"/>
        </w:rPr>
        <w:t>采购人</w:t>
      </w:r>
      <w:r>
        <w:rPr>
          <w:rFonts w:hint="eastAsia"/>
          <w:bCs/>
          <w:sz w:val="24"/>
        </w:rPr>
        <w:t>。</w:t>
      </w: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
      <w:pPr>
        <w:pStyle w:val="2"/>
        <w:ind w:firstLine="220"/>
      </w:pPr>
    </w:p>
    <w:p>
      <w:pPr>
        <w:pStyle w:val="5"/>
        <w:tabs>
          <w:tab w:val="left" w:pos="1607"/>
        </w:tabs>
        <w:spacing w:before="41"/>
      </w:pPr>
    </w:p>
    <w:p>
      <w:pPr>
        <w:pStyle w:val="5"/>
        <w:tabs>
          <w:tab w:val="left" w:pos="1607"/>
        </w:tabs>
        <w:spacing w:before="41"/>
      </w:pPr>
    </w:p>
    <w:p>
      <w:pPr>
        <w:pStyle w:val="5"/>
        <w:tabs>
          <w:tab w:val="left" w:pos="1607"/>
        </w:tabs>
        <w:spacing w:before="41"/>
      </w:pPr>
      <w:r>
        <w:rPr>
          <w:rFonts w:hint="eastAsia"/>
        </w:rPr>
        <w:t>第三部分</w:t>
      </w:r>
      <w:r>
        <w:rPr>
          <w:rFonts w:hint="eastAsia"/>
        </w:rPr>
        <w:tab/>
      </w:r>
      <w:r>
        <w:rPr>
          <w:rFonts w:hint="eastAsia"/>
        </w:rPr>
        <w:t>谈判项目要求</w:t>
      </w:r>
    </w:p>
    <w:p>
      <w:pPr>
        <w:pStyle w:val="9"/>
        <w:spacing w:before="4"/>
        <w:rPr>
          <w:b/>
          <w:sz w:val="44"/>
        </w:rPr>
      </w:pPr>
    </w:p>
    <w:p>
      <w:pPr>
        <w:pStyle w:val="9"/>
        <w:adjustRightInd w:val="0"/>
        <w:snapToGrid w:val="0"/>
        <w:spacing w:line="360" w:lineRule="auto"/>
        <w:ind w:firstLine="426" w:firstLineChars="200"/>
        <w:jc w:val="both"/>
        <w:rPr>
          <w:b/>
          <w:spacing w:val="-14"/>
        </w:rPr>
      </w:pPr>
      <w:r>
        <w:rPr>
          <w:rFonts w:hint="eastAsia"/>
          <w:b/>
          <w:spacing w:val="-14"/>
        </w:rPr>
        <w:t>一、供应商资格要求：（见第一部分）</w:t>
      </w:r>
    </w:p>
    <w:p>
      <w:pPr>
        <w:pStyle w:val="9"/>
        <w:adjustRightInd w:val="0"/>
        <w:snapToGrid w:val="0"/>
        <w:spacing w:line="360" w:lineRule="auto"/>
        <w:ind w:firstLine="424" w:firstLineChars="200"/>
      </w:pPr>
      <w:r>
        <w:rPr>
          <w:rFonts w:hint="eastAsia"/>
          <w:spacing w:val="-14"/>
        </w:rPr>
        <w:t>二、</w:t>
      </w:r>
      <w:r>
        <w:rPr>
          <w:rFonts w:hint="eastAsia"/>
        </w:rPr>
        <w:t>除谈判文件有规定外，谈判供应商对项目只允许有一个报价，谈判组织人和采购人不接受有任何选择的报价响应。</w:t>
      </w:r>
    </w:p>
    <w:p>
      <w:pPr>
        <w:pStyle w:val="9"/>
        <w:adjustRightInd w:val="0"/>
        <w:snapToGrid w:val="0"/>
        <w:spacing w:line="360" w:lineRule="auto"/>
        <w:ind w:firstLine="480" w:firstLineChars="200"/>
      </w:pPr>
      <w:r>
        <w:rPr>
          <w:rFonts w:hint="eastAsia"/>
        </w:rPr>
        <w:t>三、采购人与成交供应商应当在成交通知书发出之日起三十日内，按照采购文件确定的事项签订政府采购合同，并在合同签订后2个工作日内负责将合同及验收结果在河南省政府采购网进行公示。</w:t>
      </w:r>
    </w:p>
    <w:p>
      <w:pPr>
        <w:pStyle w:val="9"/>
        <w:adjustRightInd w:val="0"/>
        <w:snapToGrid w:val="0"/>
        <w:spacing w:line="360" w:lineRule="auto"/>
        <w:ind w:firstLine="480" w:firstLineChars="200"/>
      </w:pPr>
      <w:r>
        <w:rPr>
          <w:rFonts w:hint="eastAsia"/>
        </w:rPr>
        <w:t>四、</w:t>
      </w:r>
      <w:r>
        <w:rPr>
          <w:rFonts w:hint="eastAsia"/>
          <w:lang w:val="en-US"/>
        </w:rPr>
        <w:t>供货</w:t>
      </w:r>
      <w:r>
        <w:rPr>
          <w:rFonts w:hint="eastAsia"/>
        </w:rPr>
        <w:t>地点：采购人指定地点。</w:t>
      </w:r>
    </w:p>
    <w:p>
      <w:pPr>
        <w:pStyle w:val="9"/>
        <w:adjustRightInd w:val="0"/>
        <w:snapToGrid w:val="0"/>
        <w:spacing w:line="360" w:lineRule="auto"/>
        <w:ind w:firstLine="480" w:firstLineChars="200"/>
      </w:pPr>
      <w:r>
        <w:rPr>
          <w:rFonts w:hint="eastAsia"/>
        </w:rPr>
        <w:t>五、验收：由</w:t>
      </w:r>
      <w:r>
        <w:rPr>
          <w:rFonts w:hint="eastAsia"/>
          <w:lang w:val="en-US"/>
        </w:rPr>
        <w:t>采购人</w:t>
      </w:r>
      <w:r>
        <w:rPr>
          <w:rFonts w:hint="eastAsia"/>
        </w:rPr>
        <w:t>组织验收。</w:t>
      </w:r>
    </w:p>
    <w:p>
      <w:pPr>
        <w:pStyle w:val="9"/>
        <w:adjustRightInd w:val="0"/>
        <w:snapToGrid w:val="0"/>
        <w:spacing w:line="360" w:lineRule="auto"/>
        <w:ind w:firstLine="480" w:firstLineChars="200"/>
      </w:pPr>
      <w:r>
        <w:rPr>
          <w:rFonts w:hint="eastAsia"/>
        </w:rPr>
        <w:t>六、付款方式：货物交付验收合格后支付。</w:t>
      </w:r>
    </w:p>
    <w:p>
      <w:pPr>
        <w:pStyle w:val="9"/>
        <w:adjustRightInd w:val="0"/>
        <w:snapToGrid w:val="0"/>
        <w:spacing w:line="360" w:lineRule="auto"/>
        <w:ind w:firstLine="480" w:firstLineChars="200"/>
      </w:pPr>
      <w:r>
        <w:rPr>
          <w:rFonts w:hint="eastAsia"/>
        </w:rPr>
        <w:t>七、本项目不接受联合体参与。</w:t>
      </w:r>
    </w:p>
    <w:p>
      <w:pPr>
        <w:pStyle w:val="9"/>
        <w:adjustRightInd w:val="0"/>
        <w:snapToGrid w:val="0"/>
        <w:spacing w:line="360" w:lineRule="auto"/>
        <w:ind w:firstLine="480" w:firstLineChars="200"/>
      </w:pPr>
      <w:r>
        <w:t>八</w:t>
      </w:r>
      <w:r>
        <w:rPr>
          <w:rFonts w:hint="eastAsia"/>
        </w:rPr>
        <w:t>、项目其他要求：</w:t>
      </w:r>
    </w:p>
    <w:p>
      <w:pPr>
        <w:spacing w:line="420" w:lineRule="auto"/>
        <w:ind w:firstLine="480"/>
        <w:rPr>
          <w:color w:val="000000"/>
          <w:sz w:val="24"/>
        </w:rPr>
      </w:pPr>
      <w:r>
        <w:rPr>
          <w:rFonts w:hint="eastAsia"/>
          <w:color w:val="000000"/>
          <w:sz w:val="24"/>
        </w:rPr>
        <w:t>8</w:t>
      </w:r>
      <w:r>
        <w:rPr>
          <w:color w:val="000000"/>
          <w:sz w:val="24"/>
        </w:rPr>
        <w:t>.1质量保证：按本项目的行业规则或双方签订合同时的约定执行。质保期内如果出现质量问题，成交供应商应当无条件更换，由于质量问题造成的损失由成交供应商负全部责任。</w:t>
      </w:r>
    </w:p>
    <w:p>
      <w:pPr>
        <w:spacing w:line="420" w:lineRule="auto"/>
        <w:ind w:firstLine="480"/>
        <w:rPr>
          <w:sz w:val="24"/>
        </w:rPr>
      </w:pPr>
      <w:r>
        <w:rPr>
          <w:rFonts w:hint="eastAsia"/>
          <w:sz w:val="24"/>
        </w:rPr>
        <w:t>8</w:t>
      </w:r>
      <w:r>
        <w:rPr>
          <w:sz w:val="24"/>
        </w:rPr>
        <w:t>.2售后服务：免费质保</w:t>
      </w:r>
      <w:r>
        <w:rPr>
          <w:rFonts w:hint="eastAsia"/>
          <w:sz w:val="24"/>
          <w:szCs w:val="24"/>
          <w:shd w:val="clear" w:color="auto" w:fill="FFFFFF"/>
        </w:rPr>
        <w:t>3</w:t>
      </w:r>
      <w:r>
        <w:rPr>
          <w:sz w:val="24"/>
        </w:rPr>
        <w:t>年,</w:t>
      </w:r>
      <w:r>
        <w:rPr>
          <w:rFonts w:hint="eastAsia"/>
          <w:sz w:val="24"/>
          <w:lang w:val="en-US"/>
        </w:rPr>
        <w:t>质保期提供1人7*24小时驻场服务。</w:t>
      </w:r>
      <w:r>
        <w:rPr>
          <w:sz w:val="24"/>
        </w:rPr>
        <w:t>在接到采购方服务请求后，</w:t>
      </w:r>
      <w:r>
        <w:rPr>
          <w:rFonts w:hint="eastAsia"/>
          <w:sz w:val="24"/>
        </w:rPr>
        <w:t>2</w:t>
      </w:r>
      <w:r>
        <w:rPr>
          <w:sz w:val="24"/>
        </w:rPr>
        <w:t>小时响应，</w:t>
      </w:r>
      <w:r>
        <w:rPr>
          <w:rFonts w:hint="eastAsia"/>
          <w:sz w:val="24"/>
        </w:rPr>
        <w:t>4</w:t>
      </w:r>
      <w:r>
        <w:rPr>
          <w:sz w:val="24"/>
        </w:rPr>
        <w:t>小时内上门解决问题；质保期内提供免费上门服务，质保期外的收费按相关行业规则或由双方协商收取。</w:t>
      </w: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rPr>
      </w:pPr>
      <w:r>
        <w:rPr>
          <w:rFonts w:hint="eastAsia"/>
          <w:b/>
          <w:bCs/>
          <w:sz w:val="32"/>
          <w:szCs w:val="32"/>
          <w:lang w:val="en-US"/>
        </w:rPr>
        <w:t xml:space="preserve">第四部分  </w:t>
      </w:r>
      <w:r>
        <w:rPr>
          <w:rFonts w:hint="eastAsia"/>
          <w:b/>
          <w:bCs/>
          <w:sz w:val="32"/>
          <w:szCs w:val="32"/>
        </w:rPr>
        <w:t>项目内容及技术要求</w:t>
      </w: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pStyle w:val="13"/>
        <w:ind w:firstLine="2249" w:firstLineChars="700"/>
        <w:rPr>
          <w:b/>
          <w:bCs/>
          <w:sz w:val="32"/>
          <w:szCs w:val="32"/>
          <w:lang w:val="en-US"/>
        </w:rPr>
      </w:pPr>
    </w:p>
    <w:p>
      <w:pPr>
        <w:spacing w:line="480" w:lineRule="auto"/>
        <w:jc w:val="both"/>
        <w:rPr>
          <w:b/>
          <w:sz w:val="20"/>
        </w:rPr>
      </w:pPr>
    </w:p>
    <w:tbl>
      <w:tblPr>
        <w:tblStyle w:val="15"/>
        <w:tblpPr w:leftFromText="180" w:rightFromText="180" w:vertAnchor="text" w:horzAnchor="margin" w:tblpXSpec="center" w:tblpY="-479"/>
        <w:tblW w:w="93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5"/>
        <w:gridCol w:w="774"/>
        <w:gridCol w:w="6456"/>
        <w:gridCol w:w="796"/>
        <w:gridCol w:w="6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75" w:type="dxa"/>
            <w:vMerge w:val="restart"/>
            <w:tcBorders>
              <w:top w:val="single" w:color="auto" w:sz="4" w:space="0"/>
              <w:left w:val="single" w:color="auto" w:sz="4" w:space="0"/>
              <w:bottom w:val="single" w:color="auto" w:sz="4" w:space="0"/>
              <w:right w:val="single" w:color="auto" w:sz="4" w:space="0"/>
            </w:tcBorders>
            <w:shd w:val="clear" w:color="FFFFFF" w:fill="FFFFFF"/>
            <w:vAlign w:val="center"/>
          </w:tcPr>
          <w:p>
            <w:pPr>
              <w:widowControl/>
              <w:spacing w:line="0" w:lineRule="atLeast"/>
              <w:jc w:val="center"/>
              <w:rPr>
                <w:b/>
                <w:bCs/>
                <w:sz w:val="21"/>
                <w:szCs w:val="21"/>
              </w:rPr>
            </w:pPr>
            <w:r>
              <w:rPr>
                <w:rFonts w:hint="eastAsia"/>
                <w:b/>
                <w:bCs/>
                <w:sz w:val="21"/>
                <w:szCs w:val="21"/>
              </w:rPr>
              <w:t>序号</w:t>
            </w:r>
          </w:p>
        </w:tc>
        <w:tc>
          <w:tcPr>
            <w:tcW w:w="774" w:type="dxa"/>
            <w:vMerge w:val="restart"/>
            <w:tcBorders>
              <w:top w:val="single" w:color="auto" w:sz="4" w:space="0"/>
              <w:left w:val="single" w:color="auto" w:sz="4" w:space="0"/>
              <w:bottom w:val="single" w:color="auto" w:sz="4" w:space="0"/>
              <w:right w:val="single" w:color="auto" w:sz="4" w:space="0"/>
            </w:tcBorders>
            <w:shd w:val="clear" w:color="FFFFFF" w:fill="FFFFFF"/>
            <w:vAlign w:val="center"/>
          </w:tcPr>
          <w:p>
            <w:pPr>
              <w:widowControl/>
              <w:spacing w:line="0" w:lineRule="atLeast"/>
              <w:jc w:val="center"/>
              <w:rPr>
                <w:b/>
                <w:bCs/>
                <w:sz w:val="21"/>
                <w:szCs w:val="21"/>
              </w:rPr>
            </w:pPr>
            <w:r>
              <w:rPr>
                <w:rFonts w:hint="eastAsia"/>
                <w:b/>
                <w:bCs/>
                <w:sz w:val="21"/>
                <w:szCs w:val="21"/>
              </w:rPr>
              <w:t>项目</w:t>
            </w:r>
          </w:p>
          <w:p>
            <w:pPr>
              <w:widowControl/>
              <w:spacing w:line="0" w:lineRule="atLeast"/>
              <w:jc w:val="center"/>
              <w:rPr>
                <w:b/>
                <w:bCs/>
                <w:sz w:val="21"/>
                <w:szCs w:val="21"/>
              </w:rPr>
            </w:pPr>
            <w:r>
              <w:rPr>
                <w:rFonts w:hint="eastAsia"/>
                <w:b/>
                <w:bCs/>
                <w:sz w:val="21"/>
                <w:szCs w:val="21"/>
              </w:rPr>
              <w:t>名称</w:t>
            </w:r>
          </w:p>
        </w:tc>
        <w:tc>
          <w:tcPr>
            <w:tcW w:w="6456" w:type="dxa"/>
            <w:vMerge w:val="restart"/>
            <w:tcBorders>
              <w:top w:val="single" w:color="auto" w:sz="4" w:space="0"/>
              <w:left w:val="single" w:color="auto" w:sz="4" w:space="0"/>
              <w:bottom w:val="single" w:color="auto" w:sz="4" w:space="0"/>
              <w:right w:val="single" w:color="auto" w:sz="4" w:space="0"/>
            </w:tcBorders>
            <w:shd w:val="clear" w:color="FFFFFF" w:fill="FFFFFF"/>
            <w:vAlign w:val="center"/>
          </w:tcPr>
          <w:p>
            <w:pPr>
              <w:widowControl/>
              <w:spacing w:line="0" w:lineRule="atLeast"/>
              <w:jc w:val="center"/>
              <w:rPr>
                <w:b/>
                <w:bCs/>
                <w:sz w:val="21"/>
                <w:szCs w:val="21"/>
              </w:rPr>
            </w:pPr>
            <w:r>
              <w:rPr>
                <w:rFonts w:hint="eastAsia"/>
                <w:b/>
                <w:bCs/>
                <w:sz w:val="21"/>
                <w:szCs w:val="21"/>
              </w:rPr>
              <w:t>项目特征描述</w:t>
            </w:r>
          </w:p>
        </w:tc>
        <w:tc>
          <w:tcPr>
            <w:tcW w:w="796" w:type="dxa"/>
            <w:vMerge w:val="restart"/>
            <w:tcBorders>
              <w:top w:val="single" w:color="auto" w:sz="4" w:space="0"/>
              <w:left w:val="single" w:color="auto" w:sz="4" w:space="0"/>
              <w:bottom w:val="single" w:color="auto" w:sz="4" w:space="0"/>
              <w:right w:val="single" w:color="auto" w:sz="4" w:space="0"/>
            </w:tcBorders>
            <w:shd w:val="clear" w:color="FFFFFF" w:fill="FFFFFF"/>
            <w:vAlign w:val="center"/>
          </w:tcPr>
          <w:p>
            <w:pPr>
              <w:widowControl/>
              <w:spacing w:line="0" w:lineRule="atLeast"/>
              <w:jc w:val="center"/>
              <w:rPr>
                <w:b/>
                <w:bCs/>
                <w:sz w:val="21"/>
                <w:szCs w:val="21"/>
              </w:rPr>
            </w:pPr>
            <w:r>
              <w:rPr>
                <w:rFonts w:hint="eastAsia"/>
                <w:b/>
                <w:bCs/>
                <w:sz w:val="21"/>
                <w:szCs w:val="21"/>
              </w:rPr>
              <w:t>计量单位</w:t>
            </w:r>
          </w:p>
        </w:tc>
        <w:tc>
          <w:tcPr>
            <w:tcW w:w="636" w:type="dxa"/>
            <w:vMerge w:val="restart"/>
            <w:tcBorders>
              <w:top w:val="single" w:color="auto" w:sz="4" w:space="0"/>
              <w:left w:val="single" w:color="auto" w:sz="4" w:space="0"/>
              <w:bottom w:val="single" w:color="auto" w:sz="4" w:space="0"/>
              <w:right w:val="single" w:color="auto" w:sz="4" w:space="0"/>
            </w:tcBorders>
            <w:shd w:val="clear" w:color="FFFFFF" w:fill="FFFFFF"/>
            <w:vAlign w:val="center"/>
          </w:tcPr>
          <w:p>
            <w:pPr>
              <w:widowControl/>
              <w:spacing w:line="0" w:lineRule="atLeast"/>
              <w:jc w:val="center"/>
              <w:rPr>
                <w:b/>
                <w:bCs/>
                <w:sz w:val="21"/>
                <w:szCs w:val="21"/>
              </w:rPr>
            </w:pPr>
            <w:r>
              <w:rPr>
                <w:rFonts w:hint="eastAsia"/>
                <w:b/>
                <w:bCs/>
                <w:sz w:val="21"/>
                <w:szCs w:val="21"/>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rPr>
                <w:b/>
                <w:bCs/>
                <w:sz w:val="21"/>
                <w:szCs w:val="21"/>
              </w:rPr>
            </w:pPr>
          </w:p>
        </w:tc>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rPr>
                <w:b/>
                <w:bCs/>
                <w:sz w:val="21"/>
                <w:szCs w:val="21"/>
              </w:rPr>
            </w:pPr>
          </w:p>
        </w:tc>
        <w:tc>
          <w:tcPr>
            <w:tcW w:w="64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rPr>
                <w:b/>
                <w:bCs/>
                <w:sz w:val="21"/>
                <w:szCs w:val="21"/>
              </w:rPr>
            </w:pPr>
          </w:p>
        </w:tc>
        <w:tc>
          <w:tcPr>
            <w:tcW w:w="79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rPr>
                <w:b/>
                <w:bCs/>
                <w:sz w:val="21"/>
                <w:szCs w:val="21"/>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0" w:lineRule="atLeast"/>
              <w:rPr>
                <w:b/>
                <w:bCs/>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1"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1</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高清LCD拼接屏</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1.名称:高清LCD拼接屏（55inch）</w:t>
            </w:r>
            <w:r>
              <w:rPr>
                <w:rFonts w:hint="eastAsia"/>
                <w:sz w:val="21"/>
                <w:szCs w:val="21"/>
              </w:rPr>
              <w:br w:type="textWrapping"/>
            </w:r>
            <w:r>
              <w:rPr>
                <w:rFonts w:hint="eastAsia"/>
                <w:sz w:val="21"/>
                <w:szCs w:val="21"/>
              </w:rPr>
              <w:t>2.参数及功能:</w:t>
            </w:r>
            <w:r>
              <w:rPr>
                <w:rFonts w:hint="eastAsia"/>
                <w:sz w:val="21"/>
                <w:szCs w:val="21"/>
              </w:rPr>
              <w:br w:type="textWrapping"/>
            </w:r>
            <w:r>
              <w:rPr>
                <w:rFonts w:hint="eastAsia"/>
                <w:sz w:val="21"/>
                <w:szCs w:val="21"/>
              </w:rPr>
              <w:t>支持HDMI/VGA/CVBS信号环通功能;音视频输入接口:HDMI × 1, DVI × 1, VGA × 1, CVBS × 1, USB × 1;音视频输出接口:HDMI × 1, VGA × 1, CVBS × 1;控制接口:RS232 IN × 1,RS232 OUT × 1;物理分辨率:1920×1080@60Hz（可向下兼容）;亮度:≥500 cd/m²;可视角:178°(水平)/ 178°(垂直);物理拼缝:1.7 mm±0.8 mm;电源:100～240 VAC, 50/60 Hz;</w:t>
            </w:r>
            <w:r>
              <w:rPr>
                <w:rFonts w:hint="eastAsia"/>
                <w:sz w:val="21"/>
                <w:szCs w:val="21"/>
              </w:rPr>
              <w:br w:type="textWrapping"/>
            </w:r>
            <w:r>
              <w:rPr>
                <w:rFonts w:hint="eastAsia"/>
                <w:sz w:val="21"/>
                <w:szCs w:val="21"/>
              </w:rPr>
              <w:t xml:space="preserve">功耗:≤ 240 W;待机功耗:≤ 0.5 W; </w:t>
            </w:r>
            <w:r>
              <w:rPr>
                <w:rFonts w:hint="eastAsia"/>
                <w:sz w:val="21"/>
                <w:szCs w:val="21"/>
              </w:rPr>
              <w:br w:type="textWrapping"/>
            </w:r>
            <w:r>
              <w:rPr>
                <w:rFonts w:hint="eastAsia"/>
                <w:sz w:val="21"/>
                <w:szCs w:val="21"/>
              </w:rPr>
              <w:t>3.支架：支架-55寸3X3 通用新型模块化支架(底高H=600)</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台</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8"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2</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sz w:val="21"/>
                <w:szCs w:val="21"/>
              </w:rPr>
            </w:pPr>
            <w:r>
              <w:rPr>
                <w:rFonts w:hint="eastAsia"/>
                <w:sz w:val="21"/>
                <w:szCs w:val="21"/>
              </w:rPr>
              <w:t>视频矩阵</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1.名称:光纤坐席多功能处理平台</w:t>
            </w:r>
            <w:r>
              <w:rPr>
                <w:rFonts w:hint="eastAsia"/>
                <w:sz w:val="21"/>
                <w:szCs w:val="21"/>
              </w:rPr>
              <w:br w:type="textWrapping"/>
            </w:r>
            <w:r>
              <w:rPr>
                <w:rFonts w:hint="eastAsia"/>
                <w:sz w:val="21"/>
                <w:szCs w:val="21"/>
              </w:rPr>
              <w:t>2.参数及功能:</w:t>
            </w:r>
            <w:r>
              <w:rPr>
                <w:rFonts w:hint="eastAsia"/>
                <w:sz w:val="21"/>
                <w:szCs w:val="21"/>
              </w:rPr>
              <w:br w:type="textWrapping"/>
            </w:r>
            <w:r>
              <w:rPr>
                <w:rFonts w:hint="eastAsia"/>
                <w:sz w:val="21"/>
                <w:szCs w:val="21"/>
              </w:rPr>
              <w:t>①支持在输入输出通道上叠加任意字符,可自定义字体、颜色、大小、位置、背景色等参数;可在一个信号源上同时叠加四个不同的字符,四个字符均自定义开启/关闭;可自定义字体、颜色、大小、位置、背景色等参数,支持1024*256分辨率的点对点图片台标显示;</w:t>
            </w:r>
            <w:r>
              <w:rPr>
                <w:rFonts w:hint="eastAsia"/>
                <w:sz w:val="21"/>
                <w:szCs w:val="21"/>
              </w:rPr>
              <w:br w:type="textWrapping"/>
            </w:r>
            <w:r>
              <w:rPr>
                <w:rFonts w:hint="eastAsia"/>
                <w:sz w:val="21"/>
                <w:szCs w:val="21"/>
              </w:rPr>
              <w:t>②支持窗口布局保存至设备,支持不少于128000个单屏场景、保存、轮巡且另外支持不少于128000个全局场景、保存、轮巡,场景轮巡间隔的时间可调,可通过快捷键一键调用,模式窗口可同步显示出来,无黑场卡顿等现象;</w:t>
            </w:r>
            <w:r>
              <w:rPr>
                <w:rFonts w:hint="eastAsia"/>
                <w:sz w:val="21"/>
                <w:szCs w:val="21"/>
              </w:rPr>
              <w:br w:type="textWrapping"/>
            </w:r>
            <w:r>
              <w:rPr>
                <w:rFonts w:hint="eastAsia"/>
                <w:sz w:val="21"/>
                <w:szCs w:val="21"/>
              </w:rPr>
              <w:t>③10U主箱体,支持输入输出板卡混插,箱体有17插槽,共支持68路1080P输入或输出;最大单机背板信号处理带宽32000 Gbps,单路信号带宽50 Gbps;</w:t>
            </w:r>
            <w:r>
              <w:rPr>
                <w:rFonts w:hint="eastAsia"/>
                <w:sz w:val="21"/>
                <w:szCs w:val="21"/>
              </w:rPr>
              <w:br w:type="textWrapping"/>
            </w:r>
            <w:r>
              <w:rPr>
                <w:rFonts w:hint="eastAsia"/>
                <w:sz w:val="21"/>
                <w:szCs w:val="21"/>
              </w:rPr>
              <w:t>④无缝切换,信号切换延迟＜5ms,切换无黑屏、蓝屏、闪烁情况。图像处理延迟时间＜5 ms;图像开窗响应速度＜5ms;场景调取响应速度＜5ms;</w:t>
            </w:r>
            <w:r>
              <w:rPr>
                <w:rFonts w:hint="eastAsia"/>
                <w:sz w:val="21"/>
                <w:szCs w:val="21"/>
              </w:rPr>
              <w:br w:type="textWrapping"/>
            </w:r>
            <w:r>
              <w:rPr>
                <w:rFonts w:hint="eastAsia"/>
                <w:sz w:val="21"/>
                <w:szCs w:val="21"/>
              </w:rPr>
              <w:t>⑤支持浏览所有输入信号的实时预览画面,所有信号预监时,无需额外功能板卡占用设备槽位;支持高清、流畅两种模式信号源预览。高清模式像素不少于48W,流畅模式帧率不少于30Hz;支持所有信号输入音量开关控制、预监及预调节功能,同时支持对输入信号源叠加VU音频音柱显示,并可根据音频大小进行变化;</w:t>
            </w:r>
            <w:r>
              <w:rPr>
                <w:rFonts w:hint="eastAsia"/>
                <w:sz w:val="21"/>
                <w:szCs w:val="21"/>
              </w:rPr>
              <w:br w:type="textWrapping"/>
            </w:r>
            <w:r>
              <w:rPr>
                <w:rFonts w:hint="eastAsia"/>
                <w:sz w:val="21"/>
                <w:szCs w:val="21"/>
              </w:rPr>
              <w:t>⑥4K60全色度取样的图像无损处理,还原信号颜色,经过矩阵切换后,画质仍然保持原样帧率不抽帧,支持4:4:4采样不抽帧处理。分辨率支持≥4096×2160@60Hz,典型分辨率支持3840X2160@60Hz并向下兼容其他分辨率;</w:t>
            </w:r>
            <w:r>
              <w:rPr>
                <w:rFonts w:hint="eastAsia"/>
                <w:sz w:val="21"/>
                <w:szCs w:val="21"/>
              </w:rPr>
              <w:br w:type="textWrapping"/>
            </w:r>
            <w:r>
              <w:rPr>
                <w:rFonts w:hint="eastAsia"/>
                <w:sz w:val="21"/>
                <w:szCs w:val="21"/>
              </w:rPr>
              <w:t>⑦支持IP分布式网络浅压缩音视频数据通过光纤、网线解码输入:4096x2160@60Hz,3840x2160@60Hz,3840x2400@60Hz,2560x1600@60Hz分辨率,向下兼容其他分辨率;支持图像采样格式为4:4:4、码流范围为400-800Mbps的无损浅压缩码流解码;</w:t>
            </w:r>
            <w:r>
              <w:rPr>
                <w:rFonts w:hint="eastAsia"/>
                <w:sz w:val="21"/>
                <w:szCs w:val="21"/>
              </w:rPr>
              <w:br w:type="textWrapping"/>
            </w:r>
            <w:r>
              <w:rPr>
                <w:rFonts w:hint="eastAsia"/>
                <w:sz w:val="21"/>
                <w:szCs w:val="21"/>
              </w:rPr>
              <w:t>⑧支持本地坐席通过KVM矩阵,实现与远端电脑主机USB的数据透传,可支持U盘、Ukey、CA认证、移动硬盘、移动光驱、3.0及USB 3.1设备等USB外设的使用;单台接收端所插入的USB设备,可在本坐席内任一屏幕的任意窗口切换的计算机信号源进行挂载并拷贝数据文件。可进行USB锁定,USB锁定后,切换信号源不影响当前计算机U盘挂载及数据拷贝状态;</w:t>
            </w:r>
            <w:r>
              <w:rPr>
                <w:rFonts w:hint="eastAsia"/>
                <w:sz w:val="21"/>
                <w:szCs w:val="21"/>
              </w:rPr>
              <w:br w:type="textWrapping"/>
            </w:r>
            <w:r>
              <w:rPr>
                <w:rFonts w:hint="eastAsia"/>
                <w:sz w:val="21"/>
                <w:szCs w:val="21"/>
              </w:rPr>
              <w:t>⑨可在控制端显示整面拼接墙的显示图像,支持整面拼接屏的整体回显功能,显示内容与实际输出画面一致,可进行等比例回显或全屏输出,可外接HDMI/DVI接口显示器、IP网络解码器观看大屏回显,图像帧率可达4K@60帧/秒。客户端可直接对大屏幕窗口进行操作。便于对大屏内容进行实时监看与录制,进行分享、复盘与内容留档。支持大屏音频回显输出,音频与画面实时同步,可配合录播进行使用;</w:t>
            </w:r>
            <w:r>
              <w:rPr>
                <w:rFonts w:hint="eastAsia"/>
                <w:sz w:val="21"/>
                <w:szCs w:val="21"/>
              </w:rPr>
              <w:br w:type="textWrapping"/>
            </w:r>
            <w:r>
              <w:rPr>
                <w:rFonts w:hint="eastAsia"/>
                <w:sz w:val="21"/>
                <w:szCs w:val="21"/>
              </w:rPr>
              <w:t>⑩支持坐席多画面,坐席显示屏内任意开窗,调整窗口位置、大小、窗口层次,支持操作员通过坐席内某一个屏幕的OSD菜单,将任意信号源切换至当前坐席内任意屏幕任意窗口中进行显示,并进行键鼠滑屏控制,USB数据透传。键鼠延时＜5ms;视频延时＜5ms;</w:t>
            </w:r>
            <w:r>
              <w:rPr>
                <w:rFonts w:hint="eastAsia"/>
                <w:sz w:val="21"/>
                <w:szCs w:val="21"/>
              </w:rPr>
              <w:br w:type="textWrapping"/>
            </w:r>
            <w:r>
              <w:rPr>
                <w:rFonts w:ascii="Cambria Math" w:hAnsi="Cambria Math" w:cs="Cambria Math"/>
                <w:sz w:val="21"/>
                <w:szCs w:val="21"/>
              </w:rPr>
              <w:t>⑪</w:t>
            </w:r>
            <w:r>
              <w:rPr>
                <w:rFonts w:hint="eastAsia"/>
                <w:sz w:val="21"/>
                <w:szCs w:val="21"/>
              </w:rPr>
              <w:t>射频电磁场辐射抗扰度限值应符合 GB/T17626.3-2006 中严酷等级2的规定。试验中功能正常,允许图像有微弱干扰,但不影响观察;</w:t>
            </w:r>
            <w:r>
              <w:rPr>
                <w:rFonts w:hint="eastAsia"/>
                <w:sz w:val="21"/>
                <w:szCs w:val="21"/>
              </w:rPr>
              <w:br w:type="textWrapping"/>
            </w:r>
            <w:r>
              <w:rPr>
                <w:rFonts w:ascii="Cambria Math" w:hAnsi="Cambria Math" w:cs="Cambria Math"/>
                <w:sz w:val="21"/>
                <w:szCs w:val="21"/>
              </w:rPr>
              <w:t>⑫</w:t>
            </w:r>
            <w:r>
              <w:rPr>
                <w:rFonts w:hint="eastAsia"/>
                <w:sz w:val="21"/>
                <w:szCs w:val="21"/>
              </w:rPr>
              <w:t>设备具有控制卡热备份,无需人为操作即可切换控制。</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台</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5"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3</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HDMI光端机</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1.名称:HDM光纤音视频发送端</w:t>
            </w:r>
            <w:r>
              <w:rPr>
                <w:rFonts w:hint="eastAsia"/>
                <w:sz w:val="21"/>
                <w:szCs w:val="21"/>
              </w:rPr>
              <w:br w:type="textWrapping"/>
            </w:r>
            <w:r>
              <w:rPr>
                <w:rFonts w:hint="eastAsia"/>
                <w:sz w:val="21"/>
                <w:szCs w:val="21"/>
              </w:rPr>
              <w:t>2.参数及功能:10G HDMI光纤音视频双光发送端,支持1路HDMI及随路音频输入,具有环出接口,LC接口*1,最大输入分辨率1920x1200@60Hz,和经过认证的设备配套使用,传输距离单模10Km。</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台</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1"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4</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HDMI光端机</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1.名称:HDM光纤音视频接收端</w:t>
            </w:r>
            <w:r>
              <w:rPr>
                <w:rFonts w:hint="eastAsia"/>
                <w:sz w:val="21"/>
                <w:szCs w:val="21"/>
              </w:rPr>
              <w:br w:type="textWrapping"/>
            </w:r>
            <w:r>
              <w:rPr>
                <w:rFonts w:hint="eastAsia"/>
                <w:sz w:val="21"/>
                <w:szCs w:val="21"/>
              </w:rPr>
              <w:t>2.参数及功能:10G HDMI光纤音视频双光接收端,支持1路HDMI及随路音频输出,LC接口*1,最大输出分辨率920x1200@60Hz,和经过认证的设备配套使用,传输距离单模10Km</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台</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5</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安装支架</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1.名称:定制支架</w:t>
            </w:r>
            <w:r>
              <w:rPr>
                <w:rFonts w:hint="eastAsia"/>
                <w:sz w:val="21"/>
                <w:szCs w:val="21"/>
              </w:rPr>
              <w:br w:type="textWrapping"/>
            </w:r>
            <w:r>
              <w:rPr>
                <w:rFonts w:hint="eastAsia"/>
                <w:sz w:val="21"/>
                <w:szCs w:val="21"/>
              </w:rPr>
              <w:t>2.要求:光端机机柜安装附件，支持将2个盒式设备安装在1U的机柜内</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套</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20"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6</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监控显示器</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1.名称:无边框监控显示器（24寸）</w:t>
            </w:r>
            <w:r>
              <w:rPr>
                <w:rFonts w:hint="eastAsia"/>
                <w:sz w:val="21"/>
                <w:szCs w:val="21"/>
              </w:rPr>
              <w:br w:type="textWrapping"/>
            </w:r>
            <w:r>
              <w:rPr>
                <w:rFonts w:hint="eastAsia"/>
                <w:sz w:val="21"/>
                <w:szCs w:val="21"/>
              </w:rPr>
              <w:t>2.参数及功能:</w:t>
            </w:r>
            <w:r>
              <w:rPr>
                <w:rFonts w:hint="eastAsia"/>
                <w:sz w:val="21"/>
                <w:szCs w:val="21"/>
              </w:rPr>
              <w:br w:type="textWrapping"/>
            </w:r>
            <w:r>
              <w:rPr>
                <w:rFonts w:hint="eastAsia"/>
                <w:sz w:val="21"/>
                <w:szCs w:val="21"/>
              </w:rPr>
              <w:t>支持HDMI+VGA双接口、支持1920×1080高清显示、支持软件展频技术可降低EMI辐射、支持VESA壁挂</w:t>
            </w:r>
            <w:r>
              <w:rPr>
                <w:rFonts w:hint="eastAsia"/>
                <w:sz w:val="21"/>
                <w:szCs w:val="21"/>
              </w:rPr>
              <w:br w:type="textWrapping"/>
            </w:r>
            <w:r>
              <w:rPr>
                <w:rFonts w:hint="eastAsia"/>
                <w:sz w:val="21"/>
                <w:szCs w:val="21"/>
              </w:rPr>
              <w:t>显示尺寸:23.8inch</w:t>
            </w:r>
            <w:r>
              <w:rPr>
                <w:rFonts w:hint="eastAsia"/>
                <w:sz w:val="21"/>
                <w:szCs w:val="21"/>
              </w:rPr>
              <w:br w:type="textWrapping"/>
            </w:r>
            <w:r>
              <w:rPr>
                <w:rFonts w:hint="eastAsia"/>
                <w:sz w:val="21"/>
                <w:szCs w:val="21"/>
              </w:rPr>
              <w:t>屏幕可视区域:527.04 (H) mm × 296.46 (V) mm</w:t>
            </w:r>
            <w:r>
              <w:rPr>
                <w:rFonts w:hint="eastAsia"/>
                <w:sz w:val="21"/>
                <w:szCs w:val="21"/>
              </w:rPr>
              <w:br w:type="textWrapping"/>
            </w:r>
            <w:r>
              <w:rPr>
                <w:rFonts w:hint="eastAsia"/>
                <w:sz w:val="21"/>
                <w:szCs w:val="21"/>
              </w:rPr>
              <w:t>物理分辨率:1920×1080</w:t>
            </w:r>
            <w:r>
              <w:rPr>
                <w:rFonts w:hint="eastAsia"/>
                <w:sz w:val="21"/>
                <w:szCs w:val="21"/>
              </w:rPr>
              <w:br w:type="textWrapping"/>
            </w:r>
            <w:r>
              <w:rPr>
                <w:rFonts w:hint="eastAsia"/>
                <w:sz w:val="21"/>
                <w:szCs w:val="21"/>
              </w:rPr>
              <w:t>背光源类型:E-LED</w:t>
            </w:r>
            <w:r>
              <w:rPr>
                <w:rFonts w:hint="eastAsia"/>
                <w:sz w:val="21"/>
                <w:szCs w:val="21"/>
              </w:rPr>
              <w:br w:type="textWrapping"/>
            </w:r>
            <w:r>
              <w:rPr>
                <w:rFonts w:hint="eastAsia"/>
                <w:sz w:val="21"/>
                <w:szCs w:val="21"/>
              </w:rPr>
              <w:t xml:space="preserve">像素间距:0.2745 (H) mm × 0.2745 (V) mm </w:t>
            </w:r>
            <w:r>
              <w:rPr>
                <w:rFonts w:hint="eastAsia"/>
                <w:sz w:val="21"/>
                <w:szCs w:val="21"/>
              </w:rPr>
              <w:br w:type="textWrapping"/>
            </w:r>
            <w:r>
              <w:rPr>
                <w:rFonts w:hint="eastAsia"/>
                <w:sz w:val="21"/>
                <w:szCs w:val="21"/>
              </w:rPr>
              <w:t>亮度:250 cd/m²</w:t>
            </w:r>
            <w:r>
              <w:rPr>
                <w:rFonts w:hint="eastAsia"/>
                <w:sz w:val="21"/>
                <w:szCs w:val="21"/>
              </w:rPr>
              <w:br w:type="textWrapping"/>
            </w:r>
            <w:r>
              <w:rPr>
                <w:rFonts w:hint="eastAsia"/>
                <w:sz w:val="21"/>
                <w:szCs w:val="21"/>
              </w:rPr>
              <w:t>可视角:178°(H)/178°(V)</w:t>
            </w:r>
            <w:r>
              <w:rPr>
                <w:rFonts w:hint="eastAsia"/>
                <w:sz w:val="21"/>
                <w:szCs w:val="21"/>
              </w:rPr>
              <w:br w:type="textWrapping"/>
            </w:r>
            <w:r>
              <w:rPr>
                <w:rFonts w:hint="eastAsia"/>
                <w:sz w:val="21"/>
                <w:szCs w:val="21"/>
              </w:rPr>
              <w:t xml:space="preserve">色深度:8 bit, 16.7 M </w:t>
            </w:r>
            <w:r>
              <w:rPr>
                <w:rFonts w:hint="eastAsia"/>
                <w:sz w:val="21"/>
                <w:szCs w:val="21"/>
              </w:rPr>
              <w:br w:type="textWrapping"/>
            </w:r>
            <w:r>
              <w:rPr>
                <w:rFonts w:hint="eastAsia"/>
                <w:sz w:val="21"/>
                <w:szCs w:val="21"/>
              </w:rPr>
              <w:t>对比度:4000:1</w:t>
            </w:r>
            <w:r>
              <w:rPr>
                <w:rFonts w:hint="eastAsia"/>
                <w:sz w:val="21"/>
                <w:szCs w:val="21"/>
              </w:rPr>
              <w:br w:type="textWrapping"/>
            </w:r>
            <w:r>
              <w:rPr>
                <w:rFonts w:hint="eastAsia"/>
                <w:sz w:val="21"/>
                <w:szCs w:val="21"/>
              </w:rPr>
              <w:t>响应时间:≤6.5ms</w:t>
            </w:r>
            <w:r>
              <w:rPr>
                <w:rFonts w:hint="eastAsia"/>
                <w:sz w:val="21"/>
                <w:szCs w:val="21"/>
              </w:rPr>
              <w:br w:type="textWrapping"/>
            </w:r>
            <w:r>
              <w:rPr>
                <w:rFonts w:hint="eastAsia"/>
                <w:sz w:val="21"/>
                <w:szCs w:val="21"/>
              </w:rPr>
              <w:t>刷新率:≥60 Hz</w:t>
            </w:r>
            <w:r>
              <w:rPr>
                <w:rFonts w:hint="eastAsia"/>
                <w:sz w:val="21"/>
                <w:szCs w:val="21"/>
              </w:rPr>
              <w:br w:type="textWrapping"/>
            </w:r>
            <w:r>
              <w:rPr>
                <w:rFonts w:hint="eastAsia"/>
                <w:sz w:val="21"/>
                <w:szCs w:val="21"/>
              </w:rPr>
              <w:t>音视频输入接口: HDMI 1.4 × 1, VGA × 1</w:t>
            </w:r>
            <w:r>
              <w:rPr>
                <w:rFonts w:hint="eastAsia"/>
                <w:sz w:val="21"/>
                <w:szCs w:val="21"/>
              </w:rPr>
              <w:br w:type="textWrapping"/>
            </w:r>
            <w:r>
              <w:rPr>
                <w:rFonts w:hint="eastAsia"/>
                <w:sz w:val="21"/>
                <w:szCs w:val="21"/>
              </w:rPr>
              <w:t>功耗:≤ 24 W</w:t>
            </w:r>
            <w:r>
              <w:rPr>
                <w:rFonts w:hint="eastAsia"/>
                <w:sz w:val="21"/>
                <w:szCs w:val="21"/>
              </w:rPr>
              <w:br w:type="textWrapping"/>
            </w:r>
            <w:r>
              <w:rPr>
                <w:rFonts w:hint="eastAsia"/>
                <w:sz w:val="21"/>
                <w:szCs w:val="21"/>
              </w:rPr>
              <w:t xml:space="preserve">待机功耗:≤ 0.5 W </w:t>
            </w:r>
            <w:r>
              <w:rPr>
                <w:rFonts w:hint="eastAsia"/>
                <w:sz w:val="21"/>
                <w:szCs w:val="21"/>
              </w:rPr>
              <w:br w:type="textWrapping"/>
            </w:r>
            <w:r>
              <w:rPr>
                <w:rFonts w:hint="eastAsia"/>
                <w:sz w:val="21"/>
                <w:szCs w:val="21"/>
              </w:rPr>
              <w:t xml:space="preserve">工作温度:0℃~40℃ </w:t>
            </w:r>
            <w:r>
              <w:rPr>
                <w:rFonts w:hint="eastAsia"/>
                <w:sz w:val="21"/>
                <w:szCs w:val="21"/>
              </w:rPr>
              <w:br w:type="textWrapping"/>
            </w:r>
            <w:r>
              <w:rPr>
                <w:rFonts w:hint="eastAsia"/>
                <w:sz w:val="21"/>
                <w:szCs w:val="21"/>
              </w:rPr>
              <w:t>工作湿度:20%~90% RH (无冷凝水)</w:t>
            </w:r>
            <w:r>
              <w:rPr>
                <w:rFonts w:hint="eastAsia"/>
                <w:sz w:val="21"/>
                <w:szCs w:val="21"/>
              </w:rPr>
              <w:br w:type="textWrapping"/>
            </w:r>
            <w:r>
              <w:rPr>
                <w:rFonts w:hint="eastAsia"/>
                <w:sz w:val="21"/>
                <w:szCs w:val="21"/>
              </w:rPr>
              <w:t xml:space="preserve">存储温度:-20℃~60℃ </w:t>
            </w:r>
            <w:r>
              <w:rPr>
                <w:rFonts w:hint="eastAsia"/>
                <w:sz w:val="21"/>
                <w:szCs w:val="21"/>
              </w:rPr>
              <w:br w:type="textWrapping"/>
            </w:r>
            <w:r>
              <w:rPr>
                <w:rFonts w:hint="eastAsia"/>
                <w:sz w:val="21"/>
                <w:szCs w:val="21"/>
              </w:rPr>
              <w:t xml:space="preserve">存储湿度:5%~90% RH (无冷凝水) </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台</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6"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7</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HDMI延长器</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1.名称:HDMI延长器</w:t>
            </w:r>
            <w:r>
              <w:rPr>
                <w:rFonts w:hint="eastAsia"/>
                <w:sz w:val="21"/>
                <w:szCs w:val="21"/>
              </w:rPr>
              <w:br w:type="textWrapping"/>
            </w:r>
            <w:r>
              <w:rPr>
                <w:rFonts w:hint="eastAsia"/>
                <w:sz w:val="21"/>
                <w:szCs w:val="21"/>
              </w:rPr>
              <w:t>2.参数及功能:工业级高清视频无损传输单网线延长,4K*2K@60HZ稳定传输。支持CAT5/5E/6单网线远距离传输至120米,信号无损压缩,低延时支持,最大分辨率高达4096x2160/3840x2160@60Hz（4:4:4）,支持串口双向回传,支持IR红外双向回传</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个</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3"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8</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KVM延长器</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1.名称:KVM延长器</w:t>
            </w:r>
            <w:r>
              <w:rPr>
                <w:rFonts w:hint="eastAsia"/>
                <w:sz w:val="21"/>
                <w:szCs w:val="21"/>
              </w:rPr>
              <w:br w:type="textWrapping"/>
            </w:r>
            <w:r>
              <w:rPr>
                <w:rFonts w:hint="eastAsia"/>
                <w:sz w:val="21"/>
                <w:szCs w:val="21"/>
              </w:rPr>
              <w:t>2.参数及功能:分辨率最高支持HDMI 4K@60HZ,传输距离100米,支持自适应均衡和信号增强处理,支持键盘/鼠标/IR红外数据透传,可远端控制电脑或其他媒体播放设备,支持音频分离,支持本地环出远距离100米稳定传输;支持键鼠、IR红外数据透传,可远端控制电脑或者其他媒体播放设备,远程双向红外回传,支持接收端/发射端反向IR信号回传 可远程控制信号源或显示</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个</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9"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9</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HDMI分配器</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1.名称:HDMI分配器（一分二）</w:t>
            </w:r>
            <w:r>
              <w:rPr>
                <w:rFonts w:hint="eastAsia"/>
                <w:sz w:val="21"/>
                <w:szCs w:val="21"/>
              </w:rPr>
              <w:br w:type="textWrapping"/>
            </w:r>
            <w:r>
              <w:rPr>
                <w:rFonts w:hint="eastAsia"/>
                <w:sz w:val="21"/>
                <w:szCs w:val="21"/>
              </w:rPr>
              <w:t>2.参数及功能:HDMI标准线10~15米输入、15米输出4K/3D高清的信号,分辨率最高4096*2160</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个</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2"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10</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交换机</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1.名称:以太交换机</w:t>
            </w:r>
            <w:r>
              <w:rPr>
                <w:rFonts w:hint="eastAsia"/>
                <w:sz w:val="21"/>
                <w:szCs w:val="21"/>
              </w:rPr>
              <w:br w:type="textWrapping"/>
            </w:r>
            <w:r>
              <w:rPr>
                <w:rFonts w:hint="eastAsia"/>
                <w:sz w:val="21"/>
                <w:szCs w:val="21"/>
              </w:rPr>
              <w:t>2.参数及功能:</w:t>
            </w:r>
            <w:r>
              <w:rPr>
                <w:rFonts w:hint="eastAsia"/>
                <w:sz w:val="21"/>
                <w:szCs w:val="21"/>
              </w:rPr>
              <w:br w:type="textWrapping"/>
            </w:r>
            <w:r>
              <w:rPr>
                <w:rFonts w:hint="eastAsia"/>
                <w:sz w:val="21"/>
                <w:szCs w:val="21"/>
              </w:rPr>
              <w:t>应用层级:二层</w:t>
            </w:r>
            <w:r>
              <w:rPr>
                <w:rFonts w:hint="eastAsia"/>
                <w:sz w:val="21"/>
                <w:szCs w:val="21"/>
              </w:rPr>
              <w:br w:type="textWrapping"/>
            </w:r>
            <w:r>
              <w:rPr>
                <w:rFonts w:hint="eastAsia"/>
                <w:sz w:val="21"/>
                <w:szCs w:val="21"/>
              </w:rPr>
              <w:t>传输速率:10/100/1000Mpps</w:t>
            </w:r>
            <w:r>
              <w:rPr>
                <w:rFonts w:hint="eastAsia"/>
                <w:sz w:val="21"/>
                <w:szCs w:val="21"/>
              </w:rPr>
              <w:br w:type="textWrapping"/>
            </w:r>
            <w:r>
              <w:rPr>
                <w:rFonts w:hint="eastAsia"/>
                <w:sz w:val="21"/>
                <w:szCs w:val="21"/>
              </w:rPr>
              <w:t>背板带宽:336Gbps</w:t>
            </w:r>
            <w:r>
              <w:rPr>
                <w:rFonts w:hint="eastAsia"/>
                <w:sz w:val="21"/>
                <w:szCs w:val="21"/>
              </w:rPr>
              <w:br w:type="textWrapping"/>
            </w:r>
            <w:r>
              <w:rPr>
                <w:rFonts w:hint="eastAsia"/>
                <w:sz w:val="21"/>
                <w:szCs w:val="21"/>
              </w:rPr>
              <w:t>包转发率:42Mpps</w:t>
            </w:r>
            <w:r>
              <w:rPr>
                <w:rFonts w:hint="eastAsia"/>
                <w:sz w:val="21"/>
                <w:szCs w:val="21"/>
              </w:rPr>
              <w:br w:type="textWrapping"/>
            </w:r>
            <w:r>
              <w:rPr>
                <w:rFonts w:hint="eastAsia"/>
                <w:sz w:val="21"/>
                <w:szCs w:val="21"/>
              </w:rPr>
              <w:t>端口数量:24（24个10/100/1000Mpps自适应电口交换机,固化4个SFP千兆光口）</w:t>
            </w:r>
            <w:r>
              <w:rPr>
                <w:rFonts w:hint="eastAsia"/>
                <w:sz w:val="21"/>
                <w:szCs w:val="21"/>
              </w:rPr>
              <w:br w:type="textWrapping"/>
            </w:r>
            <w:r>
              <w:rPr>
                <w:rFonts w:hint="eastAsia"/>
                <w:sz w:val="21"/>
                <w:szCs w:val="21"/>
              </w:rPr>
              <w:t>支持Vlan、ACL、端口镜像、端口聚合等功能,支持睿易APP和MACC云平台统一管理</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台</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9"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11</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数字调音台</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1.名称:数字调音台</w:t>
            </w:r>
            <w:r>
              <w:rPr>
                <w:rFonts w:hint="eastAsia"/>
                <w:sz w:val="21"/>
                <w:szCs w:val="21"/>
              </w:rPr>
              <w:br w:type="textWrapping"/>
            </w:r>
            <w:r>
              <w:rPr>
                <w:rFonts w:hint="eastAsia"/>
                <w:sz w:val="21"/>
                <w:szCs w:val="21"/>
              </w:rPr>
              <w:t>2.参数及功能:</w:t>
            </w:r>
            <w:r>
              <w:rPr>
                <w:rFonts w:hint="eastAsia"/>
                <w:sz w:val="21"/>
                <w:szCs w:val="21"/>
              </w:rPr>
              <w:br w:type="textWrapping"/>
            </w:r>
            <w:r>
              <w:rPr>
                <w:rFonts w:hint="eastAsia"/>
                <w:sz w:val="21"/>
                <w:szCs w:val="21"/>
              </w:rPr>
              <w:t>推子配置:16+1（主控）</w:t>
            </w:r>
            <w:r>
              <w:rPr>
                <w:rFonts w:hint="eastAsia"/>
                <w:sz w:val="21"/>
                <w:szCs w:val="21"/>
              </w:rPr>
              <w:br w:type="textWrapping"/>
            </w:r>
            <w:r>
              <w:rPr>
                <w:rFonts w:hint="eastAsia"/>
                <w:sz w:val="21"/>
                <w:szCs w:val="21"/>
              </w:rPr>
              <w:t>混音能力:输入通道40（32单声道+2立体声+2返送通道）;AUX20（8单声道+6立体声）;立体声x1;子母线x1;</w:t>
            </w:r>
            <w:r>
              <w:rPr>
                <w:rFonts w:hint="eastAsia"/>
                <w:sz w:val="21"/>
                <w:szCs w:val="21"/>
              </w:rPr>
              <w:br w:type="textWrapping"/>
            </w:r>
            <w:r>
              <w:rPr>
                <w:rFonts w:hint="eastAsia"/>
                <w:sz w:val="21"/>
                <w:szCs w:val="21"/>
              </w:rPr>
              <w:t>输入通道功能:8 DCA编组</w:t>
            </w:r>
            <w:r>
              <w:rPr>
                <w:rFonts w:hint="eastAsia"/>
                <w:sz w:val="21"/>
                <w:szCs w:val="21"/>
              </w:rPr>
              <w:br w:type="textWrapping"/>
            </w:r>
            <w:r>
              <w:rPr>
                <w:rFonts w:hint="eastAsia"/>
                <w:sz w:val="21"/>
                <w:szCs w:val="21"/>
              </w:rPr>
              <w:t>I/O接口:16个模拟XLR/TRS混合麦克风/线路输入+2个模拟RCA立体声线路输入;16个模拟XLR输出;34×34 USB数字录音/回放 + 2×2 录音/回放通过USB存储设备;1个支持NY64-D音频介面卡的扩展槽</w:t>
            </w:r>
            <w:r>
              <w:rPr>
                <w:rFonts w:hint="eastAsia"/>
                <w:sz w:val="21"/>
                <w:szCs w:val="21"/>
              </w:rPr>
              <w:br w:type="textWrapping"/>
            </w:r>
            <w:r>
              <w:rPr>
                <w:rFonts w:hint="eastAsia"/>
                <w:sz w:val="21"/>
                <w:szCs w:val="21"/>
              </w:rPr>
              <w:t>板载处理器:8 效果器 + 10 GEQ</w:t>
            </w:r>
            <w:r>
              <w:rPr>
                <w:rFonts w:hint="eastAsia"/>
                <w:sz w:val="21"/>
                <w:szCs w:val="21"/>
              </w:rPr>
              <w:br w:type="textWrapping"/>
            </w:r>
            <w:r>
              <w:rPr>
                <w:rFonts w:hint="eastAsia"/>
                <w:sz w:val="21"/>
                <w:szCs w:val="21"/>
              </w:rPr>
              <w:t>USB:34x34 USB 音频接口, 通过USB存储设备可进行 2 轨录音</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台</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30"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12</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控制台</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1.名称:定制豪华直排3工位操作席</w:t>
            </w:r>
            <w:r>
              <w:rPr>
                <w:rFonts w:hint="eastAsia"/>
                <w:sz w:val="21"/>
                <w:szCs w:val="21"/>
              </w:rPr>
              <w:br w:type="textWrapping"/>
            </w:r>
            <w:r>
              <w:rPr>
                <w:rFonts w:hint="eastAsia"/>
                <w:sz w:val="21"/>
                <w:szCs w:val="21"/>
              </w:rPr>
              <w:t>2.尺寸规格:</w:t>
            </w:r>
            <w:r>
              <w:rPr>
                <w:rFonts w:hint="eastAsia"/>
                <w:sz w:val="21"/>
                <w:szCs w:val="21"/>
              </w:rPr>
              <w:br w:type="textWrapping"/>
            </w:r>
            <w:r>
              <w:rPr>
                <w:rFonts w:hint="eastAsia"/>
                <w:sz w:val="21"/>
                <w:szCs w:val="21"/>
              </w:rPr>
              <w:t>（1）席位台面长度不低于4000mm:深度为950mm,台面距离地高度750mm:厚度≥25mm,手枕边宽度≥38:背板墙高15cm:</w:t>
            </w:r>
            <w:r>
              <w:rPr>
                <w:rFonts w:hint="eastAsia"/>
                <w:sz w:val="21"/>
                <w:szCs w:val="21"/>
              </w:rPr>
              <w:br w:type="textWrapping"/>
            </w:r>
            <w:r>
              <w:rPr>
                <w:rFonts w:hint="eastAsia"/>
                <w:sz w:val="21"/>
                <w:szCs w:val="21"/>
              </w:rPr>
              <w:t>（2）总体9个席位,3组 台面总长度不低于12000 mm</w:t>
            </w:r>
            <w:r>
              <w:rPr>
                <w:rFonts w:hint="eastAsia"/>
                <w:sz w:val="21"/>
                <w:szCs w:val="21"/>
              </w:rPr>
              <w:br w:type="textWrapping"/>
            </w:r>
            <w:r>
              <w:rPr>
                <w:rFonts w:hint="eastAsia"/>
                <w:sz w:val="21"/>
                <w:szCs w:val="21"/>
              </w:rPr>
              <w:t>（3）席位台面拼接时,整体拼接控制台的组成为模块化结构,控制台主体框架为钣金结构,可根据需求提供灵活的增加或减少席位,模块化搭配。席位台面整体链接后的各模块间内部贯通,各种线缆在控制台内能自由贯通,强弱分离</w:t>
            </w:r>
            <w:r>
              <w:rPr>
                <w:rFonts w:hint="eastAsia"/>
                <w:sz w:val="21"/>
                <w:szCs w:val="21"/>
              </w:rPr>
              <w:br w:type="textWrapping"/>
            </w:r>
            <w:r>
              <w:rPr>
                <w:rFonts w:hint="eastAsia"/>
                <w:sz w:val="21"/>
                <w:szCs w:val="21"/>
              </w:rPr>
              <w:t>3.控制台前后门要求:使用高压耐磨防火板（HPL）+实木颗粒板（E1级）或冷轧钢板制作,链接铰链五金件,质轻,手感好,开关门噪音小,保证≥200000次无障碍开启。控制台整套设备的门旋转打开后可承载30Kg力而不会下坠</w:t>
            </w:r>
            <w:r>
              <w:rPr>
                <w:rFonts w:hint="eastAsia"/>
                <w:sz w:val="21"/>
                <w:szCs w:val="21"/>
              </w:rPr>
              <w:br w:type="textWrapping"/>
            </w:r>
            <w:r>
              <w:rPr>
                <w:rFonts w:hint="eastAsia"/>
                <w:sz w:val="21"/>
                <w:szCs w:val="21"/>
              </w:rPr>
              <w:t>4.控制台桌面要求:</w:t>
            </w:r>
            <w:r>
              <w:rPr>
                <w:rFonts w:hint="eastAsia"/>
                <w:sz w:val="21"/>
                <w:szCs w:val="21"/>
              </w:rPr>
              <w:br w:type="textWrapping"/>
            </w:r>
            <w:r>
              <w:rPr>
                <w:rFonts w:hint="eastAsia"/>
                <w:sz w:val="21"/>
                <w:szCs w:val="21"/>
              </w:rPr>
              <w:t>（1）使用高压耐磨防火板（HPL）+实木颗粒板（E1级）,整体厚度不低于25mm,大面板之间做隐藏式链接,截面加拼接件,整体链接后平整光滑无缝隙</w:t>
            </w:r>
            <w:r>
              <w:rPr>
                <w:rFonts w:hint="eastAsia"/>
                <w:sz w:val="21"/>
                <w:szCs w:val="21"/>
              </w:rPr>
              <w:br w:type="textWrapping"/>
            </w:r>
            <w:r>
              <w:rPr>
                <w:rFonts w:hint="eastAsia"/>
                <w:sz w:val="21"/>
                <w:szCs w:val="21"/>
              </w:rPr>
              <w:t>（2）台面边缘手枕边为聚氨酯材质,手枕边表面为麻面效果。前端使用不小于27mm,后端面使用不小于2mm厚的软聚氨酯封边条</w:t>
            </w:r>
            <w:r>
              <w:rPr>
                <w:rFonts w:hint="eastAsia"/>
                <w:sz w:val="21"/>
                <w:szCs w:val="21"/>
              </w:rPr>
              <w:br w:type="textWrapping"/>
            </w:r>
            <w:r>
              <w:rPr>
                <w:rFonts w:hint="eastAsia"/>
                <w:sz w:val="21"/>
                <w:szCs w:val="21"/>
              </w:rPr>
              <w:t>（3）桌面护角:桌面两侧采用弧面护角包覆,内部设加强筋,护角底部设置安装孔</w:t>
            </w:r>
            <w:r>
              <w:rPr>
                <w:rFonts w:hint="eastAsia"/>
                <w:sz w:val="21"/>
                <w:szCs w:val="21"/>
              </w:rPr>
              <w:br w:type="textWrapping"/>
            </w:r>
            <w:r>
              <w:rPr>
                <w:rFonts w:hint="eastAsia"/>
                <w:sz w:val="21"/>
                <w:szCs w:val="21"/>
              </w:rPr>
              <w:t>（4）工作台面支撑臂材料采用厚度3.0mm冷轧钢板,表面处理:静电喷塑</w:t>
            </w:r>
            <w:r>
              <w:rPr>
                <w:rFonts w:hint="eastAsia"/>
                <w:sz w:val="21"/>
                <w:szCs w:val="21"/>
              </w:rPr>
              <w:br w:type="textWrapping"/>
            </w:r>
            <w:r>
              <w:rPr>
                <w:rFonts w:hint="eastAsia"/>
                <w:sz w:val="21"/>
                <w:szCs w:val="21"/>
              </w:rPr>
              <w:t>5.多功能拉铝架:双面加厚拉铝架型材背板+高压耐磨防火板或冷轧钢板制作开模铸铝配件,铝型材双面具备易于显示器支臂悬挂的凹槽。背板距离桌面15cm-16cm,双面可镶嵌不同颜色装饰材料。所有配件保证颜色整体统一,互换性强</w:t>
            </w:r>
            <w:r>
              <w:rPr>
                <w:rFonts w:hint="eastAsia"/>
                <w:sz w:val="21"/>
                <w:szCs w:val="21"/>
              </w:rPr>
              <w:br w:type="textWrapping"/>
            </w:r>
            <w:r>
              <w:rPr>
                <w:rFonts w:hint="eastAsia"/>
                <w:sz w:val="21"/>
                <w:szCs w:val="21"/>
              </w:rPr>
              <w:t>6.控制台结构要求:</w:t>
            </w:r>
            <w:r>
              <w:rPr>
                <w:rFonts w:hint="eastAsia"/>
                <w:sz w:val="21"/>
                <w:szCs w:val="21"/>
              </w:rPr>
              <w:br w:type="textWrapping"/>
            </w:r>
            <w:r>
              <w:rPr>
                <w:rFonts w:hint="eastAsia"/>
                <w:sz w:val="21"/>
                <w:szCs w:val="21"/>
              </w:rPr>
              <w:t>（1）主框架:内部主框架为≥2.0mm冷轧钢板,承重支撑件为≥3.0mm冷轧钢板,防静电喷塑处理。主框架使用≥2.0mm厚钣金结构,采用通用链接件链接形成一个独立模块,模块之间通用部件一致可互换</w:t>
            </w:r>
            <w:r>
              <w:rPr>
                <w:rFonts w:hint="eastAsia"/>
                <w:sz w:val="21"/>
                <w:szCs w:val="21"/>
              </w:rPr>
              <w:br w:type="textWrapping"/>
            </w:r>
            <w:r>
              <w:rPr>
                <w:rFonts w:hint="eastAsia"/>
                <w:sz w:val="21"/>
                <w:szCs w:val="21"/>
              </w:rPr>
              <w:t>（2）台面支撑件:控制台支撑脚及台面支撑件全部采用≥2.0mm冷轧钢板,表面防静电喷塑处理</w:t>
            </w:r>
            <w:r>
              <w:rPr>
                <w:rFonts w:hint="eastAsia"/>
                <w:sz w:val="21"/>
                <w:szCs w:val="21"/>
              </w:rPr>
              <w:br w:type="textWrapping"/>
            </w:r>
            <w:r>
              <w:rPr>
                <w:rFonts w:hint="eastAsia"/>
                <w:sz w:val="21"/>
                <w:szCs w:val="21"/>
              </w:rPr>
              <w:t>（3）支撑脚:采用6mm钢板和2.0mm冷轧钢板折弯成型,表面喷塑处理</w:t>
            </w:r>
            <w:r>
              <w:rPr>
                <w:rFonts w:hint="eastAsia"/>
                <w:sz w:val="21"/>
                <w:szCs w:val="21"/>
              </w:rPr>
              <w:br w:type="textWrapping"/>
            </w:r>
            <w:r>
              <w:rPr>
                <w:rFonts w:hint="eastAsia"/>
                <w:sz w:val="21"/>
                <w:szCs w:val="21"/>
              </w:rPr>
              <w:t>（4）制造误差:线性≤±0.5mm,垂直≤±0.5º,模组拼接精度≤±1mm</w:t>
            </w:r>
            <w:r>
              <w:rPr>
                <w:rFonts w:hint="eastAsia"/>
                <w:sz w:val="21"/>
                <w:szCs w:val="21"/>
              </w:rPr>
              <w:br w:type="textWrapping"/>
            </w:r>
            <w:r>
              <w:rPr>
                <w:rFonts w:hint="eastAsia"/>
                <w:sz w:val="21"/>
                <w:szCs w:val="21"/>
              </w:rPr>
              <w:t>（5）边柱,后柱及边角部分采用厚度≥1.5mm冷轧钢板,经过钣金数控压,折弯制造,表面进行静电喷塑处理</w:t>
            </w:r>
            <w:r>
              <w:rPr>
                <w:rFonts w:hint="eastAsia"/>
                <w:sz w:val="21"/>
                <w:szCs w:val="21"/>
              </w:rPr>
              <w:br w:type="textWrapping"/>
            </w:r>
            <w:r>
              <w:rPr>
                <w:rFonts w:hint="eastAsia"/>
                <w:sz w:val="21"/>
                <w:szCs w:val="21"/>
              </w:rPr>
              <w:t>7.键盘抽屉:金属托架,PU自结皮软质抽屉面</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m</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4"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13</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座椅</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1.名称:人体工学座椅</w:t>
            </w:r>
            <w:r>
              <w:rPr>
                <w:rFonts w:hint="eastAsia"/>
                <w:sz w:val="21"/>
                <w:szCs w:val="21"/>
              </w:rPr>
              <w:br w:type="textWrapping"/>
            </w:r>
            <w:r>
              <w:rPr>
                <w:rFonts w:hint="eastAsia"/>
                <w:sz w:val="21"/>
                <w:szCs w:val="21"/>
              </w:rPr>
              <w:t>2.参数规格及工艺要求:</w:t>
            </w:r>
            <w:r>
              <w:rPr>
                <w:rFonts w:hint="eastAsia"/>
                <w:sz w:val="21"/>
                <w:szCs w:val="21"/>
              </w:rPr>
              <w:br w:type="textWrapping"/>
            </w:r>
            <w:r>
              <w:rPr>
                <w:rFonts w:hint="eastAsia"/>
                <w:sz w:val="21"/>
                <w:szCs w:val="21"/>
              </w:rPr>
              <w:t>头枕、背垫、腰枕及座垫均为进口网布;黑色塑胶框架,PU扶手垫;塑胶头枕插条、头枕横把手;背支撑架、底盘支撑架均为铝合金精抛光;100MM气压棒,340MM铝合金精抛光椅脚,60MM PU滑轮;椅长:665MM、椅宽:670MM、椅高:1150~1290MM、座垫最低:490MM、座垫最高:580M;</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把</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7"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14</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支臂架</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1.名称:显示器支臂</w:t>
            </w:r>
            <w:r>
              <w:rPr>
                <w:rFonts w:hint="eastAsia"/>
                <w:sz w:val="21"/>
                <w:szCs w:val="21"/>
              </w:rPr>
              <w:br w:type="textWrapping"/>
            </w:r>
            <w:r>
              <w:rPr>
                <w:rFonts w:hint="eastAsia"/>
                <w:sz w:val="21"/>
                <w:szCs w:val="21"/>
              </w:rPr>
              <w:t>2.参数及功能:具备可伸展的能力,最大和最小距离应满足普通个人的视距要求;可实现空间180°旋转/平面内360°旋转;高度可以在一定范围内的上下调整,前后倾角应满足﹢20°～－15°;符合VESA国际安装标准孔位:75×75mm和100×100mm;显示器悬挂手臂的底座具备快速拆装功能,可任意背墙位置定位和固定。</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个</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9"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15</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键盘托</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1.名称:键盘托盘</w:t>
            </w:r>
            <w:r>
              <w:rPr>
                <w:rFonts w:hint="eastAsia"/>
                <w:sz w:val="21"/>
                <w:szCs w:val="21"/>
              </w:rPr>
              <w:br w:type="textWrapping"/>
            </w:r>
            <w:r>
              <w:rPr>
                <w:rFonts w:hint="eastAsia"/>
                <w:sz w:val="21"/>
                <w:szCs w:val="21"/>
              </w:rPr>
              <w:t>2.参数及功能:抽拉式键盘托盘,金属材质,使用优质滚珠导轨,抽拉灵活,左右晃动少;前端边缘位置应设计有柔性皮制腕垫,保护皮肤不受伤害,长时间使用手腕亦无疲劳感。</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个</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8"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16</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主机托盘</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扣式主机托盘安装在框架上,固定方式;托盘上方放置主机处理器;托盘上开有过线孔,方便线路布置和散热通风</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个</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17</w:t>
            </w:r>
          </w:p>
        </w:tc>
        <w:tc>
          <w:tcPr>
            <w:tcW w:w="774"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运输及安装</w:t>
            </w:r>
          </w:p>
        </w:tc>
        <w:tc>
          <w:tcPr>
            <w:tcW w:w="6456" w:type="dxa"/>
            <w:tcBorders>
              <w:top w:val="nil"/>
              <w:left w:val="nil"/>
              <w:bottom w:val="single" w:color="auto" w:sz="4" w:space="0"/>
              <w:right w:val="single" w:color="auto" w:sz="4" w:space="0"/>
            </w:tcBorders>
            <w:vAlign w:val="center"/>
          </w:tcPr>
          <w:p>
            <w:pPr>
              <w:widowControl/>
              <w:spacing w:line="0" w:lineRule="atLeast"/>
              <w:rPr>
                <w:color w:val="000000"/>
                <w:sz w:val="21"/>
                <w:szCs w:val="21"/>
              </w:rPr>
            </w:pPr>
            <w:r>
              <w:rPr>
                <w:rFonts w:hint="eastAsia"/>
                <w:color w:val="000000"/>
                <w:sz w:val="21"/>
                <w:szCs w:val="21"/>
              </w:rPr>
              <w:t>定制控制台长途运输及现场安装</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项</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18</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隔断墙</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石膏板隔断</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9"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19</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隔断墙墙漆</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采用立邦乳胶漆，按照立邦工艺制作。工艺说明：铲除墙皮，粉刷墙固胶一遍。批刮腻子两遍，打磨，刷漆两遍。</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33.1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20</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隔断墙暗门</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现场用板材制作暗门</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项</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21</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背景墙</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铝塑板采用公安蓝配色背景，定制徽章标语</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22</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背景墙暗门</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现场用板材结合铝塑板制作暗门</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项</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23</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陶瓷防静电地板</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电性能稳定，外形尺寸精度较高，经久耐用和防火，承载力强，高耐磨：优质陶瓷贴面，耐磨性能强：</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168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675" w:type="dxa"/>
            <w:tcBorders>
              <w:top w:val="nil"/>
              <w:left w:val="single" w:color="auto" w:sz="4" w:space="0"/>
              <w:bottom w:val="single" w:color="auto" w:sz="4" w:space="0"/>
              <w:right w:val="single" w:color="auto" w:sz="4" w:space="0"/>
            </w:tcBorders>
            <w:shd w:val="clear" w:color="FFFFFF" w:fill="FFFFFF"/>
            <w:vAlign w:val="center"/>
          </w:tcPr>
          <w:p>
            <w:pPr>
              <w:widowControl/>
              <w:spacing w:line="0" w:lineRule="atLeast"/>
              <w:jc w:val="center"/>
              <w:rPr>
                <w:sz w:val="21"/>
                <w:szCs w:val="21"/>
              </w:rPr>
            </w:pPr>
            <w:r>
              <w:rPr>
                <w:rFonts w:hint="eastAsia"/>
                <w:sz w:val="21"/>
                <w:szCs w:val="21"/>
              </w:rPr>
              <w:t>24</w:t>
            </w:r>
          </w:p>
        </w:tc>
        <w:tc>
          <w:tcPr>
            <w:tcW w:w="774" w:type="dxa"/>
            <w:tcBorders>
              <w:top w:val="nil"/>
              <w:left w:val="nil"/>
              <w:bottom w:val="single" w:color="auto" w:sz="4" w:space="0"/>
              <w:right w:val="single" w:color="auto" w:sz="4" w:space="0"/>
            </w:tcBorders>
            <w:shd w:val="clear" w:color="auto" w:fill="auto"/>
            <w:vAlign w:val="center"/>
          </w:tcPr>
          <w:p>
            <w:pPr>
              <w:widowControl/>
              <w:spacing w:line="0" w:lineRule="atLeast"/>
              <w:jc w:val="center"/>
              <w:rPr>
                <w:color w:val="000000"/>
                <w:sz w:val="21"/>
                <w:szCs w:val="21"/>
              </w:rPr>
            </w:pPr>
            <w:r>
              <w:rPr>
                <w:rFonts w:hint="eastAsia"/>
                <w:color w:val="000000"/>
                <w:sz w:val="21"/>
                <w:szCs w:val="21"/>
              </w:rPr>
              <w:t>集成费用</w:t>
            </w:r>
          </w:p>
        </w:tc>
        <w:tc>
          <w:tcPr>
            <w:tcW w:w="6456" w:type="dxa"/>
            <w:tcBorders>
              <w:top w:val="nil"/>
              <w:left w:val="nil"/>
              <w:bottom w:val="single" w:color="auto" w:sz="4" w:space="0"/>
              <w:right w:val="single" w:color="auto" w:sz="4" w:space="0"/>
            </w:tcBorders>
            <w:shd w:val="clear" w:color="FFFFFF" w:fill="FFFFFF"/>
            <w:vAlign w:val="center"/>
          </w:tcPr>
          <w:p>
            <w:pPr>
              <w:widowControl/>
              <w:spacing w:line="0" w:lineRule="atLeast"/>
              <w:rPr>
                <w:sz w:val="21"/>
                <w:szCs w:val="21"/>
              </w:rPr>
            </w:pPr>
            <w:r>
              <w:rPr>
                <w:rFonts w:hint="eastAsia"/>
                <w:sz w:val="21"/>
                <w:szCs w:val="21"/>
              </w:rPr>
              <w:t>设备安装调试，老旧地板拆除，办公家具搬迁，电路改造，机箱机柜，电工胶布、焊锡、热缩管、支架、插座、葫芦架、电源线、网线、钢丝绳等各类线材</w:t>
            </w:r>
          </w:p>
        </w:tc>
        <w:tc>
          <w:tcPr>
            <w:tcW w:w="79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项</w:t>
            </w:r>
          </w:p>
        </w:tc>
        <w:tc>
          <w:tcPr>
            <w:tcW w:w="636" w:type="dxa"/>
            <w:tcBorders>
              <w:top w:val="nil"/>
              <w:left w:val="nil"/>
              <w:bottom w:val="single" w:color="auto" w:sz="4" w:space="0"/>
              <w:right w:val="single" w:color="auto" w:sz="4" w:space="0"/>
            </w:tcBorders>
            <w:vAlign w:val="center"/>
          </w:tcPr>
          <w:p>
            <w:pPr>
              <w:widowControl/>
              <w:spacing w:line="0" w:lineRule="atLeast"/>
              <w:jc w:val="center"/>
              <w:rPr>
                <w:color w:val="000000"/>
                <w:sz w:val="21"/>
                <w:szCs w:val="21"/>
              </w:rPr>
            </w:pPr>
            <w:r>
              <w:rPr>
                <w:rFonts w:hint="eastAsia"/>
                <w:color w:val="000000"/>
                <w:sz w:val="21"/>
                <w:szCs w:val="21"/>
              </w:rPr>
              <w:t>1</w:t>
            </w:r>
          </w:p>
        </w:tc>
      </w:tr>
    </w:tbl>
    <w:p>
      <w:pPr>
        <w:pStyle w:val="2"/>
        <w:ind w:firstLine="220"/>
      </w:pPr>
    </w:p>
    <w:p>
      <w:pPr>
        <w:pStyle w:val="13"/>
        <w:ind w:firstLine="2249" w:firstLineChars="700"/>
        <w:rPr>
          <w:b/>
          <w:bCs/>
          <w:sz w:val="32"/>
          <w:szCs w:val="32"/>
          <w:lang w:val="en-US"/>
        </w:rPr>
      </w:pPr>
    </w:p>
    <w:p>
      <w:pPr>
        <w:pStyle w:val="13"/>
        <w:ind w:firstLine="1260" w:firstLineChars="700"/>
        <w:sectPr>
          <w:pgSz w:w="11850" w:h="16790"/>
          <w:pgMar w:top="1560" w:right="1180" w:bottom="920" w:left="1580" w:header="0" w:footer="721" w:gutter="0"/>
          <w:cols w:space="720" w:num="1"/>
        </w:sectPr>
      </w:pPr>
    </w:p>
    <w:p>
      <w:pPr>
        <w:pStyle w:val="5"/>
        <w:tabs>
          <w:tab w:val="left" w:pos="1607"/>
        </w:tabs>
        <w:spacing w:before="41"/>
      </w:pPr>
      <w:bookmarkStart w:id="54" w:name="第五部分__谈判文件格式"/>
      <w:bookmarkEnd w:id="54"/>
    </w:p>
    <w:p/>
    <w:p>
      <w:pPr>
        <w:pStyle w:val="2"/>
        <w:ind w:firstLine="220"/>
      </w:pPr>
    </w:p>
    <w:p>
      <w:pPr>
        <w:pStyle w:val="2"/>
        <w:ind w:firstLine="220"/>
      </w:pPr>
    </w:p>
    <w:p>
      <w:pPr>
        <w:pStyle w:val="2"/>
        <w:ind w:firstLine="220"/>
      </w:pPr>
    </w:p>
    <w:p>
      <w:pPr>
        <w:pStyle w:val="2"/>
        <w:ind w:firstLine="220"/>
      </w:pPr>
    </w:p>
    <w:p>
      <w:pPr>
        <w:pStyle w:val="2"/>
        <w:ind w:firstLine="220"/>
      </w:pPr>
    </w:p>
    <w:p>
      <w:pPr>
        <w:pStyle w:val="5"/>
        <w:tabs>
          <w:tab w:val="left" w:pos="1607"/>
        </w:tabs>
        <w:spacing w:before="41"/>
      </w:pPr>
    </w:p>
    <w:p>
      <w:pPr>
        <w:pStyle w:val="5"/>
        <w:tabs>
          <w:tab w:val="left" w:pos="1607"/>
        </w:tabs>
        <w:spacing w:before="41"/>
      </w:pPr>
      <w:r>
        <w:rPr>
          <w:rFonts w:hint="eastAsia"/>
        </w:rPr>
        <w:t>第五部分</w:t>
      </w:r>
      <w:r>
        <w:rPr>
          <w:rFonts w:hint="eastAsia"/>
        </w:rPr>
        <w:tab/>
      </w:r>
      <w:r>
        <w:rPr>
          <w:rFonts w:hint="eastAsia"/>
        </w:rPr>
        <w:t>谈判文件格式</w:t>
      </w:r>
    </w:p>
    <w:p>
      <w:pPr>
        <w:pStyle w:val="9"/>
        <w:rPr>
          <w:b/>
          <w:sz w:val="20"/>
        </w:rPr>
      </w:pPr>
    </w:p>
    <w:p>
      <w:pPr>
        <w:pStyle w:val="9"/>
        <w:spacing w:before="7"/>
        <w:rPr>
          <w:b/>
          <w:sz w:val="19"/>
        </w:rPr>
      </w:pPr>
    </w:p>
    <w:p>
      <w:pPr>
        <w:sectPr>
          <w:pgSz w:w="11850" w:h="16790"/>
          <w:pgMar w:top="1400" w:right="1180" w:bottom="920" w:left="1580" w:header="0" w:footer="721" w:gutter="0"/>
          <w:cols w:space="720" w:num="1"/>
        </w:sectPr>
      </w:pPr>
    </w:p>
    <w:p>
      <w:pPr>
        <w:adjustRightInd w:val="0"/>
        <w:rPr>
          <w:sz w:val="28"/>
          <w:szCs w:val="28"/>
        </w:rPr>
      </w:pPr>
      <w:r>
        <w:rPr>
          <w:rFonts w:hint="eastAsia" w:cs="黑体"/>
          <w:sz w:val="28"/>
          <w:szCs w:val="28"/>
        </w:rPr>
        <w:t>附件１：</w:t>
      </w:r>
    </w:p>
    <w:p>
      <w:pPr>
        <w:adjustRightInd w:val="0"/>
        <w:spacing w:after="269"/>
        <w:jc w:val="center"/>
        <w:rPr>
          <w:b/>
          <w:bCs/>
          <w:sz w:val="32"/>
          <w:szCs w:val="32"/>
        </w:rPr>
      </w:pPr>
      <w:r>
        <w:rPr>
          <w:rFonts w:hint="eastAsia"/>
          <w:b/>
          <w:bCs/>
          <w:sz w:val="32"/>
          <w:szCs w:val="32"/>
        </w:rPr>
        <w:t>谈判响应函</w:t>
      </w:r>
    </w:p>
    <w:p>
      <w:pPr>
        <w:adjustRightInd w:val="0"/>
        <w:spacing w:line="360" w:lineRule="auto"/>
        <w:rPr>
          <w:sz w:val="24"/>
          <w:szCs w:val="24"/>
        </w:rPr>
      </w:pPr>
      <w:r>
        <w:rPr>
          <w:rFonts w:hint="eastAsia" w:cs="仿宋_GB2312"/>
          <w:sz w:val="24"/>
          <w:szCs w:val="24"/>
        </w:rPr>
        <w:t>致：周口市公共资源交易中心（政府采购中心）</w:t>
      </w:r>
    </w:p>
    <w:p>
      <w:pPr>
        <w:adjustRightInd w:val="0"/>
        <w:spacing w:line="360" w:lineRule="auto"/>
        <w:ind w:firstLine="560"/>
        <w:rPr>
          <w:rFonts w:cs="仿宋_GB2312"/>
          <w:sz w:val="24"/>
          <w:szCs w:val="24"/>
        </w:rPr>
      </w:pPr>
      <w:r>
        <w:rPr>
          <w:rFonts w:hint="eastAsia" w:cs="仿宋_GB2312"/>
          <w:sz w:val="24"/>
          <w:szCs w:val="24"/>
        </w:rPr>
        <w:t>根据贵方谈判邀请函，签字代表</w:t>
      </w:r>
      <w:r>
        <w:rPr>
          <w:rFonts w:hint="eastAsia" w:cs="仿宋_GB2312"/>
          <w:sz w:val="24"/>
          <w:szCs w:val="24"/>
          <w:u w:val="single"/>
          <w:lang w:val="en-US"/>
        </w:rPr>
        <w:t xml:space="preserve">          </w:t>
      </w:r>
      <w:r>
        <w:rPr>
          <w:rFonts w:hint="eastAsia" w:cs="仿宋_GB2312"/>
          <w:sz w:val="24"/>
          <w:szCs w:val="24"/>
        </w:rPr>
        <w:t>（全名、职务）经正式授权并代表谈判供应商（</w:t>
      </w:r>
      <w:r>
        <w:rPr>
          <w:rFonts w:hint="eastAsia" w:cs="仿宋_GB2312"/>
          <w:sz w:val="24"/>
          <w:szCs w:val="24"/>
          <w:u w:val="single"/>
        </w:rPr>
        <w:t xml:space="preserve">谈判供应商名称  </w:t>
      </w:r>
      <w:r>
        <w:rPr>
          <w:rFonts w:hint="eastAsia" w:cs="仿宋_GB2312"/>
          <w:sz w:val="24"/>
          <w:szCs w:val="24"/>
        </w:rPr>
        <w:t>、</w:t>
      </w:r>
      <w:r>
        <w:rPr>
          <w:rFonts w:hint="eastAsia" w:cs="仿宋_GB2312"/>
          <w:sz w:val="24"/>
          <w:szCs w:val="24"/>
          <w:u w:val="single"/>
        </w:rPr>
        <w:t xml:space="preserve">地址   </w:t>
      </w:r>
      <w:r>
        <w:rPr>
          <w:rFonts w:hint="eastAsia" w:cs="仿宋_GB2312"/>
          <w:sz w:val="24"/>
          <w:szCs w:val="24"/>
        </w:rPr>
        <w:t>）提交下述文件，并对之负法律责任。</w:t>
      </w:r>
    </w:p>
    <w:p>
      <w:pPr>
        <w:adjustRightInd w:val="0"/>
        <w:spacing w:line="360" w:lineRule="auto"/>
        <w:ind w:firstLine="480" w:firstLineChars="200"/>
        <w:rPr>
          <w:sz w:val="24"/>
          <w:szCs w:val="24"/>
        </w:rPr>
      </w:pPr>
      <w:r>
        <w:rPr>
          <w:rFonts w:cs="仿宋_GB2312"/>
          <w:sz w:val="24"/>
          <w:szCs w:val="24"/>
        </w:rPr>
        <w:t>(</w:t>
      </w:r>
      <w:r>
        <w:rPr>
          <w:rFonts w:hint="eastAsia" w:cs="仿宋_GB2312"/>
          <w:sz w:val="24"/>
          <w:szCs w:val="24"/>
        </w:rPr>
        <w:t>1</w:t>
      </w:r>
      <w:r>
        <w:rPr>
          <w:rFonts w:cs="仿宋_GB2312"/>
          <w:sz w:val="24"/>
          <w:szCs w:val="24"/>
        </w:rPr>
        <w:t>)</w:t>
      </w:r>
      <w:r>
        <w:rPr>
          <w:rFonts w:hint="eastAsia" w:cs="仿宋_GB2312"/>
          <w:sz w:val="24"/>
          <w:szCs w:val="24"/>
        </w:rPr>
        <w:t>谈判响应函</w:t>
      </w:r>
    </w:p>
    <w:p>
      <w:pPr>
        <w:adjustRightInd w:val="0"/>
        <w:spacing w:line="360" w:lineRule="auto"/>
        <w:ind w:firstLine="480" w:firstLineChars="200"/>
        <w:rPr>
          <w:sz w:val="24"/>
          <w:szCs w:val="24"/>
        </w:rPr>
      </w:pPr>
      <w:r>
        <w:rPr>
          <w:rFonts w:cs="仿宋_GB2312"/>
          <w:sz w:val="24"/>
          <w:szCs w:val="24"/>
        </w:rPr>
        <w:t>(</w:t>
      </w:r>
      <w:r>
        <w:rPr>
          <w:rFonts w:hint="eastAsia" w:cs="仿宋_GB2312"/>
          <w:sz w:val="24"/>
          <w:szCs w:val="24"/>
        </w:rPr>
        <w:t>2</w:t>
      </w:r>
      <w:r>
        <w:rPr>
          <w:rFonts w:cs="仿宋_GB2312"/>
          <w:sz w:val="24"/>
          <w:szCs w:val="24"/>
        </w:rPr>
        <w:t>)</w:t>
      </w:r>
      <w:r>
        <w:rPr>
          <w:rFonts w:hint="eastAsia" w:cs="仿宋_GB2312"/>
          <w:sz w:val="24"/>
          <w:szCs w:val="24"/>
        </w:rPr>
        <w:t>谈判价格一览表</w:t>
      </w:r>
    </w:p>
    <w:p>
      <w:pPr>
        <w:adjustRightInd w:val="0"/>
        <w:spacing w:line="360" w:lineRule="auto"/>
        <w:ind w:firstLine="480" w:firstLineChars="200"/>
        <w:rPr>
          <w:sz w:val="24"/>
          <w:szCs w:val="24"/>
        </w:rPr>
      </w:pPr>
      <w:r>
        <w:rPr>
          <w:rFonts w:cs="仿宋_GB2312"/>
          <w:sz w:val="24"/>
          <w:szCs w:val="24"/>
        </w:rPr>
        <w:t>(</w:t>
      </w:r>
      <w:r>
        <w:rPr>
          <w:rFonts w:hint="eastAsia" w:cs="仿宋_GB2312"/>
          <w:sz w:val="24"/>
          <w:szCs w:val="24"/>
        </w:rPr>
        <w:t>3</w:t>
      </w:r>
      <w:r>
        <w:rPr>
          <w:rFonts w:cs="仿宋_GB2312"/>
          <w:sz w:val="24"/>
          <w:szCs w:val="24"/>
        </w:rPr>
        <w:t>)</w:t>
      </w:r>
      <w:r>
        <w:rPr>
          <w:rFonts w:hint="eastAsia" w:cs="仿宋_GB2312"/>
          <w:sz w:val="24"/>
          <w:szCs w:val="24"/>
        </w:rPr>
        <w:t>谈判响应报价表</w:t>
      </w:r>
    </w:p>
    <w:p>
      <w:pPr>
        <w:adjustRightInd w:val="0"/>
        <w:spacing w:line="360" w:lineRule="auto"/>
        <w:ind w:firstLine="480" w:firstLineChars="200"/>
        <w:rPr>
          <w:rFonts w:cs="仿宋_GB2312"/>
          <w:sz w:val="24"/>
          <w:szCs w:val="24"/>
        </w:rPr>
      </w:pPr>
      <w:r>
        <w:rPr>
          <w:rFonts w:cs="仿宋_GB2312"/>
          <w:sz w:val="24"/>
          <w:szCs w:val="24"/>
        </w:rPr>
        <w:t>(</w:t>
      </w:r>
      <w:r>
        <w:rPr>
          <w:rFonts w:hint="eastAsia" w:cs="仿宋_GB2312"/>
          <w:sz w:val="24"/>
          <w:szCs w:val="24"/>
        </w:rPr>
        <w:t>4</w:t>
      </w:r>
      <w:r>
        <w:rPr>
          <w:rFonts w:cs="仿宋_GB2312"/>
          <w:sz w:val="24"/>
          <w:szCs w:val="24"/>
        </w:rPr>
        <w:t>)</w:t>
      </w:r>
      <w:r>
        <w:rPr>
          <w:rFonts w:hint="eastAsia" w:cs="仿宋_GB2312"/>
          <w:sz w:val="24"/>
          <w:szCs w:val="24"/>
        </w:rPr>
        <w:t>技术偏差表</w:t>
      </w:r>
    </w:p>
    <w:p>
      <w:pPr>
        <w:adjustRightInd w:val="0"/>
        <w:spacing w:line="360" w:lineRule="auto"/>
        <w:ind w:firstLine="480" w:firstLineChars="200"/>
        <w:rPr>
          <w:rFonts w:cs="仿宋_GB2312"/>
          <w:sz w:val="24"/>
          <w:szCs w:val="24"/>
        </w:rPr>
      </w:pPr>
      <w:r>
        <w:rPr>
          <w:rFonts w:cs="仿宋_GB2312"/>
          <w:sz w:val="24"/>
          <w:szCs w:val="24"/>
        </w:rPr>
        <w:t>(</w:t>
      </w:r>
      <w:r>
        <w:rPr>
          <w:rFonts w:hint="eastAsia" w:cs="仿宋_GB2312"/>
          <w:sz w:val="24"/>
          <w:szCs w:val="24"/>
        </w:rPr>
        <w:t>5</w:t>
      </w:r>
      <w:r>
        <w:rPr>
          <w:rFonts w:cs="仿宋_GB2312"/>
          <w:sz w:val="24"/>
          <w:szCs w:val="24"/>
        </w:rPr>
        <w:t>)</w:t>
      </w:r>
      <w:r>
        <w:rPr>
          <w:rFonts w:hint="eastAsia" w:cs="仿宋_GB2312"/>
          <w:sz w:val="24"/>
          <w:szCs w:val="24"/>
        </w:rPr>
        <w:t>服务承诺</w:t>
      </w:r>
    </w:p>
    <w:p>
      <w:pPr>
        <w:adjustRightInd w:val="0"/>
        <w:spacing w:line="360" w:lineRule="auto"/>
        <w:ind w:firstLine="480" w:firstLineChars="200"/>
        <w:rPr>
          <w:rFonts w:cs="仿宋_GB2312"/>
          <w:sz w:val="24"/>
          <w:szCs w:val="24"/>
        </w:rPr>
      </w:pPr>
      <w:r>
        <w:rPr>
          <w:rFonts w:cs="仿宋_GB2312"/>
          <w:sz w:val="24"/>
          <w:szCs w:val="24"/>
        </w:rPr>
        <w:t>(</w:t>
      </w:r>
      <w:r>
        <w:rPr>
          <w:rFonts w:hint="eastAsia" w:cs="仿宋_GB2312"/>
          <w:sz w:val="24"/>
          <w:szCs w:val="24"/>
        </w:rPr>
        <w:t>6</w:t>
      </w:r>
      <w:r>
        <w:rPr>
          <w:rFonts w:cs="仿宋_GB2312"/>
          <w:sz w:val="24"/>
          <w:szCs w:val="24"/>
        </w:rPr>
        <w:t>)</w:t>
      </w:r>
      <w:r>
        <w:rPr>
          <w:rFonts w:hint="eastAsia" w:cs="仿宋_GB2312"/>
          <w:sz w:val="24"/>
          <w:szCs w:val="24"/>
        </w:rPr>
        <w:t>关于资格的声明函</w:t>
      </w:r>
    </w:p>
    <w:p>
      <w:pPr>
        <w:adjustRightInd w:val="0"/>
        <w:spacing w:line="360" w:lineRule="auto"/>
        <w:ind w:firstLine="480" w:firstLineChars="200"/>
        <w:rPr>
          <w:rFonts w:cs="仿宋_GB2312"/>
          <w:sz w:val="24"/>
          <w:szCs w:val="24"/>
        </w:rPr>
      </w:pPr>
      <w:r>
        <w:rPr>
          <w:rFonts w:cs="仿宋_GB2312"/>
          <w:sz w:val="24"/>
          <w:szCs w:val="24"/>
        </w:rPr>
        <w:t>(</w:t>
      </w:r>
      <w:r>
        <w:rPr>
          <w:rFonts w:hint="eastAsia" w:cs="仿宋_GB2312"/>
          <w:sz w:val="24"/>
          <w:szCs w:val="24"/>
        </w:rPr>
        <w:t>7</w:t>
      </w:r>
      <w:r>
        <w:rPr>
          <w:rFonts w:cs="仿宋_GB2312"/>
          <w:sz w:val="24"/>
          <w:szCs w:val="24"/>
        </w:rPr>
        <w:t>)</w:t>
      </w:r>
      <w:r>
        <w:rPr>
          <w:rFonts w:hint="eastAsia" w:cs="仿宋_GB2312"/>
          <w:sz w:val="24"/>
          <w:szCs w:val="24"/>
        </w:rPr>
        <w:t>授权委托书</w:t>
      </w:r>
    </w:p>
    <w:p>
      <w:pPr>
        <w:adjustRightInd w:val="0"/>
        <w:spacing w:line="360" w:lineRule="auto"/>
        <w:ind w:firstLine="480" w:firstLineChars="200"/>
        <w:rPr>
          <w:rFonts w:cs="仿宋_GB2312"/>
          <w:sz w:val="24"/>
          <w:szCs w:val="24"/>
        </w:rPr>
      </w:pPr>
      <w:r>
        <w:rPr>
          <w:rFonts w:hint="eastAsia" w:cs="仿宋_GB2312"/>
          <w:sz w:val="24"/>
          <w:szCs w:val="24"/>
        </w:rPr>
        <w:t>（8）资格证明文件</w:t>
      </w:r>
    </w:p>
    <w:p>
      <w:pPr>
        <w:adjustRightInd w:val="0"/>
        <w:spacing w:line="360" w:lineRule="auto"/>
        <w:ind w:firstLine="480" w:firstLineChars="200"/>
        <w:rPr>
          <w:rFonts w:cs="仿宋_GB2312"/>
          <w:sz w:val="24"/>
          <w:szCs w:val="24"/>
        </w:rPr>
      </w:pPr>
      <w:r>
        <w:rPr>
          <w:rFonts w:hint="eastAsia" w:cs="仿宋_GB2312"/>
          <w:sz w:val="24"/>
          <w:szCs w:val="24"/>
        </w:rPr>
        <w:t>（</w:t>
      </w:r>
      <w:r>
        <w:rPr>
          <w:rFonts w:hint="eastAsia" w:cs="仿宋_GB2312"/>
          <w:sz w:val="24"/>
          <w:szCs w:val="24"/>
          <w:lang w:val="en-US"/>
        </w:rPr>
        <w:t>9</w:t>
      </w:r>
      <w:r>
        <w:rPr>
          <w:rFonts w:hint="eastAsia" w:cs="仿宋_GB2312"/>
          <w:sz w:val="24"/>
          <w:szCs w:val="24"/>
        </w:rPr>
        <w:t>）其他资料</w:t>
      </w:r>
    </w:p>
    <w:p>
      <w:pPr>
        <w:adjustRightInd w:val="0"/>
        <w:spacing w:line="360" w:lineRule="auto"/>
        <w:rPr>
          <w:sz w:val="24"/>
          <w:szCs w:val="24"/>
        </w:rPr>
      </w:pPr>
      <w:r>
        <w:rPr>
          <w:rFonts w:hint="eastAsia" w:cs="仿宋_GB2312"/>
          <w:sz w:val="24"/>
          <w:szCs w:val="24"/>
        </w:rPr>
        <w:t>据此函，签字代表宣布同意如下：</w:t>
      </w:r>
    </w:p>
    <w:p>
      <w:pPr>
        <w:adjustRightInd w:val="0"/>
        <w:spacing w:line="360" w:lineRule="auto"/>
        <w:rPr>
          <w:sz w:val="24"/>
          <w:szCs w:val="24"/>
        </w:rPr>
      </w:pPr>
      <w:r>
        <w:rPr>
          <w:rFonts w:cs="仿宋_GB2312"/>
          <w:sz w:val="24"/>
          <w:szCs w:val="24"/>
        </w:rPr>
        <w:t xml:space="preserve">    1</w:t>
      </w:r>
      <w:r>
        <w:rPr>
          <w:rFonts w:hint="eastAsia" w:cs="仿宋_GB2312"/>
          <w:sz w:val="24"/>
          <w:szCs w:val="24"/>
        </w:rPr>
        <w:t>、所附谈判响应报价表中规定的应提供和交付的货物总价为人民币</w:t>
      </w:r>
      <w:r>
        <w:rPr>
          <w:rFonts w:hint="eastAsia" w:cs="仿宋_GB2312"/>
          <w:sz w:val="24"/>
          <w:szCs w:val="24"/>
          <w:u w:val="single"/>
          <w:lang w:val="en-US"/>
        </w:rPr>
        <w:t xml:space="preserve">      </w:t>
      </w:r>
      <w:r>
        <w:rPr>
          <w:rFonts w:hint="eastAsia" w:cs="仿宋_GB2312"/>
          <w:sz w:val="24"/>
          <w:szCs w:val="24"/>
        </w:rPr>
        <w:t>，即（大写）</w:t>
      </w:r>
      <w:r>
        <w:rPr>
          <w:rFonts w:hint="eastAsia" w:cs="仿宋_GB2312"/>
          <w:sz w:val="24"/>
          <w:szCs w:val="24"/>
          <w:u w:val="single"/>
          <w:lang w:val="en-US"/>
        </w:rPr>
        <w:t xml:space="preserve">        </w:t>
      </w:r>
      <w:r>
        <w:rPr>
          <w:rFonts w:hint="eastAsia" w:cs="仿宋_GB2312"/>
          <w:sz w:val="24"/>
          <w:szCs w:val="24"/>
        </w:rPr>
        <w:t>。</w:t>
      </w:r>
    </w:p>
    <w:p>
      <w:pPr>
        <w:adjustRightInd w:val="0"/>
        <w:spacing w:line="360" w:lineRule="auto"/>
        <w:rPr>
          <w:sz w:val="24"/>
          <w:szCs w:val="24"/>
        </w:rPr>
      </w:pPr>
      <w:r>
        <w:rPr>
          <w:rFonts w:cs="仿宋_GB2312"/>
          <w:sz w:val="24"/>
          <w:szCs w:val="24"/>
        </w:rPr>
        <w:t xml:space="preserve">    2</w:t>
      </w:r>
      <w:r>
        <w:rPr>
          <w:rFonts w:hint="eastAsia" w:cs="仿宋_GB2312"/>
          <w:sz w:val="24"/>
          <w:szCs w:val="24"/>
        </w:rPr>
        <w:t>、如果我们的谈判响应文件被接受，我们将履行谈判文件中规定的每一项要求，按期、按质、按量履行合同。</w:t>
      </w:r>
    </w:p>
    <w:p>
      <w:pPr>
        <w:adjustRightInd w:val="0"/>
        <w:spacing w:line="360" w:lineRule="auto"/>
        <w:rPr>
          <w:sz w:val="24"/>
          <w:szCs w:val="24"/>
        </w:rPr>
      </w:pPr>
      <w:r>
        <w:rPr>
          <w:rFonts w:cs="仿宋_GB2312"/>
          <w:sz w:val="24"/>
          <w:szCs w:val="24"/>
        </w:rPr>
        <w:t xml:space="preserve">    3</w:t>
      </w:r>
      <w:r>
        <w:rPr>
          <w:rFonts w:hint="eastAsia" w:cs="仿宋_GB2312"/>
          <w:sz w:val="24"/>
          <w:szCs w:val="24"/>
        </w:rPr>
        <w:t>、我方愿按《中华人民共和国合同法》履行我方的全部责任。</w:t>
      </w:r>
    </w:p>
    <w:p>
      <w:pPr>
        <w:adjustRightInd w:val="0"/>
        <w:spacing w:line="360" w:lineRule="auto"/>
        <w:rPr>
          <w:sz w:val="24"/>
          <w:szCs w:val="24"/>
        </w:rPr>
      </w:pPr>
      <w:r>
        <w:rPr>
          <w:rFonts w:cs="仿宋_GB2312"/>
          <w:sz w:val="24"/>
          <w:szCs w:val="24"/>
        </w:rPr>
        <w:t xml:space="preserve">    4</w:t>
      </w:r>
      <w:r>
        <w:rPr>
          <w:rFonts w:hint="eastAsia" w:cs="仿宋_GB2312"/>
          <w:sz w:val="24"/>
          <w:szCs w:val="24"/>
        </w:rPr>
        <w:t>、谈判供应商已详细审查全部谈判文件，包括修改文件以及全部参考资料和有关附件。我们完全理解并同意放弃对这方面有不明及误解的权力。</w:t>
      </w:r>
    </w:p>
    <w:p>
      <w:pPr>
        <w:adjustRightInd w:val="0"/>
        <w:spacing w:line="360" w:lineRule="auto"/>
        <w:rPr>
          <w:sz w:val="24"/>
          <w:szCs w:val="24"/>
        </w:rPr>
      </w:pPr>
      <w:r>
        <w:rPr>
          <w:rFonts w:cs="仿宋_GB2312"/>
          <w:sz w:val="24"/>
          <w:szCs w:val="24"/>
        </w:rPr>
        <w:t xml:space="preserve">    5</w:t>
      </w:r>
      <w:r>
        <w:rPr>
          <w:rFonts w:hint="eastAsia" w:cs="仿宋_GB2312"/>
          <w:sz w:val="24"/>
          <w:szCs w:val="24"/>
        </w:rPr>
        <w:t>、本投标自谈判开始日起有效期为</w:t>
      </w:r>
      <w:r>
        <w:rPr>
          <w:rFonts w:cs="仿宋_GB2312"/>
          <w:sz w:val="24"/>
          <w:szCs w:val="24"/>
        </w:rPr>
        <w:t>60</w:t>
      </w:r>
      <w:r>
        <w:rPr>
          <w:rFonts w:hint="eastAsia" w:cs="仿宋_GB2312"/>
          <w:sz w:val="24"/>
          <w:szCs w:val="24"/>
        </w:rPr>
        <w:t>天内。</w:t>
      </w:r>
    </w:p>
    <w:p>
      <w:pPr>
        <w:adjustRightInd w:val="0"/>
        <w:spacing w:line="360" w:lineRule="auto"/>
        <w:rPr>
          <w:sz w:val="24"/>
          <w:szCs w:val="24"/>
        </w:rPr>
      </w:pPr>
      <w:r>
        <w:rPr>
          <w:rFonts w:cs="仿宋_GB2312"/>
          <w:sz w:val="24"/>
          <w:szCs w:val="24"/>
        </w:rPr>
        <w:t xml:space="preserve">    6</w:t>
      </w:r>
      <w:r>
        <w:rPr>
          <w:rFonts w:hint="eastAsia" w:cs="仿宋_GB2312"/>
          <w:sz w:val="24"/>
          <w:szCs w:val="24"/>
        </w:rPr>
        <w:t>、如果在规定的谈判时间后，我方在谈判响应有效期内撤回谈判响应文件，谈判保证金将被贵方没收。</w:t>
      </w:r>
    </w:p>
    <w:p>
      <w:pPr>
        <w:adjustRightInd w:val="0"/>
        <w:spacing w:line="360" w:lineRule="auto"/>
        <w:rPr>
          <w:sz w:val="24"/>
          <w:szCs w:val="24"/>
        </w:rPr>
      </w:pPr>
      <w:r>
        <w:rPr>
          <w:rFonts w:cs="仿宋_GB2312"/>
          <w:sz w:val="24"/>
          <w:szCs w:val="24"/>
        </w:rPr>
        <w:t xml:space="preserve">    7</w:t>
      </w:r>
      <w:r>
        <w:rPr>
          <w:rFonts w:hint="eastAsia" w:cs="仿宋_GB2312"/>
          <w:sz w:val="24"/>
          <w:szCs w:val="24"/>
        </w:rPr>
        <w:t>、谈判供应商同意提供按照贵方可能要求的与其谈判有关的一切数据或资料，理解贵方不一定要接受最低价的谈判。</w:t>
      </w:r>
    </w:p>
    <w:p>
      <w:pPr>
        <w:adjustRightInd w:val="0"/>
        <w:spacing w:line="360" w:lineRule="auto"/>
        <w:rPr>
          <w:b/>
          <w:bCs/>
          <w:sz w:val="24"/>
          <w:szCs w:val="24"/>
        </w:rPr>
      </w:pPr>
      <w:r>
        <w:rPr>
          <w:rFonts w:cs="仿宋_GB2312"/>
          <w:b/>
          <w:bCs/>
          <w:sz w:val="24"/>
          <w:szCs w:val="24"/>
        </w:rPr>
        <w:t xml:space="preserve">    8</w:t>
      </w:r>
      <w:r>
        <w:rPr>
          <w:rFonts w:hint="eastAsia" w:cs="仿宋_GB2312"/>
          <w:b/>
          <w:bCs/>
          <w:sz w:val="24"/>
          <w:szCs w:val="24"/>
        </w:rPr>
        <w:t>、我方保证谈判响应文件中的所有资料均为真实、有效的，如有虚假，我方承诺谈判响应文件无效并愿承担一切责任。</w:t>
      </w:r>
    </w:p>
    <w:p>
      <w:pPr>
        <w:adjustRightInd w:val="0"/>
        <w:spacing w:line="360" w:lineRule="auto"/>
        <w:ind w:firstLine="565"/>
        <w:rPr>
          <w:sz w:val="24"/>
          <w:szCs w:val="24"/>
          <w:u w:val="single"/>
        </w:rPr>
      </w:pPr>
      <w:r>
        <w:rPr>
          <w:rFonts w:cs="仿宋_GB2312"/>
          <w:sz w:val="24"/>
          <w:szCs w:val="24"/>
        </w:rPr>
        <w:t>9</w:t>
      </w:r>
      <w:r>
        <w:rPr>
          <w:rFonts w:hint="eastAsia" w:cs="仿宋_GB2312"/>
          <w:sz w:val="24"/>
          <w:szCs w:val="24"/>
        </w:rPr>
        <w:t>、与本谈判有关的一切正式往来请寄：</w:t>
      </w:r>
    </w:p>
    <w:p>
      <w:pPr>
        <w:adjustRightInd w:val="0"/>
        <w:spacing w:line="360" w:lineRule="auto"/>
        <w:rPr>
          <w:sz w:val="24"/>
          <w:szCs w:val="24"/>
        </w:rPr>
      </w:pPr>
    </w:p>
    <w:p>
      <w:pPr>
        <w:pStyle w:val="2"/>
        <w:ind w:firstLine="220"/>
      </w:pPr>
    </w:p>
    <w:p>
      <w:pPr>
        <w:pStyle w:val="2"/>
        <w:ind w:firstLine="220"/>
      </w:pPr>
    </w:p>
    <w:p>
      <w:pPr>
        <w:adjustRightInd w:val="0"/>
        <w:spacing w:line="360" w:lineRule="auto"/>
        <w:ind w:firstLine="3780" w:firstLineChars="1575"/>
        <w:rPr>
          <w:sz w:val="24"/>
          <w:szCs w:val="24"/>
        </w:rPr>
      </w:pPr>
      <w:r>
        <w:rPr>
          <w:rFonts w:hint="eastAsia" w:cs="仿宋_GB2312"/>
          <w:sz w:val="24"/>
          <w:szCs w:val="24"/>
        </w:rPr>
        <w:t>地址：    邮政编码：</w:t>
      </w:r>
    </w:p>
    <w:p>
      <w:pPr>
        <w:adjustRightInd w:val="0"/>
        <w:spacing w:line="360" w:lineRule="auto"/>
        <w:ind w:firstLine="3780" w:firstLineChars="1575"/>
        <w:rPr>
          <w:sz w:val="24"/>
          <w:szCs w:val="24"/>
        </w:rPr>
      </w:pPr>
      <w:r>
        <w:rPr>
          <w:rFonts w:hint="eastAsia" w:cs="仿宋_GB2312"/>
          <w:sz w:val="24"/>
          <w:szCs w:val="24"/>
        </w:rPr>
        <w:t>电话：    传真：</w:t>
      </w:r>
    </w:p>
    <w:p>
      <w:pPr>
        <w:adjustRightInd w:val="0"/>
        <w:spacing w:line="360" w:lineRule="auto"/>
        <w:ind w:firstLine="3780" w:firstLineChars="1575"/>
        <w:rPr>
          <w:sz w:val="24"/>
          <w:szCs w:val="24"/>
        </w:rPr>
      </w:pPr>
      <w:r>
        <w:rPr>
          <w:rFonts w:hint="eastAsia" w:cs="仿宋_GB2312"/>
          <w:sz w:val="24"/>
          <w:szCs w:val="24"/>
        </w:rPr>
        <w:t>谈判供应商代表姓名、职务：</w:t>
      </w:r>
    </w:p>
    <w:p>
      <w:pPr>
        <w:adjustRightInd w:val="0"/>
        <w:spacing w:line="360" w:lineRule="auto"/>
        <w:ind w:firstLine="3780" w:firstLineChars="1575"/>
        <w:rPr>
          <w:sz w:val="24"/>
          <w:szCs w:val="24"/>
        </w:rPr>
      </w:pPr>
      <w:r>
        <w:rPr>
          <w:rFonts w:hint="eastAsia" w:cs="仿宋_GB2312"/>
          <w:sz w:val="24"/>
          <w:szCs w:val="24"/>
        </w:rPr>
        <w:t>谈判供应商名称（</w:t>
      </w:r>
      <w:r>
        <w:rPr>
          <w:rFonts w:hint="eastAsia" w:cs="仿宋_GB2312"/>
          <w:sz w:val="24"/>
          <w:szCs w:val="24"/>
          <w:lang w:val="en-US"/>
        </w:rPr>
        <w:t>电子</w:t>
      </w:r>
      <w:r>
        <w:rPr>
          <w:rFonts w:hint="eastAsia" w:cs="仿宋_GB2312"/>
          <w:sz w:val="24"/>
          <w:szCs w:val="24"/>
        </w:rPr>
        <w:t>签章）：</w:t>
      </w:r>
    </w:p>
    <w:p>
      <w:pPr>
        <w:adjustRightInd w:val="0"/>
        <w:spacing w:line="360" w:lineRule="auto"/>
        <w:ind w:firstLine="3780" w:firstLineChars="1575"/>
        <w:rPr>
          <w:sz w:val="24"/>
          <w:szCs w:val="24"/>
        </w:rPr>
      </w:pPr>
      <w:r>
        <w:rPr>
          <w:rFonts w:hint="eastAsia" w:cs="仿宋_GB2312"/>
          <w:sz w:val="24"/>
          <w:szCs w:val="24"/>
        </w:rPr>
        <w:t>日期：</w:t>
      </w:r>
    </w:p>
    <w:p>
      <w:pPr>
        <w:adjustRightInd w:val="0"/>
        <w:rPr>
          <w:sz w:val="28"/>
          <w:szCs w:val="28"/>
        </w:rPr>
      </w:pPr>
    </w:p>
    <w:p>
      <w:pPr>
        <w:adjustRightInd w:val="0"/>
        <w:sectPr>
          <w:pgSz w:w="12240" w:h="15840"/>
          <w:pgMar w:top="1440" w:right="1797" w:bottom="1440" w:left="1797" w:header="720" w:footer="720" w:gutter="0"/>
          <w:pgNumType w:start="26"/>
          <w:cols w:space="720" w:num="1"/>
        </w:sectPr>
      </w:pPr>
    </w:p>
    <w:p>
      <w:pPr>
        <w:adjustRightInd w:val="0"/>
        <w:rPr>
          <w:sz w:val="36"/>
          <w:szCs w:val="36"/>
        </w:rPr>
      </w:pPr>
      <w:r>
        <w:rPr>
          <w:rFonts w:hint="eastAsia" w:cs="黑体"/>
          <w:sz w:val="28"/>
          <w:szCs w:val="28"/>
        </w:rPr>
        <w:t>附件</w:t>
      </w:r>
      <w:r>
        <w:rPr>
          <w:rFonts w:cs="黑体"/>
          <w:sz w:val="28"/>
          <w:szCs w:val="28"/>
        </w:rPr>
        <w:t>2</w:t>
      </w:r>
      <w:r>
        <w:rPr>
          <w:rFonts w:hint="eastAsia" w:cs="黑体"/>
          <w:sz w:val="28"/>
          <w:szCs w:val="28"/>
        </w:rPr>
        <w:t>：</w:t>
      </w:r>
    </w:p>
    <w:p>
      <w:pPr>
        <w:adjustRightInd w:val="0"/>
        <w:jc w:val="center"/>
        <w:rPr>
          <w:b/>
          <w:bCs/>
          <w:sz w:val="32"/>
          <w:szCs w:val="32"/>
        </w:rPr>
      </w:pPr>
      <w:r>
        <w:rPr>
          <w:rFonts w:hint="eastAsia" w:cs="黑体"/>
          <w:b/>
          <w:bCs/>
          <w:sz w:val="32"/>
          <w:szCs w:val="32"/>
        </w:rPr>
        <w:t>谈判价格一览表</w:t>
      </w:r>
    </w:p>
    <w:p>
      <w:pPr>
        <w:adjustRightInd w:val="0"/>
        <w:spacing w:line="240" w:lineRule="exact"/>
        <w:jc w:val="center"/>
        <w:rPr>
          <w:sz w:val="36"/>
          <w:szCs w:val="36"/>
        </w:rPr>
      </w:pPr>
    </w:p>
    <w:p>
      <w:pPr>
        <w:adjustRightInd w:val="0"/>
        <w:rPr>
          <w:sz w:val="24"/>
          <w:szCs w:val="24"/>
        </w:rPr>
      </w:pPr>
      <w:r>
        <w:rPr>
          <w:rFonts w:hint="eastAsia" w:cs="仿宋_GB2312"/>
          <w:sz w:val="24"/>
          <w:szCs w:val="24"/>
        </w:rPr>
        <w:t>谈判供应商名称：</w:t>
      </w:r>
    </w:p>
    <w:p>
      <w:pPr>
        <w:adjustRightInd w:val="0"/>
        <w:ind w:firstLine="6360" w:firstLineChars="2650"/>
        <w:rPr>
          <w:rFonts w:cs="仿宋_GB2312"/>
          <w:sz w:val="24"/>
          <w:szCs w:val="24"/>
        </w:rPr>
      </w:pPr>
      <w:r>
        <w:rPr>
          <w:rFonts w:hint="eastAsia" w:cs="仿宋_GB2312"/>
          <w:sz w:val="24"/>
          <w:szCs w:val="24"/>
        </w:rPr>
        <w:t>单位：元</w:t>
      </w:r>
    </w:p>
    <w:tbl>
      <w:tblPr>
        <w:tblStyle w:val="15"/>
        <w:tblW w:w="8905"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57"/>
        <w:gridCol w:w="4367"/>
        <w:gridCol w:w="1620"/>
        <w:gridCol w:w="13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rPr>
            </w:pPr>
            <w:r>
              <w:rPr>
                <w:rFonts w:hint="eastAsia" w:cs="仿宋_GB2312"/>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rPr>
            </w:pPr>
            <w:r>
              <w:rPr>
                <w:rFonts w:hint="eastAsia" w:cs="仿宋_GB2312"/>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rPr>
            </w:pPr>
            <w:r>
              <w:rPr>
                <w:rFonts w:hint="eastAsia" w:cs="仿宋_GB2312"/>
                <w:b/>
                <w:bCs/>
                <w:sz w:val="28"/>
                <w:szCs w:val="28"/>
              </w:rPr>
              <w:t>投标报价</w:t>
            </w:r>
          </w:p>
        </w:tc>
        <w:tc>
          <w:tcPr>
            <w:tcW w:w="1361"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rPr>
            </w:pPr>
            <w:r>
              <w:rPr>
                <w:rFonts w:hint="eastAsia" w:cs="仿宋_GB2312"/>
                <w:b/>
                <w:bCs/>
                <w:sz w:val="28"/>
                <w:szCs w:val="28"/>
              </w:rPr>
              <w:t>交货期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pPr>
              <w:adjustRightInd w:val="0"/>
              <w:jc w:val="center"/>
              <w:rPr>
                <w:b/>
                <w:bCs/>
                <w:sz w:val="28"/>
                <w:szCs w:val="28"/>
              </w:rPr>
            </w:pPr>
          </w:p>
        </w:tc>
        <w:tc>
          <w:tcPr>
            <w:tcW w:w="4367" w:type="dxa"/>
            <w:tcBorders>
              <w:top w:val="single" w:color="auto" w:sz="6" w:space="0"/>
              <w:left w:val="single" w:color="auto" w:sz="6" w:space="0"/>
              <w:right w:val="single" w:color="auto" w:sz="6" w:space="0"/>
            </w:tcBorders>
            <w:vAlign w:val="top"/>
          </w:tcPr>
          <w:p>
            <w:pPr>
              <w:adjustRightInd w:val="0"/>
              <w:jc w:val="center"/>
              <w:rPr>
                <w:b/>
                <w:bCs/>
                <w:sz w:val="28"/>
                <w:szCs w:val="28"/>
              </w:rPr>
            </w:pPr>
          </w:p>
        </w:tc>
        <w:tc>
          <w:tcPr>
            <w:tcW w:w="1620" w:type="dxa"/>
            <w:tcBorders>
              <w:top w:val="single" w:color="auto" w:sz="6" w:space="0"/>
              <w:left w:val="single" w:color="auto" w:sz="6" w:space="0"/>
              <w:right w:val="single" w:color="auto" w:sz="6" w:space="0"/>
            </w:tcBorders>
            <w:vAlign w:val="top"/>
          </w:tcPr>
          <w:p>
            <w:pPr>
              <w:adjustRightInd w:val="0"/>
              <w:rPr>
                <w:sz w:val="28"/>
                <w:szCs w:val="28"/>
              </w:rPr>
            </w:pPr>
          </w:p>
        </w:tc>
        <w:tc>
          <w:tcPr>
            <w:tcW w:w="1361" w:type="dxa"/>
            <w:tcBorders>
              <w:top w:val="single" w:color="auto" w:sz="6" w:space="0"/>
              <w:left w:val="single" w:color="auto" w:sz="6" w:space="0"/>
              <w:right w:val="single" w:color="auto" w:sz="6" w:space="0"/>
            </w:tcBorders>
            <w:vAlign w:val="top"/>
          </w:tcPr>
          <w:p>
            <w:pPr>
              <w:adjustRightInd w:val="0"/>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b/>
                <w:bCs/>
                <w:sz w:val="28"/>
                <w:szCs w:val="28"/>
              </w:rPr>
            </w:pPr>
          </w:p>
        </w:tc>
        <w:tc>
          <w:tcPr>
            <w:tcW w:w="4367" w:type="dxa"/>
            <w:tcBorders>
              <w:top w:val="single" w:color="auto" w:sz="6" w:space="0"/>
              <w:left w:val="single" w:color="auto" w:sz="6" w:space="0"/>
              <w:bottom w:val="single" w:color="auto" w:sz="6" w:space="0"/>
              <w:right w:val="single" w:color="auto" w:sz="6" w:space="0"/>
            </w:tcBorders>
            <w:vAlign w:val="top"/>
          </w:tcPr>
          <w:p>
            <w:pPr>
              <w:adjustRightInd w:val="0"/>
              <w:jc w:val="center"/>
              <w:rPr>
                <w:b/>
                <w:bCs/>
                <w:sz w:val="28"/>
                <w:szCs w:val="28"/>
              </w:rPr>
            </w:pPr>
          </w:p>
        </w:tc>
        <w:tc>
          <w:tcPr>
            <w:tcW w:w="1620" w:type="dxa"/>
            <w:tcBorders>
              <w:top w:val="single" w:color="auto" w:sz="6" w:space="0"/>
              <w:left w:val="single" w:color="auto" w:sz="6" w:space="0"/>
              <w:bottom w:val="single" w:color="auto" w:sz="6" w:space="0"/>
              <w:right w:val="single" w:color="auto" w:sz="6" w:space="0"/>
            </w:tcBorders>
            <w:vAlign w:val="top"/>
          </w:tcPr>
          <w:p>
            <w:pPr>
              <w:adjustRightInd w:val="0"/>
              <w:rPr>
                <w:sz w:val="28"/>
                <w:szCs w:val="28"/>
              </w:rPr>
            </w:pPr>
          </w:p>
        </w:tc>
        <w:tc>
          <w:tcPr>
            <w:tcW w:w="1361" w:type="dxa"/>
            <w:tcBorders>
              <w:top w:val="single" w:color="auto" w:sz="6" w:space="0"/>
              <w:left w:val="single" w:color="auto" w:sz="6" w:space="0"/>
              <w:bottom w:val="single" w:color="auto" w:sz="6" w:space="0"/>
              <w:right w:val="single" w:color="auto" w:sz="6" w:space="0"/>
            </w:tcBorders>
            <w:vAlign w:val="top"/>
          </w:tcPr>
          <w:p>
            <w:pPr>
              <w:adjustRightInd w:val="0"/>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sz w:val="28"/>
                <w:szCs w:val="28"/>
              </w:rPr>
            </w:pPr>
          </w:p>
        </w:tc>
        <w:tc>
          <w:tcPr>
            <w:tcW w:w="4367" w:type="dxa"/>
            <w:tcBorders>
              <w:top w:val="single" w:color="auto" w:sz="6" w:space="0"/>
              <w:left w:val="single" w:color="auto" w:sz="6" w:space="0"/>
              <w:bottom w:val="single" w:color="auto" w:sz="6" w:space="0"/>
              <w:right w:val="single" w:color="auto" w:sz="6" w:space="0"/>
            </w:tcBorders>
            <w:vAlign w:val="top"/>
          </w:tcPr>
          <w:p>
            <w:pPr>
              <w:adjustRightInd w:val="0"/>
              <w:rPr>
                <w:b/>
                <w:bCs/>
                <w:sz w:val="28"/>
                <w:szCs w:val="28"/>
              </w:rPr>
            </w:pPr>
          </w:p>
        </w:tc>
        <w:tc>
          <w:tcPr>
            <w:tcW w:w="1620" w:type="dxa"/>
            <w:tcBorders>
              <w:top w:val="single" w:color="auto" w:sz="6" w:space="0"/>
              <w:left w:val="single" w:color="auto" w:sz="6" w:space="0"/>
              <w:bottom w:val="single" w:color="auto" w:sz="6" w:space="0"/>
              <w:right w:val="single" w:color="auto" w:sz="6" w:space="0"/>
            </w:tcBorders>
            <w:vAlign w:val="top"/>
          </w:tcPr>
          <w:p>
            <w:pPr>
              <w:adjustRightInd w:val="0"/>
              <w:rPr>
                <w:sz w:val="28"/>
                <w:szCs w:val="28"/>
              </w:rPr>
            </w:pPr>
          </w:p>
        </w:tc>
        <w:tc>
          <w:tcPr>
            <w:tcW w:w="1361" w:type="dxa"/>
            <w:tcBorders>
              <w:top w:val="single" w:color="auto" w:sz="6" w:space="0"/>
              <w:left w:val="single" w:color="auto" w:sz="6" w:space="0"/>
              <w:bottom w:val="single" w:color="auto" w:sz="6" w:space="0"/>
              <w:right w:val="single" w:color="auto" w:sz="6" w:space="0"/>
            </w:tcBorders>
            <w:vAlign w:val="top"/>
          </w:tcPr>
          <w:p>
            <w:pPr>
              <w:adjustRightInd w:val="0"/>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sz w:val="28"/>
                <w:szCs w:val="28"/>
              </w:rPr>
            </w:pPr>
          </w:p>
        </w:tc>
        <w:tc>
          <w:tcPr>
            <w:tcW w:w="4367" w:type="dxa"/>
            <w:tcBorders>
              <w:top w:val="single" w:color="auto" w:sz="6" w:space="0"/>
              <w:left w:val="single" w:color="auto" w:sz="6" w:space="0"/>
              <w:bottom w:val="single" w:color="auto" w:sz="6" w:space="0"/>
              <w:right w:val="single" w:color="auto" w:sz="6" w:space="0"/>
            </w:tcBorders>
            <w:vAlign w:val="top"/>
          </w:tcPr>
          <w:p>
            <w:pPr>
              <w:adjustRightInd w:val="0"/>
              <w:rPr>
                <w:b/>
                <w:bCs/>
                <w:sz w:val="28"/>
                <w:szCs w:val="28"/>
              </w:rPr>
            </w:pPr>
          </w:p>
        </w:tc>
        <w:tc>
          <w:tcPr>
            <w:tcW w:w="1620" w:type="dxa"/>
            <w:tcBorders>
              <w:top w:val="single" w:color="auto" w:sz="6" w:space="0"/>
              <w:left w:val="single" w:color="auto" w:sz="6" w:space="0"/>
              <w:bottom w:val="single" w:color="auto" w:sz="6" w:space="0"/>
              <w:right w:val="single" w:color="auto" w:sz="6" w:space="0"/>
            </w:tcBorders>
            <w:vAlign w:val="top"/>
          </w:tcPr>
          <w:p>
            <w:pPr>
              <w:adjustRightInd w:val="0"/>
              <w:rPr>
                <w:sz w:val="28"/>
                <w:szCs w:val="28"/>
              </w:rPr>
            </w:pPr>
          </w:p>
        </w:tc>
        <w:tc>
          <w:tcPr>
            <w:tcW w:w="1361" w:type="dxa"/>
            <w:tcBorders>
              <w:top w:val="single" w:color="auto" w:sz="6" w:space="0"/>
              <w:left w:val="single" w:color="auto" w:sz="6" w:space="0"/>
              <w:bottom w:val="single" w:color="auto" w:sz="6" w:space="0"/>
              <w:right w:val="single" w:color="auto" w:sz="6" w:space="0"/>
            </w:tcBorders>
            <w:vAlign w:val="top"/>
          </w:tcPr>
          <w:p>
            <w:pPr>
              <w:adjustRightInd w:val="0"/>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pPr>
              <w:adjustRightInd w:val="0"/>
              <w:rPr>
                <w:sz w:val="28"/>
                <w:szCs w:val="28"/>
              </w:rPr>
            </w:pPr>
            <w:r>
              <w:rPr>
                <w:rFonts w:hint="eastAsia" w:cs="仿宋_GB2312"/>
                <w:b/>
                <w:bCs/>
                <w:sz w:val="28"/>
                <w:szCs w:val="28"/>
              </w:rPr>
              <w:t xml:space="preserve">投标总价（人民币大写）：           </w:t>
            </w:r>
            <w:r>
              <w:rPr>
                <w:rFonts w:hint="eastAsia" w:cs="仿宋_GB2312"/>
                <w:sz w:val="28"/>
                <w:szCs w:val="28"/>
              </w:rPr>
              <w:t xml:space="preserve">￥ </w:t>
            </w:r>
            <w:r>
              <w:rPr>
                <w:rFonts w:hint="eastAsia" w:cs="仿宋_GB2312"/>
                <w:sz w:val="28"/>
                <w:szCs w:val="28"/>
                <w:u w:val="single"/>
              </w:rPr>
              <w:t xml:space="preserve">          </w:t>
            </w:r>
            <w:r>
              <w:rPr>
                <w:rFonts w:hint="eastAsia" w:cs="仿宋_GB2312"/>
                <w:sz w:val="28"/>
                <w:szCs w:val="28"/>
              </w:rPr>
              <w:t>元</w:t>
            </w:r>
          </w:p>
        </w:tc>
      </w:tr>
    </w:tbl>
    <w:p>
      <w:pPr>
        <w:adjustRightInd w:val="0"/>
        <w:rPr>
          <w:sz w:val="24"/>
          <w:szCs w:val="24"/>
        </w:rPr>
      </w:pPr>
    </w:p>
    <w:p>
      <w:pPr>
        <w:adjustRightInd w:val="0"/>
        <w:rPr>
          <w:sz w:val="24"/>
          <w:szCs w:val="24"/>
        </w:rPr>
      </w:pPr>
    </w:p>
    <w:p>
      <w:pPr>
        <w:adjustRightInd w:val="0"/>
        <w:rPr>
          <w:rFonts w:cs="仿宋_GB2312"/>
          <w:b/>
          <w:bCs/>
          <w:sz w:val="24"/>
          <w:szCs w:val="24"/>
        </w:rPr>
      </w:pPr>
      <w:r>
        <w:rPr>
          <w:rFonts w:hint="eastAsia" w:cs="仿宋_GB2312"/>
          <w:b/>
          <w:bCs/>
          <w:sz w:val="24"/>
          <w:szCs w:val="24"/>
        </w:rPr>
        <w:t>谈判供应商代表签字：</w:t>
      </w:r>
    </w:p>
    <w:p>
      <w:pPr>
        <w:adjustRightInd w:val="0"/>
        <w:rPr>
          <w:rFonts w:cs="仿宋_GB2312"/>
          <w:b/>
          <w:bCs/>
          <w:sz w:val="24"/>
          <w:szCs w:val="24"/>
        </w:rPr>
      </w:pPr>
      <w:r>
        <w:rPr>
          <w:rFonts w:hint="eastAsia" w:cs="仿宋_GB2312"/>
          <w:b/>
          <w:bCs/>
          <w:sz w:val="24"/>
          <w:szCs w:val="24"/>
        </w:rPr>
        <w:t>谈判供应商公章：</w:t>
      </w:r>
    </w:p>
    <w:p>
      <w:pPr>
        <w:adjustRightInd w:val="0"/>
        <w:rPr>
          <w:rFonts w:cs="仿宋_GB2312"/>
          <w:b/>
          <w:bCs/>
          <w:sz w:val="24"/>
          <w:szCs w:val="24"/>
        </w:rPr>
      </w:pPr>
      <w:r>
        <w:rPr>
          <w:rFonts w:hint="eastAsia" w:cs="仿宋_GB2312"/>
          <w:b/>
          <w:bCs/>
          <w:sz w:val="24"/>
          <w:szCs w:val="24"/>
        </w:rPr>
        <w:t>日期：</w:t>
      </w:r>
    </w:p>
    <w:p>
      <w:pPr>
        <w:adjustRightInd w:val="0"/>
        <w:rPr>
          <w:rFonts w:cs="仿宋_GB2312"/>
          <w:b/>
          <w:bCs/>
          <w:sz w:val="24"/>
          <w:szCs w:val="24"/>
        </w:rPr>
      </w:pPr>
    </w:p>
    <w:p>
      <w:pPr>
        <w:adjustRightInd w:val="0"/>
        <w:rPr>
          <w:rFonts w:cs="仿宋_GB2312"/>
          <w:b/>
          <w:bCs/>
          <w:sz w:val="24"/>
          <w:szCs w:val="24"/>
        </w:rPr>
      </w:pPr>
    </w:p>
    <w:p>
      <w:pPr>
        <w:adjustRightInd w:val="0"/>
        <w:rPr>
          <w:rFonts w:cs="仿宋_GB2312"/>
          <w:b/>
          <w:bCs/>
          <w:sz w:val="24"/>
          <w:szCs w:val="24"/>
        </w:rPr>
      </w:pPr>
    </w:p>
    <w:p>
      <w:pPr>
        <w:adjustRightInd w:val="0"/>
        <w:rPr>
          <w:rFonts w:cs="仿宋_GB2312"/>
          <w:b/>
          <w:bCs/>
          <w:sz w:val="24"/>
          <w:szCs w:val="24"/>
        </w:rPr>
      </w:pPr>
    </w:p>
    <w:p>
      <w:pPr>
        <w:adjustRightInd w:val="0"/>
        <w:sectPr>
          <w:pgSz w:w="11907" w:h="16840"/>
          <w:pgMar w:top="1440" w:right="1797" w:bottom="1440" w:left="1797" w:header="720" w:footer="720" w:gutter="0"/>
          <w:cols w:space="720" w:num="1"/>
        </w:sectPr>
      </w:pPr>
    </w:p>
    <w:p>
      <w:pPr>
        <w:adjustRightInd w:val="0"/>
        <w:rPr>
          <w:b/>
          <w:bCs/>
          <w:sz w:val="28"/>
          <w:szCs w:val="28"/>
        </w:rPr>
      </w:pPr>
      <w:r>
        <w:rPr>
          <w:rFonts w:hint="eastAsia" w:cs="黑体"/>
          <w:b/>
          <w:bCs/>
          <w:sz w:val="28"/>
          <w:szCs w:val="28"/>
        </w:rPr>
        <w:t>附件3：</w:t>
      </w:r>
    </w:p>
    <w:p>
      <w:pPr>
        <w:adjustRightInd w:val="0"/>
        <w:jc w:val="center"/>
        <w:rPr>
          <w:rFonts w:cs="黑体"/>
          <w:b/>
          <w:bCs/>
          <w:sz w:val="32"/>
          <w:szCs w:val="32"/>
        </w:rPr>
      </w:pPr>
      <w:r>
        <w:rPr>
          <w:rFonts w:hint="eastAsia" w:cs="黑体"/>
          <w:b/>
          <w:bCs/>
          <w:sz w:val="32"/>
          <w:szCs w:val="32"/>
        </w:rPr>
        <w:t>谈判响应报价表</w:t>
      </w:r>
    </w:p>
    <w:p>
      <w:pPr>
        <w:adjustRightInd w:val="0"/>
        <w:jc w:val="center"/>
        <w:rPr>
          <w:rFonts w:cs="仿宋_GB2312"/>
          <w:sz w:val="24"/>
          <w:szCs w:val="24"/>
        </w:rPr>
      </w:pPr>
    </w:p>
    <w:p>
      <w:pPr>
        <w:adjustRightInd w:val="0"/>
        <w:rPr>
          <w:rFonts w:cs="仿宋_GB2312"/>
          <w:sz w:val="24"/>
          <w:szCs w:val="24"/>
        </w:rPr>
      </w:pPr>
      <w:r>
        <w:rPr>
          <w:rFonts w:hint="eastAsia" w:cs="仿宋_GB2312"/>
          <w:sz w:val="24"/>
          <w:szCs w:val="24"/>
        </w:rPr>
        <w:t>谈判供应商名称：</w:t>
      </w:r>
    </w:p>
    <w:p>
      <w:pPr>
        <w:adjustRightInd w:val="0"/>
        <w:jc w:val="center"/>
        <w:rPr>
          <w:rFonts w:cs="仿宋_GB2312"/>
          <w:sz w:val="24"/>
          <w:szCs w:val="24"/>
        </w:rPr>
      </w:pPr>
      <w:r>
        <w:rPr>
          <w:rFonts w:hint="eastAsia" w:cs="仿宋_GB2312"/>
          <w:sz w:val="24"/>
          <w:szCs w:val="24"/>
        </w:rPr>
        <w:t xml:space="preserve">                                                      单位：元</w:t>
      </w:r>
    </w:p>
    <w:tbl>
      <w:tblPr>
        <w:tblStyle w:val="15"/>
        <w:tblW w:w="8905"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8"/>
        <w:gridCol w:w="4862"/>
        <w:gridCol w:w="1071"/>
        <w:gridCol w:w="1071"/>
        <w:gridCol w:w="10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pPr>
              <w:adjustRightInd w:val="0"/>
              <w:jc w:val="center"/>
              <w:rPr>
                <w:rFonts w:cs="仿宋_GB2312"/>
                <w:sz w:val="24"/>
                <w:szCs w:val="24"/>
              </w:rPr>
            </w:pPr>
            <w:r>
              <w:rPr>
                <w:rFonts w:hint="eastAsia" w:cs="仿宋_GB2312"/>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sz w:val="24"/>
                <w:szCs w:val="24"/>
              </w:rPr>
            </w:pPr>
            <w:r>
              <w:rPr>
                <w:rFonts w:hint="eastAsia" w:cs="仿宋_GB2312"/>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sz w:val="24"/>
                <w:szCs w:val="24"/>
              </w:rPr>
            </w:pPr>
            <w:r>
              <w:rPr>
                <w:rFonts w:hint="eastAsia" w:cs="仿宋_GB2312"/>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sz w:val="24"/>
                <w:szCs w:val="24"/>
              </w:rPr>
            </w:pPr>
            <w:r>
              <w:rPr>
                <w:rFonts w:hint="eastAsia" w:cs="仿宋_GB2312"/>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sz w:val="24"/>
                <w:szCs w:val="24"/>
              </w:rPr>
            </w:pPr>
            <w:r>
              <w:rPr>
                <w:rFonts w:hint="eastAsia" w:cs="仿宋_GB2312"/>
                <w:sz w:val="24"/>
                <w:szCs w:val="24"/>
              </w:rPr>
              <w:t>小计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sz w:val="24"/>
                <w:szCs w:val="24"/>
              </w:rPr>
            </w:pPr>
          </w:p>
        </w:tc>
        <w:tc>
          <w:tcPr>
            <w:tcW w:w="4862" w:type="dxa"/>
            <w:tcBorders>
              <w:top w:val="single" w:color="auto" w:sz="6" w:space="0"/>
              <w:left w:val="single" w:color="auto" w:sz="4" w:space="0"/>
              <w:bottom w:val="single" w:color="auto" w:sz="6" w:space="0"/>
              <w:right w:val="single" w:color="auto" w:sz="4" w:space="0"/>
            </w:tcBorders>
            <w:vAlign w:val="top"/>
          </w:tcPr>
          <w:p>
            <w:pPr>
              <w:adjustRightInd w:val="0"/>
              <w:jc w:val="center"/>
              <w:rPr>
                <w:rFonts w:cs="仿宋_GB2312"/>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sz w:val="24"/>
                <w:szCs w:val="24"/>
              </w:rPr>
            </w:pPr>
          </w:p>
        </w:tc>
        <w:tc>
          <w:tcPr>
            <w:tcW w:w="4862" w:type="dxa"/>
            <w:tcBorders>
              <w:top w:val="single" w:color="auto" w:sz="6" w:space="0"/>
              <w:left w:val="single" w:color="auto" w:sz="4" w:space="0"/>
              <w:bottom w:val="single" w:color="auto" w:sz="6" w:space="0"/>
              <w:right w:val="single" w:color="auto" w:sz="4" w:space="0"/>
            </w:tcBorders>
            <w:vAlign w:val="top"/>
          </w:tcPr>
          <w:p>
            <w:pPr>
              <w:adjustRightInd w:val="0"/>
              <w:jc w:val="center"/>
              <w:rPr>
                <w:rFonts w:cs="仿宋_GB2312"/>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sz w:val="24"/>
                <w:szCs w:val="24"/>
              </w:rPr>
            </w:pPr>
          </w:p>
        </w:tc>
        <w:tc>
          <w:tcPr>
            <w:tcW w:w="4862" w:type="dxa"/>
            <w:tcBorders>
              <w:top w:val="single" w:color="auto" w:sz="6" w:space="0"/>
              <w:left w:val="single" w:color="auto" w:sz="4" w:space="0"/>
              <w:bottom w:val="single" w:color="auto" w:sz="6" w:space="0"/>
              <w:right w:val="single" w:color="auto" w:sz="4" w:space="0"/>
            </w:tcBorders>
            <w:vAlign w:val="top"/>
          </w:tcPr>
          <w:p>
            <w:pPr>
              <w:adjustRightInd w:val="0"/>
              <w:jc w:val="center"/>
              <w:rPr>
                <w:rFonts w:cs="仿宋_GB2312"/>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sz w:val="24"/>
                <w:szCs w:val="24"/>
              </w:rPr>
            </w:pPr>
          </w:p>
        </w:tc>
        <w:tc>
          <w:tcPr>
            <w:tcW w:w="4862" w:type="dxa"/>
            <w:tcBorders>
              <w:top w:val="single" w:color="auto" w:sz="6" w:space="0"/>
              <w:left w:val="single" w:color="auto" w:sz="4" w:space="0"/>
              <w:bottom w:val="single" w:color="auto" w:sz="6" w:space="0"/>
              <w:right w:val="single" w:color="auto" w:sz="4" w:space="0"/>
            </w:tcBorders>
            <w:vAlign w:val="top"/>
          </w:tcPr>
          <w:p>
            <w:pPr>
              <w:adjustRightInd w:val="0"/>
              <w:jc w:val="center"/>
              <w:rPr>
                <w:rFonts w:cs="仿宋_GB2312"/>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sz w:val="24"/>
                <w:szCs w:val="24"/>
              </w:rPr>
            </w:pPr>
          </w:p>
        </w:tc>
        <w:tc>
          <w:tcPr>
            <w:tcW w:w="4862" w:type="dxa"/>
            <w:tcBorders>
              <w:top w:val="single" w:color="auto" w:sz="6" w:space="0"/>
              <w:left w:val="single" w:color="auto" w:sz="4" w:space="0"/>
              <w:bottom w:val="single" w:color="auto" w:sz="4" w:space="0"/>
              <w:right w:val="single" w:color="auto" w:sz="4" w:space="0"/>
            </w:tcBorders>
            <w:vAlign w:val="top"/>
          </w:tcPr>
          <w:p>
            <w:pPr>
              <w:adjustRightInd w:val="0"/>
              <w:jc w:val="center"/>
              <w:rPr>
                <w:rFonts w:cs="仿宋_GB2312"/>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pPr>
              <w:adjustRightInd w:val="0"/>
              <w:jc w:val="center"/>
              <w:rPr>
                <w:rFonts w:cs="仿宋_GB2312"/>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pPr>
              <w:adjustRightInd w:val="0"/>
              <w:jc w:val="center"/>
              <w:rPr>
                <w:rFonts w:cs="仿宋_GB2312"/>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pPr>
              <w:adjustRightInd w:val="0"/>
              <w:jc w:val="center"/>
              <w:rPr>
                <w:rFonts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sz w:val="24"/>
                <w:szCs w:val="24"/>
              </w:rPr>
            </w:pPr>
          </w:p>
        </w:tc>
        <w:tc>
          <w:tcPr>
            <w:tcW w:w="4862" w:type="dxa"/>
            <w:tcBorders>
              <w:top w:val="single" w:color="auto" w:sz="4" w:space="0"/>
              <w:left w:val="single" w:color="auto" w:sz="4" w:space="0"/>
              <w:bottom w:val="single" w:color="auto" w:sz="6" w:space="0"/>
              <w:right w:val="single" w:color="auto" w:sz="4" w:space="0"/>
            </w:tcBorders>
            <w:vAlign w:val="top"/>
          </w:tcPr>
          <w:p>
            <w:pPr>
              <w:adjustRightInd w:val="0"/>
              <w:jc w:val="center"/>
              <w:rPr>
                <w:rFonts w:cs="仿宋_GB2312"/>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pPr>
              <w:adjustRightInd w:val="0"/>
              <w:jc w:val="center"/>
              <w:rPr>
                <w:rFonts w:cs="仿宋_GB2312"/>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sz w:val="24"/>
                <w:szCs w:val="24"/>
              </w:rPr>
            </w:pPr>
          </w:p>
        </w:tc>
        <w:tc>
          <w:tcPr>
            <w:tcW w:w="4862" w:type="dxa"/>
            <w:tcBorders>
              <w:top w:val="single" w:color="auto" w:sz="4" w:space="0"/>
              <w:left w:val="single" w:color="auto" w:sz="4" w:space="0"/>
              <w:bottom w:val="single" w:color="auto" w:sz="6" w:space="0"/>
              <w:right w:val="single" w:color="auto" w:sz="4" w:space="0"/>
            </w:tcBorders>
            <w:vAlign w:val="top"/>
          </w:tcPr>
          <w:p>
            <w:pPr>
              <w:adjustRightInd w:val="0"/>
              <w:jc w:val="center"/>
              <w:rPr>
                <w:rFonts w:cs="仿宋_GB2312"/>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pPr>
              <w:adjustRightInd w:val="0"/>
              <w:jc w:val="center"/>
              <w:rPr>
                <w:rFonts w:cs="仿宋_GB2312"/>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sz w:val="24"/>
                <w:szCs w:val="24"/>
              </w:rPr>
            </w:pPr>
          </w:p>
        </w:tc>
        <w:tc>
          <w:tcPr>
            <w:tcW w:w="4862" w:type="dxa"/>
            <w:tcBorders>
              <w:top w:val="single" w:color="auto" w:sz="4" w:space="0"/>
              <w:left w:val="single" w:color="auto" w:sz="4" w:space="0"/>
              <w:bottom w:val="single" w:color="auto" w:sz="6" w:space="0"/>
              <w:right w:val="single" w:color="auto" w:sz="4" w:space="0"/>
            </w:tcBorders>
            <w:vAlign w:val="top"/>
          </w:tcPr>
          <w:p>
            <w:pPr>
              <w:adjustRightInd w:val="0"/>
              <w:jc w:val="center"/>
              <w:rPr>
                <w:rFonts w:cs="仿宋_GB2312"/>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pPr>
              <w:adjustRightInd w:val="0"/>
              <w:jc w:val="center"/>
              <w:rPr>
                <w:rFonts w:cs="仿宋_GB2312"/>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sz w:val="24"/>
                <w:szCs w:val="24"/>
              </w:rPr>
            </w:pPr>
          </w:p>
        </w:tc>
        <w:tc>
          <w:tcPr>
            <w:tcW w:w="4862" w:type="dxa"/>
            <w:tcBorders>
              <w:top w:val="single" w:color="auto" w:sz="4" w:space="0"/>
              <w:left w:val="single" w:color="auto" w:sz="4" w:space="0"/>
              <w:bottom w:val="single" w:color="auto" w:sz="6" w:space="0"/>
              <w:right w:val="single" w:color="auto" w:sz="4" w:space="0"/>
            </w:tcBorders>
            <w:vAlign w:val="top"/>
          </w:tcPr>
          <w:p>
            <w:pPr>
              <w:adjustRightInd w:val="0"/>
              <w:jc w:val="center"/>
              <w:rPr>
                <w:rFonts w:cs="仿宋_GB2312"/>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pPr>
              <w:adjustRightInd w:val="0"/>
              <w:jc w:val="center"/>
              <w:rPr>
                <w:rFonts w:cs="仿宋_GB2312"/>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sz w:val="24"/>
                <w:szCs w:val="24"/>
              </w:rPr>
            </w:pPr>
            <w:r>
              <w:rPr>
                <w:rFonts w:hint="eastAsia" w:cs="仿宋_GB2312"/>
                <w:sz w:val="24"/>
                <w:szCs w:val="24"/>
              </w:rPr>
              <w:t>总价（人民币大写）：        ￥</w:t>
            </w:r>
            <w:r>
              <w:rPr>
                <w:rFonts w:hint="eastAsia" w:cs="仿宋_GB2312"/>
                <w:sz w:val="24"/>
                <w:szCs w:val="24"/>
                <w:u w:val="single"/>
              </w:rPr>
              <w:t xml:space="preserve">      </w:t>
            </w:r>
            <w:r>
              <w:rPr>
                <w:rFonts w:hint="eastAsia" w:cs="仿宋_GB2312"/>
                <w:sz w:val="24"/>
                <w:szCs w:val="24"/>
              </w:rPr>
              <w:t>元</w:t>
            </w:r>
          </w:p>
        </w:tc>
      </w:tr>
    </w:tbl>
    <w:p>
      <w:pPr>
        <w:adjustRightInd w:val="0"/>
        <w:jc w:val="center"/>
        <w:rPr>
          <w:rFonts w:cs="仿宋_GB2312"/>
          <w:sz w:val="24"/>
          <w:szCs w:val="24"/>
        </w:rPr>
      </w:pPr>
    </w:p>
    <w:p>
      <w:pPr>
        <w:adjustRightInd w:val="0"/>
        <w:jc w:val="center"/>
        <w:rPr>
          <w:rFonts w:cs="仿宋_GB2312"/>
          <w:sz w:val="24"/>
          <w:szCs w:val="24"/>
        </w:rPr>
      </w:pPr>
    </w:p>
    <w:p>
      <w:pPr>
        <w:adjustRightInd w:val="0"/>
        <w:jc w:val="center"/>
        <w:rPr>
          <w:rFonts w:cs="仿宋_GB2312"/>
          <w:sz w:val="24"/>
          <w:szCs w:val="24"/>
        </w:rPr>
      </w:pPr>
      <w:r>
        <w:rPr>
          <w:rFonts w:hint="eastAsia" w:cs="仿宋_GB2312"/>
          <w:sz w:val="24"/>
          <w:szCs w:val="24"/>
        </w:rPr>
        <w:t>谈判供应商代表签字：</w:t>
      </w:r>
    </w:p>
    <w:p>
      <w:pPr>
        <w:adjustRightInd w:val="0"/>
        <w:jc w:val="center"/>
        <w:rPr>
          <w:rFonts w:cs="仿宋_GB2312"/>
          <w:sz w:val="24"/>
          <w:szCs w:val="24"/>
        </w:rPr>
      </w:pPr>
    </w:p>
    <w:p>
      <w:pPr>
        <w:adjustRightInd w:val="0"/>
        <w:jc w:val="center"/>
        <w:rPr>
          <w:rFonts w:cs="仿宋_GB2312"/>
          <w:sz w:val="24"/>
          <w:szCs w:val="24"/>
        </w:rPr>
      </w:pPr>
      <w:r>
        <w:rPr>
          <w:rFonts w:hint="eastAsia" w:cs="仿宋_GB2312"/>
          <w:sz w:val="24"/>
          <w:szCs w:val="24"/>
        </w:rPr>
        <w:t>谈判供应商公章：</w:t>
      </w:r>
    </w:p>
    <w:p>
      <w:pPr>
        <w:adjustRightInd w:val="0"/>
        <w:ind w:firstLine="3480" w:firstLineChars="1450"/>
        <w:rPr>
          <w:rFonts w:cs="仿宋_GB2312"/>
          <w:sz w:val="24"/>
          <w:szCs w:val="24"/>
        </w:rPr>
      </w:pPr>
    </w:p>
    <w:p>
      <w:pPr>
        <w:adjustRightInd w:val="0"/>
        <w:ind w:firstLine="3480" w:firstLineChars="1450"/>
        <w:rPr>
          <w:rFonts w:cs="仿宋_GB2312"/>
          <w:sz w:val="24"/>
          <w:szCs w:val="24"/>
        </w:rPr>
      </w:pPr>
      <w:r>
        <w:rPr>
          <w:rFonts w:hint="eastAsia" w:cs="仿宋_GB2312"/>
          <w:sz w:val="24"/>
          <w:szCs w:val="24"/>
        </w:rPr>
        <w:t>日期：</w:t>
      </w:r>
    </w:p>
    <w:p>
      <w:pPr>
        <w:adjustRightInd w:val="0"/>
        <w:jc w:val="center"/>
        <w:rPr>
          <w:rFonts w:cs="仿宋_GB2312"/>
          <w:sz w:val="24"/>
          <w:szCs w:val="24"/>
        </w:rPr>
      </w:pPr>
    </w:p>
    <w:p>
      <w:pPr>
        <w:adjustRightInd w:val="0"/>
        <w:rPr>
          <w:rFonts w:cs="仿宋_GB2312"/>
          <w:b/>
          <w:bCs/>
          <w:sz w:val="24"/>
          <w:szCs w:val="24"/>
        </w:rPr>
      </w:pPr>
    </w:p>
    <w:p>
      <w:pPr>
        <w:adjustRightInd w:val="0"/>
        <w:rPr>
          <w:rFonts w:cs="仿宋_GB2312"/>
          <w:b/>
          <w:bCs/>
          <w:sz w:val="24"/>
          <w:szCs w:val="24"/>
        </w:rPr>
      </w:pPr>
    </w:p>
    <w:p>
      <w:pPr>
        <w:adjustRightInd w:val="0"/>
        <w:rPr>
          <w:rFonts w:cs="仿宋_GB2312"/>
          <w:b/>
          <w:bCs/>
          <w:sz w:val="24"/>
          <w:szCs w:val="24"/>
        </w:rPr>
      </w:pPr>
    </w:p>
    <w:p>
      <w:pPr>
        <w:adjustRightInd w:val="0"/>
        <w:rPr>
          <w:rFonts w:cs="仿宋_GB2312"/>
          <w:b/>
          <w:bCs/>
          <w:sz w:val="24"/>
          <w:szCs w:val="24"/>
        </w:rPr>
      </w:pPr>
    </w:p>
    <w:p>
      <w:pPr>
        <w:adjustRightInd w:val="0"/>
        <w:rPr>
          <w:rFonts w:cs="黑体"/>
          <w:b/>
          <w:bCs/>
          <w:sz w:val="28"/>
          <w:szCs w:val="28"/>
        </w:rPr>
      </w:pPr>
    </w:p>
    <w:p>
      <w:pPr>
        <w:adjustRightInd w:val="0"/>
        <w:rPr>
          <w:rFonts w:cs="黑体"/>
          <w:b/>
          <w:bCs/>
          <w:sz w:val="28"/>
          <w:szCs w:val="28"/>
        </w:rPr>
      </w:pPr>
    </w:p>
    <w:p>
      <w:pPr>
        <w:adjustRightInd w:val="0"/>
        <w:rPr>
          <w:rFonts w:cs="黑体"/>
          <w:b/>
          <w:bCs/>
          <w:sz w:val="28"/>
          <w:szCs w:val="28"/>
        </w:rPr>
      </w:pPr>
    </w:p>
    <w:p>
      <w:pPr>
        <w:adjustRightInd w:val="0"/>
        <w:rPr>
          <w:rFonts w:cs="黑体"/>
          <w:b/>
          <w:bCs/>
          <w:sz w:val="28"/>
          <w:szCs w:val="28"/>
        </w:rPr>
      </w:pPr>
    </w:p>
    <w:p>
      <w:pPr>
        <w:adjustRightInd w:val="0"/>
        <w:rPr>
          <w:rFonts w:cs="黑体"/>
          <w:b/>
          <w:bCs/>
          <w:sz w:val="28"/>
          <w:szCs w:val="28"/>
        </w:rPr>
      </w:pPr>
    </w:p>
    <w:p>
      <w:pPr>
        <w:adjustRightInd w:val="0"/>
        <w:jc w:val="center"/>
        <w:rPr>
          <w:rFonts w:cs="黑体"/>
          <w:b/>
          <w:bCs/>
          <w:sz w:val="32"/>
          <w:szCs w:val="32"/>
        </w:rPr>
      </w:pPr>
    </w:p>
    <w:p>
      <w:pPr>
        <w:adjustRightInd w:val="0"/>
        <w:jc w:val="center"/>
        <w:rPr>
          <w:rFonts w:cs="黑体"/>
          <w:b/>
          <w:bCs/>
          <w:sz w:val="32"/>
          <w:szCs w:val="32"/>
        </w:rPr>
      </w:pPr>
    </w:p>
    <w:p>
      <w:pPr>
        <w:adjustRightInd w:val="0"/>
        <w:jc w:val="center"/>
        <w:rPr>
          <w:rFonts w:cs="黑体"/>
          <w:b/>
          <w:bCs/>
          <w:sz w:val="32"/>
          <w:szCs w:val="32"/>
        </w:rPr>
      </w:pPr>
    </w:p>
    <w:p>
      <w:pPr>
        <w:adjustRightInd w:val="0"/>
        <w:rPr>
          <w:sz w:val="28"/>
          <w:szCs w:val="28"/>
        </w:rPr>
      </w:pPr>
      <w:r>
        <w:rPr>
          <w:rFonts w:hint="eastAsia" w:cs="黑体"/>
          <w:sz w:val="28"/>
          <w:szCs w:val="28"/>
        </w:rPr>
        <w:t>附件4：</w:t>
      </w:r>
    </w:p>
    <w:p>
      <w:pPr>
        <w:adjustRightInd w:val="0"/>
        <w:rPr>
          <w:rFonts w:cs="黑体"/>
          <w:b/>
          <w:bCs/>
          <w:sz w:val="32"/>
          <w:szCs w:val="32"/>
        </w:rPr>
      </w:pPr>
    </w:p>
    <w:p>
      <w:pPr>
        <w:adjustRightInd w:val="0"/>
        <w:jc w:val="center"/>
        <w:rPr>
          <w:b/>
          <w:bCs/>
          <w:sz w:val="32"/>
          <w:szCs w:val="32"/>
        </w:rPr>
      </w:pPr>
      <w:r>
        <w:rPr>
          <w:rFonts w:hint="eastAsia" w:cs="黑体"/>
          <w:b/>
          <w:bCs/>
          <w:sz w:val="32"/>
          <w:szCs w:val="32"/>
        </w:rPr>
        <w:t>技术偏差表</w:t>
      </w:r>
    </w:p>
    <w:p>
      <w:pPr>
        <w:adjustRightInd w:val="0"/>
      </w:pPr>
    </w:p>
    <w:p>
      <w:pPr>
        <w:adjustRightInd w:val="0"/>
        <w:rPr>
          <w:rFonts w:cs="仿宋_GB2312"/>
          <w:sz w:val="24"/>
          <w:szCs w:val="24"/>
        </w:rPr>
      </w:pPr>
      <w:r>
        <w:rPr>
          <w:rFonts w:hint="eastAsia" w:cs="仿宋_GB2312"/>
          <w:sz w:val="24"/>
          <w:szCs w:val="24"/>
        </w:rPr>
        <w:t xml:space="preserve">谈判供应商名称： </w:t>
      </w:r>
    </w:p>
    <w:p>
      <w:pPr>
        <w:adjustRightInd w:val="0"/>
        <w:rPr>
          <w:sz w:val="24"/>
          <w:szCs w:val="24"/>
        </w:rPr>
      </w:pPr>
      <w:r>
        <w:rPr>
          <w:rFonts w:hint="eastAsia" w:cs="仿宋_GB2312"/>
          <w:sz w:val="24"/>
          <w:szCs w:val="24"/>
        </w:rPr>
        <w:t xml:space="preserve">采购编号：      </w:t>
      </w:r>
    </w:p>
    <w:tbl>
      <w:tblPr>
        <w:tblStyle w:val="15"/>
        <w:tblW w:w="86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9"/>
        <w:gridCol w:w="1080"/>
        <w:gridCol w:w="3311"/>
        <w:gridCol w:w="2880"/>
        <w:gridCol w:w="9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pPr>
              <w:jc w:val="center"/>
              <w:rPr>
                <w:sz w:val="24"/>
                <w:szCs w:val="24"/>
              </w:rPr>
            </w:pPr>
            <w:r>
              <w:rPr>
                <w:rFonts w:hint="eastAsia" w:cs="黑体"/>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jc w:val="center"/>
              <w:rPr>
                <w:sz w:val="24"/>
                <w:szCs w:val="24"/>
              </w:rPr>
            </w:pPr>
            <w:r>
              <w:rPr>
                <w:rFonts w:hint="eastAsia" w:cs="黑体"/>
              </w:rPr>
              <w:t>名称</w:t>
            </w:r>
          </w:p>
        </w:tc>
        <w:tc>
          <w:tcPr>
            <w:tcW w:w="6191" w:type="dxa"/>
            <w:gridSpan w:val="2"/>
            <w:tcBorders>
              <w:top w:val="single" w:color="auto" w:sz="4" w:space="0"/>
              <w:left w:val="nil"/>
              <w:bottom w:val="single" w:color="auto" w:sz="4" w:space="0"/>
              <w:right w:val="single" w:color="auto" w:sz="4" w:space="0"/>
            </w:tcBorders>
            <w:vAlign w:val="bottom"/>
          </w:tcPr>
          <w:p>
            <w:pPr>
              <w:jc w:val="center"/>
              <w:rPr>
                <w:sz w:val="24"/>
                <w:szCs w:val="24"/>
              </w:rPr>
            </w:pPr>
            <w:r>
              <w:rPr>
                <w:rFonts w:hint="eastAsia" w:cs="黑体"/>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pPr>
              <w:jc w:val="center"/>
              <w:rPr>
                <w:sz w:val="24"/>
                <w:szCs w:val="24"/>
              </w:rPr>
            </w:pPr>
            <w:r>
              <w:rPr>
                <w:rFonts w:hint="eastAsia" w:cs="黑体"/>
              </w:rPr>
              <w:t>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sz w:val="24"/>
                <w:szCs w:val="24"/>
              </w:rPr>
            </w:pPr>
          </w:p>
        </w:tc>
        <w:tc>
          <w:tcPr>
            <w:tcW w:w="3311" w:type="dxa"/>
            <w:tcBorders>
              <w:top w:val="nil"/>
              <w:left w:val="nil"/>
              <w:bottom w:val="single" w:color="auto" w:sz="4" w:space="0"/>
              <w:right w:val="single" w:color="auto" w:sz="4" w:space="0"/>
            </w:tcBorders>
            <w:vAlign w:val="bottom"/>
          </w:tcPr>
          <w:p>
            <w:pPr>
              <w:jc w:val="center"/>
              <w:rPr>
                <w:sz w:val="24"/>
                <w:szCs w:val="24"/>
              </w:rPr>
            </w:pPr>
            <w:r>
              <w:rPr>
                <w:rFonts w:hint="eastAsia" w:cs="黑体"/>
              </w:rPr>
              <w:t>谈判文件</w:t>
            </w:r>
          </w:p>
        </w:tc>
        <w:tc>
          <w:tcPr>
            <w:tcW w:w="2880" w:type="dxa"/>
            <w:tcBorders>
              <w:top w:val="nil"/>
              <w:left w:val="nil"/>
              <w:bottom w:val="single" w:color="auto" w:sz="4" w:space="0"/>
              <w:right w:val="single" w:color="auto" w:sz="4" w:space="0"/>
            </w:tcBorders>
            <w:vAlign w:val="bottom"/>
          </w:tcPr>
          <w:p>
            <w:pPr>
              <w:jc w:val="center"/>
              <w:rPr>
                <w:sz w:val="24"/>
                <w:szCs w:val="24"/>
              </w:rPr>
            </w:pPr>
            <w:r>
              <w:rPr>
                <w:rFonts w:hint="eastAsia" w:cs="黑体"/>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rPr>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vAlign w:val="top"/>
          </w:tcPr>
          <w:p>
            <w:pPr>
              <w:spacing w:beforeLines="20" w:afterLines="20"/>
              <w:ind w:left="110" w:leftChars="50" w:right="110" w:rightChars="50"/>
              <w:jc w:val="center"/>
            </w:pPr>
          </w:p>
        </w:tc>
        <w:tc>
          <w:tcPr>
            <w:tcW w:w="1080" w:type="dxa"/>
            <w:tcBorders>
              <w:top w:val="single" w:color="auto" w:sz="4" w:space="0"/>
              <w:left w:val="nil"/>
              <w:bottom w:val="single" w:color="auto" w:sz="4" w:space="0"/>
              <w:right w:val="single" w:color="auto" w:sz="4" w:space="0"/>
            </w:tcBorders>
            <w:vAlign w:val="top"/>
          </w:tcPr>
          <w:p>
            <w:pPr>
              <w:spacing w:beforeLines="20" w:afterLines="20"/>
              <w:ind w:left="110" w:leftChars="50" w:right="110" w:rightChars="50"/>
            </w:pPr>
          </w:p>
        </w:tc>
        <w:tc>
          <w:tcPr>
            <w:tcW w:w="3311" w:type="dxa"/>
            <w:tcBorders>
              <w:top w:val="single" w:color="auto" w:sz="4" w:space="0"/>
              <w:left w:val="nil"/>
              <w:bottom w:val="single" w:color="auto" w:sz="4" w:space="0"/>
              <w:right w:val="single" w:color="auto" w:sz="4" w:space="0"/>
            </w:tcBorders>
            <w:vAlign w:val="top"/>
          </w:tcPr>
          <w:p>
            <w:pPr>
              <w:spacing w:beforeLines="20" w:afterLines="20"/>
              <w:ind w:left="110" w:leftChars="50" w:right="110" w:rightChars="50"/>
            </w:pPr>
          </w:p>
        </w:tc>
        <w:tc>
          <w:tcPr>
            <w:tcW w:w="2880" w:type="dxa"/>
            <w:tcBorders>
              <w:top w:val="single" w:color="auto" w:sz="4" w:space="0"/>
              <w:left w:val="nil"/>
              <w:bottom w:val="single" w:color="auto" w:sz="4" w:space="0"/>
              <w:right w:val="single" w:color="auto" w:sz="4" w:space="0"/>
            </w:tcBorders>
            <w:vAlign w:val="top"/>
          </w:tcPr>
          <w:p>
            <w:pPr>
              <w:spacing w:beforeLines="20"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pPr>
              <w:spacing w:beforeLines="20" w:afterLines="20"/>
              <w:ind w:left="110" w:leftChars="50" w:right="110" w:rightChars="50"/>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vAlign w:val="top"/>
          </w:tcPr>
          <w:p>
            <w:pPr>
              <w:jc w:val="center"/>
            </w:pPr>
          </w:p>
        </w:tc>
        <w:tc>
          <w:tcPr>
            <w:tcW w:w="1080" w:type="dxa"/>
            <w:tcBorders>
              <w:top w:val="single" w:color="auto" w:sz="4" w:space="0"/>
              <w:left w:val="nil"/>
              <w:bottom w:val="single" w:color="auto" w:sz="4" w:space="0"/>
              <w:right w:val="single" w:color="auto" w:sz="4" w:space="0"/>
            </w:tcBorders>
            <w:vAlign w:val="top"/>
          </w:tcPr>
          <w:p/>
        </w:tc>
        <w:tc>
          <w:tcPr>
            <w:tcW w:w="3311" w:type="dxa"/>
            <w:tcBorders>
              <w:top w:val="single" w:color="auto" w:sz="4" w:space="0"/>
              <w:left w:val="nil"/>
              <w:bottom w:val="single" w:color="auto" w:sz="4" w:space="0"/>
              <w:right w:val="single" w:color="auto" w:sz="4" w:space="0"/>
            </w:tcBorders>
            <w:vAlign w:val="top"/>
          </w:tcPr>
          <w:p>
            <w:pPr>
              <w:spacing w:beforeLines="20" w:afterLines="20"/>
              <w:ind w:left="110" w:leftChars="50" w:right="110" w:rightChars="50"/>
            </w:pPr>
          </w:p>
        </w:tc>
        <w:tc>
          <w:tcPr>
            <w:tcW w:w="2880" w:type="dxa"/>
            <w:tcBorders>
              <w:top w:val="single" w:color="auto" w:sz="4" w:space="0"/>
              <w:left w:val="nil"/>
              <w:bottom w:val="single" w:color="auto" w:sz="4" w:space="0"/>
              <w:right w:val="single" w:color="auto" w:sz="4" w:space="0"/>
            </w:tcBorders>
            <w:vAlign w:val="top"/>
          </w:tcPr>
          <w:p>
            <w:pPr>
              <w:spacing w:beforeLines="20"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pPr>
              <w:spacing w:beforeLines="20" w:afterLines="20"/>
              <w:ind w:left="110" w:leftChars="50" w:right="110" w:rightChars="50"/>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vAlign w:val="top"/>
          </w:tcPr>
          <w:p>
            <w:pPr>
              <w:jc w:val="center"/>
            </w:pPr>
          </w:p>
        </w:tc>
        <w:tc>
          <w:tcPr>
            <w:tcW w:w="1080" w:type="dxa"/>
            <w:tcBorders>
              <w:top w:val="single" w:color="auto" w:sz="4" w:space="0"/>
              <w:left w:val="nil"/>
              <w:bottom w:val="single" w:color="auto" w:sz="4" w:space="0"/>
              <w:right w:val="single" w:color="auto" w:sz="4" w:space="0"/>
            </w:tcBorders>
            <w:vAlign w:val="top"/>
          </w:tcPr>
          <w:p/>
        </w:tc>
        <w:tc>
          <w:tcPr>
            <w:tcW w:w="3311" w:type="dxa"/>
            <w:tcBorders>
              <w:top w:val="single" w:color="auto" w:sz="4" w:space="0"/>
              <w:left w:val="nil"/>
              <w:bottom w:val="single" w:color="auto" w:sz="4" w:space="0"/>
              <w:right w:val="single" w:color="auto" w:sz="4" w:space="0"/>
            </w:tcBorders>
            <w:vAlign w:val="top"/>
          </w:tcPr>
          <w:p>
            <w:pPr>
              <w:spacing w:beforeLines="20" w:afterLines="20"/>
              <w:ind w:left="110" w:leftChars="50" w:right="110" w:rightChars="50"/>
            </w:pPr>
          </w:p>
        </w:tc>
        <w:tc>
          <w:tcPr>
            <w:tcW w:w="2880" w:type="dxa"/>
            <w:tcBorders>
              <w:top w:val="single" w:color="auto" w:sz="4" w:space="0"/>
              <w:left w:val="nil"/>
              <w:bottom w:val="single" w:color="auto" w:sz="4" w:space="0"/>
              <w:right w:val="single" w:color="auto" w:sz="4" w:space="0"/>
            </w:tcBorders>
            <w:vAlign w:val="top"/>
          </w:tcPr>
          <w:p>
            <w:pPr>
              <w:spacing w:beforeLines="20"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pPr>
              <w:spacing w:beforeLines="20" w:afterLines="20"/>
              <w:ind w:left="110" w:leftChars="50" w:right="110" w:rightChars="50"/>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vAlign w:val="top"/>
          </w:tcPr>
          <w:p>
            <w:pPr>
              <w:jc w:val="center"/>
            </w:pPr>
          </w:p>
        </w:tc>
        <w:tc>
          <w:tcPr>
            <w:tcW w:w="1080" w:type="dxa"/>
            <w:tcBorders>
              <w:top w:val="single" w:color="auto" w:sz="4" w:space="0"/>
              <w:left w:val="nil"/>
              <w:bottom w:val="single" w:color="auto" w:sz="4" w:space="0"/>
              <w:right w:val="single" w:color="auto" w:sz="4" w:space="0"/>
            </w:tcBorders>
            <w:vAlign w:val="top"/>
          </w:tcPr>
          <w:p/>
        </w:tc>
        <w:tc>
          <w:tcPr>
            <w:tcW w:w="3311" w:type="dxa"/>
            <w:tcBorders>
              <w:top w:val="single" w:color="auto" w:sz="4" w:space="0"/>
              <w:left w:val="nil"/>
              <w:bottom w:val="single" w:color="auto" w:sz="4" w:space="0"/>
              <w:right w:val="single" w:color="auto" w:sz="4" w:space="0"/>
            </w:tcBorders>
            <w:vAlign w:val="top"/>
          </w:tcPr>
          <w:p>
            <w:pPr>
              <w:spacing w:beforeLines="20" w:afterLines="20"/>
              <w:ind w:left="110" w:leftChars="50" w:right="110" w:rightChars="50"/>
            </w:pPr>
          </w:p>
        </w:tc>
        <w:tc>
          <w:tcPr>
            <w:tcW w:w="2880" w:type="dxa"/>
            <w:tcBorders>
              <w:top w:val="single" w:color="auto" w:sz="4" w:space="0"/>
              <w:left w:val="nil"/>
              <w:bottom w:val="single" w:color="auto" w:sz="4" w:space="0"/>
              <w:right w:val="single" w:color="auto" w:sz="4" w:space="0"/>
            </w:tcBorders>
            <w:vAlign w:val="top"/>
          </w:tcPr>
          <w:p>
            <w:pPr>
              <w:spacing w:beforeLines="20"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pPr>
              <w:spacing w:beforeLines="20" w:afterLines="20"/>
              <w:ind w:left="110" w:leftChars="50" w:right="110" w:rightChars="50"/>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vAlign w:val="top"/>
          </w:tcPr>
          <w:p>
            <w:pPr>
              <w:jc w:val="center"/>
            </w:pPr>
          </w:p>
        </w:tc>
        <w:tc>
          <w:tcPr>
            <w:tcW w:w="1080" w:type="dxa"/>
            <w:tcBorders>
              <w:top w:val="single" w:color="auto" w:sz="4" w:space="0"/>
              <w:left w:val="nil"/>
              <w:bottom w:val="single" w:color="auto" w:sz="4" w:space="0"/>
              <w:right w:val="single" w:color="auto" w:sz="4" w:space="0"/>
            </w:tcBorders>
            <w:vAlign w:val="top"/>
          </w:tcPr>
          <w:p/>
        </w:tc>
        <w:tc>
          <w:tcPr>
            <w:tcW w:w="3311" w:type="dxa"/>
            <w:tcBorders>
              <w:top w:val="single" w:color="auto" w:sz="4" w:space="0"/>
              <w:left w:val="nil"/>
              <w:bottom w:val="single" w:color="auto" w:sz="4" w:space="0"/>
              <w:right w:val="single" w:color="auto" w:sz="4" w:space="0"/>
            </w:tcBorders>
            <w:vAlign w:val="top"/>
          </w:tcPr>
          <w:p>
            <w:pPr>
              <w:spacing w:beforeLines="20" w:afterLines="20"/>
              <w:ind w:left="110" w:leftChars="50" w:right="110" w:rightChars="50"/>
            </w:pPr>
          </w:p>
        </w:tc>
        <w:tc>
          <w:tcPr>
            <w:tcW w:w="2880" w:type="dxa"/>
            <w:tcBorders>
              <w:top w:val="single" w:color="auto" w:sz="4" w:space="0"/>
              <w:left w:val="nil"/>
              <w:bottom w:val="single" w:color="auto" w:sz="4" w:space="0"/>
              <w:right w:val="single" w:color="auto" w:sz="4" w:space="0"/>
            </w:tcBorders>
            <w:vAlign w:val="top"/>
          </w:tcPr>
          <w:p>
            <w:pPr>
              <w:spacing w:beforeLines="20" w:afterLines="20"/>
              <w:ind w:left="110" w:leftChars="50" w:right="110" w:rightChars="50"/>
            </w:pPr>
          </w:p>
        </w:tc>
        <w:tc>
          <w:tcPr>
            <w:tcW w:w="944" w:type="dxa"/>
            <w:tcBorders>
              <w:top w:val="single" w:color="auto" w:sz="4" w:space="0"/>
              <w:left w:val="nil"/>
              <w:bottom w:val="single" w:color="auto" w:sz="4" w:space="0"/>
              <w:right w:val="single" w:color="auto" w:sz="4" w:space="0"/>
            </w:tcBorders>
            <w:vAlign w:val="center"/>
          </w:tcPr>
          <w:p>
            <w:pPr>
              <w:spacing w:beforeLines="20" w:afterLines="20"/>
              <w:ind w:left="110" w:leftChars="50" w:right="110" w:rightChars="50"/>
              <w:jc w:val="center"/>
            </w:pPr>
          </w:p>
        </w:tc>
      </w:tr>
    </w:tbl>
    <w:p>
      <w:pPr>
        <w:adjustRightInd w:val="0"/>
        <w:rPr>
          <w:sz w:val="24"/>
          <w:szCs w:val="24"/>
        </w:rPr>
      </w:pPr>
    </w:p>
    <w:p>
      <w:pPr>
        <w:adjustRightInd w:val="0"/>
        <w:rPr>
          <w:rFonts w:cs="仿宋_GB2312"/>
          <w:b/>
          <w:bCs/>
          <w:sz w:val="24"/>
          <w:szCs w:val="24"/>
        </w:rPr>
      </w:pPr>
      <w:r>
        <w:rPr>
          <w:rFonts w:hint="eastAsia" w:cs="仿宋_GB2312"/>
          <w:b/>
          <w:bCs/>
          <w:sz w:val="24"/>
          <w:szCs w:val="24"/>
        </w:rPr>
        <w:t>谈判供应商代表签字：</w:t>
      </w:r>
    </w:p>
    <w:p>
      <w:pPr>
        <w:adjustRightInd w:val="0"/>
        <w:rPr>
          <w:rFonts w:cs="仿宋_GB2312"/>
          <w:b/>
          <w:bCs/>
          <w:sz w:val="24"/>
          <w:szCs w:val="24"/>
        </w:rPr>
      </w:pPr>
      <w:r>
        <w:rPr>
          <w:rFonts w:hint="eastAsia" w:cs="仿宋_GB2312"/>
          <w:b/>
          <w:bCs/>
          <w:sz w:val="24"/>
          <w:szCs w:val="24"/>
        </w:rPr>
        <w:t>谈判供应商公章：</w:t>
      </w:r>
    </w:p>
    <w:p>
      <w:pPr>
        <w:adjustRightInd w:val="0"/>
        <w:rPr>
          <w:b/>
          <w:bCs/>
          <w:sz w:val="24"/>
          <w:szCs w:val="24"/>
        </w:rPr>
      </w:pPr>
      <w:r>
        <w:rPr>
          <w:rFonts w:hint="eastAsia" w:cs="仿宋_GB2312"/>
          <w:b/>
          <w:bCs/>
          <w:sz w:val="24"/>
          <w:szCs w:val="24"/>
        </w:rPr>
        <w:t>日期：</w:t>
      </w:r>
    </w:p>
    <w:p>
      <w:pPr>
        <w:adjustRightInd w:val="0"/>
        <w:rPr>
          <w:sz w:val="24"/>
          <w:szCs w:val="24"/>
        </w:rPr>
      </w:pPr>
    </w:p>
    <w:p>
      <w:pPr>
        <w:adjustRightInd w:val="0"/>
        <w:rPr>
          <w:sz w:val="24"/>
          <w:szCs w:val="24"/>
        </w:rPr>
      </w:pPr>
      <w:r>
        <w:rPr>
          <w:rFonts w:hint="eastAsia" w:cs="仿宋_GB2312"/>
          <w:sz w:val="24"/>
          <w:szCs w:val="24"/>
        </w:rPr>
        <w:t>注：</w:t>
      </w:r>
      <w:r>
        <w:rPr>
          <w:rFonts w:cs="仿宋_GB2312"/>
          <w:sz w:val="24"/>
          <w:szCs w:val="24"/>
        </w:rPr>
        <w:t>1.</w:t>
      </w:r>
      <w:r>
        <w:rPr>
          <w:sz w:val="24"/>
          <w:szCs w:val="24"/>
        </w:rPr>
        <w:t>“</w:t>
      </w:r>
      <w:r>
        <w:rPr>
          <w:rFonts w:hint="eastAsia" w:cs="仿宋_GB2312"/>
          <w:sz w:val="24"/>
          <w:szCs w:val="24"/>
        </w:rPr>
        <w:t>偏差描述</w:t>
      </w:r>
      <w:r>
        <w:rPr>
          <w:sz w:val="24"/>
          <w:szCs w:val="24"/>
        </w:rPr>
        <w:t>”</w:t>
      </w:r>
      <w:r>
        <w:rPr>
          <w:rFonts w:hint="eastAsia" w:cs="仿宋_GB2312"/>
          <w:sz w:val="24"/>
          <w:szCs w:val="24"/>
        </w:rPr>
        <w:t>栏中详细注明响应文件参数与谈判文件中要求有何不同，并说明其符合性。</w:t>
      </w:r>
    </w:p>
    <w:p>
      <w:pPr>
        <w:adjustRightInd w:val="0"/>
        <w:ind w:firstLine="517"/>
        <w:rPr>
          <w:sz w:val="24"/>
          <w:szCs w:val="24"/>
        </w:rPr>
      </w:pPr>
      <w:r>
        <w:rPr>
          <w:rFonts w:cs="仿宋_GB2312"/>
          <w:sz w:val="24"/>
          <w:szCs w:val="24"/>
        </w:rPr>
        <w:t>2</w:t>
      </w:r>
      <w:r>
        <w:rPr>
          <w:rFonts w:hint="eastAsia" w:cs="仿宋_GB2312"/>
          <w:sz w:val="24"/>
          <w:szCs w:val="24"/>
        </w:rPr>
        <w:t>.谈判供应商可根据需要自行增减表格行数。</w:t>
      </w:r>
    </w:p>
    <w:p>
      <w:pPr>
        <w:adjustRightInd w:val="0"/>
        <w:ind w:firstLine="390"/>
        <w:rPr>
          <w:sz w:val="18"/>
          <w:szCs w:val="18"/>
        </w:rPr>
      </w:pPr>
    </w:p>
    <w:p>
      <w:pPr>
        <w:adjustRightInd w:val="0"/>
        <w:rPr>
          <w:sz w:val="28"/>
          <w:szCs w:val="28"/>
        </w:rPr>
      </w:pPr>
    </w:p>
    <w:p>
      <w:pPr>
        <w:adjustRightInd w:val="0"/>
        <w:sectPr>
          <w:pgSz w:w="11907" w:h="16840"/>
          <w:pgMar w:top="1440" w:right="1797" w:bottom="1440" w:left="1797" w:header="720" w:footer="720" w:gutter="0"/>
          <w:cols w:space="720" w:num="1"/>
        </w:sectPr>
      </w:pPr>
    </w:p>
    <w:p>
      <w:pPr>
        <w:adjustRightInd w:val="0"/>
        <w:rPr>
          <w:sz w:val="28"/>
          <w:szCs w:val="28"/>
        </w:rPr>
      </w:pPr>
      <w:r>
        <w:rPr>
          <w:rFonts w:hint="eastAsia" w:cs="黑体"/>
          <w:sz w:val="28"/>
          <w:szCs w:val="28"/>
        </w:rPr>
        <w:t>附件5：</w:t>
      </w:r>
    </w:p>
    <w:p>
      <w:pPr>
        <w:adjustRightInd w:val="0"/>
        <w:jc w:val="center"/>
        <w:rPr>
          <w:rFonts w:cs="黑体"/>
          <w:b/>
          <w:bCs/>
          <w:sz w:val="32"/>
          <w:szCs w:val="32"/>
        </w:rPr>
      </w:pPr>
    </w:p>
    <w:p>
      <w:pPr>
        <w:adjustRightInd w:val="0"/>
        <w:jc w:val="center"/>
        <w:rPr>
          <w:b/>
          <w:bCs/>
          <w:sz w:val="32"/>
          <w:szCs w:val="32"/>
        </w:rPr>
      </w:pPr>
      <w:r>
        <w:rPr>
          <w:rFonts w:hint="eastAsia" w:cs="黑体"/>
          <w:b/>
          <w:bCs/>
          <w:sz w:val="32"/>
          <w:szCs w:val="32"/>
        </w:rPr>
        <w:t>服务承诺</w:t>
      </w:r>
    </w:p>
    <w:p>
      <w:pPr>
        <w:adjustRightInd w:val="0"/>
        <w:jc w:val="center"/>
        <w:rPr>
          <w:sz w:val="28"/>
          <w:szCs w:val="28"/>
        </w:rPr>
      </w:pPr>
    </w:p>
    <w:p>
      <w:pPr>
        <w:adjustRightInd w:val="0"/>
        <w:ind w:firstLine="585"/>
        <w:rPr>
          <w:sz w:val="24"/>
          <w:szCs w:val="24"/>
        </w:rPr>
      </w:pPr>
      <w:r>
        <w:rPr>
          <w:rFonts w:cs="仿宋_GB2312"/>
          <w:sz w:val="24"/>
          <w:szCs w:val="24"/>
        </w:rPr>
        <w:t>1</w:t>
      </w:r>
      <w:r>
        <w:rPr>
          <w:rFonts w:hint="eastAsia" w:cs="仿宋_GB2312"/>
          <w:sz w:val="24"/>
          <w:szCs w:val="24"/>
        </w:rPr>
        <w:t>、详细说明售后服务的内容、形式，含免费服务时间。</w:t>
      </w:r>
    </w:p>
    <w:p>
      <w:pPr>
        <w:adjustRightInd w:val="0"/>
        <w:ind w:firstLine="585"/>
        <w:rPr>
          <w:sz w:val="24"/>
          <w:szCs w:val="24"/>
        </w:rPr>
      </w:pPr>
      <w:r>
        <w:rPr>
          <w:rFonts w:cs="仿宋_GB2312"/>
          <w:sz w:val="24"/>
          <w:szCs w:val="24"/>
        </w:rPr>
        <w:t>2</w:t>
      </w:r>
      <w:r>
        <w:rPr>
          <w:rFonts w:hint="eastAsia" w:cs="仿宋_GB2312"/>
          <w:sz w:val="24"/>
          <w:szCs w:val="24"/>
        </w:rPr>
        <w:t>、解决质量或操作问题时间。</w:t>
      </w:r>
    </w:p>
    <w:p>
      <w:pPr>
        <w:adjustRightInd w:val="0"/>
        <w:ind w:firstLine="630"/>
        <w:rPr>
          <w:sz w:val="24"/>
          <w:szCs w:val="24"/>
        </w:rPr>
      </w:pPr>
      <w:r>
        <w:rPr>
          <w:sz w:val="24"/>
          <w:szCs w:val="24"/>
        </w:rPr>
        <w:t>3</w:t>
      </w:r>
      <w:r>
        <w:rPr>
          <w:rFonts w:hint="eastAsia" w:cs="仿宋_GB2312"/>
          <w:sz w:val="24"/>
          <w:szCs w:val="24"/>
        </w:rPr>
        <w:t>、质量保证措施。</w:t>
      </w:r>
    </w:p>
    <w:p>
      <w:pPr>
        <w:adjustRightInd w:val="0"/>
        <w:ind w:firstLine="630"/>
        <w:rPr>
          <w:sz w:val="24"/>
          <w:szCs w:val="24"/>
        </w:rPr>
      </w:pPr>
      <w:r>
        <w:rPr>
          <w:rFonts w:hint="eastAsia" w:cs="仿宋_GB2312"/>
          <w:sz w:val="24"/>
          <w:szCs w:val="24"/>
        </w:rPr>
        <w:t>4、谈判供应商认为需要说明的其他服务承诺。</w:t>
      </w:r>
    </w:p>
    <w:p>
      <w:pPr>
        <w:adjustRightInd w:val="0"/>
        <w:rPr>
          <w:sz w:val="28"/>
          <w:szCs w:val="28"/>
        </w:rPr>
      </w:pPr>
    </w:p>
    <w:p>
      <w:pPr>
        <w:adjustRightInd w:val="0"/>
        <w:rPr>
          <w:sz w:val="28"/>
          <w:szCs w:val="28"/>
        </w:rPr>
      </w:pPr>
    </w:p>
    <w:p>
      <w:pPr>
        <w:adjustRightInd w:val="0"/>
        <w:rPr>
          <w:sz w:val="24"/>
          <w:szCs w:val="24"/>
        </w:rPr>
      </w:pPr>
    </w:p>
    <w:p>
      <w:pPr>
        <w:adjustRightInd w:val="0"/>
        <w:ind w:firstLine="240" w:firstLineChars="100"/>
        <w:rPr>
          <w:rFonts w:cs="楷体_GB2312"/>
          <w:sz w:val="24"/>
          <w:szCs w:val="24"/>
        </w:rPr>
      </w:pPr>
      <w:r>
        <w:rPr>
          <w:rFonts w:hint="eastAsia" w:cs="仿宋_GB2312"/>
          <w:sz w:val="24"/>
          <w:szCs w:val="24"/>
        </w:rPr>
        <w:t>谈判供应商代表签名：</w:t>
      </w:r>
    </w:p>
    <w:p>
      <w:pPr>
        <w:adjustRightInd w:val="0"/>
        <w:rPr>
          <w:rFonts w:cs="楷体_GB2312"/>
          <w:sz w:val="24"/>
          <w:szCs w:val="24"/>
        </w:rPr>
      </w:pPr>
    </w:p>
    <w:p>
      <w:pPr>
        <w:adjustRightInd w:val="0"/>
        <w:ind w:firstLine="280"/>
        <w:rPr>
          <w:rFonts w:cs="楷体_GB2312"/>
          <w:sz w:val="24"/>
          <w:szCs w:val="24"/>
        </w:rPr>
      </w:pPr>
    </w:p>
    <w:p>
      <w:pPr>
        <w:adjustRightInd w:val="0"/>
        <w:ind w:firstLine="280"/>
        <w:rPr>
          <w:sz w:val="24"/>
          <w:szCs w:val="24"/>
        </w:rPr>
      </w:pPr>
      <w:r>
        <w:rPr>
          <w:rFonts w:hint="eastAsia" w:cs="仿宋_GB2312"/>
          <w:sz w:val="24"/>
          <w:szCs w:val="24"/>
        </w:rPr>
        <w:t>谈判供应商</w:t>
      </w:r>
      <w:r>
        <w:rPr>
          <w:rFonts w:hint="eastAsia" w:cs="仿宋_GB2312"/>
          <w:sz w:val="24"/>
          <w:szCs w:val="24"/>
          <w:lang w:val="en-US"/>
        </w:rPr>
        <w:t>电子</w:t>
      </w:r>
      <w:r>
        <w:rPr>
          <w:rFonts w:hint="eastAsia" w:cs="仿宋_GB2312"/>
          <w:sz w:val="24"/>
          <w:szCs w:val="24"/>
        </w:rPr>
        <w:t>公章：</w:t>
      </w:r>
    </w:p>
    <w:p>
      <w:pPr>
        <w:adjustRightInd w:val="0"/>
        <w:ind w:firstLine="3480" w:firstLineChars="1450"/>
        <w:rPr>
          <w:rFonts w:cs="仿宋_GB2312"/>
          <w:sz w:val="24"/>
          <w:szCs w:val="24"/>
        </w:rPr>
      </w:pPr>
    </w:p>
    <w:p>
      <w:pPr>
        <w:adjustRightInd w:val="0"/>
        <w:ind w:firstLine="240" w:firstLineChars="100"/>
        <w:rPr>
          <w:rFonts w:cs="仿宋_GB2312"/>
          <w:sz w:val="24"/>
          <w:szCs w:val="24"/>
        </w:rPr>
      </w:pPr>
      <w:r>
        <w:rPr>
          <w:rFonts w:hint="eastAsia" w:cs="仿宋_GB2312"/>
          <w:sz w:val="24"/>
          <w:szCs w:val="24"/>
        </w:rPr>
        <w:t>日  期：</w:t>
      </w:r>
    </w:p>
    <w:p>
      <w:pPr>
        <w:adjustRightInd w:val="0"/>
        <w:rPr>
          <w:sz w:val="28"/>
          <w:szCs w:val="28"/>
        </w:rPr>
      </w:pPr>
    </w:p>
    <w:p>
      <w:pPr>
        <w:adjustRightInd w:val="0"/>
        <w:rPr>
          <w:sz w:val="28"/>
          <w:szCs w:val="28"/>
        </w:rPr>
      </w:pPr>
    </w:p>
    <w:p>
      <w:pPr>
        <w:adjustRightInd w:val="0"/>
        <w:sectPr>
          <w:pgSz w:w="12240" w:h="15840"/>
          <w:pgMar w:top="1440" w:right="1797" w:bottom="1440" w:left="1797" w:header="720" w:footer="720" w:gutter="0"/>
          <w:cols w:space="720" w:num="1"/>
        </w:sectPr>
      </w:pPr>
    </w:p>
    <w:p>
      <w:pPr>
        <w:adjustRightInd w:val="0"/>
        <w:rPr>
          <w:sz w:val="28"/>
          <w:szCs w:val="28"/>
        </w:rPr>
      </w:pPr>
      <w:r>
        <w:rPr>
          <w:rFonts w:hint="eastAsia" w:cs="黑体"/>
          <w:sz w:val="28"/>
          <w:szCs w:val="28"/>
        </w:rPr>
        <w:t>附件6：</w:t>
      </w:r>
    </w:p>
    <w:p>
      <w:pPr>
        <w:adjustRightInd w:val="0"/>
        <w:jc w:val="center"/>
        <w:rPr>
          <w:b/>
          <w:bCs/>
          <w:sz w:val="32"/>
          <w:szCs w:val="32"/>
        </w:rPr>
      </w:pPr>
      <w:r>
        <w:rPr>
          <w:rFonts w:hint="eastAsia" w:cs="黑体"/>
          <w:b/>
          <w:bCs/>
          <w:sz w:val="32"/>
          <w:szCs w:val="32"/>
        </w:rPr>
        <w:t>关于资格的声明函</w:t>
      </w:r>
    </w:p>
    <w:p>
      <w:pPr>
        <w:adjustRightInd w:val="0"/>
        <w:rPr>
          <w:sz w:val="36"/>
          <w:szCs w:val="36"/>
        </w:rPr>
      </w:pPr>
    </w:p>
    <w:p>
      <w:pPr>
        <w:adjustRightInd w:val="0"/>
        <w:rPr>
          <w:sz w:val="24"/>
          <w:szCs w:val="24"/>
        </w:rPr>
      </w:pPr>
      <w:r>
        <w:rPr>
          <w:rFonts w:hint="eastAsia" w:cs="仿宋_GB2312"/>
          <w:sz w:val="24"/>
          <w:szCs w:val="24"/>
        </w:rPr>
        <w:t>周口市政府采购中心：</w:t>
      </w:r>
    </w:p>
    <w:p>
      <w:pPr>
        <w:adjustRightInd w:val="0"/>
        <w:ind w:firstLine="480" w:firstLineChars="200"/>
        <w:rPr>
          <w:sz w:val="24"/>
          <w:szCs w:val="24"/>
        </w:rPr>
      </w:pPr>
      <w:r>
        <w:rPr>
          <w:rFonts w:hint="eastAsia" w:cs="仿宋_GB2312"/>
          <w:sz w:val="24"/>
          <w:szCs w:val="24"/>
        </w:rPr>
        <w:t>关于贵方的项目谈判邀请，本签字人愿意参加谈判，提供谈判项目一览表中规定的货物，并声明提交的下列文件是准确和真实的。</w:t>
      </w:r>
    </w:p>
    <w:p>
      <w:pPr>
        <w:adjustRightInd w:val="0"/>
        <w:ind w:firstLine="480"/>
        <w:rPr>
          <w:rFonts w:cs="仿宋_GB2312"/>
          <w:sz w:val="24"/>
          <w:szCs w:val="24"/>
        </w:rPr>
      </w:pPr>
      <w:r>
        <w:rPr>
          <w:rFonts w:cs="仿宋_GB2312"/>
          <w:sz w:val="24"/>
          <w:szCs w:val="24"/>
        </w:rPr>
        <w:t>1</w:t>
      </w:r>
      <w:r>
        <w:rPr>
          <w:rFonts w:hint="eastAsia" w:cs="仿宋_GB2312"/>
          <w:sz w:val="24"/>
          <w:szCs w:val="24"/>
        </w:rPr>
        <w:t>、企业法人营业执照。</w:t>
      </w:r>
    </w:p>
    <w:p>
      <w:pPr>
        <w:adjustRightInd w:val="0"/>
        <w:ind w:firstLine="480"/>
        <w:rPr>
          <w:sz w:val="24"/>
          <w:szCs w:val="24"/>
        </w:rPr>
      </w:pPr>
      <w:r>
        <w:rPr>
          <w:rFonts w:hint="eastAsia" w:cs="仿宋_GB2312"/>
          <w:sz w:val="24"/>
          <w:szCs w:val="24"/>
        </w:rPr>
        <w:t>2、法定代表人授权委托书。</w:t>
      </w:r>
    </w:p>
    <w:p>
      <w:pPr>
        <w:adjustRightInd w:val="0"/>
        <w:ind w:firstLine="480" w:firstLineChars="200"/>
        <w:rPr>
          <w:sz w:val="24"/>
          <w:szCs w:val="24"/>
        </w:rPr>
      </w:pPr>
      <w:r>
        <w:rPr>
          <w:rFonts w:hint="eastAsia" w:cs="仿宋_GB2312"/>
          <w:sz w:val="24"/>
          <w:szCs w:val="24"/>
        </w:rPr>
        <w:t>3、委托代理人身份证。</w:t>
      </w:r>
    </w:p>
    <w:p>
      <w:pPr>
        <w:adjustRightInd w:val="0"/>
        <w:rPr>
          <w:sz w:val="24"/>
          <w:szCs w:val="24"/>
        </w:rPr>
      </w:pPr>
      <w:r>
        <w:rPr>
          <w:rFonts w:hint="eastAsia" w:cs="仿宋_GB2312"/>
          <w:sz w:val="24"/>
          <w:szCs w:val="24"/>
        </w:rPr>
        <w:t xml:space="preserve"> </w:t>
      </w:r>
      <w:r>
        <w:rPr>
          <w:rFonts w:hint="eastAsia" w:cs="仿宋_GB2312"/>
          <w:sz w:val="24"/>
          <w:szCs w:val="24"/>
          <w:lang w:val="en-US"/>
        </w:rPr>
        <w:t xml:space="preserve">   4</w:t>
      </w:r>
      <w:r>
        <w:rPr>
          <w:rFonts w:hint="eastAsia" w:cs="仿宋_GB2312"/>
          <w:sz w:val="24"/>
          <w:szCs w:val="24"/>
        </w:rPr>
        <w:t>、其它证明文件或证件。</w:t>
      </w:r>
    </w:p>
    <w:p>
      <w:pPr>
        <w:adjustRightInd w:val="0"/>
        <w:ind w:firstLine="480"/>
        <w:rPr>
          <w:sz w:val="24"/>
          <w:szCs w:val="24"/>
        </w:rPr>
      </w:pPr>
      <w:r>
        <w:rPr>
          <w:rFonts w:hint="eastAsia" w:cs="仿宋_GB2312"/>
          <w:sz w:val="24"/>
          <w:szCs w:val="24"/>
        </w:rPr>
        <w:t>本签字人确认资格文件中的说明是真实的、准确的。</w:t>
      </w:r>
    </w:p>
    <w:p>
      <w:pPr>
        <w:adjustRightInd w:val="0"/>
        <w:ind w:firstLine="480"/>
        <w:rPr>
          <w:sz w:val="24"/>
          <w:szCs w:val="24"/>
        </w:rPr>
      </w:pPr>
    </w:p>
    <w:p>
      <w:pPr>
        <w:adjustRightInd w:val="0"/>
        <w:ind w:firstLine="480"/>
        <w:rPr>
          <w:sz w:val="24"/>
          <w:szCs w:val="24"/>
        </w:rPr>
      </w:pPr>
    </w:p>
    <w:p>
      <w:pPr>
        <w:adjustRightInd w:val="0"/>
        <w:ind w:firstLine="480"/>
        <w:rPr>
          <w:sz w:val="24"/>
          <w:szCs w:val="24"/>
        </w:rPr>
      </w:pPr>
    </w:p>
    <w:p>
      <w:pPr>
        <w:adjustRightInd w:val="0"/>
        <w:ind w:firstLine="480"/>
        <w:rPr>
          <w:sz w:val="24"/>
          <w:szCs w:val="24"/>
        </w:rPr>
      </w:pPr>
    </w:p>
    <w:p>
      <w:pPr>
        <w:adjustRightInd w:val="0"/>
        <w:ind w:firstLine="360" w:firstLineChars="150"/>
        <w:rPr>
          <w:sz w:val="24"/>
          <w:szCs w:val="24"/>
        </w:rPr>
      </w:pPr>
      <w:r>
        <w:rPr>
          <w:rFonts w:hint="eastAsia" w:cs="仿宋_GB2312"/>
          <w:sz w:val="24"/>
          <w:szCs w:val="24"/>
        </w:rPr>
        <w:t xml:space="preserve">单位名称（签章）：    </w:t>
      </w:r>
      <w:r>
        <w:rPr>
          <w:rFonts w:hint="eastAsia" w:cs="仿宋_GB2312"/>
          <w:sz w:val="24"/>
          <w:szCs w:val="24"/>
          <w:lang w:val="en-US"/>
        </w:rPr>
        <w:t xml:space="preserve">    </w:t>
      </w:r>
      <w:r>
        <w:rPr>
          <w:rFonts w:hint="eastAsia" w:cs="仿宋_GB2312"/>
          <w:sz w:val="24"/>
          <w:szCs w:val="24"/>
        </w:rPr>
        <w:t>法定代表人（签字）：</w:t>
      </w:r>
    </w:p>
    <w:p>
      <w:pPr>
        <w:adjustRightInd w:val="0"/>
        <w:ind w:firstLine="360" w:firstLineChars="150"/>
        <w:rPr>
          <w:rFonts w:cs="仿宋_GB2312"/>
          <w:sz w:val="24"/>
          <w:szCs w:val="24"/>
        </w:rPr>
      </w:pPr>
      <w:r>
        <w:rPr>
          <w:rFonts w:hint="eastAsia" w:cs="仿宋_GB2312"/>
          <w:sz w:val="24"/>
          <w:szCs w:val="24"/>
        </w:rPr>
        <w:t>地址：邮政编码：</w:t>
      </w:r>
    </w:p>
    <w:p>
      <w:pPr>
        <w:adjustRightInd w:val="0"/>
        <w:ind w:firstLine="360" w:firstLineChars="150"/>
        <w:rPr>
          <w:sz w:val="24"/>
          <w:szCs w:val="24"/>
        </w:rPr>
      </w:pPr>
      <w:r>
        <w:rPr>
          <w:rFonts w:hint="eastAsia" w:cs="仿宋_GB2312"/>
          <w:sz w:val="24"/>
          <w:szCs w:val="24"/>
        </w:rPr>
        <w:t>签字人姓名、职务（印刷体）：</w:t>
      </w:r>
    </w:p>
    <w:p>
      <w:pPr>
        <w:adjustRightInd w:val="0"/>
        <w:ind w:firstLine="360" w:firstLineChars="150"/>
        <w:rPr>
          <w:rFonts w:cs="仿宋_GB2312"/>
          <w:sz w:val="24"/>
          <w:szCs w:val="24"/>
        </w:rPr>
      </w:pPr>
      <w:r>
        <w:rPr>
          <w:rFonts w:hint="eastAsia" w:cs="仿宋_GB2312"/>
          <w:sz w:val="24"/>
          <w:szCs w:val="24"/>
        </w:rPr>
        <w:t>电话：</w:t>
      </w:r>
    </w:p>
    <w:p>
      <w:pPr>
        <w:adjustRightInd w:val="0"/>
        <w:ind w:firstLine="360" w:firstLineChars="150"/>
        <w:rPr>
          <w:rFonts w:cs="仿宋_GB2312"/>
          <w:sz w:val="24"/>
          <w:szCs w:val="24"/>
        </w:rPr>
      </w:pPr>
      <w:r>
        <w:rPr>
          <w:rFonts w:hint="eastAsia" w:cs="仿宋_GB2312"/>
          <w:sz w:val="24"/>
          <w:szCs w:val="24"/>
        </w:rPr>
        <w:t>传真：</w:t>
      </w:r>
    </w:p>
    <w:p>
      <w:pPr>
        <w:adjustRightInd w:val="0"/>
        <w:ind w:firstLine="360" w:firstLineChars="150"/>
        <w:rPr>
          <w:sz w:val="24"/>
          <w:szCs w:val="24"/>
        </w:rPr>
      </w:pPr>
      <w:r>
        <w:rPr>
          <w:rFonts w:hint="eastAsia" w:cs="仿宋_GB2312"/>
          <w:sz w:val="24"/>
          <w:szCs w:val="24"/>
        </w:rPr>
        <w:t>日期：</w:t>
      </w:r>
    </w:p>
    <w:p>
      <w:pPr>
        <w:adjustRightInd w:val="0"/>
        <w:rPr>
          <w:rFonts w:cs="仿宋_GB2312"/>
          <w:sz w:val="24"/>
          <w:szCs w:val="24"/>
        </w:rPr>
      </w:pPr>
    </w:p>
    <w:p>
      <w:pPr>
        <w:adjustRightInd w:val="0"/>
        <w:rPr>
          <w:sz w:val="28"/>
          <w:szCs w:val="28"/>
        </w:rPr>
      </w:pPr>
    </w:p>
    <w:p>
      <w:pPr>
        <w:adjustRightInd w:val="0"/>
        <w:rPr>
          <w:sz w:val="28"/>
          <w:szCs w:val="28"/>
        </w:rPr>
      </w:pPr>
    </w:p>
    <w:p>
      <w:pPr>
        <w:adjustRightInd w:val="0"/>
        <w:sectPr>
          <w:pgSz w:w="12240" w:h="15840"/>
          <w:pgMar w:top="1440" w:right="1797" w:bottom="1440" w:left="1797" w:header="720" w:footer="720" w:gutter="0"/>
          <w:cols w:space="720" w:num="1"/>
        </w:sectPr>
      </w:pPr>
    </w:p>
    <w:p>
      <w:pPr>
        <w:adjustRightInd w:val="0"/>
        <w:rPr>
          <w:rFonts w:cs="黑体"/>
          <w:sz w:val="28"/>
          <w:szCs w:val="28"/>
        </w:rPr>
      </w:pPr>
      <w:r>
        <w:rPr>
          <w:rFonts w:hint="eastAsia" w:cs="黑体"/>
          <w:sz w:val="28"/>
          <w:szCs w:val="28"/>
        </w:rPr>
        <w:t>附件7：</w:t>
      </w:r>
    </w:p>
    <w:p>
      <w:pPr>
        <w:adjustRightInd w:val="0"/>
        <w:jc w:val="center"/>
        <w:rPr>
          <w:rFonts w:cs="黑体"/>
          <w:b/>
          <w:bCs/>
          <w:sz w:val="32"/>
          <w:szCs w:val="32"/>
        </w:rPr>
      </w:pPr>
      <w:r>
        <w:rPr>
          <w:rFonts w:hint="eastAsia" w:cs="黑体"/>
          <w:b/>
          <w:bCs/>
          <w:sz w:val="32"/>
          <w:szCs w:val="32"/>
        </w:rPr>
        <w:t>授权委托书</w:t>
      </w:r>
    </w:p>
    <w:p>
      <w:pPr>
        <w:adjustRightInd w:val="0"/>
        <w:jc w:val="center"/>
        <w:rPr>
          <w:b/>
          <w:bCs/>
          <w:sz w:val="32"/>
          <w:szCs w:val="32"/>
        </w:rPr>
      </w:pPr>
    </w:p>
    <w:p>
      <w:pPr>
        <w:adjustRightInd w:val="0"/>
        <w:rPr>
          <w:rFonts w:cs="仿宋_GB2312"/>
          <w:sz w:val="24"/>
          <w:szCs w:val="24"/>
          <w:u w:val="single"/>
        </w:rPr>
      </w:pPr>
      <w:r>
        <w:rPr>
          <w:rFonts w:hint="eastAsia" w:cs="仿宋_GB2312"/>
          <w:sz w:val="24"/>
          <w:szCs w:val="24"/>
        </w:rPr>
        <w:t>委托单位：</w:t>
      </w:r>
    </w:p>
    <w:p>
      <w:pPr>
        <w:adjustRightInd w:val="0"/>
        <w:rPr>
          <w:rFonts w:cs="仿宋_GB2312"/>
          <w:sz w:val="24"/>
          <w:szCs w:val="24"/>
        </w:rPr>
      </w:pPr>
    </w:p>
    <w:p>
      <w:pPr>
        <w:adjustRightInd w:val="0"/>
        <w:rPr>
          <w:rFonts w:cs="仿宋_GB2312"/>
          <w:sz w:val="24"/>
          <w:szCs w:val="24"/>
          <w:u w:val="single"/>
        </w:rPr>
      </w:pPr>
      <w:r>
        <w:rPr>
          <w:rFonts w:hint="eastAsia" w:cs="仿宋_GB2312"/>
          <w:sz w:val="24"/>
          <w:szCs w:val="24"/>
        </w:rPr>
        <w:t>地址：       法定代表人：</w:t>
      </w:r>
    </w:p>
    <w:p>
      <w:pPr>
        <w:adjustRightInd w:val="0"/>
        <w:rPr>
          <w:rFonts w:cs="仿宋_GB2312"/>
          <w:sz w:val="24"/>
          <w:szCs w:val="24"/>
        </w:rPr>
      </w:pPr>
    </w:p>
    <w:p>
      <w:pPr>
        <w:adjustRightInd w:val="0"/>
        <w:rPr>
          <w:rFonts w:cs="仿宋_GB2312"/>
          <w:sz w:val="24"/>
          <w:szCs w:val="24"/>
        </w:rPr>
      </w:pPr>
      <w:r>
        <w:rPr>
          <w:rFonts w:hint="eastAsia" w:cs="仿宋_GB2312"/>
          <w:sz w:val="24"/>
          <w:szCs w:val="24"/>
        </w:rPr>
        <w:t>受托人姓名：    性别：    出生日期： 年 月 日</w:t>
      </w:r>
    </w:p>
    <w:p>
      <w:pPr>
        <w:adjustRightInd w:val="0"/>
        <w:rPr>
          <w:rFonts w:cs="仿宋_GB2312"/>
          <w:sz w:val="24"/>
          <w:szCs w:val="24"/>
        </w:rPr>
      </w:pPr>
    </w:p>
    <w:p>
      <w:pPr>
        <w:adjustRightInd w:val="0"/>
        <w:rPr>
          <w:rFonts w:cs="仿宋_GB2312"/>
          <w:sz w:val="24"/>
          <w:szCs w:val="24"/>
          <w:u w:val="single"/>
        </w:rPr>
      </w:pPr>
      <w:r>
        <w:rPr>
          <w:rFonts w:hint="eastAsia" w:cs="仿宋_GB2312"/>
          <w:sz w:val="24"/>
          <w:szCs w:val="24"/>
        </w:rPr>
        <w:t>所在单位：      职务：</w:t>
      </w:r>
    </w:p>
    <w:p>
      <w:pPr>
        <w:adjustRightInd w:val="0"/>
        <w:rPr>
          <w:rFonts w:cs="仿宋_GB2312"/>
          <w:sz w:val="24"/>
          <w:szCs w:val="24"/>
        </w:rPr>
      </w:pPr>
    </w:p>
    <w:p>
      <w:pPr>
        <w:adjustRightInd w:val="0"/>
        <w:rPr>
          <w:rFonts w:cs="仿宋_GB2312"/>
          <w:sz w:val="24"/>
          <w:szCs w:val="24"/>
          <w:u w:val="single"/>
        </w:rPr>
      </w:pPr>
      <w:r>
        <w:rPr>
          <w:rFonts w:hint="eastAsia" w:cs="仿宋_GB2312"/>
          <w:sz w:val="24"/>
          <w:szCs w:val="24"/>
        </w:rPr>
        <w:t>身份证：        现住：</w:t>
      </w:r>
    </w:p>
    <w:p>
      <w:pPr>
        <w:adjustRightInd w:val="0"/>
        <w:spacing w:line="320" w:lineRule="exact"/>
        <w:ind w:firstLine="480" w:firstLineChars="200"/>
        <w:rPr>
          <w:rFonts w:cs="仿宋_GB2312"/>
          <w:sz w:val="24"/>
          <w:szCs w:val="24"/>
        </w:rPr>
      </w:pPr>
      <w:r>
        <w:rPr>
          <w:rFonts w:hint="eastAsia" w:cs="仿宋_GB2312"/>
          <w:sz w:val="24"/>
          <w:szCs w:val="24"/>
        </w:rPr>
        <w:t>兹委托受托人代表我单位参加项目谈判事宜，并授权其全权办理以下事宜：</w:t>
      </w:r>
    </w:p>
    <w:p>
      <w:pPr>
        <w:adjustRightInd w:val="0"/>
        <w:spacing w:line="320" w:lineRule="exact"/>
        <w:ind w:firstLine="480" w:firstLineChars="200"/>
        <w:rPr>
          <w:rFonts w:cs="仿宋_GB2312"/>
          <w:sz w:val="24"/>
          <w:szCs w:val="24"/>
        </w:rPr>
      </w:pPr>
      <w:r>
        <w:rPr>
          <w:rFonts w:cs="仿宋_GB2312"/>
          <w:sz w:val="24"/>
          <w:szCs w:val="24"/>
        </w:rPr>
        <w:t>1</w:t>
      </w:r>
      <w:r>
        <w:rPr>
          <w:rFonts w:hint="eastAsia" w:cs="仿宋_GB2312"/>
          <w:sz w:val="24"/>
          <w:szCs w:val="24"/>
        </w:rPr>
        <w:t>、参加谈判活动。</w:t>
      </w:r>
    </w:p>
    <w:p>
      <w:pPr>
        <w:adjustRightInd w:val="0"/>
        <w:spacing w:line="320" w:lineRule="exact"/>
        <w:ind w:firstLine="480" w:firstLineChars="200"/>
        <w:rPr>
          <w:rFonts w:cs="仿宋_GB2312"/>
          <w:sz w:val="24"/>
          <w:szCs w:val="24"/>
        </w:rPr>
      </w:pPr>
      <w:r>
        <w:rPr>
          <w:rFonts w:cs="仿宋_GB2312"/>
          <w:sz w:val="24"/>
          <w:szCs w:val="24"/>
        </w:rPr>
        <w:t>2</w:t>
      </w:r>
      <w:r>
        <w:rPr>
          <w:rFonts w:hint="eastAsia" w:cs="仿宋_GB2312"/>
          <w:sz w:val="24"/>
          <w:szCs w:val="24"/>
        </w:rPr>
        <w:t>、出席谈判会议。</w:t>
      </w:r>
    </w:p>
    <w:p>
      <w:pPr>
        <w:adjustRightInd w:val="0"/>
        <w:spacing w:line="320" w:lineRule="exact"/>
        <w:ind w:firstLine="480" w:firstLineChars="200"/>
        <w:rPr>
          <w:rFonts w:cs="仿宋_GB2312"/>
          <w:sz w:val="24"/>
          <w:szCs w:val="24"/>
        </w:rPr>
      </w:pPr>
      <w:r>
        <w:rPr>
          <w:rFonts w:cs="仿宋_GB2312"/>
          <w:sz w:val="24"/>
          <w:szCs w:val="24"/>
        </w:rPr>
        <w:t>3</w:t>
      </w:r>
      <w:r>
        <w:rPr>
          <w:rFonts w:hint="eastAsia" w:cs="仿宋_GB2312"/>
          <w:sz w:val="24"/>
          <w:szCs w:val="24"/>
        </w:rPr>
        <w:t>、确定谈判采购的最终报价。</w:t>
      </w:r>
    </w:p>
    <w:p>
      <w:pPr>
        <w:adjustRightInd w:val="0"/>
        <w:spacing w:line="320" w:lineRule="exact"/>
        <w:ind w:firstLine="480" w:firstLineChars="200"/>
        <w:rPr>
          <w:rFonts w:cs="仿宋_GB2312"/>
          <w:sz w:val="24"/>
          <w:szCs w:val="24"/>
        </w:rPr>
      </w:pPr>
      <w:r>
        <w:rPr>
          <w:rFonts w:cs="仿宋_GB2312"/>
          <w:sz w:val="24"/>
          <w:szCs w:val="24"/>
        </w:rPr>
        <w:t>4</w:t>
      </w:r>
      <w:r>
        <w:rPr>
          <w:rFonts w:hint="eastAsia" w:cs="仿宋_GB2312"/>
          <w:sz w:val="24"/>
          <w:szCs w:val="24"/>
        </w:rPr>
        <w:t>、签订与成交事宜有关的合同。</w:t>
      </w:r>
    </w:p>
    <w:p>
      <w:pPr>
        <w:adjustRightInd w:val="0"/>
        <w:spacing w:line="320" w:lineRule="exact"/>
        <w:ind w:firstLine="480" w:firstLineChars="200"/>
        <w:rPr>
          <w:rFonts w:cs="仿宋_GB2312"/>
          <w:sz w:val="24"/>
          <w:szCs w:val="24"/>
        </w:rPr>
      </w:pPr>
      <w:r>
        <w:rPr>
          <w:rFonts w:cs="仿宋_GB2312"/>
          <w:sz w:val="24"/>
          <w:szCs w:val="24"/>
        </w:rPr>
        <w:t>5</w:t>
      </w:r>
      <w:r>
        <w:rPr>
          <w:rFonts w:hint="eastAsia" w:cs="仿宋_GB2312"/>
          <w:sz w:val="24"/>
          <w:szCs w:val="24"/>
        </w:rPr>
        <w:t>、负责合同的履行、服务以及在合同履行过程中有关事宜的洽谈和处理。</w:t>
      </w:r>
    </w:p>
    <w:p>
      <w:pPr>
        <w:adjustRightInd w:val="0"/>
        <w:spacing w:line="320" w:lineRule="exact"/>
        <w:ind w:firstLine="480" w:firstLineChars="200"/>
        <w:rPr>
          <w:rFonts w:cs="仿宋_GB2312"/>
          <w:sz w:val="24"/>
          <w:szCs w:val="24"/>
        </w:rPr>
      </w:pPr>
      <w:r>
        <w:rPr>
          <w:rFonts w:hint="eastAsia" w:cs="仿宋_GB2312"/>
          <w:sz w:val="24"/>
          <w:szCs w:val="24"/>
        </w:rPr>
        <w:t>受托人在办理上述事宜过程中以其自己的名义签署的所有文件我单位均予以承认。</w:t>
      </w:r>
    </w:p>
    <w:p>
      <w:pPr>
        <w:adjustRightInd w:val="0"/>
        <w:spacing w:line="320" w:lineRule="exact"/>
        <w:ind w:firstLine="480" w:firstLineChars="200"/>
        <w:rPr>
          <w:rFonts w:cs="仿宋_GB2312"/>
          <w:sz w:val="24"/>
          <w:szCs w:val="24"/>
        </w:rPr>
      </w:pPr>
      <w:r>
        <w:rPr>
          <w:rFonts w:hint="eastAsia" w:cs="仿宋_GB2312"/>
          <w:sz w:val="24"/>
          <w:szCs w:val="24"/>
        </w:rPr>
        <w:t>受托人无转委托权。</w:t>
      </w:r>
    </w:p>
    <w:p>
      <w:pPr>
        <w:adjustRightInd w:val="0"/>
        <w:spacing w:line="320" w:lineRule="exact"/>
        <w:ind w:firstLine="480" w:firstLineChars="200"/>
        <w:rPr>
          <w:rFonts w:cs="仿宋_GB2312"/>
          <w:sz w:val="24"/>
          <w:szCs w:val="24"/>
        </w:rPr>
      </w:pPr>
      <w:r>
        <w:rPr>
          <w:rFonts w:hint="eastAsia" w:cs="仿宋_GB2312"/>
          <w:sz w:val="24"/>
          <w:szCs w:val="24"/>
        </w:rPr>
        <w:t>委托期限：至上述事宜处理完毕止。</w:t>
      </w:r>
    </w:p>
    <w:p>
      <w:pPr>
        <w:adjustRightInd w:val="0"/>
        <w:rPr>
          <w:rFonts w:cs="仿宋_GB2312"/>
          <w:sz w:val="24"/>
          <w:szCs w:val="24"/>
        </w:rPr>
      </w:pPr>
    </w:p>
    <w:p>
      <w:pPr>
        <w:pStyle w:val="2"/>
        <w:ind w:firstLine="220"/>
      </w:pPr>
    </w:p>
    <w:p>
      <w:pPr>
        <w:adjustRightInd w:val="0"/>
        <w:ind w:firstLine="480" w:firstLineChars="200"/>
        <w:rPr>
          <w:rFonts w:cs="仿宋_GB2312"/>
          <w:sz w:val="24"/>
          <w:szCs w:val="24"/>
          <w:u w:val="single"/>
        </w:rPr>
      </w:pPr>
      <w:r>
        <w:rPr>
          <w:rFonts w:hint="eastAsia" w:cs="仿宋_GB2312"/>
          <w:sz w:val="24"/>
          <w:szCs w:val="24"/>
        </w:rPr>
        <w:t>委托单位：</w:t>
      </w:r>
      <w:r>
        <w:rPr>
          <w:rFonts w:hint="eastAsia" w:cs="仿宋_GB2312"/>
          <w:sz w:val="24"/>
          <w:szCs w:val="24"/>
          <w:u w:val="single"/>
        </w:rPr>
        <w:t>（公章）</w:t>
      </w:r>
    </w:p>
    <w:p>
      <w:pPr>
        <w:adjustRightInd w:val="0"/>
        <w:rPr>
          <w:rFonts w:cs="仿宋_GB2312"/>
          <w:sz w:val="24"/>
          <w:szCs w:val="24"/>
        </w:rPr>
      </w:pPr>
    </w:p>
    <w:p>
      <w:pPr>
        <w:adjustRightInd w:val="0"/>
        <w:ind w:firstLine="480" w:firstLineChars="200"/>
        <w:rPr>
          <w:rFonts w:cs="仿宋_GB2312"/>
          <w:sz w:val="24"/>
          <w:szCs w:val="24"/>
          <w:u w:val="single"/>
        </w:rPr>
      </w:pPr>
      <w:r>
        <w:rPr>
          <w:rFonts w:hint="eastAsia" w:cs="仿宋_GB2312"/>
          <w:sz w:val="24"/>
          <w:szCs w:val="24"/>
        </w:rPr>
        <w:t>法定代表人：</w:t>
      </w:r>
      <w:r>
        <w:rPr>
          <w:rFonts w:hint="eastAsia" w:cs="仿宋_GB2312"/>
          <w:sz w:val="24"/>
          <w:szCs w:val="24"/>
          <w:u w:val="single"/>
        </w:rPr>
        <w:t>（签</w:t>
      </w:r>
      <w:r>
        <w:rPr>
          <w:rFonts w:hint="eastAsia" w:cs="仿宋_GB2312"/>
          <w:sz w:val="24"/>
          <w:szCs w:val="24"/>
          <w:u w:val="single"/>
          <w:lang w:val="en-US"/>
        </w:rPr>
        <w:t>字</w:t>
      </w:r>
      <w:r>
        <w:rPr>
          <w:rFonts w:hint="eastAsia" w:cs="仿宋_GB2312"/>
          <w:sz w:val="24"/>
          <w:szCs w:val="24"/>
          <w:u w:val="single"/>
        </w:rPr>
        <w:t>）</w:t>
      </w:r>
    </w:p>
    <w:p>
      <w:pPr>
        <w:adjustRightInd w:val="0"/>
        <w:rPr>
          <w:rFonts w:cs="仿宋_GB2312"/>
          <w:sz w:val="24"/>
          <w:szCs w:val="24"/>
        </w:rPr>
      </w:pPr>
    </w:p>
    <w:p>
      <w:pPr>
        <w:adjustRightInd w:val="0"/>
        <w:ind w:firstLine="480" w:firstLineChars="200"/>
        <w:rPr>
          <w:rFonts w:cs="仿宋_GB2312"/>
          <w:sz w:val="24"/>
          <w:szCs w:val="24"/>
          <w:u w:val="single"/>
          <w:lang w:val="en-US"/>
        </w:rPr>
      </w:pPr>
      <w:r>
        <w:rPr>
          <w:rFonts w:hint="eastAsia" w:cs="仿宋_GB2312"/>
          <w:sz w:val="24"/>
          <w:szCs w:val="24"/>
        </w:rPr>
        <w:t>受托人：</w:t>
      </w:r>
      <w:r>
        <w:rPr>
          <w:rFonts w:hint="eastAsia" w:cs="仿宋_GB2312"/>
          <w:sz w:val="24"/>
          <w:szCs w:val="24"/>
          <w:u w:val="single"/>
          <w:lang w:val="en-US"/>
        </w:rPr>
        <w:t xml:space="preserve">            </w:t>
      </w:r>
    </w:p>
    <w:p>
      <w:pPr>
        <w:adjustRightInd w:val="0"/>
        <w:spacing w:line="320" w:lineRule="exact"/>
        <w:ind w:firstLine="110" w:firstLineChars="50"/>
      </w:pPr>
    </w:p>
    <w:p>
      <w:pPr>
        <w:adjustRightInd w:val="0"/>
        <w:spacing w:line="320" w:lineRule="exact"/>
        <w:ind w:firstLine="1560" w:firstLineChars="650"/>
        <w:rPr>
          <w:rFonts w:cs="仿宋_GB2312"/>
          <w:sz w:val="24"/>
          <w:szCs w:val="24"/>
        </w:rPr>
      </w:pPr>
      <w:r>
        <w:rPr>
          <w:rFonts w:hint="eastAsia" w:cs="仿宋_GB2312"/>
          <w:sz w:val="24"/>
          <w:szCs w:val="24"/>
        </w:rPr>
        <w:t>年  月  日</w:t>
      </w: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rPr>
          <w:rFonts w:cs="仿宋_GB2312"/>
          <w:sz w:val="24"/>
          <w:szCs w:val="24"/>
        </w:rPr>
      </w:pPr>
      <w:r>
        <w:rPr>
          <w:rFonts w:hint="eastAsia" w:cs="仿宋_GB2312"/>
          <w:sz w:val="24"/>
          <w:szCs w:val="24"/>
        </w:rPr>
        <w:t>附：法定代表人和被授权人身份证复印件</w:t>
      </w: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adjustRightInd w:val="0"/>
        <w:spacing w:line="320" w:lineRule="exact"/>
        <w:ind w:firstLine="6120" w:firstLineChars="2550"/>
        <w:rPr>
          <w:rFonts w:cs="仿宋_GB2312"/>
          <w:sz w:val="24"/>
          <w:szCs w:val="24"/>
        </w:rPr>
      </w:pPr>
    </w:p>
    <w:p>
      <w:pPr>
        <w:pStyle w:val="2"/>
        <w:ind w:firstLine="220"/>
      </w:pPr>
    </w:p>
    <w:p>
      <w:pPr>
        <w:pStyle w:val="2"/>
        <w:ind w:firstLine="220"/>
      </w:pPr>
    </w:p>
    <w:p>
      <w:pPr>
        <w:adjustRightInd w:val="0"/>
        <w:spacing w:line="320" w:lineRule="exact"/>
        <w:rPr>
          <w:rFonts w:cs="黑体"/>
          <w:sz w:val="28"/>
          <w:szCs w:val="28"/>
        </w:rPr>
      </w:pPr>
      <w:r>
        <w:rPr>
          <w:rFonts w:hint="eastAsia" w:cs="黑体"/>
          <w:sz w:val="28"/>
          <w:szCs w:val="28"/>
        </w:rPr>
        <w:t>附件</w:t>
      </w:r>
      <w:r>
        <w:rPr>
          <w:rFonts w:hint="eastAsia" w:cs="黑体"/>
          <w:sz w:val="28"/>
          <w:szCs w:val="28"/>
          <w:lang w:val="en-US"/>
        </w:rPr>
        <w:t>8</w:t>
      </w:r>
      <w:r>
        <w:rPr>
          <w:rFonts w:hint="eastAsia" w:cs="黑体"/>
          <w:sz w:val="28"/>
          <w:szCs w:val="28"/>
        </w:rPr>
        <w:t>：</w:t>
      </w:r>
    </w:p>
    <w:p>
      <w:pPr>
        <w:adjustRightInd w:val="0"/>
        <w:jc w:val="center"/>
        <w:rPr>
          <w:rFonts w:cs="黑体"/>
          <w:b/>
          <w:bCs/>
          <w:sz w:val="32"/>
          <w:szCs w:val="32"/>
        </w:rPr>
      </w:pPr>
      <w:r>
        <w:rPr>
          <w:rFonts w:hint="eastAsia" w:cs="黑体"/>
          <w:b/>
          <w:bCs/>
          <w:sz w:val="32"/>
          <w:szCs w:val="32"/>
        </w:rPr>
        <w:t>资格证明文件</w:t>
      </w:r>
    </w:p>
    <w:p>
      <w:pPr>
        <w:pStyle w:val="9"/>
      </w:pPr>
    </w:p>
    <w:p>
      <w:pPr>
        <w:adjustRightInd w:val="0"/>
        <w:spacing w:line="320" w:lineRule="exact"/>
        <w:ind w:firstLine="482" w:firstLineChars="200"/>
        <w:rPr>
          <w:rFonts w:cs="仿宋_GB2312"/>
          <w:b/>
          <w:bCs/>
          <w:sz w:val="24"/>
          <w:szCs w:val="24"/>
        </w:rPr>
      </w:pPr>
      <w:r>
        <w:rPr>
          <w:rFonts w:hint="eastAsia" w:cs="仿宋_GB2312"/>
          <w:b/>
          <w:bCs/>
          <w:sz w:val="24"/>
          <w:szCs w:val="24"/>
        </w:rPr>
        <w:t>营业执照、纳税和社保缴纳凭证、财务审计报告、信用中国、中国政府采购网查询截图、参加政府采购活动前三年内，在经营活动中没有重大违法记录书面声明等材料。</w:t>
      </w: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pStyle w:val="2"/>
        <w:ind w:firstLine="240"/>
        <w:rPr>
          <w:rFonts w:cs="仿宋_GB2312"/>
          <w:sz w:val="24"/>
          <w:szCs w:val="24"/>
        </w:rPr>
      </w:pPr>
    </w:p>
    <w:p>
      <w:pPr>
        <w:jc w:val="center"/>
        <w:rPr>
          <w:rFonts w:cs="黑体"/>
          <w:b/>
          <w:bCs/>
          <w:sz w:val="28"/>
          <w:szCs w:val="28"/>
        </w:rPr>
      </w:pPr>
      <w:r>
        <w:rPr>
          <w:rFonts w:hint="eastAsia" w:cs="黑体"/>
          <w:b/>
          <w:bCs/>
          <w:sz w:val="28"/>
          <w:szCs w:val="28"/>
        </w:rPr>
        <w:t>附件</w:t>
      </w:r>
      <w:r>
        <w:rPr>
          <w:rFonts w:hint="eastAsia" w:cs="黑体"/>
          <w:b/>
          <w:bCs/>
          <w:sz w:val="28"/>
          <w:szCs w:val="28"/>
          <w:lang w:val="en-US"/>
        </w:rPr>
        <w:t>9</w:t>
      </w:r>
      <w:r>
        <w:rPr>
          <w:rFonts w:hint="eastAsia" w:cs="黑体"/>
          <w:b/>
          <w:bCs/>
          <w:sz w:val="28"/>
          <w:szCs w:val="28"/>
        </w:rPr>
        <w:t>：中小企业声明函（货物）</w:t>
      </w:r>
    </w:p>
    <w:p>
      <w:pPr>
        <w:pStyle w:val="2"/>
        <w:ind w:firstLine="220"/>
      </w:pPr>
    </w:p>
    <w:p>
      <w:pPr>
        <w:ind w:firstLine="480" w:firstLineChars="200"/>
        <w:rPr>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pPr>
        <w:ind w:firstLine="480" w:firstLineChars="200"/>
        <w:rPr>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pPr>
        <w:ind w:firstLine="480" w:firstLineChars="200"/>
        <w:rPr>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pPr>
        <w:rPr>
          <w:sz w:val="24"/>
          <w:szCs w:val="24"/>
        </w:rPr>
      </w:pPr>
      <w:r>
        <w:rPr>
          <w:rFonts w:hint="eastAsia"/>
          <w:sz w:val="24"/>
          <w:szCs w:val="24"/>
        </w:rPr>
        <w:t>……</w:t>
      </w:r>
    </w:p>
    <w:p>
      <w:pPr>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pPr>
        <w:ind w:firstLine="480" w:firstLineChars="200"/>
        <w:rPr>
          <w:sz w:val="24"/>
          <w:szCs w:val="24"/>
        </w:rPr>
      </w:pPr>
      <w:r>
        <w:rPr>
          <w:rFonts w:hint="eastAsia"/>
          <w:sz w:val="24"/>
          <w:szCs w:val="24"/>
        </w:rPr>
        <w:t>本企业对上述声明内容的真实性负责。如有虚假，将依 法承担相应责任。</w:t>
      </w:r>
    </w:p>
    <w:p>
      <w:pPr>
        <w:ind w:firstLine="3840" w:firstLineChars="1600"/>
        <w:rPr>
          <w:sz w:val="24"/>
          <w:szCs w:val="24"/>
        </w:rPr>
      </w:pPr>
      <w:r>
        <w:rPr>
          <w:rFonts w:hint="eastAsia"/>
          <w:sz w:val="24"/>
          <w:szCs w:val="24"/>
        </w:rPr>
        <w:t xml:space="preserve">企业名称（盖章）： </w:t>
      </w:r>
    </w:p>
    <w:p>
      <w:pPr>
        <w:spacing w:line="360" w:lineRule="auto"/>
        <w:ind w:firstLine="5040" w:firstLineChars="2100"/>
        <w:jc w:val="both"/>
        <w:rPr>
          <w:sz w:val="24"/>
          <w:szCs w:val="24"/>
        </w:rPr>
      </w:pPr>
      <w:r>
        <w:rPr>
          <w:rFonts w:hint="eastAsia"/>
          <w:sz w:val="24"/>
          <w:szCs w:val="24"/>
        </w:rPr>
        <w:t>日 期：</w:t>
      </w:r>
    </w:p>
    <w:p>
      <w:pPr>
        <w:spacing w:line="360" w:lineRule="auto"/>
        <w:jc w:val="both"/>
        <w:rPr>
          <w:sz w:val="24"/>
        </w:rPr>
      </w:pPr>
    </w:p>
    <w:p/>
    <w:p>
      <w:pPr>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pPr>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pPr>
        <w:adjustRightInd w:val="0"/>
        <w:spacing w:line="320" w:lineRule="exact"/>
        <w:ind w:firstLine="6120" w:firstLineChars="2550"/>
        <w:rPr>
          <w:rFonts w:cs="仿宋_GB2312"/>
          <w:sz w:val="24"/>
          <w:szCs w:val="24"/>
        </w:rPr>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adjustRightInd w:val="0"/>
        <w:spacing w:line="320" w:lineRule="exact"/>
        <w:jc w:val="both"/>
        <w:rPr>
          <w:rFonts w:cs="黑体"/>
          <w:sz w:val="28"/>
          <w:szCs w:val="28"/>
          <w:lang w:val="en-US"/>
        </w:rPr>
      </w:pPr>
      <w:r>
        <w:rPr>
          <w:rFonts w:hint="eastAsia" w:cs="黑体"/>
          <w:sz w:val="28"/>
          <w:szCs w:val="28"/>
        </w:rPr>
        <w:t>附件</w:t>
      </w:r>
      <w:r>
        <w:rPr>
          <w:rFonts w:hint="eastAsia" w:cs="黑体"/>
          <w:sz w:val="28"/>
          <w:szCs w:val="28"/>
          <w:lang w:val="en-US"/>
        </w:rPr>
        <w:t>10</w:t>
      </w:r>
      <w:r>
        <w:rPr>
          <w:rFonts w:hint="eastAsia" w:cs="黑体"/>
          <w:sz w:val="28"/>
          <w:szCs w:val="28"/>
        </w:rPr>
        <w:t>：</w:t>
      </w:r>
    </w:p>
    <w:p>
      <w:pPr>
        <w:adjustRightInd w:val="0"/>
        <w:spacing w:line="320" w:lineRule="exact"/>
        <w:ind w:firstLine="2891" w:firstLineChars="900"/>
        <w:jc w:val="both"/>
        <w:rPr>
          <w:rFonts w:cs="黑体"/>
          <w:sz w:val="28"/>
          <w:szCs w:val="28"/>
          <w:lang w:val="en-US"/>
        </w:rPr>
      </w:pPr>
      <w:r>
        <w:rPr>
          <w:rFonts w:hint="eastAsia" w:cs="黑体"/>
          <w:b/>
          <w:bCs/>
          <w:sz w:val="32"/>
          <w:szCs w:val="32"/>
          <w:lang w:val="en-US"/>
        </w:rPr>
        <w:t>其他资料（如需）</w:t>
      </w: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adjustRightInd w:val="0"/>
        <w:spacing w:line="320" w:lineRule="exact"/>
        <w:ind w:firstLine="6120" w:firstLineChars="2550"/>
        <w:rPr>
          <w:rFonts w:cs="仿宋_GB2312"/>
          <w:sz w:val="24"/>
          <w:szCs w:val="24"/>
        </w:rPr>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adjustRightInd w:val="0"/>
        <w:spacing w:line="320" w:lineRule="exact"/>
        <w:ind w:firstLine="6120" w:firstLineChars="2550"/>
        <w:rPr>
          <w:rFonts w:cs="仿宋_GB2312"/>
          <w:sz w:val="24"/>
          <w:szCs w:val="24"/>
        </w:rPr>
      </w:pPr>
    </w:p>
    <w:p>
      <w:pPr>
        <w:adjustRightInd w:val="0"/>
        <w:spacing w:line="320" w:lineRule="exact"/>
        <w:jc w:val="both"/>
        <w:rPr>
          <w:rFonts w:cs="黑体"/>
          <w:sz w:val="28"/>
          <w:szCs w:val="28"/>
          <w:lang w:val="en-US"/>
        </w:rPr>
      </w:pPr>
      <w:r>
        <w:rPr>
          <w:rFonts w:hint="eastAsia" w:cs="黑体"/>
          <w:sz w:val="28"/>
          <w:szCs w:val="28"/>
        </w:rPr>
        <w:t>附件</w:t>
      </w:r>
      <w:r>
        <w:rPr>
          <w:rFonts w:hint="eastAsia" w:cs="黑体"/>
          <w:sz w:val="28"/>
          <w:szCs w:val="28"/>
          <w:lang w:val="en-US"/>
        </w:rPr>
        <w:t>11</w:t>
      </w:r>
      <w:r>
        <w:rPr>
          <w:rFonts w:hint="eastAsia" w:cs="黑体"/>
          <w:sz w:val="28"/>
          <w:szCs w:val="28"/>
        </w:rPr>
        <w:t>：</w:t>
      </w:r>
    </w:p>
    <w:p>
      <w:pPr>
        <w:adjustRightInd w:val="0"/>
        <w:spacing w:line="360" w:lineRule="auto"/>
        <w:ind w:firstLine="482" w:firstLineChars="200"/>
        <w:jc w:val="center"/>
        <w:rPr>
          <w:b/>
          <w:bCs/>
          <w:sz w:val="24"/>
          <w:szCs w:val="24"/>
        </w:rPr>
      </w:pPr>
      <w:r>
        <w:rPr>
          <w:rFonts w:hint="eastAsia"/>
          <w:b/>
          <w:bCs/>
          <w:sz w:val="24"/>
          <w:szCs w:val="24"/>
        </w:rPr>
        <w:t>政府采购供应商诚信承诺书</w:t>
      </w:r>
    </w:p>
    <w:p>
      <w:pPr>
        <w:adjustRightInd w:val="0"/>
        <w:spacing w:line="360" w:lineRule="auto"/>
        <w:jc w:val="center"/>
        <w:rPr>
          <w:b/>
          <w:sz w:val="24"/>
          <w:szCs w:val="24"/>
        </w:rPr>
      </w:pPr>
    </w:p>
    <w:p>
      <w:pPr>
        <w:adjustRightInd w:val="0"/>
        <w:spacing w:line="360" w:lineRule="auto"/>
        <w:ind w:firstLine="480" w:firstLineChars="200"/>
        <w:rPr>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sz w:val="24"/>
          <w:szCs w:val="24"/>
        </w:rPr>
      </w:pPr>
      <w:r>
        <w:rPr>
          <w:rFonts w:hint="eastAsia"/>
          <w:sz w:val="24"/>
          <w:szCs w:val="24"/>
        </w:rPr>
        <w:t>（一）提供虚假材料谋取中标;</w:t>
      </w:r>
    </w:p>
    <w:p>
      <w:pPr>
        <w:adjustRightInd w:val="0"/>
        <w:spacing w:line="360" w:lineRule="auto"/>
        <w:ind w:firstLine="403" w:firstLineChars="168"/>
        <w:rPr>
          <w:sz w:val="24"/>
          <w:szCs w:val="24"/>
        </w:rPr>
      </w:pPr>
      <w:r>
        <w:rPr>
          <w:rFonts w:hint="eastAsia"/>
          <w:sz w:val="24"/>
          <w:szCs w:val="24"/>
        </w:rPr>
        <w:t>（二）采取不正当手段诋毁、排挤其他供应商;</w:t>
      </w:r>
    </w:p>
    <w:p>
      <w:pPr>
        <w:adjustRightInd w:val="0"/>
        <w:spacing w:line="360" w:lineRule="auto"/>
        <w:ind w:firstLine="403" w:firstLineChars="168"/>
        <w:rPr>
          <w:sz w:val="24"/>
          <w:szCs w:val="24"/>
        </w:rPr>
      </w:pPr>
      <w:r>
        <w:rPr>
          <w:rFonts w:hint="eastAsia"/>
          <w:sz w:val="24"/>
          <w:szCs w:val="24"/>
        </w:rPr>
        <w:t>（三）与招标采购单位、其他投标人恶意串通;</w:t>
      </w:r>
    </w:p>
    <w:p>
      <w:pPr>
        <w:adjustRightInd w:val="0"/>
        <w:spacing w:line="360" w:lineRule="auto"/>
        <w:ind w:firstLine="403" w:firstLineChars="168"/>
        <w:rPr>
          <w:sz w:val="24"/>
          <w:szCs w:val="24"/>
        </w:rPr>
      </w:pPr>
      <w:r>
        <w:rPr>
          <w:rFonts w:hint="eastAsia"/>
          <w:sz w:val="24"/>
          <w:szCs w:val="24"/>
        </w:rPr>
        <w:t>（四）向招标采购单位或提供其他不正当利益;</w:t>
      </w:r>
    </w:p>
    <w:p>
      <w:pPr>
        <w:adjustRightInd w:val="0"/>
        <w:spacing w:line="360" w:lineRule="auto"/>
        <w:ind w:firstLine="403" w:firstLineChars="168"/>
        <w:rPr>
          <w:sz w:val="24"/>
          <w:szCs w:val="24"/>
        </w:rPr>
      </w:pPr>
      <w:r>
        <w:rPr>
          <w:rFonts w:hint="eastAsia"/>
          <w:sz w:val="24"/>
          <w:szCs w:val="24"/>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sz w:val="24"/>
          <w:szCs w:val="24"/>
        </w:rPr>
      </w:pPr>
      <w:r>
        <w:rPr>
          <w:rFonts w:hint="eastAsia"/>
          <w:sz w:val="24"/>
          <w:szCs w:val="24"/>
        </w:rPr>
        <w:t>（六）开标后擅自撤销投标，影响招标继续进行的或领取招标文件纳投标保证金后不投标导致废标;</w:t>
      </w:r>
    </w:p>
    <w:p>
      <w:pPr>
        <w:adjustRightInd w:val="0"/>
        <w:spacing w:line="360" w:lineRule="auto"/>
        <w:ind w:firstLine="403" w:firstLineChars="168"/>
        <w:rPr>
          <w:sz w:val="24"/>
          <w:szCs w:val="24"/>
        </w:rPr>
      </w:pPr>
      <w:r>
        <w:rPr>
          <w:rFonts w:hint="eastAsia"/>
          <w:sz w:val="24"/>
          <w:szCs w:val="24"/>
        </w:rPr>
        <w:t>（七）中标后无正当理由，在规定时间内不与采购单位签订合同;</w:t>
      </w:r>
    </w:p>
    <w:p>
      <w:pPr>
        <w:adjustRightInd w:val="0"/>
        <w:spacing w:line="360" w:lineRule="auto"/>
        <w:ind w:firstLine="403" w:firstLineChars="168"/>
        <w:rPr>
          <w:sz w:val="24"/>
          <w:szCs w:val="24"/>
        </w:rPr>
      </w:pPr>
      <w:r>
        <w:rPr>
          <w:rFonts w:hint="eastAsia"/>
          <w:sz w:val="24"/>
          <w:szCs w:val="24"/>
        </w:rPr>
        <w:t>（八）将中标项目转让给他人或非法分包他人;</w:t>
      </w:r>
    </w:p>
    <w:p>
      <w:pPr>
        <w:adjustRightInd w:val="0"/>
        <w:spacing w:line="360" w:lineRule="auto"/>
        <w:ind w:firstLine="403" w:firstLineChars="168"/>
        <w:rPr>
          <w:sz w:val="24"/>
          <w:szCs w:val="24"/>
        </w:rPr>
      </w:pPr>
      <w:r>
        <w:rPr>
          <w:rFonts w:hint="eastAsia"/>
          <w:sz w:val="24"/>
          <w:szCs w:val="24"/>
        </w:rPr>
        <w:t>（九）无正当理由，拒绝履行合同义务;</w:t>
      </w:r>
    </w:p>
    <w:p>
      <w:pPr>
        <w:adjustRightInd w:val="0"/>
        <w:spacing w:line="360" w:lineRule="auto"/>
        <w:ind w:firstLine="403" w:firstLineChars="168"/>
        <w:rPr>
          <w:sz w:val="24"/>
          <w:szCs w:val="24"/>
        </w:rPr>
      </w:pPr>
      <w:r>
        <w:rPr>
          <w:rFonts w:hint="eastAsia"/>
          <w:sz w:val="24"/>
          <w:szCs w:val="24"/>
        </w:rPr>
        <w:t>（十）无正当理由放弃中标（成交）项目;</w:t>
      </w:r>
    </w:p>
    <w:p>
      <w:pPr>
        <w:adjustRightInd w:val="0"/>
        <w:spacing w:line="360" w:lineRule="auto"/>
        <w:ind w:firstLine="403" w:firstLineChars="168"/>
        <w:rPr>
          <w:sz w:val="24"/>
          <w:szCs w:val="24"/>
        </w:rPr>
      </w:pPr>
      <w:r>
        <w:rPr>
          <w:rFonts w:hint="eastAsia"/>
          <w:sz w:val="24"/>
          <w:szCs w:val="24"/>
        </w:rPr>
        <w:t>（十ー）擅自或与采购人串通或接受采购人要求，在履约合同中通过减少货物数量，更换品牌、降低配置、技术要求、质量和服务标准等，却仍按原合同进行虚假验收或终止政府采购合同;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sz w:val="24"/>
          <w:szCs w:val="24"/>
        </w:rPr>
      </w:pPr>
      <w:r>
        <w:rPr>
          <w:rFonts w:hint="eastAsia"/>
          <w:sz w:val="24"/>
          <w:szCs w:val="24"/>
        </w:rPr>
        <w:t>（十二）与采购人串通，对尚未履约完毕的采购项目出具虚假验收报告；</w:t>
      </w:r>
    </w:p>
    <w:p>
      <w:pPr>
        <w:adjustRightInd w:val="0"/>
        <w:spacing w:line="360" w:lineRule="auto"/>
        <w:ind w:firstLine="403" w:firstLineChars="168"/>
        <w:rPr>
          <w:sz w:val="24"/>
          <w:szCs w:val="24"/>
        </w:rPr>
      </w:pPr>
      <w:r>
        <w:rPr>
          <w:rFonts w:hint="eastAsia"/>
          <w:sz w:val="24"/>
          <w:szCs w:val="24"/>
        </w:rPr>
        <w:t>（十三）无不可抗力因素，拒绝提供售后服务、售后服务态度恶劣、故意提高维修配件价格（高于市场平均价）；</w:t>
      </w:r>
    </w:p>
    <w:p>
      <w:pPr>
        <w:adjustRightInd w:val="0"/>
        <w:spacing w:line="360" w:lineRule="auto"/>
        <w:ind w:firstLine="360" w:firstLineChars="150"/>
        <w:rPr>
          <w:sz w:val="24"/>
          <w:szCs w:val="24"/>
        </w:rPr>
      </w:pPr>
      <w:r>
        <w:rPr>
          <w:rFonts w:hint="eastAsia"/>
          <w:sz w:val="24"/>
          <w:szCs w:val="24"/>
        </w:rPr>
        <w:t>（十四）开标后对招标文件的相关内容再进行质疑；</w:t>
      </w:r>
    </w:p>
    <w:p>
      <w:pPr>
        <w:adjustRightInd w:val="0"/>
        <w:spacing w:line="360" w:lineRule="auto"/>
        <w:ind w:firstLine="360" w:firstLineChars="150"/>
        <w:rPr>
          <w:sz w:val="24"/>
          <w:szCs w:val="24"/>
        </w:rPr>
      </w:pPr>
      <w:r>
        <w:rPr>
          <w:rFonts w:hint="eastAsia"/>
          <w:sz w:val="24"/>
          <w:szCs w:val="24"/>
        </w:rPr>
        <w:t>（十五）恶意投诉的行为：投诉经查无实据的、捏造事实或者提供虚假设诉材料；</w:t>
      </w:r>
    </w:p>
    <w:p>
      <w:pPr>
        <w:adjustRightInd w:val="0"/>
        <w:spacing w:line="360" w:lineRule="auto"/>
        <w:ind w:firstLine="360" w:firstLineChars="150"/>
        <w:rPr>
          <w:sz w:val="24"/>
          <w:szCs w:val="24"/>
        </w:rPr>
      </w:pPr>
      <w:r>
        <w:rPr>
          <w:rFonts w:hint="eastAsia"/>
          <w:sz w:val="24"/>
          <w:szCs w:val="24"/>
        </w:rPr>
        <w:t>（十六）拒绝有关部门监督检查或者提供虚假情况；</w:t>
      </w:r>
    </w:p>
    <w:p>
      <w:pPr>
        <w:adjustRightInd w:val="0"/>
        <w:spacing w:line="360" w:lineRule="auto"/>
        <w:ind w:firstLine="360" w:firstLineChars="150"/>
        <w:rPr>
          <w:sz w:val="24"/>
          <w:szCs w:val="24"/>
        </w:rPr>
      </w:pPr>
      <w:r>
        <w:rPr>
          <w:rFonts w:hint="eastAsia"/>
          <w:sz w:val="24"/>
          <w:szCs w:val="24"/>
        </w:rPr>
        <w:t>（十七）政府采购监管部门认定的其他政府采购活动中的不诚信行为。</w:t>
      </w:r>
    </w:p>
    <w:p>
      <w:pPr>
        <w:adjustRightInd w:val="0"/>
        <w:spacing w:line="360" w:lineRule="auto"/>
        <w:rPr>
          <w:sz w:val="24"/>
          <w:szCs w:val="24"/>
        </w:rPr>
      </w:pPr>
    </w:p>
    <w:p>
      <w:pPr>
        <w:adjustRightInd w:val="0"/>
        <w:spacing w:line="360" w:lineRule="auto"/>
        <w:ind w:firstLine="1560" w:firstLineChars="650"/>
        <w:rPr>
          <w:sz w:val="24"/>
          <w:szCs w:val="24"/>
        </w:rPr>
      </w:pPr>
      <w:r>
        <w:rPr>
          <w:rFonts w:hint="eastAsia"/>
          <w:sz w:val="24"/>
          <w:szCs w:val="24"/>
        </w:rPr>
        <w:t>供应商名称：（盖章）</w:t>
      </w:r>
    </w:p>
    <w:p>
      <w:pPr>
        <w:adjustRightInd w:val="0"/>
        <w:spacing w:line="360" w:lineRule="auto"/>
        <w:ind w:right="640" w:firstLine="1560" w:firstLineChars="650"/>
        <w:rPr>
          <w:sz w:val="24"/>
          <w:szCs w:val="24"/>
        </w:rPr>
      </w:pPr>
    </w:p>
    <w:p>
      <w:pPr>
        <w:adjustRightInd w:val="0"/>
        <w:spacing w:line="360" w:lineRule="auto"/>
        <w:ind w:right="640" w:firstLine="1560" w:firstLineChars="650"/>
        <w:rPr>
          <w:sz w:val="24"/>
          <w:szCs w:val="24"/>
        </w:rPr>
      </w:pPr>
      <w:r>
        <w:rPr>
          <w:rFonts w:hint="eastAsia"/>
          <w:sz w:val="24"/>
          <w:szCs w:val="24"/>
        </w:rPr>
        <w:t>法人代表或授权委托人：（签字）</w:t>
      </w:r>
    </w:p>
    <w:p>
      <w:pPr>
        <w:adjustRightInd w:val="0"/>
        <w:spacing w:line="360" w:lineRule="auto"/>
        <w:jc w:val="center"/>
        <w:rPr>
          <w:sz w:val="24"/>
          <w:szCs w:val="24"/>
        </w:rPr>
      </w:pPr>
    </w:p>
    <w:p>
      <w:pPr>
        <w:adjustRightInd w:val="0"/>
        <w:spacing w:line="360" w:lineRule="auto"/>
        <w:ind w:firstLine="1560" w:firstLineChars="650"/>
        <w:rPr>
          <w:sz w:val="24"/>
          <w:szCs w:val="24"/>
        </w:rPr>
      </w:pPr>
      <w:r>
        <w:rPr>
          <w:rFonts w:hint="eastAsia"/>
          <w:sz w:val="24"/>
          <w:szCs w:val="24"/>
        </w:rPr>
        <w:t>日期：      年   月    日</w:t>
      </w:r>
    </w:p>
    <w:p>
      <w:pPr>
        <w:pStyle w:val="26"/>
        <w:adjustRightInd w:val="0"/>
        <w:spacing w:line="360" w:lineRule="auto"/>
        <w:ind w:firstLine="480"/>
        <w:rPr>
          <w:sz w:val="24"/>
          <w:szCs w:val="24"/>
        </w:rPr>
      </w:pPr>
    </w:p>
    <w:p>
      <w:pPr>
        <w:pStyle w:val="26"/>
        <w:adjustRightInd w:val="0"/>
        <w:spacing w:line="360" w:lineRule="auto"/>
        <w:ind w:firstLine="1440" w:firstLineChars="600"/>
        <w:rPr>
          <w:sz w:val="24"/>
          <w:szCs w:val="24"/>
        </w:rPr>
      </w:pPr>
      <w:r>
        <w:rPr>
          <w:rFonts w:hint="eastAsia"/>
          <w:sz w:val="24"/>
          <w:szCs w:val="24"/>
        </w:rPr>
        <w:t>注：投标人须将此承诺书放进投标文件里。</w:t>
      </w: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26"/>
        <w:adjustRightInd w:val="0"/>
        <w:spacing w:line="360" w:lineRule="auto"/>
        <w:ind w:firstLine="1440" w:firstLineChars="600"/>
        <w:rPr>
          <w:sz w:val="24"/>
          <w:szCs w:val="24"/>
        </w:rPr>
      </w:pPr>
    </w:p>
    <w:p>
      <w:pPr>
        <w:pStyle w:val="5"/>
        <w:spacing w:before="0" w:line="500" w:lineRule="exact"/>
        <w:rPr>
          <w:rFonts w:ascii="方正小标宋简体" w:hAnsi="黑体" w:eastAsia="方正小标宋简体" w:cs="黑体"/>
          <w:b w:val="0"/>
          <w:sz w:val="44"/>
          <w:szCs w:val="44"/>
          <w:lang w:val="en-US"/>
        </w:rPr>
      </w:pPr>
      <w:r>
        <w:rPr>
          <w:rFonts w:hint="eastAsia"/>
          <w:lang w:val="en-US"/>
        </w:rPr>
        <w:t>第六部分  周口市政府采购合同（货物类）标准文本</w:t>
      </w:r>
    </w:p>
    <w:p>
      <w:pPr>
        <w:rPr>
          <w:rFonts w:ascii="黑体" w:hAnsi="黑体" w:eastAsia="黑体" w:cs="黑体"/>
          <w:sz w:val="32"/>
          <w:szCs w:val="32"/>
          <w:lang w:val="en-US"/>
        </w:rPr>
      </w:pPr>
    </w:p>
    <w:p>
      <w:pPr>
        <w:pStyle w:val="35"/>
        <w:spacing w:before="120" w:after="120"/>
        <w:ind w:left="0"/>
        <w:rPr>
          <w:rFonts w:ascii="黑体" w:hAnsi="黑体" w:eastAsia="黑体" w:cs="黑体"/>
          <w:sz w:val="32"/>
          <w:szCs w:val="32"/>
          <w:lang w:val="en-US"/>
        </w:rPr>
      </w:pPr>
    </w:p>
    <w:p>
      <w:pPr>
        <w:pStyle w:val="35"/>
        <w:spacing w:before="120" w:after="120"/>
        <w:ind w:left="0"/>
        <w:rPr>
          <w:rFonts w:ascii="黑体" w:hAnsi="黑体" w:eastAsia="黑体" w:cs="黑体"/>
          <w:sz w:val="32"/>
          <w:szCs w:val="32"/>
          <w:lang w:val="en-US"/>
        </w:rPr>
      </w:pPr>
    </w:p>
    <w:p>
      <w:pPr>
        <w:pStyle w:val="35"/>
        <w:spacing w:before="120" w:after="120"/>
        <w:ind w:left="0"/>
        <w:rPr>
          <w:rFonts w:ascii="黑体" w:hAnsi="黑体" w:eastAsia="黑体" w:cs="黑体"/>
          <w:sz w:val="30"/>
          <w:szCs w:val="30"/>
          <w:lang w:val="en-US"/>
        </w:rPr>
      </w:pPr>
    </w:p>
    <w:p>
      <w:pPr>
        <w:pStyle w:val="35"/>
        <w:spacing w:before="120" w:after="120"/>
        <w:ind w:left="0"/>
        <w:rPr>
          <w:rFonts w:ascii="黑体" w:hAnsi="黑体" w:eastAsia="黑体" w:cs="黑体"/>
          <w:sz w:val="30"/>
          <w:szCs w:val="30"/>
          <w:lang w:val="en-US"/>
        </w:rPr>
      </w:pPr>
    </w:p>
    <w:p>
      <w:pPr>
        <w:pStyle w:val="35"/>
        <w:spacing w:before="120" w:after="120"/>
        <w:ind w:left="0"/>
        <w:rPr>
          <w:rFonts w:ascii="黑体" w:hAnsi="黑体" w:eastAsia="黑体" w:cs="黑体"/>
          <w:sz w:val="30"/>
          <w:szCs w:val="30"/>
          <w:lang w:val="en-US"/>
        </w:rPr>
      </w:pPr>
    </w:p>
    <w:p>
      <w:pPr>
        <w:pStyle w:val="35"/>
        <w:spacing w:before="120" w:after="120"/>
        <w:ind w:left="0"/>
        <w:rPr>
          <w:rFonts w:ascii="黑体" w:hAnsi="黑体" w:eastAsia="黑体" w:cs="黑体"/>
          <w:sz w:val="30"/>
          <w:szCs w:val="30"/>
          <w:lang w:val="en-US"/>
        </w:rPr>
      </w:pPr>
    </w:p>
    <w:p>
      <w:pPr>
        <w:pStyle w:val="35"/>
        <w:spacing w:before="120" w:after="120"/>
        <w:ind w:left="0"/>
        <w:rPr>
          <w:rFonts w:ascii="黑体" w:hAnsi="黑体" w:eastAsia="黑体" w:cs="黑体"/>
          <w:sz w:val="30"/>
          <w:szCs w:val="30"/>
          <w:lang w:val="en-US"/>
        </w:rPr>
      </w:pPr>
    </w:p>
    <w:p>
      <w:pPr>
        <w:pStyle w:val="35"/>
        <w:spacing w:before="120" w:after="120"/>
        <w:ind w:left="0"/>
        <w:rPr>
          <w:rFonts w:ascii="黑体" w:hAnsi="黑体" w:eastAsia="黑体" w:cs="黑体"/>
          <w:sz w:val="30"/>
          <w:szCs w:val="30"/>
          <w:lang w:val="en-US"/>
        </w:rPr>
      </w:pPr>
    </w:p>
    <w:p>
      <w:pPr>
        <w:pStyle w:val="35"/>
        <w:spacing w:before="120" w:after="12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pPr>
        <w:pStyle w:val="35"/>
        <w:spacing w:before="120" w:after="12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pPr>
        <w:pStyle w:val="35"/>
        <w:spacing w:before="120" w:after="12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pPr>
        <w:pStyle w:val="35"/>
        <w:spacing w:before="120" w:after="12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pPr>
        <w:pStyle w:val="35"/>
        <w:spacing w:before="120" w:after="12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pPr>
        <w:pStyle w:val="35"/>
        <w:spacing w:before="120" w:after="120"/>
        <w:ind w:left="0"/>
        <w:rPr>
          <w:rFonts w:ascii="黑体" w:hAnsi="黑体" w:eastAsia="黑体" w:cs="黑体"/>
          <w:sz w:val="30"/>
          <w:szCs w:val="30"/>
          <w:lang w:val="en-US"/>
        </w:rPr>
      </w:pPr>
      <w:r>
        <w:rPr>
          <w:rFonts w:hint="eastAsia" w:ascii="黑体" w:hAnsi="黑体" w:eastAsia="黑体" w:cs="黑体"/>
          <w:sz w:val="30"/>
          <w:szCs w:val="30"/>
          <w:lang w:val="en-US"/>
        </w:rPr>
        <w:t>合 同 签订 时 间：</w:t>
      </w:r>
    </w:p>
    <w:p>
      <w:pPr>
        <w:pStyle w:val="35"/>
        <w:spacing w:before="120" w:after="120"/>
        <w:ind w:left="0"/>
        <w:rPr>
          <w:rFonts w:ascii="黑体" w:hAnsi="黑体" w:eastAsia="黑体" w:cs="黑体"/>
          <w:sz w:val="30"/>
          <w:szCs w:val="30"/>
          <w:lang w:val="en-US"/>
        </w:rPr>
      </w:pPr>
    </w:p>
    <w:p>
      <w:pPr>
        <w:pStyle w:val="35"/>
        <w:spacing w:before="120" w:after="120"/>
        <w:ind w:left="0"/>
        <w:rPr>
          <w:rFonts w:ascii="黑体" w:hAnsi="黑体" w:eastAsia="黑体" w:cs="黑体"/>
          <w:sz w:val="30"/>
          <w:szCs w:val="30"/>
          <w:lang w:val="en-US"/>
        </w:rPr>
      </w:pPr>
    </w:p>
    <w:p>
      <w:pPr>
        <w:pStyle w:val="35"/>
        <w:spacing w:before="120" w:after="120"/>
        <w:ind w:left="0"/>
        <w:rPr>
          <w:rFonts w:ascii="黑体" w:hAnsi="黑体" w:eastAsia="黑体" w:cs="黑体"/>
          <w:sz w:val="30"/>
          <w:szCs w:val="30"/>
          <w:lang w:val="en-US"/>
        </w:rPr>
      </w:pPr>
    </w:p>
    <w:p>
      <w:pPr>
        <w:pStyle w:val="35"/>
        <w:spacing w:before="120" w:after="120"/>
        <w:ind w:left="0"/>
        <w:rPr>
          <w:rFonts w:ascii="黑体" w:hAnsi="黑体" w:eastAsia="黑体" w:cs="黑体"/>
          <w:sz w:val="30"/>
          <w:szCs w:val="30"/>
          <w:lang w:val="en-US"/>
        </w:rPr>
      </w:pPr>
    </w:p>
    <w:p>
      <w:pPr>
        <w:pStyle w:val="35"/>
        <w:spacing w:before="120" w:after="120"/>
        <w:ind w:left="0"/>
        <w:rPr>
          <w:rFonts w:ascii="黑体" w:hAnsi="黑体" w:eastAsia="黑体" w:cs="黑体"/>
          <w:sz w:val="30"/>
          <w:szCs w:val="30"/>
          <w:lang w:val="en-US"/>
        </w:rPr>
      </w:pPr>
    </w:p>
    <w:p>
      <w:pPr>
        <w:pStyle w:val="35"/>
        <w:spacing w:before="120" w:after="120" w:line="46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pPr>
        <w:pStyle w:val="35"/>
        <w:spacing w:before="120" w:after="120" w:line="460" w:lineRule="exact"/>
        <w:ind w:left="0" w:firstLine="420" w:firstLineChars="200"/>
        <w:jc w:val="both"/>
        <w:rPr>
          <w:sz w:val="21"/>
          <w:szCs w:val="21"/>
        </w:rPr>
      </w:pPr>
    </w:p>
    <w:p>
      <w:pPr>
        <w:pStyle w:val="35"/>
        <w:spacing w:before="120" w:after="120" w:line="460" w:lineRule="exact"/>
        <w:ind w:left="0" w:firstLine="420" w:firstLineChars="200"/>
        <w:jc w:val="both"/>
        <w:rPr>
          <w:sz w:val="21"/>
          <w:szCs w:val="21"/>
        </w:rPr>
      </w:pPr>
      <w:r>
        <w:rPr>
          <w:rFonts w:hint="eastAsia"/>
          <w:sz w:val="21"/>
          <w:szCs w:val="21"/>
        </w:rPr>
        <w:t>一、采购人在签订合同时应提供的资料：</w:t>
      </w:r>
    </w:p>
    <w:p>
      <w:pPr>
        <w:pStyle w:val="35"/>
        <w:spacing w:before="120" w:after="12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pPr>
        <w:pStyle w:val="35"/>
        <w:spacing w:before="120" w:after="12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pPr>
        <w:pStyle w:val="35"/>
        <w:spacing w:before="120" w:after="120" w:line="460" w:lineRule="exact"/>
        <w:ind w:left="0" w:firstLine="420" w:firstLineChars="200"/>
        <w:jc w:val="both"/>
        <w:rPr>
          <w:sz w:val="21"/>
          <w:szCs w:val="21"/>
          <w:lang w:val="en-US"/>
        </w:rPr>
      </w:pPr>
      <w:r>
        <w:rPr>
          <w:rFonts w:hint="eastAsia"/>
          <w:sz w:val="21"/>
          <w:szCs w:val="21"/>
          <w:lang w:val="en-US"/>
        </w:rPr>
        <w:t>3、该政府采购项目评审报告；</w:t>
      </w:r>
    </w:p>
    <w:p>
      <w:pPr>
        <w:pStyle w:val="35"/>
        <w:spacing w:before="120" w:after="12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pPr>
        <w:pStyle w:val="35"/>
        <w:spacing w:before="120" w:after="12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pPr>
        <w:pStyle w:val="35"/>
        <w:spacing w:before="120" w:after="12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pPr>
        <w:pStyle w:val="35"/>
        <w:spacing w:before="120" w:after="12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pPr>
        <w:pStyle w:val="35"/>
        <w:spacing w:before="120" w:after="12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pPr>
        <w:pStyle w:val="35"/>
        <w:spacing w:before="120" w:after="12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pPr>
        <w:pStyle w:val="35"/>
        <w:spacing w:before="120" w:after="120" w:line="460" w:lineRule="exact"/>
        <w:ind w:left="0" w:firstLine="420" w:firstLineChars="200"/>
        <w:jc w:val="both"/>
        <w:rPr>
          <w:sz w:val="21"/>
          <w:szCs w:val="21"/>
          <w:lang w:val="en-US"/>
        </w:rPr>
      </w:pPr>
      <w:r>
        <w:rPr>
          <w:rFonts w:hint="eastAsia"/>
          <w:sz w:val="21"/>
          <w:szCs w:val="21"/>
          <w:lang w:val="en-US"/>
        </w:rPr>
        <w:t>3、该政府采购项目中标通知书；</w:t>
      </w:r>
    </w:p>
    <w:p>
      <w:pPr>
        <w:pStyle w:val="35"/>
        <w:spacing w:before="120" w:after="12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pPr>
        <w:pStyle w:val="35"/>
        <w:spacing w:before="120" w:after="12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pPr>
        <w:pStyle w:val="35"/>
        <w:spacing w:before="120" w:after="12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pPr>
        <w:pStyle w:val="35"/>
        <w:spacing w:before="120" w:after="12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pPr>
        <w:pStyle w:val="35"/>
        <w:spacing w:before="120" w:after="120" w:line="460" w:lineRule="exact"/>
        <w:ind w:left="0" w:firstLine="640" w:firstLineChars="200"/>
        <w:jc w:val="center"/>
        <w:rPr>
          <w:rFonts w:ascii="方正小标宋简体" w:eastAsia="方正小标宋简体"/>
          <w:bCs/>
          <w:sz w:val="32"/>
          <w:szCs w:val="32"/>
        </w:rPr>
      </w:pPr>
    </w:p>
    <w:p>
      <w:pPr>
        <w:pStyle w:val="35"/>
        <w:spacing w:before="120" w:after="120" w:line="460" w:lineRule="exact"/>
        <w:ind w:left="0" w:firstLine="640" w:firstLineChars="200"/>
        <w:jc w:val="center"/>
        <w:rPr>
          <w:rFonts w:ascii="方正小标宋简体" w:eastAsia="方正小标宋简体"/>
          <w:sz w:val="32"/>
          <w:szCs w:val="32"/>
        </w:rPr>
      </w:pPr>
      <w:r>
        <w:rPr>
          <w:rFonts w:hint="eastAsia" w:ascii="方正小标宋简体" w:eastAsia="方正小标宋简体"/>
          <w:bCs/>
          <w:sz w:val="32"/>
          <w:szCs w:val="32"/>
        </w:rPr>
        <w:t>供应商履约验收指引</w:t>
      </w:r>
    </w:p>
    <w:p>
      <w:pPr>
        <w:pStyle w:val="35"/>
        <w:numPr>
          <w:ilvl w:val="0"/>
          <w:numId w:val="21"/>
        </w:numPr>
        <w:spacing w:before="120" w:after="120" w:line="460" w:lineRule="exact"/>
        <w:ind w:left="0" w:firstLine="420" w:firstLineChars="200"/>
        <w:jc w:val="both"/>
        <w:rPr>
          <w:szCs w:val="27"/>
        </w:rPr>
      </w:pPr>
      <w:r>
        <w:rPr>
          <w:rFonts w:hint="eastAsia"/>
          <w:sz w:val="21"/>
          <w:szCs w:val="21"/>
          <w:lang w:val="en-US"/>
        </w:rPr>
        <w:t>供应商不得</w:t>
      </w:r>
      <w:r>
        <w:rPr>
          <w:rFonts w:hint="eastAsia"/>
          <w:sz w:val="21"/>
          <w:szCs w:val="21"/>
        </w:rPr>
        <w:t>擅自变更合同标的物内容；</w:t>
      </w:r>
    </w:p>
    <w:p>
      <w:pPr>
        <w:pStyle w:val="35"/>
        <w:spacing w:before="120" w:after="120" w:line="460" w:lineRule="exact"/>
        <w:ind w:left="0" w:firstLine="420" w:firstLineChars="200"/>
        <w:jc w:val="both"/>
        <w:rPr>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pPr>
        <w:pStyle w:val="35"/>
        <w:spacing w:before="120" w:after="120" w:line="46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pPr>
        <w:pStyle w:val="35"/>
        <w:spacing w:before="120" w:after="12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pPr>
        <w:pStyle w:val="35"/>
        <w:spacing w:before="120" w:after="120" w:line="460" w:lineRule="exact"/>
        <w:ind w:left="0" w:firstLine="420" w:firstLineChars="200"/>
        <w:jc w:val="both"/>
        <w:rPr>
          <w:sz w:val="21"/>
          <w:szCs w:val="21"/>
          <w:lang w:val="en-US"/>
        </w:rPr>
      </w:pPr>
      <w:r>
        <w:rPr>
          <w:rFonts w:hint="eastAsia"/>
          <w:sz w:val="21"/>
          <w:szCs w:val="21"/>
          <w:lang w:val="en-US"/>
        </w:rPr>
        <w:t>5、供应商应提供需验收物品的清单、参数、使用手册、人员培训情况等资料；</w:t>
      </w:r>
    </w:p>
    <w:p>
      <w:pPr>
        <w:pStyle w:val="35"/>
        <w:spacing w:before="120" w:after="120" w:line="46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pPr>
        <w:pStyle w:val="35"/>
        <w:spacing w:before="120" w:after="120" w:line="460" w:lineRule="exact"/>
        <w:ind w:left="0" w:firstLine="420" w:firstLineChars="200"/>
        <w:jc w:val="both"/>
        <w:rPr>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pPr>
        <w:pStyle w:val="5"/>
        <w:spacing w:before="0" w:line="520" w:lineRule="exact"/>
        <w:rPr>
          <w:rFonts w:ascii="方正小标宋简体" w:eastAsia="方正小标宋简体"/>
          <w:b w:val="0"/>
          <w:szCs w:val="36"/>
        </w:rPr>
      </w:pPr>
      <w:bookmarkStart w:id="55" w:name="_Toc220232392"/>
      <w:r>
        <w:rPr>
          <w:rFonts w:hint="eastAsia" w:ascii="方正小标宋简体" w:eastAsia="方正小标宋简体"/>
          <w:b w:val="0"/>
        </w:rPr>
        <w:t>采购合同</w:t>
      </w:r>
      <w:bookmarkEnd w:id="55"/>
      <w:r>
        <w:rPr>
          <w:rFonts w:hint="eastAsia" w:ascii="方正小标宋简体" w:eastAsia="方正小标宋简体"/>
          <w:b w:val="0"/>
        </w:rPr>
        <w:t>内容</w:t>
      </w:r>
    </w:p>
    <w:p>
      <w:pPr>
        <w:spacing w:line="520" w:lineRule="exact"/>
        <w:ind w:firstLine="440" w:firstLineChars="200"/>
        <w:jc w:val="both"/>
        <w:rPr>
          <w:szCs w:val="27"/>
        </w:rPr>
      </w:pPr>
    </w:p>
    <w:p>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pPr>
        <w:spacing w:line="360" w:lineRule="auto"/>
        <w:ind w:firstLine="440" w:firstLineChars="200"/>
        <w:jc w:val="both"/>
        <w:rPr>
          <w:szCs w:val="27"/>
          <w:u w:val="single"/>
        </w:rPr>
      </w:pPr>
      <w:r>
        <w:rPr>
          <w:rFonts w:hint="eastAsia"/>
          <w:szCs w:val="27"/>
        </w:rPr>
        <w:t>签订地点：</w:t>
      </w:r>
    </w:p>
    <w:p>
      <w:pPr>
        <w:spacing w:line="360" w:lineRule="auto"/>
        <w:ind w:firstLine="440" w:firstLineChars="200"/>
        <w:jc w:val="both"/>
        <w:rPr>
          <w:szCs w:val="27"/>
          <w:u w:val="single"/>
        </w:rPr>
      </w:pPr>
      <w:r>
        <w:rPr>
          <w:rFonts w:hint="eastAsia"/>
          <w:szCs w:val="27"/>
        </w:rPr>
        <w:t>项目名称：</w:t>
      </w:r>
    </w:p>
    <w:p>
      <w:pPr>
        <w:spacing w:line="360" w:lineRule="auto"/>
        <w:ind w:firstLine="440" w:firstLineChars="200"/>
        <w:jc w:val="both"/>
        <w:rPr>
          <w:szCs w:val="27"/>
          <w:u w:val="single"/>
        </w:rPr>
      </w:pPr>
      <w:r>
        <w:rPr>
          <w:rFonts w:hint="eastAsia"/>
          <w:szCs w:val="27"/>
        </w:rPr>
        <w:t>项目编号：</w:t>
      </w:r>
    </w:p>
    <w:p>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1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pPr>
              <w:spacing w:line="360" w:lineRule="auto"/>
              <w:ind w:firstLine="440" w:firstLineChars="200"/>
              <w:jc w:val="both"/>
            </w:pPr>
            <w:r>
              <w:rPr>
                <w:rFonts w:hint="eastAsia"/>
              </w:rPr>
              <w:t>产品名称</w:t>
            </w:r>
          </w:p>
        </w:tc>
        <w:tc>
          <w:tcPr>
            <w:tcW w:w="1623" w:type="dxa"/>
            <w:vAlign w:val="top"/>
          </w:tcPr>
          <w:p>
            <w:pPr>
              <w:spacing w:line="360" w:lineRule="auto"/>
              <w:ind w:firstLine="440" w:firstLineChars="200"/>
              <w:jc w:val="both"/>
            </w:pPr>
            <w:r>
              <w:rPr>
                <w:rFonts w:hint="eastAsia"/>
              </w:rPr>
              <w:t>规格型号</w:t>
            </w:r>
          </w:p>
        </w:tc>
        <w:tc>
          <w:tcPr>
            <w:tcW w:w="902" w:type="dxa"/>
            <w:vAlign w:val="top"/>
          </w:tcPr>
          <w:p>
            <w:pPr>
              <w:spacing w:line="360" w:lineRule="auto"/>
              <w:ind w:firstLine="440" w:firstLineChars="200"/>
              <w:jc w:val="both"/>
            </w:pPr>
            <w:r>
              <w:rPr>
                <w:rFonts w:hint="eastAsia"/>
              </w:rPr>
              <w:t>单位</w:t>
            </w:r>
          </w:p>
        </w:tc>
        <w:tc>
          <w:tcPr>
            <w:tcW w:w="902" w:type="dxa"/>
            <w:vAlign w:val="top"/>
          </w:tcPr>
          <w:p>
            <w:pPr>
              <w:spacing w:line="360" w:lineRule="auto"/>
              <w:ind w:firstLine="440" w:firstLineChars="200"/>
              <w:jc w:val="both"/>
            </w:pPr>
            <w:r>
              <w:rPr>
                <w:rFonts w:hint="eastAsia"/>
              </w:rPr>
              <w:t>数量</w:t>
            </w:r>
          </w:p>
        </w:tc>
        <w:tc>
          <w:tcPr>
            <w:tcW w:w="1071" w:type="dxa"/>
            <w:vAlign w:val="top"/>
          </w:tcPr>
          <w:p>
            <w:pPr>
              <w:spacing w:line="360" w:lineRule="auto"/>
              <w:ind w:firstLine="440" w:firstLineChars="200"/>
              <w:jc w:val="both"/>
            </w:pPr>
            <w:r>
              <w:rPr>
                <w:rFonts w:hint="eastAsia"/>
              </w:rPr>
              <w:t>单价</w:t>
            </w:r>
          </w:p>
        </w:tc>
        <w:tc>
          <w:tcPr>
            <w:tcW w:w="1250" w:type="dxa"/>
            <w:vAlign w:val="top"/>
          </w:tcPr>
          <w:p>
            <w:pPr>
              <w:spacing w:line="360" w:lineRule="auto"/>
              <w:ind w:firstLine="440" w:firstLineChars="200"/>
              <w:jc w:val="both"/>
            </w:pPr>
            <w:r>
              <w:rPr>
                <w:rFonts w:hint="eastAsia"/>
              </w:rPr>
              <w:t>小计</w:t>
            </w:r>
          </w:p>
        </w:tc>
        <w:tc>
          <w:tcPr>
            <w:tcW w:w="1106" w:type="dxa"/>
            <w:vAlign w:val="top"/>
          </w:tcPr>
          <w:p>
            <w:pPr>
              <w:spacing w:line="360" w:lineRule="auto"/>
              <w:ind w:firstLine="440" w:firstLineChars="200"/>
              <w:jc w:val="both"/>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pPr>
              <w:spacing w:line="360" w:lineRule="auto"/>
              <w:ind w:firstLine="440" w:firstLineChars="200"/>
              <w:jc w:val="both"/>
            </w:pPr>
          </w:p>
        </w:tc>
        <w:tc>
          <w:tcPr>
            <w:tcW w:w="1623" w:type="dxa"/>
            <w:vAlign w:val="top"/>
          </w:tcPr>
          <w:p>
            <w:pPr>
              <w:spacing w:line="360" w:lineRule="auto"/>
              <w:ind w:firstLine="440" w:firstLineChars="200"/>
              <w:jc w:val="both"/>
            </w:pPr>
          </w:p>
        </w:tc>
        <w:tc>
          <w:tcPr>
            <w:tcW w:w="902" w:type="dxa"/>
            <w:vAlign w:val="top"/>
          </w:tcPr>
          <w:p>
            <w:pPr>
              <w:spacing w:line="360" w:lineRule="auto"/>
              <w:ind w:firstLine="440" w:firstLineChars="200"/>
              <w:jc w:val="both"/>
            </w:pPr>
          </w:p>
        </w:tc>
        <w:tc>
          <w:tcPr>
            <w:tcW w:w="902" w:type="dxa"/>
            <w:vAlign w:val="top"/>
          </w:tcPr>
          <w:p>
            <w:pPr>
              <w:spacing w:line="360" w:lineRule="auto"/>
              <w:ind w:firstLine="440" w:firstLineChars="200"/>
              <w:jc w:val="both"/>
            </w:pPr>
          </w:p>
        </w:tc>
        <w:tc>
          <w:tcPr>
            <w:tcW w:w="1071" w:type="dxa"/>
            <w:vAlign w:val="top"/>
          </w:tcPr>
          <w:p>
            <w:pPr>
              <w:spacing w:line="360" w:lineRule="auto"/>
              <w:ind w:firstLine="440" w:firstLineChars="200"/>
              <w:jc w:val="both"/>
            </w:pPr>
          </w:p>
        </w:tc>
        <w:tc>
          <w:tcPr>
            <w:tcW w:w="1250" w:type="dxa"/>
            <w:vAlign w:val="top"/>
          </w:tcPr>
          <w:p>
            <w:pPr>
              <w:spacing w:line="360" w:lineRule="auto"/>
              <w:ind w:firstLine="440" w:firstLineChars="200"/>
              <w:jc w:val="both"/>
            </w:pPr>
          </w:p>
        </w:tc>
        <w:tc>
          <w:tcPr>
            <w:tcW w:w="1106" w:type="dxa"/>
            <w:vAlign w:val="top"/>
          </w:tcPr>
          <w:p>
            <w:pPr>
              <w:spacing w:line="360" w:lineRule="auto"/>
              <w:ind w:firstLine="440" w:firstLineChars="20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pPr>
              <w:spacing w:line="360" w:lineRule="auto"/>
              <w:ind w:firstLine="440" w:firstLineChars="200"/>
              <w:jc w:val="both"/>
            </w:pPr>
          </w:p>
        </w:tc>
        <w:tc>
          <w:tcPr>
            <w:tcW w:w="1623" w:type="dxa"/>
            <w:vAlign w:val="top"/>
          </w:tcPr>
          <w:p>
            <w:pPr>
              <w:spacing w:line="360" w:lineRule="auto"/>
              <w:ind w:firstLine="440" w:firstLineChars="200"/>
              <w:jc w:val="both"/>
            </w:pPr>
          </w:p>
        </w:tc>
        <w:tc>
          <w:tcPr>
            <w:tcW w:w="902" w:type="dxa"/>
            <w:vAlign w:val="top"/>
          </w:tcPr>
          <w:p>
            <w:pPr>
              <w:spacing w:line="360" w:lineRule="auto"/>
              <w:ind w:firstLine="440" w:firstLineChars="200"/>
              <w:jc w:val="both"/>
            </w:pPr>
          </w:p>
        </w:tc>
        <w:tc>
          <w:tcPr>
            <w:tcW w:w="902" w:type="dxa"/>
            <w:vAlign w:val="top"/>
          </w:tcPr>
          <w:p>
            <w:pPr>
              <w:spacing w:line="360" w:lineRule="auto"/>
              <w:ind w:firstLine="440" w:firstLineChars="200"/>
              <w:jc w:val="both"/>
            </w:pPr>
          </w:p>
        </w:tc>
        <w:tc>
          <w:tcPr>
            <w:tcW w:w="1071" w:type="dxa"/>
            <w:vAlign w:val="top"/>
          </w:tcPr>
          <w:p>
            <w:pPr>
              <w:spacing w:line="360" w:lineRule="auto"/>
              <w:ind w:firstLine="440" w:firstLineChars="200"/>
              <w:jc w:val="both"/>
            </w:pPr>
          </w:p>
        </w:tc>
        <w:tc>
          <w:tcPr>
            <w:tcW w:w="1250" w:type="dxa"/>
            <w:vAlign w:val="top"/>
          </w:tcPr>
          <w:p>
            <w:pPr>
              <w:spacing w:line="360" w:lineRule="auto"/>
              <w:ind w:firstLine="440" w:firstLineChars="200"/>
              <w:jc w:val="both"/>
            </w:pPr>
          </w:p>
        </w:tc>
        <w:tc>
          <w:tcPr>
            <w:tcW w:w="1106" w:type="dxa"/>
            <w:vAlign w:val="top"/>
          </w:tcPr>
          <w:p>
            <w:pPr>
              <w:spacing w:line="360" w:lineRule="auto"/>
              <w:ind w:firstLine="440" w:firstLineChars="20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pPr>
              <w:spacing w:line="360" w:lineRule="auto"/>
              <w:ind w:firstLine="440" w:firstLineChars="200"/>
              <w:jc w:val="both"/>
            </w:pPr>
          </w:p>
        </w:tc>
        <w:tc>
          <w:tcPr>
            <w:tcW w:w="1623" w:type="dxa"/>
            <w:vAlign w:val="top"/>
          </w:tcPr>
          <w:p>
            <w:pPr>
              <w:spacing w:line="360" w:lineRule="auto"/>
              <w:ind w:firstLine="440" w:firstLineChars="200"/>
              <w:jc w:val="both"/>
            </w:pPr>
          </w:p>
        </w:tc>
        <w:tc>
          <w:tcPr>
            <w:tcW w:w="902" w:type="dxa"/>
            <w:vAlign w:val="top"/>
          </w:tcPr>
          <w:p>
            <w:pPr>
              <w:spacing w:line="360" w:lineRule="auto"/>
              <w:ind w:firstLine="440" w:firstLineChars="200"/>
              <w:jc w:val="both"/>
            </w:pPr>
          </w:p>
        </w:tc>
        <w:tc>
          <w:tcPr>
            <w:tcW w:w="902" w:type="dxa"/>
            <w:vAlign w:val="top"/>
          </w:tcPr>
          <w:p>
            <w:pPr>
              <w:spacing w:line="360" w:lineRule="auto"/>
              <w:ind w:firstLine="440" w:firstLineChars="200"/>
              <w:jc w:val="both"/>
            </w:pPr>
          </w:p>
        </w:tc>
        <w:tc>
          <w:tcPr>
            <w:tcW w:w="1071" w:type="dxa"/>
            <w:vAlign w:val="top"/>
          </w:tcPr>
          <w:p>
            <w:pPr>
              <w:spacing w:line="360" w:lineRule="auto"/>
              <w:ind w:firstLine="440" w:firstLineChars="200"/>
              <w:jc w:val="both"/>
            </w:pPr>
          </w:p>
        </w:tc>
        <w:tc>
          <w:tcPr>
            <w:tcW w:w="1250" w:type="dxa"/>
            <w:vAlign w:val="top"/>
          </w:tcPr>
          <w:p>
            <w:pPr>
              <w:spacing w:line="360" w:lineRule="auto"/>
              <w:ind w:firstLine="440" w:firstLineChars="200"/>
              <w:jc w:val="both"/>
            </w:pPr>
          </w:p>
        </w:tc>
        <w:tc>
          <w:tcPr>
            <w:tcW w:w="1106" w:type="dxa"/>
            <w:vAlign w:val="top"/>
          </w:tcPr>
          <w:p>
            <w:pPr>
              <w:spacing w:line="360" w:lineRule="auto"/>
              <w:ind w:firstLine="440" w:firstLineChars="20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vAlign w:val="top"/>
          </w:tcPr>
          <w:p>
            <w:pPr>
              <w:spacing w:line="360" w:lineRule="auto"/>
              <w:ind w:firstLine="440" w:firstLineChars="200"/>
              <w:jc w:val="both"/>
            </w:pPr>
            <w:r>
              <w:rPr>
                <w:rFonts w:hint="eastAsia"/>
              </w:rPr>
              <w:t>合同总价款（大小写）：</w:t>
            </w:r>
          </w:p>
          <w:p>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pPr>
        <w:spacing w:line="360" w:lineRule="auto"/>
        <w:ind w:firstLine="44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pPr>
        <w:pStyle w:val="29"/>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pStyle w:val="29"/>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pPr>
        <w:spacing w:line="360" w:lineRule="auto"/>
        <w:ind w:firstLine="440" w:firstLineChars="200"/>
        <w:jc w:val="both"/>
      </w:pPr>
      <w:r>
        <w:rPr>
          <w:rFonts w:hint="eastAsia"/>
          <w:szCs w:val="27"/>
        </w:rPr>
        <w:t>1.</w:t>
      </w:r>
      <w:r>
        <w:rPr>
          <w:szCs w:val="27"/>
        </w:rPr>
        <w:t>交货方法，按下列第（ ）项执行：</w:t>
      </w:r>
    </w:p>
    <w:p>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u w:val="single"/>
        </w:rPr>
        <w:t xml:space="preserve">                 (</w:t>
      </w:r>
      <w:r>
        <w:rPr>
          <w:rFonts w:hint="eastAsia"/>
          <w:szCs w:val="27"/>
        </w:rPr>
        <w:t>甲方指定的任何地点，安装并调试.)</w:t>
      </w:r>
    </w:p>
    <w:p>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pPr>
        <w:numPr>
          <w:ilvl w:val="0"/>
          <w:numId w:val="22"/>
        </w:numPr>
        <w:spacing w:line="360" w:lineRule="auto"/>
        <w:ind w:left="0" w:firstLine="440" w:firstLineChars="200"/>
        <w:jc w:val="both"/>
      </w:pPr>
      <w:r>
        <w:rPr>
          <w:rFonts w:hint="eastAsia"/>
        </w:rPr>
        <w:t xml:space="preserve">付款条件                  </w:t>
      </w:r>
    </w:p>
    <w:p>
      <w:pPr>
        <w:spacing w:line="360" w:lineRule="auto"/>
        <w:ind w:firstLine="440" w:firstLineChars="200"/>
        <w:jc w:val="both"/>
      </w:pPr>
      <w:r>
        <w:rPr>
          <w:rFonts w:hint="eastAsia"/>
        </w:rPr>
        <w:t>本合同以人民币付款。</w:t>
      </w:r>
    </w:p>
    <w:p>
      <w:pPr>
        <w:spacing w:line="360" w:lineRule="auto"/>
        <w:ind w:firstLine="440" w:firstLineChars="200"/>
        <w:jc w:val="both"/>
      </w:pPr>
      <w:r>
        <w:rPr>
          <w:rFonts w:hint="eastAsia"/>
        </w:rPr>
        <w:t>该项目是否实行预付款：</w:t>
      </w:r>
    </w:p>
    <w:p>
      <w:pPr>
        <w:spacing w:line="360" w:lineRule="auto"/>
        <w:ind w:firstLine="440" w:firstLineChars="200"/>
        <w:jc w:val="both"/>
      </w:pPr>
      <w:r>
        <w:rPr>
          <w:rFonts w:hint="eastAsia"/>
        </w:rPr>
        <w:t>实行预付款的条件和比例：</w:t>
      </w:r>
    </w:p>
    <w:p>
      <w:pPr>
        <w:spacing w:line="360" w:lineRule="auto"/>
        <w:ind w:firstLine="440" w:firstLineChars="200"/>
        <w:jc w:val="both"/>
      </w:pPr>
      <w:r>
        <w:rPr>
          <w:rFonts w:hint="eastAsia"/>
        </w:rPr>
        <w:t>合同款项结算方式和支付比例：</w:t>
      </w:r>
      <w:r>
        <w:rPr>
          <w:rFonts w:hint="eastAsia"/>
          <w:lang w:val="en-US"/>
        </w:rPr>
        <w:t xml:space="preserve">   </w:t>
      </w:r>
    </w:p>
    <w:p>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pPr>
        <w:numPr>
          <w:ilvl w:val="0"/>
          <w:numId w:val="22"/>
        </w:numPr>
        <w:spacing w:line="360" w:lineRule="auto"/>
        <w:ind w:left="0" w:firstLine="440" w:firstLineChars="200"/>
        <w:jc w:val="both"/>
        <w:rPr>
          <w:szCs w:val="27"/>
        </w:rPr>
      </w:pPr>
      <w:r>
        <w:rPr>
          <w:szCs w:val="27"/>
        </w:rPr>
        <w:t>验收方法</w:t>
      </w:r>
    </w:p>
    <w:p>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pPr>
        <w:pStyle w:val="26"/>
        <w:spacing w:line="360" w:lineRule="auto"/>
        <w:ind w:left="440" w:firstLine="480" w:firstLineChars="200"/>
        <w:jc w:val="both"/>
        <w:rPr>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pPr>
        <w:pStyle w:val="26"/>
        <w:spacing w:line="360" w:lineRule="auto"/>
        <w:ind w:left="440" w:firstLine="480" w:firstLineChars="200"/>
        <w:jc w:val="both"/>
        <w:rPr>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pStyle w:val="26"/>
        <w:spacing w:line="360" w:lineRule="auto"/>
        <w:ind w:left="440" w:firstLine="480" w:firstLineChars="200"/>
        <w:jc w:val="both"/>
        <w:rPr>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pPr>
        <w:pStyle w:val="26"/>
        <w:spacing w:line="360" w:lineRule="auto"/>
        <w:ind w:left="440" w:firstLine="480" w:firstLineChars="200"/>
        <w:jc w:val="both"/>
        <w:rPr>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pPr>
        <w:pStyle w:val="26"/>
        <w:spacing w:line="360" w:lineRule="auto"/>
        <w:ind w:left="440" w:firstLine="480" w:firstLineChars="200"/>
        <w:jc w:val="both"/>
        <w:rPr>
          <w:b/>
          <w:bCs/>
          <w:sz w:val="24"/>
          <w:u w:val="single"/>
        </w:rPr>
      </w:pPr>
      <w:r>
        <w:rPr>
          <w:rFonts w:hint="eastAsia"/>
          <w:sz w:val="24"/>
          <w:szCs w:val="27"/>
        </w:rPr>
        <w:t>检测、验收费用承担方式：</w:t>
      </w:r>
    </w:p>
    <w:p>
      <w:pPr>
        <w:spacing w:line="360" w:lineRule="auto"/>
        <w:ind w:firstLine="442" w:firstLineChars="200"/>
        <w:jc w:val="both"/>
      </w:pPr>
      <w:r>
        <w:rPr>
          <w:b/>
          <w:bCs/>
          <w:szCs w:val="27"/>
        </w:rPr>
        <w:t>第八条 </w:t>
      </w:r>
      <w:r>
        <w:rPr>
          <w:szCs w:val="27"/>
        </w:rPr>
        <w:t xml:space="preserve"> 对产品提出异议的时间和办法</w:t>
      </w:r>
    </w:p>
    <w:p>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pPr>
        <w:spacing w:line="360" w:lineRule="auto"/>
        <w:ind w:firstLine="440" w:firstLineChars="200"/>
        <w:jc w:val="both"/>
      </w:pPr>
      <w:r>
        <w:rPr>
          <w:rFonts w:hint="eastAsia"/>
          <w:szCs w:val="27"/>
        </w:rPr>
        <w:t>2.</w:t>
      </w:r>
      <w:r>
        <w:rPr>
          <w:szCs w:val="27"/>
        </w:rPr>
        <w:t>甲方因使用、保管、保养不善等造成产品质量下降的，不得提出异议。</w:t>
      </w:r>
    </w:p>
    <w:p>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pPr>
        <w:spacing w:line="360" w:lineRule="auto"/>
        <w:ind w:firstLine="440" w:firstLineChars="200"/>
        <w:jc w:val="both"/>
        <w:rPr>
          <w:szCs w:val="27"/>
        </w:rPr>
      </w:pPr>
      <w:r>
        <w:rPr>
          <w:rFonts w:hint="eastAsia"/>
          <w:szCs w:val="27"/>
        </w:rPr>
        <w:t>1.保修</w:t>
      </w:r>
    </w:p>
    <w:p>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pPr>
        <w:spacing w:line="360" w:lineRule="auto"/>
        <w:ind w:firstLine="440" w:firstLineChars="200"/>
        <w:jc w:val="both"/>
        <w:rPr>
          <w:szCs w:val="27"/>
        </w:rPr>
      </w:pPr>
      <w:r>
        <w:rPr>
          <w:rFonts w:hint="eastAsia"/>
          <w:szCs w:val="27"/>
        </w:rPr>
        <w:t>2.维修</w:t>
      </w:r>
    </w:p>
    <w:p>
      <w:pPr>
        <w:pStyle w:val="29"/>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pPr>
        <w:pStyle w:val="36"/>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pPr>
        <w:spacing w:line="380" w:lineRule="exact"/>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pPr>
        <w:spacing w:line="380" w:lineRule="exact"/>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pPr>
        <w:spacing w:line="380" w:lineRule="exact"/>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pPr>
        <w:spacing w:line="380" w:lineRule="exact"/>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pPr>
        <w:spacing w:line="380" w:lineRule="exact"/>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pPr>
        <w:spacing w:line="380" w:lineRule="exact"/>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pPr>
        <w:spacing w:line="380" w:lineRule="exact"/>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pPr>
        <w:spacing w:line="380" w:lineRule="exact"/>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pPr>
        <w:pStyle w:val="35"/>
        <w:spacing w:before="120" w:after="120" w:line="380" w:lineRule="exact"/>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pPr>
        <w:spacing w:line="380" w:lineRule="exact"/>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80" w:lineRule="exact"/>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pPr>
        <w:spacing w:line="380" w:lineRule="exact"/>
        <w:ind w:firstLine="440" w:firstLineChars="200"/>
        <w:jc w:val="both"/>
        <w:rPr>
          <w:szCs w:val="27"/>
        </w:rPr>
      </w:pPr>
    </w:p>
    <w:p>
      <w:pPr>
        <w:spacing w:line="380" w:lineRule="exact"/>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pPr>
        <w:spacing w:line="380" w:lineRule="exact"/>
        <w:ind w:firstLine="440" w:firstLineChars="200"/>
        <w:jc w:val="both"/>
      </w:pPr>
      <w:r>
        <w:rPr>
          <w:rFonts w:hint="eastAsia"/>
          <w:szCs w:val="27"/>
        </w:rPr>
        <w:t xml:space="preserve">地址：                               </w:t>
      </w:r>
      <w:r>
        <w:rPr>
          <w:szCs w:val="27"/>
        </w:rPr>
        <w:t>地址：</w:t>
      </w:r>
    </w:p>
    <w:p>
      <w:pPr>
        <w:spacing w:line="380" w:lineRule="exact"/>
        <w:ind w:firstLine="440" w:firstLineChars="200"/>
        <w:jc w:val="both"/>
        <w:rPr>
          <w:szCs w:val="27"/>
        </w:rPr>
      </w:pPr>
      <w:r>
        <w:rPr>
          <w:szCs w:val="27"/>
        </w:rPr>
        <w:t>法定代表人：</w:t>
      </w:r>
      <w:r>
        <w:rPr>
          <w:rFonts w:hint="eastAsia"/>
          <w:szCs w:val="27"/>
        </w:rPr>
        <w:t xml:space="preserve">                         </w:t>
      </w:r>
      <w:r>
        <w:rPr>
          <w:szCs w:val="27"/>
        </w:rPr>
        <w:t>法定代表人：</w:t>
      </w:r>
    </w:p>
    <w:p>
      <w:pPr>
        <w:spacing w:line="380" w:lineRule="exact"/>
        <w:ind w:firstLine="440" w:firstLineChars="200"/>
        <w:jc w:val="both"/>
        <w:rPr>
          <w:u w:val="single"/>
        </w:rPr>
      </w:pPr>
      <w:r>
        <w:rPr>
          <w:rFonts w:hint="eastAsia"/>
          <w:szCs w:val="27"/>
        </w:rPr>
        <w:t>委托代理人：                         委托代理人：</w:t>
      </w:r>
    </w:p>
    <w:p>
      <w:pPr>
        <w:spacing w:line="380" w:lineRule="exact"/>
        <w:ind w:firstLine="440" w:firstLineChars="200"/>
        <w:jc w:val="both"/>
      </w:pPr>
      <w:r>
        <w:rPr>
          <w:rFonts w:hint="eastAsia"/>
        </w:rPr>
        <w:t>电话：                               电话：</w:t>
      </w:r>
    </w:p>
    <w:p>
      <w:pPr>
        <w:spacing w:line="380" w:lineRule="exact"/>
        <w:ind w:firstLine="440" w:firstLineChars="200"/>
        <w:jc w:val="both"/>
        <w:rPr>
          <w:szCs w:val="27"/>
        </w:rPr>
      </w:pPr>
      <w:r>
        <w:rPr>
          <w:szCs w:val="27"/>
        </w:rPr>
        <w:t>开户银行：</w:t>
      </w:r>
      <w:r>
        <w:rPr>
          <w:rFonts w:hint="eastAsia"/>
          <w:szCs w:val="27"/>
        </w:rPr>
        <w:t xml:space="preserve">                           </w:t>
      </w:r>
      <w:r>
        <w:rPr>
          <w:szCs w:val="27"/>
        </w:rPr>
        <w:t>开户银行：</w:t>
      </w:r>
    </w:p>
    <w:p>
      <w:pPr>
        <w:spacing w:line="380" w:lineRule="exact"/>
        <w:ind w:firstLine="440" w:firstLineChars="200"/>
        <w:jc w:val="both"/>
      </w:pPr>
      <w:r>
        <w:rPr>
          <w:rFonts w:hint="eastAsia"/>
          <w:szCs w:val="27"/>
        </w:rPr>
        <w:t>账号</w:t>
      </w:r>
      <w:r>
        <w:rPr>
          <w:szCs w:val="27"/>
        </w:rPr>
        <w:t>：</w:t>
      </w:r>
      <w:r>
        <w:rPr>
          <w:rFonts w:hint="eastAsia"/>
          <w:szCs w:val="27"/>
        </w:rPr>
        <w:t xml:space="preserve">                               账号</w:t>
      </w:r>
      <w:r>
        <w:rPr>
          <w:szCs w:val="27"/>
        </w:rPr>
        <w:t>：</w:t>
      </w:r>
    </w:p>
    <w:p>
      <w:pPr>
        <w:spacing w:line="380" w:lineRule="exact"/>
        <w:ind w:firstLine="1650" w:firstLineChars="750"/>
        <w:jc w:val="both"/>
        <w:rPr>
          <w:szCs w:val="27"/>
          <w:u w:val="single"/>
        </w:rPr>
      </w:pPr>
    </w:p>
    <w:p>
      <w:pPr>
        <w:spacing w:line="38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pPr>
        <w:pStyle w:val="2"/>
        <w:spacing w:line="380" w:lineRule="exact"/>
        <w:ind w:left="440" w:firstLine="220"/>
        <w:jc w:val="center"/>
        <w:rPr>
          <w:b/>
          <w:sz w:val="32"/>
          <w:szCs w:val="32"/>
        </w:rPr>
      </w:pPr>
      <w:r>
        <w:rPr>
          <w:rFonts w:hint="eastAsia"/>
        </w:rPr>
        <w:br w:type="column"/>
      </w:r>
      <w:r>
        <w:rPr>
          <w:rFonts w:hint="eastAsia"/>
          <w:b/>
          <w:sz w:val="32"/>
          <w:szCs w:val="32"/>
        </w:rPr>
        <w:t>周口市政府采购合同融资政策告知函</w:t>
      </w:r>
    </w:p>
    <w:p>
      <w:pPr>
        <w:pStyle w:val="2"/>
        <w:ind w:firstLine="240"/>
        <w:rPr>
          <w:sz w:val="24"/>
        </w:rPr>
      </w:pPr>
    </w:p>
    <w:p>
      <w:pPr>
        <w:pStyle w:val="2"/>
        <w:ind w:firstLine="240"/>
        <w:rPr>
          <w:sz w:val="24"/>
        </w:rPr>
      </w:pPr>
    </w:p>
    <w:p>
      <w:pPr>
        <w:pStyle w:val="2"/>
        <w:ind w:firstLine="0" w:firstLineChars="0"/>
        <w:rPr>
          <w:sz w:val="24"/>
        </w:rPr>
      </w:pPr>
      <w:r>
        <w:rPr>
          <w:rFonts w:hint="eastAsia"/>
          <w:sz w:val="24"/>
        </w:rPr>
        <w:t>各供应商：</w:t>
      </w:r>
    </w:p>
    <w:p>
      <w:pPr>
        <w:pStyle w:val="2"/>
        <w:ind w:firstLine="480" w:firstLineChars="200"/>
        <w:rPr>
          <w:sz w:val="24"/>
        </w:rPr>
      </w:pPr>
      <w:r>
        <w:rPr>
          <w:rFonts w:hint="eastAsia"/>
          <w:sz w:val="24"/>
        </w:rPr>
        <w:t>欢迎贵公司参与周口市政府采购活动！</w:t>
      </w:r>
    </w:p>
    <w:p>
      <w:pPr>
        <w:pStyle w:val="2"/>
        <w:ind w:firstLine="480" w:firstLineChars="200"/>
        <w:rPr>
          <w:sz w:val="24"/>
        </w:rPr>
      </w:pPr>
      <w:r>
        <w:rPr>
          <w:rFonts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sz w:val="24"/>
        </w:rPr>
      </w:pPr>
      <w:r>
        <w:rPr>
          <w:rFonts w:hint="eastAsia"/>
          <w:sz w:val="24"/>
        </w:rPr>
        <w:t>贷款渠道和提供贷款的金融机构，可在河南省政府采购网“河南省政府采购合同融资平台”查询联系。</w:t>
      </w: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pStyle w:val="30"/>
        <w:spacing w:before="0" w:beforeAutospacing="0" w:after="0" w:afterAutospacing="0" w:line="330" w:lineRule="atLeast"/>
        <w:rPr>
          <w:b/>
          <w:bCs/>
          <w:color w:val="0000FF"/>
          <w:sz w:val="21"/>
          <w:szCs w:val="21"/>
        </w:rPr>
      </w:pPr>
    </w:p>
    <w:p>
      <w:pPr>
        <w:spacing w:before="1"/>
        <w:ind w:left="218"/>
        <w:rPr>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Cambria Math">
    <w:panose1 w:val="02040503050406030204"/>
    <w:charset w:val="00"/>
    <w:family w:val="auto"/>
    <w:pitch w:val="default"/>
    <w:sig w:usb0="E00006FF" w:usb1="420024FF" w:usb2="02000000"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t>2</w:t>
    </w:r>
    <w:r>
      <w:fldChar w:fldCharType="end"/>
    </w:r>
  </w:p>
  <w:p>
    <w:pPr>
      <w:pStyle w:val="9"/>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sz w:val="22"/>
      </w:rPr>
    </w:pPr>
    <w:r>
      <w:rPr>
        <w:sz w:val="22"/>
      </w:rPr>
      <w:fldChar w:fldCharType="begin"/>
    </w:r>
    <w:r>
      <w:rPr>
        <w:sz w:val="22"/>
      </w:rPr>
      <w:instrText xml:space="preserve">PAGE   \* MERGEFORMAT</w:instrText>
    </w:r>
    <w:r>
      <w:rPr>
        <w:sz w:val="22"/>
      </w:rPr>
      <w:fldChar w:fldCharType="separate"/>
    </w:r>
    <w:r>
      <w:rPr>
        <w:sz w:val="22"/>
      </w:rPr>
      <w:t>7</w:t>
    </w:r>
    <w:r>
      <w:rPr>
        <w:sz w:val="22"/>
      </w:rPr>
      <w:fldChar w:fldCharType="end"/>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sz w:val="22"/>
      </w:rPr>
    </w:pPr>
    <w:r>
      <w:rPr>
        <w:sz w:val="22"/>
      </w:rPr>
      <w:fldChar w:fldCharType="begin"/>
    </w:r>
    <w:r>
      <w:rPr>
        <w:sz w:val="22"/>
      </w:rPr>
      <w:instrText xml:space="preserve">PAGE   \* MERGEFORMAT</w:instrText>
    </w:r>
    <w:r>
      <w:rPr>
        <w:sz w:val="22"/>
      </w:rPr>
      <w:fldChar w:fldCharType="separate"/>
    </w:r>
    <w:r>
      <w:rPr>
        <w:sz w:val="22"/>
      </w:rPr>
      <w:t>32</w:t>
    </w:r>
    <w:r>
      <w:rPr>
        <w:sz w:val="22"/>
      </w:rPr>
      <w:fldChar w:fldCharType="end"/>
    </w:r>
  </w:p>
  <w:p>
    <w:pPr>
      <w:pStyle w:val="9"/>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0000000B"/>
    <w:multiLevelType w:val="multilevel"/>
    <w:tmpl w:val="0000000B"/>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0000000C"/>
    <w:multiLevelType w:val="singleLevel"/>
    <w:tmpl w:val="0000000C"/>
    <w:lvl w:ilvl="0" w:tentative="0">
      <w:start w:val="26"/>
      <w:numFmt w:val="decimal"/>
      <w:suff w:val="nothing"/>
      <w:lvlText w:val="%1、"/>
      <w:lvlJc w:val="left"/>
    </w:lvl>
  </w:abstractNum>
  <w:abstractNum w:abstractNumId="3">
    <w:nsid w:val="0000000D"/>
    <w:multiLevelType w:val="multilevel"/>
    <w:tmpl w:val="0000000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0000000E"/>
    <w:multiLevelType w:val="multilevel"/>
    <w:tmpl w:val="0000000E"/>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0000000F"/>
    <w:multiLevelType w:val="multilevel"/>
    <w:tmpl w:val="0000000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00000010"/>
    <w:multiLevelType w:val="multilevel"/>
    <w:tmpl w:val="00000010"/>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00000011"/>
    <w:multiLevelType w:val="multilevel"/>
    <w:tmpl w:val="00000011"/>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00000012"/>
    <w:multiLevelType w:val="multilevel"/>
    <w:tmpl w:val="00000012"/>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3"/>
    <w:multiLevelType w:val="multilevel"/>
    <w:tmpl w:val="00000013"/>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14"/>
    <w:multiLevelType w:val="multilevel"/>
    <w:tmpl w:val="00000014"/>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0000015"/>
    <w:multiLevelType w:val="singleLevel"/>
    <w:tmpl w:val="00000015"/>
    <w:lvl w:ilvl="0" w:tentative="0">
      <w:start w:val="1"/>
      <w:numFmt w:val="upperLetter"/>
      <w:suff w:val="nothing"/>
      <w:lvlText w:val="%1、"/>
      <w:lvlJc w:val="left"/>
    </w:lvl>
  </w:abstractNum>
  <w:abstractNum w:abstractNumId="12">
    <w:nsid w:val="00000016"/>
    <w:multiLevelType w:val="multilevel"/>
    <w:tmpl w:val="00000016"/>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0000017"/>
    <w:multiLevelType w:val="multilevel"/>
    <w:tmpl w:val="00000017"/>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00000018"/>
    <w:multiLevelType w:val="multilevel"/>
    <w:tmpl w:val="00000018"/>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00000019"/>
    <w:multiLevelType w:val="multilevel"/>
    <w:tmpl w:val="00000019"/>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en-US"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0000001A"/>
    <w:multiLevelType w:val="multilevel"/>
    <w:tmpl w:val="0000001A"/>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0000001B"/>
    <w:multiLevelType w:val="multilevel"/>
    <w:tmpl w:val="0000001B"/>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0000001C"/>
    <w:multiLevelType w:val="multilevel"/>
    <w:tmpl w:val="0000001C"/>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0000001D"/>
    <w:multiLevelType w:val="multilevel"/>
    <w:tmpl w:val="0000001D"/>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0000001E"/>
    <w:multiLevelType w:val="singleLevel"/>
    <w:tmpl w:val="0000001E"/>
    <w:lvl w:ilvl="0" w:tentative="0">
      <w:start w:val="1"/>
      <w:numFmt w:val="chineseCounting"/>
      <w:lvlText w:val="第%1部分"/>
      <w:lvlJc w:val="left"/>
      <w:rPr>
        <w:rFonts w:hint="eastAsia"/>
      </w:rPr>
    </w:lvl>
  </w:abstractNum>
  <w:abstractNum w:abstractNumId="21">
    <w:nsid w:val="0000001F"/>
    <w:multiLevelType w:val="singleLevel"/>
    <w:tmpl w:val="0000001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1"/>
  <w:displayVerticalDrawingGridEvery w:val="1"/>
  <w:noPunctuationKerning w:val="1"/>
  <w:characterSpacingControl w:val="doNotCompress"/>
  <w:compat>
    <w:spaceForUL/>
    <w:doNotLeaveBackslashAlone/>
    <w:ulTrailSpace/>
    <w:doNotExpandShiftReturn/>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I1ZTI5OWQ4NDQ5ZWE1OGEyZGYyMmUxNGJiZTRhOWQifQ=="/>
  </w:docVars>
  <w:rsids>
    <w:rsidRoot w:val="00000000"/>
    <w:rsid w:val="76945DD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uiPriority w:val="0"/>
    <w:pPr>
      <w:spacing w:before="38"/>
      <w:ind w:left="592" w:right="985"/>
      <w:jc w:val="center"/>
      <w:outlineLvl w:val="0"/>
    </w:pPr>
    <w:rPr>
      <w:b/>
      <w:bCs/>
      <w:sz w:val="44"/>
      <w:szCs w:val="44"/>
    </w:rPr>
  </w:style>
  <w:style w:type="paragraph" w:styleId="5">
    <w:name w:val="heading 2"/>
    <w:basedOn w:val="1"/>
    <w:next w:val="1"/>
    <w:qFormat/>
    <w:uiPriority w:val="0"/>
    <w:pPr>
      <w:spacing w:before="54"/>
      <w:ind w:right="394"/>
      <w:jc w:val="center"/>
      <w:outlineLvl w:val="1"/>
    </w:pPr>
    <w:rPr>
      <w:b/>
      <w:bCs/>
      <w:sz w:val="32"/>
      <w:szCs w:val="32"/>
    </w:rPr>
  </w:style>
  <w:style w:type="paragraph" w:styleId="6">
    <w:name w:val="heading 3"/>
    <w:basedOn w:val="1"/>
    <w:next w:val="1"/>
    <w:qFormat/>
    <w:uiPriority w:val="0"/>
    <w:pPr>
      <w:ind w:left="218"/>
      <w:outlineLvl w:val="2"/>
    </w:pPr>
    <w:rPr>
      <w:b/>
      <w:bCs/>
      <w:sz w:val="30"/>
      <w:szCs w:val="30"/>
    </w:rPr>
  </w:style>
  <w:style w:type="paragraph" w:styleId="7">
    <w:name w:val="heading 4"/>
    <w:basedOn w:val="1"/>
    <w:next w:val="1"/>
    <w:qFormat/>
    <w:uiPriority w:val="0"/>
    <w:pPr>
      <w:ind w:left="218"/>
      <w:outlineLvl w:val="3"/>
    </w:pPr>
    <w:rPr>
      <w:b/>
      <w:bCs/>
      <w:sz w:val="24"/>
      <w:szCs w:val="24"/>
    </w:rPr>
  </w:style>
  <w:style w:type="character" w:default="1" w:styleId="16">
    <w:name w:val="Default Paragraph Font"/>
    <w:qFormat/>
    <w:uiPriority w:val="0"/>
  </w:style>
  <w:style w:type="table" w:default="1" w:styleId="15">
    <w:name w:val="Normal Table"/>
    <w:semiHidden/>
    <w:uiPriority w:val="0"/>
    <w:tblPr>
      <w:tblCellMar>
        <w:top w:w="0" w:type="dxa"/>
        <w:left w:w="108" w:type="dxa"/>
        <w:bottom w:w="0" w:type="dxa"/>
        <w:right w:w="108" w:type="dxa"/>
      </w:tblCellMar>
    </w:tblPr>
  </w:style>
  <w:style w:type="paragraph" w:customStyle="1" w:styleId="2">
    <w:name w:val="BodyText1I"/>
    <w:basedOn w:val="3"/>
    <w:qFormat/>
    <w:uiPriority w:val="0"/>
    <w:pPr>
      <w:ind w:firstLine="420" w:firstLineChars="100"/>
    </w:pPr>
  </w:style>
  <w:style w:type="paragraph" w:customStyle="1" w:styleId="3">
    <w:name w:val="BodyText"/>
    <w:basedOn w:val="1"/>
    <w:qFormat/>
    <w:uiPriority w:val="0"/>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21"/>
    <w:uiPriority w:val="0"/>
    <w:rPr>
      <w:rFonts w:ascii="宋体" w:hAnsi="宋体" w:cs="宋体"/>
      <w:sz w:val="24"/>
      <w:szCs w:val="24"/>
      <w:lang w:val="zh-CN" w:bidi="zh-CN"/>
    </w:rPr>
  </w:style>
  <w:style w:type="paragraph" w:styleId="10">
    <w:name w:val="footer"/>
    <w:basedOn w:val="1"/>
    <w:link w:val="22"/>
    <w:qFormat/>
    <w:uiPriority w:val="0"/>
    <w:pPr>
      <w:tabs>
        <w:tab w:val="center" w:pos="4153"/>
        <w:tab w:val="right" w:pos="8306"/>
      </w:tabs>
      <w:snapToGrid w:val="0"/>
    </w:pPr>
    <w:rPr>
      <w:rFonts w:ascii="宋体" w:hAnsi="宋体" w:cs="宋体"/>
      <w:sz w:val="18"/>
      <w:szCs w:val="18"/>
      <w:lang w:val="zh-CN" w:bidi="zh-CN"/>
    </w:rPr>
  </w:style>
  <w:style w:type="paragraph" w:styleId="11">
    <w:name w:val="header"/>
    <w:basedOn w:val="1"/>
    <w:link w:val="23"/>
    <w:qFormat/>
    <w:uiPriority w:val="0"/>
    <w:pPr>
      <w:pBdr>
        <w:bottom w:val="single" w:color="auto" w:sz="6" w:space="1"/>
      </w:pBdr>
      <w:tabs>
        <w:tab w:val="center" w:pos="4153"/>
        <w:tab w:val="right" w:pos="8306"/>
      </w:tabs>
      <w:snapToGrid w:val="0"/>
      <w:jc w:val="center"/>
    </w:pPr>
    <w:rPr>
      <w:rFonts w:ascii="宋体" w:hAnsi="宋体" w:cs="宋体"/>
      <w:sz w:val="18"/>
      <w:szCs w:val="18"/>
      <w:lang w:val="zh-CN" w:bidi="zh-CN"/>
    </w:rPr>
  </w:style>
  <w:style w:type="paragraph" w:styleId="12">
    <w:name w:val="toc 1"/>
    <w:basedOn w:val="1"/>
    <w:next w:val="1"/>
    <w:qFormat/>
    <w:uiPriority w:val="0"/>
    <w:pPr>
      <w:spacing w:before="186"/>
      <w:ind w:left="218"/>
    </w:pPr>
    <w:rPr>
      <w:sz w:val="28"/>
      <w:szCs w:val="28"/>
    </w:rPr>
  </w:style>
  <w:style w:type="paragraph" w:styleId="13">
    <w:name w:val="footnote text"/>
    <w:basedOn w:val="1"/>
    <w:qFormat/>
    <w:uiPriority w:val="0"/>
    <w:pPr>
      <w:snapToGrid w:val="0"/>
    </w:pPr>
    <w:rPr>
      <w:sz w:val="18"/>
      <w:szCs w:val="18"/>
    </w:rPr>
  </w:style>
  <w:style w:type="paragraph" w:styleId="14">
    <w:name w:val="Body Text First Indent"/>
    <w:basedOn w:val="9"/>
    <w:link w:val="20"/>
    <w:qFormat/>
    <w:uiPriority w:val="0"/>
    <w:pPr>
      <w:ind w:firstLine="420" w:firstLineChars="100"/>
    </w:pPr>
    <w:rPr>
      <w:rFonts w:ascii="宋体" w:hAnsi="宋体" w:cs="宋体"/>
      <w:sz w:val="22"/>
      <w:szCs w:val="22"/>
      <w:lang w:val="zh-CN" w:bidi="zh-CN"/>
    </w:rPr>
  </w:style>
  <w:style w:type="character" w:styleId="17">
    <w:name w:val="Strong"/>
    <w:qFormat/>
    <w:uiPriority w:val="0"/>
    <w:rPr>
      <w:b/>
      <w:bCs/>
    </w:rPr>
  </w:style>
  <w:style w:type="character" w:styleId="18">
    <w:name w:val="FollowedHyperlink"/>
    <w:qFormat/>
    <w:uiPriority w:val="0"/>
    <w:rPr>
      <w:color w:val="800080"/>
      <w:u w:val="single"/>
    </w:rPr>
  </w:style>
  <w:style w:type="character" w:styleId="19">
    <w:name w:val="Hyperlink"/>
    <w:qFormat/>
    <w:uiPriority w:val="0"/>
    <w:rPr>
      <w:color w:val="0000FF"/>
      <w:u w:val="single"/>
    </w:rPr>
  </w:style>
  <w:style w:type="character" w:customStyle="1" w:styleId="20">
    <w:name w:val="正文首行缩进 Char"/>
    <w:link w:val="14"/>
    <w:semiHidden/>
    <w:qFormat/>
    <w:uiPriority w:val="0"/>
    <w:rPr>
      <w:rFonts w:ascii="宋体" w:hAnsi="宋体" w:cs="宋体"/>
      <w:sz w:val="22"/>
      <w:szCs w:val="22"/>
      <w:lang w:val="zh-CN" w:bidi="zh-CN"/>
    </w:rPr>
  </w:style>
  <w:style w:type="character" w:customStyle="1" w:styleId="21">
    <w:name w:val="正文文本 Char"/>
    <w:link w:val="9"/>
    <w:semiHidden/>
    <w:qFormat/>
    <w:uiPriority w:val="0"/>
    <w:rPr>
      <w:rFonts w:ascii="宋体" w:hAnsi="宋体" w:cs="宋体"/>
      <w:sz w:val="24"/>
      <w:szCs w:val="24"/>
      <w:lang w:val="zh-CN" w:bidi="zh-CN"/>
    </w:rPr>
  </w:style>
  <w:style w:type="character" w:customStyle="1" w:styleId="22">
    <w:name w:val="页脚 Char"/>
    <w:link w:val="10"/>
    <w:semiHidden/>
    <w:qFormat/>
    <w:uiPriority w:val="0"/>
    <w:rPr>
      <w:rFonts w:ascii="宋体" w:hAnsi="宋体" w:cs="宋体"/>
      <w:sz w:val="18"/>
      <w:szCs w:val="18"/>
      <w:lang w:val="zh-CN" w:bidi="zh-CN"/>
    </w:rPr>
  </w:style>
  <w:style w:type="character" w:customStyle="1" w:styleId="23">
    <w:name w:val="页眉 Char"/>
    <w:link w:val="11"/>
    <w:semiHidden/>
    <w:qFormat/>
    <w:uiPriority w:val="0"/>
    <w:rPr>
      <w:rFonts w:ascii="宋体" w:hAnsi="宋体" w:cs="宋体"/>
      <w:sz w:val="18"/>
      <w:szCs w:val="18"/>
      <w:lang w:val="zh-CN" w:bidi="zh-CN"/>
    </w:rPr>
  </w:style>
  <w:style w:type="paragraph" w:customStyle="1" w:styleId="24">
    <w:name w:val="正文首行缩进1"/>
    <w:basedOn w:val="9"/>
    <w:next w:val="25"/>
    <w:link w:val="39"/>
    <w:qFormat/>
    <w:uiPriority w:val="0"/>
    <w:pPr>
      <w:spacing w:after="120"/>
      <w:ind w:firstLine="420" w:firstLineChars="100"/>
      <w:jc w:val="both"/>
    </w:pPr>
    <w:rPr>
      <w:rFonts w:ascii="宋体" w:hAnsi="宋体" w:cs="宋体"/>
      <w:kern w:val="2"/>
      <w:sz w:val="21"/>
      <w:szCs w:val="21"/>
      <w:lang w:val="zh-CN" w:bidi="zh-CN"/>
    </w:rPr>
  </w:style>
  <w:style w:type="paragraph" w:customStyle="1" w:styleId="25">
    <w:name w:val="正文首行缩进 21"/>
    <w:basedOn w:val="26"/>
    <w:qFormat/>
    <w:uiPriority w:val="0"/>
    <w:pPr>
      <w:widowControl/>
      <w:ind w:firstLine="200" w:firstLineChars="200"/>
    </w:pPr>
    <w:rPr>
      <w:rFonts w:ascii="Calibri" w:hAnsi="Calibri" w:cs="Times New Roman"/>
      <w:sz w:val="28"/>
    </w:rPr>
  </w:style>
  <w:style w:type="paragraph" w:customStyle="1" w:styleId="26">
    <w:name w:val="正文文本缩进1"/>
    <w:basedOn w:val="1"/>
    <w:qFormat/>
    <w:uiPriority w:val="0"/>
    <w:pPr>
      <w:widowControl/>
      <w:spacing w:line="400" w:lineRule="exact"/>
      <w:ind w:firstLine="420" w:firstLineChars="200"/>
    </w:pPr>
    <w:rPr>
      <w:sz w:val="20"/>
      <w:szCs w:val="20"/>
    </w:rPr>
  </w:style>
  <w:style w:type="paragraph" w:customStyle="1" w:styleId="27">
    <w:name w:val="批注框文本 Char Char"/>
    <w:basedOn w:val="1"/>
    <w:link w:val="38"/>
    <w:qFormat/>
    <w:uiPriority w:val="0"/>
    <w:rPr>
      <w:rFonts w:ascii="宋体" w:hAnsi="宋体" w:cs="宋体"/>
      <w:sz w:val="18"/>
      <w:szCs w:val="18"/>
      <w:lang w:val="zh-CN" w:bidi="zh-CN"/>
    </w:rPr>
  </w:style>
  <w:style w:type="paragraph" w:customStyle="1" w:styleId="28">
    <w:name w:val="纯文本1"/>
    <w:basedOn w:val="1"/>
    <w:qFormat/>
    <w:uiPriority w:val="0"/>
    <w:rPr>
      <w:rFonts w:hAnsi="Courier New" w:cs="黑体"/>
    </w:rPr>
  </w:style>
  <w:style w:type="paragraph" w:customStyle="1" w:styleId="29">
    <w:name w:val="正文文本缩进 21"/>
    <w:basedOn w:val="1"/>
    <w:qFormat/>
    <w:uiPriority w:val="0"/>
    <w:pPr>
      <w:ind w:left="630" w:firstLine="645"/>
    </w:pPr>
    <w:rPr>
      <w:rFonts w:ascii="Arial" w:hAnsi="Arial" w:eastAsia="仿宋_GB2312"/>
      <w:sz w:val="32"/>
    </w:rPr>
  </w:style>
  <w:style w:type="paragraph" w:customStyle="1" w:styleId="30">
    <w:name w:val="普通(网站)1"/>
    <w:basedOn w:val="1"/>
    <w:qFormat/>
    <w:uiPriority w:val="0"/>
    <w:pPr>
      <w:widowControl/>
      <w:spacing w:before="100" w:beforeAutospacing="1" w:after="100" w:afterAutospacing="1"/>
    </w:pPr>
    <w:rPr>
      <w:sz w:val="24"/>
      <w:szCs w:val="24"/>
      <w:lang w:val="en-US" w:bidi="ar-SA"/>
    </w:rPr>
  </w:style>
  <w:style w:type="paragraph" w:customStyle="1" w:styleId="31">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
    <w:name w:val="列出段落1"/>
    <w:basedOn w:val="1"/>
    <w:qFormat/>
    <w:uiPriority w:val="0"/>
    <w:pPr>
      <w:ind w:left="218" w:firstLine="239"/>
    </w:pPr>
    <w:rPr>
      <w:lang w:bidi="ar-SA"/>
    </w:rPr>
  </w:style>
  <w:style w:type="paragraph" w:customStyle="1" w:styleId="33">
    <w:name w:val="Table Paragraph"/>
    <w:basedOn w:val="1"/>
    <w:qFormat/>
    <w:uiPriority w:val="0"/>
  </w:style>
  <w:style w:type="paragraph" w:customStyle="1" w:styleId="34">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5">
    <w:name w:val="正文1"/>
    <w:basedOn w:val="1"/>
    <w:qFormat/>
    <w:uiPriority w:val="0"/>
    <w:pPr>
      <w:widowControl/>
      <w:topLinePunct/>
      <w:spacing w:beforeLines="50" w:afterLines="50" w:line="300" w:lineRule="auto"/>
      <w:ind w:left="420"/>
    </w:pPr>
  </w:style>
  <w:style w:type="paragraph" w:customStyle="1" w:styleId="36">
    <w:name w:val="Char Char Char Char Char Char Char1 Char"/>
    <w:basedOn w:val="1"/>
    <w:qFormat/>
    <w:uiPriority w:val="0"/>
    <w:rPr>
      <w:rFonts w:ascii="Tahoma" w:hAnsi="Tahoma"/>
    </w:r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38">
    <w:name w:val="批注框文本 Char Char Char Char"/>
    <w:link w:val="27"/>
    <w:semiHidden/>
    <w:qFormat/>
    <w:uiPriority w:val="0"/>
    <w:rPr>
      <w:rFonts w:ascii="宋体" w:hAnsi="宋体" w:cs="宋体"/>
      <w:sz w:val="18"/>
      <w:szCs w:val="18"/>
      <w:lang w:val="zh-CN" w:bidi="zh-CN"/>
    </w:rPr>
  </w:style>
  <w:style w:type="character" w:customStyle="1" w:styleId="39">
    <w:name w:val="正文首行缩进 Char1"/>
    <w:link w:val="24"/>
    <w:semiHidden/>
    <w:qFormat/>
    <w:uiPriority w:val="0"/>
    <w:rPr>
      <w:rFonts w:ascii="宋体" w:hAnsi="宋体" w:cs="宋体"/>
      <w:kern w:val="2"/>
      <w:sz w:val="21"/>
      <w:szCs w:val="21"/>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daohangxitong.com</Company>
  <Pages>46</Pages>
  <Words>20693</Words>
  <Characters>22421</Characters>
  <Lines>182</Lines>
  <Paragraphs>51</Paragraphs>
  <TotalTime>5</TotalTime>
  <ScaleCrop>false</ScaleCrop>
  <LinksUpToDate>false</LinksUpToDate>
  <CharactersWithSpaces>23517</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2020-05-14T08:27:00Z</dcterms:created>
  <dc:creator>微软用户</dc:creator>
  <cp:lastModifiedBy>大海里的糖醋鱼</cp:lastModifiedBy>
  <cp:lastPrinted>2020-04-30T04:44:00Z</cp:lastPrinted>
  <dcterms:modified xsi:type="dcterms:W3CDTF">2024-05-16T07:51:03Z</dcterms:modified>
  <dc:title>周口市政府采购中心招标文件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2052-12.1.0.16910</vt:lpwstr>
  </property>
  <property fmtid="{D5CDD505-2E9C-101B-9397-08002B2CF9AE}" pid="6" name="ICV">
    <vt:lpwstr>41C9954B8BBA46D2B48739396E39A0BA</vt:lpwstr>
  </property>
</Properties>
</file>