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s>
        <w:spacing w:line="1700" w:lineRule="exact"/>
        <w:jc w:val="center"/>
        <w:rPr>
          <w:rFonts w:ascii="Arial Black" w:hAnsi="Arial Black" w:eastAsia="黑体"/>
          <w:b/>
          <w:color w:val="auto"/>
          <w:spacing w:val="36"/>
          <w:sz w:val="52"/>
          <w:szCs w:val="52"/>
        </w:rPr>
      </w:pPr>
      <w:r>
        <w:rPr>
          <w:rFonts w:hint="eastAsia" w:ascii="Arial Black" w:hAnsi="Arial Black" w:eastAsia="黑体"/>
          <w:b/>
          <w:bCs/>
          <w:color w:val="auto"/>
          <w:spacing w:val="36"/>
          <w:sz w:val="52"/>
          <w:szCs w:val="52"/>
        </w:rPr>
        <w:t>周口市公共资源交易中心</w:t>
      </w:r>
    </w:p>
    <w:p>
      <w:pPr>
        <w:tabs>
          <w:tab w:val="left" w:pos="315"/>
          <w:tab w:val="left" w:pos="8820"/>
        </w:tabs>
        <w:spacing w:line="500" w:lineRule="exact"/>
        <w:ind w:right="267" w:rightChars="127"/>
        <w:jc w:val="center"/>
        <w:rPr>
          <w:rFonts w:ascii="仿宋_GB2312" w:eastAsia="仿宋_GB2312"/>
          <w:b/>
          <w:bCs/>
          <w:color w:val="auto"/>
          <w:sz w:val="48"/>
        </w:rPr>
      </w:pPr>
    </w:p>
    <w:p>
      <w:pPr>
        <w:tabs>
          <w:tab w:val="left" w:pos="315"/>
          <w:tab w:val="left" w:pos="8820"/>
        </w:tabs>
        <w:spacing w:line="500" w:lineRule="exact"/>
        <w:ind w:right="267" w:rightChars="127"/>
        <w:jc w:val="center"/>
        <w:rPr>
          <w:rFonts w:hint="eastAsia" w:ascii="微软简标宋" w:eastAsia="黑体"/>
          <w:b/>
          <w:bCs/>
          <w:color w:val="auto"/>
          <w:sz w:val="52"/>
        </w:rPr>
      </w:pPr>
    </w:p>
    <w:p>
      <w:pPr>
        <w:tabs>
          <w:tab w:val="left" w:pos="315"/>
          <w:tab w:val="left" w:pos="8820"/>
        </w:tabs>
        <w:spacing w:line="500" w:lineRule="exact"/>
        <w:ind w:right="267" w:rightChars="127"/>
        <w:jc w:val="center"/>
        <w:rPr>
          <w:rFonts w:ascii="微软简标宋" w:eastAsia="黑体"/>
          <w:b/>
          <w:bCs/>
          <w:color w:val="auto"/>
          <w:sz w:val="52"/>
        </w:rPr>
      </w:pPr>
      <w:r>
        <w:rPr>
          <w:rFonts w:hint="eastAsia" w:ascii="微软简标宋" w:eastAsia="黑体"/>
          <w:b/>
          <w:bCs/>
          <w:color w:val="auto"/>
          <w:sz w:val="52"/>
        </w:rPr>
        <w:t>竞争性磋商文件</w:t>
      </w:r>
    </w:p>
    <w:p>
      <w:pPr>
        <w:tabs>
          <w:tab w:val="left" w:pos="315"/>
          <w:tab w:val="left" w:pos="8820"/>
        </w:tabs>
        <w:spacing w:line="500" w:lineRule="exact"/>
        <w:ind w:right="267" w:rightChars="127"/>
        <w:jc w:val="center"/>
        <w:rPr>
          <w:rFonts w:ascii="仿宋_GB2312" w:eastAsia="仿宋_GB2312"/>
          <w:color w:val="auto"/>
          <w:sz w:val="44"/>
        </w:rPr>
      </w:pPr>
    </w:p>
    <w:p>
      <w:pPr>
        <w:tabs>
          <w:tab w:val="left" w:pos="315"/>
          <w:tab w:val="left" w:pos="8820"/>
        </w:tabs>
        <w:ind w:right="267" w:rightChars="127"/>
        <w:rPr>
          <w:rFonts w:ascii="仿宋_GB2312" w:eastAsia="仿宋_GB2312"/>
          <w:color w:val="auto"/>
          <w:sz w:val="44"/>
        </w:rPr>
      </w:pPr>
    </w:p>
    <w:p>
      <w:pPr>
        <w:tabs>
          <w:tab w:val="left" w:pos="315"/>
          <w:tab w:val="left" w:pos="8820"/>
        </w:tabs>
        <w:spacing w:line="500" w:lineRule="exact"/>
        <w:ind w:right="267" w:rightChars="127"/>
        <w:rPr>
          <w:rFonts w:ascii="仿宋_GB2312" w:eastAsia="仿宋_GB2312"/>
          <w:b/>
          <w:bCs/>
          <w:color w:val="auto"/>
          <w:sz w:val="36"/>
        </w:rPr>
      </w:pPr>
    </w:p>
    <w:p>
      <w:pPr>
        <w:tabs>
          <w:tab w:val="left" w:pos="315"/>
          <w:tab w:val="left" w:pos="8820"/>
        </w:tabs>
        <w:spacing w:line="500" w:lineRule="exact"/>
        <w:ind w:right="267" w:rightChars="127"/>
        <w:rPr>
          <w:rFonts w:ascii="仿宋_GB2312" w:eastAsia="仿宋_GB2312"/>
          <w:b/>
          <w:bCs/>
          <w:color w:val="auto"/>
          <w:sz w:val="36"/>
        </w:rPr>
      </w:pPr>
    </w:p>
    <w:p>
      <w:pPr>
        <w:tabs>
          <w:tab w:val="left" w:pos="315"/>
          <w:tab w:val="left" w:pos="8820"/>
        </w:tabs>
        <w:spacing w:line="500" w:lineRule="exact"/>
        <w:ind w:right="267" w:rightChars="127"/>
        <w:jc w:val="center"/>
        <w:rPr>
          <w:rFonts w:ascii="宋体" w:hAnsi="宋体"/>
          <w:color w:val="auto"/>
          <w:sz w:val="32"/>
        </w:rPr>
      </w:pPr>
    </w:p>
    <w:p>
      <w:pPr>
        <w:tabs>
          <w:tab w:val="left" w:pos="315"/>
          <w:tab w:val="left" w:pos="8820"/>
        </w:tabs>
        <w:spacing w:line="500" w:lineRule="exact"/>
        <w:ind w:right="267" w:rightChars="127"/>
        <w:jc w:val="center"/>
        <w:rPr>
          <w:rFonts w:ascii="微软简标宋" w:eastAsia="黑体"/>
          <w:b/>
          <w:bCs/>
          <w:color w:val="auto"/>
          <w:sz w:val="52"/>
        </w:rPr>
      </w:pPr>
    </w:p>
    <w:p>
      <w:pPr>
        <w:tabs>
          <w:tab w:val="left" w:pos="315"/>
          <w:tab w:val="left" w:pos="8820"/>
        </w:tabs>
        <w:spacing w:line="600" w:lineRule="exact"/>
        <w:ind w:right="267" w:rightChars="127"/>
        <w:jc w:val="left"/>
        <w:rPr>
          <w:rFonts w:hint="eastAsia" w:asciiTheme="majorEastAsia" w:hAnsiTheme="majorEastAsia" w:eastAsiaTheme="majorEastAsia" w:cstheme="majorEastAsia"/>
          <w:b w:val="0"/>
          <w:bCs w:val="0"/>
          <w:color w:val="auto"/>
          <w:sz w:val="32"/>
          <w:szCs w:val="32"/>
        </w:rPr>
      </w:pPr>
    </w:p>
    <w:p>
      <w:pPr>
        <w:tabs>
          <w:tab w:val="left" w:pos="315"/>
          <w:tab w:val="left" w:pos="8820"/>
        </w:tabs>
        <w:spacing w:line="600" w:lineRule="exact"/>
        <w:ind w:right="267" w:rightChars="127"/>
        <w:jc w:val="left"/>
        <w:rPr>
          <w:rFonts w:hint="eastAsia" w:asciiTheme="majorEastAsia" w:hAnsiTheme="majorEastAsia" w:eastAsiaTheme="majorEastAsia" w:cstheme="majorEastAsia"/>
          <w:b w:val="0"/>
          <w:bCs w:val="0"/>
          <w:color w:val="auto"/>
          <w:sz w:val="32"/>
          <w:szCs w:val="32"/>
        </w:rPr>
      </w:pPr>
    </w:p>
    <w:p>
      <w:pPr>
        <w:tabs>
          <w:tab w:val="left" w:pos="315"/>
          <w:tab w:val="left" w:pos="8820"/>
        </w:tabs>
        <w:spacing w:line="600" w:lineRule="exact"/>
        <w:ind w:right="267" w:rightChars="127"/>
        <w:jc w:val="left"/>
        <w:rPr>
          <w:rFonts w:hint="eastAsia" w:asciiTheme="majorEastAsia" w:hAnsiTheme="majorEastAsia" w:eastAsiaTheme="majorEastAsia" w:cstheme="majorEastAsia"/>
          <w:b w:val="0"/>
          <w:bCs w:val="0"/>
          <w:color w:val="auto"/>
          <w:sz w:val="32"/>
          <w:szCs w:val="32"/>
        </w:rPr>
      </w:pPr>
    </w:p>
    <w:p>
      <w:pPr>
        <w:tabs>
          <w:tab w:val="left" w:pos="315"/>
          <w:tab w:val="left" w:pos="8820"/>
        </w:tabs>
        <w:spacing w:line="600" w:lineRule="exact"/>
        <w:ind w:right="267" w:rightChars="127"/>
        <w:jc w:val="left"/>
        <w:rPr>
          <w:rFonts w:hint="eastAsia" w:asciiTheme="majorEastAsia" w:hAnsiTheme="majorEastAsia" w:eastAsiaTheme="majorEastAsia" w:cstheme="majorEastAsia"/>
          <w:b w:val="0"/>
          <w:bCs w:val="0"/>
          <w:color w:val="auto"/>
          <w:sz w:val="32"/>
          <w:szCs w:val="32"/>
        </w:rPr>
      </w:pPr>
    </w:p>
    <w:p>
      <w:pPr>
        <w:tabs>
          <w:tab w:val="left" w:pos="315"/>
          <w:tab w:val="left" w:pos="8820"/>
        </w:tabs>
        <w:spacing w:line="600" w:lineRule="exact"/>
        <w:ind w:right="267" w:rightChars="127"/>
        <w:jc w:val="left"/>
        <w:rPr>
          <w:rFonts w:hint="eastAsia" w:asciiTheme="majorEastAsia" w:hAnsiTheme="majorEastAsia" w:eastAsiaTheme="majorEastAsia" w:cstheme="majorEastAsia"/>
          <w:b w:val="0"/>
          <w:bCs w:val="0"/>
          <w:color w:val="auto"/>
          <w:sz w:val="32"/>
          <w:szCs w:val="32"/>
        </w:rPr>
      </w:pPr>
      <w:r>
        <w:rPr>
          <w:rFonts w:hint="eastAsia" w:asciiTheme="majorEastAsia" w:hAnsiTheme="majorEastAsia" w:eastAsiaTheme="majorEastAsia" w:cstheme="majorEastAsia"/>
          <w:b w:val="0"/>
          <w:bCs w:val="0"/>
          <w:color w:val="auto"/>
          <w:sz w:val="32"/>
          <w:szCs w:val="32"/>
        </w:rPr>
        <w:t>项目名称</w:t>
      </w:r>
      <w:r>
        <w:rPr>
          <w:rFonts w:hint="eastAsia" w:asciiTheme="majorEastAsia" w:hAnsiTheme="majorEastAsia" w:eastAsiaTheme="majorEastAsia" w:cstheme="majorEastAsia"/>
          <w:b w:val="0"/>
          <w:bCs w:val="0"/>
          <w:color w:val="auto"/>
          <w:sz w:val="32"/>
          <w:szCs w:val="32"/>
          <w:lang w:eastAsia="zh-CN"/>
        </w:rPr>
        <w:t>：</w:t>
      </w:r>
      <w:r>
        <w:rPr>
          <w:rFonts w:hint="eastAsia" w:asciiTheme="majorEastAsia" w:hAnsiTheme="majorEastAsia" w:eastAsiaTheme="majorEastAsia" w:cstheme="majorEastAsia"/>
          <w:b w:val="0"/>
          <w:bCs w:val="0"/>
          <w:color w:val="auto"/>
          <w:sz w:val="32"/>
          <w:szCs w:val="32"/>
        </w:rPr>
        <w:t>周口市重点入河排污口、河流断面监督性监测及</w:t>
      </w:r>
    </w:p>
    <w:p>
      <w:pPr>
        <w:tabs>
          <w:tab w:val="left" w:pos="315"/>
          <w:tab w:val="left" w:pos="8820"/>
        </w:tabs>
        <w:spacing w:line="600" w:lineRule="exact"/>
        <w:ind w:right="267" w:rightChars="127" w:firstLine="1600" w:firstLineChars="500"/>
        <w:jc w:val="left"/>
        <w:rPr>
          <w:rFonts w:hint="eastAsia" w:asciiTheme="majorEastAsia" w:hAnsiTheme="majorEastAsia" w:eastAsiaTheme="majorEastAsia" w:cstheme="majorEastAsia"/>
          <w:b w:val="0"/>
          <w:bCs w:val="0"/>
          <w:color w:val="auto"/>
          <w:sz w:val="32"/>
          <w:szCs w:val="32"/>
        </w:rPr>
      </w:pPr>
      <w:r>
        <w:rPr>
          <w:rFonts w:hint="eastAsia" w:asciiTheme="majorEastAsia" w:hAnsiTheme="majorEastAsia" w:eastAsiaTheme="majorEastAsia" w:cstheme="majorEastAsia"/>
          <w:b w:val="0"/>
          <w:bCs w:val="0"/>
          <w:color w:val="auto"/>
          <w:sz w:val="32"/>
          <w:szCs w:val="32"/>
        </w:rPr>
        <w:t>应急排查溯源项目</w:t>
      </w:r>
    </w:p>
    <w:p>
      <w:pPr>
        <w:tabs>
          <w:tab w:val="left" w:pos="315"/>
          <w:tab w:val="left" w:pos="8820"/>
        </w:tabs>
        <w:spacing w:line="600" w:lineRule="exact"/>
        <w:ind w:right="267" w:rightChars="127"/>
        <w:jc w:val="left"/>
        <w:rPr>
          <w:rFonts w:hint="eastAsia" w:asciiTheme="majorEastAsia" w:hAnsiTheme="majorEastAsia" w:eastAsiaTheme="majorEastAsia" w:cstheme="majorEastAsia"/>
          <w:b w:val="0"/>
          <w:bCs w:val="0"/>
          <w:color w:val="auto"/>
          <w:sz w:val="32"/>
          <w:szCs w:val="32"/>
        </w:rPr>
      </w:pPr>
      <w:r>
        <w:rPr>
          <w:rFonts w:hint="eastAsia" w:asciiTheme="majorEastAsia" w:hAnsiTheme="majorEastAsia" w:eastAsiaTheme="majorEastAsia" w:cstheme="majorEastAsia"/>
          <w:b w:val="0"/>
          <w:bCs w:val="0"/>
          <w:color w:val="auto"/>
          <w:sz w:val="32"/>
          <w:szCs w:val="32"/>
        </w:rPr>
        <w:t>项目编号</w:t>
      </w:r>
      <w:r>
        <w:rPr>
          <w:rFonts w:hint="eastAsia" w:asciiTheme="majorEastAsia" w:hAnsiTheme="majorEastAsia" w:eastAsiaTheme="majorEastAsia" w:cstheme="majorEastAsia"/>
          <w:b w:val="0"/>
          <w:bCs w:val="0"/>
          <w:color w:val="auto"/>
          <w:sz w:val="32"/>
          <w:szCs w:val="32"/>
          <w:lang w:eastAsia="zh-CN"/>
        </w:rPr>
        <w:t>：</w:t>
      </w:r>
      <w:r>
        <w:rPr>
          <w:rFonts w:hint="eastAsia" w:asciiTheme="majorEastAsia" w:hAnsiTheme="majorEastAsia" w:eastAsiaTheme="majorEastAsia" w:cstheme="majorEastAsia"/>
          <w:b w:val="0"/>
          <w:bCs w:val="0"/>
          <w:color w:val="auto"/>
          <w:sz w:val="32"/>
          <w:szCs w:val="32"/>
        </w:rPr>
        <w:t>2023-12-451</w:t>
      </w:r>
    </w:p>
    <w:p>
      <w:pPr>
        <w:pStyle w:val="17"/>
        <w:rPr>
          <w:rFonts w:hint="eastAsia" w:asciiTheme="majorEastAsia" w:hAnsiTheme="majorEastAsia" w:eastAsiaTheme="majorEastAsia" w:cstheme="majorEastAsia"/>
          <w:b w:val="0"/>
          <w:bCs w:val="0"/>
          <w:color w:val="auto"/>
          <w:sz w:val="32"/>
          <w:szCs w:val="32"/>
        </w:rPr>
      </w:pPr>
    </w:p>
    <w:p>
      <w:pPr>
        <w:pStyle w:val="17"/>
        <w:jc w:val="center"/>
        <w:rPr>
          <w:rFonts w:ascii="宋体" w:hAnsi="宋体"/>
          <w:b/>
          <w:color w:val="auto"/>
          <w:sz w:val="32"/>
        </w:rPr>
      </w:pPr>
      <w:r>
        <w:rPr>
          <w:rFonts w:hint="eastAsia" w:asciiTheme="majorEastAsia" w:hAnsiTheme="majorEastAsia" w:eastAsiaTheme="majorEastAsia" w:cstheme="majorEastAsia"/>
          <w:b w:val="0"/>
          <w:bCs w:val="0"/>
          <w:color w:val="auto"/>
          <w:sz w:val="32"/>
          <w:szCs w:val="32"/>
          <w:shd w:val="clear" w:color="auto" w:fill="FFFFFF"/>
          <w:lang w:val="en-US" w:eastAsia="zh-CN"/>
        </w:rPr>
        <w:t>2023</w:t>
      </w:r>
      <w:r>
        <w:rPr>
          <w:rFonts w:hint="eastAsia" w:asciiTheme="majorEastAsia" w:hAnsiTheme="majorEastAsia" w:eastAsiaTheme="majorEastAsia" w:cstheme="majorEastAsia"/>
          <w:b w:val="0"/>
          <w:bCs w:val="0"/>
          <w:color w:val="auto"/>
          <w:sz w:val="32"/>
          <w:szCs w:val="32"/>
        </w:rPr>
        <w:t>年</w:t>
      </w:r>
      <w:r>
        <w:rPr>
          <w:rFonts w:hint="eastAsia" w:asciiTheme="majorEastAsia" w:hAnsiTheme="majorEastAsia" w:eastAsiaTheme="majorEastAsia" w:cstheme="majorEastAsia"/>
          <w:b w:val="0"/>
          <w:bCs w:val="0"/>
          <w:color w:val="auto"/>
          <w:sz w:val="32"/>
          <w:szCs w:val="32"/>
          <w:shd w:val="clear" w:color="auto" w:fill="FFFFFF"/>
          <w:lang w:val="en-US" w:eastAsia="zh-CN"/>
        </w:rPr>
        <w:t>12</w:t>
      </w:r>
      <w:r>
        <w:rPr>
          <w:rFonts w:hint="eastAsia" w:asciiTheme="majorEastAsia" w:hAnsiTheme="majorEastAsia" w:eastAsiaTheme="majorEastAsia" w:cstheme="majorEastAsia"/>
          <w:b w:val="0"/>
          <w:bCs w:val="0"/>
          <w:color w:val="auto"/>
          <w:sz w:val="32"/>
          <w:szCs w:val="32"/>
        </w:rPr>
        <w:t>月</w:t>
      </w:r>
      <w:r>
        <w:rPr>
          <w:rFonts w:hint="eastAsia" w:asciiTheme="majorEastAsia" w:hAnsiTheme="majorEastAsia" w:eastAsiaTheme="majorEastAsia" w:cstheme="majorEastAsia"/>
          <w:b w:val="0"/>
          <w:bCs w:val="0"/>
          <w:color w:val="auto"/>
          <w:sz w:val="32"/>
          <w:szCs w:val="32"/>
          <w:shd w:val="clear" w:color="auto" w:fill="FFFFFF"/>
          <w:lang w:val="en-US" w:eastAsia="zh-CN"/>
        </w:rPr>
        <w:t>29</w:t>
      </w:r>
      <w:r>
        <w:rPr>
          <w:rFonts w:hint="eastAsia" w:asciiTheme="majorEastAsia" w:hAnsiTheme="majorEastAsia" w:eastAsiaTheme="majorEastAsia" w:cstheme="majorEastAsia"/>
          <w:b w:val="0"/>
          <w:bCs w:val="0"/>
          <w:color w:val="auto"/>
          <w:sz w:val="32"/>
          <w:szCs w:val="32"/>
        </w:rPr>
        <w:t>日</w:t>
      </w:r>
    </w:p>
    <w:p>
      <w:pPr>
        <w:rPr>
          <w:rFonts w:ascii="仿宋_GB2312" w:eastAsia="仿宋_GB2312"/>
          <w:b/>
          <w:color w:val="auto"/>
          <w:sz w:val="30"/>
          <w:szCs w:val="30"/>
        </w:rPr>
      </w:pPr>
    </w:p>
    <w:p>
      <w:pPr>
        <w:spacing w:line="560" w:lineRule="exact"/>
        <w:jc w:val="center"/>
        <w:rPr>
          <w:rFonts w:ascii="宋体" w:hAnsi="宋体" w:cs="宋体"/>
          <w:b/>
          <w:color w:val="auto"/>
          <w:sz w:val="32"/>
          <w:szCs w:val="32"/>
        </w:rPr>
      </w:pPr>
      <w:r>
        <w:rPr>
          <w:rFonts w:hint="eastAsia" w:ascii="宋体" w:hAnsi="宋体" w:cs="宋体"/>
          <w:b/>
          <w:color w:val="auto"/>
          <w:sz w:val="32"/>
          <w:szCs w:val="32"/>
        </w:rPr>
        <w:t>目     录</w:t>
      </w:r>
    </w:p>
    <w:p>
      <w:pPr>
        <w:rPr>
          <w:rFonts w:ascii="宋体" w:hAnsi="宋体" w:cs="宋体"/>
          <w:b/>
          <w:color w:val="auto"/>
          <w:sz w:val="32"/>
          <w:szCs w:val="32"/>
        </w:rPr>
      </w:pPr>
    </w:p>
    <w:p>
      <w:pPr>
        <w:spacing w:line="800" w:lineRule="exact"/>
        <w:rPr>
          <w:rFonts w:ascii="宋体" w:hAnsi="宋体" w:cs="宋体"/>
          <w:b/>
          <w:color w:val="auto"/>
          <w:sz w:val="32"/>
          <w:szCs w:val="32"/>
        </w:rPr>
      </w:pPr>
      <w:r>
        <w:rPr>
          <w:rFonts w:hint="eastAsia" w:ascii="宋体" w:hAnsi="宋体" w:cs="宋体"/>
          <w:b/>
          <w:color w:val="auto"/>
          <w:sz w:val="32"/>
          <w:szCs w:val="32"/>
        </w:rPr>
        <w:t>第一章  竞争性磋商邀请函 .........................3</w:t>
      </w:r>
    </w:p>
    <w:p>
      <w:pPr>
        <w:spacing w:line="800" w:lineRule="exact"/>
        <w:rPr>
          <w:rFonts w:ascii="宋体" w:hAnsi="宋体" w:cs="宋体"/>
          <w:b/>
          <w:color w:val="auto"/>
          <w:sz w:val="32"/>
          <w:szCs w:val="32"/>
        </w:rPr>
      </w:pPr>
      <w:r>
        <w:rPr>
          <w:rFonts w:hint="eastAsia" w:ascii="宋体" w:hAnsi="宋体" w:cs="宋体"/>
          <w:b/>
          <w:color w:val="auto"/>
          <w:sz w:val="32"/>
          <w:szCs w:val="32"/>
        </w:rPr>
        <w:t>第二章  供应商须知 ...............................6</w:t>
      </w:r>
    </w:p>
    <w:p>
      <w:pPr>
        <w:spacing w:line="800" w:lineRule="exact"/>
        <w:rPr>
          <w:rFonts w:ascii="宋体" w:hAnsi="宋体" w:cs="宋体"/>
          <w:b/>
          <w:color w:val="auto"/>
          <w:sz w:val="32"/>
          <w:szCs w:val="32"/>
        </w:rPr>
      </w:pPr>
      <w:r>
        <w:rPr>
          <w:rFonts w:hint="eastAsia" w:ascii="宋体" w:hAnsi="宋体" w:cs="宋体"/>
          <w:b/>
          <w:color w:val="auto"/>
          <w:sz w:val="32"/>
          <w:szCs w:val="32"/>
        </w:rPr>
        <w:t>第三章  采购项目内容及要求.......................24</w:t>
      </w:r>
    </w:p>
    <w:p>
      <w:pPr>
        <w:spacing w:line="800" w:lineRule="exact"/>
        <w:rPr>
          <w:rFonts w:ascii="宋体" w:hAnsi="宋体" w:cs="宋体"/>
          <w:b/>
          <w:color w:val="auto"/>
          <w:sz w:val="32"/>
          <w:szCs w:val="32"/>
        </w:rPr>
      </w:pPr>
      <w:r>
        <w:rPr>
          <w:rFonts w:hint="eastAsia" w:ascii="宋体" w:hAnsi="宋体" w:cs="宋体"/>
          <w:b/>
          <w:color w:val="auto"/>
          <w:sz w:val="32"/>
          <w:szCs w:val="32"/>
        </w:rPr>
        <w:t>第四章  响应性文件内容及格式.....................25</w:t>
      </w:r>
    </w:p>
    <w:p>
      <w:pPr>
        <w:spacing w:line="800" w:lineRule="exact"/>
        <w:rPr>
          <w:rFonts w:ascii="宋体" w:hAnsi="宋体" w:cs="宋体"/>
          <w:b/>
          <w:color w:val="auto"/>
          <w:sz w:val="32"/>
          <w:szCs w:val="32"/>
        </w:rPr>
      </w:pPr>
      <w:r>
        <w:rPr>
          <w:rFonts w:hint="eastAsia" w:ascii="宋体" w:hAnsi="宋体" w:cs="宋体"/>
          <w:b/>
          <w:color w:val="auto"/>
          <w:sz w:val="32"/>
          <w:szCs w:val="32"/>
        </w:rPr>
        <w:t>第五章  合同主要条款 合同签订指引、供应商履约验收指引38</w:t>
      </w:r>
    </w:p>
    <w:p>
      <w:pPr>
        <w:spacing w:line="800" w:lineRule="exact"/>
        <w:ind w:firstLine="2249" w:firstLineChars="700"/>
        <w:rPr>
          <w:rFonts w:ascii="宋体" w:hAnsi="宋体" w:cs="宋体"/>
          <w:b/>
          <w:color w:val="auto"/>
          <w:sz w:val="32"/>
          <w:szCs w:val="32"/>
        </w:rPr>
      </w:pPr>
    </w:p>
    <w:p>
      <w:pPr>
        <w:spacing w:line="800" w:lineRule="exact"/>
        <w:ind w:firstLine="2249" w:firstLineChars="700"/>
        <w:rPr>
          <w:rFonts w:ascii="宋体" w:hAnsi="宋体" w:cs="宋体"/>
          <w:b/>
          <w:color w:val="auto"/>
          <w:sz w:val="32"/>
          <w:szCs w:val="32"/>
        </w:rPr>
      </w:pPr>
    </w:p>
    <w:p>
      <w:pPr>
        <w:spacing w:line="800" w:lineRule="exact"/>
        <w:ind w:firstLine="2249" w:firstLineChars="700"/>
        <w:rPr>
          <w:rFonts w:ascii="宋体" w:hAnsi="宋体" w:cs="宋体"/>
          <w:b/>
          <w:color w:val="auto"/>
          <w:sz w:val="32"/>
          <w:szCs w:val="32"/>
        </w:rPr>
      </w:pPr>
    </w:p>
    <w:p>
      <w:pPr>
        <w:jc w:val="center"/>
        <w:outlineLvl w:val="0"/>
        <w:rPr>
          <w:rFonts w:ascii="宋体" w:hAnsi="宋体" w:cs="宋体"/>
          <w:b/>
          <w:color w:val="auto"/>
          <w:sz w:val="32"/>
          <w:szCs w:val="32"/>
        </w:rPr>
      </w:pPr>
      <w:r>
        <w:rPr>
          <w:rFonts w:hint="eastAsia" w:ascii="仿宋_GB2312" w:eastAsia="仿宋_GB2312"/>
          <w:b/>
          <w:color w:val="auto"/>
          <w:sz w:val="32"/>
          <w:szCs w:val="32"/>
        </w:rPr>
        <w:br w:type="page"/>
      </w:r>
      <w:r>
        <w:rPr>
          <w:rFonts w:hint="eastAsia" w:ascii="宋体" w:hAnsi="宋体" w:cs="宋体"/>
          <w:b/>
          <w:color w:val="auto"/>
          <w:sz w:val="32"/>
          <w:szCs w:val="32"/>
        </w:rPr>
        <w:t>第一章    竞争性磋商邀请函</w:t>
      </w:r>
    </w:p>
    <w:p>
      <w:pPr>
        <w:pStyle w:val="42"/>
        <w:rPr>
          <w:color w:val="auto"/>
        </w:rPr>
      </w:pPr>
    </w:p>
    <w:p>
      <w:pPr>
        <w:pStyle w:val="11"/>
        <w:autoSpaceDE w:val="0"/>
        <w:autoSpaceDN w:val="0"/>
        <w:spacing w:line="360" w:lineRule="auto"/>
        <w:jc w:val="left"/>
        <w:rPr>
          <w:rFonts w:asciiTheme="minorEastAsia" w:hAnsiTheme="minorEastAsia" w:eastAsiaTheme="minorEastAsia" w:cstheme="minorEastAsia"/>
          <w:color w:val="auto"/>
          <w:sz w:val="24"/>
        </w:rPr>
      </w:pPr>
      <w:bookmarkStart w:id="0" w:name="_Toc28359089"/>
      <w:bookmarkStart w:id="1" w:name="_Toc35393798"/>
      <w:bookmarkStart w:id="2" w:name="_Toc28359012"/>
      <w:bookmarkStart w:id="3" w:name="_Toc35393629"/>
      <w:r>
        <w:rPr>
          <w:rFonts w:hint="eastAsia" w:asciiTheme="minorEastAsia" w:hAnsiTheme="minorEastAsia" w:eastAsiaTheme="minorEastAsia" w:cstheme="minorEastAsia"/>
          <w:color w:val="auto"/>
          <w:sz w:val="24"/>
        </w:rPr>
        <w:t>一、项目基本情况</w:t>
      </w:r>
      <w:bookmarkEnd w:id="0"/>
      <w:bookmarkEnd w:id="1"/>
      <w:bookmarkEnd w:id="2"/>
      <w:bookmarkEnd w:id="3"/>
    </w:p>
    <w:p>
      <w:pPr>
        <w:autoSpaceDE w:val="0"/>
        <w:autoSpaceDN w:val="0"/>
        <w:spacing w:line="360" w:lineRule="auto"/>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项目编号：2023-</w:t>
      </w:r>
      <w:r>
        <w:rPr>
          <w:rFonts w:asciiTheme="minorEastAsia" w:hAnsiTheme="minorEastAsia" w:eastAsiaTheme="minorEastAsia" w:cstheme="minorEastAsia"/>
          <w:color w:val="auto"/>
          <w:sz w:val="24"/>
        </w:rPr>
        <w:t>12</w:t>
      </w:r>
      <w:r>
        <w:rPr>
          <w:rFonts w:hint="eastAsia" w:asciiTheme="minorEastAsia" w:hAnsiTheme="minorEastAsia" w:eastAsiaTheme="minorEastAsia" w:cstheme="minorEastAsia"/>
          <w:color w:val="auto"/>
          <w:sz w:val="24"/>
        </w:rPr>
        <w:t>-</w:t>
      </w:r>
      <w:r>
        <w:rPr>
          <w:rFonts w:asciiTheme="minorEastAsia" w:hAnsiTheme="minorEastAsia" w:eastAsiaTheme="minorEastAsia" w:cstheme="minorEastAsia"/>
          <w:color w:val="auto"/>
          <w:sz w:val="24"/>
        </w:rPr>
        <w:t>451</w:t>
      </w:r>
    </w:p>
    <w:p>
      <w:pPr>
        <w:autoSpaceDE w:val="0"/>
        <w:autoSpaceDN w:val="0"/>
        <w:spacing w:line="360" w:lineRule="auto"/>
        <w:ind w:firstLine="480" w:firstLineChars="200"/>
        <w:rPr>
          <w:rFonts w:asciiTheme="minorEastAsia" w:hAnsiTheme="minorEastAsia" w:eastAsiaTheme="minorEastAsia" w:cstheme="minorEastAsia"/>
          <w:color w:val="auto"/>
          <w:sz w:val="24"/>
          <w:u w:val="single"/>
        </w:rPr>
      </w:pPr>
      <w:r>
        <w:rPr>
          <w:rFonts w:hint="eastAsia" w:asciiTheme="minorEastAsia" w:hAnsiTheme="minorEastAsia" w:eastAsiaTheme="minorEastAsia" w:cstheme="minorEastAsia"/>
          <w:color w:val="auto"/>
          <w:sz w:val="24"/>
        </w:rPr>
        <w:t>项目名称：</w:t>
      </w:r>
      <w:r>
        <w:rPr>
          <w:rFonts w:hint="eastAsia" w:ascii="宋体" w:hAnsi="宋体" w:cs="宋体"/>
          <w:color w:val="auto"/>
          <w:sz w:val="24"/>
        </w:rPr>
        <w:t>周口市重点入河排污口、河流断面监督性监测及应急排查溯源项目</w:t>
      </w:r>
    </w:p>
    <w:p>
      <w:pPr>
        <w:autoSpaceDE w:val="0"/>
        <w:autoSpaceDN w:val="0"/>
        <w:spacing w:line="360" w:lineRule="auto"/>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采购方式：竞争性磋商</w:t>
      </w:r>
    </w:p>
    <w:p>
      <w:pPr>
        <w:autoSpaceDE w:val="0"/>
        <w:autoSpaceDN w:val="0"/>
        <w:spacing w:line="360" w:lineRule="auto"/>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预算金额：1820000.00元</w:t>
      </w:r>
    </w:p>
    <w:p>
      <w:pPr>
        <w:autoSpaceDE w:val="0"/>
        <w:autoSpaceDN w:val="0"/>
        <w:spacing w:line="360" w:lineRule="auto"/>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最高限价：1820000.00元</w:t>
      </w:r>
    </w:p>
    <w:p>
      <w:pPr>
        <w:pStyle w:val="29"/>
        <w:snapToGrid w:val="0"/>
        <w:spacing w:before="0" w:beforeAutospacing="0" w:after="0" w:afterAutospacing="0" w:line="360" w:lineRule="auto"/>
        <w:ind w:firstLine="480"/>
        <w:jc w:val="both"/>
        <w:rPr>
          <w:rFonts w:cs="宋体"/>
          <w:color w:val="auto"/>
        </w:rPr>
      </w:pPr>
      <w:r>
        <w:rPr>
          <w:rFonts w:hint="eastAsia" w:cs="宋体"/>
          <w:color w:val="auto"/>
        </w:rPr>
        <w:t>包划分：1个包</w:t>
      </w:r>
    </w:p>
    <w:tbl>
      <w:tblPr>
        <w:tblStyle w:val="31"/>
        <w:tblW w:w="0" w:type="auto"/>
        <w:tblInd w:w="4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4583"/>
        <w:gridCol w:w="2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dxa"/>
            <w:vAlign w:val="center"/>
          </w:tcPr>
          <w:p>
            <w:pPr>
              <w:pStyle w:val="29"/>
              <w:shd w:val="clear" w:color="auto" w:fill="FFFFFF"/>
              <w:adjustRightInd w:val="0"/>
              <w:snapToGrid w:val="0"/>
              <w:spacing w:before="0" w:beforeAutospacing="0" w:after="0" w:afterAutospacing="0" w:line="240" w:lineRule="auto"/>
              <w:jc w:val="center"/>
              <w:rPr>
                <w:color w:val="auto"/>
              </w:rPr>
            </w:pPr>
            <w:r>
              <w:rPr>
                <w:rFonts w:hint="eastAsia" w:cs="宋体" w:asciiTheme="minorEastAsia" w:hAnsiTheme="minorEastAsia" w:eastAsiaTheme="minorEastAsia"/>
                <w:color w:val="auto"/>
                <w:kern w:val="2"/>
                <w:szCs w:val="24"/>
              </w:rPr>
              <w:t>包号</w:t>
            </w:r>
          </w:p>
        </w:tc>
        <w:tc>
          <w:tcPr>
            <w:tcW w:w="4583" w:type="dxa"/>
            <w:vAlign w:val="center"/>
          </w:tcPr>
          <w:p>
            <w:pPr>
              <w:pStyle w:val="29"/>
              <w:shd w:val="clear" w:color="auto" w:fill="FFFFFF"/>
              <w:adjustRightInd w:val="0"/>
              <w:snapToGrid w:val="0"/>
              <w:spacing w:before="0" w:beforeAutospacing="0" w:after="0" w:afterAutospacing="0" w:line="240" w:lineRule="auto"/>
              <w:jc w:val="center"/>
              <w:rPr>
                <w:color w:val="auto"/>
              </w:rPr>
            </w:pPr>
            <w:r>
              <w:rPr>
                <w:rFonts w:hint="eastAsia" w:cs="宋体" w:asciiTheme="minorEastAsia" w:hAnsiTheme="minorEastAsia" w:eastAsiaTheme="minorEastAsia"/>
                <w:color w:val="auto"/>
                <w:kern w:val="2"/>
                <w:szCs w:val="24"/>
              </w:rPr>
              <w:t>包名称</w:t>
            </w:r>
          </w:p>
        </w:tc>
        <w:tc>
          <w:tcPr>
            <w:tcW w:w="2342" w:type="dxa"/>
            <w:vAlign w:val="center"/>
          </w:tcPr>
          <w:p>
            <w:pPr>
              <w:pStyle w:val="29"/>
              <w:shd w:val="clear" w:color="auto" w:fill="FFFFFF"/>
              <w:adjustRightInd w:val="0"/>
              <w:snapToGrid w:val="0"/>
              <w:spacing w:before="0" w:beforeAutospacing="0" w:after="0" w:afterAutospacing="0" w:line="240" w:lineRule="auto"/>
              <w:jc w:val="center"/>
              <w:rPr>
                <w:color w:val="auto"/>
              </w:rPr>
            </w:pPr>
            <w:r>
              <w:rPr>
                <w:rFonts w:hint="eastAsia" w:cs="宋体" w:asciiTheme="minorEastAsia" w:hAnsiTheme="minorEastAsia" w:eastAsiaTheme="minorEastAsia"/>
                <w:color w:val="auto"/>
                <w:kern w:val="2"/>
                <w:szCs w:val="24"/>
              </w:rPr>
              <w:t>包最高限价万元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010" w:type="dxa"/>
            <w:vAlign w:val="center"/>
          </w:tcPr>
          <w:p>
            <w:pPr>
              <w:pStyle w:val="29"/>
              <w:shd w:val="clear" w:color="auto" w:fill="FFFFFF"/>
              <w:adjustRightInd w:val="0"/>
              <w:snapToGrid w:val="0"/>
              <w:spacing w:before="0" w:beforeAutospacing="0" w:after="0" w:afterAutospacing="0" w:line="240" w:lineRule="auto"/>
              <w:jc w:val="center"/>
              <w:rPr>
                <w:rFonts w:cs="宋体" w:asciiTheme="minorEastAsia" w:hAnsiTheme="minorEastAsia" w:eastAsiaTheme="minorEastAsia"/>
                <w:color w:val="auto"/>
                <w:kern w:val="2"/>
                <w:szCs w:val="24"/>
              </w:rPr>
            </w:pPr>
            <w:r>
              <w:rPr>
                <w:rFonts w:hint="eastAsia" w:cs="宋体" w:asciiTheme="minorEastAsia" w:hAnsiTheme="minorEastAsia" w:eastAsiaTheme="minorEastAsia"/>
                <w:color w:val="auto"/>
                <w:kern w:val="2"/>
                <w:szCs w:val="24"/>
              </w:rPr>
              <w:t>1</w:t>
            </w:r>
          </w:p>
        </w:tc>
        <w:tc>
          <w:tcPr>
            <w:tcW w:w="4583" w:type="dxa"/>
            <w:vAlign w:val="center"/>
          </w:tcPr>
          <w:p>
            <w:pPr>
              <w:pStyle w:val="29"/>
              <w:shd w:val="clear" w:color="auto" w:fill="FFFFFF"/>
              <w:adjustRightInd w:val="0"/>
              <w:snapToGrid w:val="0"/>
              <w:spacing w:before="0" w:beforeAutospacing="0" w:after="0" w:afterAutospacing="0" w:line="240" w:lineRule="auto"/>
              <w:jc w:val="center"/>
              <w:rPr>
                <w:rFonts w:cs="宋体" w:asciiTheme="minorEastAsia" w:hAnsiTheme="minorEastAsia" w:eastAsiaTheme="minorEastAsia"/>
                <w:color w:val="auto"/>
                <w:kern w:val="2"/>
                <w:szCs w:val="24"/>
              </w:rPr>
            </w:pPr>
            <w:r>
              <w:rPr>
                <w:rFonts w:hint="eastAsia" w:cs="宋体"/>
                <w:color w:val="auto"/>
              </w:rPr>
              <w:t>周口市重点入河排污口、河流断面监督性监测及应急排查溯源项目</w:t>
            </w:r>
          </w:p>
        </w:tc>
        <w:tc>
          <w:tcPr>
            <w:tcW w:w="2342" w:type="dxa"/>
            <w:vAlign w:val="center"/>
          </w:tcPr>
          <w:p>
            <w:pPr>
              <w:pStyle w:val="29"/>
              <w:shd w:val="clear" w:color="auto" w:fill="FFFFFF"/>
              <w:adjustRightInd w:val="0"/>
              <w:snapToGrid w:val="0"/>
              <w:spacing w:before="0" w:beforeAutospacing="0" w:after="0" w:afterAutospacing="0" w:line="240" w:lineRule="auto"/>
              <w:jc w:val="center"/>
              <w:rPr>
                <w:rFonts w:cs="宋体" w:asciiTheme="minorEastAsia" w:hAnsiTheme="minorEastAsia" w:eastAsiaTheme="minorEastAsia"/>
                <w:color w:val="auto"/>
                <w:kern w:val="2"/>
                <w:szCs w:val="24"/>
              </w:rPr>
            </w:pPr>
            <w:r>
              <w:rPr>
                <w:rFonts w:hint="eastAsia" w:cs="宋体" w:asciiTheme="minorEastAsia" w:hAnsiTheme="minorEastAsia" w:eastAsiaTheme="minorEastAsia"/>
                <w:color w:val="auto"/>
                <w:kern w:val="2"/>
                <w:szCs w:val="24"/>
              </w:rPr>
              <w:t>182.00</w:t>
            </w:r>
          </w:p>
        </w:tc>
      </w:tr>
    </w:tbl>
    <w:p>
      <w:pPr>
        <w:spacing w:line="360" w:lineRule="auto"/>
        <w:ind w:firstLine="480" w:firstLineChars="200"/>
        <w:outlineLvl w:val="2"/>
        <w:rPr>
          <w:rFonts w:ascii="宋体" w:hAnsi="宋体" w:cstheme="minorEastAsia"/>
          <w:color w:val="auto"/>
          <w:sz w:val="24"/>
        </w:rPr>
      </w:pPr>
      <w:r>
        <w:rPr>
          <w:rFonts w:hint="eastAsia" w:ascii="宋体" w:hAnsi="宋体" w:cstheme="minorEastAsia"/>
          <w:color w:val="auto"/>
          <w:sz w:val="24"/>
        </w:rPr>
        <w:t>1</w:t>
      </w:r>
      <w:r>
        <w:rPr>
          <w:rFonts w:ascii="宋体" w:hAnsi="宋体" w:cstheme="minorEastAsia"/>
          <w:color w:val="auto"/>
          <w:sz w:val="24"/>
        </w:rPr>
        <w:t>.</w:t>
      </w:r>
      <w:r>
        <w:rPr>
          <w:rFonts w:hint="eastAsia" w:ascii="宋体" w:hAnsi="宋体" w:cstheme="minorEastAsia"/>
          <w:color w:val="auto"/>
          <w:sz w:val="24"/>
        </w:rPr>
        <w:t>采购需求</w:t>
      </w:r>
    </w:p>
    <w:p>
      <w:pPr>
        <w:spacing w:line="360" w:lineRule="auto"/>
        <w:ind w:firstLine="480" w:firstLineChars="200"/>
        <w:rPr>
          <w:rFonts w:ascii="宋体" w:hAnsi="宋体" w:cs="仿宋"/>
          <w:color w:val="auto"/>
          <w:sz w:val="24"/>
        </w:rPr>
      </w:pPr>
      <w:r>
        <w:rPr>
          <w:rFonts w:hint="eastAsia" w:ascii="宋体" w:hAnsi="宋体" w:cs="仿宋"/>
          <w:color w:val="auto"/>
          <w:sz w:val="24"/>
        </w:rPr>
        <w:t>以习近平新时代中国特色社会主义思想为指导，全面贯彻党的二十大精神，深入贯彻习近平生态文明思想，按照省委、省政府决策部署，坚持精准治污、科学治污、依法治污，以改善生态环境质量为核心，贯彻落实《河南省人民政府办公厅关于印发河南省加强入河排污口监督管理工作方案的通知》(豫政办【2023】9号)，按照《河南省2023年度碧水保卫战实施方案》要求，扎实推进碧水保卫战，全面加强水环境监督管理，持续改善全市水生态环境质量，确保完成周口市“十四五”及地表水环境质量目标任务，进一步明确任务、压实责任，强化整治措施、规范监督管理。</w:t>
      </w:r>
    </w:p>
    <w:p>
      <w:pPr>
        <w:spacing w:line="360" w:lineRule="auto"/>
        <w:ind w:firstLine="480" w:firstLineChars="200"/>
        <w:rPr>
          <w:rFonts w:ascii="宋体" w:hAnsi="宋体" w:cs="仿宋"/>
          <w:color w:val="auto"/>
          <w:sz w:val="24"/>
        </w:rPr>
      </w:pPr>
      <w:r>
        <w:rPr>
          <w:rFonts w:hint="eastAsia" w:ascii="宋体" w:hAnsi="宋体" w:cs="仿宋"/>
          <w:color w:val="auto"/>
          <w:sz w:val="24"/>
        </w:rPr>
        <w:t>结合我市水污染防治工作实际需求，落实入河排污口监督管理职责，对我市规模以上入河排污口及重点污染行业入河排污口开展监督性监测，及时掌握重点入河排污口污废水排放情况；对重点河流考核断面开展定期监测、分析，及时了解重点入河排污口污废水排放情况、掌握河流水质变化，研判河流质量变化规律；针对突发水污染状况，采取监测等手段进行应急溯源排查，为确保水环境质量稳定达标，提供重要数据、科学分析结果等信息支撑。</w:t>
      </w:r>
    </w:p>
    <w:p>
      <w:pPr>
        <w:spacing w:line="360" w:lineRule="auto"/>
        <w:ind w:firstLine="480" w:firstLineChars="200"/>
        <w:outlineLvl w:val="2"/>
        <w:rPr>
          <w:rFonts w:ascii="宋体" w:hAnsi="宋体" w:cs="仿宋"/>
          <w:color w:val="auto"/>
          <w:sz w:val="24"/>
        </w:rPr>
      </w:pPr>
      <w:r>
        <w:rPr>
          <w:rFonts w:hint="eastAsia" w:ascii="宋体" w:hAnsi="宋体" w:cs="仿宋"/>
          <w:color w:val="auto"/>
          <w:sz w:val="24"/>
        </w:rPr>
        <w:t>2</w:t>
      </w:r>
      <w:r>
        <w:rPr>
          <w:rFonts w:ascii="宋体" w:hAnsi="宋体" w:cs="仿宋"/>
          <w:color w:val="auto"/>
          <w:sz w:val="24"/>
        </w:rPr>
        <w:t>.</w:t>
      </w:r>
      <w:r>
        <w:rPr>
          <w:rFonts w:hint="eastAsia" w:ascii="宋体" w:hAnsi="宋体" w:cs="仿宋"/>
          <w:color w:val="auto"/>
          <w:sz w:val="24"/>
        </w:rPr>
        <w:t>服务内容及要求</w:t>
      </w:r>
    </w:p>
    <w:p>
      <w:pPr>
        <w:widowControl/>
        <w:autoSpaceDE w:val="0"/>
        <w:autoSpaceDN w:val="0"/>
        <w:adjustRightInd w:val="0"/>
        <w:spacing w:line="360" w:lineRule="auto"/>
        <w:ind w:firstLine="561"/>
        <w:rPr>
          <w:rFonts w:cs="仿宋" w:asciiTheme="majorEastAsia" w:hAnsiTheme="majorEastAsia" w:eastAsiaTheme="majorEastAsia"/>
          <w:color w:val="auto"/>
          <w:kern w:val="0"/>
          <w:sz w:val="24"/>
        </w:rPr>
      </w:pPr>
      <w:r>
        <w:rPr>
          <w:rFonts w:hint="eastAsia" w:cs="仿宋" w:asciiTheme="majorEastAsia" w:hAnsiTheme="majorEastAsia" w:eastAsiaTheme="majorEastAsia"/>
          <w:color w:val="auto"/>
          <w:kern w:val="0"/>
          <w:sz w:val="24"/>
        </w:rPr>
        <w:t>（1）入河排污口监督性监测。</w:t>
      </w:r>
    </w:p>
    <w:p>
      <w:pPr>
        <w:widowControl/>
        <w:autoSpaceDE w:val="0"/>
        <w:autoSpaceDN w:val="0"/>
        <w:adjustRightInd w:val="0"/>
        <w:spacing w:line="360" w:lineRule="auto"/>
        <w:ind w:firstLine="561"/>
        <w:rPr>
          <w:rFonts w:cs="仿宋" w:asciiTheme="majorEastAsia" w:hAnsiTheme="majorEastAsia" w:eastAsiaTheme="majorEastAsia"/>
          <w:color w:val="auto"/>
          <w:kern w:val="0"/>
          <w:sz w:val="24"/>
        </w:rPr>
      </w:pPr>
      <w:r>
        <w:rPr>
          <w:rFonts w:hint="eastAsia" w:cs="仿宋" w:asciiTheme="majorEastAsia" w:hAnsiTheme="majorEastAsia" w:eastAsiaTheme="majorEastAsia"/>
          <w:color w:val="auto"/>
          <w:kern w:val="0"/>
          <w:sz w:val="24"/>
        </w:rPr>
        <w:t xml:space="preserve">按照《周口市加强入河排污口监督管理工作方案》要求，依据《入河排污口管理技术导则》 (SL532-2011）、《水环境监测规范》(SL219-2013） 有关规定，对我市 80 个规模以上重点入河排污口进行监督性监测。 </w:t>
      </w:r>
    </w:p>
    <w:p>
      <w:pPr>
        <w:widowControl/>
        <w:autoSpaceDE w:val="0"/>
        <w:autoSpaceDN w:val="0"/>
        <w:adjustRightInd w:val="0"/>
        <w:spacing w:line="360" w:lineRule="auto"/>
        <w:ind w:firstLine="561"/>
        <w:rPr>
          <w:rFonts w:cs="仿宋" w:asciiTheme="majorEastAsia" w:hAnsiTheme="majorEastAsia" w:eastAsiaTheme="majorEastAsia"/>
          <w:color w:val="auto"/>
          <w:kern w:val="0"/>
          <w:sz w:val="24"/>
        </w:rPr>
      </w:pPr>
      <w:r>
        <w:rPr>
          <w:rFonts w:hint="eastAsia" w:cs="仿宋" w:asciiTheme="majorEastAsia" w:hAnsiTheme="majorEastAsia" w:eastAsiaTheme="majorEastAsia"/>
          <w:color w:val="auto"/>
          <w:kern w:val="0"/>
          <w:sz w:val="24"/>
        </w:rPr>
        <w:t>（2）河流断面监督性监测。</w:t>
      </w:r>
    </w:p>
    <w:p>
      <w:pPr>
        <w:widowControl/>
        <w:autoSpaceDE w:val="0"/>
        <w:autoSpaceDN w:val="0"/>
        <w:adjustRightInd w:val="0"/>
        <w:spacing w:line="360" w:lineRule="auto"/>
        <w:ind w:firstLine="561"/>
        <w:rPr>
          <w:rFonts w:cs="仿宋" w:asciiTheme="majorEastAsia" w:hAnsiTheme="majorEastAsia" w:eastAsiaTheme="majorEastAsia"/>
          <w:color w:val="auto"/>
          <w:kern w:val="0"/>
          <w:sz w:val="24"/>
        </w:rPr>
      </w:pPr>
      <w:r>
        <w:rPr>
          <w:rFonts w:hint="eastAsia" w:cs="仿宋" w:asciiTheme="majorEastAsia" w:hAnsiTheme="majorEastAsia" w:eastAsiaTheme="majorEastAsia"/>
          <w:color w:val="auto"/>
          <w:kern w:val="0"/>
          <w:sz w:val="24"/>
        </w:rPr>
        <w:t>按照《周口市</w:t>
      </w:r>
      <w:r>
        <w:rPr>
          <w:rFonts w:cs="仿宋" w:asciiTheme="majorEastAsia" w:hAnsiTheme="majorEastAsia" w:eastAsiaTheme="majorEastAsia"/>
          <w:color w:val="auto"/>
          <w:kern w:val="0"/>
          <w:sz w:val="24"/>
        </w:rPr>
        <w:t xml:space="preserve">2023年碧水保卫战实施方案》要求，提升全市水环境质量，确保完成省级以上地表水考核断面目标任务， </w:t>
      </w:r>
      <w:r>
        <w:rPr>
          <w:rFonts w:hint="eastAsia" w:cs="仿宋" w:asciiTheme="majorEastAsia" w:hAnsiTheme="majorEastAsia" w:eastAsiaTheme="majorEastAsia"/>
          <w:color w:val="auto"/>
          <w:kern w:val="0"/>
          <w:sz w:val="24"/>
        </w:rPr>
        <w:t>对我市主要河流断面进行监测分析。</w:t>
      </w:r>
      <w:r>
        <w:rPr>
          <w:rFonts w:hint="eastAsia"/>
          <w:color w:val="auto"/>
          <w:sz w:val="24"/>
        </w:rPr>
        <w:t>初步确定对我市</w:t>
      </w:r>
      <w:r>
        <w:rPr>
          <w:color w:val="auto"/>
          <w:sz w:val="24"/>
        </w:rPr>
        <w:t>25个地表水环境质量目标考核断面</w:t>
      </w:r>
      <w:r>
        <w:rPr>
          <w:rFonts w:hint="eastAsia"/>
          <w:color w:val="auto"/>
          <w:sz w:val="24"/>
        </w:rPr>
        <w:t>。</w:t>
      </w:r>
    </w:p>
    <w:p>
      <w:pPr>
        <w:widowControl/>
        <w:autoSpaceDE w:val="0"/>
        <w:autoSpaceDN w:val="0"/>
        <w:adjustRightInd w:val="0"/>
        <w:spacing w:line="360" w:lineRule="auto"/>
        <w:ind w:firstLine="561"/>
        <w:rPr>
          <w:rFonts w:cs="仿宋" w:asciiTheme="majorEastAsia" w:hAnsiTheme="majorEastAsia" w:eastAsiaTheme="majorEastAsia"/>
          <w:color w:val="auto"/>
          <w:kern w:val="0"/>
          <w:sz w:val="24"/>
        </w:rPr>
      </w:pPr>
      <w:r>
        <w:rPr>
          <w:rFonts w:hint="eastAsia" w:cs="仿宋" w:asciiTheme="majorEastAsia" w:hAnsiTheme="majorEastAsia" w:eastAsiaTheme="majorEastAsia"/>
          <w:color w:val="auto"/>
          <w:kern w:val="0"/>
          <w:sz w:val="24"/>
        </w:rPr>
        <w:t>（3）应急排查溯源项目。</w:t>
      </w:r>
    </w:p>
    <w:p>
      <w:pPr>
        <w:widowControl/>
        <w:autoSpaceDE w:val="0"/>
        <w:autoSpaceDN w:val="0"/>
        <w:adjustRightInd w:val="0"/>
        <w:spacing w:line="360" w:lineRule="auto"/>
        <w:ind w:firstLine="561"/>
        <w:rPr>
          <w:rFonts w:cs="仿宋" w:asciiTheme="majorEastAsia" w:hAnsiTheme="majorEastAsia" w:eastAsiaTheme="majorEastAsia"/>
          <w:color w:val="auto"/>
          <w:kern w:val="0"/>
          <w:sz w:val="24"/>
        </w:rPr>
      </w:pPr>
      <w:r>
        <w:rPr>
          <w:rFonts w:hint="eastAsia" w:cs="仿宋" w:asciiTheme="majorEastAsia" w:hAnsiTheme="majorEastAsia" w:eastAsiaTheme="majorEastAsia"/>
          <w:color w:val="auto"/>
          <w:kern w:val="0"/>
          <w:sz w:val="24"/>
        </w:rPr>
        <w:t>针对突发水污染状况，采取监测等手段进行应急溯源排查，分析研判突发污染的原因，提出解决方案，为确保水环境质量稳定达标，提供重要数据、科学分析结果等信息支撑。</w:t>
      </w:r>
    </w:p>
    <w:p>
      <w:pPr>
        <w:widowControl/>
        <w:autoSpaceDE w:val="0"/>
        <w:autoSpaceDN w:val="0"/>
        <w:adjustRightInd w:val="0"/>
        <w:spacing w:line="360" w:lineRule="auto"/>
        <w:ind w:firstLine="561"/>
        <w:rPr>
          <w:rFonts w:cs="仿宋" w:asciiTheme="majorEastAsia" w:hAnsiTheme="majorEastAsia" w:eastAsiaTheme="majorEastAsia"/>
          <w:color w:val="auto"/>
          <w:kern w:val="0"/>
          <w:sz w:val="24"/>
        </w:rPr>
      </w:pPr>
      <w:r>
        <w:rPr>
          <w:rFonts w:hint="eastAsia" w:cs="仿宋" w:asciiTheme="majorEastAsia" w:hAnsiTheme="majorEastAsia" w:eastAsiaTheme="majorEastAsia"/>
          <w:color w:val="auto"/>
          <w:kern w:val="0"/>
          <w:sz w:val="24"/>
        </w:rPr>
        <w:t>（4）入河排污口排查整治质控审核</w:t>
      </w:r>
    </w:p>
    <w:p>
      <w:pPr>
        <w:widowControl/>
        <w:autoSpaceDE w:val="0"/>
        <w:autoSpaceDN w:val="0"/>
        <w:adjustRightInd w:val="0"/>
        <w:spacing w:line="360" w:lineRule="auto"/>
        <w:ind w:firstLine="561"/>
        <w:rPr>
          <w:rFonts w:cs="仿宋" w:asciiTheme="majorEastAsia" w:hAnsiTheme="majorEastAsia" w:eastAsiaTheme="majorEastAsia"/>
          <w:color w:val="auto"/>
          <w:kern w:val="0"/>
          <w:sz w:val="24"/>
        </w:rPr>
      </w:pPr>
      <w:r>
        <w:rPr>
          <w:rFonts w:hint="eastAsia" w:cs="仿宋" w:asciiTheme="majorEastAsia" w:hAnsiTheme="majorEastAsia" w:eastAsiaTheme="majorEastAsia"/>
          <w:color w:val="auto"/>
          <w:kern w:val="0"/>
          <w:sz w:val="24"/>
        </w:rPr>
        <w:t>根据生态环境部和省生态环境厅对此项工作的要求，按照入河排污口监督管理有关规定及技术规范，对周口市排查出的入河排污口排查整治填报信息进行质量审核，对已填报数据的完整性、规范性、准确性、逻辑性等进行复核</w:t>
      </w:r>
      <w:r>
        <w:rPr>
          <w:rFonts w:cs="仿宋" w:asciiTheme="majorEastAsia" w:hAnsiTheme="majorEastAsia" w:eastAsiaTheme="majorEastAsia"/>
          <w:color w:val="auto"/>
          <w:kern w:val="0"/>
          <w:sz w:val="24"/>
        </w:rPr>
        <w:t>。</w:t>
      </w:r>
      <w:r>
        <w:rPr>
          <w:rFonts w:hint="eastAsia" w:cs="仿宋" w:asciiTheme="majorEastAsia" w:hAnsiTheme="majorEastAsia" w:eastAsiaTheme="majorEastAsia"/>
          <w:color w:val="auto"/>
          <w:kern w:val="0"/>
          <w:sz w:val="24"/>
        </w:rPr>
        <w:t>同时，按比例抽取各类排污口进行现场核实，评估排查溯源成果质量的准确性，分析可能存在排查疏漏盲区，对重点区域补充调查，重点是工业密集区周边河道、环境敏感区以及水质明显较差的河段，开展入河排污口现场核查并进行监测溯源。质控审核及现场复核发现的问题，以问题清单形式提出。确保入河排污口排查、溯源工作零遗漏、无缺项、全达标。</w:t>
      </w:r>
    </w:p>
    <w:p>
      <w:pPr>
        <w:widowControl/>
        <w:autoSpaceDE w:val="0"/>
        <w:autoSpaceDN w:val="0"/>
        <w:adjustRightInd w:val="0"/>
        <w:spacing w:line="360" w:lineRule="auto"/>
        <w:ind w:firstLine="561"/>
        <w:rPr>
          <w:rFonts w:asciiTheme="majorEastAsia" w:hAnsiTheme="majorEastAsia" w:eastAsiaTheme="majorEastAsia"/>
          <w:color w:val="auto"/>
        </w:rPr>
      </w:pPr>
      <w:r>
        <w:rPr>
          <w:rFonts w:hint="eastAsia" w:asciiTheme="majorEastAsia" w:hAnsiTheme="majorEastAsia" w:eastAsiaTheme="majorEastAsia"/>
          <w:color w:val="auto"/>
        </w:rPr>
        <w:t>（5）</w:t>
      </w:r>
      <w:r>
        <w:rPr>
          <w:rFonts w:hint="eastAsia" w:cs="仿宋" w:asciiTheme="majorEastAsia" w:hAnsiTheme="majorEastAsia" w:eastAsiaTheme="majorEastAsia"/>
          <w:color w:val="auto"/>
          <w:kern w:val="0"/>
          <w:sz w:val="24"/>
        </w:rPr>
        <w:t>部分重点地区入河排污口排查溯源</w:t>
      </w:r>
    </w:p>
    <w:p>
      <w:pPr>
        <w:widowControl/>
        <w:autoSpaceDE w:val="0"/>
        <w:autoSpaceDN w:val="0"/>
        <w:adjustRightInd w:val="0"/>
        <w:spacing w:line="360" w:lineRule="auto"/>
        <w:ind w:firstLine="561"/>
        <w:rPr>
          <w:rFonts w:cs="仿宋" w:asciiTheme="majorEastAsia" w:hAnsiTheme="majorEastAsia" w:eastAsiaTheme="majorEastAsia"/>
          <w:color w:val="auto"/>
          <w:kern w:val="0"/>
          <w:sz w:val="24"/>
        </w:rPr>
      </w:pPr>
      <w:bookmarkStart w:id="4" w:name="_Hlk152770125"/>
      <w:r>
        <w:rPr>
          <w:rFonts w:hint="eastAsia" w:cs="仿宋" w:asciiTheme="majorEastAsia" w:hAnsiTheme="majorEastAsia" w:eastAsiaTheme="majorEastAsia"/>
          <w:color w:val="auto"/>
          <w:kern w:val="0"/>
          <w:sz w:val="24"/>
        </w:rPr>
        <w:t>根据《周口市人民政府办公室关于印发周口市加强入河排污口监督管理工作方案的通知》（周政办〔</w:t>
      </w:r>
      <w:r>
        <w:rPr>
          <w:rFonts w:cs="仿宋" w:asciiTheme="majorEastAsia" w:hAnsiTheme="majorEastAsia" w:eastAsiaTheme="majorEastAsia"/>
          <w:color w:val="auto"/>
          <w:kern w:val="0"/>
          <w:sz w:val="24"/>
        </w:rPr>
        <w:t>2023〕</w:t>
      </w:r>
      <w:r>
        <w:rPr>
          <w:rFonts w:hint="eastAsia" w:cs="仿宋" w:asciiTheme="majorEastAsia" w:hAnsiTheme="majorEastAsia" w:eastAsiaTheme="majorEastAsia"/>
          <w:color w:val="auto"/>
          <w:kern w:val="0"/>
          <w:sz w:val="24"/>
        </w:rPr>
        <w:t>23</w:t>
      </w:r>
      <w:r>
        <w:rPr>
          <w:rFonts w:cs="仿宋" w:asciiTheme="majorEastAsia" w:hAnsiTheme="majorEastAsia" w:eastAsiaTheme="majorEastAsia"/>
          <w:color w:val="auto"/>
          <w:kern w:val="0"/>
          <w:sz w:val="24"/>
        </w:rPr>
        <w:t>号）有关要求</w:t>
      </w:r>
      <w:r>
        <w:rPr>
          <w:rFonts w:hint="eastAsia" w:cs="仿宋" w:asciiTheme="majorEastAsia" w:hAnsiTheme="majorEastAsia" w:eastAsiaTheme="majorEastAsia"/>
          <w:color w:val="auto"/>
          <w:kern w:val="0"/>
          <w:sz w:val="24"/>
        </w:rPr>
        <w:t>，按照入河排污口监督管理规定及有关技术规范，结合周口市入河排污口排查整治成果对重点地区主要河湖岸线的排污口进行二次排查</w:t>
      </w:r>
      <w:bookmarkEnd w:id="4"/>
      <w:r>
        <w:rPr>
          <w:rFonts w:hint="eastAsia" w:cs="仿宋" w:asciiTheme="majorEastAsia" w:hAnsiTheme="majorEastAsia" w:eastAsiaTheme="majorEastAsia"/>
          <w:color w:val="auto"/>
          <w:kern w:val="0"/>
          <w:sz w:val="24"/>
        </w:rPr>
        <w:t>；对排查出的入河排污口按照有关要求开展监测，尤其是工业企业排污口、工业及其他各类园区污水处理厂排污口、城镇污水处理厂排污口要全覆盖监测，其他排污口按照相应比例进行抽测，采用快速监测和人工采样监测相结合的方式进行水质流量监测。参考《入河入海排污口监督管理技术指南 溯源总则》要求，采取资料溯源、人工排查、技术溯源等方式，明确入河排污口的责任主体。</w:t>
      </w:r>
    </w:p>
    <w:p>
      <w:pPr>
        <w:autoSpaceDE w:val="0"/>
        <w:autoSpaceDN w:val="0"/>
        <w:spacing w:line="360" w:lineRule="auto"/>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合同履行期限：</w:t>
      </w:r>
      <w:r>
        <w:rPr>
          <w:rFonts w:hint="eastAsia" w:ascii="宋体" w:hAnsi="宋体" w:cs="宋体"/>
          <w:color w:val="auto"/>
          <w:sz w:val="24"/>
        </w:rPr>
        <w:t>合同签订后</w:t>
      </w:r>
      <w:r>
        <w:rPr>
          <w:rFonts w:ascii="宋体" w:hAnsi="宋体" w:cs="宋体"/>
          <w:color w:val="auto"/>
          <w:sz w:val="24"/>
        </w:rPr>
        <w:t>1</w:t>
      </w:r>
      <w:r>
        <w:rPr>
          <w:rFonts w:hint="eastAsia" w:ascii="宋体" w:hAnsi="宋体" w:cs="宋体"/>
          <w:color w:val="auto"/>
          <w:sz w:val="24"/>
        </w:rPr>
        <w:t>年</w:t>
      </w:r>
    </w:p>
    <w:p>
      <w:pPr>
        <w:spacing w:line="360" w:lineRule="auto"/>
        <w:ind w:firstLine="480" w:firstLineChars="200"/>
        <w:jc w:val="left"/>
        <w:rPr>
          <w:rFonts w:ascii="宋体" w:hAnsi="宋体" w:cs="宋体"/>
          <w:color w:val="auto"/>
          <w:sz w:val="24"/>
        </w:rPr>
      </w:pPr>
      <w:bookmarkStart w:id="5" w:name="_Toc35393799"/>
      <w:bookmarkStart w:id="6" w:name="_Toc35393630"/>
      <w:bookmarkStart w:id="7" w:name="_Toc28359090"/>
      <w:bookmarkStart w:id="8" w:name="_Toc28359013"/>
      <w:r>
        <w:rPr>
          <w:rFonts w:hint="eastAsia" w:ascii="宋体" w:hAnsi="宋体" w:cs="宋体"/>
          <w:color w:val="auto"/>
          <w:sz w:val="24"/>
        </w:rPr>
        <w:t>是否接受进口产品：否</w:t>
      </w:r>
    </w:p>
    <w:p>
      <w:pPr>
        <w:spacing w:line="360" w:lineRule="auto"/>
        <w:ind w:firstLine="480" w:firstLineChars="200"/>
        <w:jc w:val="left"/>
        <w:rPr>
          <w:rFonts w:ascii="宋体" w:hAnsi="宋体" w:cs="宋体"/>
          <w:color w:val="auto"/>
          <w:sz w:val="24"/>
        </w:rPr>
      </w:pPr>
      <w:r>
        <w:rPr>
          <w:rFonts w:hint="eastAsia" w:ascii="宋体" w:hAnsi="宋体" w:cs="宋体"/>
          <w:color w:val="auto"/>
          <w:sz w:val="24"/>
        </w:rPr>
        <w:t>本项目是否接受联合体投标：否</w:t>
      </w:r>
    </w:p>
    <w:p>
      <w:pPr>
        <w:spacing w:line="360" w:lineRule="auto"/>
        <w:ind w:firstLine="480" w:firstLineChars="200"/>
        <w:jc w:val="left"/>
        <w:rPr>
          <w:rFonts w:ascii="宋体" w:hAnsi="宋体" w:cs="宋体"/>
          <w:color w:val="auto"/>
          <w:sz w:val="24"/>
        </w:rPr>
      </w:pPr>
      <w:r>
        <w:rPr>
          <w:rFonts w:hint="eastAsia" w:ascii="宋体" w:hAnsi="宋体" w:cs="宋体"/>
          <w:color w:val="auto"/>
          <w:sz w:val="24"/>
        </w:rPr>
        <w:t>本项目是否为只面向中小企业采购：是，采购预留金额</w:t>
      </w:r>
      <w:r>
        <w:rPr>
          <w:rFonts w:hint="eastAsia" w:ascii="宋体" w:hAnsi="宋体" w:cs="宋体"/>
          <w:color w:val="auto"/>
          <w:sz w:val="24"/>
          <w:u w:val="single"/>
        </w:rPr>
        <w:t xml:space="preserve">    182    </w:t>
      </w:r>
      <w:r>
        <w:rPr>
          <w:rFonts w:hint="eastAsia" w:ascii="宋体" w:hAnsi="宋体" w:cs="宋体"/>
          <w:color w:val="auto"/>
          <w:sz w:val="24"/>
        </w:rPr>
        <w:t>（万元）必须提供中小企业声明函。(友情提醒：此处必须和省政府采购网上申报填写一致)。</w:t>
      </w:r>
    </w:p>
    <w:p>
      <w:pPr>
        <w:pStyle w:val="11"/>
        <w:autoSpaceDE w:val="0"/>
        <w:autoSpaceDN w:val="0"/>
        <w:spacing w:line="360" w:lineRule="auto"/>
        <w:jc w:val="left"/>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二、申请人的资格要求：</w:t>
      </w:r>
      <w:bookmarkEnd w:id="5"/>
      <w:bookmarkEnd w:id="6"/>
      <w:bookmarkEnd w:id="7"/>
      <w:bookmarkEnd w:id="8"/>
    </w:p>
    <w:p>
      <w:pPr>
        <w:autoSpaceDE w:val="0"/>
        <w:autoSpaceDN w:val="0"/>
        <w:spacing w:line="360" w:lineRule="auto"/>
        <w:ind w:firstLine="539"/>
        <w:outlineLvl w:val="2"/>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1.满足《中华人民共和国政府采购法》第二十二条规定；</w:t>
      </w:r>
    </w:p>
    <w:p>
      <w:pPr>
        <w:adjustRightInd w:val="0"/>
        <w:snapToGrid w:val="0"/>
        <w:spacing w:line="360" w:lineRule="auto"/>
        <w:ind w:firstLine="480" w:firstLineChars="200"/>
        <w:rPr>
          <w:color w:val="auto"/>
          <w:sz w:val="24"/>
        </w:rPr>
      </w:pPr>
      <w:r>
        <w:rPr>
          <w:rFonts w:hint="eastAsia"/>
          <w:color w:val="auto"/>
          <w:sz w:val="24"/>
        </w:rPr>
        <w:t xml:space="preserve">（1）具有独立承担民事责任的能力； </w:t>
      </w:r>
    </w:p>
    <w:p>
      <w:pPr>
        <w:adjustRightInd w:val="0"/>
        <w:snapToGrid w:val="0"/>
        <w:spacing w:line="360" w:lineRule="auto"/>
        <w:ind w:firstLine="480" w:firstLineChars="200"/>
        <w:rPr>
          <w:color w:val="auto"/>
          <w:sz w:val="24"/>
        </w:rPr>
      </w:pPr>
      <w:r>
        <w:rPr>
          <w:rFonts w:hint="eastAsia"/>
          <w:color w:val="auto"/>
          <w:sz w:val="24"/>
        </w:rPr>
        <w:t xml:space="preserve">（2）具有良好的商业信誉和健全的财务会计制度； </w:t>
      </w:r>
    </w:p>
    <w:p>
      <w:pPr>
        <w:adjustRightInd w:val="0"/>
        <w:snapToGrid w:val="0"/>
        <w:spacing w:line="360" w:lineRule="auto"/>
        <w:ind w:firstLine="480" w:firstLineChars="200"/>
        <w:rPr>
          <w:color w:val="auto"/>
          <w:sz w:val="24"/>
        </w:rPr>
      </w:pPr>
      <w:r>
        <w:rPr>
          <w:rFonts w:hint="eastAsia"/>
          <w:color w:val="auto"/>
          <w:sz w:val="24"/>
        </w:rPr>
        <w:t xml:space="preserve">（3）具有履行合同所必需的设备和专业技术能力； </w:t>
      </w:r>
    </w:p>
    <w:p>
      <w:pPr>
        <w:adjustRightInd w:val="0"/>
        <w:snapToGrid w:val="0"/>
        <w:spacing w:line="360" w:lineRule="auto"/>
        <w:ind w:firstLine="480" w:firstLineChars="200"/>
        <w:rPr>
          <w:color w:val="auto"/>
          <w:sz w:val="24"/>
        </w:rPr>
      </w:pPr>
      <w:r>
        <w:rPr>
          <w:rFonts w:hint="eastAsia"/>
          <w:color w:val="auto"/>
          <w:sz w:val="24"/>
        </w:rPr>
        <w:t xml:space="preserve">（4）有依法缴纳税收和社会保障资金的良好记录； </w:t>
      </w:r>
    </w:p>
    <w:p>
      <w:pPr>
        <w:adjustRightInd w:val="0"/>
        <w:snapToGrid w:val="0"/>
        <w:spacing w:line="360" w:lineRule="auto"/>
        <w:ind w:firstLine="480" w:firstLineChars="200"/>
        <w:rPr>
          <w:color w:val="auto"/>
          <w:sz w:val="24"/>
        </w:rPr>
      </w:pPr>
      <w:r>
        <w:rPr>
          <w:rFonts w:hint="eastAsia"/>
          <w:color w:val="auto"/>
          <w:sz w:val="24"/>
        </w:rPr>
        <w:t xml:space="preserve">（5）参加政府采购活动前三年内，在经营活动中没有重大违法记录； </w:t>
      </w:r>
    </w:p>
    <w:p>
      <w:pPr>
        <w:adjustRightInd w:val="0"/>
        <w:snapToGrid w:val="0"/>
        <w:spacing w:line="360" w:lineRule="auto"/>
        <w:ind w:firstLine="480" w:firstLineChars="200"/>
        <w:rPr>
          <w:color w:val="auto"/>
        </w:rPr>
      </w:pPr>
      <w:r>
        <w:rPr>
          <w:rFonts w:hint="eastAsia"/>
          <w:color w:val="auto"/>
          <w:sz w:val="24"/>
        </w:rPr>
        <w:t xml:space="preserve">（6）法律、行政法规规定的其他条件。 </w:t>
      </w:r>
    </w:p>
    <w:p>
      <w:pPr>
        <w:keepNext w:val="0"/>
        <w:keepLines w:val="0"/>
        <w:pageBreakBefore w:val="0"/>
        <w:kinsoku/>
        <w:wordWrap/>
        <w:overflowPunct/>
        <w:topLinePunct w:val="0"/>
        <w:autoSpaceDE w:val="0"/>
        <w:autoSpaceDN w:val="0"/>
        <w:bidi w:val="0"/>
        <w:spacing w:beforeAutospacing="0" w:afterAutospacing="0" w:line="360" w:lineRule="auto"/>
        <w:ind w:left="0" w:firstLine="539"/>
        <w:textAlignment w:val="auto"/>
        <w:outlineLvl w:val="2"/>
        <w:rPr>
          <w:rFonts w:ascii="宋体" w:hAnsi="宋体" w:cstheme="minorEastAsia"/>
          <w:color w:val="auto"/>
          <w:sz w:val="24"/>
        </w:rPr>
      </w:pPr>
      <w:bookmarkStart w:id="9" w:name="_Toc28359014"/>
      <w:bookmarkStart w:id="10" w:name="_Toc28359091"/>
      <w:r>
        <w:rPr>
          <w:rFonts w:hint="eastAsia" w:ascii="宋体" w:hAnsi="宋体" w:cstheme="minorEastAsia"/>
          <w:color w:val="auto"/>
          <w:sz w:val="24"/>
        </w:rPr>
        <w:t>2.落实政府采购政策需满足的资格要求</w:t>
      </w:r>
    </w:p>
    <w:p>
      <w:pPr>
        <w:keepNext w:val="0"/>
        <w:keepLines w:val="0"/>
        <w:pageBreakBefore w:val="0"/>
        <w:kinsoku/>
        <w:wordWrap/>
        <w:overflowPunct/>
        <w:topLinePunct w:val="0"/>
        <w:autoSpaceDE w:val="0"/>
        <w:autoSpaceDN w:val="0"/>
        <w:bidi w:val="0"/>
        <w:spacing w:beforeAutospacing="0" w:afterAutospacing="0" w:line="360" w:lineRule="auto"/>
        <w:ind w:left="0" w:firstLine="540"/>
        <w:textAlignment w:val="auto"/>
        <w:rPr>
          <w:rFonts w:ascii="宋体" w:hAnsi="宋体" w:cstheme="minorEastAsia"/>
          <w:color w:val="auto"/>
          <w:sz w:val="24"/>
        </w:rPr>
      </w:pPr>
      <w:r>
        <w:rPr>
          <w:rFonts w:hint="eastAsia" w:ascii="宋体" w:hAnsi="宋体" w:cstheme="minorEastAsia"/>
          <w:color w:val="auto"/>
          <w:sz w:val="24"/>
        </w:rPr>
        <w:t xml:space="preserve">促进中小企业和监狱企业发展扶持政策、政府强制采购节能产品强制采购、节能产品及环境标志产品优先采购、促进残疾人就业政府采购政策。 </w:t>
      </w:r>
    </w:p>
    <w:p>
      <w:pPr>
        <w:pStyle w:val="29"/>
        <w:keepNext w:val="0"/>
        <w:keepLines w:val="0"/>
        <w:pageBreakBefore w:val="0"/>
        <w:kinsoku/>
        <w:wordWrap/>
        <w:overflowPunct/>
        <w:topLinePunct w:val="0"/>
        <w:bidi w:val="0"/>
        <w:spacing w:before="0" w:beforeAutospacing="0" w:after="0" w:afterAutospacing="0" w:line="360" w:lineRule="auto"/>
        <w:ind w:left="0" w:firstLine="482"/>
        <w:textAlignment w:val="auto"/>
        <w:outlineLvl w:val="2"/>
        <w:rPr>
          <w:rFonts w:cstheme="minorEastAsia"/>
          <w:color w:val="auto"/>
          <w:szCs w:val="24"/>
        </w:rPr>
      </w:pPr>
      <w:r>
        <w:rPr>
          <w:rFonts w:hint="eastAsia" w:cstheme="minorEastAsia"/>
          <w:color w:val="auto"/>
          <w:szCs w:val="24"/>
        </w:rPr>
        <w:t>3.本项目的特定资格要求</w:t>
      </w:r>
    </w:p>
    <w:p>
      <w:pPr>
        <w:pStyle w:val="29"/>
        <w:keepNext w:val="0"/>
        <w:keepLines w:val="0"/>
        <w:pageBreakBefore w:val="0"/>
        <w:kinsoku/>
        <w:wordWrap/>
        <w:overflowPunct/>
        <w:topLinePunct w:val="0"/>
        <w:bidi w:val="0"/>
        <w:spacing w:before="0" w:beforeAutospacing="0" w:after="0" w:afterAutospacing="0" w:line="360" w:lineRule="auto"/>
        <w:ind w:left="0" w:firstLine="640"/>
        <w:jc w:val="both"/>
        <w:textAlignment w:val="auto"/>
        <w:rPr>
          <w:color w:val="auto"/>
          <w:szCs w:val="24"/>
        </w:rPr>
      </w:pPr>
      <w:r>
        <w:rPr>
          <w:rFonts w:hint="eastAsia" w:cs="宋体"/>
          <w:color w:val="auto"/>
          <w:szCs w:val="24"/>
        </w:rPr>
        <w:t>3.1</w:t>
      </w:r>
      <w:r>
        <w:rPr>
          <w:rFonts w:hint="eastAsia"/>
          <w:color w:val="auto"/>
          <w:szCs w:val="24"/>
        </w:rPr>
        <w:t>投标人必须具有国内独立法人资格，具有有效的企业法人营业执照或事业单位法人资格证书。须具有省级及以上质量技术监督部门颁发的中国计量认证证书(CMA认证)(证书附表包含环境标准的噪声、水环境、空气环境)。</w:t>
      </w:r>
    </w:p>
    <w:p>
      <w:pPr>
        <w:pStyle w:val="29"/>
        <w:keepNext w:val="0"/>
        <w:keepLines w:val="0"/>
        <w:pageBreakBefore w:val="0"/>
        <w:kinsoku/>
        <w:wordWrap/>
        <w:overflowPunct/>
        <w:topLinePunct w:val="0"/>
        <w:bidi w:val="0"/>
        <w:spacing w:before="0" w:beforeAutospacing="0" w:after="0" w:afterAutospacing="0" w:line="360" w:lineRule="auto"/>
        <w:ind w:left="0" w:firstLine="480" w:firstLineChars="200"/>
        <w:jc w:val="both"/>
        <w:textAlignment w:val="auto"/>
        <w:rPr>
          <w:color w:val="auto"/>
          <w:szCs w:val="24"/>
        </w:rPr>
      </w:pPr>
      <w:r>
        <w:rPr>
          <w:rFonts w:hint="eastAsia" w:cs="宋体"/>
          <w:color w:val="auto"/>
          <w:szCs w:val="24"/>
        </w:rPr>
        <w:t>3.</w:t>
      </w:r>
      <w:r>
        <w:rPr>
          <w:rFonts w:cs="宋体"/>
          <w:color w:val="auto"/>
          <w:szCs w:val="24"/>
        </w:rPr>
        <w:t>2</w:t>
      </w:r>
      <w:r>
        <w:rPr>
          <w:rFonts w:hint="eastAsia"/>
          <w:color w:val="auto"/>
          <w:szCs w:val="24"/>
        </w:rPr>
        <w:t>拟派项目负责人须具有相关专业中级及以上技术职称。提供项目负责人自202</w:t>
      </w:r>
      <w:r>
        <w:rPr>
          <w:color w:val="auto"/>
          <w:szCs w:val="24"/>
        </w:rPr>
        <w:t>3</w:t>
      </w:r>
      <w:r>
        <w:rPr>
          <w:rFonts w:hint="eastAsia"/>
          <w:color w:val="auto"/>
          <w:szCs w:val="24"/>
        </w:rPr>
        <w:t>年1月1日以来在投标单位任意缴纳3个月的社会保险证明。</w:t>
      </w:r>
      <w:r>
        <w:rPr>
          <w:rFonts w:hint="eastAsia"/>
          <w:color w:val="auto"/>
          <w:szCs w:val="24"/>
        </w:rPr>
        <w:t>(新成立公司不满三个月的，需提供相关部门出具的纳税零申报证明材料)</w:t>
      </w:r>
    </w:p>
    <w:p>
      <w:pPr>
        <w:pStyle w:val="29"/>
        <w:keepNext w:val="0"/>
        <w:keepLines w:val="0"/>
        <w:pageBreakBefore w:val="0"/>
        <w:kinsoku/>
        <w:wordWrap/>
        <w:overflowPunct/>
        <w:topLinePunct w:val="0"/>
        <w:bidi w:val="0"/>
        <w:spacing w:before="0" w:beforeAutospacing="0" w:after="0" w:afterAutospacing="0" w:line="360" w:lineRule="auto"/>
        <w:ind w:left="0" w:firstLine="480" w:firstLineChars="200"/>
        <w:jc w:val="both"/>
        <w:textAlignment w:val="auto"/>
        <w:rPr>
          <w:rFonts w:cs="宋体"/>
          <w:color w:val="auto"/>
          <w:szCs w:val="24"/>
        </w:rPr>
      </w:pPr>
      <w:r>
        <w:rPr>
          <w:rFonts w:hint="eastAsia" w:cs="宋体"/>
          <w:color w:val="auto"/>
          <w:szCs w:val="24"/>
        </w:rPr>
        <w:t>3</w:t>
      </w:r>
      <w:r>
        <w:rPr>
          <w:rFonts w:cs="宋体"/>
          <w:color w:val="auto"/>
          <w:szCs w:val="24"/>
        </w:rPr>
        <w:t>.3</w:t>
      </w:r>
      <w:r>
        <w:rPr>
          <w:rFonts w:hint="eastAsia" w:cs="宋体"/>
          <w:color w:val="auto"/>
          <w:szCs w:val="24"/>
        </w:rPr>
        <w:t>根据《关于在政府采购活动中查询及使用信用记录有关问题的通知》(财库[2016]125号)的规定，采购人或采购代理机构将通过“中国执行信息公开网”（http://zxgk.court.gov.cn/）、“信用中国”（https://www.creditchina.gov.cn）、中国政府采购网（www.ccgp.gov.cn）、国家企业信用信息公示系统（http://www.gsxt.gov.cn）等渠道查询投标人信用记录，被列入失信被执行人、重大税收违法失信主体、政府采购严重违法失信行为记录名单、严重违法失信名单的投标人将被拒绝参与本项目政府采购活动（截止时点：投标文件递交截止时间）。在本公告规定的查询时间之后，网站信息发生的任何变更均不再作为评标依据。投标人自行提供的与网站信息不一致的其他证明材料亦不作为资格审查的依据。信用信息查询记录和证据将同采购文件等资料一同归档保存。</w:t>
      </w:r>
    </w:p>
    <w:p>
      <w:pPr>
        <w:pStyle w:val="29"/>
        <w:keepNext w:val="0"/>
        <w:keepLines w:val="0"/>
        <w:pageBreakBefore w:val="0"/>
        <w:kinsoku/>
        <w:wordWrap/>
        <w:overflowPunct/>
        <w:topLinePunct w:val="0"/>
        <w:bidi w:val="0"/>
        <w:spacing w:before="0" w:beforeAutospacing="0" w:after="0" w:afterAutospacing="0" w:line="360" w:lineRule="auto"/>
        <w:ind w:left="0" w:firstLine="480"/>
        <w:jc w:val="both"/>
        <w:textAlignment w:val="auto"/>
        <w:rPr>
          <w:rFonts w:cs="宋体"/>
          <w:color w:val="auto"/>
          <w:szCs w:val="24"/>
        </w:rPr>
      </w:pPr>
      <w:r>
        <w:rPr>
          <w:rFonts w:hint="eastAsia" w:cs="宋体"/>
          <w:color w:val="auto"/>
          <w:szCs w:val="24"/>
        </w:rPr>
        <w:t>3.</w:t>
      </w:r>
      <w:r>
        <w:rPr>
          <w:rFonts w:cs="宋体"/>
          <w:color w:val="auto"/>
          <w:szCs w:val="24"/>
        </w:rPr>
        <w:t>4</w:t>
      </w:r>
      <w:r>
        <w:rPr>
          <w:rFonts w:hint="eastAsia" w:cs="宋体"/>
          <w:color w:val="auto"/>
          <w:szCs w:val="24"/>
        </w:rPr>
        <w:t xml:space="preserve"> 单位负责人为同一人或者存在直接控股、管理关系的不同投标人，不得参加同一合同项下的政府采购活动。【提供加盖投标人公章的“国家企业信用信息公示系统”中公示的公司信息、股东（或投资人）信息】或提供承诺书</w:t>
      </w:r>
    </w:p>
    <w:p>
      <w:pPr>
        <w:pStyle w:val="29"/>
        <w:keepNext w:val="0"/>
        <w:keepLines w:val="0"/>
        <w:pageBreakBefore w:val="0"/>
        <w:kinsoku/>
        <w:wordWrap/>
        <w:overflowPunct/>
        <w:topLinePunct w:val="0"/>
        <w:bidi w:val="0"/>
        <w:spacing w:before="0" w:beforeAutospacing="0" w:after="0" w:afterAutospacing="0" w:line="360" w:lineRule="auto"/>
        <w:ind w:left="0" w:firstLine="480" w:firstLineChars="200"/>
        <w:jc w:val="both"/>
        <w:textAlignment w:val="auto"/>
        <w:rPr>
          <w:color w:val="auto"/>
          <w:szCs w:val="24"/>
        </w:rPr>
      </w:pPr>
      <w:r>
        <w:rPr>
          <w:rFonts w:hint="eastAsia"/>
          <w:color w:val="auto"/>
          <w:szCs w:val="24"/>
        </w:rPr>
        <w:t>其他要求：</w:t>
      </w:r>
    </w:p>
    <w:p>
      <w:pPr>
        <w:pStyle w:val="29"/>
        <w:keepNext w:val="0"/>
        <w:keepLines w:val="0"/>
        <w:pageBreakBefore w:val="0"/>
        <w:numPr>
          <w:ilvl w:val="0"/>
          <w:numId w:val="1"/>
        </w:numPr>
        <w:kinsoku/>
        <w:wordWrap/>
        <w:overflowPunct/>
        <w:topLinePunct w:val="0"/>
        <w:bidi w:val="0"/>
        <w:spacing w:before="0" w:beforeAutospacing="0" w:after="0" w:afterAutospacing="0" w:line="360" w:lineRule="auto"/>
        <w:ind w:left="0"/>
        <w:jc w:val="both"/>
        <w:textAlignment w:val="auto"/>
        <w:rPr>
          <w:color w:val="auto"/>
          <w:szCs w:val="24"/>
        </w:rPr>
      </w:pPr>
      <w:r>
        <w:rPr>
          <w:rFonts w:hint="eastAsia"/>
          <w:color w:val="auto"/>
          <w:szCs w:val="24"/>
        </w:rPr>
        <w:t>本次招标不接受联合体投标，不允许分包或转包。</w:t>
      </w:r>
    </w:p>
    <w:p>
      <w:pPr>
        <w:pStyle w:val="11"/>
        <w:keepNext w:val="0"/>
        <w:keepLines w:val="0"/>
        <w:pageBreakBefore w:val="0"/>
        <w:kinsoku/>
        <w:wordWrap/>
        <w:overflowPunct/>
        <w:topLinePunct w:val="0"/>
        <w:autoSpaceDE w:val="0"/>
        <w:autoSpaceDN w:val="0"/>
        <w:bidi w:val="0"/>
        <w:spacing w:beforeAutospacing="0" w:afterAutospacing="0" w:line="360" w:lineRule="auto"/>
        <w:ind w:left="0"/>
        <w:jc w:val="left"/>
        <w:textAlignment w:val="auto"/>
        <w:rPr>
          <w:rFonts w:asciiTheme="minorEastAsia" w:hAnsiTheme="minorEastAsia" w:eastAsiaTheme="minorEastAsia" w:cstheme="minorEastAsia"/>
          <w:color w:val="auto"/>
          <w:sz w:val="24"/>
        </w:rPr>
      </w:pPr>
      <w:bookmarkStart w:id="11" w:name="_Toc35393631"/>
      <w:bookmarkStart w:id="12" w:name="_Toc35393800"/>
      <w:r>
        <w:rPr>
          <w:rFonts w:hint="eastAsia" w:asciiTheme="minorEastAsia" w:hAnsiTheme="minorEastAsia" w:eastAsiaTheme="minorEastAsia" w:cstheme="minorEastAsia"/>
          <w:color w:val="auto"/>
          <w:sz w:val="24"/>
        </w:rPr>
        <w:t>三、获取采购文件</w:t>
      </w:r>
      <w:bookmarkEnd w:id="9"/>
      <w:bookmarkEnd w:id="10"/>
      <w:bookmarkEnd w:id="11"/>
      <w:bookmarkEnd w:id="12"/>
    </w:p>
    <w:p>
      <w:pPr>
        <w:keepNext w:val="0"/>
        <w:keepLines w:val="0"/>
        <w:pageBreakBefore w:val="0"/>
        <w:kinsoku/>
        <w:wordWrap/>
        <w:overflowPunct/>
        <w:topLinePunct w:val="0"/>
        <w:autoSpaceDE w:val="0"/>
        <w:autoSpaceDN w:val="0"/>
        <w:bidi w:val="0"/>
        <w:spacing w:beforeAutospacing="0" w:afterAutospacing="0" w:line="360" w:lineRule="auto"/>
        <w:ind w:left="0" w:firstLine="540"/>
        <w:textAlignment w:val="auto"/>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时间：</w:t>
      </w:r>
      <w:r>
        <w:rPr>
          <w:rFonts w:hint="eastAsia" w:asciiTheme="minorEastAsia" w:hAnsiTheme="minorEastAsia" w:eastAsiaTheme="minorEastAsia" w:cstheme="minorEastAsia"/>
          <w:color w:val="auto"/>
          <w:sz w:val="24"/>
          <w:u w:val="single"/>
          <w:lang w:val="en-US" w:eastAsia="zh-CN"/>
        </w:rPr>
        <w:t>2023</w:t>
      </w:r>
      <w:r>
        <w:rPr>
          <w:rFonts w:hint="eastAsia" w:asciiTheme="minorEastAsia" w:hAnsiTheme="minorEastAsia" w:eastAsiaTheme="minorEastAsia" w:cstheme="minorEastAsia"/>
          <w:color w:val="auto"/>
          <w:sz w:val="24"/>
          <w:u w:val="single"/>
        </w:rPr>
        <w:t>年</w:t>
      </w:r>
      <w:r>
        <w:rPr>
          <w:rFonts w:hint="eastAsia" w:asciiTheme="minorEastAsia" w:hAnsiTheme="minorEastAsia" w:eastAsiaTheme="minorEastAsia" w:cstheme="minorEastAsia"/>
          <w:color w:val="auto"/>
          <w:sz w:val="24"/>
          <w:u w:val="single"/>
          <w:lang w:val="en-US" w:eastAsia="zh-CN"/>
        </w:rPr>
        <w:t>12</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29</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rPr>
        <w:t>至</w:t>
      </w:r>
      <w:r>
        <w:rPr>
          <w:rFonts w:hint="eastAsia" w:asciiTheme="minorEastAsia" w:hAnsiTheme="minorEastAsia" w:eastAsiaTheme="minorEastAsia" w:cstheme="minorEastAsia"/>
          <w:color w:val="auto"/>
          <w:sz w:val="24"/>
          <w:u w:val="single"/>
          <w:lang w:val="en-US" w:eastAsia="zh-CN"/>
        </w:rPr>
        <w:t>2024</w:t>
      </w:r>
      <w:r>
        <w:rPr>
          <w:rFonts w:hint="eastAsia" w:asciiTheme="minorEastAsia" w:hAnsiTheme="minorEastAsia" w:eastAsiaTheme="minorEastAsia" w:cstheme="minorEastAsia"/>
          <w:color w:val="auto"/>
          <w:sz w:val="24"/>
          <w:u w:val="single"/>
        </w:rPr>
        <w:t>年</w:t>
      </w:r>
      <w:r>
        <w:rPr>
          <w:rFonts w:hint="eastAsia" w:asciiTheme="minorEastAsia" w:hAnsiTheme="minorEastAsia" w:eastAsiaTheme="minorEastAsia" w:cstheme="minorEastAsia"/>
          <w:color w:val="auto"/>
          <w:sz w:val="24"/>
          <w:u w:val="single"/>
          <w:lang w:val="en-US" w:eastAsia="zh-CN"/>
        </w:rPr>
        <w:t>1</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8</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rPr>
        <w:t>（北京时间，法定节假日除外 ）</w:t>
      </w:r>
    </w:p>
    <w:p>
      <w:pPr>
        <w:keepNext w:val="0"/>
        <w:keepLines w:val="0"/>
        <w:pageBreakBefore w:val="0"/>
        <w:kinsoku/>
        <w:wordWrap/>
        <w:overflowPunct/>
        <w:topLinePunct w:val="0"/>
        <w:bidi w:val="0"/>
        <w:spacing w:beforeAutospacing="0" w:afterAutospacing="0" w:line="360" w:lineRule="auto"/>
        <w:ind w:left="0" w:firstLine="480" w:firstLineChars="200"/>
        <w:jc w:val="left"/>
        <w:textAlignment w:val="auto"/>
        <w:rPr>
          <w:rFonts w:ascii="宋体" w:hAnsi="宋体" w:cs="宋体"/>
          <w:color w:val="auto"/>
          <w:sz w:val="24"/>
        </w:rPr>
      </w:pPr>
      <w:r>
        <w:rPr>
          <w:rFonts w:hint="eastAsia" w:ascii="宋体" w:hAnsi="宋体" w:cs="宋体"/>
          <w:color w:val="auto"/>
          <w:sz w:val="24"/>
        </w:rPr>
        <w:t>地点：周口市公共资源交易中心网（http://jyzx.zhoukou.gov.cn）</w:t>
      </w:r>
    </w:p>
    <w:p>
      <w:pPr>
        <w:keepNext w:val="0"/>
        <w:keepLines w:val="0"/>
        <w:pageBreakBefore w:val="0"/>
        <w:kinsoku/>
        <w:wordWrap/>
        <w:overflowPunct/>
        <w:topLinePunct w:val="0"/>
        <w:bidi w:val="0"/>
        <w:spacing w:beforeAutospacing="0" w:afterAutospacing="0" w:line="360" w:lineRule="auto"/>
        <w:ind w:left="0" w:firstLine="480" w:firstLineChars="200"/>
        <w:jc w:val="left"/>
        <w:textAlignment w:val="auto"/>
        <w:rPr>
          <w:rFonts w:ascii="宋体" w:hAnsi="宋体" w:cs="宋体"/>
          <w:color w:val="auto"/>
          <w:sz w:val="24"/>
        </w:rPr>
      </w:pPr>
      <w:r>
        <w:rPr>
          <w:rFonts w:hint="eastAsia" w:ascii="宋体" w:hAnsi="宋体" w:cs="宋体"/>
          <w:color w:val="auto"/>
          <w:sz w:val="24"/>
        </w:rPr>
        <w:t>方式：供应商请在网站自主注册后下载采购文件（zkzf格式）及资料，需办理CA数字证书后方可提交响应文件，具体办理事宜请查阅周口市公共资源交易中心网站。</w:t>
      </w:r>
    </w:p>
    <w:p>
      <w:pPr>
        <w:keepNext w:val="0"/>
        <w:keepLines w:val="0"/>
        <w:pageBreakBefore w:val="0"/>
        <w:kinsoku/>
        <w:wordWrap/>
        <w:overflowPunct/>
        <w:topLinePunct w:val="0"/>
        <w:autoSpaceDE w:val="0"/>
        <w:autoSpaceDN w:val="0"/>
        <w:bidi w:val="0"/>
        <w:spacing w:beforeAutospacing="0" w:afterAutospacing="0" w:line="360" w:lineRule="auto"/>
        <w:ind w:left="0" w:firstLine="540"/>
        <w:textAlignment w:val="auto"/>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售价：0</w:t>
      </w:r>
    </w:p>
    <w:p>
      <w:pPr>
        <w:pStyle w:val="11"/>
        <w:keepNext w:val="0"/>
        <w:keepLines w:val="0"/>
        <w:pageBreakBefore w:val="0"/>
        <w:kinsoku/>
        <w:wordWrap/>
        <w:overflowPunct/>
        <w:topLinePunct w:val="0"/>
        <w:autoSpaceDE w:val="0"/>
        <w:autoSpaceDN w:val="0"/>
        <w:bidi w:val="0"/>
        <w:spacing w:beforeAutospacing="0" w:afterAutospacing="0" w:line="360" w:lineRule="auto"/>
        <w:ind w:left="0"/>
        <w:jc w:val="left"/>
        <w:textAlignment w:val="auto"/>
        <w:rPr>
          <w:rFonts w:asciiTheme="minorEastAsia" w:hAnsiTheme="minorEastAsia" w:eastAsiaTheme="minorEastAsia" w:cstheme="minorEastAsia"/>
          <w:color w:val="auto"/>
          <w:sz w:val="24"/>
        </w:rPr>
      </w:pPr>
      <w:bookmarkStart w:id="13" w:name="_Toc28359015"/>
      <w:bookmarkStart w:id="14" w:name="_Toc28359092"/>
      <w:bookmarkStart w:id="15" w:name="_Toc35393632"/>
      <w:bookmarkStart w:id="16" w:name="_Toc35393801"/>
      <w:r>
        <w:rPr>
          <w:rFonts w:hint="eastAsia" w:asciiTheme="minorEastAsia" w:hAnsiTheme="minorEastAsia" w:eastAsiaTheme="minorEastAsia" w:cstheme="minorEastAsia"/>
          <w:color w:val="auto"/>
          <w:sz w:val="24"/>
        </w:rPr>
        <w:t>四、响应文件提交</w:t>
      </w:r>
      <w:bookmarkEnd w:id="13"/>
      <w:bookmarkEnd w:id="14"/>
      <w:bookmarkEnd w:id="15"/>
      <w:bookmarkEnd w:id="16"/>
    </w:p>
    <w:p>
      <w:pPr>
        <w:keepNext w:val="0"/>
        <w:keepLines w:val="0"/>
        <w:pageBreakBefore w:val="0"/>
        <w:kinsoku/>
        <w:wordWrap/>
        <w:overflowPunct/>
        <w:topLinePunct w:val="0"/>
        <w:autoSpaceDE w:val="0"/>
        <w:autoSpaceDN w:val="0"/>
        <w:bidi w:val="0"/>
        <w:spacing w:beforeAutospacing="0" w:afterAutospacing="0" w:line="360" w:lineRule="auto"/>
        <w:ind w:left="0" w:firstLine="480" w:firstLineChars="200"/>
        <w:textAlignment w:val="auto"/>
        <w:rPr>
          <w:rFonts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截止时间：</w:t>
      </w:r>
      <w:r>
        <w:rPr>
          <w:rFonts w:hint="eastAsia" w:asciiTheme="minorEastAsia" w:hAnsiTheme="minorEastAsia" w:eastAsiaTheme="minorEastAsia" w:cstheme="minorEastAsia"/>
          <w:color w:val="auto"/>
          <w:sz w:val="24"/>
          <w:u w:val="single"/>
          <w:lang w:val="en-US" w:eastAsia="zh-CN"/>
        </w:rPr>
        <w:t>2024</w:t>
      </w:r>
      <w:r>
        <w:rPr>
          <w:rFonts w:hint="eastAsia" w:asciiTheme="minorEastAsia" w:hAnsiTheme="minorEastAsia" w:eastAsiaTheme="minorEastAsia" w:cstheme="minorEastAsia"/>
          <w:bCs/>
          <w:color w:val="auto"/>
          <w:sz w:val="24"/>
          <w:u w:val="single"/>
        </w:rPr>
        <w:t>年</w:t>
      </w:r>
      <w:r>
        <w:rPr>
          <w:rFonts w:hint="eastAsia" w:asciiTheme="minorEastAsia" w:hAnsiTheme="minorEastAsia" w:eastAsiaTheme="minorEastAsia" w:cstheme="minorEastAsia"/>
          <w:bCs/>
          <w:color w:val="auto"/>
          <w:sz w:val="24"/>
          <w:u w:val="single"/>
          <w:lang w:val="en-US" w:eastAsia="zh-CN"/>
        </w:rPr>
        <w:t>1</w:t>
      </w:r>
      <w:r>
        <w:rPr>
          <w:rFonts w:hint="eastAsia" w:asciiTheme="minorEastAsia" w:hAnsiTheme="minorEastAsia" w:eastAsiaTheme="minorEastAsia" w:cstheme="minorEastAsia"/>
          <w:bCs/>
          <w:color w:val="auto"/>
          <w:sz w:val="24"/>
          <w:u w:val="single"/>
        </w:rPr>
        <w:t>月</w:t>
      </w:r>
      <w:r>
        <w:rPr>
          <w:rFonts w:hint="eastAsia" w:asciiTheme="minorEastAsia" w:hAnsiTheme="minorEastAsia" w:eastAsiaTheme="minorEastAsia" w:cstheme="minorEastAsia"/>
          <w:bCs/>
          <w:color w:val="auto"/>
          <w:sz w:val="24"/>
          <w:u w:val="single"/>
          <w:lang w:val="en-US" w:eastAsia="zh-CN"/>
        </w:rPr>
        <w:t>11</w:t>
      </w:r>
      <w:r>
        <w:rPr>
          <w:rFonts w:hint="eastAsia" w:asciiTheme="minorEastAsia" w:hAnsiTheme="minorEastAsia" w:eastAsiaTheme="minorEastAsia" w:cstheme="minorEastAsia"/>
          <w:bCs/>
          <w:color w:val="auto"/>
          <w:sz w:val="24"/>
          <w:u w:val="single"/>
        </w:rPr>
        <w:t>日</w:t>
      </w:r>
      <w:r>
        <w:rPr>
          <w:rFonts w:hint="eastAsia" w:asciiTheme="minorEastAsia" w:hAnsiTheme="minorEastAsia" w:eastAsiaTheme="minorEastAsia" w:cstheme="minorEastAsia"/>
          <w:bCs/>
          <w:color w:val="auto"/>
          <w:sz w:val="24"/>
          <w:u w:val="single"/>
          <w:lang w:val="en-US" w:eastAsia="zh-CN"/>
        </w:rPr>
        <w:t>10</w:t>
      </w:r>
      <w:r>
        <w:rPr>
          <w:rFonts w:hint="eastAsia" w:asciiTheme="minorEastAsia" w:hAnsiTheme="minorEastAsia" w:eastAsiaTheme="minorEastAsia" w:cstheme="minorEastAsia"/>
          <w:bCs/>
          <w:color w:val="auto"/>
          <w:sz w:val="24"/>
          <w:u w:val="single"/>
        </w:rPr>
        <w:t>点</w:t>
      </w:r>
      <w:r>
        <w:rPr>
          <w:rFonts w:hint="eastAsia" w:asciiTheme="minorEastAsia" w:hAnsiTheme="minorEastAsia" w:eastAsiaTheme="minorEastAsia" w:cstheme="minorEastAsia"/>
          <w:bCs/>
          <w:color w:val="auto"/>
          <w:sz w:val="24"/>
          <w:u w:val="single"/>
          <w:lang w:val="en-US" w:eastAsia="zh-CN"/>
        </w:rPr>
        <w:t>0</w:t>
      </w:r>
      <w:r>
        <w:rPr>
          <w:rFonts w:hint="eastAsia" w:asciiTheme="minorEastAsia" w:hAnsiTheme="minorEastAsia" w:eastAsiaTheme="minorEastAsia" w:cstheme="minorEastAsia"/>
          <w:bCs/>
          <w:color w:val="auto"/>
          <w:sz w:val="24"/>
          <w:u w:val="single"/>
        </w:rPr>
        <w:t>分</w:t>
      </w:r>
      <w:r>
        <w:rPr>
          <w:rFonts w:hint="eastAsia" w:asciiTheme="minorEastAsia" w:hAnsiTheme="minorEastAsia" w:eastAsiaTheme="minorEastAsia" w:cstheme="minorEastAsia"/>
          <w:bCs/>
          <w:color w:val="auto"/>
          <w:sz w:val="24"/>
        </w:rPr>
        <w:t>（北京时间）</w:t>
      </w:r>
    </w:p>
    <w:p>
      <w:pPr>
        <w:keepNext w:val="0"/>
        <w:keepLines w:val="0"/>
        <w:pageBreakBefore w:val="0"/>
        <w:kinsoku/>
        <w:wordWrap/>
        <w:overflowPunct/>
        <w:topLinePunct w:val="0"/>
        <w:autoSpaceDE w:val="0"/>
        <w:autoSpaceDN w:val="0"/>
        <w:bidi w:val="0"/>
        <w:spacing w:beforeAutospacing="0" w:afterAutospacing="0" w:line="360" w:lineRule="auto"/>
        <w:ind w:left="0" w:firstLine="480" w:firstLineChars="200"/>
        <w:textAlignment w:val="auto"/>
        <w:rPr>
          <w:rFonts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地点：加密电子响应文件须在投标截止时间前通过</w:t>
      </w:r>
      <w:r>
        <w:rPr>
          <w:rFonts w:hint="eastAsia" w:asciiTheme="minorEastAsia" w:hAnsiTheme="minorEastAsia" w:eastAsiaTheme="minorEastAsia" w:cstheme="minorEastAsia"/>
          <w:color w:val="auto"/>
          <w:spacing w:val="-6"/>
          <w:sz w:val="24"/>
        </w:rPr>
        <w:t>周口市公共资源交易中心网</w:t>
      </w:r>
      <w:r>
        <w:rPr>
          <w:rFonts w:hint="eastAsia" w:asciiTheme="minorEastAsia" w:hAnsiTheme="minorEastAsia" w:eastAsiaTheme="minorEastAsia" w:cstheme="minorEastAsia"/>
          <w:color w:val="auto"/>
          <w:sz w:val="24"/>
        </w:rPr>
        <w:t>（网址http://jyzx.zhoukou.gov.cn）。</w:t>
      </w:r>
    </w:p>
    <w:p>
      <w:pPr>
        <w:pStyle w:val="11"/>
        <w:keepNext w:val="0"/>
        <w:keepLines w:val="0"/>
        <w:pageBreakBefore w:val="0"/>
        <w:kinsoku/>
        <w:wordWrap/>
        <w:overflowPunct/>
        <w:topLinePunct w:val="0"/>
        <w:autoSpaceDE w:val="0"/>
        <w:autoSpaceDN w:val="0"/>
        <w:bidi w:val="0"/>
        <w:spacing w:beforeAutospacing="0" w:afterAutospacing="0" w:line="360" w:lineRule="auto"/>
        <w:ind w:left="0"/>
        <w:jc w:val="left"/>
        <w:textAlignment w:val="auto"/>
        <w:rPr>
          <w:rFonts w:asciiTheme="minorEastAsia" w:hAnsiTheme="minorEastAsia" w:eastAsiaTheme="minorEastAsia" w:cstheme="minorEastAsia"/>
          <w:color w:val="auto"/>
          <w:sz w:val="24"/>
        </w:rPr>
      </w:pPr>
      <w:bookmarkStart w:id="17" w:name="_Toc35393633"/>
      <w:bookmarkStart w:id="18" w:name="_Toc28359016"/>
      <w:bookmarkStart w:id="19" w:name="_Toc28359093"/>
      <w:bookmarkStart w:id="20" w:name="_Toc35393802"/>
      <w:r>
        <w:rPr>
          <w:rFonts w:hint="eastAsia" w:asciiTheme="minorEastAsia" w:hAnsiTheme="minorEastAsia" w:eastAsiaTheme="minorEastAsia" w:cstheme="minorEastAsia"/>
          <w:color w:val="auto"/>
          <w:sz w:val="24"/>
        </w:rPr>
        <w:t>五、开启（竞争性磋商方式必须填写）</w:t>
      </w:r>
      <w:bookmarkEnd w:id="17"/>
      <w:bookmarkEnd w:id="18"/>
      <w:bookmarkEnd w:id="19"/>
      <w:bookmarkEnd w:id="20"/>
    </w:p>
    <w:p>
      <w:pPr>
        <w:keepNext w:val="0"/>
        <w:keepLines w:val="0"/>
        <w:pageBreakBefore w:val="0"/>
        <w:kinsoku/>
        <w:wordWrap/>
        <w:overflowPunct/>
        <w:topLinePunct w:val="0"/>
        <w:autoSpaceDE w:val="0"/>
        <w:autoSpaceDN w:val="0"/>
        <w:bidi w:val="0"/>
        <w:spacing w:beforeAutospacing="0" w:afterAutospacing="0" w:line="360" w:lineRule="auto"/>
        <w:ind w:left="0" w:firstLine="480" w:firstLineChars="200"/>
        <w:textAlignment w:val="auto"/>
        <w:rPr>
          <w:rFonts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时间：</w:t>
      </w:r>
      <w:r>
        <w:rPr>
          <w:rFonts w:hint="eastAsia" w:asciiTheme="minorEastAsia" w:hAnsiTheme="minorEastAsia" w:eastAsiaTheme="minorEastAsia" w:cstheme="minorEastAsia"/>
          <w:color w:val="auto"/>
          <w:sz w:val="24"/>
          <w:u w:val="single"/>
          <w:lang w:val="en-US" w:eastAsia="zh-CN"/>
        </w:rPr>
        <w:t>2024</w:t>
      </w:r>
      <w:r>
        <w:rPr>
          <w:rFonts w:hint="eastAsia" w:asciiTheme="minorEastAsia" w:hAnsiTheme="minorEastAsia" w:eastAsiaTheme="minorEastAsia" w:cstheme="minorEastAsia"/>
          <w:bCs/>
          <w:color w:val="auto"/>
          <w:sz w:val="24"/>
          <w:u w:val="single"/>
        </w:rPr>
        <w:t>年</w:t>
      </w:r>
      <w:r>
        <w:rPr>
          <w:rFonts w:hint="eastAsia" w:asciiTheme="minorEastAsia" w:hAnsiTheme="minorEastAsia" w:eastAsiaTheme="minorEastAsia" w:cstheme="minorEastAsia"/>
          <w:bCs/>
          <w:color w:val="auto"/>
          <w:sz w:val="24"/>
          <w:u w:val="single"/>
          <w:lang w:val="en-US" w:eastAsia="zh-CN"/>
        </w:rPr>
        <w:t>1</w:t>
      </w:r>
      <w:r>
        <w:rPr>
          <w:rFonts w:hint="eastAsia" w:asciiTheme="minorEastAsia" w:hAnsiTheme="minorEastAsia" w:eastAsiaTheme="minorEastAsia" w:cstheme="minorEastAsia"/>
          <w:bCs/>
          <w:color w:val="auto"/>
          <w:sz w:val="24"/>
          <w:u w:val="single"/>
        </w:rPr>
        <w:t>月</w:t>
      </w:r>
      <w:r>
        <w:rPr>
          <w:rFonts w:hint="eastAsia" w:asciiTheme="minorEastAsia" w:hAnsiTheme="minorEastAsia" w:eastAsiaTheme="minorEastAsia" w:cstheme="minorEastAsia"/>
          <w:bCs/>
          <w:color w:val="auto"/>
          <w:sz w:val="24"/>
          <w:u w:val="single"/>
          <w:lang w:val="en-US" w:eastAsia="zh-CN"/>
        </w:rPr>
        <w:t>11</w:t>
      </w:r>
      <w:r>
        <w:rPr>
          <w:rFonts w:hint="eastAsia" w:asciiTheme="minorEastAsia" w:hAnsiTheme="minorEastAsia" w:eastAsiaTheme="minorEastAsia" w:cstheme="minorEastAsia"/>
          <w:bCs/>
          <w:color w:val="auto"/>
          <w:sz w:val="24"/>
          <w:u w:val="single"/>
        </w:rPr>
        <w:t>日</w:t>
      </w:r>
      <w:r>
        <w:rPr>
          <w:rFonts w:hint="eastAsia" w:asciiTheme="minorEastAsia" w:hAnsiTheme="minorEastAsia" w:eastAsiaTheme="minorEastAsia" w:cstheme="minorEastAsia"/>
          <w:bCs/>
          <w:color w:val="auto"/>
          <w:sz w:val="24"/>
          <w:u w:val="single"/>
          <w:lang w:val="en-US" w:eastAsia="zh-CN"/>
        </w:rPr>
        <w:t>10</w:t>
      </w:r>
      <w:r>
        <w:rPr>
          <w:rFonts w:hint="eastAsia" w:asciiTheme="minorEastAsia" w:hAnsiTheme="minorEastAsia" w:eastAsiaTheme="minorEastAsia" w:cstheme="minorEastAsia"/>
          <w:bCs/>
          <w:color w:val="auto"/>
          <w:sz w:val="24"/>
          <w:u w:val="single"/>
        </w:rPr>
        <w:t>点</w:t>
      </w:r>
      <w:r>
        <w:rPr>
          <w:rFonts w:hint="eastAsia" w:asciiTheme="minorEastAsia" w:hAnsiTheme="minorEastAsia" w:eastAsiaTheme="minorEastAsia" w:cstheme="minorEastAsia"/>
          <w:bCs/>
          <w:color w:val="auto"/>
          <w:sz w:val="24"/>
          <w:u w:val="single"/>
          <w:lang w:val="en-US" w:eastAsia="zh-CN"/>
        </w:rPr>
        <w:t>0</w:t>
      </w:r>
      <w:r>
        <w:rPr>
          <w:rFonts w:hint="eastAsia" w:asciiTheme="minorEastAsia" w:hAnsiTheme="minorEastAsia" w:eastAsiaTheme="minorEastAsia" w:cstheme="minorEastAsia"/>
          <w:bCs/>
          <w:color w:val="auto"/>
          <w:sz w:val="24"/>
          <w:u w:val="single"/>
        </w:rPr>
        <w:t>分</w:t>
      </w:r>
      <w:r>
        <w:rPr>
          <w:rFonts w:hint="eastAsia" w:asciiTheme="minorEastAsia" w:hAnsiTheme="minorEastAsia" w:eastAsiaTheme="minorEastAsia" w:cstheme="minorEastAsia"/>
          <w:bCs/>
          <w:color w:val="auto"/>
          <w:sz w:val="24"/>
        </w:rPr>
        <w:t>（北京时间）</w:t>
      </w:r>
    </w:p>
    <w:p>
      <w:pPr>
        <w:keepNext w:val="0"/>
        <w:keepLines w:val="0"/>
        <w:pageBreakBefore w:val="0"/>
        <w:kinsoku/>
        <w:wordWrap/>
        <w:overflowPunct/>
        <w:topLinePunct w:val="0"/>
        <w:autoSpaceDE w:val="0"/>
        <w:autoSpaceDN w:val="0"/>
        <w:bidi w:val="0"/>
        <w:spacing w:beforeAutospacing="0" w:afterAutospacing="0" w:line="360" w:lineRule="auto"/>
        <w:ind w:left="0" w:firstLine="480" w:firstLineChars="200"/>
        <w:jc w:val="left"/>
        <w:textAlignment w:val="auto"/>
        <w:rPr>
          <w:rFonts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w:t>
      </w:r>
      <w:r>
        <w:rPr>
          <w:rFonts w:hint="eastAsia" w:ascii="宋体" w:hAnsi="宋体" w:cs="宋体"/>
          <w:color w:val="auto"/>
          <w:sz w:val="24"/>
        </w:rPr>
        <w:t>周口市公共资源交易中心开标室</w:t>
      </w:r>
    </w:p>
    <w:p>
      <w:pPr>
        <w:pStyle w:val="11"/>
        <w:keepNext w:val="0"/>
        <w:keepLines w:val="0"/>
        <w:pageBreakBefore w:val="0"/>
        <w:kinsoku/>
        <w:wordWrap/>
        <w:overflowPunct/>
        <w:topLinePunct w:val="0"/>
        <w:autoSpaceDE w:val="0"/>
        <w:autoSpaceDN w:val="0"/>
        <w:bidi w:val="0"/>
        <w:spacing w:beforeAutospacing="0" w:afterAutospacing="0" w:line="360" w:lineRule="auto"/>
        <w:ind w:left="0"/>
        <w:jc w:val="left"/>
        <w:textAlignment w:val="auto"/>
        <w:rPr>
          <w:rFonts w:asciiTheme="minorEastAsia" w:hAnsiTheme="minorEastAsia" w:eastAsiaTheme="minorEastAsia" w:cstheme="minorEastAsia"/>
          <w:color w:val="auto"/>
          <w:sz w:val="24"/>
        </w:rPr>
      </w:pPr>
      <w:bookmarkStart w:id="21" w:name="_Toc35393803"/>
      <w:bookmarkStart w:id="22" w:name="_Toc28359017"/>
      <w:bookmarkStart w:id="23" w:name="_Toc35393634"/>
      <w:bookmarkStart w:id="24" w:name="_Toc28359094"/>
      <w:r>
        <w:rPr>
          <w:rFonts w:hint="eastAsia" w:asciiTheme="minorEastAsia" w:hAnsiTheme="minorEastAsia" w:eastAsiaTheme="minorEastAsia" w:cstheme="minorEastAsia"/>
          <w:color w:val="auto"/>
          <w:sz w:val="24"/>
        </w:rPr>
        <w:t>六、公告期限</w:t>
      </w:r>
      <w:bookmarkEnd w:id="21"/>
      <w:bookmarkEnd w:id="22"/>
      <w:bookmarkEnd w:id="23"/>
      <w:bookmarkEnd w:id="24"/>
    </w:p>
    <w:p>
      <w:pPr>
        <w:keepNext w:val="0"/>
        <w:keepLines w:val="0"/>
        <w:pageBreakBefore w:val="0"/>
        <w:kinsoku/>
        <w:wordWrap/>
        <w:overflowPunct/>
        <w:topLinePunct w:val="0"/>
        <w:autoSpaceDE w:val="0"/>
        <w:autoSpaceDN w:val="0"/>
        <w:bidi w:val="0"/>
        <w:spacing w:beforeAutospacing="0" w:afterAutospacing="0" w:line="360" w:lineRule="auto"/>
        <w:ind w:left="0" w:firstLine="480" w:firstLineChars="200"/>
        <w:textAlignment w:val="auto"/>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自本公告发布之日起3个工作日。</w:t>
      </w:r>
    </w:p>
    <w:p>
      <w:pPr>
        <w:pStyle w:val="11"/>
        <w:keepNext w:val="0"/>
        <w:keepLines w:val="0"/>
        <w:pageBreakBefore w:val="0"/>
        <w:kinsoku/>
        <w:wordWrap/>
        <w:overflowPunct/>
        <w:topLinePunct w:val="0"/>
        <w:autoSpaceDE w:val="0"/>
        <w:autoSpaceDN w:val="0"/>
        <w:bidi w:val="0"/>
        <w:spacing w:beforeAutospacing="0" w:afterAutospacing="0" w:line="360" w:lineRule="auto"/>
        <w:ind w:left="0"/>
        <w:jc w:val="left"/>
        <w:textAlignment w:val="auto"/>
        <w:rPr>
          <w:rFonts w:asciiTheme="minorEastAsia" w:hAnsiTheme="minorEastAsia" w:eastAsiaTheme="minorEastAsia" w:cstheme="minorEastAsia"/>
          <w:color w:val="auto"/>
          <w:sz w:val="24"/>
        </w:rPr>
      </w:pPr>
      <w:bookmarkStart w:id="25" w:name="_Toc35393635"/>
      <w:bookmarkStart w:id="26" w:name="_Toc35393804"/>
      <w:r>
        <w:rPr>
          <w:rFonts w:hint="eastAsia" w:asciiTheme="minorEastAsia" w:hAnsiTheme="minorEastAsia" w:eastAsiaTheme="minorEastAsia" w:cstheme="minorEastAsia"/>
          <w:color w:val="auto"/>
          <w:sz w:val="24"/>
        </w:rPr>
        <w:t>七、其他补充事宜</w:t>
      </w:r>
      <w:bookmarkEnd w:id="25"/>
      <w:bookmarkEnd w:id="26"/>
    </w:p>
    <w:p>
      <w:pPr>
        <w:pStyle w:val="11"/>
        <w:keepNext w:val="0"/>
        <w:keepLines w:val="0"/>
        <w:pageBreakBefore w:val="0"/>
        <w:kinsoku/>
        <w:wordWrap/>
        <w:overflowPunct/>
        <w:topLinePunct w:val="0"/>
        <w:autoSpaceDE w:val="0"/>
        <w:autoSpaceDN w:val="0"/>
        <w:bidi w:val="0"/>
        <w:spacing w:beforeAutospacing="0" w:afterAutospacing="0" w:line="360" w:lineRule="auto"/>
        <w:ind w:left="0"/>
        <w:jc w:val="left"/>
        <w:textAlignment w:val="auto"/>
        <w:rPr>
          <w:rFonts w:asciiTheme="minorEastAsia" w:hAnsiTheme="minorEastAsia" w:eastAsiaTheme="minorEastAsia" w:cstheme="minorEastAsia"/>
          <w:color w:val="auto"/>
          <w:sz w:val="24"/>
        </w:rPr>
      </w:pPr>
      <w:bookmarkStart w:id="27" w:name="_Toc28359095"/>
      <w:bookmarkStart w:id="28" w:name="_Toc35393805"/>
      <w:bookmarkStart w:id="29" w:name="_Toc35393636"/>
      <w:bookmarkStart w:id="30" w:name="_Toc28359018"/>
      <w:r>
        <w:rPr>
          <w:rFonts w:hint="eastAsia" w:asciiTheme="minorEastAsia" w:hAnsiTheme="minorEastAsia" w:eastAsiaTheme="minorEastAsia" w:cstheme="minorEastAsia"/>
          <w:color w:val="auto"/>
          <w:sz w:val="24"/>
        </w:rPr>
        <w:t>八、凡对本次采购提出询问，请按以下方式联系。</w:t>
      </w:r>
      <w:bookmarkEnd w:id="27"/>
      <w:bookmarkEnd w:id="28"/>
      <w:bookmarkEnd w:id="29"/>
      <w:bookmarkEnd w:id="30"/>
    </w:p>
    <w:p>
      <w:pPr>
        <w:keepNext w:val="0"/>
        <w:keepLines w:val="0"/>
        <w:pageBreakBefore w:val="0"/>
        <w:kinsoku/>
        <w:wordWrap/>
        <w:overflowPunct/>
        <w:topLinePunct w:val="0"/>
        <w:bidi w:val="0"/>
        <w:spacing w:beforeAutospacing="0" w:afterAutospacing="0" w:line="360" w:lineRule="auto"/>
        <w:ind w:left="0" w:firstLine="480" w:firstLineChars="200"/>
        <w:jc w:val="left"/>
        <w:textAlignment w:val="auto"/>
        <w:rPr>
          <w:rFonts w:ascii="宋体" w:hAnsi="宋体" w:cs="宋体"/>
          <w:color w:val="auto"/>
          <w:sz w:val="24"/>
        </w:rPr>
      </w:pPr>
      <w:r>
        <w:rPr>
          <w:rFonts w:hint="eastAsia" w:ascii="宋体" w:hAnsi="宋体" w:cs="宋体"/>
          <w:color w:val="auto"/>
          <w:sz w:val="24"/>
        </w:rPr>
        <w:t>1.采购人信息</w:t>
      </w:r>
    </w:p>
    <w:p>
      <w:pPr>
        <w:keepNext w:val="0"/>
        <w:keepLines w:val="0"/>
        <w:pageBreakBefore w:val="0"/>
        <w:kinsoku/>
        <w:wordWrap/>
        <w:overflowPunct/>
        <w:topLinePunct w:val="0"/>
        <w:bidi w:val="0"/>
        <w:spacing w:beforeAutospacing="0" w:afterAutospacing="0" w:line="360" w:lineRule="auto"/>
        <w:ind w:left="0" w:firstLine="480" w:firstLineChars="200"/>
        <w:jc w:val="left"/>
        <w:textAlignment w:val="auto"/>
        <w:rPr>
          <w:rFonts w:ascii="宋体" w:hAnsi="宋体" w:cs="宋体"/>
          <w:color w:val="auto"/>
          <w:sz w:val="24"/>
        </w:rPr>
      </w:pPr>
      <w:r>
        <w:rPr>
          <w:rFonts w:hint="eastAsia" w:ascii="宋体" w:hAnsi="宋体" w:cs="宋体"/>
          <w:color w:val="auto"/>
          <w:sz w:val="24"/>
        </w:rPr>
        <w:t>名称：周口市生态环境局　　　　　　　　　　</w:t>
      </w:r>
    </w:p>
    <w:p>
      <w:pPr>
        <w:keepNext w:val="0"/>
        <w:keepLines w:val="0"/>
        <w:pageBreakBefore w:val="0"/>
        <w:kinsoku/>
        <w:wordWrap/>
        <w:overflowPunct/>
        <w:topLinePunct w:val="0"/>
        <w:bidi w:val="0"/>
        <w:spacing w:beforeAutospacing="0" w:afterAutospacing="0" w:line="360" w:lineRule="auto"/>
        <w:ind w:left="0" w:firstLine="480" w:firstLineChars="200"/>
        <w:jc w:val="left"/>
        <w:textAlignment w:val="auto"/>
        <w:rPr>
          <w:rFonts w:ascii="宋体" w:hAnsi="宋体" w:cs="宋体"/>
          <w:color w:val="auto"/>
          <w:sz w:val="24"/>
        </w:rPr>
      </w:pPr>
      <w:r>
        <w:rPr>
          <w:rFonts w:hint="eastAsia" w:ascii="宋体" w:hAnsi="宋体" w:cs="宋体"/>
          <w:color w:val="auto"/>
          <w:sz w:val="24"/>
        </w:rPr>
        <w:t>地址：</w:t>
      </w:r>
      <w:r>
        <w:rPr>
          <w:rFonts w:hint="eastAsia" w:ascii="宋体" w:hAnsi="宋体" w:cs="宋体"/>
          <w:color w:val="auto"/>
          <w:sz w:val="24"/>
          <w:lang w:val="en-US" w:eastAsia="zh-CN"/>
        </w:rPr>
        <w:t>周口市汉阳路北段</w:t>
      </w:r>
      <w:r>
        <w:rPr>
          <w:rFonts w:hint="eastAsia" w:ascii="宋体" w:hAnsi="宋体" w:cs="宋体"/>
          <w:color w:val="auto"/>
          <w:sz w:val="24"/>
        </w:rPr>
        <w:t>　　　　　　　　　　　</w:t>
      </w:r>
    </w:p>
    <w:p>
      <w:pPr>
        <w:keepNext w:val="0"/>
        <w:keepLines w:val="0"/>
        <w:pageBreakBefore w:val="0"/>
        <w:kinsoku/>
        <w:wordWrap/>
        <w:overflowPunct/>
        <w:topLinePunct w:val="0"/>
        <w:bidi w:val="0"/>
        <w:spacing w:beforeAutospacing="0" w:afterAutospacing="0" w:line="360" w:lineRule="auto"/>
        <w:ind w:left="0" w:firstLine="480" w:firstLineChars="200"/>
        <w:jc w:val="left"/>
        <w:textAlignment w:val="auto"/>
        <w:rPr>
          <w:rFonts w:ascii="宋体" w:hAnsi="宋体" w:cs="宋体"/>
          <w:color w:val="auto"/>
          <w:sz w:val="24"/>
        </w:rPr>
      </w:pPr>
      <w:r>
        <w:rPr>
          <w:rFonts w:hint="eastAsia" w:ascii="宋体" w:hAnsi="宋体" w:cs="宋体"/>
          <w:color w:val="auto"/>
          <w:sz w:val="24"/>
        </w:rPr>
        <w:t>项目联系人：王东亚    联系方式：139</w:t>
      </w:r>
      <w:r>
        <w:rPr>
          <w:rFonts w:ascii="宋体" w:hAnsi="宋体" w:cs="宋体"/>
          <w:color w:val="auto"/>
          <w:sz w:val="24"/>
        </w:rPr>
        <w:t>39461660</w:t>
      </w:r>
      <w:r>
        <w:rPr>
          <w:rFonts w:hint="eastAsia" w:ascii="宋体" w:hAnsi="宋体" w:cs="宋体"/>
          <w:color w:val="auto"/>
          <w:sz w:val="24"/>
        </w:rPr>
        <w:t xml:space="preserve">　　　　　　　　　　 </w:t>
      </w:r>
      <w:bookmarkStart w:id="31" w:name="_Toc28359009"/>
      <w:bookmarkStart w:id="32" w:name="_Toc28359086"/>
    </w:p>
    <w:p>
      <w:pPr>
        <w:keepNext w:val="0"/>
        <w:keepLines w:val="0"/>
        <w:pageBreakBefore w:val="0"/>
        <w:kinsoku/>
        <w:wordWrap/>
        <w:overflowPunct/>
        <w:topLinePunct w:val="0"/>
        <w:bidi w:val="0"/>
        <w:spacing w:beforeAutospacing="0" w:afterAutospacing="0" w:line="360" w:lineRule="auto"/>
        <w:ind w:left="0" w:firstLine="480" w:firstLineChars="200"/>
        <w:jc w:val="left"/>
        <w:textAlignment w:val="auto"/>
        <w:rPr>
          <w:rFonts w:ascii="宋体" w:hAnsi="宋体" w:cs="宋体"/>
          <w:color w:val="auto"/>
          <w:sz w:val="24"/>
        </w:rPr>
      </w:pPr>
      <w:r>
        <w:rPr>
          <w:rFonts w:hint="eastAsia" w:ascii="宋体" w:hAnsi="宋体" w:cs="宋体"/>
          <w:color w:val="auto"/>
          <w:sz w:val="24"/>
        </w:rPr>
        <w:t>2.采购代理机构信息</w:t>
      </w:r>
      <w:bookmarkEnd w:id="31"/>
      <w:bookmarkEnd w:id="32"/>
    </w:p>
    <w:p>
      <w:pPr>
        <w:keepNext w:val="0"/>
        <w:keepLines w:val="0"/>
        <w:pageBreakBefore w:val="0"/>
        <w:kinsoku/>
        <w:wordWrap/>
        <w:overflowPunct/>
        <w:topLinePunct w:val="0"/>
        <w:bidi w:val="0"/>
        <w:spacing w:beforeAutospacing="0" w:afterAutospacing="0" w:line="360" w:lineRule="auto"/>
        <w:ind w:left="0" w:firstLine="480" w:firstLineChars="200"/>
        <w:jc w:val="left"/>
        <w:textAlignment w:val="auto"/>
        <w:rPr>
          <w:rFonts w:ascii="宋体" w:hAnsi="宋体" w:cs="宋体"/>
          <w:color w:val="auto"/>
          <w:sz w:val="24"/>
        </w:rPr>
      </w:pPr>
      <w:r>
        <w:rPr>
          <w:rFonts w:hint="eastAsia" w:ascii="宋体" w:hAnsi="宋体" w:cs="宋体"/>
          <w:color w:val="auto"/>
          <w:sz w:val="24"/>
        </w:rPr>
        <w:t>名称：周口市公共资源交易中心政府采购中心　　　　　　　　　　　　</w:t>
      </w:r>
    </w:p>
    <w:p>
      <w:pPr>
        <w:keepNext w:val="0"/>
        <w:keepLines w:val="0"/>
        <w:pageBreakBefore w:val="0"/>
        <w:kinsoku/>
        <w:wordWrap/>
        <w:overflowPunct/>
        <w:topLinePunct w:val="0"/>
        <w:bidi w:val="0"/>
        <w:spacing w:beforeAutospacing="0" w:afterAutospacing="0" w:line="360" w:lineRule="auto"/>
        <w:ind w:left="0" w:firstLine="480" w:firstLineChars="200"/>
        <w:jc w:val="left"/>
        <w:textAlignment w:val="auto"/>
        <w:rPr>
          <w:rFonts w:ascii="宋体" w:hAnsi="宋体" w:cs="宋体"/>
          <w:color w:val="auto"/>
          <w:sz w:val="24"/>
        </w:rPr>
      </w:pPr>
      <w:r>
        <w:rPr>
          <w:rFonts w:hint="eastAsia" w:ascii="宋体" w:hAnsi="宋体" w:cs="宋体"/>
          <w:color w:val="auto"/>
          <w:sz w:val="24"/>
        </w:rPr>
        <w:t>地址：周口市光明路与政通路交叉口向北100米路东</w:t>
      </w:r>
    </w:p>
    <w:p>
      <w:pPr>
        <w:keepNext w:val="0"/>
        <w:keepLines w:val="0"/>
        <w:pageBreakBefore w:val="0"/>
        <w:kinsoku/>
        <w:wordWrap/>
        <w:overflowPunct/>
        <w:topLinePunct w:val="0"/>
        <w:bidi w:val="0"/>
        <w:spacing w:beforeAutospacing="0" w:afterAutospacing="0" w:line="360" w:lineRule="auto"/>
        <w:ind w:left="0" w:firstLine="480" w:firstLineChars="200"/>
        <w:jc w:val="left"/>
        <w:textAlignment w:val="auto"/>
        <w:rPr>
          <w:rFonts w:ascii="宋体" w:hAnsi="宋体" w:cs="宋体"/>
          <w:color w:val="auto"/>
          <w:sz w:val="24"/>
        </w:rPr>
      </w:pPr>
      <w:r>
        <w:rPr>
          <w:rFonts w:hint="eastAsia" w:ascii="宋体" w:hAnsi="宋体" w:cs="宋体"/>
          <w:color w:val="auto"/>
          <w:sz w:val="24"/>
        </w:rPr>
        <w:t>项目联系人：</w:t>
      </w:r>
      <w:r>
        <w:rPr>
          <w:rFonts w:hint="eastAsia" w:ascii="宋体" w:hAnsi="宋体" w:cs="宋体"/>
          <w:color w:val="auto"/>
          <w:sz w:val="24"/>
          <w:lang w:val="en-US" w:eastAsia="zh-CN"/>
        </w:rPr>
        <w:t>郭战伟</w:t>
      </w:r>
      <w:r>
        <w:rPr>
          <w:rFonts w:hint="eastAsia" w:ascii="宋体" w:hAnsi="宋体" w:cs="宋体"/>
          <w:color w:val="auto"/>
          <w:sz w:val="24"/>
        </w:rPr>
        <w:t xml:space="preserve">    联系方式：</w:t>
      </w:r>
      <w:bookmarkStart w:id="33" w:name="_Toc28359010"/>
      <w:bookmarkStart w:id="34" w:name="_Toc28359087"/>
      <w:r>
        <w:rPr>
          <w:rFonts w:hint="eastAsia" w:ascii="宋体" w:hAnsi="宋体" w:cs="宋体"/>
          <w:color w:val="auto"/>
          <w:sz w:val="24"/>
        </w:rPr>
        <w:t>0394-8106517　　　　　　　　</w:t>
      </w:r>
    </w:p>
    <w:bookmarkEnd w:id="33"/>
    <w:bookmarkEnd w:id="34"/>
    <w:p>
      <w:pPr>
        <w:keepNext w:val="0"/>
        <w:keepLines w:val="0"/>
        <w:pageBreakBefore w:val="0"/>
        <w:kinsoku/>
        <w:wordWrap/>
        <w:overflowPunct/>
        <w:topLinePunct w:val="0"/>
        <w:bidi w:val="0"/>
        <w:spacing w:beforeAutospacing="0" w:afterAutospacing="0" w:line="360" w:lineRule="auto"/>
        <w:ind w:left="0" w:firstLine="480" w:firstLineChars="200"/>
        <w:jc w:val="left"/>
        <w:textAlignment w:val="auto"/>
        <w:rPr>
          <w:rFonts w:hint="eastAsia" w:ascii="宋体" w:hAnsi="宋体" w:eastAsia="宋体" w:cs="宋体"/>
          <w:color w:val="auto"/>
          <w:sz w:val="24"/>
          <w:lang w:val="en-US" w:eastAsia="zh-CN"/>
        </w:rPr>
      </w:pPr>
      <w:r>
        <w:rPr>
          <w:rFonts w:hint="eastAsia" w:ascii="宋体" w:hAnsi="宋体" w:cs="宋体"/>
          <w:color w:val="auto"/>
          <w:sz w:val="24"/>
        </w:rPr>
        <w:t>3.监督单位：</w:t>
      </w:r>
      <w:r>
        <w:rPr>
          <w:rFonts w:hint="eastAsia" w:ascii="宋体" w:hAnsi="宋体" w:cs="宋体"/>
          <w:color w:val="auto"/>
          <w:sz w:val="24"/>
          <w:lang w:val="en-US" w:eastAsia="zh-CN"/>
        </w:rPr>
        <w:t>周口市财政局政府采购监督管理科</w:t>
      </w:r>
    </w:p>
    <w:p>
      <w:pPr>
        <w:pStyle w:val="38"/>
        <w:keepNext w:val="0"/>
        <w:keepLines w:val="0"/>
        <w:pageBreakBefore w:val="0"/>
        <w:kinsoku/>
        <w:wordWrap/>
        <w:overflowPunct/>
        <w:topLinePunct w:val="0"/>
        <w:bidi w:val="0"/>
        <w:spacing w:beforeAutospacing="0" w:after="0" w:afterAutospacing="0"/>
        <w:ind w:left="0" w:firstLine="480" w:firstLineChars="200"/>
        <w:textAlignment w:val="auto"/>
        <w:rPr>
          <w:color w:val="auto"/>
        </w:rPr>
      </w:pPr>
      <w:r>
        <w:rPr>
          <w:rFonts w:hint="eastAsia" w:ascii="宋体" w:hAnsi="宋体" w:cs="宋体"/>
          <w:color w:val="auto"/>
          <w:sz w:val="24"/>
        </w:rPr>
        <w:t xml:space="preserve">联系方式：0394-4315676  </w:t>
      </w:r>
    </w:p>
    <w:p>
      <w:pPr>
        <w:pStyle w:val="38"/>
        <w:keepNext w:val="0"/>
        <w:keepLines w:val="0"/>
        <w:pageBreakBefore w:val="0"/>
        <w:kinsoku/>
        <w:wordWrap/>
        <w:overflowPunct/>
        <w:topLinePunct w:val="0"/>
        <w:bidi w:val="0"/>
        <w:spacing w:beforeAutospacing="0" w:after="0" w:afterAutospacing="0"/>
        <w:ind w:left="0" w:firstLine="720" w:firstLineChars="300"/>
        <w:textAlignment w:val="auto"/>
        <w:rPr>
          <w:color w:val="auto"/>
        </w:rPr>
      </w:pPr>
      <w:r>
        <w:rPr>
          <w:rFonts w:hint="eastAsia" w:ascii="宋体" w:hAnsi="宋体" w:cs="宋体"/>
          <w:color w:val="auto"/>
          <w:sz w:val="24"/>
        </w:rPr>
        <w:t xml:space="preserve">  </w:t>
      </w:r>
    </w:p>
    <w:p>
      <w:pPr>
        <w:pStyle w:val="38"/>
        <w:keepNext w:val="0"/>
        <w:keepLines w:val="0"/>
        <w:pageBreakBefore w:val="0"/>
        <w:kinsoku/>
        <w:wordWrap/>
        <w:overflowPunct/>
        <w:topLinePunct w:val="0"/>
        <w:bidi w:val="0"/>
        <w:spacing w:beforeAutospacing="0" w:after="0" w:afterAutospacing="0"/>
        <w:ind w:left="0" w:firstLine="0" w:firstLineChars="0"/>
        <w:textAlignment w:val="auto"/>
        <w:rPr>
          <w:color w:val="auto"/>
        </w:rPr>
      </w:pPr>
    </w:p>
    <w:p>
      <w:pPr>
        <w:pStyle w:val="3"/>
        <w:keepNext w:val="0"/>
        <w:keepLines w:val="0"/>
        <w:pageBreakBefore w:val="0"/>
        <w:kinsoku/>
        <w:wordWrap/>
        <w:overflowPunct/>
        <w:topLinePunct w:val="0"/>
        <w:bidi w:val="0"/>
        <w:adjustRightInd w:val="0"/>
        <w:snapToGrid w:val="0"/>
        <w:spacing w:beforeAutospacing="0" w:after="0" w:afterAutospacing="0" w:line="360" w:lineRule="auto"/>
        <w:ind w:left="0" w:firstLine="2040" w:firstLineChars="850"/>
        <w:textAlignment w:val="auto"/>
        <w:rPr>
          <w:rFonts w:ascii="宋体" w:hAnsi="宋体" w:cs="宋体"/>
          <w:color w:val="auto"/>
          <w:sz w:val="24"/>
        </w:rPr>
      </w:pPr>
      <w:r>
        <w:rPr>
          <w:rFonts w:hint="eastAsia" w:ascii="宋体" w:hAnsi="宋体" w:cs="宋体"/>
          <w:color w:val="auto"/>
          <w:sz w:val="24"/>
        </w:rPr>
        <w:t>周口市公共资源交易中心政府采购中心</w:t>
      </w:r>
    </w:p>
    <w:p>
      <w:pPr>
        <w:pStyle w:val="26"/>
        <w:keepNext w:val="0"/>
        <w:keepLines w:val="0"/>
        <w:pageBreakBefore w:val="0"/>
        <w:kinsoku/>
        <w:wordWrap/>
        <w:overflowPunct/>
        <w:topLinePunct w:val="0"/>
        <w:bidi w:val="0"/>
        <w:adjustRightInd w:val="0"/>
        <w:spacing w:beforeAutospacing="0" w:afterAutospacing="0" w:line="360" w:lineRule="auto"/>
        <w:ind w:left="0" w:firstLine="3360" w:firstLineChars="1400"/>
        <w:textAlignment w:val="auto"/>
        <w:rPr>
          <w:rFonts w:ascii="宋体" w:hAnsi="宋体" w:cs="宋体"/>
          <w:color w:val="auto"/>
        </w:rPr>
      </w:pPr>
      <w:r>
        <w:rPr>
          <w:rFonts w:hint="eastAsia" w:ascii="宋体" w:hAnsi="宋体" w:cs="宋体"/>
          <w:color w:val="auto"/>
          <w:sz w:val="24"/>
          <w:szCs w:val="24"/>
          <w:lang w:val="en-US" w:eastAsia="zh-CN"/>
        </w:rPr>
        <w:t>2013</w:t>
      </w:r>
      <w:r>
        <w:rPr>
          <w:rFonts w:hint="eastAsia" w:ascii="宋体" w:hAnsi="宋体" w:cs="宋体"/>
          <w:color w:val="auto"/>
          <w:sz w:val="24"/>
          <w:szCs w:val="24"/>
        </w:rPr>
        <w:t>年</w:t>
      </w:r>
      <w:r>
        <w:rPr>
          <w:rFonts w:hint="eastAsia" w:ascii="宋体" w:hAnsi="宋体" w:cs="宋体"/>
          <w:color w:val="auto"/>
          <w:sz w:val="24"/>
          <w:szCs w:val="24"/>
          <w:lang w:val="en-US" w:eastAsia="zh-CN"/>
        </w:rPr>
        <w:t>12</w:t>
      </w:r>
      <w:r>
        <w:rPr>
          <w:rFonts w:hint="eastAsia" w:ascii="宋体" w:hAnsi="宋体" w:cs="宋体"/>
          <w:color w:val="auto"/>
          <w:sz w:val="24"/>
          <w:szCs w:val="24"/>
        </w:rPr>
        <w:t>月</w:t>
      </w:r>
      <w:r>
        <w:rPr>
          <w:rFonts w:hint="eastAsia" w:ascii="宋体" w:hAnsi="宋体" w:cs="宋体"/>
          <w:color w:val="auto"/>
          <w:sz w:val="24"/>
          <w:szCs w:val="24"/>
          <w:lang w:val="en-US" w:eastAsia="zh-CN"/>
        </w:rPr>
        <w:t>29</w:t>
      </w:r>
      <w:r>
        <w:rPr>
          <w:rFonts w:hint="eastAsia" w:ascii="宋体" w:hAnsi="宋体" w:cs="宋体"/>
          <w:color w:val="auto"/>
          <w:sz w:val="24"/>
          <w:szCs w:val="24"/>
        </w:rPr>
        <w:t>日　　</w:t>
      </w:r>
    </w:p>
    <w:p>
      <w:pPr>
        <w:keepNext w:val="0"/>
        <w:keepLines w:val="0"/>
        <w:pageBreakBefore w:val="0"/>
        <w:widowControl/>
        <w:kinsoku/>
        <w:wordWrap/>
        <w:overflowPunct/>
        <w:topLinePunct w:val="0"/>
        <w:bidi w:val="0"/>
        <w:spacing w:beforeAutospacing="0" w:afterAutospacing="0"/>
        <w:ind w:left="0"/>
        <w:jc w:val="left"/>
        <w:textAlignment w:val="auto"/>
        <w:rPr>
          <w:rFonts w:ascii="仿宋_GB2312" w:hAnsi="华文楷体" w:eastAsia="仿宋_GB2312"/>
          <w:color w:val="auto"/>
          <w:sz w:val="32"/>
        </w:rPr>
      </w:pPr>
      <w:r>
        <w:rPr>
          <w:color w:val="auto"/>
        </w:rPr>
        <w:br w:type="page"/>
      </w:r>
      <w:bookmarkStart w:id="39" w:name="_GoBack"/>
      <w:bookmarkEnd w:id="39"/>
    </w:p>
    <w:p>
      <w:pPr>
        <w:jc w:val="center"/>
        <w:outlineLvl w:val="0"/>
        <w:rPr>
          <w:rFonts w:ascii="宋体" w:hAnsi="宋体" w:cs="宋体"/>
          <w:b/>
          <w:color w:val="auto"/>
          <w:sz w:val="32"/>
          <w:szCs w:val="32"/>
        </w:rPr>
      </w:pPr>
      <w:r>
        <w:rPr>
          <w:rFonts w:hint="eastAsia" w:ascii="宋体" w:hAnsi="宋体" w:cs="宋体"/>
          <w:b/>
          <w:color w:val="auto"/>
          <w:sz w:val="32"/>
          <w:szCs w:val="32"/>
        </w:rPr>
        <w:t>第二章    供应商须知</w:t>
      </w:r>
    </w:p>
    <w:tbl>
      <w:tblPr>
        <w:tblStyle w:val="30"/>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pPr>
              <w:jc w:val="center"/>
              <w:rPr>
                <w:rFonts w:ascii="宋体" w:hAnsi="宋体"/>
                <w:color w:val="auto"/>
                <w:szCs w:val="21"/>
              </w:rPr>
            </w:pPr>
            <w:r>
              <w:rPr>
                <w:rFonts w:hint="eastAsia" w:ascii="宋体" w:hAnsi="宋体" w:cs="楷体_GB2312"/>
                <w:color w:val="auto"/>
                <w:sz w:val="32"/>
                <w:szCs w:val="32"/>
              </w:rPr>
              <w:t>供应商须知前附表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pPr>
              <w:spacing w:before="156" w:beforeLines="50"/>
              <w:jc w:val="center"/>
              <w:rPr>
                <w:rFonts w:ascii="宋体" w:hAnsi="宋体" w:cs="宋体"/>
                <w:color w:val="auto"/>
                <w:sz w:val="24"/>
              </w:rPr>
            </w:pPr>
            <w:r>
              <w:rPr>
                <w:rFonts w:hint="eastAsia" w:ascii="宋体" w:hAnsi="宋体" w:cs="宋体"/>
                <w:color w:val="auto"/>
                <w:sz w:val="24"/>
              </w:rPr>
              <w:t>序号</w:t>
            </w:r>
          </w:p>
        </w:tc>
        <w:tc>
          <w:tcPr>
            <w:tcW w:w="1995" w:type="dxa"/>
            <w:vAlign w:val="center"/>
          </w:tcPr>
          <w:p>
            <w:pPr>
              <w:spacing w:before="156" w:beforeLines="50"/>
              <w:jc w:val="center"/>
              <w:rPr>
                <w:rFonts w:ascii="宋体" w:hAnsi="宋体" w:cs="宋体"/>
                <w:color w:val="auto"/>
                <w:sz w:val="24"/>
              </w:rPr>
            </w:pPr>
            <w:r>
              <w:rPr>
                <w:rFonts w:hint="eastAsia" w:ascii="宋体" w:hAnsi="宋体" w:cs="宋体"/>
                <w:color w:val="auto"/>
                <w:sz w:val="24"/>
              </w:rPr>
              <w:t>条款</w:t>
            </w:r>
          </w:p>
        </w:tc>
        <w:tc>
          <w:tcPr>
            <w:tcW w:w="6615" w:type="dxa"/>
            <w:vAlign w:val="center"/>
          </w:tcPr>
          <w:p>
            <w:pPr>
              <w:rPr>
                <w:rFonts w:ascii="宋体" w:hAnsi="宋体" w:cs="宋体"/>
                <w:color w:val="auto"/>
                <w:sz w:val="24"/>
              </w:rPr>
            </w:pPr>
            <w:r>
              <w:rPr>
                <w:rFonts w:hint="eastAsia" w:ascii="宋体" w:hAnsi="宋体" w:cs="宋体"/>
                <w:color w:val="auto"/>
                <w:sz w:val="24"/>
              </w:rPr>
              <w:t>内  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pPr>
              <w:numPr>
                <w:ilvl w:val="0"/>
                <w:numId w:val="2"/>
              </w:numPr>
              <w:spacing w:before="156" w:beforeLines="50"/>
              <w:jc w:val="center"/>
              <w:rPr>
                <w:rFonts w:ascii="宋体" w:hAnsi="宋体" w:cs="宋体"/>
                <w:color w:val="auto"/>
                <w:sz w:val="24"/>
              </w:rPr>
            </w:pPr>
          </w:p>
        </w:tc>
        <w:tc>
          <w:tcPr>
            <w:tcW w:w="1995" w:type="dxa"/>
            <w:vAlign w:val="center"/>
          </w:tcPr>
          <w:p>
            <w:pPr>
              <w:jc w:val="center"/>
              <w:rPr>
                <w:rFonts w:ascii="宋体" w:hAnsi="宋体" w:cs="宋体"/>
                <w:color w:val="auto"/>
                <w:sz w:val="24"/>
              </w:rPr>
            </w:pPr>
            <w:r>
              <w:rPr>
                <w:rFonts w:hint="eastAsia" w:ascii="宋体" w:hAnsi="宋体" w:cs="宋体"/>
                <w:color w:val="auto"/>
                <w:sz w:val="24"/>
              </w:rPr>
              <w:t>项目概况</w:t>
            </w:r>
          </w:p>
        </w:tc>
        <w:tc>
          <w:tcPr>
            <w:tcW w:w="6615" w:type="dxa"/>
            <w:vAlign w:val="center"/>
          </w:tcPr>
          <w:p>
            <w:pPr>
              <w:rPr>
                <w:rFonts w:ascii="宋体" w:hAnsi="宋体" w:cs="宋体"/>
                <w:color w:val="auto"/>
                <w:sz w:val="24"/>
              </w:rPr>
            </w:pPr>
            <w:r>
              <w:rPr>
                <w:rFonts w:hint="eastAsia" w:ascii="宋体" w:hAnsi="宋体" w:cs="宋体"/>
                <w:color w:val="auto"/>
                <w:sz w:val="24"/>
              </w:rPr>
              <w:t>项目名称：周口市重点入河排污口、河流断面监督性监测及应急排查溯源项目</w:t>
            </w:r>
          </w:p>
          <w:p>
            <w:pPr>
              <w:rPr>
                <w:rFonts w:ascii="宋体" w:hAnsi="宋体" w:cs="宋体"/>
                <w:color w:val="auto"/>
                <w:sz w:val="24"/>
              </w:rPr>
            </w:pPr>
            <w:r>
              <w:rPr>
                <w:rFonts w:hint="eastAsia" w:ascii="宋体" w:hAnsi="宋体" w:cs="宋体"/>
                <w:color w:val="auto"/>
                <w:sz w:val="24"/>
              </w:rPr>
              <w:t>采购人：</w:t>
            </w:r>
            <w:r>
              <w:rPr>
                <w:rFonts w:hint="eastAsia" w:asciiTheme="minorEastAsia" w:hAnsiTheme="minorEastAsia" w:eastAsiaTheme="minorEastAsia" w:cstheme="minorEastAsia"/>
                <w:color w:val="auto"/>
                <w:sz w:val="24"/>
              </w:rPr>
              <w:t>周口市生态环境局</w:t>
            </w:r>
          </w:p>
          <w:p>
            <w:pPr>
              <w:rPr>
                <w:rFonts w:ascii="宋体" w:hAnsi="宋体" w:cs="宋体"/>
                <w:color w:val="auto"/>
                <w:sz w:val="24"/>
                <w:highlight w:val="yellow"/>
              </w:rPr>
            </w:pPr>
            <w:r>
              <w:rPr>
                <w:rFonts w:hint="eastAsia" w:ascii="宋体" w:hAnsi="宋体" w:cs="宋体"/>
                <w:color w:val="auto"/>
                <w:sz w:val="24"/>
              </w:rPr>
              <w:t>采购代理机构：周口市光明路与政通路交叉口向北100米路东</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pPr>
              <w:numPr>
                <w:ilvl w:val="0"/>
                <w:numId w:val="2"/>
              </w:numPr>
              <w:spacing w:before="156" w:beforeLines="50"/>
              <w:jc w:val="center"/>
              <w:rPr>
                <w:rFonts w:ascii="宋体" w:hAnsi="宋体" w:cs="宋体"/>
                <w:color w:val="auto"/>
                <w:sz w:val="24"/>
              </w:rPr>
            </w:pPr>
          </w:p>
        </w:tc>
        <w:tc>
          <w:tcPr>
            <w:tcW w:w="1995" w:type="dxa"/>
            <w:vAlign w:val="center"/>
          </w:tcPr>
          <w:p>
            <w:pPr>
              <w:spacing w:before="156" w:beforeLines="50"/>
              <w:ind w:left="-4" w:leftChars="-4" w:hanging="4" w:hangingChars="2"/>
              <w:jc w:val="center"/>
              <w:rPr>
                <w:rFonts w:ascii="宋体" w:hAnsi="宋体" w:cs="宋体"/>
                <w:color w:val="auto"/>
                <w:sz w:val="24"/>
              </w:rPr>
            </w:pPr>
            <w:r>
              <w:rPr>
                <w:rFonts w:hint="eastAsia" w:ascii="宋体" w:hAnsi="宋体" w:cs="宋体"/>
                <w:color w:val="auto"/>
                <w:sz w:val="24"/>
              </w:rPr>
              <w:t>对供应商的资格要求</w:t>
            </w:r>
          </w:p>
        </w:tc>
        <w:tc>
          <w:tcPr>
            <w:tcW w:w="6615" w:type="dxa"/>
            <w:vAlign w:val="center"/>
          </w:tcPr>
          <w:p>
            <w:pPr>
              <w:spacing w:before="156" w:beforeLines="50"/>
              <w:ind w:left="-4" w:leftChars="-4" w:hanging="4" w:hangingChars="2"/>
              <w:rPr>
                <w:rFonts w:ascii="宋体" w:hAnsi="宋体" w:cs="宋体"/>
                <w:color w:val="auto"/>
                <w:sz w:val="24"/>
              </w:rPr>
            </w:pPr>
            <w:r>
              <w:rPr>
                <w:rFonts w:hint="eastAsia" w:ascii="宋体" w:hAnsi="宋体" w:cs="宋体"/>
                <w:color w:val="auto"/>
                <w:sz w:val="24"/>
              </w:rPr>
              <w:t>见竞争性磋商邀请函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numPr>
                <w:ilvl w:val="0"/>
                <w:numId w:val="2"/>
              </w:numPr>
              <w:spacing w:before="156" w:beforeLines="50"/>
              <w:jc w:val="center"/>
              <w:rPr>
                <w:rFonts w:ascii="宋体" w:hAnsi="宋体" w:cs="宋体"/>
                <w:color w:val="auto"/>
                <w:sz w:val="24"/>
              </w:rPr>
            </w:pPr>
          </w:p>
        </w:tc>
        <w:tc>
          <w:tcPr>
            <w:tcW w:w="1995" w:type="dxa"/>
            <w:vAlign w:val="center"/>
          </w:tcPr>
          <w:p>
            <w:pPr>
              <w:spacing w:before="156" w:beforeLines="50"/>
              <w:jc w:val="center"/>
              <w:rPr>
                <w:rFonts w:ascii="宋体" w:hAnsi="宋体" w:cs="宋体"/>
                <w:color w:val="auto"/>
                <w:sz w:val="24"/>
              </w:rPr>
            </w:pPr>
            <w:r>
              <w:rPr>
                <w:rFonts w:hint="eastAsia" w:ascii="宋体" w:hAnsi="宋体" w:cs="宋体"/>
                <w:color w:val="auto"/>
                <w:sz w:val="24"/>
              </w:rPr>
              <w:t>报价费用</w:t>
            </w:r>
          </w:p>
        </w:tc>
        <w:tc>
          <w:tcPr>
            <w:tcW w:w="6615" w:type="dxa"/>
            <w:vAlign w:val="center"/>
          </w:tcPr>
          <w:p>
            <w:pPr>
              <w:rPr>
                <w:rFonts w:ascii="宋体" w:hAnsi="宋体" w:cs="宋体"/>
                <w:color w:val="auto"/>
                <w:sz w:val="24"/>
              </w:rPr>
            </w:pPr>
            <w:r>
              <w:rPr>
                <w:rFonts w:hint="eastAsia" w:ascii="宋体" w:hAnsi="宋体" w:cs="宋体"/>
                <w:color w:val="auto"/>
                <w:sz w:val="24"/>
              </w:rPr>
              <w:t>无论报价和磋商的过程和结果如何，供应商自行承担所有与参加报价及磋商有关活动的全部费用。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pPr>
              <w:numPr>
                <w:ilvl w:val="0"/>
                <w:numId w:val="2"/>
              </w:numPr>
              <w:spacing w:before="156" w:beforeLines="50"/>
              <w:rPr>
                <w:rFonts w:ascii="宋体" w:hAnsi="宋体" w:cs="宋体"/>
                <w:color w:val="auto"/>
                <w:sz w:val="24"/>
              </w:rPr>
            </w:pPr>
          </w:p>
        </w:tc>
        <w:tc>
          <w:tcPr>
            <w:tcW w:w="1995" w:type="dxa"/>
            <w:vAlign w:val="center"/>
          </w:tcPr>
          <w:p>
            <w:pPr>
              <w:spacing w:before="156" w:beforeLines="50"/>
              <w:jc w:val="center"/>
              <w:rPr>
                <w:rFonts w:ascii="宋体" w:hAnsi="宋体" w:cs="宋体"/>
                <w:color w:val="auto"/>
                <w:sz w:val="24"/>
              </w:rPr>
            </w:pPr>
            <w:r>
              <w:rPr>
                <w:rFonts w:hint="eastAsia" w:ascii="宋体" w:hAnsi="宋体" w:cs="宋体"/>
                <w:color w:val="auto"/>
                <w:sz w:val="24"/>
              </w:rPr>
              <w:t>响应文件语言</w:t>
            </w:r>
          </w:p>
        </w:tc>
        <w:tc>
          <w:tcPr>
            <w:tcW w:w="6615" w:type="dxa"/>
            <w:vAlign w:val="center"/>
          </w:tcPr>
          <w:p>
            <w:pPr>
              <w:snapToGrid w:val="0"/>
              <w:rPr>
                <w:rFonts w:ascii="宋体" w:hAnsi="宋体" w:cs="宋体"/>
                <w:color w:val="auto"/>
                <w:sz w:val="24"/>
              </w:rPr>
            </w:pPr>
            <w:r>
              <w:rPr>
                <w:rFonts w:hint="eastAsia" w:ascii="宋体" w:hAnsi="宋体" w:cs="宋体"/>
                <w:color w:val="auto"/>
                <w:sz w:val="24"/>
              </w:rPr>
              <w:t>中文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numPr>
                <w:ilvl w:val="0"/>
                <w:numId w:val="2"/>
              </w:numPr>
              <w:spacing w:before="156" w:beforeLines="50"/>
              <w:rPr>
                <w:rFonts w:ascii="宋体" w:hAnsi="宋体" w:cs="宋体"/>
                <w:color w:val="auto"/>
                <w:sz w:val="24"/>
              </w:rPr>
            </w:pPr>
          </w:p>
        </w:tc>
        <w:tc>
          <w:tcPr>
            <w:tcW w:w="1995" w:type="dxa"/>
            <w:vAlign w:val="center"/>
          </w:tcPr>
          <w:p>
            <w:pPr>
              <w:spacing w:before="156" w:beforeLines="50"/>
              <w:jc w:val="center"/>
              <w:rPr>
                <w:rFonts w:ascii="宋体" w:hAnsi="宋体" w:cs="宋体"/>
                <w:color w:val="auto"/>
                <w:sz w:val="24"/>
              </w:rPr>
            </w:pPr>
            <w:r>
              <w:rPr>
                <w:rFonts w:hint="eastAsia" w:ascii="宋体" w:hAnsi="宋体" w:cs="宋体"/>
                <w:color w:val="auto"/>
                <w:sz w:val="24"/>
              </w:rPr>
              <w:t>报价货币</w:t>
            </w:r>
          </w:p>
        </w:tc>
        <w:tc>
          <w:tcPr>
            <w:tcW w:w="6615" w:type="dxa"/>
            <w:vAlign w:val="center"/>
          </w:tcPr>
          <w:p>
            <w:pPr>
              <w:rPr>
                <w:rFonts w:ascii="宋体" w:hAnsi="宋体" w:cs="宋体"/>
                <w:color w:val="auto"/>
                <w:sz w:val="24"/>
              </w:rPr>
            </w:pPr>
            <w:r>
              <w:rPr>
                <w:rFonts w:hint="eastAsia" w:ascii="宋体" w:hAnsi="宋体" w:cs="宋体"/>
                <w:color w:val="auto"/>
                <w:sz w:val="24"/>
              </w:rPr>
              <w:t>人民币</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pPr>
              <w:numPr>
                <w:ilvl w:val="0"/>
                <w:numId w:val="2"/>
              </w:numPr>
              <w:spacing w:before="156" w:beforeLines="50"/>
              <w:jc w:val="center"/>
              <w:rPr>
                <w:rFonts w:ascii="宋体" w:hAnsi="宋体" w:cs="宋体"/>
                <w:color w:val="auto"/>
                <w:sz w:val="24"/>
              </w:rPr>
            </w:pPr>
          </w:p>
        </w:tc>
        <w:tc>
          <w:tcPr>
            <w:tcW w:w="1995" w:type="dxa"/>
            <w:vAlign w:val="center"/>
          </w:tcPr>
          <w:p>
            <w:pPr>
              <w:spacing w:before="156" w:beforeLines="50"/>
              <w:jc w:val="center"/>
              <w:rPr>
                <w:rFonts w:ascii="宋体" w:hAnsi="宋体" w:cs="宋体"/>
                <w:color w:val="auto"/>
                <w:sz w:val="24"/>
              </w:rPr>
            </w:pPr>
            <w:r>
              <w:rPr>
                <w:rFonts w:hint="eastAsia" w:ascii="宋体" w:hAnsi="宋体" w:cs="宋体"/>
                <w:color w:val="auto"/>
                <w:sz w:val="24"/>
              </w:rPr>
              <w:t>报价范围及说明</w:t>
            </w:r>
          </w:p>
        </w:tc>
        <w:tc>
          <w:tcPr>
            <w:tcW w:w="6615" w:type="dxa"/>
            <w:vAlign w:val="center"/>
          </w:tcPr>
          <w:p>
            <w:pPr>
              <w:rPr>
                <w:rFonts w:ascii="宋体" w:hAnsi="宋体" w:cs="宋体"/>
                <w:color w:val="auto"/>
                <w:sz w:val="24"/>
              </w:rPr>
            </w:pPr>
            <w:r>
              <w:rPr>
                <w:rFonts w:hint="eastAsia" w:ascii="宋体" w:hAnsi="宋体" w:cs="宋体"/>
                <w:color w:val="auto"/>
                <w:sz w:val="24"/>
              </w:rPr>
              <w:t>报价包括本项目所招标的服务、保险、税费、验收等（采购项目技术规格、参数及要求）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pPr>
              <w:numPr>
                <w:ilvl w:val="0"/>
                <w:numId w:val="2"/>
              </w:numPr>
              <w:spacing w:before="156" w:beforeLines="50"/>
              <w:jc w:val="center"/>
              <w:rPr>
                <w:rFonts w:ascii="宋体" w:hAnsi="宋体" w:cs="宋体"/>
                <w:color w:val="auto"/>
                <w:sz w:val="24"/>
              </w:rPr>
            </w:pPr>
          </w:p>
        </w:tc>
        <w:tc>
          <w:tcPr>
            <w:tcW w:w="1995" w:type="dxa"/>
            <w:vAlign w:val="center"/>
          </w:tcPr>
          <w:p>
            <w:pPr>
              <w:spacing w:before="156" w:beforeLines="50"/>
              <w:jc w:val="center"/>
              <w:rPr>
                <w:rFonts w:ascii="宋体" w:hAnsi="宋体" w:cs="宋体"/>
                <w:color w:val="auto"/>
                <w:sz w:val="24"/>
              </w:rPr>
            </w:pPr>
            <w:r>
              <w:rPr>
                <w:rFonts w:hint="eastAsia" w:ascii="宋体" w:hAnsi="宋体" w:cs="宋体"/>
                <w:color w:val="auto"/>
                <w:sz w:val="24"/>
              </w:rPr>
              <w:t>响应文件有效期</w:t>
            </w:r>
          </w:p>
        </w:tc>
        <w:tc>
          <w:tcPr>
            <w:tcW w:w="6615" w:type="dxa"/>
            <w:vAlign w:val="center"/>
          </w:tcPr>
          <w:p>
            <w:pPr>
              <w:rPr>
                <w:rFonts w:ascii="宋体" w:hAnsi="宋体" w:cs="宋体"/>
                <w:color w:val="auto"/>
                <w:sz w:val="24"/>
              </w:rPr>
            </w:pPr>
            <w:r>
              <w:rPr>
                <w:rFonts w:hint="eastAsia" w:ascii="宋体" w:hAnsi="宋体" w:cs="宋体"/>
                <w:color w:val="auto"/>
                <w:sz w:val="24"/>
              </w:rPr>
              <w:t>响应文件递交截止期后60日内有效</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pPr>
              <w:numPr>
                <w:ilvl w:val="0"/>
                <w:numId w:val="2"/>
              </w:numPr>
              <w:spacing w:before="156" w:beforeLines="50"/>
              <w:jc w:val="center"/>
              <w:rPr>
                <w:rFonts w:ascii="宋体" w:hAnsi="宋体" w:cs="宋体"/>
                <w:color w:val="auto"/>
                <w:sz w:val="24"/>
              </w:rPr>
            </w:pPr>
          </w:p>
        </w:tc>
        <w:tc>
          <w:tcPr>
            <w:tcW w:w="1995" w:type="dxa"/>
            <w:vAlign w:val="center"/>
          </w:tcPr>
          <w:p>
            <w:pPr>
              <w:tabs>
                <w:tab w:val="left" w:pos="8640"/>
              </w:tabs>
              <w:spacing w:before="156" w:beforeLines="50"/>
              <w:ind w:left="-2" w:leftChars="-1"/>
              <w:jc w:val="center"/>
              <w:rPr>
                <w:rFonts w:ascii="宋体" w:hAnsi="宋体" w:cs="宋体"/>
                <w:color w:val="auto"/>
                <w:sz w:val="24"/>
              </w:rPr>
            </w:pPr>
            <w:r>
              <w:rPr>
                <w:rFonts w:hint="eastAsia" w:ascii="宋体" w:hAnsi="宋体" w:cs="宋体"/>
                <w:color w:val="auto"/>
                <w:sz w:val="24"/>
              </w:rPr>
              <w:t>响应文件的组成</w:t>
            </w:r>
          </w:p>
        </w:tc>
        <w:tc>
          <w:tcPr>
            <w:tcW w:w="6615" w:type="dxa"/>
            <w:vAlign w:val="center"/>
          </w:tcPr>
          <w:p>
            <w:pPr>
              <w:rPr>
                <w:rFonts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pPr>
              <w:numPr>
                <w:ilvl w:val="0"/>
                <w:numId w:val="2"/>
              </w:numPr>
              <w:spacing w:before="156" w:beforeLines="50"/>
              <w:jc w:val="center"/>
              <w:rPr>
                <w:rFonts w:ascii="宋体" w:hAnsi="宋体" w:cs="宋体"/>
                <w:color w:val="auto"/>
                <w:sz w:val="24"/>
              </w:rPr>
            </w:pPr>
          </w:p>
        </w:tc>
        <w:tc>
          <w:tcPr>
            <w:tcW w:w="1995" w:type="dxa"/>
            <w:vAlign w:val="center"/>
          </w:tcPr>
          <w:p>
            <w:pPr>
              <w:tabs>
                <w:tab w:val="left" w:pos="8640"/>
              </w:tabs>
              <w:spacing w:before="156" w:beforeLines="50"/>
              <w:ind w:left="-2" w:leftChars="-1"/>
              <w:jc w:val="center"/>
              <w:rPr>
                <w:rFonts w:ascii="宋体" w:hAnsi="宋体" w:cs="宋体"/>
                <w:color w:val="auto"/>
                <w:sz w:val="24"/>
              </w:rPr>
            </w:pPr>
            <w:r>
              <w:rPr>
                <w:rFonts w:hint="eastAsia" w:ascii="宋体" w:hAnsi="宋体" w:cs="宋体"/>
                <w:color w:val="auto"/>
                <w:sz w:val="24"/>
              </w:rPr>
              <w:t>响应文件封面要求</w:t>
            </w:r>
          </w:p>
        </w:tc>
        <w:tc>
          <w:tcPr>
            <w:tcW w:w="6615" w:type="dxa"/>
            <w:vAlign w:val="center"/>
          </w:tcPr>
          <w:p>
            <w:pPr>
              <w:tabs>
                <w:tab w:val="left" w:pos="8640"/>
              </w:tabs>
              <w:rPr>
                <w:rFonts w:ascii="宋体" w:hAnsi="宋体" w:cs="宋体"/>
                <w:color w:val="auto"/>
                <w:sz w:val="24"/>
              </w:rPr>
            </w:pPr>
            <w:r>
              <w:rPr>
                <w:rFonts w:hint="eastAsia" w:ascii="宋体" w:hAnsi="宋体" w:cs="宋体"/>
                <w:color w:val="auto"/>
                <w:sz w:val="24"/>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2"/>
              </w:numPr>
              <w:spacing w:before="156" w:beforeLines="50"/>
              <w:jc w:val="center"/>
              <w:rPr>
                <w:rFonts w:ascii="宋体" w:hAnsi="宋体" w:cs="宋体"/>
                <w:color w:val="auto"/>
                <w:sz w:val="24"/>
              </w:rPr>
            </w:pPr>
          </w:p>
        </w:tc>
        <w:tc>
          <w:tcPr>
            <w:tcW w:w="1995" w:type="dxa"/>
            <w:vAlign w:val="center"/>
          </w:tcPr>
          <w:p>
            <w:pPr>
              <w:spacing w:before="156" w:beforeLines="50"/>
              <w:jc w:val="center"/>
              <w:rPr>
                <w:rFonts w:ascii="宋体" w:hAnsi="宋体" w:cs="宋体"/>
                <w:color w:val="auto"/>
                <w:sz w:val="24"/>
              </w:rPr>
            </w:pPr>
            <w:r>
              <w:rPr>
                <w:rFonts w:hint="eastAsia" w:ascii="宋体" w:hAnsi="宋体" w:cs="宋体"/>
                <w:color w:val="auto"/>
                <w:sz w:val="24"/>
              </w:rPr>
              <w:t>响应文件份数要求</w:t>
            </w:r>
          </w:p>
        </w:tc>
        <w:tc>
          <w:tcPr>
            <w:tcW w:w="6615" w:type="dxa"/>
            <w:vAlign w:val="center"/>
          </w:tcPr>
          <w:p>
            <w:pPr>
              <w:tabs>
                <w:tab w:val="left" w:pos="8640"/>
              </w:tabs>
              <w:ind w:left="-2" w:leftChars="-1"/>
              <w:rPr>
                <w:rFonts w:ascii="宋体" w:hAnsi="宋体" w:cs="宋体"/>
                <w:color w:val="auto"/>
                <w:sz w:val="24"/>
              </w:rPr>
            </w:pPr>
            <w:r>
              <w:rPr>
                <w:rFonts w:hint="eastAsia" w:ascii="宋体" w:hAnsi="宋体" w:cs="宋体"/>
                <w:color w:val="auto"/>
                <w:sz w:val="24"/>
              </w:rPr>
              <w:t>加密的电子投标文件须在投标截止时间前成功上传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2"/>
              </w:numPr>
              <w:spacing w:before="156" w:beforeLines="50"/>
              <w:jc w:val="center"/>
              <w:rPr>
                <w:rFonts w:ascii="宋体" w:hAnsi="宋体" w:cs="宋体"/>
                <w:color w:val="auto"/>
                <w:sz w:val="24"/>
              </w:rPr>
            </w:pPr>
          </w:p>
        </w:tc>
        <w:tc>
          <w:tcPr>
            <w:tcW w:w="1995" w:type="dxa"/>
            <w:vAlign w:val="center"/>
          </w:tcPr>
          <w:p>
            <w:pPr>
              <w:spacing w:before="156" w:beforeLines="50"/>
              <w:jc w:val="center"/>
              <w:rPr>
                <w:rFonts w:ascii="宋体" w:hAnsi="宋体" w:cs="宋体"/>
                <w:color w:val="auto"/>
                <w:sz w:val="24"/>
              </w:rPr>
            </w:pPr>
            <w:r>
              <w:rPr>
                <w:rFonts w:hint="eastAsia" w:ascii="宋体" w:hAnsi="宋体" w:cs="宋体"/>
                <w:color w:val="auto"/>
                <w:sz w:val="24"/>
              </w:rPr>
              <w:t>响应文件装订和密封要求</w:t>
            </w:r>
          </w:p>
        </w:tc>
        <w:tc>
          <w:tcPr>
            <w:tcW w:w="6615" w:type="dxa"/>
            <w:vAlign w:val="center"/>
          </w:tcPr>
          <w:p>
            <w:pPr>
              <w:rPr>
                <w:rFonts w:ascii="宋体" w:hAnsi="宋体" w:cs="宋体"/>
                <w:color w:val="auto"/>
                <w:sz w:val="24"/>
              </w:rPr>
            </w:pPr>
            <w:r>
              <w:rPr>
                <w:rFonts w:hint="eastAsia" w:ascii="宋体" w:hAnsi="宋体" w:cs="宋体"/>
                <w:color w:val="auto"/>
                <w:sz w:val="24"/>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2"/>
              </w:numPr>
              <w:spacing w:before="156" w:beforeLines="50"/>
              <w:jc w:val="center"/>
              <w:rPr>
                <w:rFonts w:ascii="宋体" w:hAnsi="宋体" w:cs="宋体"/>
                <w:color w:val="auto"/>
                <w:sz w:val="24"/>
              </w:rPr>
            </w:pPr>
          </w:p>
        </w:tc>
        <w:tc>
          <w:tcPr>
            <w:tcW w:w="1995" w:type="dxa"/>
            <w:vAlign w:val="center"/>
          </w:tcPr>
          <w:p>
            <w:pPr>
              <w:spacing w:before="156" w:beforeLines="50"/>
              <w:jc w:val="center"/>
              <w:rPr>
                <w:rFonts w:ascii="宋体" w:hAnsi="宋体" w:cs="宋体"/>
                <w:color w:val="auto"/>
                <w:sz w:val="24"/>
              </w:rPr>
            </w:pPr>
            <w:r>
              <w:rPr>
                <w:rFonts w:hint="eastAsia" w:ascii="宋体" w:hAnsi="宋体" w:cs="宋体"/>
                <w:color w:val="auto"/>
                <w:sz w:val="24"/>
              </w:rPr>
              <w:t>竞争性磋商文件的澄清</w:t>
            </w:r>
          </w:p>
        </w:tc>
        <w:tc>
          <w:tcPr>
            <w:tcW w:w="6615" w:type="dxa"/>
            <w:vAlign w:val="center"/>
          </w:tcPr>
          <w:p>
            <w:pPr>
              <w:rPr>
                <w:rFonts w:ascii="宋体" w:hAnsi="宋体" w:cs="宋体"/>
                <w:color w:val="auto"/>
                <w:sz w:val="24"/>
              </w:rPr>
            </w:pPr>
            <w:r>
              <w:rPr>
                <w:rFonts w:hint="eastAsia" w:ascii="宋体" w:hAnsi="宋体" w:cs="宋体"/>
                <w:color w:val="auto"/>
                <w:sz w:val="24"/>
              </w:rPr>
              <w:t>对竞争性磋商文件进行的澄清，以网上公告的方式通知供应商。澄清或修改的内容可能影响响应文件编制的，采购人、采购代理机构应当在提交响应文件截止时间至少5日前。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numPr>
                <w:ilvl w:val="0"/>
                <w:numId w:val="2"/>
              </w:numPr>
              <w:spacing w:before="156" w:beforeLines="50"/>
              <w:jc w:val="center"/>
              <w:rPr>
                <w:rFonts w:ascii="宋体" w:hAnsi="宋体" w:cs="宋体"/>
                <w:color w:val="auto"/>
                <w:sz w:val="24"/>
              </w:rPr>
            </w:pPr>
          </w:p>
        </w:tc>
        <w:tc>
          <w:tcPr>
            <w:tcW w:w="1995" w:type="dxa"/>
            <w:vAlign w:val="center"/>
          </w:tcPr>
          <w:p>
            <w:pPr>
              <w:spacing w:before="156" w:beforeLines="50"/>
              <w:jc w:val="center"/>
              <w:rPr>
                <w:rFonts w:ascii="宋体" w:hAnsi="宋体" w:cs="宋体"/>
                <w:color w:val="auto"/>
                <w:sz w:val="24"/>
              </w:rPr>
            </w:pPr>
            <w:r>
              <w:rPr>
                <w:rFonts w:hint="eastAsia" w:ascii="宋体" w:hAnsi="宋体" w:cs="宋体"/>
                <w:color w:val="auto"/>
                <w:sz w:val="24"/>
              </w:rPr>
              <w:t>响应文件递交截止时间</w:t>
            </w:r>
          </w:p>
        </w:tc>
        <w:tc>
          <w:tcPr>
            <w:tcW w:w="6615" w:type="dxa"/>
            <w:vAlign w:val="center"/>
          </w:tcPr>
          <w:p>
            <w:pPr>
              <w:ind w:firstLine="240" w:firstLineChars="100"/>
              <w:rPr>
                <w:rFonts w:ascii="宋体" w:hAnsi="宋体" w:cs="宋体"/>
                <w:color w:val="auto"/>
                <w:sz w:val="24"/>
              </w:rPr>
            </w:pPr>
            <w:r>
              <w:rPr>
                <w:rFonts w:hint="eastAsia" w:ascii="宋体" w:hAnsi="宋体" w:cs="宋体"/>
                <w:color w:val="auto"/>
                <w:sz w:val="24"/>
              </w:rPr>
              <w:t xml:space="preserve">年   月   日上午   （见磋商公告） </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2"/>
              </w:numPr>
              <w:spacing w:before="156" w:beforeLines="50"/>
              <w:jc w:val="center"/>
              <w:rPr>
                <w:rFonts w:ascii="宋体" w:hAnsi="宋体" w:cs="宋体"/>
                <w:color w:val="auto"/>
                <w:sz w:val="24"/>
              </w:rPr>
            </w:pPr>
          </w:p>
        </w:tc>
        <w:tc>
          <w:tcPr>
            <w:tcW w:w="1995" w:type="dxa"/>
            <w:vAlign w:val="center"/>
          </w:tcPr>
          <w:p>
            <w:pPr>
              <w:spacing w:before="156" w:beforeLines="50"/>
              <w:jc w:val="center"/>
              <w:rPr>
                <w:rFonts w:ascii="宋体" w:hAnsi="宋体" w:cs="宋体"/>
                <w:color w:val="auto"/>
                <w:sz w:val="24"/>
              </w:rPr>
            </w:pPr>
            <w:r>
              <w:rPr>
                <w:rFonts w:hint="eastAsia" w:ascii="宋体" w:hAnsi="宋体" w:cs="宋体"/>
                <w:color w:val="auto"/>
                <w:sz w:val="24"/>
              </w:rPr>
              <w:t>响应文件递交地点</w:t>
            </w:r>
          </w:p>
        </w:tc>
        <w:tc>
          <w:tcPr>
            <w:tcW w:w="6615" w:type="dxa"/>
            <w:vAlign w:val="center"/>
          </w:tcPr>
          <w:p>
            <w:pPr>
              <w:rPr>
                <w:rFonts w:ascii="宋体" w:hAnsi="宋体"/>
                <w:color w:val="auto"/>
                <w:sz w:val="24"/>
              </w:rPr>
            </w:pPr>
            <w:r>
              <w:rPr>
                <w:rFonts w:hint="eastAsia" w:ascii="宋体" w:hAnsi="宋体"/>
                <w:color w:val="auto"/>
                <w:sz w:val="24"/>
              </w:rPr>
              <w:t>周口市公共资源交易中心网</w:t>
            </w:r>
          </w:p>
          <w:p>
            <w:pPr>
              <w:rPr>
                <w:rFonts w:ascii="宋体" w:hAnsi="宋体" w:cs="宋体" w:eastAsiaTheme="minorEastAsia"/>
                <w:color w:val="auto"/>
                <w:sz w:val="24"/>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p>
          <w:p>
            <w:pPr>
              <w:spacing w:line="560" w:lineRule="exact"/>
              <w:rPr>
                <w:rFonts w:ascii="宋体" w:hAnsi="宋体" w:cs="宋体"/>
                <w:color w:val="auto"/>
                <w:sz w:val="24"/>
              </w:rPr>
            </w:pPr>
            <w:r>
              <w:rPr>
                <w:rFonts w:hint="eastAsia" w:ascii="宋体" w:hAnsi="宋体" w:cs="宋体"/>
                <w:color w:val="auto"/>
                <w:sz w:val="24"/>
              </w:rPr>
              <w:t>（本项目实行网上远程开标无须到现场提交响应文件）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numPr>
                <w:ilvl w:val="0"/>
                <w:numId w:val="2"/>
              </w:numPr>
              <w:spacing w:before="156" w:beforeLines="50"/>
              <w:jc w:val="center"/>
              <w:rPr>
                <w:rFonts w:ascii="宋体" w:hAnsi="宋体" w:cs="宋体"/>
                <w:color w:val="auto"/>
                <w:sz w:val="24"/>
              </w:rPr>
            </w:pPr>
          </w:p>
        </w:tc>
        <w:tc>
          <w:tcPr>
            <w:tcW w:w="1995" w:type="dxa"/>
            <w:vAlign w:val="center"/>
          </w:tcPr>
          <w:p>
            <w:pPr>
              <w:spacing w:before="156" w:beforeLines="50"/>
              <w:jc w:val="center"/>
              <w:rPr>
                <w:rFonts w:ascii="宋体" w:hAnsi="宋体" w:cs="宋体"/>
                <w:color w:val="auto"/>
                <w:sz w:val="24"/>
              </w:rPr>
            </w:pPr>
            <w:r>
              <w:rPr>
                <w:rFonts w:hint="eastAsia" w:ascii="宋体" w:hAnsi="宋体" w:cs="宋体"/>
                <w:color w:val="auto"/>
                <w:sz w:val="24"/>
              </w:rPr>
              <w:t>磋商时间</w:t>
            </w:r>
          </w:p>
        </w:tc>
        <w:tc>
          <w:tcPr>
            <w:tcW w:w="6615" w:type="dxa"/>
            <w:vAlign w:val="center"/>
          </w:tcPr>
          <w:p>
            <w:pPr>
              <w:tabs>
                <w:tab w:val="left" w:pos="8640"/>
              </w:tabs>
              <w:ind w:left="-2" w:leftChars="-1" w:firstLine="240" w:firstLineChars="100"/>
              <w:rPr>
                <w:rFonts w:ascii="宋体" w:hAnsi="宋体" w:cs="宋体"/>
                <w:color w:val="auto"/>
                <w:sz w:val="24"/>
              </w:rPr>
            </w:pPr>
            <w:r>
              <w:rPr>
                <w:rFonts w:hint="eastAsia" w:ascii="宋体" w:hAnsi="宋体" w:cs="宋体"/>
                <w:color w:val="auto"/>
                <w:sz w:val="24"/>
              </w:rPr>
              <w:t>年   月  日上午    见磋商公告</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pPr>
              <w:numPr>
                <w:ilvl w:val="0"/>
                <w:numId w:val="2"/>
              </w:numPr>
              <w:spacing w:before="156" w:beforeLines="50"/>
              <w:jc w:val="center"/>
              <w:rPr>
                <w:rFonts w:ascii="宋体" w:hAnsi="宋体" w:cs="宋体"/>
                <w:color w:val="auto"/>
                <w:sz w:val="24"/>
              </w:rPr>
            </w:pPr>
          </w:p>
        </w:tc>
        <w:tc>
          <w:tcPr>
            <w:tcW w:w="1995" w:type="dxa"/>
            <w:vAlign w:val="center"/>
          </w:tcPr>
          <w:p>
            <w:pPr>
              <w:spacing w:before="156" w:beforeLines="50"/>
              <w:jc w:val="center"/>
              <w:rPr>
                <w:rFonts w:ascii="宋体" w:hAnsi="宋体" w:cs="宋体"/>
                <w:color w:val="auto"/>
                <w:sz w:val="24"/>
              </w:rPr>
            </w:pPr>
            <w:r>
              <w:rPr>
                <w:rFonts w:hint="eastAsia" w:ascii="宋体" w:hAnsi="宋体" w:cs="宋体"/>
                <w:color w:val="auto"/>
                <w:sz w:val="24"/>
              </w:rPr>
              <w:t>磋商程序和内容</w:t>
            </w:r>
          </w:p>
        </w:tc>
        <w:tc>
          <w:tcPr>
            <w:tcW w:w="6615" w:type="dxa"/>
            <w:vAlign w:val="center"/>
          </w:tcPr>
          <w:p>
            <w:pPr>
              <w:tabs>
                <w:tab w:val="left" w:pos="8640"/>
              </w:tabs>
              <w:rPr>
                <w:rFonts w:ascii="宋体" w:hAnsi="宋体" w:cs="宋体"/>
                <w:color w:val="auto"/>
                <w:sz w:val="24"/>
              </w:rPr>
            </w:pPr>
            <w:r>
              <w:rPr>
                <w:rFonts w:hint="eastAsia" w:ascii="宋体" w:hAnsi="宋体" w:cs="宋体"/>
                <w:color w:val="auto"/>
                <w:sz w:val="24"/>
              </w:rPr>
              <w:t>详见磋商文件第二章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numPr>
                <w:ilvl w:val="0"/>
                <w:numId w:val="2"/>
              </w:numPr>
              <w:spacing w:before="156" w:beforeLines="50"/>
              <w:jc w:val="center"/>
              <w:rPr>
                <w:rFonts w:ascii="宋体" w:hAnsi="宋体" w:cs="宋体"/>
                <w:color w:val="auto"/>
                <w:sz w:val="24"/>
              </w:rPr>
            </w:pPr>
          </w:p>
        </w:tc>
        <w:tc>
          <w:tcPr>
            <w:tcW w:w="1995" w:type="dxa"/>
            <w:vAlign w:val="center"/>
          </w:tcPr>
          <w:p>
            <w:pPr>
              <w:spacing w:before="156" w:beforeLines="50"/>
              <w:jc w:val="center"/>
              <w:rPr>
                <w:rFonts w:ascii="宋体" w:hAnsi="宋体" w:cs="宋体"/>
                <w:color w:val="auto"/>
                <w:sz w:val="24"/>
              </w:rPr>
            </w:pPr>
            <w:r>
              <w:rPr>
                <w:rFonts w:hint="eastAsia" w:ascii="宋体" w:hAnsi="宋体" w:cs="宋体"/>
                <w:color w:val="auto"/>
                <w:sz w:val="24"/>
              </w:rPr>
              <w:t>授予合同</w:t>
            </w:r>
          </w:p>
        </w:tc>
        <w:tc>
          <w:tcPr>
            <w:tcW w:w="6615" w:type="dxa"/>
            <w:vAlign w:val="center"/>
          </w:tcPr>
          <w:p>
            <w:pPr>
              <w:tabs>
                <w:tab w:val="left" w:pos="8640"/>
              </w:tabs>
              <w:jc w:val="left"/>
              <w:rPr>
                <w:rFonts w:ascii="宋体" w:hAnsi="宋体" w:cs="宋体"/>
                <w:color w:val="auto"/>
                <w:sz w:val="24"/>
              </w:rPr>
            </w:pPr>
            <w:r>
              <w:rPr>
                <w:rFonts w:hint="eastAsia" w:ascii="宋体" w:hAnsi="宋体" w:cs="宋体"/>
                <w:color w:val="auto"/>
                <w:sz w:val="24"/>
              </w:rPr>
              <w:t>采购人根据磋商小组的推荐意见，确定成交供应商。采购代理机构向成交供应商发出成交通知书。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numPr>
                <w:ilvl w:val="0"/>
                <w:numId w:val="2"/>
              </w:numPr>
              <w:spacing w:before="156" w:beforeLines="50"/>
              <w:jc w:val="center"/>
              <w:rPr>
                <w:rFonts w:ascii="宋体" w:hAnsi="宋体" w:cs="宋体"/>
                <w:color w:val="auto"/>
                <w:sz w:val="24"/>
              </w:rPr>
            </w:pPr>
          </w:p>
        </w:tc>
        <w:tc>
          <w:tcPr>
            <w:tcW w:w="1995" w:type="dxa"/>
            <w:vAlign w:val="center"/>
          </w:tcPr>
          <w:p>
            <w:pPr>
              <w:spacing w:before="156" w:beforeLines="50"/>
              <w:ind w:firstLine="14" w:firstLineChars="6"/>
              <w:jc w:val="center"/>
              <w:rPr>
                <w:rFonts w:ascii="宋体" w:hAnsi="宋体" w:cs="宋体"/>
                <w:color w:val="auto"/>
                <w:sz w:val="24"/>
              </w:rPr>
            </w:pPr>
            <w:r>
              <w:rPr>
                <w:rFonts w:hint="eastAsia" w:ascii="宋体" w:hAnsi="宋体" w:cs="宋体"/>
                <w:color w:val="auto"/>
                <w:sz w:val="24"/>
              </w:rPr>
              <w:t>签订合同</w:t>
            </w:r>
          </w:p>
        </w:tc>
        <w:tc>
          <w:tcPr>
            <w:tcW w:w="6615" w:type="dxa"/>
            <w:vAlign w:val="center"/>
          </w:tcPr>
          <w:p>
            <w:pPr>
              <w:tabs>
                <w:tab w:val="left" w:pos="8640"/>
              </w:tabs>
              <w:ind w:left="-2" w:leftChars="-1"/>
              <w:rPr>
                <w:rFonts w:ascii="宋体" w:hAnsi="宋体" w:cs="宋体"/>
                <w:color w:val="auto"/>
                <w:sz w:val="24"/>
              </w:rPr>
            </w:pPr>
            <w:r>
              <w:rPr>
                <w:rFonts w:hint="eastAsia" w:ascii="宋体" w:hAnsi="宋体" w:cs="宋体"/>
                <w:color w:val="auto"/>
                <w:sz w:val="24"/>
              </w:rPr>
              <w:t>1）接到成交通知书10天内，成交供应商应与采购人签订采购合同。</w:t>
            </w:r>
          </w:p>
          <w:p>
            <w:pPr>
              <w:tabs>
                <w:tab w:val="left" w:pos="8640"/>
              </w:tabs>
              <w:ind w:left="-2" w:leftChars="-1"/>
              <w:rPr>
                <w:rFonts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735" w:type="dxa"/>
            <w:vAlign w:val="center"/>
          </w:tcPr>
          <w:p>
            <w:pPr>
              <w:numPr>
                <w:ilvl w:val="0"/>
                <w:numId w:val="2"/>
              </w:numPr>
              <w:spacing w:before="156" w:beforeLines="50"/>
              <w:jc w:val="center"/>
              <w:rPr>
                <w:rFonts w:ascii="宋体" w:hAnsi="宋体" w:cs="宋体"/>
                <w:color w:val="auto"/>
                <w:sz w:val="24"/>
              </w:rPr>
            </w:pPr>
          </w:p>
        </w:tc>
        <w:tc>
          <w:tcPr>
            <w:tcW w:w="1995" w:type="dxa"/>
            <w:vAlign w:val="center"/>
          </w:tcPr>
          <w:p>
            <w:pPr>
              <w:spacing w:before="156" w:beforeLines="50"/>
              <w:ind w:firstLine="14" w:firstLineChars="6"/>
              <w:jc w:val="center"/>
              <w:rPr>
                <w:rFonts w:ascii="宋体" w:hAnsi="宋体" w:cs="宋体"/>
                <w:color w:val="auto"/>
                <w:sz w:val="24"/>
              </w:rPr>
            </w:pPr>
            <w:r>
              <w:rPr>
                <w:rFonts w:hint="eastAsia" w:ascii="宋体" w:hAnsi="宋体" w:cs="宋体"/>
                <w:color w:val="auto"/>
                <w:sz w:val="24"/>
              </w:rPr>
              <w:t>投标保证金</w:t>
            </w:r>
          </w:p>
        </w:tc>
        <w:tc>
          <w:tcPr>
            <w:tcW w:w="6615" w:type="dxa"/>
            <w:vAlign w:val="center"/>
          </w:tcPr>
          <w:p>
            <w:pPr>
              <w:rPr>
                <w:color w:val="auto"/>
              </w:rPr>
            </w:pPr>
            <w:r>
              <w:rPr>
                <w:rFonts w:hint="eastAsia" w:ascii="宋体" w:hAnsi="宋体" w:cs="宋体"/>
                <w:color w:val="auto"/>
                <w:sz w:val="24"/>
              </w:rPr>
              <w:t>不需要缴纳投标保证金（</w:t>
            </w:r>
            <w:r>
              <w:rPr>
                <w:rFonts w:hint="eastAsia"/>
                <w:color w:val="auto"/>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cs="宋体"/>
                <w:color w:val="auto"/>
                <w:sz w:val="24"/>
              </w:rPr>
              <w:t>）</w:t>
            </w:r>
            <w:r>
              <w:rPr>
                <w:rFonts w:hint="eastAsia"/>
                <w:color w:val="auto"/>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pPr>
              <w:numPr>
                <w:ilvl w:val="0"/>
                <w:numId w:val="2"/>
              </w:numPr>
              <w:spacing w:before="156" w:beforeLines="50"/>
              <w:jc w:val="center"/>
              <w:rPr>
                <w:rFonts w:ascii="宋体" w:hAnsi="宋体" w:cs="宋体"/>
                <w:color w:val="auto"/>
                <w:sz w:val="24"/>
              </w:rPr>
            </w:pPr>
          </w:p>
        </w:tc>
        <w:tc>
          <w:tcPr>
            <w:tcW w:w="1995" w:type="dxa"/>
            <w:vAlign w:val="center"/>
          </w:tcPr>
          <w:p>
            <w:pPr>
              <w:jc w:val="center"/>
              <w:rPr>
                <w:rFonts w:ascii="宋体" w:hAnsi="宋体" w:cs="宋体"/>
                <w:color w:val="auto"/>
                <w:sz w:val="24"/>
              </w:rPr>
            </w:pPr>
            <w:r>
              <w:rPr>
                <w:rFonts w:hint="eastAsia" w:ascii="宋体" w:hAnsi="宋体" w:cs="宋体"/>
                <w:color w:val="auto"/>
                <w:sz w:val="24"/>
              </w:rPr>
              <w:t>服务期限</w:t>
            </w:r>
          </w:p>
        </w:tc>
        <w:tc>
          <w:tcPr>
            <w:tcW w:w="6615" w:type="dxa"/>
            <w:vAlign w:val="center"/>
          </w:tcPr>
          <w:p>
            <w:pPr>
              <w:jc w:val="left"/>
              <w:rPr>
                <w:rFonts w:ascii="宋体" w:hAnsi="宋体" w:cs="宋体"/>
                <w:color w:val="auto"/>
                <w:sz w:val="24"/>
              </w:rPr>
            </w:pPr>
            <w:r>
              <w:rPr>
                <w:rFonts w:hint="eastAsia" w:ascii="宋体" w:hAnsi="宋体" w:cs="宋体"/>
                <w:color w:val="auto"/>
                <w:sz w:val="24"/>
              </w:rPr>
              <w:t>合同签订后</w:t>
            </w:r>
            <w:r>
              <w:rPr>
                <w:rFonts w:ascii="宋体" w:hAnsi="宋体" w:cs="宋体"/>
                <w:color w:val="auto"/>
                <w:sz w:val="24"/>
              </w:rPr>
              <w:t>1</w:t>
            </w:r>
            <w:r>
              <w:rPr>
                <w:rFonts w:hint="eastAsia" w:ascii="宋体" w:hAnsi="宋体" w:cs="宋体"/>
                <w:color w:val="auto"/>
                <w:sz w:val="24"/>
              </w:rPr>
              <w:t>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pPr>
              <w:numPr>
                <w:ilvl w:val="0"/>
                <w:numId w:val="2"/>
              </w:numPr>
              <w:spacing w:before="156" w:beforeLines="50"/>
              <w:jc w:val="center"/>
              <w:rPr>
                <w:rFonts w:ascii="宋体" w:hAnsi="宋体" w:cs="宋体"/>
                <w:color w:val="auto"/>
                <w:sz w:val="24"/>
              </w:rPr>
            </w:pPr>
          </w:p>
        </w:tc>
        <w:tc>
          <w:tcPr>
            <w:tcW w:w="1995" w:type="dxa"/>
            <w:vAlign w:val="center"/>
          </w:tcPr>
          <w:p>
            <w:pPr>
              <w:spacing w:before="156" w:beforeLines="50"/>
              <w:ind w:firstLine="14" w:firstLineChars="6"/>
              <w:jc w:val="center"/>
              <w:rPr>
                <w:rFonts w:ascii="宋体" w:hAnsi="宋体" w:cs="宋体"/>
                <w:color w:val="auto"/>
                <w:sz w:val="24"/>
              </w:rPr>
            </w:pPr>
            <w:r>
              <w:rPr>
                <w:rFonts w:hint="eastAsia" w:ascii="宋体" w:hAnsi="宋体" w:cs="宋体"/>
                <w:color w:val="auto"/>
                <w:sz w:val="24"/>
              </w:rPr>
              <w:t>付款方式（要求详细填写）</w:t>
            </w:r>
          </w:p>
        </w:tc>
        <w:tc>
          <w:tcPr>
            <w:tcW w:w="6615" w:type="dxa"/>
            <w:vAlign w:val="center"/>
          </w:tcPr>
          <w:p>
            <w:pPr>
              <w:tabs>
                <w:tab w:val="left" w:pos="8640"/>
              </w:tabs>
              <w:jc w:val="left"/>
              <w:rPr>
                <w:color w:val="auto"/>
              </w:rPr>
            </w:pPr>
            <w:r>
              <w:rPr>
                <w:rFonts w:hint="eastAsia" w:ascii="宋体" w:hAnsi="宋体" w:cs="宋体"/>
                <w:color w:val="auto"/>
                <w:sz w:val="24"/>
              </w:rPr>
              <w:t>详细付款方式：</w:t>
            </w:r>
            <w:r>
              <w:rPr>
                <w:rFonts w:hint="eastAsia" w:ascii="宋体" w:hAnsi="宋体"/>
                <w:color w:val="auto"/>
                <w:sz w:val="24"/>
              </w:rPr>
              <w:t>合同签订后</w:t>
            </w:r>
            <w:r>
              <w:rPr>
                <w:rFonts w:hint="eastAsia" w:ascii="宋体" w:hAnsi="宋体"/>
                <w:color w:val="auto"/>
                <w:sz w:val="24"/>
                <w:lang w:val="en-US" w:eastAsia="zh-CN"/>
              </w:rPr>
              <w:t>支付中标金额的40%，完成工作进度的一半支付中标金额的40%，工作全部完成并验收通过后支付中标金额的20%。</w:t>
            </w:r>
          </w:p>
          <w:p>
            <w:pPr>
              <w:ind w:firstLine="420" w:firstLineChars="200"/>
              <w:rPr>
                <w:color w:val="auto"/>
              </w:rPr>
            </w:pPr>
            <w:r>
              <w:rPr>
                <w:rFonts w:hint="eastAsia"/>
                <w:color w:val="auto"/>
              </w:rPr>
              <w:t>提醒：请采购人按照相关文件要求对本次采购活动填写</w:t>
            </w:r>
            <w:r>
              <w:rPr>
                <w:rFonts w:hint="eastAsia" w:ascii="宋体" w:hAnsi="宋体" w:cs="宋体"/>
                <w:color w:val="auto"/>
              </w:rPr>
              <w:t>详细</w:t>
            </w:r>
            <w:r>
              <w:rPr>
                <w:rFonts w:hint="eastAsia"/>
                <w:color w:val="auto"/>
              </w:rPr>
              <w:t>支付方式。</w:t>
            </w:r>
          </w:p>
          <w:p>
            <w:pPr>
              <w:ind w:firstLine="420" w:firstLineChars="200"/>
              <w:rPr>
                <w:color w:val="auto"/>
              </w:rPr>
            </w:pPr>
            <w:r>
              <w:rPr>
                <w:color w:val="auto"/>
              </w:rPr>
              <w:t>(本次政府采购活动鼓励采购人在政府采购合同中约定预付款，原则上预付款比例不低于合同金额的</w:t>
            </w:r>
            <w:r>
              <w:rPr>
                <w:rFonts w:hint="eastAsia"/>
                <w:color w:val="auto"/>
              </w:rPr>
              <w:t>40</w:t>
            </w:r>
            <w:r>
              <w:rPr>
                <w:color w:val="auto"/>
              </w:rPr>
              <w:t>%，对于中小企业的预付款比例不低于合同金额的60%。采购人可根据项目特点、供应商信用情况等，要求供应商应提供预付款保函或其他非现金担保。政府采购项目预付款应在合同备案通过、具备约定支付条件后3个工作日内完成支付。政府采购工程以及与工程建设有关的货物、服务，采用招标方式采购的，预付款从其有关规定执行。</w:t>
            </w:r>
          </w:p>
          <w:p>
            <w:pPr>
              <w:ind w:firstLine="420" w:firstLineChars="200"/>
              <w:rPr>
                <w:color w:val="auto"/>
              </w:rPr>
            </w:pPr>
            <w:r>
              <w:rPr>
                <w:rFonts w:hint="eastAsia"/>
                <w:color w:val="auto"/>
              </w:rPr>
              <w:t>对于未实行预付款的政府采购项目鼓励采购人在合同中明确首付款支付比例。原则上首付款支付比例不低于合同金额的</w:t>
            </w:r>
            <w:r>
              <w:rPr>
                <w:color w:val="auto"/>
              </w:rPr>
              <w:t>50%;对于中小企业的首付款支付比例不低于合同金额的70%。政府采购工程以及与工程建设有关的货物、服务，采用招标方式采购的，首付款从其有关规定执行)。</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pPr>
              <w:numPr>
                <w:ilvl w:val="0"/>
                <w:numId w:val="2"/>
              </w:numPr>
              <w:spacing w:before="156" w:beforeLines="50"/>
              <w:jc w:val="center"/>
              <w:rPr>
                <w:rFonts w:ascii="宋体" w:hAnsi="宋体" w:cs="宋体"/>
                <w:color w:val="auto"/>
                <w:sz w:val="24"/>
              </w:rPr>
            </w:pPr>
          </w:p>
        </w:tc>
        <w:tc>
          <w:tcPr>
            <w:tcW w:w="1995" w:type="dxa"/>
            <w:vAlign w:val="center"/>
          </w:tcPr>
          <w:p>
            <w:pPr>
              <w:spacing w:before="156" w:beforeLines="50"/>
              <w:ind w:firstLine="14" w:firstLineChars="6"/>
              <w:jc w:val="center"/>
              <w:rPr>
                <w:rFonts w:ascii="宋体" w:hAnsi="宋体" w:cs="宋体"/>
                <w:color w:val="auto"/>
                <w:sz w:val="24"/>
              </w:rPr>
            </w:pPr>
            <w:r>
              <w:rPr>
                <w:rFonts w:hint="eastAsia" w:ascii="宋体" w:hAnsi="宋体" w:cs="宋体"/>
                <w:color w:val="auto"/>
                <w:sz w:val="24"/>
              </w:rPr>
              <w:t>勘察现场</w:t>
            </w:r>
          </w:p>
        </w:tc>
        <w:tc>
          <w:tcPr>
            <w:tcW w:w="6615" w:type="dxa"/>
            <w:vAlign w:val="center"/>
          </w:tcPr>
          <w:p>
            <w:pPr>
              <w:tabs>
                <w:tab w:val="left" w:pos="8640"/>
              </w:tabs>
              <w:jc w:val="left"/>
              <w:rPr>
                <w:rFonts w:ascii="宋体" w:hAnsi="宋体" w:cs="宋体"/>
                <w:color w:val="auto"/>
                <w:sz w:val="24"/>
              </w:rPr>
            </w:pPr>
            <w:r>
              <w:rPr>
                <w:rFonts w:hint="eastAsia" w:ascii="宋体" w:hAnsi="宋体" w:cs="宋体"/>
                <w:color w:val="auto"/>
                <w:sz w:val="24"/>
              </w:rPr>
              <w:t>供应商根据需要自行与采购人联系勘察现场，</w:t>
            </w:r>
          </w:p>
          <w:p>
            <w:pPr>
              <w:tabs>
                <w:tab w:val="left" w:pos="8640"/>
              </w:tabs>
              <w:jc w:val="left"/>
              <w:rPr>
                <w:rFonts w:ascii="宋体" w:hAnsi="宋体" w:cs="宋体"/>
                <w:color w:val="auto"/>
                <w:sz w:val="24"/>
              </w:rPr>
            </w:pPr>
            <w:r>
              <w:rPr>
                <w:rFonts w:hint="eastAsia" w:ascii="宋体" w:hAnsi="宋体" w:cs="宋体"/>
                <w:color w:val="auto"/>
                <w:sz w:val="24"/>
              </w:rPr>
              <w:t xml:space="preserve">联系人：王东亚 </w:t>
            </w:r>
            <w:r>
              <w:rPr>
                <w:rFonts w:ascii="宋体" w:hAnsi="宋体" w:cs="宋体"/>
                <w:color w:val="auto"/>
                <w:sz w:val="24"/>
              </w:rPr>
              <w:t xml:space="preserve"> </w:t>
            </w:r>
            <w:r>
              <w:rPr>
                <w:rFonts w:hint="eastAsia" w:ascii="宋体" w:hAnsi="宋体" w:cs="宋体"/>
                <w:color w:val="auto"/>
                <w:sz w:val="24"/>
              </w:rPr>
              <w:t>电话：1</w:t>
            </w:r>
            <w:r>
              <w:rPr>
                <w:rFonts w:ascii="宋体" w:hAnsi="宋体" w:cs="宋体"/>
                <w:color w:val="auto"/>
                <w:sz w:val="24"/>
              </w:rPr>
              <w:t>3939461660</w:t>
            </w:r>
          </w:p>
          <w:p>
            <w:pPr>
              <w:pStyle w:val="2"/>
              <w:ind w:firstLine="0" w:firstLineChars="0"/>
              <w:rPr>
                <w:color w:val="auto"/>
              </w:rPr>
            </w:pPr>
            <w:r>
              <w:rPr>
                <w:rFonts w:hint="eastAsia"/>
                <w:color w:val="auto"/>
              </w:rPr>
              <w:t>注：现场勘察证明获取时间为竞争性磋商文件报名截止后第一个工作日。需提供现场勘察证明材料。</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pPr>
              <w:numPr>
                <w:ilvl w:val="0"/>
                <w:numId w:val="2"/>
              </w:numPr>
              <w:spacing w:before="156" w:beforeLines="50"/>
              <w:jc w:val="center"/>
              <w:rPr>
                <w:rFonts w:ascii="宋体" w:hAnsi="宋体" w:cs="宋体"/>
                <w:color w:val="auto"/>
                <w:sz w:val="24"/>
              </w:rPr>
            </w:pPr>
          </w:p>
        </w:tc>
        <w:tc>
          <w:tcPr>
            <w:tcW w:w="1995" w:type="dxa"/>
            <w:vAlign w:val="center"/>
          </w:tcPr>
          <w:p>
            <w:pPr>
              <w:spacing w:before="156" w:beforeLines="50"/>
              <w:ind w:firstLine="14" w:firstLineChars="6"/>
              <w:jc w:val="center"/>
              <w:rPr>
                <w:rFonts w:ascii="宋体" w:hAnsi="宋体" w:cs="宋体"/>
                <w:b/>
                <w:bCs/>
                <w:color w:val="auto"/>
                <w:sz w:val="24"/>
              </w:rPr>
            </w:pPr>
            <w:r>
              <w:rPr>
                <w:rFonts w:hint="eastAsia" w:ascii="宋体" w:hAnsi="宋体" w:cs="宋体"/>
                <w:b/>
                <w:bCs/>
                <w:color w:val="auto"/>
                <w:sz w:val="24"/>
              </w:rPr>
              <w:t>报价</w:t>
            </w:r>
          </w:p>
        </w:tc>
        <w:tc>
          <w:tcPr>
            <w:tcW w:w="6615" w:type="dxa"/>
            <w:vAlign w:val="center"/>
          </w:tcPr>
          <w:p>
            <w:pPr>
              <w:tabs>
                <w:tab w:val="left" w:pos="8640"/>
              </w:tabs>
              <w:jc w:val="left"/>
              <w:rPr>
                <w:rFonts w:ascii="宋体" w:hAnsi="宋体" w:cs="宋体"/>
                <w:b/>
                <w:bCs/>
                <w:color w:val="auto"/>
                <w:sz w:val="24"/>
                <w:u w:val="single"/>
              </w:rPr>
            </w:pPr>
            <w:r>
              <w:rPr>
                <w:rFonts w:hint="eastAsia" w:ascii="宋体" w:hAnsi="宋体" w:cs="宋体"/>
                <w:b/>
                <w:bCs/>
                <w:color w:val="auto"/>
                <w:sz w:val="24"/>
              </w:rPr>
              <w:t>一次性报价</w:t>
            </w:r>
          </w:p>
        </w:tc>
      </w:tr>
    </w:tbl>
    <w:p>
      <w:pPr>
        <w:pStyle w:val="6"/>
        <w:ind w:firstLine="0" w:firstLineChars="0"/>
        <w:rPr>
          <w:rFonts w:ascii="宋体" w:hAnsi="宋体" w:cs="宋体"/>
          <w:b/>
          <w:color w:val="auto"/>
          <w:sz w:val="30"/>
          <w:szCs w:val="30"/>
        </w:rPr>
      </w:pPr>
    </w:p>
    <w:p>
      <w:pPr>
        <w:spacing w:line="720" w:lineRule="auto"/>
        <w:jc w:val="center"/>
        <w:outlineLvl w:val="1"/>
        <w:rPr>
          <w:rFonts w:ascii="宋体" w:hAnsi="宋体" w:cs="宋体"/>
          <w:b/>
          <w:color w:val="auto"/>
          <w:sz w:val="30"/>
          <w:szCs w:val="30"/>
        </w:rPr>
      </w:pPr>
      <w:r>
        <w:rPr>
          <w:rFonts w:hint="eastAsia" w:ascii="宋体" w:hAnsi="宋体" w:cs="宋体"/>
          <w:b/>
          <w:color w:val="auto"/>
          <w:sz w:val="30"/>
          <w:szCs w:val="30"/>
        </w:rPr>
        <w:t>一、总则</w:t>
      </w:r>
    </w:p>
    <w:p>
      <w:pPr>
        <w:spacing w:line="560" w:lineRule="exact"/>
        <w:ind w:firstLine="482" w:firstLineChars="200"/>
        <w:outlineLvl w:val="2"/>
        <w:rPr>
          <w:rFonts w:ascii="宋体" w:hAnsi="宋体" w:cs="宋体"/>
          <w:color w:val="auto"/>
          <w:sz w:val="24"/>
        </w:rPr>
      </w:pPr>
      <w:r>
        <w:rPr>
          <w:rFonts w:hint="eastAsia" w:ascii="宋体" w:hAnsi="宋体" w:cs="宋体"/>
          <w:b/>
          <w:color w:val="auto"/>
          <w:sz w:val="24"/>
        </w:rPr>
        <w:t>1．适用范围</w:t>
      </w:r>
    </w:p>
    <w:p>
      <w:pPr>
        <w:spacing w:line="560" w:lineRule="exact"/>
        <w:ind w:firstLine="480" w:firstLineChars="200"/>
        <w:rPr>
          <w:rFonts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pPr>
        <w:spacing w:line="560" w:lineRule="exact"/>
        <w:ind w:firstLine="482" w:firstLineChars="200"/>
        <w:outlineLvl w:val="2"/>
        <w:rPr>
          <w:rFonts w:ascii="宋体" w:hAnsi="宋体" w:cs="宋体"/>
          <w:b/>
          <w:color w:val="auto"/>
          <w:sz w:val="24"/>
        </w:rPr>
      </w:pPr>
      <w:r>
        <w:rPr>
          <w:rFonts w:hint="eastAsia" w:ascii="宋体" w:hAnsi="宋体" w:cs="宋体"/>
          <w:b/>
          <w:color w:val="auto"/>
          <w:sz w:val="24"/>
        </w:rPr>
        <w:t>2．定义</w:t>
      </w:r>
    </w:p>
    <w:p>
      <w:pPr>
        <w:spacing w:line="560" w:lineRule="exact"/>
        <w:ind w:firstLine="480" w:firstLineChars="200"/>
        <w:rPr>
          <w:rFonts w:ascii="宋体" w:hAnsi="宋体" w:cs="宋体"/>
          <w:color w:val="auto"/>
          <w:sz w:val="24"/>
        </w:rPr>
      </w:pPr>
      <w:r>
        <w:rPr>
          <w:rFonts w:hint="eastAsia" w:ascii="宋体" w:hAnsi="宋体" w:cs="宋体"/>
          <w:color w:val="auto"/>
          <w:sz w:val="24"/>
        </w:rPr>
        <w:t>2.1“采购代理机构”：周口市公共资源交易中心政府采购中心。</w:t>
      </w:r>
    </w:p>
    <w:p>
      <w:pPr>
        <w:tabs>
          <w:tab w:val="left" w:pos="0"/>
        </w:tabs>
        <w:spacing w:line="560" w:lineRule="exact"/>
        <w:ind w:firstLine="480" w:firstLineChars="200"/>
        <w:rPr>
          <w:rFonts w:ascii="宋体" w:hAnsi="宋体" w:cs="宋体"/>
          <w:color w:val="auto"/>
          <w:sz w:val="24"/>
        </w:rPr>
      </w:pPr>
      <w:r>
        <w:rPr>
          <w:rFonts w:hint="eastAsia" w:ascii="宋体" w:hAnsi="宋体" w:cs="宋体"/>
          <w:color w:val="auto"/>
          <w:sz w:val="24"/>
        </w:rPr>
        <w:t>2.2“采购人”：周口市生态环境局</w:t>
      </w:r>
    </w:p>
    <w:p>
      <w:pPr>
        <w:spacing w:line="560" w:lineRule="exact"/>
        <w:ind w:firstLine="480" w:firstLineChars="200"/>
        <w:rPr>
          <w:rFonts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pPr>
        <w:spacing w:line="560" w:lineRule="exact"/>
        <w:ind w:firstLine="480" w:firstLineChars="200"/>
        <w:rPr>
          <w:rFonts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pPr>
        <w:spacing w:line="560" w:lineRule="exact"/>
        <w:ind w:firstLine="480" w:firstLineChars="200"/>
        <w:rPr>
          <w:rFonts w:ascii="宋体" w:hAnsi="宋体" w:cs="宋体"/>
          <w:color w:val="auto"/>
          <w:sz w:val="24"/>
        </w:rPr>
      </w:pPr>
      <w:r>
        <w:rPr>
          <w:rFonts w:hint="eastAsia" w:ascii="宋体" w:hAnsi="宋体" w:cs="宋体"/>
          <w:color w:val="auto"/>
          <w:sz w:val="24"/>
        </w:rPr>
        <w:t>2.5“服务”：系指本项目所采购的服务及其他要求等。</w:t>
      </w:r>
    </w:p>
    <w:p>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pPr>
        <w:spacing w:line="560" w:lineRule="exact"/>
        <w:ind w:firstLine="480" w:firstLineChars="200"/>
        <w:rPr>
          <w:rFonts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pPr>
        <w:spacing w:line="560" w:lineRule="exact"/>
        <w:ind w:firstLine="480" w:firstLineChars="200"/>
        <w:rPr>
          <w:rFonts w:ascii="宋体" w:hAnsi="宋体" w:cs="宋体"/>
          <w:color w:val="auto"/>
          <w:sz w:val="24"/>
        </w:rPr>
      </w:pPr>
      <w:r>
        <w:rPr>
          <w:rFonts w:hint="eastAsia" w:ascii="宋体" w:hAnsi="宋体" w:cs="宋体"/>
          <w:color w:val="auto"/>
          <w:sz w:val="24"/>
        </w:rPr>
        <w:t>2.8“不具备良好的商业信誉”是指：</w:t>
      </w:r>
    </w:p>
    <w:p>
      <w:pPr>
        <w:spacing w:line="560" w:lineRule="exact"/>
        <w:ind w:firstLine="480" w:firstLineChars="200"/>
        <w:rPr>
          <w:rFonts w:ascii="宋体" w:hAnsi="宋体" w:cs="宋体"/>
          <w:color w:val="auto"/>
          <w:sz w:val="24"/>
        </w:rPr>
      </w:pPr>
      <w:r>
        <w:rPr>
          <w:rFonts w:hint="eastAsia" w:ascii="宋体" w:hAnsi="宋体" w:cs="宋体"/>
          <w:color w:val="auto"/>
          <w:sz w:val="24"/>
        </w:rPr>
        <w:t>（1）有重大违法记录的（满三年的除外）；</w:t>
      </w:r>
    </w:p>
    <w:p>
      <w:pPr>
        <w:spacing w:line="560" w:lineRule="exact"/>
        <w:ind w:firstLine="480" w:firstLineChars="200"/>
        <w:rPr>
          <w:rFonts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pPr>
        <w:spacing w:line="560" w:lineRule="exact"/>
        <w:ind w:firstLine="480" w:firstLineChars="200"/>
        <w:rPr>
          <w:rFonts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pPr>
        <w:spacing w:line="560" w:lineRule="exact"/>
        <w:ind w:firstLine="480" w:firstLineChars="200"/>
        <w:rPr>
          <w:rFonts w:ascii="宋体" w:hAnsi="宋体" w:cs="宋体"/>
          <w:color w:val="auto"/>
          <w:sz w:val="24"/>
        </w:rPr>
      </w:pPr>
      <w:r>
        <w:rPr>
          <w:rFonts w:hint="eastAsia" w:ascii="宋体" w:hAnsi="宋体" w:cs="宋体"/>
          <w:color w:val="auto"/>
          <w:sz w:val="24"/>
        </w:rPr>
        <w:t>（4）被各级法院列入失信名单的（已依法解除的除外）；</w:t>
      </w:r>
    </w:p>
    <w:p>
      <w:pPr>
        <w:spacing w:line="560" w:lineRule="exact"/>
        <w:ind w:firstLine="480" w:firstLineChars="200"/>
        <w:rPr>
          <w:rFonts w:ascii="宋体" w:hAnsi="宋体" w:cs="宋体"/>
          <w:color w:val="auto"/>
          <w:sz w:val="24"/>
        </w:rPr>
      </w:pPr>
      <w:r>
        <w:rPr>
          <w:rFonts w:hint="eastAsia" w:ascii="宋体" w:hAnsi="宋体" w:cs="宋体"/>
          <w:color w:val="auto"/>
          <w:sz w:val="24"/>
        </w:rPr>
        <w:t>（5）法律法规规定的其他情形。</w:t>
      </w:r>
    </w:p>
    <w:p>
      <w:pPr>
        <w:spacing w:line="560" w:lineRule="exact"/>
        <w:ind w:firstLine="482" w:firstLineChars="200"/>
        <w:outlineLvl w:val="2"/>
        <w:rPr>
          <w:rFonts w:ascii="宋体" w:hAnsi="宋体" w:cs="宋体"/>
          <w:b/>
          <w:color w:val="auto"/>
          <w:sz w:val="24"/>
        </w:rPr>
      </w:pPr>
      <w:r>
        <w:rPr>
          <w:rFonts w:hint="eastAsia" w:ascii="宋体" w:hAnsi="宋体" w:cs="宋体"/>
          <w:b/>
          <w:color w:val="auto"/>
          <w:sz w:val="24"/>
        </w:rPr>
        <w:t>3.采购预算</w:t>
      </w:r>
    </w:p>
    <w:p>
      <w:pPr>
        <w:spacing w:line="560" w:lineRule="exact"/>
        <w:ind w:firstLine="480" w:firstLineChars="200"/>
        <w:rPr>
          <w:rFonts w:ascii="宋体" w:hAnsi="宋体" w:cs="宋体"/>
          <w:color w:val="auto"/>
          <w:sz w:val="24"/>
        </w:rPr>
      </w:pPr>
      <w:r>
        <w:rPr>
          <w:rFonts w:hint="eastAsia" w:ascii="宋体" w:hAnsi="宋体" w:cs="宋体"/>
          <w:color w:val="auto"/>
          <w:sz w:val="24"/>
        </w:rPr>
        <w:t>3.1本次采购预算：见公告。</w:t>
      </w:r>
    </w:p>
    <w:p>
      <w:pPr>
        <w:spacing w:line="560" w:lineRule="exact"/>
        <w:ind w:firstLine="482" w:firstLineChars="200"/>
        <w:outlineLvl w:val="2"/>
        <w:rPr>
          <w:rFonts w:ascii="宋体" w:hAnsi="宋体" w:cs="宋体"/>
          <w:b/>
          <w:color w:val="auto"/>
          <w:sz w:val="24"/>
        </w:rPr>
      </w:pPr>
      <w:r>
        <w:rPr>
          <w:rFonts w:hint="eastAsia" w:ascii="宋体" w:hAnsi="宋体" w:cs="宋体"/>
          <w:b/>
          <w:color w:val="auto"/>
          <w:sz w:val="24"/>
        </w:rPr>
        <w:t>4.合格的供应商</w:t>
      </w:r>
    </w:p>
    <w:p>
      <w:pPr>
        <w:spacing w:line="560" w:lineRule="exact"/>
        <w:ind w:firstLine="480" w:firstLineChars="200"/>
        <w:rPr>
          <w:rFonts w:ascii="宋体" w:hAnsi="宋体" w:cs="宋体"/>
          <w:color w:val="auto"/>
          <w:sz w:val="24"/>
        </w:rPr>
      </w:pPr>
      <w:r>
        <w:rPr>
          <w:rFonts w:hint="eastAsia" w:ascii="宋体" w:hAnsi="宋体" w:cs="宋体"/>
          <w:color w:val="auto"/>
          <w:sz w:val="24"/>
        </w:rPr>
        <w:t>4.1.1符合供应商资格条件（详见第一部分供应商资格条件）</w:t>
      </w:r>
    </w:p>
    <w:p>
      <w:pPr>
        <w:widowControl/>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4.1.2参加政府采购活动前三年内，在经营活动中没有重大违法记录的声明函；</w:t>
      </w:r>
    </w:p>
    <w:p>
      <w:pPr>
        <w:widowControl/>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4.1.3 政府采购供应商诚信承诺书；</w:t>
      </w:r>
    </w:p>
    <w:p>
      <w:pPr>
        <w:pStyle w:val="76"/>
        <w:spacing w:line="360" w:lineRule="auto"/>
        <w:ind w:firstLine="480" w:firstLineChars="200"/>
        <w:rPr>
          <w:rFonts w:hAnsi="宋体" w:eastAsia="宋体"/>
          <w:color w:val="auto"/>
          <w:sz w:val="24"/>
        </w:rPr>
      </w:pPr>
      <w:r>
        <w:rPr>
          <w:rFonts w:hint="eastAsia" w:hAnsi="宋体" w:eastAsia="宋体"/>
          <w:color w:val="auto"/>
          <w:sz w:val="24"/>
        </w:rPr>
        <w:t>4.</w:t>
      </w:r>
      <w:r>
        <w:rPr>
          <w:rFonts w:hint="eastAsia" w:hAnsi="宋体" w:eastAsia="宋体"/>
          <w:color w:val="auto"/>
          <w:sz w:val="24"/>
          <w:lang w:val="en-US"/>
        </w:rPr>
        <w:t>1.4 供应商</w:t>
      </w:r>
      <w:r>
        <w:rPr>
          <w:rFonts w:hint="eastAsia" w:hAnsi="宋体" w:eastAsia="宋体"/>
          <w:color w:val="auto"/>
          <w:sz w:val="24"/>
        </w:rPr>
        <w:t>自觉抵制政府采购领域商业贿赂行为承诺书；</w:t>
      </w:r>
    </w:p>
    <w:p>
      <w:pPr>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 xml:space="preserve">4.2 </w:t>
      </w:r>
      <w:r>
        <w:rPr>
          <w:rFonts w:hint="eastAsia" w:ascii="宋体" w:hAnsi="宋体" w:cs="宋体"/>
          <w:color w:val="auto"/>
          <w:kern w:val="0"/>
          <w:sz w:val="24"/>
        </w:rPr>
        <w:t>供应商需提供售后服务体系与承诺</w:t>
      </w:r>
      <w:r>
        <w:rPr>
          <w:rFonts w:hint="eastAsia" w:ascii="宋体" w:hAnsi="宋体" w:cs="宋体"/>
          <w:color w:val="auto"/>
          <w:kern w:val="0"/>
          <w:sz w:val="24"/>
          <w:lang w:val="zh-CN"/>
        </w:rPr>
        <w:t>。</w:t>
      </w:r>
    </w:p>
    <w:p>
      <w:pPr>
        <w:pStyle w:val="76"/>
        <w:spacing w:line="360" w:lineRule="auto"/>
        <w:ind w:firstLine="480" w:firstLineChars="200"/>
        <w:rPr>
          <w:rFonts w:hAnsi="宋体" w:eastAsia="宋体"/>
          <w:color w:val="auto"/>
          <w:sz w:val="24"/>
        </w:rPr>
      </w:pPr>
      <w:r>
        <w:rPr>
          <w:rFonts w:hint="eastAsia" w:hAnsi="宋体" w:eastAsia="宋体"/>
          <w:color w:val="auto"/>
          <w:sz w:val="24"/>
        </w:rPr>
        <w:t>4.</w:t>
      </w:r>
      <w:r>
        <w:rPr>
          <w:rFonts w:hint="eastAsia" w:hAnsi="宋体" w:eastAsia="宋体"/>
          <w:color w:val="auto"/>
          <w:sz w:val="24"/>
          <w:lang w:val="en-US"/>
        </w:rPr>
        <w:t>3</w:t>
      </w:r>
      <w:r>
        <w:rPr>
          <w:rFonts w:hint="eastAsia" w:hAnsi="宋体" w:eastAsia="宋体"/>
          <w:color w:val="auto"/>
          <w:sz w:val="24"/>
        </w:rPr>
        <w:t>符合本竞争性磋商文件规定的供应商资格要求及项目要求的其它条件，并按照要求提供相关证明材料。</w:t>
      </w:r>
    </w:p>
    <w:p>
      <w:pPr>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4.4供应商应遵守国家法律、法规有关竞争性磋商的规定。</w:t>
      </w:r>
    </w:p>
    <w:p>
      <w:pPr>
        <w:autoSpaceDE w:val="0"/>
        <w:autoSpaceDN w:val="0"/>
        <w:adjustRightInd w:val="0"/>
        <w:snapToGrid w:val="0"/>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4.5 凡通过磋商小组符合性审查的供应商均为合格供应商。未通过符合性审查的供</w:t>
      </w:r>
      <w:r>
        <w:rPr>
          <w:rFonts w:ascii="宋体" w:hAnsi="宋体" w:cs="宋体"/>
          <w:color w:val="auto"/>
          <w:sz w:val="24"/>
        </w:rPr>
        <w:t>应商将视为不响应本项目的竞争性磋商文件被否决</w:t>
      </w:r>
      <w:r>
        <w:rPr>
          <w:rFonts w:hint="eastAsia" w:ascii="宋体" w:hAnsi="宋体" w:cs="宋体"/>
          <w:color w:val="auto"/>
          <w:sz w:val="24"/>
        </w:rPr>
        <w:t>。</w:t>
      </w:r>
    </w:p>
    <w:p>
      <w:pPr>
        <w:spacing w:line="560" w:lineRule="exact"/>
        <w:ind w:firstLine="480" w:firstLineChars="200"/>
        <w:rPr>
          <w:rFonts w:ascii="宋体" w:hAnsi="宋体" w:cs="宋体"/>
          <w:color w:val="auto"/>
          <w:sz w:val="24"/>
        </w:rPr>
      </w:pPr>
      <w:r>
        <w:rPr>
          <w:rFonts w:hint="eastAsia" w:ascii="宋体" w:hAnsi="宋体" w:cs="宋体"/>
          <w:color w:val="auto"/>
          <w:kern w:val="0"/>
          <w:sz w:val="24"/>
          <w:lang w:val="zh-CN"/>
        </w:rPr>
        <w:t>注：</w:t>
      </w:r>
      <w:r>
        <w:rPr>
          <w:rFonts w:hint="eastAsia" w:ascii="宋体" w:hAnsi="宋体" w:cs="宋体"/>
          <w:color w:val="auto"/>
          <w:sz w:val="24"/>
        </w:rPr>
        <w:t>单位负责人为同一人或者存在直接控股、管理关系的不同供应商，不得参加同一合同项下的政府采购活动。</w:t>
      </w:r>
    </w:p>
    <w:p>
      <w:pPr>
        <w:spacing w:line="560" w:lineRule="exact"/>
        <w:ind w:firstLine="482" w:firstLineChars="200"/>
        <w:outlineLvl w:val="2"/>
        <w:rPr>
          <w:rFonts w:ascii="宋体" w:hAnsi="宋体" w:cs="宋体"/>
          <w:b/>
          <w:color w:val="auto"/>
          <w:sz w:val="24"/>
        </w:rPr>
      </w:pPr>
      <w:r>
        <w:rPr>
          <w:rFonts w:hint="eastAsia" w:ascii="宋体" w:hAnsi="宋体" w:cs="宋体"/>
          <w:b/>
          <w:color w:val="auto"/>
          <w:sz w:val="24"/>
        </w:rPr>
        <w:t xml:space="preserve">5.竞争性磋商文件的约束力 </w:t>
      </w:r>
    </w:p>
    <w:p>
      <w:pPr>
        <w:spacing w:line="560" w:lineRule="exact"/>
        <w:ind w:firstLine="480" w:firstLineChars="200"/>
        <w:rPr>
          <w:rFonts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pPr>
        <w:spacing w:line="560" w:lineRule="exact"/>
        <w:ind w:firstLine="480" w:firstLineChars="200"/>
        <w:rPr>
          <w:rFonts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pPr>
        <w:spacing w:line="560" w:lineRule="exact"/>
        <w:ind w:firstLine="480" w:firstLineChars="200"/>
        <w:rPr>
          <w:rFonts w:ascii="宋体" w:hAnsi="宋体" w:cs="宋体"/>
          <w:color w:val="auto"/>
          <w:sz w:val="24"/>
        </w:rPr>
      </w:pPr>
      <w:r>
        <w:rPr>
          <w:rFonts w:hint="eastAsia" w:ascii="宋体" w:hAnsi="宋体" w:cs="宋体"/>
          <w:color w:val="auto"/>
          <w:sz w:val="24"/>
        </w:rPr>
        <w:t>5.3本磋商文件由采购人负责解释。</w:t>
      </w:r>
    </w:p>
    <w:p>
      <w:pPr>
        <w:spacing w:line="720" w:lineRule="auto"/>
        <w:jc w:val="center"/>
        <w:outlineLvl w:val="1"/>
        <w:rPr>
          <w:rFonts w:ascii="宋体" w:hAnsi="宋体" w:cs="宋体"/>
          <w:b/>
          <w:color w:val="auto"/>
          <w:sz w:val="24"/>
        </w:rPr>
      </w:pPr>
      <w:r>
        <w:rPr>
          <w:rFonts w:hint="eastAsia" w:ascii="宋体" w:hAnsi="宋体" w:cs="宋体"/>
          <w:b/>
          <w:color w:val="auto"/>
          <w:sz w:val="24"/>
        </w:rPr>
        <w:t>二、竞争性磋商文件</w:t>
      </w:r>
    </w:p>
    <w:p>
      <w:pPr>
        <w:tabs>
          <w:tab w:val="left" w:pos="632"/>
          <w:tab w:val="left" w:pos="790"/>
        </w:tabs>
        <w:spacing w:line="560" w:lineRule="exact"/>
        <w:ind w:firstLine="482" w:firstLineChars="200"/>
        <w:outlineLvl w:val="2"/>
        <w:rPr>
          <w:rFonts w:ascii="宋体" w:hAnsi="宋体" w:cs="宋体"/>
          <w:b/>
          <w:color w:val="auto"/>
          <w:sz w:val="24"/>
        </w:rPr>
      </w:pPr>
      <w:r>
        <w:rPr>
          <w:rFonts w:hint="eastAsia" w:ascii="宋体" w:hAnsi="宋体" w:cs="宋体"/>
          <w:b/>
          <w:color w:val="auto"/>
          <w:sz w:val="24"/>
        </w:rPr>
        <w:t>6．竞争性磋商文件的组成</w:t>
      </w:r>
    </w:p>
    <w:p>
      <w:pPr>
        <w:autoSpaceDE w:val="0"/>
        <w:autoSpaceDN w:val="0"/>
        <w:adjustRightInd w:val="0"/>
        <w:spacing w:line="560" w:lineRule="exact"/>
        <w:ind w:firstLine="480" w:firstLineChars="200"/>
        <w:rPr>
          <w:rFonts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pPr>
        <w:spacing w:line="560" w:lineRule="exact"/>
        <w:ind w:firstLine="480" w:firstLineChars="200"/>
        <w:rPr>
          <w:rFonts w:ascii="宋体" w:hAnsi="宋体" w:cs="宋体"/>
          <w:color w:val="auto"/>
          <w:sz w:val="24"/>
        </w:rPr>
      </w:pPr>
      <w:r>
        <w:rPr>
          <w:rFonts w:hint="eastAsia" w:ascii="宋体" w:hAnsi="宋体" w:cs="宋体"/>
          <w:color w:val="auto"/>
          <w:sz w:val="24"/>
        </w:rPr>
        <w:t>（1）竞争性磋商邀请函；</w:t>
      </w:r>
    </w:p>
    <w:p>
      <w:pPr>
        <w:spacing w:line="560" w:lineRule="exact"/>
        <w:ind w:firstLine="480" w:firstLineChars="200"/>
        <w:rPr>
          <w:rFonts w:ascii="宋体" w:hAnsi="宋体" w:cs="宋体"/>
          <w:color w:val="auto"/>
          <w:sz w:val="24"/>
        </w:rPr>
      </w:pPr>
      <w:r>
        <w:rPr>
          <w:rFonts w:hint="eastAsia" w:ascii="宋体" w:hAnsi="宋体" w:cs="宋体"/>
          <w:color w:val="auto"/>
          <w:sz w:val="24"/>
        </w:rPr>
        <w:t>（2）供应商须知；</w:t>
      </w:r>
    </w:p>
    <w:p>
      <w:pPr>
        <w:spacing w:line="560" w:lineRule="exact"/>
        <w:ind w:firstLine="480" w:firstLineChars="200"/>
        <w:rPr>
          <w:rFonts w:ascii="宋体" w:hAnsi="宋体" w:cs="宋体"/>
          <w:color w:val="auto"/>
          <w:sz w:val="24"/>
        </w:rPr>
      </w:pPr>
      <w:r>
        <w:rPr>
          <w:rFonts w:hint="eastAsia" w:ascii="宋体" w:hAnsi="宋体" w:cs="宋体"/>
          <w:color w:val="auto"/>
          <w:sz w:val="24"/>
        </w:rPr>
        <w:t>（3）采购需求；</w:t>
      </w:r>
    </w:p>
    <w:p>
      <w:pPr>
        <w:spacing w:line="560" w:lineRule="exact"/>
        <w:ind w:firstLine="480" w:firstLineChars="200"/>
        <w:rPr>
          <w:rFonts w:ascii="宋体" w:hAnsi="宋体" w:cs="宋体"/>
          <w:color w:val="auto"/>
          <w:sz w:val="24"/>
        </w:rPr>
      </w:pPr>
      <w:r>
        <w:rPr>
          <w:rFonts w:hint="eastAsia" w:ascii="宋体" w:hAnsi="宋体" w:cs="宋体"/>
          <w:color w:val="auto"/>
          <w:sz w:val="24"/>
        </w:rPr>
        <w:t>（4）响应性文件内容及格式；</w:t>
      </w:r>
    </w:p>
    <w:p>
      <w:pPr>
        <w:spacing w:line="560" w:lineRule="exact"/>
        <w:ind w:firstLine="480" w:firstLineChars="200"/>
        <w:rPr>
          <w:rFonts w:ascii="宋体" w:hAnsi="宋体" w:cs="宋体"/>
          <w:color w:val="auto"/>
          <w:sz w:val="24"/>
        </w:rPr>
      </w:pPr>
      <w:r>
        <w:rPr>
          <w:rFonts w:hint="eastAsia" w:ascii="宋体" w:hAnsi="宋体" w:cs="宋体"/>
          <w:color w:val="auto"/>
          <w:sz w:val="24"/>
        </w:rPr>
        <w:t>（5）合同主要条款。</w:t>
      </w:r>
    </w:p>
    <w:p>
      <w:pPr>
        <w:spacing w:line="560" w:lineRule="auto"/>
        <w:ind w:firstLine="480"/>
        <w:rPr>
          <w:rFonts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ascii="宋体" w:hAnsi="宋体" w:cs="宋体"/>
          <w:color w:val="auto"/>
          <w:sz w:val="24"/>
        </w:rPr>
        <w:t>投标人如对竞争性蹉商文件无异议</w:t>
      </w:r>
      <w:r>
        <w:rPr>
          <w:rFonts w:hint="eastAsia" w:ascii="宋体" w:hAnsi="宋体" w:cs="宋体"/>
          <w:color w:val="auto"/>
          <w:sz w:val="24"/>
        </w:rPr>
        <w:t>，</w:t>
      </w:r>
      <w:r>
        <w:rPr>
          <w:rFonts w:ascii="宋体" w:hAnsi="宋体" w:cs="宋体"/>
          <w:color w:val="auto"/>
          <w:sz w:val="24"/>
        </w:rPr>
        <w:t>出具确认书</w:t>
      </w:r>
      <w:r>
        <w:rPr>
          <w:rFonts w:hint="eastAsia" w:ascii="宋体" w:hAnsi="宋体" w:cs="宋体"/>
          <w:color w:val="auto"/>
          <w:sz w:val="24"/>
        </w:rPr>
        <w:t>，</w:t>
      </w:r>
      <w:r>
        <w:rPr>
          <w:rFonts w:ascii="宋体" w:hAnsi="宋体" w:cs="宋体"/>
          <w:color w:val="auto"/>
          <w:sz w:val="24"/>
        </w:rPr>
        <w:t>确认竞争性蹉商文件清晰无异议</w:t>
      </w:r>
      <w:r>
        <w:rPr>
          <w:rFonts w:hint="eastAsia" w:ascii="宋体" w:hAnsi="宋体" w:cs="宋体"/>
          <w:color w:val="auto"/>
          <w:sz w:val="24"/>
        </w:rPr>
        <w:t>。</w:t>
      </w:r>
      <w:r>
        <w:rPr>
          <w:rFonts w:ascii="宋体" w:hAnsi="宋体" w:cs="宋体"/>
          <w:color w:val="auto"/>
          <w:sz w:val="24"/>
        </w:rPr>
        <w:t>确认书作为资格审查资料</w:t>
      </w:r>
      <w:r>
        <w:rPr>
          <w:rFonts w:hint="eastAsia" w:ascii="宋体" w:hAnsi="宋体" w:cs="宋体"/>
          <w:color w:val="auto"/>
          <w:sz w:val="24"/>
        </w:rPr>
        <w:t>。（确认书格式自拟）</w:t>
      </w:r>
    </w:p>
    <w:p>
      <w:pPr>
        <w:spacing w:line="560" w:lineRule="exact"/>
        <w:ind w:firstLine="480" w:firstLineChars="200"/>
        <w:rPr>
          <w:rFonts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pPr>
        <w:spacing w:line="560" w:lineRule="exact"/>
        <w:ind w:firstLine="480" w:firstLineChars="200"/>
        <w:rPr>
          <w:rFonts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pPr>
        <w:widowControl/>
        <w:spacing w:line="560" w:lineRule="exact"/>
        <w:ind w:firstLine="482" w:firstLineChars="200"/>
        <w:outlineLvl w:val="2"/>
        <w:rPr>
          <w:rFonts w:ascii="宋体" w:hAnsi="宋体" w:cs="宋体"/>
          <w:b/>
          <w:color w:val="auto"/>
          <w:sz w:val="24"/>
        </w:rPr>
      </w:pPr>
      <w:r>
        <w:rPr>
          <w:rFonts w:hint="eastAsia" w:ascii="宋体" w:hAnsi="宋体" w:cs="宋体"/>
          <w:b/>
          <w:color w:val="auto"/>
          <w:sz w:val="24"/>
        </w:rPr>
        <w:t>7.竞争性磋商文件的澄清与修改</w:t>
      </w:r>
    </w:p>
    <w:p>
      <w:pPr>
        <w:autoSpaceDE w:val="0"/>
        <w:autoSpaceDN w:val="0"/>
        <w:adjustRightInd w:val="0"/>
        <w:spacing w:line="560" w:lineRule="exact"/>
        <w:ind w:firstLine="480" w:firstLineChars="200"/>
        <w:rPr>
          <w:rFonts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pPr>
        <w:spacing w:line="720" w:lineRule="auto"/>
        <w:jc w:val="center"/>
        <w:outlineLvl w:val="1"/>
        <w:rPr>
          <w:rFonts w:ascii="宋体" w:hAnsi="宋体" w:cs="宋体"/>
          <w:b/>
          <w:color w:val="auto"/>
          <w:sz w:val="24"/>
        </w:rPr>
      </w:pPr>
      <w:r>
        <w:rPr>
          <w:rFonts w:hint="eastAsia" w:ascii="宋体" w:hAnsi="宋体" w:cs="宋体"/>
          <w:b/>
          <w:color w:val="auto"/>
          <w:sz w:val="24"/>
        </w:rPr>
        <w:t>三、响应性文件的编制</w:t>
      </w:r>
    </w:p>
    <w:p>
      <w:pPr>
        <w:spacing w:line="560" w:lineRule="exact"/>
        <w:ind w:firstLine="482" w:firstLineChars="200"/>
        <w:outlineLvl w:val="2"/>
        <w:rPr>
          <w:rFonts w:ascii="宋体" w:hAnsi="宋体" w:cs="宋体"/>
          <w:b/>
          <w:bCs/>
          <w:color w:val="auto"/>
          <w:sz w:val="24"/>
        </w:rPr>
      </w:pPr>
      <w:r>
        <w:rPr>
          <w:rFonts w:hint="eastAsia" w:ascii="宋体" w:hAnsi="宋体" w:cs="宋体"/>
          <w:b/>
          <w:bCs/>
          <w:color w:val="auto"/>
          <w:sz w:val="24"/>
        </w:rPr>
        <w:t>8.要求</w:t>
      </w:r>
    </w:p>
    <w:p>
      <w:pPr>
        <w:spacing w:line="560" w:lineRule="exact"/>
        <w:ind w:firstLine="480" w:firstLineChars="200"/>
        <w:rPr>
          <w:rFonts w:ascii="宋体" w:hAnsi="宋体" w:cs="宋体"/>
          <w:color w:val="auto"/>
          <w:sz w:val="24"/>
        </w:rPr>
      </w:pPr>
      <w:r>
        <w:rPr>
          <w:rFonts w:hint="eastAsia" w:ascii="宋体" w:hAnsi="宋体" w:cs="宋体"/>
          <w:color w:val="auto"/>
          <w:sz w:val="24"/>
        </w:rPr>
        <w:t>8.1供应商应仔细阅读、并充分理解竞争性磋商文件的所有内容，按照竞争性磋商文件的要求编制、提交响应性文件</w:t>
      </w:r>
      <w:r>
        <w:rPr>
          <w:rFonts w:hint="eastAsia" w:ascii="宋体" w:hAnsi="宋体" w:cs="宋体"/>
          <w:color w:val="auto"/>
          <w:spacing w:val="-3"/>
          <w:sz w:val="24"/>
        </w:rPr>
        <w:t>，如果有异议在规定的时间内提出，没有异议需做出“无异议”承诺书，承诺书作为响应文件的组织部分，否则为无效响应文件。</w:t>
      </w:r>
      <w:r>
        <w:rPr>
          <w:rFonts w:hint="eastAsia" w:ascii="宋体" w:hAnsi="宋体" w:cs="宋体"/>
          <w:color w:val="auto"/>
          <w:sz w:val="24"/>
        </w:rPr>
        <w:t>响应性文件应对竞争性磋商文件的要求作出实质性响应，并保证及承诺所提供的全部资料的真实性、合法性，否则其响应性文件将作为无效处理。</w:t>
      </w:r>
    </w:p>
    <w:p>
      <w:pPr>
        <w:spacing w:line="560" w:lineRule="exact"/>
        <w:ind w:firstLine="480" w:firstLineChars="200"/>
        <w:rPr>
          <w:rFonts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p>
    <w:p>
      <w:pPr>
        <w:pStyle w:val="38"/>
        <w:spacing w:line="480" w:lineRule="auto"/>
        <w:ind w:firstLine="480" w:firstLineChars="200"/>
        <w:rPr>
          <w:rFonts w:ascii="宋体" w:hAnsi="宋体" w:cs="宋体"/>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w:t>
      </w:r>
    </w:p>
    <w:p>
      <w:pPr>
        <w:pStyle w:val="38"/>
        <w:spacing w:line="480" w:lineRule="auto"/>
        <w:ind w:firstLine="480" w:firstLineChars="200"/>
        <w:rPr>
          <w:rFonts w:ascii="宋体" w:hAnsi="宋体" w:cs="宋体"/>
          <w:color w:val="auto"/>
          <w:sz w:val="24"/>
        </w:rPr>
      </w:pPr>
      <w:r>
        <w:rPr>
          <w:rFonts w:hint="eastAsia" w:ascii="宋体" w:hAnsi="宋体" w:cs="宋体"/>
          <w:color w:val="auto"/>
          <w:sz w:val="24"/>
        </w:rPr>
        <w:t>8</w:t>
      </w:r>
      <w:r>
        <w:rPr>
          <w:rFonts w:ascii="宋体" w:hAnsi="宋体" w:cs="宋体"/>
          <w:color w:val="auto"/>
          <w:sz w:val="24"/>
        </w:rPr>
        <w:t xml:space="preserve">.4 </w:t>
      </w:r>
      <w:r>
        <w:rPr>
          <w:rFonts w:hint="eastAsia" w:ascii="宋体" w:hAnsi="宋体" w:cs="宋体"/>
          <w:color w:val="auto"/>
          <w:sz w:val="24"/>
        </w:rPr>
        <w:t>参与竞争性磋商活动的各供应商应对竞争性磋商文件和竞争性磋商响应文件中的商业和技术等秘密保密，违者应对由此造成的后果承担法律责任。对上述作出书面承诺并附在响应文件中，否则视为不响应竞争性磋商文件的要求。</w:t>
      </w:r>
    </w:p>
    <w:p>
      <w:pPr>
        <w:pStyle w:val="38"/>
        <w:spacing w:line="480" w:lineRule="auto"/>
        <w:ind w:firstLine="480" w:firstLineChars="200"/>
        <w:rPr>
          <w:rFonts w:ascii="宋体" w:hAnsi="宋体" w:cs="宋体"/>
          <w:color w:val="auto"/>
          <w:sz w:val="24"/>
        </w:rPr>
      </w:pPr>
      <w:r>
        <w:rPr>
          <w:rFonts w:hint="eastAsia" w:ascii="宋体" w:hAnsi="宋体" w:cs="宋体"/>
          <w:color w:val="auto"/>
          <w:sz w:val="24"/>
        </w:rPr>
        <w:t>8</w:t>
      </w:r>
      <w:r>
        <w:rPr>
          <w:rFonts w:ascii="宋体" w:hAnsi="宋体" w:cs="宋体"/>
          <w:color w:val="auto"/>
          <w:sz w:val="24"/>
        </w:rPr>
        <w:t xml:space="preserve">.5 </w:t>
      </w:r>
      <w:r>
        <w:rPr>
          <w:rFonts w:hint="eastAsia" w:ascii="宋体" w:hAnsi="宋体" w:cs="宋体"/>
          <w:color w:val="auto"/>
          <w:sz w:val="24"/>
        </w:rPr>
        <w:t>供应商应当在竞争性磋商响应文件中列出完成本项目并通过验收所需的所有各项服务等明细表及全部费用。供应商必须承诺确保</w:t>
      </w:r>
      <w:r>
        <w:rPr>
          <w:rFonts w:ascii="宋体" w:hAnsi="宋体" w:cs="宋体"/>
          <w:color w:val="auto"/>
          <w:sz w:val="24"/>
        </w:rPr>
        <w:t>本项目通过</w:t>
      </w:r>
      <w:r>
        <w:rPr>
          <w:rFonts w:hint="eastAsia" w:ascii="宋体" w:hAnsi="宋体" w:cs="宋体"/>
          <w:color w:val="auto"/>
          <w:sz w:val="24"/>
        </w:rPr>
        <w:t>有关主管部门验收,所发生的验收费用由供应商承担；</w:t>
      </w:r>
    </w:p>
    <w:p>
      <w:pPr>
        <w:widowControl/>
        <w:spacing w:line="560" w:lineRule="exact"/>
        <w:ind w:firstLine="482" w:firstLineChars="200"/>
        <w:outlineLvl w:val="2"/>
        <w:rPr>
          <w:rFonts w:ascii="宋体" w:hAnsi="宋体" w:cs="宋体"/>
          <w:b/>
          <w:color w:val="auto"/>
          <w:sz w:val="24"/>
        </w:rPr>
      </w:pPr>
      <w:r>
        <w:rPr>
          <w:rFonts w:hint="eastAsia" w:ascii="宋体" w:hAnsi="宋体" w:cs="宋体"/>
          <w:b/>
          <w:color w:val="auto"/>
          <w:sz w:val="24"/>
        </w:rPr>
        <w:t xml:space="preserve">9.响应性文件的语言及度量衡 </w:t>
      </w:r>
    </w:p>
    <w:p>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9.2供应商使用其他语言的，以中文翻译为准。 </w:t>
      </w:r>
    </w:p>
    <w:p>
      <w:pPr>
        <w:spacing w:line="560" w:lineRule="exact"/>
        <w:ind w:firstLine="480" w:firstLineChars="200"/>
        <w:rPr>
          <w:rFonts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pPr>
        <w:spacing w:line="560" w:lineRule="exact"/>
        <w:ind w:firstLine="480" w:firstLineChars="200"/>
        <w:rPr>
          <w:rFonts w:ascii="宋体" w:hAnsi="宋体" w:cs="宋体"/>
          <w:color w:val="auto"/>
          <w:sz w:val="24"/>
        </w:rPr>
      </w:pPr>
      <w:r>
        <w:rPr>
          <w:rFonts w:hint="eastAsia" w:ascii="宋体" w:hAnsi="宋体" w:cs="宋体"/>
          <w:color w:val="auto"/>
          <w:sz w:val="24"/>
        </w:rPr>
        <w:t>9.4本竞争性磋商文件所表述的时间均为北京时间。</w:t>
      </w:r>
    </w:p>
    <w:p>
      <w:pPr>
        <w:spacing w:line="560" w:lineRule="exact"/>
        <w:ind w:firstLine="482" w:firstLineChars="200"/>
        <w:outlineLvl w:val="2"/>
        <w:rPr>
          <w:rFonts w:ascii="宋体" w:hAnsi="宋体" w:cs="宋体"/>
          <w:b/>
          <w:color w:val="auto"/>
          <w:sz w:val="24"/>
        </w:rPr>
      </w:pPr>
      <w:r>
        <w:rPr>
          <w:rFonts w:hint="eastAsia" w:ascii="宋体" w:hAnsi="宋体" w:cs="宋体"/>
          <w:b/>
          <w:color w:val="auto"/>
          <w:sz w:val="24"/>
        </w:rPr>
        <w:t>10.响应性文件的组成</w:t>
      </w:r>
    </w:p>
    <w:p>
      <w:pPr>
        <w:widowControl/>
        <w:spacing w:line="560" w:lineRule="exact"/>
        <w:ind w:firstLine="480" w:firstLineChars="200"/>
        <w:rPr>
          <w:rFonts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pPr>
        <w:spacing w:line="560" w:lineRule="exact"/>
        <w:ind w:firstLine="482" w:firstLineChars="200"/>
        <w:outlineLvl w:val="2"/>
        <w:rPr>
          <w:rFonts w:ascii="宋体" w:hAnsi="宋体" w:cs="宋体"/>
          <w:b/>
          <w:color w:val="auto"/>
          <w:sz w:val="24"/>
        </w:rPr>
      </w:pPr>
      <w:r>
        <w:rPr>
          <w:rFonts w:hint="eastAsia" w:ascii="宋体" w:hAnsi="宋体" w:cs="宋体"/>
          <w:b/>
          <w:color w:val="auto"/>
          <w:sz w:val="24"/>
        </w:rPr>
        <w:t>11.响应性文件格式</w:t>
      </w:r>
    </w:p>
    <w:p>
      <w:pPr>
        <w:widowControl/>
        <w:spacing w:line="560" w:lineRule="exact"/>
        <w:ind w:firstLine="480" w:firstLineChars="200"/>
        <w:rPr>
          <w:rFonts w:ascii="宋体" w:hAnsi="宋体" w:cs="宋体"/>
          <w:color w:val="auto"/>
          <w:sz w:val="24"/>
        </w:rPr>
      </w:pPr>
      <w:r>
        <w:rPr>
          <w:rFonts w:hint="eastAsia" w:ascii="宋体" w:hAnsi="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pPr>
        <w:widowControl/>
        <w:spacing w:line="560" w:lineRule="exact"/>
        <w:ind w:firstLine="482" w:firstLineChars="200"/>
        <w:outlineLvl w:val="2"/>
        <w:rPr>
          <w:rFonts w:ascii="宋体" w:hAnsi="宋体" w:cs="宋体"/>
          <w:b/>
          <w:bCs/>
          <w:color w:val="auto"/>
          <w:kern w:val="0"/>
          <w:sz w:val="24"/>
        </w:rPr>
      </w:pPr>
      <w:r>
        <w:rPr>
          <w:rFonts w:hint="eastAsia" w:ascii="宋体" w:hAnsi="宋体" w:cs="宋体"/>
          <w:b/>
          <w:bCs/>
          <w:color w:val="auto"/>
          <w:kern w:val="0"/>
          <w:sz w:val="24"/>
        </w:rPr>
        <w:t>12.竞争性磋商报价</w:t>
      </w:r>
    </w:p>
    <w:p>
      <w:pPr>
        <w:spacing w:line="560" w:lineRule="exact"/>
        <w:ind w:firstLine="480" w:firstLineChars="200"/>
        <w:rPr>
          <w:rFonts w:ascii="宋体" w:hAnsi="宋体" w:cs="宋体"/>
          <w:color w:val="auto"/>
          <w:sz w:val="24"/>
        </w:rPr>
      </w:pPr>
      <w:r>
        <w:rPr>
          <w:rFonts w:hint="eastAsia" w:ascii="宋体" w:hAnsi="宋体" w:cs="宋体"/>
          <w:color w:val="auto"/>
          <w:sz w:val="24"/>
        </w:rPr>
        <w:t>12.1报价包括所投服务、保险、税费、检测、验收等工作所发生的一切应有费用。</w:t>
      </w:r>
    </w:p>
    <w:p>
      <w:pPr>
        <w:spacing w:line="560" w:lineRule="exact"/>
        <w:ind w:firstLine="480" w:firstLineChars="200"/>
        <w:rPr>
          <w:rFonts w:ascii="宋体" w:hAnsi="宋体" w:cs="宋体"/>
          <w:color w:val="auto"/>
          <w:sz w:val="24"/>
        </w:rPr>
      </w:pPr>
      <w:r>
        <w:rPr>
          <w:rFonts w:hint="eastAsia" w:ascii="宋体" w:hAnsi="宋体" w:cs="宋体"/>
          <w:color w:val="auto"/>
          <w:sz w:val="24"/>
        </w:rPr>
        <w:t>12.2经过磋商后进行的报价为供应商的最终报价。</w:t>
      </w:r>
    </w:p>
    <w:p>
      <w:pPr>
        <w:spacing w:line="560" w:lineRule="exact"/>
        <w:ind w:firstLine="480" w:firstLineChars="200"/>
        <w:rPr>
          <w:rFonts w:ascii="宋体" w:hAnsi="宋体" w:cs="宋体"/>
          <w:color w:val="auto"/>
          <w:sz w:val="24"/>
        </w:rPr>
      </w:pPr>
      <w:r>
        <w:rPr>
          <w:rFonts w:hint="eastAsia" w:ascii="宋体" w:hAnsi="宋体" w:cs="宋体"/>
          <w:color w:val="auto"/>
          <w:sz w:val="24"/>
        </w:rPr>
        <w:t>12.3采购人不接受有选择的报价。</w:t>
      </w:r>
    </w:p>
    <w:p>
      <w:pPr>
        <w:spacing w:line="560" w:lineRule="exact"/>
        <w:ind w:firstLine="480" w:firstLineChars="200"/>
        <w:rPr>
          <w:rFonts w:ascii="宋体" w:hAnsi="宋体" w:cs="宋体"/>
          <w:color w:val="auto"/>
          <w:sz w:val="24"/>
        </w:rPr>
      </w:pPr>
      <w:r>
        <w:rPr>
          <w:rFonts w:hint="eastAsia" w:ascii="宋体" w:hAnsi="宋体" w:cs="宋体"/>
          <w:color w:val="auto"/>
          <w:sz w:val="24"/>
        </w:rPr>
        <w:t>12.4最终报价不得超过采购预算。</w:t>
      </w:r>
    </w:p>
    <w:p>
      <w:pPr>
        <w:spacing w:line="560" w:lineRule="exact"/>
        <w:ind w:firstLine="480" w:firstLineChars="200"/>
        <w:rPr>
          <w:rFonts w:ascii="宋体" w:hAnsi="宋体" w:cs="宋体"/>
          <w:color w:val="auto"/>
          <w:sz w:val="24"/>
        </w:rPr>
      </w:pPr>
      <w:r>
        <w:rPr>
          <w:rFonts w:hint="eastAsia" w:ascii="宋体" w:hAnsi="宋体" w:cs="宋体"/>
          <w:color w:val="auto"/>
          <w:sz w:val="24"/>
        </w:rPr>
        <w:t>12.5报价均须以人民币为计算单位。</w:t>
      </w:r>
    </w:p>
    <w:p>
      <w:pPr>
        <w:spacing w:line="560" w:lineRule="exact"/>
        <w:ind w:firstLine="482" w:firstLineChars="200"/>
        <w:outlineLvl w:val="2"/>
        <w:rPr>
          <w:rFonts w:ascii="宋体" w:hAnsi="宋体" w:cs="宋体"/>
          <w:b/>
          <w:bCs/>
          <w:color w:val="auto"/>
          <w:sz w:val="24"/>
        </w:rPr>
      </w:pPr>
      <w:r>
        <w:rPr>
          <w:rFonts w:hint="eastAsia" w:ascii="宋体" w:hAnsi="宋体" w:cs="宋体"/>
          <w:b/>
          <w:bCs/>
          <w:color w:val="auto"/>
          <w:sz w:val="24"/>
        </w:rPr>
        <w:t xml:space="preserve">13．响应性文件有效期 </w:t>
      </w:r>
    </w:p>
    <w:p>
      <w:pPr>
        <w:spacing w:line="560" w:lineRule="exact"/>
        <w:ind w:firstLine="480" w:firstLineChars="200"/>
        <w:rPr>
          <w:rFonts w:ascii="宋体" w:hAnsi="宋体" w:cs="宋体"/>
          <w:color w:val="auto"/>
          <w:sz w:val="24"/>
        </w:rPr>
      </w:pPr>
      <w:r>
        <w:rPr>
          <w:rFonts w:hint="eastAsia" w:ascii="宋体" w:hAnsi="宋体" w:cs="宋体"/>
          <w:color w:val="auto"/>
          <w:sz w:val="24"/>
        </w:rPr>
        <w:t>13.l响应性文件有效期为自竞争性磋商开始之日起60天，有效期短于此规定的响应性文件将被视为无效。</w:t>
      </w:r>
    </w:p>
    <w:p>
      <w:pPr>
        <w:spacing w:line="560" w:lineRule="exact"/>
        <w:ind w:firstLine="480" w:firstLineChars="200"/>
        <w:rPr>
          <w:rFonts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pPr>
        <w:spacing w:line="560" w:lineRule="exact"/>
        <w:ind w:firstLine="482" w:firstLineChars="200"/>
        <w:outlineLvl w:val="2"/>
        <w:rPr>
          <w:rFonts w:ascii="宋体" w:hAnsi="宋体" w:cs="宋体"/>
          <w:b/>
          <w:bCs/>
          <w:color w:val="auto"/>
          <w:sz w:val="24"/>
        </w:rPr>
      </w:pPr>
      <w:r>
        <w:rPr>
          <w:rFonts w:hint="eastAsia" w:ascii="宋体" w:hAnsi="宋体" w:cs="宋体"/>
          <w:b/>
          <w:bCs/>
          <w:color w:val="auto"/>
          <w:sz w:val="24"/>
        </w:rPr>
        <w:t>14.响应性文件的签署、盖章</w:t>
      </w:r>
    </w:p>
    <w:p>
      <w:pPr>
        <w:spacing w:line="560" w:lineRule="exact"/>
        <w:ind w:firstLine="480" w:firstLineChars="200"/>
        <w:rPr>
          <w:rFonts w:ascii="宋体" w:hAnsi="宋体" w:cs="宋体"/>
          <w:color w:val="auto"/>
          <w:sz w:val="24"/>
          <w:lang w:val="zh-CN"/>
        </w:rPr>
      </w:pPr>
      <w:r>
        <w:rPr>
          <w:rFonts w:hint="eastAsia" w:ascii="宋体" w:hAnsi="宋体" w:cs="宋体"/>
          <w:color w:val="auto"/>
          <w:sz w:val="24"/>
        </w:rPr>
        <w:t>14.1</w:t>
      </w:r>
      <w:r>
        <w:rPr>
          <w:rFonts w:hint="eastAsia" w:ascii="宋体" w:hAnsi="宋体" w:cs="宋体"/>
          <w:color w:val="auto"/>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pPr>
        <w:spacing w:line="560" w:lineRule="exact"/>
        <w:ind w:firstLine="480" w:firstLineChars="200"/>
        <w:rPr>
          <w:rFonts w:ascii="宋体" w:hAnsi="宋体" w:cs="宋体"/>
          <w:color w:val="auto"/>
          <w:sz w:val="24"/>
        </w:rPr>
      </w:pPr>
      <w:r>
        <w:rPr>
          <w:rFonts w:hint="eastAsia" w:ascii="宋体" w:hAnsi="宋体" w:cs="宋体"/>
          <w:color w:val="auto"/>
          <w:sz w:val="24"/>
        </w:rPr>
        <w:t>14.</w:t>
      </w:r>
      <w:r>
        <w:rPr>
          <w:rFonts w:ascii="宋体" w:hAnsi="宋体" w:cs="宋体"/>
          <w:color w:val="auto"/>
          <w:sz w:val="24"/>
        </w:rPr>
        <w:t>2</w:t>
      </w:r>
      <w:r>
        <w:rPr>
          <w:rFonts w:hint="eastAsia" w:ascii="宋体" w:hAnsi="宋体" w:cs="宋体"/>
          <w:color w:val="auto"/>
          <w:sz w:val="24"/>
        </w:rPr>
        <w:t>响应性文件应无涂改和行间插字，除非这些改动是为改正供应商造成的必须修改的错误进行的。有改动时，修改处应由供应商代表签署证明或加盖公章，但非供应商出具的材料，供应商改动无效。</w:t>
      </w:r>
    </w:p>
    <w:p>
      <w:pPr>
        <w:spacing w:line="560" w:lineRule="exact"/>
        <w:ind w:firstLine="480" w:firstLineChars="200"/>
        <w:rPr>
          <w:rFonts w:ascii="宋体" w:hAnsi="宋体" w:cs="宋体"/>
          <w:color w:val="auto"/>
          <w:sz w:val="24"/>
        </w:rPr>
      </w:pPr>
      <w:r>
        <w:rPr>
          <w:rFonts w:hint="eastAsia" w:ascii="宋体" w:hAnsi="宋体" w:cs="宋体"/>
          <w:color w:val="auto"/>
          <w:sz w:val="24"/>
        </w:rPr>
        <w:t>14.</w:t>
      </w:r>
      <w:r>
        <w:rPr>
          <w:rFonts w:ascii="宋体" w:hAnsi="宋体" w:cs="宋体"/>
          <w:color w:val="auto"/>
          <w:sz w:val="24"/>
        </w:rPr>
        <w:t>3</w:t>
      </w:r>
      <w:r>
        <w:rPr>
          <w:rFonts w:hint="eastAsia" w:ascii="宋体" w:hAnsi="宋体" w:cs="宋体"/>
          <w:color w:val="auto"/>
          <w:sz w:val="24"/>
        </w:rPr>
        <w:t>供应商提交的资料应证明其满足竞争性磋商文件要求，该文件可以是文字资料、图纸和数据等详细描述的资料。</w:t>
      </w:r>
    </w:p>
    <w:p>
      <w:pPr>
        <w:spacing w:line="560" w:lineRule="exact"/>
        <w:ind w:firstLine="480" w:firstLineChars="200"/>
        <w:outlineLvl w:val="2"/>
        <w:rPr>
          <w:rFonts w:ascii="宋体" w:hAnsi="宋体" w:cs="宋体"/>
          <w:color w:val="auto"/>
          <w:sz w:val="24"/>
        </w:rPr>
      </w:pPr>
      <w:r>
        <w:rPr>
          <w:rFonts w:hint="eastAsia" w:ascii="宋体" w:hAnsi="宋体" w:cs="宋体"/>
          <w:color w:val="auto"/>
          <w:sz w:val="24"/>
        </w:rPr>
        <w:t>15电子投标文件制作</w:t>
      </w:r>
    </w:p>
    <w:p>
      <w:pPr>
        <w:spacing w:line="560" w:lineRule="exact"/>
        <w:ind w:firstLine="480" w:firstLineChars="200"/>
        <w:rPr>
          <w:rFonts w:ascii="宋体" w:hAnsi="宋体" w:cs="宋体"/>
          <w:color w:val="auto"/>
          <w:sz w:val="24"/>
        </w:rPr>
      </w:pPr>
      <w:r>
        <w:rPr>
          <w:rFonts w:hint="eastAsia" w:ascii="宋体" w:hAnsi="宋体" w:cs="宋体"/>
          <w:color w:val="auto"/>
          <w:sz w:val="24"/>
        </w:rPr>
        <w:t>见周口市公共资源交易中心网站下载中心版块《投标单位-电子投标文件视频制作手册》的相关规定。</w:t>
      </w:r>
    </w:p>
    <w:p>
      <w:pPr>
        <w:numPr>
          <w:ilvl w:val="0"/>
          <w:numId w:val="3"/>
        </w:numPr>
        <w:spacing w:line="720" w:lineRule="auto"/>
        <w:jc w:val="center"/>
        <w:outlineLvl w:val="1"/>
        <w:rPr>
          <w:rFonts w:ascii="宋体" w:hAnsi="宋体" w:cs="宋体"/>
          <w:b/>
          <w:color w:val="auto"/>
          <w:sz w:val="24"/>
        </w:rPr>
      </w:pPr>
      <w:r>
        <w:rPr>
          <w:rFonts w:hint="eastAsia" w:ascii="宋体" w:hAnsi="宋体" w:cs="宋体"/>
          <w:b/>
          <w:color w:val="auto"/>
          <w:sz w:val="24"/>
        </w:rPr>
        <w:t>响应性文件的递交</w:t>
      </w:r>
    </w:p>
    <w:p>
      <w:pPr>
        <w:autoSpaceDE w:val="0"/>
        <w:autoSpaceDN w:val="0"/>
        <w:adjustRightInd w:val="0"/>
        <w:spacing w:line="500" w:lineRule="exact"/>
        <w:ind w:firstLine="480" w:firstLineChars="200"/>
        <w:rPr>
          <w:rFonts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pPr>
        <w:spacing w:line="360" w:lineRule="auto"/>
        <w:ind w:firstLine="550"/>
        <w:rPr>
          <w:rFonts w:ascii="宋体" w:hAnsi="宋体" w:cs="宋体"/>
          <w:color w:val="auto"/>
          <w:sz w:val="24"/>
        </w:rPr>
      </w:pPr>
      <w:r>
        <w:rPr>
          <w:rFonts w:hint="eastAsia" w:ascii="宋体" w:hAnsi="宋体" w:cs="宋体"/>
          <w:color w:val="auto"/>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pPr>
        <w:autoSpaceDE w:val="0"/>
        <w:autoSpaceDN w:val="0"/>
        <w:adjustRightInd w:val="0"/>
        <w:spacing w:line="500" w:lineRule="exact"/>
        <w:ind w:firstLine="240" w:firstLineChars="100"/>
        <w:rPr>
          <w:rFonts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供应商须使用单位CA证书进行电子响应文件远程解密，详见周口市公共资源电子交易中心网站（网址：http://jyzx.zhoukou.gov.cn）办事指南</w:t>
      </w:r>
      <w:r>
        <w:rPr>
          <w:rFonts w:hint="eastAsia" w:ascii="宋体" w:hAnsi="宋体" w:cs="宋体"/>
          <w:bCs/>
          <w:color w:val="auto"/>
          <w:sz w:val="24"/>
        </w:rPr>
        <w:t>《不见面开标远程在线解密会员端操作手册操作指南》</w:t>
      </w:r>
      <w:r>
        <w:rPr>
          <w:rFonts w:hint="eastAsia" w:ascii="宋体" w:hAnsi="宋体" w:cs="宋体"/>
          <w:color w:val="auto"/>
          <w:sz w:val="24"/>
        </w:rPr>
        <w:t>。</w:t>
      </w:r>
    </w:p>
    <w:p>
      <w:pPr>
        <w:spacing w:line="560" w:lineRule="exact"/>
        <w:outlineLvl w:val="2"/>
        <w:rPr>
          <w:rFonts w:ascii="宋体" w:hAnsi="宋体" w:cs="宋体"/>
          <w:b/>
          <w:color w:val="auto"/>
          <w:sz w:val="24"/>
        </w:rPr>
      </w:pPr>
      <w:r>
        <w:rPr>
          <w:rFonts w:hint="eastAsia" w:ascii="宋体" w:hAnsi="宋体" w:cs="宋体"/>
          <w:b/>
          <w:color w:val="auto"/>
          <w:sz w:val="24"/>
        </w:rPr>
        <w:t>16.响应性文件的递交</w:t>
      </w:r>
    </w:p>
    <w:p>
      <w:pPr>
        <w:spacing w:line="560" w:lineRule="exact"/>
        <w:ind w:firstLine="480" w:firstLineChars="200"/>
        <w:rPr>
          <w:rFonts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pPr>
        <w:pStyle w:val="60"/>
        <w:spacing w:line="560" w:lineRule="exact"/>
        <w:ind w:firstLine="482" w:firstLineChars="200"/>
        <w:outlineLvl w:val="2"/>
        <w:rPr>
          <w:rFonts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pPr>
        <w:pStyle w:val="60"/>
        <w:spacing w:line="560" w:lineRule="exact"/>
        <w:ind w:left="279" w:leftChars="133" w:firstLine="240" w:firstLineChars="100"/>
        <w:rPr>
          <w:rFonts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pPr>
        <w:pStyle w:val="60"/>
        <w:spacing w:line="560" w:lineRule="exact"/>
        <w:ind w:firstLine="480" w:firstLineChars="200"/>
        <w:rPr>
          <w:rFonts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pPr>
        <w:pStyle w:val="60"/>
        <w:spacing w:line="560" w:lineRule="exact"/>
        <w:ind w:firstLine="480" w:firstLineChars="200"/>
        <w:rPr>
          <w:rFonts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pPr>
        <w:pStyle w:val="60"/>
        <w:spacing w:line="560" w:lineRule="exact"/>
        <w:ind w:firstLine="480" w:firstLineChars="200"/>
        <w:rPr>
          <w:rFonts w:ascii="宋体" w:hAnsi="宋体"/>
          <w:color w:val="auto"/>
          <w:sz w:val="24"/>
          <w:szCs w:val="24"/>
        </w:rPr>
      </w:pPr>
      <w:r>
        <w:rPr>
          <w:rFonts w:hint="eastAsia" w:ascii="宋体" w:hAnsi="宋体"/>
          <w:color w:val="auto"/>
          <w:sz w:val="24"/>
          <w:szCs w:val="24"/>
        </w:rPr>
        <w:t>17.4供应商有下列情形之一的，采购人将拒绝接受其响应性文件：</w:t>
      </w:r>
    </w:p>
    <w:p>
      <w:pPr>
        <w:pStyle w:val="60"/>
        <w:spacing w:line="560" w:lineRule="exact"/>
        <w:ind w:firstLine="480" w:firstLineChars="200"/>
        <w:rPr>
          <w:rFonts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pPr>
        <w:pStyle w:val="60"/>
        <w:spacing w:line="560" w:lineRule="exact"/>
        <w:ind w:firstLine="480" w:firstLineChars="200"/>
        <w:rPr>
          <w:rFonts w:ascii="宋体" w:hAnsi="宋体"/>
          <w:color w:val="auto"/>
          <w:sz w:val="24"/>
          <w:szCs w:val="24"/>
        </w:rPr>
      </w:pPr>
      <w:r>
        <w:rPr>
          <w:rFonts w:hint="eastAsia" w:ascii="宋体" w:hAnsi="宋体"/>
          <w:color w:val="auto"/>
          <w:sz w:val="24"/>
          <w:szCs w:val="24"/>
        </w:rPr>
        <w:t>17.4.2响应性文件未按竞争性磋商文件规定密封、签署、盖章的；</w:t>
      </w:r>
    </w:p>
    <w:p>
      <w:pPr>
        <w:pStyle w:val="60"/>
        <w:spacing w:line="560" w:lineRule="exact"/>
        <w:ind w:firstLine="480" w:firstLineChars="200"/>
        <w:rPr>
          <w:rFonts w:ascii="宋体" w:hAnsi="宋体"/>
          <w:b/>
          <w:color w:val="auto"/>
          <w:sz w:val="24"/>
          <w:szCs w:val="24"/>
        </w:rPr>
      </w:pPr>
      <w:r>
        <w:rPr>
          <w:rFonts w:hint="eastAsia" w:ascii="宋体" w:hAnsi="宋体"/>
          <w:color w:val="auto"/>
          <w:sz w:val="24"/>
          <w:szCs w:val="24"/>
        </w:rPr>
        <w:t>17.4.3一个供应商不止递交一套响应性文件的。</w:t>
      </w:r>
    </w:p>
    <w:p>
      <w:pPr>
        <w:spacing w:line="720" w:lineRule="auto"/>
        <w:jc w:val="center"/>
        <w:outlineLvl w:val="1"/>
        <w:rPr>
          <w:rFonts w:ascii="宋体" w:hAnsi="宋体" w:cs="宋体"/>
          <w:b/>
          <w:color w:val="auto"/>
          <w:sz w:val="24"/>
        </w:rPr>
      </w:pPr>
      <w:r>
        <w:rPr>
          <w:rFonts w:hint="eastAsia" w:ascii="宋体" w:hAnsi="宋体" w:cs="宋体"/>
          <w:b/>
          <w:color w:val="auto"/>
          <w:sz w:val="24"/>
        </w:rPr>
        <w:t>五、竞争性磋商</w:t>
      </w:r>
    </w:p>
    <w:p>
      <w:pPr>
        <w:spacing w:line="560" w:lineRule="exact"/>
        <w:ind w:firstLine="482" w:firstLineChars="200"/>
        <w:outlineLvl w:val="2"/>
        <w:rPr>
          <w:rFonts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p>
    <w:p>
      <w:pPr>
        <w:spacing w:line="560" w:lineRule="exact"/>
        <w:ind w:firstLine="482" w:firstLineChars="200"/>
        <w:outlineLvl w:val="2"/>
        <w:rPr>
          <w:rFonts w:ascii="宋体" w:hAnsi="宋体" w:cs="宋体"/>
          <w:b/>
          <w:color w:val="auto"/>
          <w:sz w:val="24"/>
        </w:rPr>
      </w:pPr>
      <w:r>
        <w:rPr>
          <w:rFonts w:hint="eastAsia" w:ascii="宋体" w:hAnsi="宋体" w:cs="宋体"/>
          <w:b/>
          <w:color w:val="auto"/>
          <w:sz w:val="24"/>
        </w:rPr>
        <w:t>19.资格性和符合性审查</w:t>
      </w:r>
    </w:p>
    <w:p>
      <w:pPr>
        <w:spacing w:line="560" w:lineRule="exact"/>
        <w:ind w:firstLine="480" w:firstLineChars="200"/>
        <w:rPr>
          <w:rFonts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pPr>
        <w:spacing w:line="560" w:lineRule="exact"/>
        <w:ind w:firstLine="480" w:firstLineChars="200"/>
        <w:rPr>
          <w:rFonts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pPr>
        <w:spacing w:line="560" w:lineRule="exact"/>
        <w:ind w:firstLine="480" w:firstLineChars="200"/>
        <w:rPr>
          <w:rFonts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pPr>
        <w:spacing w:line="560" w:lineRule="exact"/>
        <w:ind w:firstLine="480" w:firstLineChars="200"/>
        <w:rPr>
          <w:rFonts w:ascii="宋体" w:hAnsi="宋体" w:cs="宋体"/>
          <w:color w:val="auto"/>
          <w:sz w:val="24"/>
        </w:rPr>
      </w:pPr>
      <w:r>
        <w:rPr>
          <w:rFonts w:hint="eastAsia" w:ascii="宋体" w:hAnsi="宋体" w:cs="宋体"/>
          <w:color w:val="auto"/>
          <w:sz w:val="24"/>
        </w:rPr>
        <w:t>19.2.1符合性审查的内容包括：</w:t>
      </w:r>
    </w:p>
    <w:p>
      <w:pPr>
        <w:spacing w:line="560" w:lineRule="exact"/>
        <w:ind w:firstLine="480" w:firstLineChars="200"/>
        <w:rPr>
          <w:rFonts w:ascii="宋体" w:hAnsi="宋体" w:cs="宋体"/>
          <w:color w:val="auto"/>
          <w:sz w:val="24"/>
        </w:rPr>
      </w:pPr>
      <w:r>
        <w:rPr>
          <w:rFonts w:hint="eastAsia" w:ascii="宋体" w:hAnsi="宋体" w:cs="宋体"/>
          <w:color w:val="auto"/>
          <w:sz w:val="24"/>
        </w:rPr>
        <w:t>（1）响应性文件的有效性(签署情况等)；</w:t>
      </w:r>
    </w:p>
    <w:p>
      <w:pPr>
        <w:spacing w:line="560" w:lineRule="exact"/>
        <w:ind w:firstLine="480" w:firstLineChars="200"/>
        <w:rPr>
          <w:rFonts w:ascii="宋体" w:hAnsi="宋体" w:cs="宋体"/>
          <w:color w:val="auto"/>
          <w:sz w:val="24"/>
        </w:rPr>
      </w:pPr>
      <w:r>
        <w:rPr>
          <w:rFonts w:hint="eastAsia" w:ascii="宋体" w:hAnsi="宋体" w:cs="宋体"/>
          <w:color w:val="auto"/>
          <w:sz w:val="24"/>
        </w:rPr>
        <w:t>（2）响应性文件的完整性；</w:t>
      </w:r>
    </w:p>
    <w:p>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（3）对竞争性磋商文件的响应程度（是否存在重大负偏离等）。 </w:t>
      </w:r>
    </w:p>
    <w:p>
      <w:pPr>
        <w:spacing w:line="560" w:lineRule="exact"/>
        <w:ind w:firstLine="480" w:firstLineChars="200"/>
        <w:rPr>
          <w:rFonts w:ascii="宋体" w:hAnsi="宋体" w:cs="宋体"/>
          <w:color w:val="auto"/>
          <w:sz w:val="24"/>
        </w:rPr>
      </w:pPr>
      <w:r>
        <w:rPr>
          <w:rFonts w:hint="eastAsia" w:ascii="宋体" w:hAnsi="宋体" w:cs="宋体"/>
          <w:color w:val="auto"/>
          <w:sz w:val="24"/>
          <w:u w:val="single"/>
        </w:rPr>
        <w:t>以上资格性审查和符合性审查的内容只要有一条不满足，则响应性文件无效，将不进入竞争性磋商程序。</w:t>
      </w:r>
    </w:p>
    <w:p>
      <w:pPr>
        <w:spacing w:line="560" w:lineRule="exact"/>
        <w:ind w:firstLine="480" w:firstLineChars="200"/>
        <w:rPr>
          <w:rFonts w:ascii="宋体" w:hAnsi="宋体" w:cs="宋体"/>
          <w:color w:val="auto"/>
          <w:sz w:val="24"/>
        </w:rPr>
      </w:pPr>
      <w:r>
        <w:rPr>
          <w:rFonts w:hint="eastAsia" w:ascii="宋体" w:hAnsi="宋体" w:cs="宋体"/>
          <w:color w:val="auto"/>
          <w:sz w:val="24"/>
        </w:rPr>
        <w:t>注意事项：资格性、符合性证明材料见竞争性磋商文件第四章规定。</w:t>
      </w:r>
    </w:p>
    <w:p>
      <w:pPr>
        <w:spacing w:line="560" w:lineRule="exact"/>
        <w:ind w:firstLine="480" w:firstLineChars="200"/>
        <w:rPr>
          <w:rFonts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pPr>
        <w:spacing w:line="560" w:lineRule="exact"/>
        <w:ind w:firstLine="480" w:firstLineChars="200"/>
        <w:rPr>
          <w:rFonts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pPr>
        <w:spacing w:line="560" w:lineRule="exact"/>
        <w:ind w:firstLine="480" w:firstLineChars="200"/>
        <w:rPr>
          <w:rFonts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pPr>
        <w:spacing w:line="560" w:lineRule="exact"/>
        <w:ind w:firstLine="480" w:firstLineChars="200"/>
        <w:rPr>
          <w:rFonts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pPr>
        <w:spacing w:line="560" w:lineRule="exact"/>
        <w:ind w:firstLine="480" w:firstLineChars="200"/>
        <w:rPr>
          <w:rFonts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pPr>
        <w:spacing w:line="560" w:lineRule="exact"/>
        <w:ind w:firstLine="480" w:firstLineChars="200"/>
        <w:rPr>
          <w:rFonts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pPr>
        <w:spacing w:line="560" w:lineRule="exact"/>
        <w:ind w:firstLine="480" w:firstLineChars="200"/>
        <w:rPr>
          <w:rFonts w:ascii="宋体" w:hAnsi="宋体" w:cs="宋体"/>
          <w:color w:val="auto"/>
          <w:sz w:val="24"/>
        </w:rPr>
      </w:pPr>
      <w:r>
        <w:rPr>
          <w:rFonts w:hint="eastAsia" w:ascii="宋体" w:hAnsi="宋体" w:cs="宋体"/>
          <w:color w:val="auto"/>
          <w:sz w:val="24"/>
        </w:rPr>
        <w:t>19.7.2资格证明文件不全的，或不符合竞争性磋商文件中规定的资格要求的；</w:t>
      </w:r>
    </w:p>
    <w:p>
      <w:pPr>
        <w:spacing w:line="560" w:lineRule="exact"/>
        <w:ind w:firstLine="480" w:firstLineChars="200"/>
        <w:rPr>
          <w:rFonts w:ascii="宋体" w:hAnsi="宋体" w:cs="宋体"/>
          <w:color w:val="auto"/>
          <w:sz w:val="24"/>
        </w:rPr>
      </w:pPr>
      <w:r>
        <w:rPr>
          <w:rFonts w:hint="eastAsia" w:ascii="宋体" w:hAnsi="宋体" w:cs="宋体"/>
          <w:color w:val="auto"/>
          <w:sz w:val="24"/>
        </w:rPr>
        <w:t>19.7.3供应商代表未能出具有效身份证明，或与身份不符的；</w:t>
      </w:r>
    </w:p>
    <w:p>
      <w:pPr>
        <w:spacing w:line="560" w:lineRule="exact"/>
        <w:ind w:firstLine="480" w:firstLineChars="200"/>
        <w:rPr>
          <w:rFonts w:ascii="宋体" w:hAnsi="宋体" w:cs="宋体"/>
          <w:color w:val="auto"/>
          <w:sz w:val="24"/>
        </w:rPr>
      </w:pPr>
      <w:r>
        <w:rPr>
          <w:rFonts w:hint="eastAsia" w:ascii="宋体" w:hAnsi="宋体" w:cs="宋体"/>
          <w:color w:val="auto"/>
          <w:sz w:val="24"/>
        </w:rPr>
        <w:t>19.7.4不符合竞争性磋商文件规定的实质性要求的；</w:t>
      </w:r>
    </w:p>
    <w:p>
      <w:pPr>
        <w:spacing w:line="560" w:lineRule="exact"/>
        <w:ind w:firstLine="480" w:firstLineChars="200"/>
        <w:rPr>
          <w:rFonts w:ascii="宋体" w:hAnsi="宋体" w:cs="宋体"/>
          <w:color w:val="auto"/>
          <w:sz w:val="24"/>
        </w:rPr>
      </w:pPr>
      <w:r>
        <w:rPr>
          <w:rFonts w:hint="eastAsia" w:ascii="宋体" w:hAnsi="宋体" w:cs="宋体"/>
          <w:color w:val="auto"/>
          <w:sz w:val="24"/>
        </w:rPr>
        <w:t>19.7.5响应性文件内容不齐全或内容虚假的；</w:t>
      </w:r>
    </w:p>
    <w:p>
      <w:pPr>
        <w:spacing w:line="560" w:lineRule="exact"/>
        <w:ind w:firstLine="480" w:firstLineChars="200"/>
        <w:rPr>
          <w:rFonts w:ascii="宋体" w:hAnsi="宋体" w:cs="宋体"/>
          <w:color w:val="auto"/>
          <w:sz w:val="24"/>
        </w:rPr>
      </w:pPr>
      <w:r>
        <w:rPr>
          <w:rFonts w:hint="eastAsia" w:ascii="宋体" w:hAnsi="宋体" w:cs="宋体"/>
          <w:color w:val="auto"/>
          <w:sz w:val="24"/>
        </w:rPr>
        <w:t>19.7.6响应性文件的实质性内容未使用中文表述；</w:t>
      </w:r>
    </w:p>
    <w:p>
      <w:pPr>
        <w:spacing w:line="560" w:lineRule="exact"/>
        <w:ind w:firstLine="480" w:firstLineChars="200"/>
        <w:rPr>
          <w:rFonts w:ascii="宋体" w:hAnsi="宋体" w:cs="宋体"/>
          <w:color w:val="auto"/>
          <w:sz w:val="24"/>
        </w:rPr>
      </w:pPr>
      <w:r>
        <w:rPr>
          <w:rFonts w:hint="eastAsia" w:ascii="宋体" w:hAnsi="宋体" w:cs="宋体"/>
          <w:color w:val="auto"/>
          <w:sz w:val="24"/>
        </w:rPr>
        <w:t>19.7.7响应性文件的内容修改处未按规定签名或盖章的；</w:t>
      </w:r>
    </w:p>
    <w:p>
      <w:pPr>
        <w:spacing w:line="560" w:lineRule="exact"/>
        <w:ind w:firstLine="480" w:firstLineChars="200"/>
        <w:rPr>
          <w:rFonts w:ascii="宋体" w:hAnsi="宋体" w:cs="宋体"/>
          <w:color w:val="auto"/>
          <w:sz w:val="24"/>
        </w:rPr>
      </w:pPr>
      <w:r>
        <w:rPr>
          <w:rFonts w:hint="eastAsia" w:ascii="宋体" w:hAnsi="宋体" w:cs="宋体"/>
          <w:color w:val="auto"/>
          <w:sz w:val="24"/>
        </w:rPr>
        <w:t>19.7.8违反法律、行政法规、竞争性磋商文件规定的其他情形的。</w:t>
      </w:r>
    </w:p>
    <w:p>
      <w:pPr>
        <w:spacing w:line="360" w:lineRule="auto"/>
        <w:ind w:firstLine="480" w:firstLineChars="200"/>
        <w:rPr>
          <w:rFonts w:ascii="宋体" w:hAnsi="宋体" w:cs="宋体"/>
          <w:color w:val="auto"/>
          <w:sz w:val="24"/>
        </w:rPr>
      </w:pPr>
      <w:r>
        <w:rPr>
          <w:rFonts w:hint="eastAsia" w:ascii="宋体" w:hAnsi="宋体" w:cs="宋体"/>
          <w:color w:val="auto"/>
          <w:sz w:val="24"/>
        </w:rPr>
        <w:t>19.7.9不同供应商的电子投标（响应）文件上传计算机的网卡 MAC 地址、CPU 序列号和硬盘序列号等硬件信息相同的;</w:t>
      </w:r>
    </w:p>
    <w:p>
      <w:pPr>
        <w:spacing w:line="360" w:lineRule="auto"/>
        <w:ind w:firstLine="480" w:firstLineChars="200"/>
        <w:rPr>
          <w:rFonts w:ascii="宋体" w:hAnsi="宋体" w:cs="宋体"/>
          <w:color w:val="auto"/>
          <w:sz w:val="24"/>
        </w:rPr>
      </w:pPr>
      <w:r>
        <w:rPr>
          <w:rFonts w:hint="eastAsia" w:ascii="宋体" w:hAnsi="宋体" w:cs="宋体"/>
          <w:color w:val="auto"/>
          <w:sz w:val="24"/>
        </w:rPr>
        <w:t>19.7.10不同供应商的投标（响应）文件由同一电子设备编制，打印、复印、加密或者上传的；</w:t>
      </w:r>
    </w:p>
    <w:p>
      <w:pPr>
        <w:spacing w:line="360" w:lineRule="auto"/>
        <w:ind w:firstLine="480" w:firstLineChars="200"/>
        <w:rPr>
          <w:rFonts w:ascii="宋体" w:hAnsi="宋体" w:cs="宋体"/>
          <w:color w:val="auto"/>
          <w:sz w:val="24"/>
        </w:rPr>
      </w:pPr>
      <w:r>
        <w:rPr>
          <w:rFonts w:hint="eastAsia" w:ascii="宋体" w:hAnsi="宋体" w:cs="宋体"/>
          <w:color w:val="auto"/>
          <w:sz w:val="24"/>
        </w:rPr>
        <w:t>19.7.11不同供应商的投标（响应）文件由同一人送达或者分发，或者不同供应商联系人为同一人或不同联系人的联系电话一致的；</w:t>
      </w:r>
    </w:p>
    <w:p>
      <w:pPr>
        <w:spacing w:line="360" w:lineRule="auto"/>
        <w:ind w:firstLine="480" w:firstLineChars="200"/>
        <w:rPr>
          <w:rFonts w:ascii="宋体" w:hAnsi="宋体" w:cs="宋体"/>
          <w:color w:val="auto"/>
          <w:sz w:val="24"/>
        </w:rPr>
      </w:pPr>
      <w:r>
        <w:rPr>
          <w:rFonts w:hint="eastAsia" w:ascii="宋体" w:hAnsi="宋体" w:cs="宋体"/>
          <w:color w:val="auto"/>
          <w:sz w:val="24"/>
        </w:rPr>
        <w:t>19.7.12不同供应商的投标（响应）文件的内容存在两处以上细节错误一致；</w:t>
      </w:r>
    </w:p>
    <w:p>
      <w:pPr>
        <w:spacing w:line="360" w:lineRule="auto"/>
        <w:ind w:firstLine="480" w:firstLineChars="200"/>
        <w:rPr>
          <w:rFonts w:ascii="宋体" w:hAnsi="宋体" w:cs="宋体"/>
          <w:color w:val="auto"/>
          <w:sz w:val="24"/>
        </w:rPr>
      </w:pPr>
      <w:r>
        <w:rPr>
          <w:rFonts w:hint="eastAsia" w:ascii="宋体" w:hAnsi="宋体" w:cs="宋体"/>
          <w:color w:val="auto"/>
          <w:sz w:val="24"/>
        </w:rPr>
        <w:t>19.7.13不同供应商的法定代表人、委托代理人、项目经理、项目负责人等由同一个单位缴纳社会保险或者领取报酬的；</w:t>
      </w:r>
    </w:p>
    <w:p>
      <w:pPr>
        <w:spacing w:line="360" w:lineRule="auto"/>
        <w:ind w:firstLine="480" w:firstLineChars="200"/>
        <w:rPr>
          <w:color w:val="auto"/>
        </w:rPr>
      </w:pPr>
      <w:r>
        <w:rPr>
          <w:rFonts w:hint="eastAsia" w:ascii="宋体" w:hAnsi="宋体" w:cs="宋体"/>
          <w:color w:val="auto"/>
          <w:sz w:val="24"/>
        </w:rPr>
        <w:t>19.7.14不同供应商投标（响应）文件中法定代表人或者负责人签字出自同一人之手。</w:t>
      </w:r>
    </w:p>
    <w:p>
      <w:pPr>
        <w:spacing w:line="560" w:lineRule="exact"/>
        <w:ind w:firstLine="480" w:firstLineChars="200"/>
        <w:rPr>
          <w:rFonts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pPr>
        <w:spacing w:line="560" w:lineRule="exact"/>
        <w:ind w:firstLine="480" w:firstLineChars="200"/>
        <w:rPr>
          <w:rFonts w:ascii="宋体" w:hAnsi="宋体" w:cs="宋体"/>
          <w:color w:val="auto"/>
          <w:sz w:val="24"/>
        </w:rPr>
      </w:pPr>
      <w:r>
        <w:rPr>
          <w:rFonts w:hint="eastAsia" w:ascii="宋体" w:hAnsi="宋体" w:cs="宋体"/>
          <w:color w:val="auto"/>
          <w:sz w:val="24"/>
        </w:rPr>
        <w:t>19.8.1不同供应商的响应性文件互相混装的；</w:t>
      </w:r>
    </w:p>
    <w:p>
      <w:pPr>
        <w:spacing w:line="560" w:lineRule="exact"/>
        <w:ind w:firstLine="480" w:firstLineChars="200"/>
        <w:rPr>
          <w:rFonts w:ascii="宋体" w:hAnsi="宋体" w:cs="宋体"/>
          <w:color w:val="auto"/>
          <w:sz w:val="24"/>
        </w:rPr>
      </w:pPr>
      <w:r>
        <w:rPr>
          <w:rFonts w:hint="eastAsia" w:ascii="宋体" w:hAnsi="宋体" w:cs="宋体"/>
          <w:color w:val="auto"/>
          <w:sz w:val="24"/>
        </w:rPr>
        <w:t>19.8.2不同供应商授权同一人作为供应商委托代理人的；</w:t>
      </w:r>
    </w:p>
    <w:p>
      <w:pPr>
        <w:spacing w:line="560" w:lineRule="exact"/>
        <w:ind w:firstLine="480" w:firstLineChars="200"/>
        <w:rPr>
          <w:rFonts w:ascii="宋体" w:hAnsi="宋体" w:cs="宋体"/>
          <w:color w:val="auto"/>
          <w:sz w:val="24"/>
        </w:rPr>
      </w:pPr>
      <w:r>
        <w:rPr>
          <w:rFonts w:hint="eastAsia" w:ascii="宋体" w:hAnsi="宋体" w:cs="宋体"/>
          <w:color w:val="auto"/>
          <w:sz w:val="24"/>
        </w:rPr>
        <w:t>19.8.3不同供应商的响应性文件载明的项目管理成员为同一人的；</w:t>
      </w:r>
    </w:p>
    <w:p>
      <w:pPr>
        <w:spacing w:line="560" w:lineRule="exact"/>
        <w:ind w:firstLine="480" w:firstLineChars="200"/>
        <w:rPr>
          <w:rFonts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pPr>
        <w:spacing w:line="560" w:lineRule="exact"/>
        <w:ind w:firstLine="480" w:firstLineChars="200"/>
        <w:rPr>
          <w:rFonts w:ascii="宋体" w:hAnsi="宋体" w:cs="宋体"/>
          <w:color w:val="auto"/>
          <w:sz w:val="24"/>
        </w:rPr>
      </w:pPr>
      <w:r>
        <w:rPr>
          <w:rFonts w:hint="eastAsia" w:ascii="宋体" w:hAnsi="宋体" w:cs="宋体"/>
          <w:color w:val="auto"/>
          <w:sz w:val="24"/>
        </w:rPr>
        <w:t>19.8.5竞争性磋商小组认定的其他串通情形。</w:t>
      </w:r>
    </w:p>
    <w:p>
      <w:pPr>
        <w:pStyle w:val="2"/>
        <w:ind w:firstLine="210"/>
        <w:rPr>
          <w:color w:val="auto"/>
        </w:rPr>
      </w:pPr>
      <w:r>
        <w:rPr>
          <w:color w:val="auto"/>
        </w:rPr>
        <w:br w:type="page"/>
      </w:r>
    </w:p>
    <w:tbl>
      <w:tblPr>
        <w:tblStyle w:val="30"/>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pPr>
              <w:pStyle w:val="77"/>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rPr>
            </w:pPr>
            <w:r>
              <w:rPr>
                <w:rFonts w:hint="eastAsia" w:ascii="宋体" w:hAnsi="宋体" w:cs="宋体"/>
                <w:b/>
                <w:color w:val="auto"/>
                <w:kern w:val="2"/>
                <w:szCs w:val="24"/>
              </w:rPr>
              <w:t>项目符合性审查表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pPr>
              <w:pStyle w:val="77"/>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是否</w:t>
            </w:r>
          </w:p>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投标文件格式及</w:t>
            </w:r>
          </w:p>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提交资料要求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w:t>
            </w:r>
          </w:p>
        </w:tc>
        <w:tc>
          <w:tcPr>
            <w:tcW w:w="2665" w:type="dxa"/>
            <w:vAlign w:val="center"/>
          </w:tcPr>
          <w:p>
            <w:pPr>
              <w:spacing w:after="50" w:line="360" w:lineRule="auto"/>
              <w:ind w:right="-10"/>
              <w:jc w:val="center"/>
              <w:rPr>
                <w:rFonts w:ascii="宋体" w:hAnsi="宋体" w:cs="宋体"/>
                <w:color w:val="auto"/>
                <w:sz w:val="24"/>
              </w:rPr>
            </w:pPr>
            <w:r>
              <w:rPr>
                <w:rFonts w:hint="eastAsia" w:ascii="宋体" w:hAnsi="宋体" w:cs="宋体"/>
                <w:bCs/>
                <w:color w:val="auto"/>
                <w:sz w:val="24"/>
              </w:rPr>
              <w:t>营业执照</w:t>
            </w:r>
          </w:p>
        </w:tc>
        <w:tc>
          <w:tcPr>
            <w:tcW w:w="1937" w:type="dxa"/>
            <w:vAlign w:val="center"/>
          </w:tcPr>
          <w:p>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pPr>
              <w:adjustRightInd w:val="0"/>
              <w:snapToGrid w:val="0"/>
              <w:spacing w:line="360" w:lineRule="auto"/>
              <w:ind w:right="-10"/>
              <w:rPr>
                <w:rFonts w:ascii="宋体" w:hAnsi="宋体" w:cs="宋体"/>
                <w:color w:val="auto"/>
                <w:sz w:val="24"/>
              </w:rPr>
            </w:pPr>
          </w:p>
        </w:tc>
        <w:tc>
          <w:tcPr>
            <w:tcW w:w="2371"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2</w:t>
            </w:r>
          </w:p>
        </w:tc>
        <w:tc>
          <w:tcPr>
            <w:tcW w:w="2665" w:type="dxa"/>
            <w:vAlign w:val="center"/>
          </w:tcPr>
          <w:p>
            <w:pPr>
              <w:spacing w:after="50" w:line="360" w:lineRule="auto"/>
              <w:ind w:right="-10"/>
              <w:jc w:val="center"/>
              <w:rPr>
                <w:rFonts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pPr>
              <w:adjustRightInd w:val="0"/>
              <w:snapToGrid w:val="0"/>
              <w:spacing w:line="360" w:lineRule="auto"/>
              <w:ind w:right="-10"/>
              <w:rPr>
                <w:rFonts w:ascii="宋体" w:hAnsi="宋体" w:cs="宋体"/>
                <w:color w:val="auto"/>
                <w:sz w:val="24"/>
              </w:rPr>
            </w:pPr>
          </w:p>
        </w:tc>
        <w:tc>
          <w:tcPr>
            <w:tcW w:w="2371"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3</w:t>
            </w:r>
          </w:p>
        </w:tc>
        <w:tc>
          <w:tcPr>
            <w:tcW w:w="2665" w:type="dxa"/>
            <w:vAlign w:val="center"/>
          </w:tcPr>
          <w:p>
            <w:pPr>
              <w:spacing w:after="50" w:line="360" w:lineRule="auto"/>
              <w:ind w:right="-10"/>
              <w:jc w:val="center"/>
              <w:rPr>
                <w:rFonts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pPr>
              <w:adjustRightInd w:val="0"/>
              <w:snapToGrid w:val="0"/>
              <w:spacing w:line="360" w:lineRule="auto"/>
              <w:ind w:right="-10"/>
              <w:rPr>
                <w:rFonts w:ascii="宋体" w:hAnsi="宋体" w:cs="宋体"/>
                <w:color w:val="auto"/>
                <w:sz w:val="24"/>
              </w:rPr>
            </w:pPr>
          </w:p>
        </w:tc>
        <w:tc>
          <w:tcPr>
            <w:tcW w:w="2371"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4</w:t>
            </w:r>
          </w:p>
        </w:tc>
        <w:tc>
          <w:tcPr>
            <w:tcW w:w="2665" w:type="dxa"/>
            <w:vAlign w:val="center"/>
          </w:tcPr>
          <w:p>
            <w:pPr>
              <w:spacing w:after="50" w:line="360" w:lineRule="auto"/>
              <w:ind w:right="-10"/>
              <w:jc w:val="center"/>
              <w:rPr>
                <w:rFonts w:ascii="宋体" w:hAnsi="宋体" w:cs="宋体"/>
                <w:color w:val="auto"/>
                <w:sz w:val="24"/>
              </w:rPr>
            </w:pPr>
            <w:r>
              <w:rPr>
                <w:rFonts w:hint="eastAsia" w:ascii="宋体" w:hAnsi="宋体" w:cs="宋体"/>
                <w:bCs/>
                <w:color w:val="auto"/>
                <w:sz w:val="24"/>
              </w:rPr>
              <w:t>财务审计报告</w:t>
            </w:r>
          </w:p>
        </w:tc>
        <w:tc>
          <w:tcPr>
            <w:tcW w:w="1937" w:type="dxa"/>
            <w:vAlign w:val="center"/>
          </w:tcPr>
          <w:p>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pPr>
              <w:adjustRightInd w:val="0"/>
              <w:snapToGrid w:val="0"/>
              <w:spacing w:line="360" w:lineRule="auto"/>
              <w:ind w:right="-10"/>
              <w:rPr>
                <w:rFonts w:ascii="宋体" w:hAnsi="宋体" w:cs="宋体"/>
                <w:color w:val="auto"/>
                <w:sz w:val="24"/>
              </w:rPr>
            </w:pPr>
          </w:p>
        </w:tc>
        <w:tc>
          <w:tcPr>
            <w:tcW w:w="2371"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5</w:t>
            </w:r>
          </w:p>
        </w:tc>
        <w:tc>
          <w:tcPr>
            <w:tcW w:w="2665" w:type="dxa"/>
            <w:vAlign w:val="center"/>
          </w:tcPr>
          <w:p>
            <w:pPr>
              <w:spacing w:after="50" w:line="360" w:lineRule="auto"/>
              <w:ind w:right="-10"/>
              <w:jc w:val="center"/>
              <w:rPr>
                <w:rFonts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pPr>
              <w:adjustRightInd w:val="0"/>
              <w:snapToGrid w:val="0"/>
              <w:spacing w:line="360" w:lineRule="auto"/>
              <w:ind w:right="-10"/>
              <w:rPr>
                <w:rFonts w:ascii="宋体" w:hAnsi="宋体" w:cs="宋体"/>
                <w:color w:val="auto"/>
                <w:sz w:val="24"/>
              </w:rPr>
            </w:pPr>
          </w:p>
        </w:tc>
        <w:tc>
          <w:tcPr>
            <w:tcW w:w="2371"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6</w:t>
            </w:r>
          </w:p>
        </w:tc>
        <w:tc>
          <w:tcPr>
            <w:tcW w:w="2665" w:type="dxa"/>
            <w:vAlign w:val="center"/>
          </w:tcPr>
          <w:p>
            <w:pPr>
              <w:spacing w:after="50" w:line="360" w:lineRule="auto"/>
              <w:ind w:right="-10"/>
              <w:jc w:val="center"/>
              <w:rPr>
                <w:rFonts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pPr>
              <w:adjustRightInd w:val="0"/>
              <w:snapToGrid w:val="0"/>
              <w:spacing w:line="360" w:lineRule="auto"/>
              <w:ind w:right="-10"/>
              <w:rPr>
                <w:rFonts w:ascii="宋体" w:hAnsi="宋体" w:cs="宋体"/>
                <w:color w:val="auto"/>
                <w:sz w:val="24"/>
              </w:rPr>
            </w:pPr>
          </w:p>
        </w:tc>
        <w:tc>
          <w:tcPr>
            <w:tcW w:w="2371"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7</w:t>
            </w:r>
          </w:p>
        </w:tc>
        <w:tc>
          <w:tcPr>
            <w:tcW w:w="2665" w:type="dxa"/>
            <w:vAlign w:val="center"/>
          </w:tcPr>
          <w:p>
            <w:pPr>
              <w:spacing w:after="50" w:line="360" w:lineRule="auto"/>
              <w:ind w:right="-10"/>
              <w:jc w:val="center"/>
              <w:rPr>
                <w:rFonts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pPr>
              <w:adjustRightInd w:val="0"/>
              <w:snapToGrid w:val="0"/>
              <w:spacing w:line="360" w:lineRule="auto"/>
              <w:ind w:right="-10"/>
              <w:rPr>
                <w:rFonts w:ascii="宋体" w:hAnsi="宋体" w:cs="宋体"/>
                <w:color w:val="auto"/>
                <w:sz w:val="24"/>
              </w:rPr>
            </w:pPr>
          </w:p>
        </w:tc>
        <w:tc>
          <w:tcPr>
            <w:tcW w:w="2371"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8</w:t>
            </w:r>
          </w:p>
        </w:tc>
        <w:tc>
          <w:tcPr>
            <w:tcW w:w="2665" w:type="dxa"/>
            <w:vAlign w:val="center"/>
          </w:tcPr>
          <w:p>
            <w:pPr>
              <w:spacing w:after="50" w:line="360" w:lineRule="auto"/>
              <w:ind w:right="-10"/>
              <w:jc w:val="center"/>
              <w:rPr>
                <w:rFonts w:ascii="宋体" w:hAnsi="宋体" w:cs="宋体"/>
                <w:color w:val="auto"/>
                <w:sz w:val="24"/>
              </w:rPr>
            </w:pPr>
            <w:r>
              <w:rPr>
                <w:rFonts w:hint="eastAsia" w:ascii="宋体" w:hAnsi="宋体" w:cs="宋体"/>
                <w:bCs/>
                <w:color w:val="auto"/>
                <w:sz w:val="24"/>
              </w:rPr>
              <w:t>服务期</w:t>
            </w:r>
          </w:p>
        </w:tc>
        <w:tc>
          <w:tcPr>
            <w:tcW w:w="1937" w:type="dxa"/>
            <w:vAlign w:val="center"/>
          </w:tcPr>
          <w:p>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pPr>
              <w:adjustRightInd w:val="0"/>
              <w:snapToGrid w:val="0"/>
              <w:spacing w:line="360" w:lineRule="auto"/>
              <w:ind w:right="-10"/>
              <w:rPr>
                <w:rFonts w:ascii="宋体" w:hAnsi="宋体" w:cs="宋体"/>
                <w:color w:val="auto"/>
                <w:sz w:val="24"/>
              </w:rPr>
            </w:pPr>
          </w:p>
        </w:tc>
        <w:tc>
          <w:tcPr>
            <w:tcW w:w="2371"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9</w:t>
            </w:r>
          </w:p>
        </w:tc>
        <w:tc>
          <w:tcPr>
            <w:tcW w:w="2665" w:type="dxa"/>
            <w:vAlign w:val="center"/>
          </w:tcPr>
          <w:p>
            <w:pPr>
              <w:spacing w:after="50" w:line="360" w:lineRule="auto"/>
              <w:ind w:right="-10"/>
              <w:jc w:val="center"/>
              <w:rPr>
                <w:rFonts w:ascii="宋体" w:hAnsi="宋体" w:cs="宋体"/>
                <w:color w:val="auto"/>
                <w:sz w:val="24"/>
              </w:rPr>
            </w:pPr>
            <w:r>
              <w:rPr>
                <w:rFonts w:hint="eastAsia" w:ascii="宋体" w:hAnsi="宋体" w:cs="宋体"/>
                <w:bCs/>
                <w:color w:val="auto"/>
                <w:sz w:val="24"/>
              </w:rPr>
              <w:t>投标有效期</w:t>
            </w:r>
          </w:p>
        </w:tc>
        <w:tc>
          <w:tcPr>
            <w:tcW w:w="1937" w:type="dxa"/>
            <w:vAlign w:val="center"/>
          </w:tcPr>
          <w:p>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pPr>
              <w:adjustRightInd w:val="0"/>
              <w:snapToGrid w:val="0"/>
              <w:spacing w:line="360" w:lineRule="auto"/>
              <w:ind w:right="-10"/>
              <w:rPr>
                <w:rFonts w:ascii="宋体" w:hAnsi="宋体" w:cs="宋体"/>
                <w:color w:val="auto"/>
                <w:sz w:val="24"/>
              </w:rPr>
            </w:pPr>
          </w:p>
        </w:tc>
        <w:tc>
          <w:tcPr>
            <w:tcW w:w="2371"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10</w:t>
            </w:r>
          </w:p>
        </w:tc>
        <w:tc>
          <w:tcPr>
            <w:tcW w:w="2665" w:type="dxa"/>
            <w:vAlign w:val="center"/>
          </w:tcPr>
          <w:p>
            <w:pPr>
              <w:spacing w:after="50" w:line="360" w:lineRule="auto"/>
              <w:ind w:right="-10"/>
              <w:jc w:val="center"/>
              <w:rPr>
                <w:rFonts w:ascii="宋体" w:hAnsi="宋体" w:cs="宋体"/>
                <w:color w:val="auto"/>
                <w:sz w:val="24"/>
              </w:rPr>
            </w:pPr>
            <w:r>
              <w:rPr>
                <w:rFonts w:hint="eastAsia" w:ascii="宋体" w:hAnsi="宋体" w:cs="宋体"/>
                <w:color w:val="auto"/>
                <w:sz w:val="24"/>
              </w:rPr>
              <w:t>服务技术要求</w:t>
            </w:r>
          </w:p>
        </w:tc>
        <w:tc>
          <w:tcPr>
            <w:tcW w:w="1937" w:type="dxa"/>
            <w:vAlign w:val="center"/>
          </w:tcPr>
          <w:p>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pPr>
              <w:adjustRightInd w:val="0"/>
              <w:snapToGrid w:val="0"/>
              <w:spacing w:line="360" w:lineRule="auto"/>
              <w:ind w:right="-10"/>
              <w:rPr>
                <w:rFonts w:ascii="宋体" w:hAnsi="宋体" w:cs="宋体"/>
                <w:color w:val="auto"/>
                <w:sz w:val="24"/>
              </w:rPr>
            </w:pPr>
          </w:p>
        </w:tc>
        <w:tc>
          <w:tcPr>
            <w:tcW w:w="2371"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11</w:t>
            </w:r>
          </w:p>
        </w:tc>
        <w:tc>
          <w:tcPr>
            <w:tcW w:w="2665" w:type="dxa"/>
            <w:vAlign w:val="center"/>
          </w:tcPr>
          <w:p>
            <w:pPr>
              <w:spacing w:after="50" w:line="360" w:lineRule="auto"/>
              <w:ind w:right="-10"/>
              <w:jc w:val="center"/>
              <w:rPr>
                <w:rFonts w:ascii="宋体" w:hAnsi="宋体" w:cs="宋体"/>
                <w:bCs/>
                <w:color w:val="auto"/>
                <w:sz w:val="24"/>
              </w:rPr>
            </w:pPr>
            <w:r>
              <w:rPr>
                <w:rFonts w:hint="eastAsia" w:ascii="宋体" w:hAnsi="宋体" w:cs="宋体"/>
                <w:bCs/>
                <w:color w:val="auto"/>
                <w:sz w:val="24"/>
              </w:rPr>
              <w:t>其他实质性要求</w:t>
            </w:r>
          </w:p>
        </w:tc>
        <w:tc>
          <w:tcPr>
            <w:tcW w:w="1937" w:type="dxa"/>
            <w:vAlign w:val="center"/>
          </w:tcPr>
          <w:p>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pPr>
              <w:adjustRightInd w:val="0"/>
              <w:snapToGrid w:val="0"/>
              <w:spacing w:line="360" w:lineRule="auto"/>
              <w:ind w:right="-10"/>
              <w:rPr>
                <w:rFonts w:ascii="宋体" w:hAnsi="宋体" w:cs="宋体"/>
                <w:color w:val="auto"/>
                <w:sz w:val="24"/>
              </w:rPr>
            </w:pPr>
          </w:p>
        </w:tc>
        <w:tc>
          <w:tcPr>
            <w:tcW w:w="2371"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12</w:t>
            </w:r>
          </w:p>
        </w:tc>
        <w:tc>
          <w:tcPr>
            <w:tcW w:w="2665" w:type="dxa"/>
            <w:vAlign w:val="center"/>
          </w:tcPr>
          <w:p>
            <w:pPr>
              <w:spacing w:after="50" w:line="360" w:lineRule="auto"/>
              <w:ind w:right="-10"/>
              <w:jc w:val="center"/>
              <w:rPr>
                <w:rFonts w:ascii="宋体" w:hAnsi="宋体" w:cs="宋体"/>
                <w:bCs/>
                <w:color w:val="auto"/>
                <w:sz w:val="24"/>
              </w:rPr>
            </w:pPr>
          </w:p>
        </w:tc>
        <w:tc>
          <w:tcPr>
            <w:tcW w:w="1937" w:type="dxa"/>
            <w:vAlign w:val="center"/>
          </w:tcPr>
          <w:p>
            <w:pPr>
              <w:spacing w:after="50" w:line="360" w:lineRule="auto"/>
              <w:ind w:right="-10"/>
              <w:jc w:val="center"/>
              <w:rPr>
                <w:rFonts w:ascii="宋体" w:hAnsi="宋体" w:cs="宋体"/>
                <w:color w:val="auto"/>
                <w:sz w:val="24"/>
              </w:rPr>
            </w:pPr>
          </w:p>
        </w:tc>
        <w:tc>
          <w:tcPr>
            <w:tcW w:w="825" w:type="dxa"/>
            <w:vAlign w:val="center"/>
          </w:tcPr>
          <w:p>
            <w:pPr>
              <w:adjustRightInd w:val="0"/>
              <w:snapToGrid w:val="0"/>
              <w:spacing w:line="360" w:lineRule="auto"/>
              <w:ind w:right="-10"/>
              <w:rPr>
                <w:rFonts w:ascii="宋体" w:hAnsi="宋体" w:cs="宋体"/>
                <w:color w:val="auto"/>
                <w:sz w:val="24"/>
              </w:rPr>
            </w:pPr>
          </w:p>
        </w:tc>
        <w:tc>
          <w:tcPr>
            <w:tcW w:w="2371" w:type="dxa"/>
            <w:vAlign w:val="center"/>
          </w:tcPr>
          <w:p>
            <w:pPr>
              <w:adjustRightInd w:val="0"/>
              <w:snapToGrid w:val="0"/>
              <w:spacing w:line="360" w:lineRule="auto"/>
              <w:ind w:right="-10"/>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13</w:t>
            </w:r>
          </w:p>
        </w:tc>
        <w:tc>
          <w:tcPr>
            <w:tcW w:w="2665" w:type="dxa"/>
            <w:vAlign w:val="center"/>
          </w:tcPr>
          <w:p>
            <w:pPr>
              <w:spacing w:after="50" w:line="360" w:lineRule="auto"/>
              <w:ind w:right="-10"/>
              <w:jc w:val="center"/>
              <w:rPr>
                <w:rFonts w:ascii="宋体" w:hAnsi="宋体" w:cs="宋体"/>
                <w:color w:val="auto"/>
                <w:sz w:val="24"/>
              </w:rPr>
            </w:pPr>
          </w:p>
        </w:tc>
        <w:tc>
          <w:tcPr>
            <w:tcW w:w="1937" w:type="dxa"/>
            <w:vAlign w:val="center"/>
          </w:tcPr>
          <w:p>
            <w:pPr>
              <w:spacing w:after="50" w:line="360" w:lineRule="auto"/>
              <w:ind w:right="-10"/>
              <w:jc w:val="center"/>
              <w:rPr>
                <w:rFonts w:ascii="宋体" w:hAnsi="宋体" w:cs="宋体"/>
                <w:color w:val="auto"/>
                <w:sz w:val="24"/>
              </w:rPr>
            </w:pPr>
          </w:p>
        </w:tc>
        <w:tc>
          <w:tcPr>
            <w:tcW w:w="825" w:type="dxa"/>
            <w:vAlign w:val="center"/>
          </w:tcPr>
          <w:p>
            <w:pPr>
              <w:adjustRightInd w:val="0"/>
              <w:snapToGrid w:val="0"/>
              <w:spacing w:line="360" w:lineRule="auto"/>
              <w:ind w:right="-10"/>
              <w:rPr>
                <w:rFonts w:ascii="宋体" w:hAnsi="宋体" w:cs="宋体"/>
                <w:color w:val="auto"/>
                <w:sz w:val="24"/>
              </w:rPr>
            </w:pPr>
          </w:p>
        </w:tc>
        <w:tc>
          <w:tcPr>
            <w:tcW w:w="2371" w:type="dxa"/>
            <w:vAlign w:val="center"/>
          </w:tcPr>
          <w:p>
            <w:pPr>
              <w:adjustRightInd w:val="0"/>
              <w:snapToGrid w:val="0"/>
              <w:spacing w:line="360" w:lineRule="auto"/>
              <w:ind w:right="-10"/>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14</w:t>
            </w:r>
          </w:p>
        </w:tc>
        <w:tc>
          <w:tcPr>
            <w:tcW w:w="2665" w:type="dxa"/>
            <w:vAlign w:val="center"/>
          </w:tcPr>
          <w:p>
            <w:pPr>
              <w:spacing w:after="50" w:line="360" w:lineRule="auto"/>
              <w:ind w:right="-10"/>
              <w:jc w:val="center"/>
              <w:rPr>
                <w:rFonts w:ascii="宋体" w:hAnsi="宋体" w:cs="宋体"/>
                <w:bCs/>
                <w:color w:val="auto"/>
                <w:sz w:val="24"/>
              </w:rPr>
            </w:pPr>
            <w:r>
              <w:rPr>
                <w:rFonts w:hint="eastAsia" w:ascii="宋体" w:hAnsi="宋体" w:cs="宋体"/>
                <w:bCs/>
                <w:color w:val="auto"/>
                <w:sz w:val="24"/>
              </w:rPr>
              <w:t>结论</w:t>
            </w:r>
          </w:p>
        </w:tc>
        <w:tc>
          <w:tcPr>
            <w:tcW w:w="5133" w:type="dxa"/>
            <w:gridSpan w:val="3"/>
            <w:vAlign w:val="center"/>
          </w:tcPr>
          <w:p>
            <w:pPr>
              <w:adjustRightInd w:val="0"/>
              <w:snapToGrid w:val="0"/>
              <w:spacing w:line="360" w:lineRule="auto"/>
              <w:ind w:right="-10"/>
              <w:jc w:val="center"/>
              <w:rPr>
                <w:rFonts w:ascii="宋体" w:hAnsi="宋体" w:cs="宋体"/>
                <w:color w:val="auto"/>
                <w:sz w:val="24"/>
              </w:rPr>
            </w:pPr>
            <w:r>
              <w:rPr>
                <w:rFonts w:hint="eastAsia" w:ascii="宋体" w:hAnsi="宋体" w:cs="宋体"/>
                <w:bCs/>
                <w:color w:val="auto"/>
                <w:sz w:val="24"/>
              </w:rPr>
              <w:t>是否通过审查</w:t>
            </w:r>
          </w:p>
        </w:tc>
      </w:tr>
    </w:tbl>
    <w:p>
      <w:pPr>
        <w:pStyle w:val="42"/>
        <w:rPr>
          <w:rFonts w:ascii="宋体" w:hAnsi="宋体" w:cs="宋体"/>
          <w:color w:val="auto"/>
          <w:sz w:val="24"/>
          <w:szCs w:val="24"/>
        </w:rPr>
      </w:pPr>
    </w:p>
    <w:p>
      <w:pPr>
        <w:pStyle w:val="42"/>
        <w:rPr>
          <w:rFonts w:ascii="宋体" w:hAnsi="宋体" w:cs="宋体"/>
          <w:color w:val="auto"/>
          <w:sz w:val="24"/>
          <w:szCs w:val="24"/>
        </w:rPr>
      </w:pPr>
    </w:p>
    <w:p>
      <w:pPr>
        <w:spacing w:line="560" w:lineRule="exact"/>
        <w:ind w:firstLine="482" w:firstLineChars="200"/>
        <w:outlineLvl w:val="2"/>
        <w:rPr>
          <w:rFonts w:ascii="宋体" w:hAnsi="宋体" w:cs="宋体"/>
          <w:b/>
          <w:color w:val="auto"/>
          <w:sz w:val="24"/>
        </w:rPr>
      </w:pPr>
      <w:r>
        <w:rPr>
          <w:rFonts w:hint="eastAsia" w:ascii="宋体" w:hAnsi="宋体" w:cs="宋体"/>
          <w:b/>
          <w:color w:val="auto"/>
          <w:sz w:val="24"/>
        </w:rPr>
        <w:t>20.响应性文件的澄清</w:t>
      </w:r>
    </w:p>
    <w:p>
      <w:pPr>
        <w:spacing w:line="560" w:lineRule="exact"/>
        <w:ind w:firstLine="480" w:firstLineChars="200"/>
        <w:rPr>
          <w:rFonts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pPr>
        <w:spacing w:line="560" w:lineRule="exact"/>
        <w:ind w:firstLine="480" w:firstLineChars="200"/>
        <w:rPr>
          <w:rFonts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pPr>
        <w:spacing w:line="560" w:lineRule="exact"/>
        <w:ind w:firstLine="480" w:firstLineChars="200"/>
        <w:rPr>
          <w:rFonts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20.4供应商的书面澄清材料作为响应性文件的补充。 </w:t>
      </w:r>
    </w:p>
    <w:p>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pPr>
        <w:spacing w:line="560" w:lineRule="exact"/>
        <w:ind w:firstLine="480" w:firstLineChars="200"/>
        <w:rPr>
          <w:rFonts w:ascii="宋体" w:hAnsi="宋体" w:cs="宋体"/>
          <w:color w:val="auto"/>
          <w:sz w:val="24"/>
        </w:rPr>
      </w:pPr>
      <w:r>
        <w:rPr>
          <w:rFonts w:hint="eastAsia" w:ascii="宋体" w:hAnsi="宋体" w:cs="宋体"/>
          <w:color w:val="auto"/>
          <w:sz w:val="24"/>
        </w:rPr>
        <w:t>20.6并非每个供应商都将被询问、澄清。</w:t>
      </w:r>
    </w:p>
    <w:p>
      <w:pPr>
        <w:spacing w:line="560" w:lineRule="exact"/>
        <w:ind w:firstLine="482" w:firstLineChars="200"/>
        <w:outlineLvl w:val="2"/>
        <w:rPr>
          <w:rFonts w:ascii="宋体" w:hAnsi="宋体" w:cs="宋体"/>
          <w:b/>
          <w:color w:val="auto"/>
          <w:sz w:val="24"/>
        </w:rPr>
      </w:pPr>
      <w:r>
        <w:rPr>
          <w:rFonts w:hint="eastAsia" w:ascii="宋体" w:hAnsi="宋体" w:cs="宋体"/>
          <w:b/>
          <w:color w:val="auto"/>
          <w:sz w:val="24"/>
        </w:rPr>
        <w:t>21.竞争性磋商</w:t>
      </w:r>
    </w:p>
    <w:p>
      <w:pPr>
        <w:spacing w:line="560" w:lineRule="exact"/>
        <w:ind w:firstLine="480" w:firstLineChars="200"/>
        <w:rPr>
          <w:rFonts w:ascii="宋体" w:hAnsi="宋体" w:cs="宋体"/>
          <w:color w:val="auto"/>
          <w:sz w:val="24"/>
        </w:rPr>
      </w:pPr>
      <w:r>
        <w:rPr>
          <w:rFonts w:hint="eastAsia" w:ascii="宋体" w:hAnsi="宋体" w:cs="宋体"/>
          <w:color w:val="auto"/>
          <w:sz w:val="24"/>
        </w:rPr>
        <w:t>21.1资格性审查和符合性审查合格的供应商，将进入本次竞争性磋商程序。</w:t>
      </w:r>
    </w:p>
    <w:p>
      <w:pPr>
        <w:spacing w:line="560" w:lineRule="exact"/>
        <w:ind w:firstLine="480" w:firstLineChars="200"/>
        <w:rPr>
          <w:rFonts w:ascii="宋体" w:hAnsi="宋体" w:cs="宋体"/>
          <w:color w:val="auto"/>
          <w:sz w:val="24"/>
        </w:rPr>
      </w:pPr>
      <w:r>
        <w:rPr>
          <w:rFonts w:hint="eastAsia" w:ascii="宋体" w:hAnsi="宋体" w:cs="宋体"/>
          <w:color w:val="auto"/>
          <w:sz w:val="24"/>
        </w:rPr>
        <w:t>21.2竞争性磋商将按照供应商的签到顺序进行。</w:t>
      </w:r>
    </w:p>
    <w:p>
      <w:pPr>
        <w:spacing w:line="560" w:lineRule="exact"/>
        <w:ind w:firstLine="480" w:firstLineChars="200"/>
        <w:rPr>
          <w:rFonts w:ascii="宋体" w:hAnsi="宋体" w:cs="宋体"/>
          <w:color w:val="auto"/>
          <w:sz w:val="24"/>
        </w:rPr>
      </w:pPr>
      <w:r>
        <w:rPr>
          <w:rFonts w:hint="eastAsia" w:ascii="宋体" w:hAnsi="宋体" w:cs="宋体"/>
          <w:color w:val="auto"/>
          <w:sz w:val="24"/>
        </w:rPr>
        <w:t>21.3磋商内容包括：</w:t>
      </w:r>
    </w:p>
    <w:p>
      <w:pPr>
        <w:spacing w:line="560" w:lineRule="exact"/>
        <w:ind w:firstLine="480" w:firstLineChars="200"/>
        <w:rPr>
          <w:rFonts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pPr>
        <w:spacing w:line="560" w:lineRule="exact"/>
        <w:ind w:firstLine="480" w:firstLineChars="200"/>
        <w:rPr>
          <w:rFonts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pPr>
        <w:spacing w:line="560" w:lineRule="exact"/>
        <w:ind w:firstLine="480" w:firstLineChars="200"/>
        <w:rPr>
          <w:rFonts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pPr>
        <w:spacing w:line="560" w:lineRule="exact"/>
        <w:ind w:firstLine="480" w:firstLineChars="200"/>
        <w:rPr>
          <w:rFonts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21.4.2供应商应当按照竞争性磋商文件的变动情况和竞争性磋商小组的要求重新提交响应性文件，并由其法定代表人或授权代表签字或者加盖公章。</w:t>
      </w:r>
    </w:p>
    <w:p>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21.5报价</w:t>
      </w:r>
    </w:p>
    <w:p>
      <w:pPr>
        <w:spacing w:line="560" w:lineRule="exact"/>
        <w:ind w:firstLine="480" w:firstLineChars="200"/>
        <w:rPr>
          <w:rFonts w:ascii="宋体" w:hAnsi="宋体" w:cs="宋体"/>
          <w:color w:val="auto"/>
          <w:sz w:val="24"/>
          <w:lang w:val="zh-CN"/>
        </w:rPr>
      </w:pPr>
      <w:r>
        <w:rPr>
          <w:rFonts w:hint="eastAsia" w:ascii="宋体" w:hAnsi="宋体" w:cs="宋体"/>
          <w:color w:val="auto"/>
          <w:sz w:val="24"/>
        </w:rPr>
        <w:t>1</w:t>
      </w:r>
      <w:r>
        <w:rPr>
          <w:rFonts w:hint="eastAsia" w:ascii="宋体" w:hAnsi="宋体" w:cs="宋体"/>
          <w:color w:val="auto"/>
          <w:sz w:val="24"/>
          <w:lang w:val="zh-CN"/>
        </w:rPr>
        <w:t>一次报价依据</w:t>
      </w:r>
      <w:r>
        <w:rPr>
          <w:rFonts w:hint="eastAsia" w:ascii="宋体" w:hAnsi="宋体" w:cs="宋体"/>
          <w:color w:val="auto"/>
          <w:sz w:val="24"/>
        </w:rPr>
        <w:t>是</w:t>
      </w:r>
      <w:r>
        <w:rPr>
          <w:rFonts w:hint="eastAsia" w:ascii="宋体" w:hAnsi="宋体" w:cs="宋体"/>
          <w:color w:val="auto"/>
          <w:sz w:val="24"/>
          <w:lang w:val="zh-CN"/>
        </w:rPr>
        <w:t>供应商的投标函和开标记。</w:t>
      </w:r>
    </w:p>
    <w:p>
      <w:pPr>
        <w:spacing w:line="560" w:lineRule="exact"/>
        <w:ind w:firstLine="480" w:firstLineChars="200"/>
        <w:rPr>
          <w:rFonts w:ascii="宋体" w:hAnsi="宋体" w:cs="宋体"/>
          <w:color w:val="auto"/>
          <w:sz w:val="24"/>
          <w:lang w:val="zh-CN"/>
        </w:rPr>
      </w:pPr>
      <w:r>
        <w:rPr>
          <w:rFonts w:hint="eastAsia" w:ascii="宋体" w:hAnsi="宋体" w:cs="宋体"/>
          <w:color w:val="auto"/>
          <w:sz w:val="24"/>
        </w:rPr>
        <w:t>2.如有多次报价，</w:t>
      </w:r>
      <w:r>
        <w:rPr>
          <w:rFonts w:hint="eastAsia" w:ascii="宋体" w:hAnsi="宋体" w:cs="宋体"/>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cs="宋体"/>
          <w:color w:val="auto"/>
          <w:sz w:val="24"/>
        </w:rPr>
        <w:t>报价次数见供应商须知前附表。</w:t>
      </w:r>
    </w:p>
    <w:p>
      <w:pPr>
        <w:spacing w:line="560" w:lineRule="exact"/>
        <w:ind w:firstLine="480" w:firstLineChars="200"/>
        <w:rPr>
          <w:color w:val="auto"/>
          <w:sz w:val="24"/>
        </w:rPr>
      </w:pPr>
      <w:r>
        <w:rPr>
          <w:rFonts w:hint="eastAsia" w:ascii="宋体" w:hAnsi="宋体" w:cs="宋体"/>
          <w:color w:val="auto"/>
          <w:sz w:val="24"/>
        </w:rPr>
        <w:t>开标后请供应商在计算前等待报价，网上报价</w:t>
      </w:r>
      <w:r>
        <w:rPr>
          <w:rFonts w:hint="eastAsia" w:ascii="宋体" w:hAnsi="宋体" w:cs="宋体"/>
          <w:color w:val="auto"/>
          <w:sz w:val="24"/>
          <w:lang w:val="zh-CN"/>
        </w:rPr>
        <w:t>，见周口市公共资源交易中心</w:t>
      </w:r>
      <w:r>
        <w:rPr>
          <w:rFonts w:hint="eastAsia" w:ascii="宋体" w:hAnsi="宋体" w:cs="宋体"/>
          <w:color w:val="auto"/>
          <w:sz w:val="24"/>
        </w:rPr>
        <w:t>网站下载中心版块</w:t>
      </w:r>
      <w:r>
        <w:rPr>
          <w:rFonts w:hint="eastAsia" w:ascii="宋体" w:hAnsi="宋体" w:cs="宋体"/>
          <w:color w:val="auto"/>
          <w:sz w:val="24"/>
          <w:lang w:val="zh-CN"/>
        </w:rPr>
        <w:t>《投标</w:t>
      </w:r>
      <w:r>
        <w:rPr>
          <w:rFonts w:hint="eastAsia" w:ascii="宋体" w:hAnsi="宋体" w:cs="宋体"/>
          <w:color w:val="auto"/>
          <w:sz w:val="24"/>
        </w:rPr>
        <w:t>单位-电子投标文件视频制作手册》</w:t>
      </w:r>
      <w:r>
        <w:rPr>
          <w:rFonts w:hint="eastAsia" w:cs="宋体"/>
          <w:color w:val="auto"/>
          <w:sz w:val="24"/>
        </w:rPr>
        <w:t>中的《周口市公共资源交易系统政府采购供应商操作手册》相关规定。</w:t>
      </w:r>
    </w:p>
    <w:p>
      <w:pPr>
        <w:spacing w:line="720" w:lineRule="auto"/>
        <w:jc w:val="center"/>
        <w:outlineLvl w:val="1"/>
        <w:rPr>
          <w:rFonts w:ascii="宋体" w:hAnsi="宋体" w:cs="宋体"/>
          <w:b/>
          <w:color w:val="auto"/>
          <w:sz w:val="24"/>
        </w:rPr>
      </w:pPr>
      <w:r>
        <w:rPr>
          <w:rFonts w:hint="eastAsia" w:ascii="宋体" w:hAnsi="宋体" w:cs="宋体"/>
          <w:b/>
          <w:color w:val="auto"/>
          <w:sz w:val="24"/>
        </w:rPr>
        <w:t>六、评定标准</w:t>
      </w:r>
    </w:p>
    <w:p>
      <w:pPr>
        <w:spacing w:line="560" w:lineRule="exact"/>
        <w:ind w:firstLine="482" w:firstLineChars="200"/>
        <w:outlineLvl w:val="2"/>
        <w:rPr>
          <w:rFonts w:ascii="宋体" w:hAnsi="宋体" w:cs="宋体"/>
          <w:b/>
          <w:color w:val="auto"/>
          <w:sz w:val="24"/>
        </w:rPr>
      </w:pPr>
      <w:r>
        <w:rPr>
          <w:rFonts w:hint="eastAsia" w:ascii="宋体" w:hAnsi="宋体" w:cs="宋体"/>
          <w:b/>
          <w:color w:val="auto"/>
          <w:sz w:val="24"/>
        </w:rPr>
        <w:t>22.竞争性磋商过程及保密原则</w:t>
      </w:r>
    </w:p>
    <w:p>
      <w:pPr>
        <w:spacing w:line="460" w:lineRule="exact"/>
        <w:ind w:firstLine="480" w:firstLineChars="200"/>
        <w:rPr>
          <w:rFonts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pPr>
        <w:spacing w:line="460" w:lineRule="exact"/>
        <w:ind w:firstLine="480" w:firstLineChars="200"/>
        <w:rPr>
          <w:rFonts w:ascii="宋体" w:hAnsi="宋体" w:cs="宋体"/>
          <w:bCs/>
          <w:color w:val="auto"/>
          <w:sz w:val="24"/>
        </w:rPr>
      </w:pPr>
      <w:r>
        <w:rPr>
          <w:rFonts w:hint="eastAsia" w:ascii="宋体" w:hAnsi="宋体" w:cs="宋体"/>
          <w:bCs/>
          <w:color w:val="auto"/>
          <w:sz w:val="24"/>
        </w:rPr>
        <w:t>采购代理机构在评标结束后1个工作日内将评标报告送采购人。采购人自收到评标报告之日起５个工作日内，在评标报告确定的中标候选人名单中确定中标人。</w:t>
      </w:r>
    </w:p>
    <w:p>
      <w:pPr>
        <w:pStyle w:val="21"/>
        <w:spacing w:after="0" w:line="560" w:lineRule="exact"/>
        <w:ind w:left="0" w:leftChars="0" w:firstLine="480" w:firstLineChars="200"/>
        <w:rPr>
          <w:rFonts w:ascii="宋体" w:hAnsi="宋体" w:cs="宋体"/>
          <w:bCs/>
          <w:color w:val="auto"/>
          <w:sz w:val="24"/>
        </w:rPr>
      </w:pPr>
      <w:r>
        <w:rPr>
          <w:rFonts w:hint="eastAsia" w:ascii="宋体" w:hAnsi="宋体" w:cs="宋体"/>
          <w:bCs/>
          <w:color w:val="auto"/>
          <w:sz w:val="24"/>
        </w:rPr>
        <w:t>22.2对通过初步审查的响应文件，采用百分制综合评分法进行评价。</w:t>
      </w:r>
    </w:p>
    <w:p>
      <w:pPr>
        <w:spacing w:line="360" w:lineRule="auto"/>
        <w:ind w:right="-92" w:rightChars="-44"/>
        <w:rPr>
          <w:rFonts w:ascii="宋体" w:hAnsi="宋体" w:cs="宋体"/>
          <w:color w:val="auto"/>
          <w:sz w:val="24"/>
        </w:rPr>
      </w:pPr>
      <w:r>
        <w:rPr>
          <w:rFonts w:hint="eastAsia" w:ascii="宋体" w:hAnsi="宋体" w:cs="宋体"/>
          <w:color w:val="auto"/>
          <w:sz w:val="24"/>
        </w:rPr>
        <w:t>评标方法：</w:t>
      </w:r>
    </w:p>
    <w:p>
      <w:pPr>
        <w:pStyle w:val="6"/>
        <w:ind w:firstLine="480"/>
        <w:rPr>
          <w:rFonts w:ascii="宋体" w:hAnsi="宋体" w:eastAsia="宋体" w:cs="宋体"/>
          <w:color w:val="auto"/>
          <w:sz w:val="24"/>
        </w:rPr>
      </w:pPr>
    </w:p>
    <w:tbl>
      <w:tblPr>
        <w:tblStyle w:val="30"/>
        <w:tblW w:w="10022" w:type="dxa"/>
        <w:jc w:val="center"/>
        <w:tblLayout w:type="fixed"/>
        <w:tblCellMar>
          <w:top w:w="0" w:type="dxa"/>
          <w:left w:w="108" w:type="dxa"/>
          <w:bottom w:w="0" w:type="dxa"/>
          <w:right w:w="108" w:type="dxa"/>
        </w:tblCellMar>
      </w:tblPr>
      <w:tblGrid>
        <w:gridCol w:w="2007"/>
        <w:gridCol w:w="1843"/>
        <w:gridCol w:w="3605"/>
        <w:gridCol w:w="2567"/>
      </w:tblGrid>
      <w:tr>
        <w:tblPrEx>
          <w:tblCellMar>
            <w:top w:w="0" w:type="dxa"/>
            <w:left w:w="108" w:type="dxa"/>
            <w:bottom w:w="0" w:type="dxa"/>
            <w:right w:w="108" w:type="dxa"/>
          </w:tblCellMar>
        </w:tblPrEx>
        <w:trPr>
          <w:trHeight w:val="252"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sz w:val="24"/>
              </w:rPr>
            </w:pPr>
            <w:r>
              <w:rPr>
                <w:rFonts w:hint="eastAsia" w:ascii="宋体" w:hAnsi="宋体" w:cs="宋体"/>
                <w:b/>
                <w:bCs/>
                <w:color w:val="auto"/>
                <w:sz w:val="24"/>
              </w:rPr>
              <w:t>评分指标</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sz w:val="24"/>
              </w:rPr>
            </w:pPr>
            <w:r>
              <w:rPr>
                <w:rFonts w:hint="eastAsia" w:ascii="宋体" w:hAnsi="宋体" w:cs="宋体"/>
                <w:b/>
                <w:bCs/>
                <w:color w:val="auto"/>
                <w:sz w:val="24"/>
              </w:rPr>
              <w:t>分值</w:t>
            </w:r>
          </w:p>
        </w:tc>
        <w:tc>
          <w:tcPr>
            <w:tcW w:w="360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sz w:val="24"/>
              </w:rPr>
            </w:pPr>
            <w:r>
              <w:rPr>
                <w:rFonts w:hint="eastAsia" w:ascii="宋体" w:hAnsi="宋体" w:cs="宋体"/>
                <w:b/>
                <w:bCs/>
                <w:color w:val="auto"/>
                <w:sz w:val="24"/>
              </w:rPr>
              <w:t>指标说明及评分标准</w:t>
            </w:r>
          </w:p>
        </w:tc>
        <w:tc>
          <w:tcPr>
            <w:tcW w:w="256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sz w:val="24"/>
              </w:rPr>
            </w:pPr>
            <w:r>
              <w:rPr>
                <w:rFonts w:hint="eastAsia" w:ascii="宋体" w:hAnsi="宋体" w:cs="宋体"/>
                <w:b/>
                <w:bCs/>
                <w:color w:val="auto"/>
                <w:sz w:val="24"/>
              </w:rPr>
              <w:t>评分依据</w:t>
            </w:r>
          </w:p>
        </w:tc>
      </w:tr>
      <w:tr>
        <w:tblPrEx>
          <w:tblCellMar>
            <w:top w:w="0" w:type="dxa"/>
            <w:left w:w="108" w:type="dxa"/>
            <w:bottom w:w="0" w:type="dxa"/>
            <w:right w:w="108" w:type="dxa"/>
          </w:tblCellMar>
        </w:tblPrEx>
        <w:trPr>
          <w:trHeight w:val="700"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 w:val="24"/>
              </w:rPr>
            </w:pPr>
            <w:r>
              <w:rPr>
                <w:rFonts w:hint="eastAsia" w:ascii="宋体" w:hAnsi="宋体" w:cs="宋体"/>
                <w:color w:val="auto"/>
                <w:sz w:val="24"/>
              </w:rPr>
              <w:t>报价得分（</w:t>
            </w:r>
            <w:r>
              <w:rPr>
                <w:rFonts w:ascii="宋体" w:hAnsi="宋体" w:cs="宋体"/>
                <w:color w:val="auto"/>
                <w:sz w:val="24"/>
              </w:rPr>
              <w:t>10</w:t>
            </w:r>
            <w:r>
              <w:rPr>
                <w:rFonts w:hint="eastAsia" w:ascii="宋体" w:hAnsi="宋体" w:cs="宋体"/>
                <w:color w:val="auto"/>
                <w:sz w:val="24"/>
              </w:rPr>
              <w:t>分）</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rPr>
            </w:pPr>
            <w:r>
              <w:rPr>
                <w:rFonts w:hint="eastAsia" w:ascii="宋体" w:hAnsi="宋体" w:cs="宋体"/>
                <w:color w:val="auto"/>
                <w:sz w:val="24"/>
              </w:rPr>
              <w:t>（</w:t>
            </w:r>
            <w:r>
              <w:rPr>
                <w:rFonts w:ascii="宋体" w:hAnsi="宋体" w:cs="宋体"/>
                <w:color w:val="auto"/>
                <w:sz w:val="24"/>
              </w:rPr>
              <w:t>10</w:t>
            </w:r>
            <w:r>
              <w:rPr>
                <w:rFonts w:hint="eastAsia" w:ascii="宋体" w:hAnsi="宋体" w:cs="宋体"/>
                <w:color w:val="auto"/>
                <w:sz w:val="24"/>
              </w:rPr>
              <w:t>分）</w:t>
            </w:r>
          </w:p>
        </w:tc>
        <w:tc>
          <w:tcPr>
            <w:tcW w:w="6172" w:type="dxa"/>
            <w:gridSpan w:val="2"/>
            <w:tcBorders>
              <w:top w:val="single" w:color="auto" w:sz="4" w:space="0"/>
              <w:left w:val="single" w:color="auto" w:sz="4" w:space="0"/>
              <w:bottom w:val="single" w:color="auto" w:sz="4" w:space="0"/>
              <w:right w:val="single" w:color="auto" w:sz="4" w:space="0"/>
            </w:tcBorders>
            <w:vAlign w:val="center"/>
          </w:tcPr>
          <w:p>
            <w:pPr>
              <w:ind w:firstLine="480" w:firstLineChars="200"/>
              <w:jc w:val="left"/>
              <w:rPr>
                <w:rFonts w:ascii="宋体" w:hAnsi="宋体" w:cs="宋体"/>
                <w:bCs/>
                <w:color w:val="auto"/>
                <w:sz w:val="24"/>
                <w:szCs w:val="20"/>
              </w:rPr>
            </w:pPr>
            <w:r>
              <w:rPr>
                <w:rFonts w:hint="eastAsia" w:ascii="宋体" w:hAnsi="宋体" w:cs="宋体"/>
                <w:bCs/>
                <w:color w:val="auto"/>
                <w:sz w:val="24"/>
                <w:szCs w:val="20"/>
              </w:rPr>
              <w:t>满足磋商文件要求且最后报价最低的供应商的价格为磋商基准价，其价格分为满分。其他供应商的价格分统一按照下列公式计算：</w:t>
            </w:r>
          </w:p>
          <w:p>
            <w:pPr>
              <w:ind w:firstLine="480" w:firstLineChars="200"/>
              <w:jc w:val="left"/>
              <w:rPr>
                <w:rFonts w:ascii="宋体" w:hAnsi="宋体" w:cs="宋体"/>
                <w:bCs/>
                <w:color w:val="auto"/>
                <w:sz w:val="24"/>
                <w:szCs w:val="20"/>
              </w:rPr>
            </w:pPr>
            <w:r>
              <w:rPr>
                <w:rFonts w:hint="eastAsia" w:ascii="宋体" w:hAnsi="宋体" w:cs="宋体"/>
                <w:bCs/>
                <w:color w:val="auto"/>
                <w:sz w:val="24"/>
                <w:szCs w:val="20"/>
              </w:rPr>
              <w:t>磋商报价得分=（磋商基准价/最后磋商报价）×价格权值×100</w:t>
            </w:r>
          </w:p>
          <w:p>
            <w:pPr>
              <w:tabs>
                <w:tab w:val="left" w:pos="5130"/>
              </w:tabs>
              <w:adjustRightInd w:val="0"/>
              <w:snapToGrid w:val="0"/>
              <w:spacing w:line="360" w:lineRule="auto"/>
              <w:jc w:val="left"/>
              <w:rPr>
                <w:rFonts w:ascii="宋体" w:hAnsi="宋体" w:cs="宋体"/>
                <w:bCs/>
                <w:color w:val="auto"/>
                <w:sz w:val="24"/>
                <w:szCs w:val="20"/>
              </w:rPr>
            </w:pPr>
            <w:r>
              <w:rPr>
                <w:rFonts w:hint="eastAsia" w:ascii="宋体" w:hAnsi="宋体" w:cs="宋体"/>
                <w:bCs/>
                <w:color w:val="auto"/>
                <w:sz w:val="24"/>
                <w:szCs w:val="20"/>
              </w:rPr>
              <w:t>备注：价格分计算保留小数点后二位。</w:t>
            </w:r>
          </w:p>
          <w:p>
            <w:pPr>
              <w:pStyle w:val="2"/>
              <w:ind w:right="-21" w:firstLine="0" w:firstLineChars="0"/>
              <w:jc w:val="left"/>
              <w:rPr>
                <w:rFonts w:ascii="宋体" w:hAnsi="宋体" w:cs="宋体"/>
                <w:bCs/>
                <w:color w:val="auto"/>
                <w:sz w:val="24"/>
                <w:szCs w:val="20"/>
              </w:rPr>
            </w:pPr>
            <w:r>
              <w:rPr>
                <w:rFonts w:hint="eastAsia" w:ascii="宋体" w:hAnsi="宋体" w:cs="宋体"/>
                <w:bCs/>
                <w:color w:val="auto"/>
                <w:sz w:val="24"/>
                <w:szCs w:val="20"/>
              </w:rPr>
              <w:t>根据财政部、工信部关于印发《政府采购促进中小企业发展管理办法》的通知（财库〔2020〕46号 ）文件规定：</w:t>
            </w:r>
          </w:p>
          <w:p>
            <w:pPr>
              <w:pStyle w:val="2"/>
              <w:ind w:right="-21" w:firstLine="0" w:firstLineChars="0"/>
              <w:jc w:val="left"/>
              <w:rPr>
                <w:rFonts w:ascii="宋体" w:hAnsi="宋体" w:cs="宋体"/>
                <w:bCs/>
                <w:color w:val="auto"/>
                <w:sz w:val="24"/>
                <w:szCs w:val="20"/>
              </w:rPr>
            </w:pPr>
            <w:r>
              <w:rPr>
                <w:rFonts w:hint="eastAsia" w:ascii="宋体" w:hAnsi="宋体" w:cs="宋体"/>
                <w:bCs/>
                <w:color w:val="auto"/>
                <w:sz w:val="24"/>
                <w:szCs w:val="20"/>
              </w:rPr>
              <w:t>（1）对小微企业报价给予10%扣除，请按照《政府采购促进中小企业发展管理办法》要求提供中小企业声明函。</w:t>
            </w:r>
          </w:p>
          <w:p>
            <w:pPr>
              <w:pStyle w:val="2"/>
              <w:ind w:right="-21" w:firstLine="0" w:firstLineChars="0"/>
              <w:jc w:val="left"/>
              <w:rPr>
                <w:rFonts w:ascii="宋体" w:hAnsi="宋体" w:cs="宋体"/>
                <w:bCs/>
                <w:color w:val="auto"/>
                <w:sz w:val="24"/>
                <w:szCs w:val="20"/>
              </w:rPr>
            </w:pPr>
            <w:r>
              <w:rPr>
                <w:rFonts w:hint="eastAsia" w:ascii="宋体" w:hAnsi="宋体" w:cs="宋体"/>
                <w:bCs/>
                <w:color w:val="auto"/>
                <w:sz w:val="24"/>
                <w:szCs w:val="20"/>
              </w:rPr>
              <w:t>（2）关于监狱企业：视同小微企业。须提供由省级以上监狱管理局、戒毒管理局（含新疆生产建设兵团）出具的属于监狱企业的证明文件，否则不考虑价格扣除。</w:t>
            </w:r>
          </w:p>
          <w:p>
            <w:pPr>
              <w:pStyle w:val="2"/>
              <w:ind w:right="-21" w:firstLine="0" w:firstLineChars="0"/>
              <w:jc w:val="left"/>
              <w:rPr>
                <w:rFonts w:ascii="宋体" w:hAnsi="宋体" w:cs="宋体"/>
                <w:bCs/>
                <w:color w:val="auto"/>
                <w:sz w:val="24"/>
                <w:szCs w:val="20"/>
              </w:rPr>
            </w:pPr>
            <w:r>
              <w:rPr>
                <w:rFonts w:hint="eastAsia" w:ascii="宋体" w:hAnsi="宋体" w:cs="宋体"/>
                <w:bCs/>
                <w:color w:val="auto"/>
                <w:sz w:val="24"/>
                <w:szCs w:val="20"/>
              </w:rPr>
              <w:t>（3）关于残疾人福利性单位：视同小微企业。须提供完整的“残疾人福利性单位声明函”，否则在价格评审时不予考虑价格扣除。残疾人福利性单位属于小型、微型企业的，不重复享受政策。</w:t>
            </w:r>
          </w:p>
          <w:p>
            <w:pPr>
              <w:spacing w:line="320" w:lineRule="exact"/>
              <w:rPr>
                <w:rFonts w:ascii="宋体" w:hAnsi="宋体" w:cs="宋体"/>
                <w:color w:val="auto"/>
                <w:sz w:val="24"/>
              </w:rPr>
            </w:pPr>
            <w:r>
              <w:rPr>
                <w:rFonts w:hint="eastAsia" w:ascii="宋体" w:hAnsi="宋体" w:cs="宋体"/>
                <w:bCs/>
                <w:color w:val="auto"/>
                <w:sz w:val="24"/>
                <w:szCs w:val="20"/>
              </w:rPr>
              <w:t>（4）没有提供有效证明材料的供应商将被视为不接受投标总价的扣除，用原投标总价参与评审。</w:t>
            </w:r>
          </w:p>
        </w:tc>
      </w:tr>
      <w:tr>
        <w:tblPrEx>
          <w:tblCellMar>
            <w:top w:w="0" w:type="dxa"/>
            <w:left w:w="108" w:type="dxa"/>
            <w:bottom w:w="0" w:type="dxa"/>
            <w:right w:w="108" w:type="dxa"/>
          </w:tblCellMar>
        </w:tblPrEx>
        <w:trPr>
          <w:trHeight w:val="982" w:hRule="atLeast"/>
          <w:jc w:val="center"/>
        </w:trPr>
        <w:tc>
          <w:tcPr>
            <w:tcW w:w="2007" w:type="dxa"/>
            <w:vMerge w:val="restart"/>
            <w:tcBorders>
              <w:left w:val="single" w:color="auto" w:sz="4" w:space="0"/>
              <w:right w:val="single" w:color="auto" w:sz="4" w:space="0"/>
            </w:tcBorders>
            <w:vAlign w:val="center"/>
          </w:tcPr>
          <w:p>
            <w:pPr>
              <w:widowControl/>
              <w:jc w:val="center"/>
              <w:rPr>
                <w:rFonts w:ascii="宋体" w:hAnsi="宋体" w:cs="宋体"/>
                <w:color w:val="auto"/>
                <w:sz w:val="24"/>
              </w:rPr>
            </w:pPr>
            <w:r>
              <w:rPr>
                <w:rFonts w:hint="eastAsia" w:ascii="宋体" w:hAnsi="宋体" w:cs="宋体"/>
                <w:color w:val="auto"/>
                <w:sz w:val="24"/>
              </w:rPr>
              <w:t>技术部分(</w:t>
            </w:r>
            <w:r>
              <w:rPr>
                <w:rFonts w:ascii="宋体" w:hAnsi="宋体" w:cs="宋体"/>
                <w:color w:val="auto"/>
                <w:sz w:val="24"/>
              </w:rPr>
              <w:t>45</w:t>
            </w:r>
            <w:r>
              <w:rPr>
                <w:rFonts w:hint="eastAsia" w:ascii="宋体" w:hAnsi="宋体" w:cs="宋体"/>
                <w:color w:val="auto"/>
                <w:sz w:val="24"/>
              </w:rPr>
              <w:t>分)</w:t>
            </w:r>
          </w:p>
          <w:p>
            <w:pPr>
              <w:jc w:val="center"/>
              <w:rPr>
                <w:rFonts w:ascii="宋体" w:hAnsi="宋体" w:cs="宋体"/>
                <w:color w:val="auto"/>
                <w:sz w:val="24"/>
              </w:rPr>
            </w:pPr>
          </w:p>
        </w:tc>
        <w:tc>
          <w:tcPr>
            <w:tcW w:w="8015"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s="宋体"/>
                <w:color w:val="auto"/>
                <w:sz w:val="24"/>
                <w:lang w:bidi="ar"/>
              </w:rPr>
            </w:pPr>
            <w:r>
              <w:rPr>
                <w:rFonts w:hint="eastAsia" w:ascii="宋体" w:hAnsi="宋体" w:cs="宋体"/>
                <w:color w:val="auto"/>
                <w:sz w:val="24"/>
              </w:rPr>
              <w:t>根据本项目服务内容</w:t>
            </w:r>
            <w:r>
              <w:rPr>
                <w:rFonts w:hint="eastAsia" w:ascii="宋体" w:hAnsi="宋体" w:cs="宋体"/>
                <w:color w:val="auto"/>
                <w:sz w:val="24"/>
                <w:lang w:bidi="ar"/>
              </w:rPr>
              <w:t>提供实施方案和监测方案（</w:t>
            </w:r>
            <w:r>
              <w:rPr>
                <w:rFonts w:ascii="宋体" w:hAnsi="宋体" w:cs="宋体"/>
                <w:color w:val="auto"/>
                <w:sz w:val="24"/>
                <w:lang w:bidi="ar"/>
              </w:rPr>
              <w:t>22</w:t>
            </w:r>
            <w:r>
              <w:rPr>
                <w:rFonts w:hint="eastAsia" w:ascii="宋体" w:hAnsi="宋体" w:cs="宋体"/>
                <w:color w:val="auto"/>
                <w:sz w:val="24"/>
                <w:lang w:bidi="ar"/>
              </w:rPr>
              <w:t>分）</w:t>
            </w:r>
          </w:p>
          <w:p>
            <w:pPr>
              <w:spacing w:line="360" w:lineRule="exact"/>
              <w:jc w:val="left"/>
              <w:rPr>
                <w:rFonts w:ascii="宋体" w:hAnsi="宋体" w:cs="宋体"/>
                <w:color w:val="auto"/>
                <w:sz w:val="24"/>
                <w:lang w:bidi="ar"/>
              </w:rPr>
            </w:pPr>
            <w:r>
              <w:rPr>
                <w:rFonts w:hint="eastAsia" w:ascii="宋体" w:hAnsi="宋体" w:cs="宋体"/>
                <w:color w:val="auto"/>
                <w:sz w:val="24"/>
                <w:lang w:bidi="ar"/>
              </w:rPr>
              <w:t>1．实施方案内容完整包括</w:t>
            </w:r>
            <w:r>
              <w:rPr>
                <w:rFonts w:hint="eastAsia" w:ascii="宋体" w:hAnsi="宋体" w:cs="宋体"/>
                <w:color w:val="auto"/>
                <w:sz w:val="24"/>
              </w:rPr>
              <w:t>编制依据、工作流程</w:t>
            </w:r>
            <w:r>
              <w:rPr>
                <w:rFonts w:hint="eastAsia" w:ascii="宋体" w:hAnsi="宋体" w:cs="宋体"/>
                <w:color w:val="auto"/>
                <w:sz w:val="24"/>
                <w:lang w:bidi="ar"/>
              </w:rPr>
              <w:t>、人员培训、人员配置、合理安排日常性工作和重点突发性应急工作；每提供一项得</w:t>
            </w:r>
            <w:r>
              <w:rPr>
                <w:rFonts w:ascii="宋体" w:hAnsi="宋体" w:cs="宋体"/>
                <w:color w:val="auto"/>
                <w:sz w:val="24"/>
                <w:lang w:bidi="ar"/>
              </w:rPr>
              <w:t>2</w:t>
            </w:r>
            <w:r>
              <w:rPr>
                <w:rFonts w:hint="eastAsia" w:ascii="宋体" w:hAnsi="宋体" w:cs="宋体"/>
                <w:color w:val="auto"/>
                <w:sz w:val="24"/>
                <w:lang w:bidi="ar"/>
              </w:rPr>
              <w:t>分。此项最高</w:t>
            </w:r>
            <w:r>
              <w:rPr>
                <w:rFonts w:ascii="宋体" w:hAnsi="宋体" w:cs="宋体"/>
                <w:color w:val="auto"/>
                <w:sz w:val="24"/>
                <w:lang w:bidi="ar"/>
              </w:rPr>
              <w:t>12</w:t>
            </w:r>
            <w:r>
              <w:rPr>
                <w:rFonts w:hint="eastAsia" w:ascii="宋体" w:hAnsi="宋体" w:cs="宋体"/>
                <w:color w:val="auto"/>
                <w:sz w:val="24"/>
                <w:lang w:bidi="ar"/>
              </w:rPr>
              <w:t>分，未提供不得分。</w:t>
            </w:r>
          </w:p>
          <w:p>
            <w:pPr>
              <w:pStyle w:val="2"/>
              <w:ind w:firstLine="0" w:firstLineChars="0"/>
              <w:rPr>
                <w:rFonts w:ascii="宋体" w:hAnsi="宋体"/>
                <w:color w:val="auto"/>
                <w:sz w:val="24"/>
                <w:lang w:bidi="ar"/>
              </w:rPr>
            </w:pPr>
            <w:r>
              <w:rPr>
                <w:rFonts w:hint="eastAsia" w:ascii="宋体" w:hAnsi="宋体"/>
                <w:color w:val="auto"/>
                <w:sz w:val="24"/>
                <w:lang w:bidi="ar"/>
              </w:rPr>
              <w:t>2．</w:t>
            </w:r>
            <w:r>
              <w:rPr>
                <w:rFonts w:hint="eastAsia" w:ascii="宋体" w:hAnsi="宋体" w:cs="宋体"/>
                <w:color w:val="auto"/>
                <w:sz w:val="24"/>
              </w:rPr>
              <w:t>提供合法、合规、合理的监测方案，监测方案包括监测方案的制定、现场采样、实验室分析、数据审核及成果提交等内容，以上方案内容每提供一项得</w:t>
            </w:r>
            <w:r>
              <w:rPr>
                <w:rFonts w:ascii="宋体" w:hAnsi="宋体" w:cs="宋体"/>
                <w:color w:val="auto"/>
                <w:sz w:val="24"/>
              </w:rPr>
              <w:t>2</w:t>
            </w:r>
            <w:r>
              <w:rPr>
                <w:rFonts w:hint="eastAsia" w:ascii="宋体" w:hAnsi="宋体" w:cs="宋体"/>
                <w:color w:val="auto"/>
                <w:sz w:val="24"/>
              </w:rPr>
              <w:t>分，最多得</w:t>
            </w:r>
            <w:r>
              <w:rPr>
                <w:rFonts w:ascii="宋体" w:hAnsi="宋体" w:cs="宋体"/>
                <w:color w:val="auto"/>
                <w:sz w:val="24"/>
              </w:rPr>
              <w:t>10</w:t>
            </w:r>
            <w:r>
              <w:rPr>
                <w:rFonts w:hint="eastAsia" w:ascii="宋体" w:hAnsi="宋体" w:cs="宋体"/>
                <w:color w:val="auto"/>
                <w:sz w:val="24"/>
              </w:rPr>
              <w:t>分，</w:t>
            </w:r>
            <w:r>
              <w:rPr>
                <w:rFonts w:hint="eastAsia" w:ascii="宋体" w:hAnsi="宋体" w:cs="宋体"/>
                <w:color w:val="auto"/>
                <w:sz w:val="24"/>
                <w:lang w:bidi="ar"/>
              </w:rPr>
              <w:t>未提供不得分</w:t>
            </w:r>
            <w:r>
              <w:rPr>
                <w:rFonts w:hint="eastAsia" w:ascii="宋体" w:hAnsi="宋体" w:cs="宋体"/>
                <w:color w:val="auto"/>
                <w:sz w:val="24"/>
              </w:rPr>
              <w:t>。</w:t>
            </w:r>
          </w:p>
        </w:tc>
      </w:tr>
      <w:tr>
        <w:tblPrEx>
          <w:tblCellMar>
            <w:top w:w="0" w:type="dxa"/>
            <w:left w:w="108" w:type="dxa"/>
            <w:bottom w:w="0" w:type="dxa"/>
            <w:right w:w="108" w:type="dxa"/>
          </w:tblCellMar>
        </w:tblPrEx>
        <w:trPr>
          <w:trHeight w:val="982" w:hRule="atLeast"/>
          <w:jc w:val="center"/>
        </w:trPr>
        <w:tc>
          <w:tcPr>
            <w:tcW w:w="2007" w:type="dxa"/>
            <w:vMerge w:val="continue"/>
            <w:tcBorders>
              <w:left w:val="single" w:color="auto" w:sz="4" w:space="0"/>
              <w:right w:val="single" w:color="auto" w:sz="4" w:space="0"/>
            </w:tcBorders>
            <w:vAlign w:val="center"/>
          </w:tcPr>
          <w:p>
            <w:pPr>
              <w:widowControl/>
              <w:jc w:val="center"/>
              <w:rPr>
                <w:rFonts w:ascii="宋体" w:hAnsi="宋体" w:cs="宋体"/>
                <w:color w:val="auto"/>
                <w:sz w:val="24"/>
              </w:rPr>
            </w:pPr>
          </w:p>
        </w:tc>
        <w:tc>
          <w:tcPr>
            <w:tcW w:w="8015" w:type="dxa"/>
            <w:gridSpan w:val="3"/>
            <w:tcBorders>
              <w:top w:val="single" w:color="auto" w:sz="4" w:space="0"/>
              <w:left w:val="single" w:color="auto" w:sz="4" w:space="0"/>
              <w:bottom w:val="single" w:color="auto" w:sz="4" w:space="0"/>
              <w:right w:val="single" w:color="auto" w:sz="4" w:space="0"/>
            </w:tcBorders>
            <w:vAlign w:val="center"/>
          </w:tcPr>
          <w:p>
            <w:pPr>
              <w:pStyle w:val="40"/>
              <w:widowControl/>
              <w:spacing w:line="360" w:lineRule="exact"/>
              <w:rPr>
                <w:rFonts w:hint="default" w:ascii="宋体" w:hAnsi="宋体" w:eastAsia="宋体" w:cs="宋体"/>
                <w:color w:val="auto"/>
                <w:szCs w:val="24"/>
              </w:rPr>
            </w:pPr>
            <w:r>
              <w:rPr>
                <w:rFonts w:ascii="宋体" w:hAnsi="宋体" w:eastAsia="宋体" w:cs="宋体"/>
                <w:color w:val="auto"/>
                <w:szCs w:val="24"/>
              </w:rPr>
              <w:t>重点、难点分析（</w:t>
            </w:r>
            <w:r>
              <w:rPr>
                <w:rFonts w:hint="default" w:ascii="宋体" w:hAnsi="宋体" w:eastAsia="宋体" w:cs="宋体"/>
                <w:color w:val="auto"/>
                <w:szCs w:val="24"/>
              </w:rPr>
              <w:t>9</w:t>
            </w:r>
            <w:r>
              <w:rPr>
                <w:rFonts w:ascii="宋体" w:hAnsi="宋体" w:eastAsia="宋体" w:cs="宋体"/>
                <w:color w:val="auto"/>
                <w:szCs w:val="24"/>
              </w:rPr>
              <w:t>分）</w:t>
            </w:r>
          </w:p>
          <w:p>
            <w:pPr>
              <w:spacing w:line="360" w:lineRule="exact"/>
              <w:jc w:val="left"/>
              <w:rPr>
                <w:rFonts w:ascii="宋体" w:hAnsi="宋体" w:cs="宋体"/>
                <w:color w:val="auto"/>
                <w:sz w:val="24"/>
              </w:rPr>
            </w:pPr>
            <w:r>
              <w:rPr>
                <w:rFonts w:hint="eastAsia" w:ascii="宋体" w:hAnsi="宋体" w:cs="宋体"/>
                <w:color w:val="auto"/>
                <w:sz w:val="24"/>
              </w:rPr>
              <w:t>根据本项目</w:t>
            </w:r>
            <w:r>
              <w:rPr>
                <w:rFonts w:ascii="宋体" w:hAnsi="宋体" w:cs="宋体"/>
                <w:color w:val="auto"/>
                <w:sz w:val="24"/>
              </w:rPr>
              <w:t>具体情况</w:t>
            </w:r>
            <w:r>
              <w:rPr>
                <w:rFonts w:hint="eastAsia" w:ascii="宋体" w:hAnsi="宋体" w:cs="宋体"/>
                <w:color w:val="auto"/>
                <w:sz w:val="24"/>
              </w:rPr>
              <w:t>提供重点、难点分析，内容包括工作重点分析、工作难点分析、应对措施等，每提供一项得</w:t>
            </w:r>
            <w:r>
              <w:rPr>
                <w:rFonts w:ascii="宋体" w:hAnsi="宋体" w:cs="宋体"/>
                <w:color w:val="auto"/>
                <w:sz w:val="24"/>
              </w:rPr>
              <w:t>3</w:t>
            </w:r>
            <w:r>
              <w:rPr>
                <w:rFonts w:hint="eastAsia" w:ascii="宋体" w:hAnsi="宋体" w:cs="宋体"/>
                <w:color w:val="auto"/>
                <w:sz w:val="24"/>
              </w:rPr>
              <w:t>分，最多得</w:t>
            </w:r>
            <w:r>
              <w:rPr>
                <w:rFonts w:ascii="宋体" w:hAnsi="宋体" w:cs="宋体"/>
                <w:color w:val="auto"/>
                <w:sz w:val="24"/>
              </w:rPr>
              <w:t>9</w:t>
            </w:r>
            <w:r>
              <w:rPr>
                <w:rFonts w:hint="eastAsia" w:ascii="宋体" w:hAnsi="宋体" w:cs="宋体"/>
                <w:color w:val="auto"/>
                <w:sz w:val="24"/>
              </w:rPr>
              <w:t>分，</w:t>
            </w:r>
            <w:r>
              <w:rPr>
                <w:rFonts w:hint="eastAsia" w:ascii="宋体" w:hAnsi="宋体" w:cs="宋体"/>
                <w:color w:val="auto"/>
                <w:sz w:val="24"/>
                <w:lang w:bidi="ar"/>
              </w:rPr>
              <w:t>未提供不得分</w:t>
            </w:r>
            <w:r>
              <w:rPr>
                <w:rFonts w:ascii="宋体" w:hAnsi="宋体" w:cs="宋体"/>
                <w:color w:val="auto"/>
                <w:sz w:val="24"/>
                <w:lang w:bidi="ar"/>
              </w:rPr>
              <w:t>。</w:t>
            </w:r>
          </w:p>
        </w:tc>
      </w:tr>
      <w:tr>
        <w:tblPrEx>
          <w:tblCellMar>
            <w:top w:w="0" w:type="dxa"/>
            <w:left w:w="108" w:type="dxa"/>
            <w:bottom w:w="0" w:type="dxa"/>
            <w:right w:w="108" w:type="dxa"/>
          </w:tblCellMar>
        </w:tblPrEx>
        <w:trPr>
          <w:trHeight w:val="804" w:hRule="atLeast"/>
          <w:jc w:val="center"/>
        </w:trPr>
        <w:tc>
          <w:tcPr>
            <w:tcW w:w="2007" w:type="dxa"/>
            <w:vMerge w:val="continue"/>
            <w:tcBorders>
              <w:left w:val="single" w:color="auto" w:sz="4" w:space="0"/>
              <w:right w:val="single" w:color="auto" w:sz="4" w:space="0"/>
            </w:tcBorders>
            <w:vAlign w:val="center"/>
          </w:tcPr>
          <w:p>
            <w:pPr>
              <w:widowControl/>
              <w:jc w:val="center"/>
              <w:rPr>
                <w:rFonts w:ascii="宋体" w:hAnsi="宋体" w:cs="宋体"/>
                <w:color w:val="auto"/>
                <w:sz w:val="24"/>
              </w:rPr>
            </w:pPr>
          </w:p>
        </w:tc>
        <w:tc>
          <w:tcPr>
            <w:tcW w:w="8015" w:type="dxa"/>
            <w:gridSpan w:val="3"/>
            <w:tcBorders>
              <w:top w:val="single" w:color="auto" w:sz="4" w:space="0"/>
              <w:left w:val="single" w:color="auto" w:sz="4" w:space="0"/>
              <w:bottom w:val="single" w:color="auto" w:sz="4" w:space="0"/>
              <w:right w:val="single" w:color="auto" w:sz="4" w:space="0"/>
            </w:tcBorders>
            <w:vAlign w:val="center"/>
          </w:tcPr>
          <w:p>
            <w:pPr>
              <w:pStyle w:val="42"/>
              <w:wordWrap w:val="0"/>
              <w:spacing w:line="360" w:lineRule="auto"/>
              <w:rPr>
                <w:rFonts w:ascii="宋体" w:hAnsi="宋体" w:cs="宋体"/>
                <w:color w:val="auto"/>
                <w:sz w:val="24"/>
                <w:szCs w:val="24"/>
              </w:rPr>
            </w:pPr>
            <w:r>
              <w:rPr>
                <w:rFonts w:hint="eastAsia" w:ascii="宋体" w:hAnsi="宋体" w:cs="宋体"/>
                <w:color w:val="auto"/>
                <w:sz w:val="24"/>
                <w:szCs w:val="24"/>
              </w:rPr>
              <w:t>质量保证和质量控制措施（</w:t>
            </w:r>
            <w:r>
              <w:rPr>
                <w:rFonts w:ascii="宋体" w:hAnsi="宋体" w:cs="宋体"/>
                <w:color w:val="auto"/>
                <w:sz w:val="24"/>
                <w:szCs w:val="24"/>
              </w:rPr>
              <w:t>8</w:t>
            </w:r>
            <w:r>
              <w:rPr>
                <w:rFonts w:hint="eastAsia" w:ascii="宋体" w:hAnsi="宋体" w:cs="宋体"/>
                <w:color w:val="auto"/>
                <w:sz w:val="24"/>
                <w:szCs w:val="24"/>
              </w:rPr>
              <w:t>分）</w:t>
            </w:r>
          </w:p>
          <w:p>
            <w:pPr>
              <w:pStyle w:val="40"/>
              <w:widowControl/>
              <w:spacing w:line="360" w:lineRule="exact"/>
              <w:rPr>
                <w:rFonts w:hint="default" w:ascii="宋体" w:hAnsi="宋体" w:eastAsia="宋体" w:cs="宋体"/>
                <w:color w:val="auto"/>
                <w:szCs w:val="24"/>
              </w:rPr>
            </w:pPr>
            <w:r>
              <w:rPr>
                <w:rFonts w:ascii="宋体" w:hAnsi="宋体" w:eastAsia="宋体"/>
                <w:color w:val="auto"/>
                <w:szCs w:val="24"/>
              </w:rPr>
              <w:t>根据</w:t>
            </w:r>
            <w:r>
              <w:rPr>
                <w:rFonts w:ascii="宋体" w:hAnsi="宋体" w:eastAsia="宋体" w:cs="宋体"/>
                <w:color w:val="auto"/>
                <w:szCs w:val="24"/>
              </w:rPr>
              <w:t>本项目服务内容</w:t>
            </w:r>
            <w:r>
              <w:rPr>
                <w:rFonts w:ascii="宋体" w:hAnsi="宋体" w:eastAsia="宋体"/>
                <w:color w:val="auto"/>
                <w:szCs w:val="24"/>
              </w:rPr>
              <w:t>提供针对本项目质量保证措施和质量控制措施。</w:t>
            </w:r>
            <w:r>
              <w:rPr>
                <w:rFonts w:ascii="宋体" w:hAnsi="宋体" w:eastAsia="宋体" w:cs="宋体"/>
                <w:color w:val="auto"/>
                <w:szCs w:val="24"/>
                <w:lang w:bidi="ar"/>
              </w:rPr>
              <w:t>每提供一项得</w:t>
            </w:r>
            <w:r>
              <w:rPr>
                <w:rFonts w:hint="default" w:ascii="宋体" w:hAnsi="宋体" w:eastAsia="宋体" w:cs="宋体"/>
                <w:color w:val="auto"/>
                <w:szCs w:val="24"/>
                <w:lang w:bidi="ar"/>
              </w:rPr>
              <w:t>4</w:t>
            </w:r>
            <w:r>
              <w:rPr>
                <w:rFonts w:ascii="宋体" w:hAnsi="宋体" w:eastAsia="宋体" w:cs="宋体"/>
                <w:color w:val="auto"/>
                <w:szCs w:val="24"/>
                <w:lang w:bidi="ar"/>
              </w:rPr>
              <w:t>分。此项最高</w:t>
            </w:r>
            <w:r>
              <w:rPr>
                <w:rFonts w:hint="default" w:ascii="宋体" w:hAnsi="宋体" w:eastAsia="宋体" w:cs="宋体"/>
                <w:color w:val="auto"/>
                <w:szCs w:val="24"/>
                <w:lang w:bidi="ar"/>
              </w:rPr>
              <w:t>8</w:t>
            </w:r>
            <w:r>
              <w:rPr>
                <w:rFonts w:ascii="宋体" w:hAnsi="宋体" w:eastAsia="宋体" w:cs="宋体"/>
                <w:color w:val="auto"/>
                <w:szCs w:val="24"/>
                <w:lang w:bidi="ar"/>
              </w:rPr>
              <w:t>分，不提供不得分。</w:t>
            </w:r>
          </w:p>
        </w:tc>
      </w:tr>
      <w:tr>
        <w:tblPrEx>
          <w:tblCellMar>
            <w:top w:w="0" w:type="dxa"/>
            <w:left w:w="108" w:type="dxa"/>
            <w:bottom w:w="0" w:type="dxa"/>
            <w:right w:w="108" w:type="dxa"/>
          </w:tblCellMar>
        </w:tblPrEx>
        <w:trPr>
          <w:trHeight w:val="593" w:hRule="atLeast"/>
          <w:jc w:val="center"/>
        </w:trPr>
        <w:tc>
          <w:tcPr>
            <w:tcW w:w="2007" w:type="dxa"/>
            <w:vMerge w:val="continue"/>
            <w:tcBorders>
              <w:left w:val="single" w:color="auto" w:sz="4" w:space="0"/>
              <w:right w:val="single" w:color="auto" w:sz="4" w:space="0"/>
            </w:tcBorders>
            <w:vAlign w:val="center"/>
          </w:tcPr>
          <w:p>
            <w:pPr>
              <w:widowControl/>
              <w:jc w:val="center"/>
              <w:rPr>
                <w:rFonts w:ascii="宋体" w:hAnsi="宋体" w:cs="宋体"/>
                <w:color w:val="auto"/>
                <w:sz w:val="24"/>
              </w:rPr>
            </w:pPr>
          </w:p>
        </w:tc>
        <w:tc>
          <w:tcPr>
            <w:tcW w:w="8015" w:type="dxa"/>
            <w:gridSpan w:val="3"/>
            <w:tcBorders>
              <w:top w:val="single" w:color="auto" w:sz="4" w:space="0"/>
              <w:left w:val="single" w:color="auto" w:sz="4" w:space="0"/>
              <w:bottom w:val="single" w:color="auto" w:sz="4" w:space="0"/>
              <w:right w:val="single" w:color="auto" w:sz="4" w:space="0"/>
            </w:tcBorders>
            <w:vAlign w:val="center"/>
          </w:tcPr>
          <w:p>
            <w:pPr>
              <w:snapToGrid w:val="0"/>
              <w:spacing w:line="276" w:lineRule="auto"/>
              <w:jc w:val="left"/>
              <w:rPr>
                <w:rFonts w:ascii="宋体" w:hAnsi="宋体" w:cs="宋体"/>
                <w:color w:val="auto"/>
                <w:sz w:val="24"/>
              </w:rPr>
            </w:pPr>
            <w:r>
              <w:rPr>
                <w:rFonts w:hint="eastAsia" w:ascii="宋体" w:hAnsi="宋体" w:cs="宋体"/>
                <w:color w:val="auto"/>
                <w:sz w:val="24"/>
              </w:rPr>
              <w:t>工作进度保障措施（</w:t>
            </w:r>
            <w:r>
              <w:rPr>
                <w:rFonts w:ascii="宋体" w:hAnsi="宋体" w:cs="宋体"/>
                <w:color w:val="auto"/>
                <w:sz w:val="24"/>
              </w:rPr>
              <w:t>3</w:t>
            </w:r>
            <w:r>
              <w:rPr>
                <w:rFonts w:hint="eastAsia" w:ascii="宋体" w:hAnsi="宋体" w:cs="宋体"/>
                <w:color w:val="auto"/>
                <w:sz w:val="24"/>
              </w:rPr>
              <w:t>分）</w:t>
            </w:r>
          </w:p>
          <w:p>
            <w:pPr>
              <w:pStyle w:val="2"/>
              <w:ind w:firstLine="0" w:firstLineChars="0"/>
              <w:rPr>
                <w:rFonts w:ascii="宋体" w:hAnsi="宋体"/>
                <w:color w:val="auto"/>
                <w:sz w:val="24"/>
              </w:rPr>
            </w:pPr>
            <w:r>
              <w:rPr>
                <w:rFonts w:ascii="宋体" w:hAnsi="宋体"/>
                <w:color w:val="auto"/>
                <w:sz w:val="24"/>
              </w:rPr>
              <w:t>根据</w:t>
            </w:r>
            <w:r>
              <w:rPr>
                <w:rFonts w:hint="eastAsia" w:ascii="宋体" w:hAnsi="宋体"/>
                <w:color w:val="auto"/>
                <w:sz w:val="24"/>
              </w:rPr>
              <w:t>本项目服务内容制定科学可行的</w:t>
            </w:r>
            <w:r>
              <w:rPr>
                <w:rFonts w:ascii="宋体" w:hAnsi="宋体"/>
                <w:color w:val="auto"/>
                <w:sz w:val="24"/>
              </w:rPr>
              <w:t>工作进度保障措施</w:t>
            </w:r>
            <w:r>
              <w:rPr>
                <w:rFonts w:hint="eastAsia" w:ascii="宋体" w:hAnsi="宋体"/>
                <w:color w:val="auto"/>
                <w:sz w:val="24"/>
              </w:rPr>
              <w:t>确保本项目按时保质完成。</w:t>
            </w:r>
            <w:r>
              <w:rPr>
                <w:rFonts w:hint="eastAsia" w:ascii="宋体" w:hAnsi="宋体" w:cs="宋体"/>
                <w:color w:val="auto"/>
                <w:sz w:val="24"/>
              </w:rPr>
              <w:t>工作进度保障措施内容应包含工作进度规划、把控及进度保障，每项内容得1分；</w:t>
            </w:r>
            <w:r>
              <w:rPr>
                <w:rFonts w:hint="eastAsia" w:ascii="宋体" w:hAnsi="宋体" w:cs="宋体"/>
                <w:color w:val="auto"/>
                <w:sz w:val="24"/>
                <w:lang w:bidi="ar"/>
              </w:rPr>
              <w:t>此项最高</w:t>
            </w:r>
            <w:r>
              <w:rPr>
                <w:rFonts w:ascii="宋体" w:hAnsi="宋体" w:cs="宋体"/>
                <w:color w:val="auto"/>
                <w:sz w:val="24"/>
                <w:lang w:bidi="ar"/>
              </w:rPr>
              <w:t>3</w:t>
            </w:r>
            <w:r>
              <w:rPr>
                <w:rFonts w:hint="eastAsia" w:ascii="宋体" w:hAnsi="宋体" w:cs="宋体"/>
                <w:color w:val="auto"/>
                <w:sz w:val="24"/>
                <w:lang w:bidi="ar"/>
              </w:rPr>
              <w:t>分，</w:t>
            </w:r>
            <w:r>
              <w:rPr>
                <w:rFonts w:hint="eastAsia" w:ascii="宋体" w:hAnsi="宋体" w:cs="宋体"/>
                <w:color w:val="auto"/>
                <w:sz w:val="24"/>
              </w:rPr>
              <w:t>不提供不得分</w:t>
            </w:r>
            <w:r>
              <w:rPr>
                <w:rFonts w:hint="eastAsia" w:ascii="宋体" w:hAnsi="宋体" w:cs="宋体"/>
                <w:color w:val="auto"/>
                <w:sz w:val="24"/>
              </w:rPr>
              <w:t>。</w:t>
            </w:r>
          </w:p>
        </w:tc>
      </w:tr>
      <w:tr>
        <w:tblPrEx>
          <w:tblCellMar>
            <w:top w:w="0" w:type="dxa"/>
            <w:left w:w="108" w:type="dxa"/>
            <w:bottom w:w="0" w:type="dxa"/>
            <w:right w:w="108" w:type="dxa"/>
          </w:tblCellMar>
        </w:tblPrEx>
        <w:trPr>
          <w:trHeight w:val="60" w:hRule="atLeast"/>
          <w:jc w:val="center"/>
        </w:trPr>
        <w:tc>
          <w:tcPr>
            <w:tcW w:w="2007" w:type="dxa"/>
            <w:vMerge w:val="continue"/>
            <w:tcBorders>
              <w:left w:val="single" w:color="auto" w:sz="4" w:space="0"/>
              <w:right w:val="single" w:color="auto" w:sz="4" w:space="0"/>
            </w:tcBorders>
            <w:vAlign w:val="center"/>
          </w:tcPr>
          <w:p>
            <w:pPr>
              <w:widowControl/>
              <w:jc w:val="center"/>
              <w:rPr>
                <w:rFonts w:ascii="宋体" w:hAnsi="宋体" w:cs="宋体"/>
                <w:color w:val="auto"/>
                <w:sz w:val="24"/>
              </w:rPr>
            </w:pPr>
          </w:p>
        </w:tc>
        <w:tc>
          <w:tcPr>
            <w:tcW w:w="8015" w:type="dxa"/>
            <w:gridSpan w:val="3"/>
            <w:tcBorders>
              <w:top w:val="single" w:color="auto" w:sz="4" w:space="0"/>
              <w:left w:val="single" w:color="auto" w:sz="4" w:space="0"/>
              <w:right w:val="single" w:color="auto" w:sz="4" w:space="0"/>
            </w:tcBorders>
            <w:vAlign w:val="center"/>
          </w:tcPr>
          <w:p>
            <w:pPr>
              <w:widowControl/>
              <w:snapToGrid w:val="0"/>
              <w:spacing w:line="276" w:lineRule="auto"/>
              <w:jc w:val="left"/>
              <w:rPr>
                <w:rFonts w:ascii="宋体" w:hAnsi="宋体" w:cs="宋体"/>
                <w:color w:val="auto"/>
                <w:sz w:val="24"/>
              </w:rPr>
            </w:pPr>
            <w:r>
              <w:rPr>
                <w:rFonts w:hint="eastAsia" w:ascii="宋体" w:hAnsi="宋体" w:cs="宋体"/>
                <w:color w:val="auto"/>
                <w:sz w:val="24"/>
              </w:rPr>
              <w:t>应急预案（3分）</w:t>
            </w:r>
          </w:p>
          <w:p>
            <w:pPr>
              <w:pStyle w:val="2"/>
              <w:ind w:firstLine="0" w:firstLineChars="0"/>
              <w:rPr>
                <w:rFonts w:ascii="宋体" w:hAnsi="宋体"/>
                <w:color w:val="auto"/>
                <w:sz w:val="24"/>
              </w:rPr>
            </w:pPr>
            <w:r>
              <w:rPr>
                <w:rFonts w:ascii="宋体" w:hAnsi="宋体"/>
                <w:color w:val="auto"/>
                <w:sz w:val="24"/>
              </w:rPr>
              <w:t>根据</w:t>
            </w:r>
            <w:r>
              <w:rPr>
                <w:rFonts w:hint="eastAsia" w:ascii="宋体" w:hAnsi="宋体"/>
                <w:color w:val="auto"/>
                <w:sz w:val="24"/>
              </w:rPr>
              <w:t>本项目服务内容制定</w:t>
            </w:r>
            <w:r>
              <w:rPr>
                <w:rFonts w:hint="eastAsia" w:ascii="宋体" w:hAnsi="宋体" w:cs="宋体"/>
                <w:color w:val="auto"/>
                <w:sz w:val="24"/>
              </w:rPr>
              <w:t>本项目的应急预案并</w:t>
            </w:r>
            <w:r>
              <w:rPr>
                <w:rFonts w:ascii="宋体" w:hAnsi="宋体"/>
                <w:color w:val="auto"/>
                <w:sz w:val="24"/>
              </w:rPr>
              <w:t>提供</w:t>
            </w:r>
            <w:r>
              <w:rPr>
                <w:rFonts w:hint="eastAsia" w:ascii="宋体" w:hAnsi="宋体"/>
                <w:color w:val="auto"/>
                <w:sz w:val="24"/>
              </w:rPr>
              <w:t>针对本项目</w:t>
            </w:r>
            <w:r>
              <w:rPr>
                <w:rFonts w:ascii="宋体" w:hAnsi="宋体"/>
                <w:color w:val="auto"/>
                <w:sz w:val="24"/>
              </w:rPr>
              <w:t>应急检测及安全作业管理程序</w:t>
            </w:r>
            <w:r>
              <w:rPr>
                <w:rFonts w:hint="eastAsia" w:ascii="宋体" w:hAnsi="宋体"/>
                <w:color w:val="auto"/>
                <w:sz w:val="24"/>
              </w:rPr>
              <w:t>，</w:t>
            </w:r>
            <w:r>
              <w:rPr>
                <w:rFonts w:hint="eastAsia" w:ascii="宋体" w:hAnsi="宋体" w:cs="宋体"/>
                <w:color w:val="auto"/>
                <w:sz w:val="24"/>
                <w:lang w:bidi="ar"/>
              </w:rPr>
              <w:t>此项最高</w:t>
            </w:r>
            <w:r>
              <w:rPr>
                <w:rFonts w:ascii="宋体" w:hAnsi="宋体" w:cs="宋体"/>
                <w:color w:val="auto"/>
                <w:sz w:val="24"/>
                <w:lang w:bidi="ar"/>
              </w:rPr>
              <w:t>3</w:t>
            </w:r>
            <w:r>
              <w:rPr>
                <w:rFonts w:hint="eastAsia" w:ascii="宋体" w:hAnsi="宋体" w:cs="宋体"/>
                <w:color w:val="auto"/>
                <w:sz w:val="24"/>
                <w:lang w:bidi="ar"/>
              </w:rPr>
              <w:t>分，</w:t>
            </w:r>
            <w:r>
              <w:rPr>
                <w:rFonts w:hint="eastAsia" w:ascii="宋体" w:hAnsi="宋体" w:cs="宋体"/>
                <w:color w:val="auto"/>
                <w:sz w:val="24"/>
              </w:rPr>
              <w:t>不提供不得分。</w:t>
            </w:r>
          </w:p>
        </w:tc>
      </w:tr>
      <w:tr>
        <w:tblPrEx>
          <w:tblCellMar>
            <w:top w:w="0" w:type="dxa"/>
            <w:left w:w="108" w:type="dxa"/>
            <w:bottom w:w="0" w:type="dxa"/>
            <w:right w:w="108" w:type="dxa"/>
          </w:tblCellMar>
        </w:tblPrEx>
        <w:trPr>
          <w:trHeight w:val="705" w:hRule="atLeast"/>
          <w:jc w:val="center"/>
        </w:trPr>
        <w:tc>
          <w:tcPr>
            <w:tcW w:w="2007" w:type="dxa"/>
            <w:vMerge w:val="restart"/>
            <w:tcBorders>
              <w:top w:val="single" w:color="auto" w:sz="4" w:space="0"/>
              <w:left w:val="single" w:color="auto" w:sz="4" w:space="0"/>
              <w:right w:val="single" w:color="auto" w:sz="4" w:space="0"/>
            </w:tcBorders>
            <w:vAlign w:val="center"/>
          </w:tcPr>
          <w:p>
            <w:pPr>
              <w:rPr>
                <w:rFonts w:ascii="宋体" w:hAnsi="宋体" w:cs="宋体"/>
                <w:color w:val="auto"/>
                <w:sz w:val="24"/>
              </w:rPr>
            </w:pPr>
            <w:r>
              <w:rPr>
                <w:rFonts w:hint="eastAsia" w:ascii="宋体" w:hAnsi="宋体" w:cs="宋体"/>
                <w:color w:val="auto"/>
                <w:sz w:val="24"/>
              </w:rPr>
              <w:t>综合部分（</w:t>
            </w:r>
            <w:r>
              <w:rPr>
                <w:rFonts w:ascii="宋体" w:hAnsi="宋体" w:cs="宋体"/>
                <w:color w:val="auto"/>
                <w:sz w:val="24"/>
              </w:rPr>
              <w:t>45</w:t>
            </w:r>
            <w:r>
              <w:rPr>
                <w:rFonts w:hint="eastAsia" w:ascii="宋体" w:hAnsi="宋体" w:cs="宋体"/>
                <w:color w:val="auto"/>
                <w:sz w:val="24"/>
              </w:rPr>
              <w:t>分</w:t>
            </w:r>
            <w:r>
              <w:rPr>
                <w:rFonts w:hint="eastAsia" w:ascii="宋体" w:hAnsi="宋体" w:cs="宋体"/>
                <w:color w:val="auto"/>
                <w:sz w:val="24"/>
              </w:rPr>
              <w:t>）</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auto"/>
                <w:sz w:val="24"/>
              </w:rPr>
            </w:pPr>
            <w:r>
              <w:rPr>
                <w:color w:val="auto"/>
              </w:rPr>
              <w:t>企业实力</w:t>
            </w:r>
            <w:r>
              <w:rPr>
                <w:rFonts w:hint="eastAsia"/>
                <w:color w:val="auto"/>
              </w:rPr>
              <w:t>（</w:t>
            </w:r>
            <w:r>
              <w:rPr>
                <w:color w:val="auto"/>
              </w:rPr>
              <w:t>6</w:t>
            </w:r>
            <w:r>
              <w:rPr>
                <w:rFonts w:hint="eastAsia"/>
                <w:color w:val="auto"/>
              </w:rPr>
              <w:t>分）</w:t>
            </w:r>
          </w:p>
        </w:tc>
        <w:tc>
          <w:tcPr>
            <w:tcW w:w="617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s="宋体"/>
                <w:color w:val="auto"/>
                <w:sz w:val="24"/>
                <w:lang w:bidi="ar"/>
              </w:rPr>
            </w:pPr>
            <w:r>
              <w:rPr>
                <w:rFonts w:hint="eastAsia" w:ascii="宋体" w:hAnsi="宋体" w:cs="宋体"/>
                <w:color w:val="auto"/>
                <w:sz w:val="24"/>
                <w:lang w:bidi="ar"/>
              </w:rPr>
              <w:t>1．</w:t>
            </w:r>
            <w:r>
              <w:rPr>
                <w:rFonts w:ascii="宋体" w:hAnsi="宋体" w:cs="宋体"/>
                <w:color w:val="auto"/>
                <w:sz w:val="24"/>
                <w:lang w:bidi="ar"/>
              </w:rPr>
              <w:t>投标人具有（有效期内）质量管理体系认证、环境管理体系认证、 职业健康安全管理体系认证的得 3 分，缺一项扣 1 分，扣完为止。</w:t>
            </w:r>
          </w:p>
          <w:p>
            <w:pPr>
              <w:pStyle w:val="29"/>
              <w:spacing w:before="0" w:after="0" w:line="360" w:lineRule="auto"/>
              <w:jc w:val="both"/>
              <w:rPr>
                <w:color w:val="auto"/>
                <w:szCs w:val="24"/>
              </w:rPr>
            </w:pPr>
            <w:r>
              <w:rPr>
                <w:rFonts w:cs="宋体"/>
                <w:color w:val="auto"/>
                <w:lang w:bidi="ar"/>
              </w:rPr>
              <w:t>2</w:t>
            </w:r>
            <w:r>
              <w:rPr>
                <w:rFonts w:hint="eastAsia" w:cs="宋体"/>
                <w:color w:val="auto"/>
                <w:lang w:bidi="ar"/>
              </w:rPr>
              <w:t>．投标人（除项目负责人外）项目参与人员有环保相关专业中级职称得3分，（提供劳务合同及2</w:t>
            </w:r>
            <w:r>
              <w:rPr>
                <w:rFonts w:cs="宋体"/>
                <w:color w:val="auto"/>
                <w:lang w:bidi="ar"/>
              </w:rPr>
              <w:t>023</w:t>
            </w:r>
            <w:r>
              <w:rPr>
                <w:rFonts w:hint="eastAsia" w:cs="宋体"/>
                <w:color w:val="auto"/>
                <w:lang w:bidi="ar"/>
              </w:rPr>
              <w:t>年1月1日以来连续</w:t>
            </w:r>
            <w:r>
              <w:rPr>
                <w:rFonts w:cs="宋体"/>
                <w:color w:val="auto"/>
                <w:lang w:bidi="ar"/>
              </w:rPr>
              <w:t>3</w:t>
            </w:r>
            <w:r>
              <w:rPr>
                <w:rFonts w:hint="eastAsia" w:cs="宋体"/>
                <w:color w:val="auto"/>
                <w:lang w:bidi="ar"/>
              </w:rPr>
              <w:t>个月以上社保证明，</w:t>
            </w:r>
            <w:r>
              <w:rPr>
                <w:rFonts w:hint="eastAsia"/>
                <w:color w:val="auto"/>
                <w:szCs w:val="24"/>
              </w:rPr>
              <w:t>(新成立公司不满三个月的，需提供相关部门出具的纳税零申报证明材料)</w:t>
            </w:r>
            <w:r>
              <w:rPr>
                <w:rFonts w:hint="eastAsia" w:cs="宋体"/>
                <w:color w:val="auto"/>
                <w:lang w:bidi="ar"/>
              </w:rPr>
              <w:t>未提供不得分。</w:t>
            </w:r>
          </w:p>
        </w:tc>
      </w:tr>
      <w:tr>
        <w:tblPrEx>
          <w:tblCellMar>
            <w:top w:w="0" w:type="dxa"/>
            <w:left w:w="108" w:type="dxa"/>
            <w:bottom w:w="0" w:type="dxa"/>
            <w:right w:w="108" w:type="dxa"/>
          </w:tblCellMar>
        </w:tblPrEx>
        <w:trPr>
          <w:trHeight w:val="705" w:hRule="atLeast"/>
          <w:jc w:val="center"/>
        </w:trPr>
        <w:tc>
          <w:tcPr>
            <w:tcW w:w="2007" w:type="dxa"/>
            <w:vMerge w:val="continue"/>
            <w:tcBorders>
              <w:left w:val="single" w:color="auto" w:sz="4" w:space="0"/>
              <w:right w:val="single" w:color="auto" w:sz="4" w:space="0"/>
            </w:tcBorders>
            <w:vAlign w:val="center"/>
          </w:tcPr>
          <w:p>
            <w:pPr>
              <w:rPr>
                <w:rFonts w:ascii="宋体" w:hAnsi="宋体" w:cs="宋体"/>
                <w:color w:val="auto"/>
                <w:sz w:val="24"/>
              </w:rPr>
            </w:pPr>
          </w:p>
        </w:tc>
        <w:tc>
          <w:tcPr>
            <w:tcW w:w="1843" w:type="dxa"/>
            <w:tcBorders>
              <w:top w:val="single" w:color="auto" w:sz="4" w:space="0"/>
              <w:left w:val="single" w:color="auto" w:sz="4" w:space="0"/>
              <w:bottom w:val="single" w:color="auto" w:sz="4" w:space="0"/>
              <w:right w:val="single" w:color="auto" w:sz="4" w:space="0"/>
            </w:tcBorders>
            <w:vAlign w:val="center"/>
          </w:tcPr>
          <w:p>
            <w:pPr>
              <w:pStyle w:val="40"/>
              <w:widowControl/>
              <w:autoSpaceDE/>
              <w:spacing w:line="400" w:lineRule="exact"/>
              <w:jc w:val="center"/>
              <w:rPr>
                <w:rFonts w:hint="default" w:ascii="宋体" w:hAnsi="宋体" w:eastAsia="宋体" w:cs="宋体"/>
                <w:color w:val="auto"/>
                <w:kern w:val="2"/>
              </w:rPr>
            </w:pPr>
            <w:r>
              <w:rPr>
                <w:rFonts w:ascii="宋体" w:hAnsi="宋体" w:eastAsia="宋体" w:cs="宋体"/>
                <w:color w:val="auto"/>
                <w:szCs w:val="24"/>
                <w:lang w:bidi="ar"/>
              </w:rPr>
              <w:t xml:space="preserve">承 </w:t>
            </w:r>
            <w:r>
              <w:rPr>
                <w:rFonts w:hint="default" w:ascii="宋体" w:hAnsi="宋体" w:eastAsia="宋体" w:cs="宋体"/>
                <w:color w:val="auto"/>
                <w:szCs w:val="24"/>
                <w:lang w:bidi="ar"/>
              </w:rPr>
              <w:t xml:space="preserve"> </w:t>
            </w:r>
            <w:r>
              <w:rPr>
                <w:rFonts w:ascii="宋体" w:hAnsi="宋体" w:eastAsia="宋体" w:cs="宋体"/>
                <w:color w:val="auto"/>
                <w:szCs w:val="24"/>
                <w:lang w:bidi="ar"/>
              </w:rPr>
              <w:t>诺（</w:t>
            </w:r>
            <w:r>
              <w:rPr>
                <w:rFonts w:hint="default" w:ascii="宋体" w:hAnsi="宋体" w:eastAsia="宋体" w:cs="宋体"/>
                <w:color w:val="auto"/>
                <w:szCs w:val="24"/>
                <w:lang w:bidi="ar"/>
              </w:rPr>
              <w:t>10</w:t>
            </w:r>
            <w:r>
              <w:rPr>
                <w:rFonts w:ascii="宋体" w:hAnsi="宋体" w:eastAsia="宋体" w:cs="宋体"/>
                <w:color w:val="auto"/>
                <w:szCs w:val="24"/>
                <w:lang w:bidi="ar"/>
              </w:rPr>
              <w:t>分）</w:t>
            </w:r>
          </w:p>
        </w:tc>
        <w:tc>
          <w:tcPr>
            <w:tcW w:w="6172" w:type="dxa"/>
            <w:gridSpan w:val="2"/>
            <w:tcBorders>
              <w:top w:val="single" w:color="auto" w:sz="4" w:space="0"/>
              <w:left w:val="single" w:color="auto" w:sz="4" w:space="0"/>
              <w:bottom w:val="single" w:color="auto" w:sz="4" w:space="0"/>
              <w:right w:val="single" w:color="auto" w:sz="4" w:space="0"/>
            </w:tcBorders>
            <w:vAlign w:val="center"/>
          </w:tcPr>
          <w:p>
            <w:pPr>
              <w:pStyle w:val="40"/>
              <w:widowControl/>
              <w:spacing w:line="360" w:lineRule="exact"/>
              <w:rPr>
                <w:rFonts w:hint="default" w:ascii="宋体" w:hAnsi="宋体" w:eastAsia="宋体" w:cs="宋体"/>
                <w:color w:val="auto"/>
                <w:szCs w:val="24"/>
              </w:rPr>
            </w:pPr>
            <w:r>
              <w:rPr>
                <w:rFonts w:ascii="宋体" w:hAnsi="宋体" w:eastAsia="宋体" w:cs="宋体"/>
                <w:color w:val="auto"/>
                <w:szCs w:val="24"/>
              </w:rPr>
              <w:t>1</w:t>
            </w:r>
            <w:r>
              <w:rPr>
                <w:rFonts w:hint="default" w:ascii="宋体" w:hAnsi="宋体" w:eastAsia="宋体" w:cs="宋体"/>
                <w:color w:val="auto"/>
                <w:szCs w:val="24"/>
              </w:rPr>
              <w:t>.</w:t>
            </w:r>
            <w:r>
              <w:rPr>
                <w:rFonts w:ascii="宋体" w:hAnsi="宋体" w:eastAsia="宋体" w:cs="宋体"/>
                <w:color w:val="auto"/>
                <w:szCs w:val="24"/>
              </w:rPr>
              <w:t>根据本项目服务内容提供服务承诺，服务承诺内容应包含：质量承诺、进度承诺、安全规范作业承诺，每提供一项得2</w:t>
            </w:r>
            <w:r>
              <w:rPr>
                <w:rFonts w:hint="default" w:ascii="宋体" w:hAnsi="宋体" w:eastAsia="宋体" w:cs="宋体"/>
                <w:color w:val="auto"/>
                <w:szCs w:val="24"/>
              </w:rPr>
              <w:t xml:space="preserve"> </w:t>
            </w:r>
            <w:r>
              <w:rPr>
                <w:rFonts w:ascii="宋体" w:hAnsi="宋体" w:eastAsia="宋体" w:cs="宋体"/>
                <w:color w:val="auto"/>
                <w:szCs w:val="24"/>
              </w:rPr>
              <w:t>分，最高6分，未提供不得分。</w:t>
            </w:r>
          </w:p>
          <w:p>
            <w:pPr>
              <w:pStyle w:val="40"/>
              <w:widowControl/>
              <w:spacing w:line="360" w:lineRule="exact"/>
              <w:rPr>
                <w:rFonts w:ascii="宋体" w:hAnsi="宋体" w:eastAsia="宋体" w:cs="宋体"/>
                <w:color w:val="auto"/>
              </w:rPr>
            </w:pPr>
            <w:r>
              <w:rPr>
                <w:rFonts w:ascii="宋体" w:hAnsi="宋体" w:eastAsia="宋体" w:cs="宋体"/>
                <w:color w:val="auto"/>
              </w:rPr>
              <w:t>2</w:t>
            </w:r>
            <w:r>
              <w:rPr>
                <w:rFonts w:hint="default" w:ascii="宋体" w:hAnsi="宋体" w:eastAsia="宋体" w:cs="宋体"/>
                <w:color w:val="auto"/>
              </w:rPr>
              <w:t>.</w:t>
            </w:r>
            <w:r>
              <w:rPr>
                <w:rFonts w:ascii="宋体" w:hAnsi="宋体" w:eastAsia="宋体" w:cs="宋体"/>
                <w:color w:val="auto"/>
              </w:rPr>
              <w:t>根据投标人在文件中做出服务及优惠承诺中打分：提供满足使用需求相关的实质性优惠条件。服务及质量保障体系得</w:t>
            </w:r>
            <w:r>
              <w:rPr>
                <w:rFonts w:hint="default" w:ascii="宋体" w:hAnsi="宋体" w:eastAsia="宋体" w:cs="宋体"/>
                <w:color w:val="auto"/>
              </w:rPr>
              <w:t>2</w:t>
            </w:r>
            <w:r>
              <w:rPr>
                <w:rFonts w:ascii="宋体" w:hAnsi="宋体" w:eastAsia="宋体" w:cs="宋体"/>
                <w:color w:val="auto"/>
              </w:rPr>
              <w:t>分、服务人员的技术水平及现场服务措施得</w:t>
            </w:r>
            <w:r>
              <w:rPr>
                <w:rFonts w:hint="default" w:ascii="宋体" w:hAnsi="宋体" w:eastAsia="宋体" w:cs="宋体"/>
                <w:color w:val="auto"/>
              </w:rPr>
              <w:t>3</w:t>
            </w:r>
            <w:r>
              <w:rPr>
                <w:rFonts w:ascii="宋体" w:hAnsi="宋体" w:eastAsia="宋体" w:cs="宋体"/>
                <w:color w:val="auto"/>
              </w:rPr>
              <w:t>分（包括响应时间、服务范围）。此项</w:t>
            </w:r>
            <w:r>
              <w:rPr>
                <w:rFonts w:ascii="宋体" w:hAnsi="宋体" w:eastAsia="宋体" w:cs="宋体"/>
                <w:color w:val="auto"/>
                <w:szCs w:val="24"/>
              </w:rPr>
              <w:t>最高</w:t>
            </w:r>
            <w:r>
              <w:rPr>
                <w:rFonts w:hint="default" w:ascii="宋体" w:hAnsi="宋体" w:eastAsia="宋体" w:cs="宋体"/>
                <w:color w:val="auto"/>
                <w:szCs w:val="24"/>
              </w:rPr>
              <w:t>2</w:t>
            </w:r>
            <w:r>
              <w:rPr>
                <w:rFonts w:ascii="宋体" w:hAnsi="宋体" w:eastAsia="宋体" w:cs="宋体"/>
                <w:color w:val="auto"/>
                <w:szCs w:val="24"/>
              </w:rPr>
              <w:t>分，未提供不得分。</w:t>
            </w:r>
          </w:p>
        </w:tc>
      </w:tr>
      <w:tr>
        <w:tblPrEx>
          <w:tblCellMar>
            <w:top w:w="0" w:type="dxa"/>
            <w:left w:w="108" w:type="dxa"/>
            <w:bottom w:w="0" w:type="dxa"/>
            <w:right w:w="108" w:type="dxa"/>
          </w:tblCellMar>
        </w:tblPrEx>
        <w:trPr>
          <w:trHeight w:val="705" w:hRule="atLeast"/>
          <w:jc w:val="center"/>
        </w:trPr>
        <w:tc>
          <w:tcPr>
            <w:tcW w:w="2007" w:type="dxa"/>
            <w:vMerge w:val="continue"/>
            <w:tcBorders>
              <w:left w:val="single" w:color="auto" w:sz="4" w:space="0"/>
              <w:right w:val="single" w:color="auto" w:sz="4" w:space="0"/>
            </w:tcBorders>
            <w:vAlign w:val="center"/>
          </w:tcPr>
          <w:p>
            <w:pPr>
              <w:rPr>
                <w:rFonts w:ascii="宋体" w:hAnsi="宋体" w:cs="宋体"/>
                <w:color w:val="auto"/>
                <w:sz w:val="24"/>
              </w:rPr>
            </w:pPr>
          </w:p>
        </w:tc>
        <w:tc>
          <w:tcPr>
            <w:tcW w:w="184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 w:val="24"/>
                <w:lang w:bidi="ar"/>
              </w:rPr>
            </w:pPr>
            <w:r>
              <w:rPr>
                <w:rFonts w:hint="eastAsia" w:ascii="宋体" w:hAnsi="宋体" w:cs="宋体"/>
                <w:color w:val="auto"/>
                <w:sz w:val="24"/>
                <w:lang w:bidi="ar"/>
              </w:rPr>
              <w:t>业绩（8分）</w:t>
            </w:r>
          </w:p>
        </w:tc>
        <w:tc>
          <w:tcPr>
            <w:tcW w:w="6172"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sz w:val="24"/>
                <w:lang w:bidi="ar"/>
              </w:rPr>
            </w:pPr>
            <w:r>
              <w:rPr>
                <w:rFonts w:hint="eastAsia" w:ascii="宋体" w:hAnsi="宋体" w:cs="宋体"/>
                <w:color w:val="auto"/>
                <w:sz w:val="24"/>
                <w:lang w:bidi="ar"/>
              </w:rPr>
              <w:t>具有20</w:t>
            </w:r>
            <w:r>
              <w:rPr>
                <w:rFonts w:ascii="宋体" w:hAnsi="宋体" w:cs="宋体"/>
                <w:color w:val="auto"/>
                <w:sz w:val="24"/>
                <w:lang w:bidi="ar"/>
              </w:rPr>
              <w:t>20</w:t>
            </w:r>
            <w:r>
              <w:rPr>
                <w:rFonts w:hint="eastAsia" w:ascii="宋体" w:hAnsi="宋体" w:cs="宋体"/>
                <w:color w:val="auto"/>
                <w:sz w:val="24"/>
                <w:lang w:bidi="ar"/>
              </w:rPr>
              <w:t>年1月1日以来完成过的类似项目业绩；</w:t>
            </w:r>
          </w:p>
          <w:p>
            <w:pPr>
              <w:spacing w:line="440" w:lineRule="exact"/>
              <w:rPr>
                <w:rFonts w:ascii="宋体" w:hAnsi="宋体" w:cs="宋体"/>
                <w:color w:val="auto"/>
                <w:sz w:val="24"/>
                <w:lang w:bidi="ar"/>
              </w:rPr>
            </w:pPr>
            <w:r>
              <w:rPr>
                <w:rFonts w:hint="eastAsia" w:ascii="宋体" w:hAnsi="宋体" w:cs="宋体"/>
                <w:color w:val="auto"/>
                <w:sz w:val="24"/>
                <w:lang w:bidi="ar"/>
              </w:rPr>
              <w:t>每提供一份类似业绩得</w:t>
            </w:r>
            <w:r>
              <w:rPr>
                <w:rFonts w:ascii="宋体" w:hAnsi="宋体" w:cs="宋体"/>
                <w:color w:val="auto"/>
                <w:sz w:val="24"/>
                <w:lang w:bidi="ar"/>
              </w:rPr>
              <w:t>2</w:t>
            </w:r>
            <w:r>
              <w:rPr>
                <w:rFonts w:hint="eastAsia" w:ascii="宋体" w:hAnsi="宋体" w:cs="宋体"/>
                <w:color w:val="auto"/>
                <w:sz w:val="24"/>
                <w:lang w:bidi="ar"/>
              </w:rPr>
              <w:t>分，此项最高8分，未提供不得分。</w:t>
            </w:r>
            <w:r>
              <w:rPr>
                <w:rFonts w:ascii="宋体" w:hAnsi="宋体" w:cs="宋体"/>
                <w:color w:val="auto"/>
                <w:sz w:val="24"/>
                <w:lang w:bidi="ar"/>
              </w:rPr>
              <w:t xml:space="preserve"> </w:t>
            </w:r>
          </w:p>
          <w:p>
            <w:pPr>
              <w:spacing w:line="440" w:lineRule="exact"/>
              <w:rPr>
                <w:rFonts w:ascii="宋体" w:hAnsi="宋体" w:cs="宋体"/>
                <w:color w:val="auto"/>
                <w:sz w:val="24"/>
                <w:lang w:bidi="ar"/>
              </w:rPr>
            </w:pPr>
            <w:r>
              <w:rPr>
                <w:color w:val="auto"/>
              </w:rPr>
              <w:t>备注</w:t>
            </w:r>
            <w:r>
              <w:rPr>
                <w:rFonts w:hint="eastAsia"/>
                <w:color w:val="auto"/>
              </w:rPr>
              <w:t>：</w:t>
            </w:r>
            <w:r>
              <w:rPr>
                <w:rFonts w:hint="eastAsia" w:ascii="宋体" w:hAnsi="宋体" w:cs="宋体"/>
                <w:color w:val="auto"/>
                <w:sz w:val="24"/>
                <w:lang w:bidi="ar"/>
              </w:rPr>
              <w:t>以上业绩需要同时提供中标通知书和合同原件的扫描件。</w:t>
            </w:r>
          </w:p>
        </w:tc>
      </w:tr>
      <w:tr>
        <w:tblPrEx>
          <w:tblCellMar>
            <w:top w:w="0" w:type="dxa"/>
            <w:left w:w="108" w:type="dxa"/>
            <w:bottom w:w="0" w:type="dxa"/>
            <w:right w:w="108" w:type="dxa"/>
          </w:tblCellMar>
        </w:tblPrEx>
        <w:trPr>
          <w:trHeight w:val="705" w:hRule="atLeast"/>
          <w:jc w:val="center"/>
        </w:trPr>
        <w:tc>
          <w:tcPr>
            <w:tcW w:w="2007" w:type="dxa"/>
            <w:vMerge w:val="continue"/>
            <w:tcBorders>
              <w:left w:val="single" w:color="auto" w:sz="4" w:space="0"/>
              <w:right w:val="single" w:color="auto" w:sz="4" w:space="0"/>
            </w:tcBorders>
            <w:vAlign w:val="center"/>
          </w:tcPr>
          <w:p>
            <w:pPr>
              <w:rPr>
                <w:rFonts w:ascii="宋体" w:hAnsi="宋体" w:cs="宋体"/>
                <w:color w:val="auto"/>
                <w:sz w:val="24"/>
              </w:rPr>
            </w:pPr>
          </w:p>
        </w:tc>
        <w:tc>
          <w:tcPr>
            <w:tcW w:w="184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sz w:val="24"/>
                <w:lang w:bidi="ar"/>
              </w:rPr>
            </w:pPr>
            <w:r>
              <w:rPr>
                <w:color w:val="auto"/>
              </w:rPr>
              <w:t>人员配备</w:t>
            </w:r>
            <w:r>
              <w:rPr>
                <w:rFonts w:hint="eastAsia"/>
                <w:color w:val="auto"/>
              </w:rPr>
              <w:t>（5分）</w:t>
            </w:r>
          </w:p>
        </w:tc>
        <w:tc>
          <w:tcPr>
            <w:tcW w:w="6172"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olor w:val="auto"/>
                <w:sz w:val="24"/>
              </w:rPr>
            </w:pPr>
            <w:r>
              <w:rPr>
                <w:rFonts w:ascii="宋体" w:hAnsi="宋体"/>
                <w:color w:val="auto"/>
                <w:sz w:val="24"/>
              </w:rPr>
              <w:t>投标人为本项目配备的采样、分析、质控的合计人员数量≥30 人， 得 5 分；20 人≤人员数量＜30 人，得 3 分；人员数量＜20 人的，</w:t>
            </w:r>
            <w:r>
              <w:rPr>
                <w:rFonts w:hint="eastAsia" w:ascii="宋体" w:hAnsi="宋体"/>
                <w:color w:val="auto"/>
                <w:sz w:val="24"/>
              </w:rPr>
              <w:t>得1</w:t>
            </w:r>
            <w:r>
              <w:rPr>
                <w:rFonts w:ascii="宋体" w:hAnsi="宋体"/>
                <w:color w:val="auto"/>
                <w:sz w:val="24"/>
              </w:rPr>
              <w:t>分。</w:t>
            </w:r>
            <w:r>
              <w:rPr>
                <w:rFonts w:hint="eastAsia" w:ascii="宋体" w:hAnsi="宋体"/>
                <w:color w:val="auto"/>
                <w:sz w:val="24"/>
              </w:rPr>
              <w:t>此项最高5分，未提供不得分。</w:t>
            </w:r>
          </w:p>
          <w:p>
            <w:pPr>
              <w:pStyle w:val="29"/>
              <w:spacing w:before="0" w:after="0" w:line="360" w:lineRule="auto"/>
              <w:jc w:val="both"/>
              <w:rPr>
                <w:color w:val="auto"/>
                <w:szCs w:val="24"/>
              </w:rPr>
            </w:pPr>
            <w:r>
              <w:rPr>
                <w:color w:val="auto"/>
              </w:rPr>
              <w:t>备注：</w:t>
            </w:r>
            <w:r>
              <w:rPr>
                <w:rFonts w:hint="eastAsia" w:cs="宋体"/>
                <w:color w:val="auto"/>
                <w:lang w:bidi="ar"/>
              </w:rPr>
              <w:t>提供2</w:t>
            </w:r>
            <w:r>
              <w:rPr>
                <w:rFonts w:cs="宋体"/>
                <w:color w:val="auto"/>
                <w:lang w:bidi="ar"/>
              </w:rPr>
              <w:t>023</w:t>
            </w:r>
            <w:r>
              <w:rPr>
                <w:rFonts w:hint="eastAsia" w:cs="宋体"/>
                <w:color w:val="auto"/>
                <w:lang w:bidi="ar"/>
              </w:rPr>
              <w:t>年1月1日以来连续</w:t>
            </w:r>
            <w:r>
              <w:rPr>
                <w:rFonts w:cs="宋体"/>
                <w:color w:val="auto"/>
                <w:lang w:bidi="ar"/>
              </w:rPr>
              <w:t>3</w:t>
            </w:r>
            <w:r>
              <w:rPr>
                <w:rFonts w:hint="eastAsia" w:cs="宋体"/>
                <w:color w:val="auto"/>
                <w:lang w:bidi="ar"/>
              </w:rPr>
              <w:t>个月社保证明</w:t>
            </w:r>
            <w:r>
              <w:rPr>
                <w:rFonts w:hint="eastAsia"/>
                <w:color w:val="auto"/>
                <w:szCs w:val="24"/>
              </w:rPr>
              <w:t>(新成立公司不满三个月的，需提供相关部门出具的纳税零申报证明材料)</w:t>
            </w:r>
          </w:p>
        </w:tc>
      </w:tr>
      <w:tr>
        <w:tblPrEx>
          <w:tblCellMar>
            <w:top w:w="0" w:type="dxa"/>
            <w:left w:w="108" w:type="dxa"/>
            <w:bottom w:w="0" w:type="dxa"/>
            <w:right w:w="108" w:type="dxa"/>
          </w:tblCellMar>
        </w:tblPrEx>
        <w:trPr>
          <w:trHeight w:val="705" w:hRule="atLeast"/>
          <w:jc w:val="center"/>
        </w:trPr>
        <w:tc>
          <w:tcPr>
            <w:tcW w:w="2007" w:type="dxa"/>
            <w:vMerge w:val="continue"/>
            <w:tcBorders>
              <w:left w:val="single" w:color="auto" w:sz="4" w:space="0"/>
              <w:right w:val="single" w:color="auto" w:sz="4" w:space="0"/>
            </w:tcBorders>
            <w:vAlign w:val="center"/>
          </w:tcPr>
          <w:p>
            <w:pPr>
              <w:rPr>
                <w:rFonts w:ascii="宋体" w:hAnsi="宋体" w:cs="宋体"/>
                <w:color w:val="auto"/>
                <w:sz w:val="24"/>
              </w:rPr>
            </w:pPr>
          </w:p>
        </w:tc>
        <w:tc>
          <w:tcPr>
            <w:tcW w:w="184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sz w:val="24"/>
                <w:lang w:bidi="ar"/>
              </w:rPr>
            </w:pPr>
            <w:r>
              <w:rPr>
                <w:color w:val="auto"/>
              </w:rPr>
              <w:t>车辆配备</w:t>
            </w:r>
            <w:r>
              <w:rPr>
                <w:rFonts w:hint="eastAsia"/>
                <w:color w:val="auto"/>
              </w:rPr>
              <w:t>（5分）</w:t>
            </w:r>
          </w:p>
        </w:tc>
        <w:tc>
          <w:tcPr>
            <w:tcW w:w="6172"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sz w:val="24"/>
                <w:lang w:bidi="ar"/>
              </w:rPr>
            </w:pPr>
            <w:r>
              <w:rPr>
                <w:rFonts w:ascii="宋体" w:hAnsi="宋体"/>
                <w:color w:val="auto"/>
                <w:sz w:val="24"/>
              </w:rPr>
              <w:t>投标人可提供 2 辆采样车辆的得 1 分；每增加 1 辆加 1 分，最多得 5 分。 注：需提供车辆</w:t>
            </w:r>
            <w:r>
              <w:rPr>
                <w:rFonts w:hint="eastAsia" w:ascii="宋体" w:hAnsi="宋体"/>
                <w:color w:val="auto"/>
                <w:sz w:val="24"/>
              </w:rPr>
              <w:t>行驶证或</w:t>
            </w:r>
            <w:r>
              <w:rPr>
                <w:rFonts w:ascii="宋体" w:hAnsi="宋体"/>
                <w:color w:val="auto"/>
                <w:sz w:val="24"/>
              </w:rPr>
              <w:t>相关证明材料（自有车辆提供车辆购置手续，租赁车辆提供租赁证明）。</w:t>
            </w:r>
          </w:p>
        </w:tc>
      </w:tr>
      <w:tr>
        <w:tblPrEx>
          <w:tblCellMar>
            <w:top w:w="0" w:type="dxa"/>
            <w:left w:w="108" w:type="dxa"/>
            <w:bottom w:w="0" w:type="dxa"/>
            <w:right w:w="108" w:type="dxa"/>
          </w:tblCellMar>
        </w:tblPrEx>
        <w:trPr>
          <w:trHeight w:val="705" w:hRule="atLeast"/>
          <w:jc w:val="center"/>
        </w:trPr>
        <w:tc>
          <w:tcPr>
            <w:tcW w:w="2007" w:type="dxa"/>
            <w:vMerge w:val="continue"/>
            <w:tcBorders>
              <w:left w:val="single" w:color="auto" w:sz="4" w:space="0"/>
              <w:right w:val="single" w:color="auto" w:sz="4" w:space="0"/>
            </w:tcBorders>
            <w:vAlign w:val="center"/>
          </w:tcPr>
          <w:p>
            <w:pPr>
              <w:jc w:val="center"/>
              <w:rPr>
                <w:rFonts w:ascii="宋体" w:hAnsi="宋体" w:cs="宋体"/>
                <w:color w:val="auto"/>
                <w:sz w:val="24"/>
              </w:rPr>
            </w:pPr>
          </w:p>
        </w:tc>
        <w:tc>
          <w:tcPr>
            <w:tcW w:w="184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sz w:val="24"/>
                <w:lang w:bidi="ar"/>
              </w:rPr>
            </w:pPr>
            <w:r>
              <w:rPr>
                <w:color w:val="auto"/>
              </w:rPr>
              <w:t>设备配备</w:t>
            </w:r>
            <w:r>
              <w:rPr>
                <w:rFonts w:hint="eastAsia"/>
                <w:color w:val="auto"/>
              </w:rPr>
              <w:t>（</w:t>
            </w:r>
            <w:r>
              <w:rPr>
                <w:color w:val="auto"/>
              </w:rPr>
              <w:t>5</w:t>
            </w:r>
            <w:r>
              <w:rPr>
                <w:rFonts w:hint="eastAsia"/>
                <w:color w:val="auto"/>
              </w:rPr>
              <w:t>分）</w:t>
            </w:r>
          </w:p>
        </w:tc>
        <w:tc>
          <w:tcPr>
            <w:tcW w:w="6172" w:type="dxa"/>
            <w:gridSpan w:val="2"/>
            <w:tcBorders>
              <w:top w:val="single" w:color="auto" w:sz="4" w:space="0"/>
              <w:left w:val="single" w:color="auto" w:sz="4" w:space="0"/>
              <w:bottom w:val="single" w:color="auto" w:sz="4" w:space="0"/>
              <w:right w:val="single" w:color="auto" w:sz="4" w:space="0"/>
            </w:tcBorders>
            <w:vAlign w:val="center"/>
          </w:tcPr>
          <w:p>
            <w:pPr>
              <w:pStyle w:val="63"/>
              <w:wordWrap w:val="0"/>
              <w:autoSpaceDE/>
              <w:autoSpaceDN/>
              <w:spacing w:line="360" w:lineRule="auto"/>
              <w:jc w:val="both"/>
              <w:rPr>
                <w:color w:val="auto"/>
                <w:sz w:val="24"/>
                <w:szCs w:val="24"/>
              </w:rPr>
            </w:pPr>
            <w:r>
              <w:rPr>
                <w:rFonts w:hint="eastAsia"/>
                <w:color w:val="auto"/>
                <w:sz w:val="24"/>
                <w:szCs w:val="24"/>
                <w:lang w:val="en-US"/>
              </w:rPr>
              <w:t>供应商</w:t>
            </w:r>
            <w:r>
              <w:rPr>
                <w:rFonts w:hint="eastAsia"/>
                <w:color w:val="auto"/>
                <w:sz w:val="24"/>
                <w:szCs w:val="24"/>
              </w:rPr>
              <w:t>具备与开展</w:t>
            </w:r>
            <w:r>
              <w:rPr>
                <w:rFonts w:hint="eastAsia"/>
                <w:color w:val="auto"/>
                <w:sz w:val="24"/>
                <w:szCs w:val="24"/>
                <w:lang w:val="en-US"/>
              </w:rPr>
              <w:t>本项目</w:t>
            </w:r>
            <w:r>
              <w:rPr>
                <w:rFonts w:hint="eastAsia"/>
                <w:color w:val="auto"/>
                <w:sz w:val="24"/>
                <w:szCs w:val="24"/>
              </w:rPr>
              <w:t>业务相适应的检测仪器设备：</w:t>
            </w:r>
            <w:r>
              <w:rPr>
                <w:rFonts w:hint="eastAsia"/>
                <w:color w:val="auto"/>
                <w:sz w:val="24"/>
                <w:szCs w:val="24"/>
                <w:lang w:val="en-US"/>
              </w:rPr>
              <w:t>包括</w:t>
            </w:r>
            <w:r>
              <w:rPr>
                <w:rFonts w:hint="eastAsia"/>
                <w:color w:val="auto"/>
                <w:sz w:val="24"/>
                <w:szCs w:val="24"/>
              </w:rPr>
              <w:t>pH计、可见分光光度计、紫外可见分光光度计、便携式溶氧仪、原子吸收分光光度计、原子荧光光度计、原子吸收分光光度计、红外分光测油仪、笔式pH计、便携式多参数分析仪。</w:t>
            </w:r>
            <w:r>
              <w:rPr>
                <w:rFonts w:hint="eastAsia"/>
                <w:color w:val="auto"/>
                <w:sz w:val="24"/>
                <w:szCs w:val="24"/>
                <w:lang w:val="en-US"/>
              </w:rPr>
              <w:t>以上设备每提供一种可得</w:t>
            </w:r>
            <w:r>
              <w:rPr>
                <w:color w:val="auto"/>
                <w:sz w:val="24"/>
                <w:szCs w:val="24"/>
                <w:lang w:val="en-US"/>
              </w:rPr>
              <w:t>0</w:t>
            </w:r>
            <w:r>
              <w:rPr>
                <w:rFonts w:hint="eastAsia"/>
                <w:color w:val="auto"/>
                <w:sz w:val="24"/>
                <w:szCs w:val="24"/>
                <w:lang w:val="en-US"/>
              </w:rPr>
              <w:t>.5分</w:t>
            </w:r>
            <w:r>
              <w:rPr>
                <w:rFonts w:hint="eastAsia"/>
                <w:color w:val="auto"/>
                <w:sz w:val="24"/>
                <w:szCs w:val="24"/>
              </w:rPr>
              <w:t>，</w:t>
            </w:r>
            <w:r>
              <w:rPr>
                <w:rFonts w:hint="eastAsia"/>
                <w:color w:val="auto"/>
                <w:sz w:val="24"/>
                <w:szCs w:val="24"/>
                <w:lang w:val="en-US"/>
              </w:rPr>
              <w:t>以上各种设备</w:t>
            </w:r>
            <w:r>
              <w:rPr>
                <w:rFonts w:hint="eastAsia"/>
                <w:color w:val="auto"/>
                <w:sz w:val="24"/>
                <w:szCs w:val="24"/>
              </w:rPr>
              <w:t>全部</w:t>
            </w:r>
            <w:r>
              <w:rPr>
                <w:rFonts w:hint="eastAsia"/>
                <w:color w:val="auto"/>
                <w:sz w:val="24"/>
                <w:szCs w:val="24"/>
                <w:lang w:val="en-US"/>
              </w:rPr>
              <w:t>具备的最多可</w:t>
            </w:r>
            <w:r>
              <w:rPr>
                <w:rFonts w:hint="eastAsia"/>
                <w:color w:val="auto"/>
                <w:sz w:val="24"/>
                <w:szCs w:val="24"/>
              </w:rPr>
              <w:t>得</w:t>
            </w:r>
            <w:r>
              <w:rPr>
                <w:color w:val="auto"/>
                <w:sz w:val="24"/>
                <w:szCs w:val="24"/>
                <w:lang w:val="en-US"/>
              </w:rPr>
              <w:t>5</w:t>
            </w:r>
            <w:r>
              <w:rPr>
                <w:rFonts w:hint="eastAsia"/>
                <w:color w:val="auto"/>
                <w:sz w:val="24"/>
                <w:szCs w:val="24"/>
              </w:rPr>
              <w:t>分。</w:t>
            </w:r>
          </w:p>
          <w:p>
            <w:pPr>
              <w:pStyle w:val="2"/>
              <w:ind w:firstLine="0" w:firstLineChars="0"/>
              <w:rPr>
                <w:color w:val="auto"/>
              </w:rPr>
            </w:pPr>
            <w:r>
              <w:rPr>
                <w:rFonts w:hint="eastAsia" w:ascii="宋体" w:hAnsi="宋体" w:cs="宋体"/>
                <w:color w:val="auto"/>
                <w:kern w:val="0"/>
                <w:sz w:val="24"/>
              </w:rPr>
              <w:t>备注：需提供仪器设备有效期内的校准证书，没有不得分</w:t>
            </w:r>
          </w:p>
        </w:tc>
      </w:tr>
      <w:tr>
        <w:tblPrEx>
          <w:tblCellMar>
            <w:top w:w="0" w:type="dxa"/>
            <w:left w:w="108" w:type="dxa"/>
            <w:bottom w:w="0" w:type="dxa"/>
            <w:right w:w="108" w:type="dxa"/>
          </w:tblCellMar>
        </w:tblPrEx>
        <w:trPr>
          <w:trHeight w:val="705" w:hRule="atLeast"/>
          <w:jc w:val="center"/>
        </w:trPr>
        <w:tc>
          <w:tcPr>
            <w:tcW w:w="2007" w:type="dxa"/>
            <w:tcBorders>
              <w:left w:val="single" w:color="auto" w:sz="4" w:space="0"/>
              <w:bottom w:val="single" w:color="auto" w:sz="4" w:space="0"/>
              <w:right w:val="single" w:color="auto" w:sz="4" w:space="0"/>
            </w:tcBorders>
            <w:vAlign w:val="center"/>
          </w:tcPr>
          <w:p>
            <w:pPr>
              <w:jc w:val="center"/>
              <w:rPr>
                <w:rFonts w:ascii="宋体" w:hAnsi="宋体" w:cs="宋体"/>
                <w:color w:val="auto"/>
                <w:sz w:val="24"/>
              </w:rPr>
            </w:pPr>
          </w:p>
        </w:tc>
        <w:tc>
          <w:tcPr>
            <w:tcW w:w="1843"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s="宋体"/>
                <w:color w:val="auto"/>
                <w:sz w:val="24"/>
                <w:lang w:bidi="ar"/>
              </w:rPr>
            </w:pPr>
            <w:r>
              <w:rPr>
                <w:rFonts w:hint="eastAsia" w:ascii="宋体" w:hAnsi="宋体" w:cs="宋体"/>
                <w:color w:val="auto"/>
                <w:sz w:val="24"/>
                <w:lang w:bidi="ar"/>
              </w:rPr>
              <w:t>现场勘查（</w:t>
            </w:r>
            <w:r>
              <w:rPr>
                <w:rFonts w:ascii="宋体" w:hAnsi="宋体" w:cs="宋体"/>
                <w:color w:val="auto"/>
                <w:sz w:val="24"/>
                <w:lang w:bidi="ar"/>
              </w:rPr>
              <w:t>6</w:t>
            </w:r>
            <w:r>
              <w:rPr>
                <w:rFonts w:hint="eastAsia" w:ascii="宋体" w:hAnsi="宋体" w:cs="宋体"/>
                <w:color w:val="auto"/>
                <w:sz w:val="24"/>
                <w:lang w:bidi="ar"/>
              </w:rPr>
              <w:t>分）</w:t>
            </w:r>
          </w:p>
          <w:p>
            <w:pPr>
              <w:spacing w:line="440" w:lineRule="exact"/>
              <w:rPr>
                <w:color w:val="auto"/>
              </w:rPr>
            </w:pPr>
          </w:p>
        </w:tc>
        <w:tc>
          <w:tcPr>
            <w:tcW w:w="6172" w:type="dxa"/>
            <w:gridSpan w:val="2"/>
            <w:tcBorders>
              <w:top w:val="single" w:color="auto" w:sz="4" w:space="0"/>
              <w:left w:val="single" w:color="auto" w:sz="4" w:space="0"/>
              <w:bottom w:val="single" w:color="auto" w:sz="4" w:space="0"/>
              <w:right w:val="single" w:color="auto" w:sz="4" w:space="0"/>
            </w:tcBorders>
            <w:vAlign w:val="center"/>
          </w:tcPr>
          <w:p>
            <w:pPr>
              <w:pStyle w:val="63"/>
              <w:wordWrap w:val="0"/>
              <w:autoSpaceDE/>
              <w:autoSpaceDN/>
              <w:spacing w:line="360" w:lineRule="auto"/>
              <w:jc w:val="both"/>
              <w:rPr>
                <w:rFonts w:hint="eastAsia"/>
                <w:color w:val="auto"/>
                <w:sz w:val="24"/>
                <w:szCs w:val="24"/>
                <w:lang w:val="en-US"/>
              </w:rPr>
            </w:pPr>
            <w:r>
              <w:rPr>
                <w:rFonts w:hint="eastAsia"/>
                <w:color w:val="auto"/>
                <w:sz w:val="24"/>
                <w:lang w:bidi="ar"/>
              </w:rPr>
              <w:t>投标人需对现场进行实地勘查的，勘查现场由供应商自行与采购人联系。 经采购单位证实供应商确实已到现场勘查并提供完整的勘察记录加盖采购人公章的得</w:t>
            </w:r>
            <w:r>
              <w:rPr>
                <w:color w:val="auto"/>
                <w:sz w:val="24"/>
                <w:lang w:bidi="ar"/>
              </w:rPr>
              <w:t>6</w:t>
            </w:r>
            <w:r>
              <w:rPr>
                <w:rFonts w:hint="eastAsia"/>
                <w:color w:val="auto"/>
                <w:sz w:val="24"/>
                <w:lang w:bidi="ar"/>
              </w:rPr>
              <w:t>分。未提供不得分。</w:t>
            </w:r>
          </w:p>
        </w:tc>
      </w:tr>
    </w:tbl>
    <w:p>
      <w:pPr>
        <w:pStyle w:val="6"/>
        <w:ind w:firstLine="480"/>
        <w:rPr>
          <w:rFonts w:ascii="宋体" w:hAnsi="宋体" w:eastAsia="宋体" w:cs="宋体"/>
          <w:color w:val="auto"/>
          <w:sz w:val="24"/>
        </w:rPr>
      </w:pPr>
    </w:p>
    <w:p>
      <w:pPr>
        <w:spacing w:line="560" w:lineRule="exact"/>
        <w:rPr>
          <w:rFonts w:ascii="宋体" w:hAnsi="宋体" w:cs="宋体"/>
          <w:b/>
          <w:color w:val="auto"/>
          <w:sz w:val="24"/>
        </w:rPr>
      </w:pPr>
      <w:r>
        <w:rPr>
          <w:rFonts w:hint="eastAsia" w:ascii="宋体" w:hAnsi="宋体" w:cs="宋体"/>
          <w:b/>
          <w:color w:val="auto"/>
          <w:sz w:val="24"/>
        </w:rPr>
        <w:t xml:space="preserve">  最终得分为磋商小组所有成员计分的算术平均值，计算保留小数点两位，小数点后第三位四舍五入。</w:t>
      </w:r>
    </w:p>
    <w:p>
      <w:pPr>
        <w:spacing w:line="560" w:lineRule="exact"/>
        <w:ind w:firstLine="480" w:firstLineChars="200"/>
        <w:rPr>
          <w:rFonts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pPr>
        <w:spacing w:line="560" w:lineRule="exact"/>
        <w:ind w:firstLine="480" w:firstLineChars="200"/>
        <w:rPr>
          <w:rFonts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spacing w:line="560" w:lineRule="exact"/>
        <w:ind w:firstLine="480" w:firstLineChars="200"/>
        <w:rPr>
          <w:rFonts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pPr>
        <w:spacing w:line="560" w:lineRule="exact"/>
        <w:ind w:firstLine="480" w:firstLineChars="200"/>
        <w:rPr>
          <w:rFonts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pPr>
        <w:spacing w:line="560" w:lineRule="exact"/>
        <w:ind w:firstLine="480" w:firstLineChars="200"/>
        <w:rPr>
          <w:rFonts w:ascii="宋体" w:hAnsi="宋体" w:cs="宋体"/>
          <w:color w:val="auto"/>
          <w:sz w:val="24"/>
        </w:rPr>
      </w:pPr>
      <w:r>
        <w:rPr>
          <w:rFonts w:hint="eastAsia" w:ascii="宋体" w:hAnsi="宋体" w:cs="宋体"/>
          <w:color w:val="auto"/>
          <w:sz w:val="24"/>
        </w:rPr>
        <w:t>22.7在竞争性磋商期间，供应商不得向竞争性磋商小组成员询问其它供应商竞争性磋商情况，不得进行旨在影响成交结果的活动。</w:t>
      </w:r>
    </w:p>
    <w:p>
      <w:pPr>
        <w:spacing w:line="560" w:lineRule="exact"/>
        <w:ind w:firstLine="480" w:firstLineChars="200"/>
        <w:rPr>
          <w:rFonts w:ascii="宋体" w:hAnsi="宋体" w:cs="宋体"/>
          <w:color w:val="auto"/>
          <w:sz w:val="24"/>
        </w:rPr>
      </w:pPr>
      <w:r>
        <w:rPr>
          <w:rFonts w:hint="eastAsia" w:ascii="宋体" w:hAnsi="宋体" w:cs="宋体"/>
          <w:color w:val="auto"/>
          <w:sz w:val="24"/>
        </w:rPr>
        <w:t>22.8在竞争性磋商期间，采购人将有专门人员与供应商进行联络。</w:t>
      </w:r>
    </w:p>
    <w:p>
      <w:pPr>
        <w:spacing w:line="560" w:lineRule="exact"/>
        <w:ind w:firstLine="482" w:firstLineChars="200"/>
        <w:outlineLvl w:val="2"/>
        <w:rPr>
          <w:rFonts w:ascii="宋体" w:hAnsi="宋体" w:cs="宋体"/>
          <w:b/>
          <w:color w:val="auto"/>
          <w:sz w:val="24"/>
        </w:rPr>
      </w:pPr>
      <w:r>
        <w:rPr>
          <w:rFonts w:hint="eastAsia" w:ascii="宋体" w:hAnsi="宋体" w:cs="宋体"/>
          <w:b/>
          <w:color w:val="auto"/>
          <w:sz w:val="24"/>
        </w:rPr>
        <w:t>23.竞争性磋商终止</w:t>
      </w:r>
    </w:p>
    <w:p>
      <w:pPr>
        <w:spacing w:line="560" w:lineRule="exact"/>
        <w:ind w:firstLine="480" w:firstLineChars="200"/>
        <w:rPr>
          <w:rFonts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pPr>
        <w:spacing w:line="560" w:lineRule="exact"/>
        <w:ind w:firstLine="480" w:firstLineChars="200"/>
        <w:rPr>
          <w:rFonts w:ascii="宋体" w:hAnsi="宋体" w:cs="宋体"/>
          <w:color w:val="auto"/>
          <w:sz w:val="24"/>
        </w:rPr>
      </w:pPr>
      <w:r>
        <w:rPr>
          <w:rFonts w:hint="eastAsia" w:ascii="宋体" w:hAnsi="宋体" w:cs="宋体"/>
          <w:color w:val="auto"/>
          <w:sz w:val="24"/>
        </w:rPr>
        <w:t>（1）因情况变化，不再符合竞争性磋商适用情形的；</w:t>
      </w:r>
    </w:p>
    <w:p>
      <w:pPr>
        <w:spacing w:line="560" w:lineRule="exact"/>
        <w:ind w:firstLine="480" w:firstLineChars="200"/>
        <w:rPr>
          <w:rFonts w:ascii="宋体" w:hAnsi="宋体" w:cs="宋体"/>
          <w:color w:val="auto"/>
          <w:sz w:val="24"/>
        </w:rPr>
      </w:pPr>
      <w:r>
        <w:rPr>
          <w:rFonts w:hint="eastAsia" w:ascii="宋体" w:hAnsi="宋体" w:cs="宋体"/>
          <w:color w:val="auto"/>
          <w:sz w:val="24"/>
        </w:rPr>
        <w:t>（2）出现影响采购公正的违法、违规行为的；</w:t>
      </w:r>
    </w:p>
    <w:p>
      <w:pPr>
        <w:spacing w:line="560" w:lineRule="exact"/>
        <w:ind w:firstLine="480" w:firstLineChars="200"/>
        <w:rPr>
          <w:rFonts w:ascii="宋体" w:hAnsi="宋体" w:cs="宋体"/>
          <w:color w:val="auto"/>
          <w:sz w:val="24"/>
        </w:rPr>
      </w:pPr>
      <w:r>
        <w:rPr>
          <w:rFonts w:hint="eastAsia" w:ascii="宋体" w:hAnsi="宋体" w:cs="宋体"/>
          <w:color w:val="auto"/>
          <w:sz w:val="24"/>
        </w:rPr>
        <w:t>（3）在采购过程中符合磋商文件要求的供应商不足3家的；</w:t>
      </w:r>
    </w:p>
    <w:p>
      <w:pPr>
        <w:spacing w:line="560" w:lineRule="exact"/>
        <w:ind w:firstLine="480" w:firstLineChars="200"/>
        <w:rPr>
          <w:rFonts w:ascii="宋体" w:hAnsi="宋体" w:cs="宋体"/>
          <w:b/>
          <w:color w:val="auto"/>
          <w:sz w:val="24"/>
        </w:rPr>
      </w:pPr>
      <w:r>
        <w:rPr>
          <w:rFonts w:hint="eastAsia" w:ascii="宋体" w:hAnsi="宋体" w:cs="宋体"/>
          <w:color w:val="auto"/>
          <w:sz w:val="24"/>
        </w:rPr>
        <w:t>（4）在采购活动中因重大变故，采购任务取消的；</w:t>
      </w:r>
    </w:p>
    <w:p>
      <w:pPr>
        <w:spacing w:line="720" w:lineRule="auto"/>
        <w:jc w:val="center"/>
        <w:outlineLvl w:val="1"/>
        <w:rPr>
          <w:rFonts w:ascii="宋体" w:hAnsi="宋体" w:cs="宋体"/>
          <w:b/>
          <w:color w:val="auto"/>
          <w:sz w:val="24"/>
        </w:rPr>
      </w:pPr>
      <w:r>
        <w:rPr>
          <w:rFonts w:hint="eastAsia" w:ascii="宋体" w:hAnsi="宋体" w:cs="宋体"/>
          <w:b/>
          <w:color w:val="auto"/>
          <w:sz w:val="24"/>
        </w:rPr>
        <w:t>七、成交通知</w:t>
      </w:r>
    </w:p>
    <w:p>
      <w:pPr>
        <w:spacing w:line="560" w:lineRule="exact"/>
        <w:ind w:firstLine="482" w:firstLineChars="200"/>
        <w:rPr>
          <w:rFonts w:ascii="宋体" w:hAnsi="宋体" w:cs="宋体"/>
          <w:b/>
          <w:color w:val="auto"/>
          <w:sz w:val="24"/>
        </w:rPr>
      </w:pPr>
      <w:r>
        <w:rPr>
          <w:rFonts w:hint="eastAsia" w:ascii="宋体" w:hAnsi="宋体" w:cs="宋体"/>
          <w:b/>
          <w:color w:val="auto"/>
          <w:sz w:val="24"/>
        </w:rPr>
        <w:t>24.成交通知</w:t>
      </w:r>
    </w:p>
    <w:p>
      <w:pPr>
        <w:pStyle w:val="38"/>
        <w:spacing w:line="360" w:lineRule="auto"/>
        <w:ind w:firstLine="480" w:firstLineChars="200"/>
        <w:rPr>
          <w:rFonts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pPr>
        <w:tabs>
          <w:tab w:val="left" w:pos="1800"/>
        </w:tabs>
        <w:spacing w:line="360" w:lineRule="auto"/>
        <w:ind w:firstLine="480" w:firstLineChars="200"/>
        <w:rPr>
          <w:rFonts w:ascii="宋体" w:hAnsi="宋体" w:cs="宋体"/>
          <w:color w:val="auto"/>
          <w:sz w:val="24"/>
        </w:rPr>
      </w:pPr>
      <w:r>
        <w:rPr>
          <w:rFonts w:hint="eastAsia" w:ascii="宋体" w:hAnsi="宋体" w:cs="宋体"/>
          <w:color w:val="auto"/>
          <w:sz w:val="24"/>
        </w:rPr>
        <w:t>24.2在发出成交公告后请采购人、中标人登录周口市公共资源交易中心网（http://jyzx.zhoukou.gov.cn）自行下载</w:t>
      </w:r>
      <w:r>
        <w:rPr>
          <w:rFonts w:hint="eastAsia" w:cs="宋体"/>
          <w:color w:val="auto"/>
          <w:sz w:val="24"/>
        </w:rPr>
        <w:t>成交</w:t>
      </w:r>
      <w:r>
        <w:rPr>
          <w:rFonts w:hint="eastAsia" w:ascii="宋体" w:hAnsi="宋体" w:cs="宋体"/>
          <w:color w:val="auto"/>
          <w:sz w:val="24"/>
        </w:rPr>
        <w:t>通知书。</w:t>
      </w:r>
    </w:p>
    <w:p>
      <w:pPr>
        <w:tabs>
          <w:tab w:val="left" w:pos="1800"/>
        </w:tabs>
        <w:spacing w:line="560" w:lineRule="exact"/>
        <w:ind w:firstLine="480" w:firstLineChars="200"/>
        <w:rPr>
          <w:rFonts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pPr>
        <w:spacing w:line="720" w:lineRule="auto"/>
        <w:jc w:val="center"/>
        <w:outlineLvl w:val="1"/>
        <w:rPr>
          <w:rFonts w:ascii="宋体" w:hAnsi="宋体" w:cs="宋体"/>
          <w:color w:val="auto"/>
          <w:sz w:val="24"/>
        </w:rPr>
      </w:pPr>
      <w:r>
        <w:rPr>
          <w:rFonts w:hint="eastAsia" w:ascii="宋体" w:hAnsi="宋体" w:cs="宋体"/>
          <w:b/>
          <w:color w:val="auto"/>
          <w:sz w:val="24"/>
        </w:rPr>
        <w:t>八、合同授予</w:t>
      </w:r>
    </w:p>
    <w:p>
      <w:pPr>
        <w:tabs>
          <w:tab w:val="left" w:pos="1620"/>
        </w:tabs>
        <w:spacing w:line="560" w:lineRule="exact"/>
        <w:ind w:firstLine="482" w:firstLineChars="200"/>
        <w:rPr>
          <w:rFonts w:ascii="宋体" w:hAnsi="宋体" w:cs="宋体"/>
          <w:b/>
          <w:color w:val="auto"/>
          <w:sz w:val="24"/>
        </w:rPr>
      </w:pPr>
      <w:r>
        <w:rPr>
          <w:rFonts w:hint="eastAsia" w:ascii="宋体" w:hAnsi="宋体" w:cs="宋体"/>
          <w:b/>
          <w:color w:val="auto"/>
          <w:sz w:val="24"/>
        </w:rPr>
        <w:t>25.签订合同及合同的执行</w:t>
      </w:r>
    </w:p>
    <w:p>
      <w:pPr>
        <w:spacing w:line="560" w:lineRule="exact"/>
        <w:ind w:firstLine="480" w:firstLineChars="200"/>
        <w:rPr>
          <w:rFonts w:ascii="宋体" w:hAnsi="宋体" w:cs="宋体"/>
          <w:color w:val="auto"/>
          <w:sz w:val="24"/>
        </w:rPr>
      </w:pPr>
      <w:r>
        <w:rPr>
          <w:rFonts w:hint="eastAsia" w:ascii="宋体" w:hAnsi="宋体" w:cs="宋体"/>
          <w:color w:val="auto"/>
          <w:sz w:val="24"/>
        </w:rPr>
        <w:t>25.1采购人、成交供应商按照竞争性磋商文件确定的合同文本签订政府采购合同。</w:t>
      </w:r>
    </w:p>
    <w:p>
      <w:pPr>
        <w:spacing w:line="560" w:lineRule="exact"/>
        <w:ind w:firstLine="480" w:firstLineChars="200"/>
        <w:rPr>
          <w:rFonts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pPr>
        <w:spacing w:line="560" w:lineRule="exact"/>
        <w:ind w:firstLine="480" w:firstLineChars="200"/>
        <w:rPr>
          <w:rFonts w:ascii="宋体" w:hAnsi="宋体" w:cs="宋体"/>
          <w:color w:val="auto"/>
          <w:sz w:val="24"/>
        </w:rPr>
      </w:pPr>
      <w:r>
        <w:rPr>
          <w:rFonts w:hint="eastAsia" w:ascii="宋体" w:hAnsi="宋体" w:cs="宋体"/>
          <w:color w:val="auto"/>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pPr>
        <w:spacing w:line="720" w:lineRule="auto"/>
        <w:jc w:val="center"/>
        <w:outlineLvl w:val="1"/>
        <w:rPr>
          <w:rFonts w:ascii="宋体" w:hAnsi="宋体" w:cs="宋体"/>
          <w:b/>
          <w:color w:val="auto"/>
          <w:sz w:val="24"/>
        </w:rPr>
      </w:pPr>
      <w:r>
        <w:rPr>
          <w:rFonts w:hint="eastAsia" w:ascii="宋体" w:hAnsi="宋体" w:cs="宋体"/>
          <w:b/>
          <w:color w:val="auto"/>
          <w:sz w:val="24"/>
        </w:rPr>
        <w:t>九、质疑处理</w:t>
      </w:r>
    </w:p>
    <w:p>
      <w:pPr>
        <w:spacing w:line="720" w:lineRule="auto"/>
        <w:ind w:firstLine="482" w:firstLineChars="200"/>
        <w:jc w:val="left"/>
        <w:outlineLvl w:val="2"/>
        <w:rPr>
          <w:rFonts w:ascii="宋体" w:hAnsi="宋体" w:cs="宋体"/>
          <w:b/>
          <w:color w:val="auto"/>
          <w:sz w:val="24"/>
        </w:rPr>
      </w:pPr>
      <w:r>
        <w:rPr>
          <w:rFonts w:hint="eastAsia" w:ascii="宋体" w:hAnsi="宋体" w:cs="宋体"/>
          <w:b/>
          <w:color w:val="auto"/>
          <w:sz w:val="24"/>
        </w:rPr>
        <w:t>26.质疑程序及处理</w:t>
      </w:r>
    </w:p>
    <w:p>
      <w:pPr>
        <w:spacing w:line="560" w:lineRule="exact"/>
        <w:ind w:firstLine="480" w:firstLineChars="200"/>
        <w:rPr>
          <w:rFonts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pPr>
        <w:spacing w:line="560" w:lineRule="exact"/>
        <w:ind w:firstLine="480" w:firstLineChars="200"/>
        <w:rPr>
          <w:rFonts w:ascii="宋体" w:hAnsi="宋体" w:cs="宋体"/>
          <w:color w:val="auto"/>
          <w:sz w:val="24"/>
        </w:rPr>
      </w:pPr>
      <w:r>
        <w:rPr>
          <w:rFonts w:hint="eastAsia" w:ascii="宋体" w:hAnsi="宋体" w:cs="宋体"/>
          <w:color w:val="auto"/>
          <w:sz w:val="24"/>
        </w:rPr>
        <w:t>26.2采购人在收到供应商的书面质疑后七个工作日内做出答复，并以书面形式通知质疑供应商和其他供应商，但答复内容不得涉及商业秘密。</w:t>
      </w:r>
    </w:p>
    <w:p>
      <w:pPr>
        <w:spacing w:line="560" w:lineRule="exact"/>
        <w:ind w:firstLine="480" w:firstLineChars="200"/>
        <w:rPr>
          <w:rFonts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pPr>
        <w:spacing w:line="560" w:lineRule="exact"/>
        <w:ind w:firstLine="480" w:firstLineChars="200"/>
        <w:rPr>
          <w:rFonts w:ascii="宋体" w:hAnsi="宋体" w:cs="宋体"/>
          <w:color w:val="auto"/>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pPr>
        <w:spacing w:line="560" w:lineRule="exact"/>
        <w:rPr>
          <w:rFonts w:ascii="宋体" w:hAnsi="宋体" w:cs="宋体"/>
          <w:color w:val="auto"/>
          <w:sz w:val="24"/>
        </w:rPr>
        <w:sectPr>
          <w:headerReference r:id="rId3" w:type="default"/>
          <w:pgSz w:w="11907" w:h="16840"/>
          <w:pgMar w:top="2098" w:right="1474" w:bottom="1985" w:left="1588" w:header="851" w:footer="992" w:gutter="0"/>
          <w:cols w:space="720" w:num="1"/>
          <w:docGrid w:type="lines" w:linePitch="312" w:charSpace="0"/>
        </w:sectPr>
      </w:pPr>
    </w:p>
    <w:p>
      <w:pPr>
        <w:spacing w:line="480" w:lineRule="auto"/>
        <w:jc w:val="center"/>
        <w:outlineLvl w:val="0"/>
        <w:rPr>
          <w:rFonts w:ascii="宋体" w:hAnsi="宋体" w:cs="宋体"/>
          <w:color w:val="auto"/>
          <w:sz w:val="24"/>
        </w:rPr>
      </w:pPr>
      <w:r>
        <w:rPr>
          <w:rFonts w:hint="eastAsia" w:ascii="宋体" w:hAnsi="宋体" w:cs="宋体"/>
          <w:b/>
          <w:bCs/>
          <w:color w:val="auto"/>
          <w:sz w:val="24"/>
        </w:rPr>
        <w:t>第三章  响应性文件内容及格式</w:t>
      </w:r>
    </w:p>
    <w:p>
      <w:pPr>
        <w:widowControl/>
        <w:spacing w:line="520" w:lineRule="exact"/>
        <w:ind w:firstLine="480" w:firstLineChars="200"/>
        <w:jc w:val="center"/>
        <w:rPr>
          <w:rFonts w:ascii="宋体" w:hAnsi="宋体" w:cs="宋体"/>
          <w:color w:val="auto"/>
          <w:sz w:val="24"/>
        </w:rPr>
      </w:pPr>
    </w:p>
    <w:p>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注：请供应商按照以下文件的要求格式、内容，顺序制作响应性文件，并编制目录及页码，否则可能将影响对响应性文件的评价。 </w:t>
      </w:r>
    </w:p>
    <w:p>
      <w:pPr>
        <w:spacing w:line="560" w:lineRule="exact"/>
        <w:ind w:firstLine="482" w:firstLineChars="200"/>
        <w:rPr>
          <w:rFonts w:ascii="宋体" w:hAnsi="宋体" w:cs="宋体"/>
          <w:b/>
          <w:color w:val="auto"/>
          <w:sz w:val="24"/>
        </w:rPr>
      </w:pPr>
      <w:r>
        <w:rPr>
          <w:rFonts w:hint="eastAsia" w:ascii="宋体" w:hAnsi="宋体" w:cs="宋体"/>
          <w:b/>
          <w:color w:val="auto"/>
          <w:sz w:val="24"/>
        </w:rPr>
        <w:t>重要提示：</w:t>
      </w:r>
    </w:p>
    <w:p>
      <w:pPr>
        <w:snapToGrid w:val="0"/>
        <w:spacing w:line="560" w:lineRule="exact"/>
        <w:ind w:firstLine="480" w:firstLineChars="200"/>
        <w:rPr>
          <w:rFonts w:ascii="宋体" w:hAnsi="宋体" w:cs="宋体"/>
          <w:color w:val="auto"/>
          <w:sz w:val="24"/>
        </w:rPr>
      </w:pPr>
      <w:r>
        <w:rPr>
          <w:rFonts w:hint="eastAsia" w:ascii="宋体" w:hAnsi="宋体" w:cs="宋体"/>
          <w:color w:val="auto"/>
          <w:sz w:val="24"/>
        </w:rPr>
        <w:t>1．供应商在编制响应性文件时，对于给定格式的文件内容，必须按照给定的标准格式进行填报；对于没有给定标准格式的文件内容，可以由供应商自行设计。</w:t>
      </w:r>
    </w:p>
    <w:p>
      <w:pPr>
        <w:snapToGrid w:val="0"/>
        <w:spacing w:line="560" w:lineRule="exact"/>
        <w:ind w:firstLine="480" w:firstLineChars="200"/>
        <w:rPr>
          <w:rFonts w:ascii="宋体" w:hAnsi="宋体" w:cs="宋体"/>
          <w:color w:val="auto"/>
          <w:sz w:val="24"/>
        </w:rPr>
      </w:pPr>
      <w:r>
        <w:rPr>
          <w:rFonts w:hint="eastAsia" w:ascii="宋体" w:hAnsi="宋体" w:cs="宋体"/>
          <w:color w:val="auto"/>
          <w:sz w:val="24"/>
        </w:rPr>
        <w:t>2.法定代表人本人参加竞争性磋商的，不需提供授权委托书。</w:t>
      </w:r>
    </w:p>
    <w:p>
      <w:pPr>
        <w:snapToGrid w:val="0"/>
        <w:jc w:val="left"/>
        <w:rPr>
          <w:rFonts w:ascii="宋体" w:hAnsi="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pStyle w:val="6"/>
        <w:ind w:firstLine="480"/>
        <w:rPr>
          <w:rFonts w:ascii="宋体" w:hAnsi="宋体" w:eastAsia="宋体" w:cs="宋体"/>
          <w:color w:val="auto"/>
          <w:sz w:val="24"/>
        </w:rPr>
      </w:pPr>
    </w:p>
    <w:p>
      <w:pPr>
        <w:pStyle w:val="6"/>
        <w:ind w:firstLine="480"/>
        <w:rPr>
          <w:rFonts w:ascii="宋体" w:hAnsi="宋体" w:eastAsia="宋体" w:cs="宋体"/>
          <w:color w:val="auto"/>
          <w:sz w:val="24"/>
        </w:rPr>
      </w:pPr>
    </w:p>
    <w:p>
      <w:pPr>
        <w:pStyle w:val="6"/>
        <w:ind w:firstLine="480"/>
        <w:rPr>
          <w:rFonts w:ascii="宋体" w:hAnsi="宋体" w:eastAsia="宋体" w:cs="宋体"/>
          <w:color w:val="auto"/>
          <w:sz w:val="24"/>
        </w:rPr>
      </w:pPr>
    </w:p>
    <w:p>
      <w:pPr>
        <w:pStyle w:val="6"/>
        <w:ind w:firstLine="480"/>
        <w:rPr>
          <w:rFonts w:ascii="宋体" w:hAnsi="宋体" w:eastAsia="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pStyle w:val="6"/>
        <w:ind w:firstLine="480"/>
        <w:rPr>
          <w:rFonts w:ascii="宋体" w:hAnsi="宋体" w:eastAsia="宋体" w:cs="宋体"/>
          <w:color w:val="auto"/>
          <w:sz w:val="24"/>
        </w:rPr>
      </w:pPr>
    </w:p>
    <w:p>
      <w:pPr>
        <w:snapToGrid w:val="0"/>
        <w:jc w:val="left"/>
        <w:rPr>
          <w:rFonts w:ascii="宋体" w:hAnsi="宋体" w:cs="宋体"/>
          <w:color w:val="auto"/>
          <w:sz w:val="24"/>
        </w:rPr>
      </w:pPr>
    </w:p>
    <w:p>
      <w:pPr>
        <w:snapToGrid w:val="0"/>
        <w:jc w:val="left"/>
        <w:rPr>
          <w:rFonts w:ascii="宋体" w:hAnsi="宋体" w:cs="宋体"/>
          <w:color w:val="auto"/>
          <w:sz w:val="24"/>
        </w:rPr>
      </w:pPr>
    </w:p>
    <w:p>
      <w:pPr>
        <w:pStyle w:val="6"/>
        <w:ind w:firstLine="480"/>
        <w:rPr>
          <w:rFonts w:ascii="宋体" w:hAnsi="宋体" w:eastAsia="宋体" w:cs="宋体"/>
          <w:color w:val="auto"/>
          <w:sz w:val="24"/>
        </w:rPr>
      </w:pPr>
    </w:p>
    <w:p>
      <w:pPr>
        <w:spacing w:line="360" w:lineRule="auto"/>
        <w:jc w:val="left"/>
        <w:rPr>
          <w:rFonts w:ascii="宋体" w:hAnsi="宋体" w:cs="宋体"/>
          <w:color w:val="auto"/>
          <w:sz w:val="24"/>
        </w:rPr>
      </w:pPr>
      <w:r>
        <w:rPr>
          <w:rFonts w:hint="eastAsia" w:ascii="宋体" w:hAnsi="宋体" w:cs="宋体"/>
          <w:color w:val="auto"/>
          <w:sz w:val="24"/>
        </w:rPr>
        <w:t>格式2-1</w:t>
      </w:r>
    </w:p>
    <w:p>
      <w:pPr>
        <w:widowControl/>
        <w:jc w:val="center"/>
        <w:rPr>
          <w:rFonts w:ascii="宋体" w:hAnsi="宋体" w:cs="宋体"/>
          <w:color w:val="auto"/>
          <w:kern w:val="0"/>
          <w:sz w:val="24"/>
        </w:rPr>
      </w:pPr>
      <w:r>
        <w:rPr>
          <w:rFonts w:hint="eastAsia" w:ascii="宋体" w:hAnsi="宋体" w:cs="宋体"/>
          <w:color w:val="auto"/>
          <w:sz w:val="24"/>
        </w:rPr>
        <w:t>企业营业执照副本及</w:t>
      </w:r>
      <w:r>
        <w:rPr>
          <w:rFonts w:hint="eastAsia" w:ascii="宋体" w:hAnsi="宋体" w:cs="宋体"/>
          <w:color w:val="auto"/>
          <w:kern w:val="0"/>
          <w:sz w:val="24"/>
        </w:rPr>
        <w:t>资格性证明材料</w:t>
      </w:r>
    </w:p>
    <w:p>
      <w:pPr>
        <w:pStyle w:val="38"/>
        <w:ind w:firstLine="210"/>
        <w:rPr>
          <w:color w:val="auto"/>
        </w:rPr>
      </w:pPr>
    </w:p>
    <w:p>
      <w:pPr>
        <w:widowControl/>
        <w:jc w:val="left"/>
        <w:rPr>
          <w:rFonts w:ascii="宋体" w:hAnsi="宋体" w:cs="宋体"/>
          <w:color w:val="auto"/>
          <w:sz w:val="24"/>
        </w:rPr>
      </w:pPr>
      <w:r>
        <w:rPr>
          <w:rFonts w:ascii="宋体" w:hAnsi="宋体" w:cs="宋体"/>
          <w:color w:val="auto"/>
          <w:sz w:val="24"/>
        </w:rPr>
        <w:br w:type="page"/>
      </w:r>
    </w:p>
    <w:p>
      <w:pPr>
        <w:spacing w:line="360" w:lineRule="auto"/>
        <w:jc w:val="left"/>
        <w:rPr>
          <w:rFonts w:ascii="宋体" w:hAnsi="宋体" w:cs="宋体"/>
          <w:color w:val="auto"/>
          <w:sz w:val="24"/>
        </w:rPr>
      </w:pPr>
      <w:r>
        <w:rPr>
          <w:rFonts w:hint="eastAsia" w:ascii="宋体" w:hAnsi="宋体" w:cs="宋体"/>
          <w:color w:val="auto"/>
          <w:sz w:val="24"/>
        </w:rPr>
        <w:t>格式2-2</w:t>
      </w:r>
    </w:p>
    <w:p>
      <w:pPr>
        <w:spacing w:line="360" w:lineRule="auto"/>
        <w:jc w:val="center"/>
        <w:rPr>
          <w:rFonts w:ascii="宋体" w:hAnsi="宋体" w:cs="宋体"/>
          <w:b/>
          <w:bCs/>
          <w:color w:val="auto"/>
          <w:sz w:val="24"/>
        </w:rPr>
      </w:pPr>
      <w:r>
        <w:rPr>
          <w:rFonts w:hint="eastAsia" w:ascii="宋体" w:hAnsi="宋体" w:cs="宋体"/>
          <w:b/>
          <w:bCs/>
          <w:color w:val="auto"/>
          <w:sz w:val="24"/>
        </w:rPr>
        <w:t>法定代表人身份证明书</w:t>
      </w:r>
    </w:p>
    <w:p>
      <w:pPr>
        <w:spacing w:line="360" w:lineRule="auto"/>
        <w:jc w:val="center"/>
        <w:rPr>
          <w:rFonts w:ascii="宋体" w:hAnsi="宋体" w:cs="宋体"/>
          <w:color w:val="auto"/>
          <w:sz w:val="24"/>
        </w:rPr>
      </w:pPr>
      <w:r>
        <w:rPr>
          <w:rFonts w:hint="eastAsia" w:ascii="宋体" w:hAnsi="宋体" w:cs="宋体"/>
          <w:color w:val="auto"/>
          <w:sz w:val="24"/>
        </w:rPr>
        <w:t>（法定代表人参加竞争性磋商的，出具此证明书）</w:t>
      </w:r>
    </w:p>
    <w:p>
      <w:pPr>
        <w:spacing w:line="360" w:lineRule="auto"/>
        <w:ind w:firstLine="480" w:firstLineChars="200"/>
        <w:rPr>
          <w:rFonts w:ascii="宋体" w:hAnsi="宋体" w:cs="宋体"/>
          <w:color w:val="auto"/>
          <w:sz w:val="24"/>
        </w:rPr>
      </w:pPr>
    </w:p>
    <w:p>
      <w:pPr>
        <w:spacing w:line="360" w:lineRule="auto"/>
        <w:ind w:firstLine="480" w:firstLineChars="200"/>
        <w:rPr>
          <w:rFonts w:ascii="宋体" w:hAnsi="宋体" w:cs="宋体"/>
          <w:color w:val="auto"/>
          <w:sz w:val="24"/>
        </w:rPr>
      </w:pPr>
      <w:r>
        <w:rPr>
          <w:rFonts w:hint="eastAsia" w:ascii="宋体" w:hAnsi="宋体" w:cs="宋体"/>
          <w:color w:val="auto"/>
          <w:sz w:val="24"/>
        </w:rPr>
        <w:t>同志，系我单位法定代表人，任职务。</w:t>
      </w:r>
    </w:p>
    <w:p>
      <w:pPr>
        <w:spacing w:line="360" w:lineRule="auto"/>
        <w:ind w:firstLine="480" w:firstLineChars="200"/>
        <w:rPr>
          <w:rFonts w:ascii="宋体" w:hAnsi="宋体" w:cs="宋体"/>
          <w:color w:val="auto"/>
          <w:sz w:val="24"/>
        </w:rPr>
      </w:pPr>
      <w:r>
        <w:rPr>
          <w:rFonts w:hint="eastAsia" w:ascii="宋体" w:hAnsi="宋体" w:cs="宋体"/>
          <w:color w:val="auto"/>
          <w:sz w:val="24"/>
        </w:rPr>
        <w:t>特此证明。</w:t>
      </w:r>
    </w:p>
    <w:p>
      <w:pPr>
        <w:spacing w:line="360" w:lineRule="auto"/>
        <w:ind w:firstLine="480" w:firstLineChars="200"/>
        <w:rPr>
          <w:rFonts w:ascii="宋体" w:hAnsi="宋体" w:cs="宋体"/>
          <w:color w:val="auto"/>
          <w:sz w:val="24"/>
        </w:rPr>
      </w:pPr>
      <w:r>
        <w:rPr>
          <w:rFonts w:hint="eastAsia" w:ascii="宋体" w:hAnsi="宋体" w:cs="宋体"/>
          <w:color w:val="auto"/>
          <w:sz w:val="24"/>
        </w:rPr>
        <w:t xml:space="preserve">附：联系地址：               </w:t>
      </w:r>
    </w:p>
    <w:p>
      <w:pPr>
        <w:spacing w:line="360" w:lineRule="auto"/>
        <w:ind w:firstLine="960" w:firstLineChars="400"/>
        <w:rPr>
          <w:rFonts w:ascii="宋体" w:hAnsi="宋体" w:cs="宋体"/>
          <w:b/>
          <w:color w:val="auto"/>
          <w:sz w:val="24"/>
        </w:rPr>
      </w:pPr>
      <w:r>
        <w:rPr>
          <w:rFonts w:hint="eastAsia" w:ascii="宋体" w:hAnsi="宋体" w:cs="宋体"/>
          <w:color w:val="auto"/>
          <w:sz w:val="24"/>
        </w:rPr>
        <w:t>联系电话：</w:t>
      </w:r>
    </w:p>
    <w:tbl>
      <w:tblPr>
        <w:tblStyle w:val="30"/>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spacing w:line="480" w:lineRule="exact"/>
              <w:rPr>
                <w:rFonts w:ascii="宋体" w:hAnsi="宋体" w:cs="宋体"/>
                <w:b/>
                <w:bCs/>
                <w:color w:val="auto"/>
                <w:sz w:val="24"/>
              </w:rPr>
            </w:pPr>
          </w:p>
          <w:p>
            <w:pPr>
              <w:spacing w:line="480" w:lineRule="exact"/>
              <w:rPr>
                <w:rFonts w:ascii="宋体" w:hAnsi="宋体" w:cs="宋体"/>
                <w:b/>
                <w:bCs/>
                <w:color w:val="auto"/>
                <w:sz w:val="24"/>
              </w:rPr>
            </w:pPr>
          </w:p>
          <w:p>
            <w:pPr>
              <w:spacing w:line="480" w:lineRule="exact"/>
              <w:jc w:val="center"/>
              <w:rPr>
                <w:rFonts w:ascii="宋体" w:hAnsi="宋体" w:cs="宋体"/>
                <w:b/>
                <w:bCs/>
                <w:color w:val="auto"/>
                <w:sz w:val="24"/>
              </w:rPr>
            </w:pPr>
            <w:r>
              <w:rPr>
                <w:rFonts w:hint="eastAsia" w:ascii="宋体" w:hAnsi="宋体" w:cs="宋体"/>
                <w:b/>
                <w:bCs/>
                <w:color w:val="auto"/>
                <w:sz w:val="24"/>
              </w:rPr>
              <w:t>（※附：法定代表人身份证复印件※）</w:t>
            </w:r>
          </w:p>
          <w:p>
            <w:pPr>
              <w:spacing w:line="480" w:lineRule="exact"/>
              <w:rPr>
                <w:rFonts w:ascii="宋体" w:hAnsi="宋体" w:cs="宋体"/>
                <w:color w:val="auto"/>
                <w:sz w:val="24"/>
              </w:rPr>
            </w:pPr>
          </w:p>
          <w:p>
            <w:pPr>
              <w:spacing w:line="480" w:lineRule="exact"/>
              <w:rPr>
                <w:rFonts w:ascii="宋体" w:hAnsi="宋体" w:cs="宋体"/>
                <w:color w:val="auto"/>
                <w:sz w:val="24"/>
              </w:rPr>
            </w:pPr>
          </w:p>
        </w:tc>
      </w:tr>
    </w:tbl>
    <w:p>
      <w:pPr>
        <w:spacing w:line="360" w:lineRule="auto"/>
        <w:ind w:firstLine="960" w:firstLineChars="400"/>
        <w:rPr>
          <w:rFonts w:ascii="宋体" w:hAnsi="宋体" w:cs="宋体"/>
          <w:color w:val="auto"/>
          <w:sz w:val="24"/>
        </w:rPr>
      </w:pPr>
    </w:p>
    <w:p>
      <w:pPr>
        <w:spacing w:line="360" w:lineRule="auto"/>
        <w:ind w:firstLine="3840" w:firstLineChars="1600"/>
        <w:rPr>
          <w:rFonts w:ascii="宋体" w:hAnsi="宋体" w:cs="宋体"/>
          <w:color w:val="auto"/>
          <w:sz w:val="24"/>
        </w:rPr>
      </w:pPr>
    </w:p>
    <w:p>
      <w:pPr>
        <w:spacing w:line="360" w:lineRule="auto"/>
        <w:ind w:firstLine="3840" w:firstLineChars="1600"/>
        <w:rPr>
          <w:rFonts w:ascii="宋体" w:hAnsi="宋体" w:cs="宋体"/>
          <w:color w:val="auto"/>
          <w:sz w:val="24"/>
        </w:rPr>
      </w:pPr>
    </w:p>
    <w:p>
      <w:pPr>
        <w:spacing w:line="360" w:lineRule="auto"/>
        <w:ind w:firstLine="3840" w:firstLineChars="1600"/>
        <w:rPr>
          <w:rFonts w:ascii="宋体" w:hAnsi="宋体" w:cs="宋体"/>
          <w:color w:val="auto"/>
          <w:sz w:val="24"/>
        </w:rPr>
      </w:pPr>
    </w:p>
    <w:p>
      <w:pPr>
        <w:spacing w:line="360" w:lineRule="auto"/>
        <w:jc w:val="center"/>
        <w:rPr>
          <w:rFonts w:ascii="宋体" w:hAnsi="宋体" w:cs="宋体"/>
          <w:color w:val="auto"/>
          <w:sz w:val="24"/>
        </w:rPr>
      </w:pPr>
    </w:p>
    <w:p>
      <w:pPr>
        <w:spacing w:line="360" w:lineRule="auto"/>
        <w:jc w:val="center"/>
        <w:rPr>
          <w:rFonts w:ascii="宋体" w:hAnsi="宋体" w:cs="宋体"/>
          <w:color w:val="auto"/>
          <w:sz w:val="24"/>
        </w:rPr>
      </w:pPr>
    </w:p>
    <w:p>
      <w:pPr>
        <w:spacing w:line="360" w:lineRule="auto"/>
        <w:jc w:val="center"/>
        <w:rPr>
          <w:rFonts w:ascii="宋体" w:hAnsi="宋体" w:cs="宋体"/>
          <w:color w:val="auto"/>
          <w:sz w:val="24"/>
        </w:rPr>
      </w:pPr>
    </w:p>
    <w:p>
      <w:pPr>
        <w:spacing w:line="360" w:lineRule="auto"/>
        <w:ind w:firstLine="3840" w:firstLineChars="1600"/>
        <w:rPr>
          <w:rFonts w:ascii="宋体" w:hAnsi="宋体" w:cs="宋体"/>
          <w:color w:val="auto"/>
          <w:sz w:val="24"/>
        </w:rPr>
      </w:pPr>
      <w:r>
        <w:rPr>
          <w:rFonts w:hint="eastAsia" w:ascii="宋体" w:hAnsi="宋体" w:cs="宋体"/>
          <w:color w:val="auto"/>
          <w:sz w:val="24"/>
        </w:rPr>
        <w:t xml:space="preserve">供应商电子公章： </w:t>
      </w:r>
    </w:p>
    <w:p>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pPr>
        <w:spacing w:line="360" w:lineRule="auto"/>
        <w:jc w:val="center"/>
        <w:rPr>
          <w:rFonts w:ascii="宋体" w:hAnsi="宋体" w:cs="宋体"/>
          <w:color w:val="auto"/>
          <w:sz w:val="24"/>
        </w:rPr>
      </w:pPr>
    </w:p>
    <w:p>
      <w:pPr>
        <w:spacing w:line="360" w:lineRule="auto"/>
        <w:jc w:val="center"/>
        <w:rPr>
          <w:rFonts w:ascii="宋体" w:hAnsi="宋体" w:cs="宋体"/>
          <w:color w:val="auto"/>
          <w:sz w:val="24"/>
        </w:rPr>
      </w:pPr>
    </w:p>
    <w:p>
      <w:pPr>
        <w:spacing w:line="360" w:lineRule="auto"/>
        <w:jc w:val="center"/>
        <w:rPr>
          <w:rFonts w:ascii="宋体" w:hAnsi="宋体" w:cs="宋体"/>
          <w:color w:val="auto"/>
          <w:sz w:val="24"/>
        </w:rPr>
      </w:pPr>
    </w:p>
    <w:p>
      <w:pPr>
        <w:pStyle w:val="38"/>
        <w:ind w:firstLine="240"/>
        <w:rPr>
          <w:rFonts w:ascii="宋体" w:hAnsi="宋体" w:cs="宋体"/>
          <w:color w:val="auto"/>
          <w:sz w:val="24"/>
        </w:rPr>
      </w:pPr>
    </w:p>
    <w:p>
      <w:pPr>
        <w:pStyle w:val="38"/>
        <w:ind w:firstLine="240"/>
        <w:rPr>
          <w:rFonts w:ascii="宋体" w:hAnsi="宋体" w:cs="宋体"/>
          <w:color w:val="auto"/>
          <w:sz w:val="24"/>
        </w:rPr>
      </w:pPr>
    </w:p>
    <w:p>
      <w:pPr>
        <w:pStyle w:val="38"/>
        <w:ind w:firstLine="240"/>
        <w:rPr>
          <w:rFonts w:ascii="宋体" w:hAnsi="宋体" w:cs="宋体"/>
          <w:color w:val="auto"/>
          <w:sz w:val="24"/>
        </w:rPr>
      </w:pPr>
    </w:p>
    <w:p>
      <w:pPr>
        <w:pStyle w:val="38"/>
        <w:ind w:firstLine="240"/>
        <w:rPr>
          <w:rFonts w:ascii="宋体" w:hAnsi="宋体" w:cs="宋体"/>
          <w:color w:val="auto"/>
          <w:sz w:val="24"/>
        </w:rPr>
      </w:pPr>
    </w:p>
    <w:p>
      <w:pPr>
        <w:pStyle w:val="38"/>
        <w:ind w:firstLine="240"/>
        <w:rPr>
          <w:rFonts w:ascii="宋体" w:hAnsi="宋体" w:cs="宋体"/>
          <w:color w:val="auto"/>
          <w:sz w:val="24"/>
        </w:rPr>
      </w:pPr>
    </w:p>
    <w:p>
      <w:pPr>
        <w:pStyle w:val="38"/>
        <w:ind w:firstLine="240"/>
        <w:rPr>
          <w:rFonts w:ascii="宋体" w:hAnsi="宋体" w:cs="宋体"/>
          <w:color w:val="auto"/>
          <w:sz w:val="24"/>
        </w:rPr>
      </w:pPr>
    </w:p>
    <w:p>
      <w:pPr>
        <w:pStyle w:val="38"/>
        <w:ind w:firstLine="240"/>
        <w:rPr>
          <w:rFonts w:ascii="宋体" w:hAnsi="宋体" w:cs="宋体"/>
          <w:color w:val="auto"/>
          <w:sz w:val="24"/>
        </w:rPr>
      </w:pPr>
    </w:p>
    <w:p>
      <w:pPr>
        <w:pStyle w:val="38"/>
        <w:ind w:firstLine="240"/>
        <w:rPr>
          <w:rFonts w:ascii="宋体" w:hAnsi="宋体" w:cs="宋体"/>
          <w:color w:val="auto"/>
          <w:sz w:val="24"/>
        </w:rPr>
      </w:pPr>
    </w:p>
    <w:p>
      <w:pPr>
        <w:spacing w:line="360" w:lineRule="auto"/>
        <w:jc w:val="center"/>
        <w:rPr>
          <w:rFonts w:ascii="宋体" w:hAnsi="宋体" w:cs="宋体"/>
          <w:color w:val="auto"/>
          <w:sz w:val="24"/>
        </w:rPr>
      </w:pPr>
    </w:p>
    <w:p>
      <w:pPr>
        <w:widowControl/>
        <w:jc w:val="left"/>
        <w:rPr>
          <w:rFonts w:ascii="宋体" w:hAnsi="宋体" w:cs="宋体"/>
          <w:color w:val="auto"/>
          <w:sz w:val="24"/>
        </w:rPr>
      </w:pPr>
      <w:r>
        <w:rPr>
          <w:rFonts w:ascii="宋体" w:hAnsi="宋体" w:cs="宋体"/>
          <w:color w:val="auto"/>
          <w:sz w:val="24"/>
        </w:rPr>
        <w:br w:type="page"/>
      </w:r>
    </w:p>
    <w:p>
      <w:pPr>
        <w:spacing w:line="360" w:lineRule="auto"/>
        <w:jc w:val="left"/>
        <w:rPr>
          <w:rFonts w:ascii="宋体" w:hAnsi="宋体" w:cs="宋体"/>
          <w:color w:val="auto"/>
          <w:sz w:val="24"/>
        </w:rPr>
      </w:pPr>
      <w:r>
        <w:rPr>
          <w:rFonts w:hint="eastAsia" w:ascii="宋体" w:hAnsi="宋体" w:cs="宋体"/>
          <w:color w:val="auto"/>
          <w:sz w:val="24"/>
        </w:rPr>
        <w:t>格式2-3</w:t>
      </w:r>
    </w:p>
    <w:p>
      <w:pPr>
        <w:spacing w:line="360" w:lineRule="auto"/>
        <w:ind w:firstLine="480" w:firstLineChars="200"/>
        <w:jc w:val="center"/>
        <w:rPr>
          <w:rFonts w:ascii="宋体" w:hAnsi="宋体" w:cs="宋体"/>
          <w:color w:val="auto"/>
          <w:sz w:val="24"/>
        </w:rPr>
      </w:pPr>
      <w:r>
        <w:rPr>
          <w:rFonts w:hint="eastAsia" w:ascii="宋体" w:hAnsi="宋体" w:cs="宋体"/>
          <w:color w:val="auto"/>
          <w:sz w:val="24"/>
        </w:rPr>
        <w:t>授权委托书</w:t>
      </w:r>
    </w:p>
    <w:p>
      <w:pPr>
        <w:spacing w:line="360" w:lineRule="auto"/>
        <w:jc w:val="center"/>
        <w:rPr>
          <w:rFonts w:ascii="宋体" w:hAnsi="宋体" w:cs="宋体"/>
          <w:color w:val="auto"/>
          <w:sz w:val="24"/>
        </w:rPr>
      </w:pPr>
      <w:r>
        <w:rPr>
          <w:rFonts w:hint="eastAsia" w:ascii="宋体" w:hAnsi="宋体" w:cs="宋体"/>
          <w:color w:val="auto"/>
          <w:sz w:val="24"/>
        </w:rPr>
        <w:t>（委托代理人参加竞争性磋商的，出具此证明书）</w:t>
      </w:r>
    </w:p>
    <w:p>
      <w:pPr>
        <w:spacing w:line="360" w:lineRule="auto"/>
        <w:ind w:firstLine="480" w:firstLineChars="200"/>
        <w:rPr>
          <w:rFonts w:ascii="宋体" w:hAnsi="宋体" w:cs="宋体"/>
          <w:color w:val="auto"/>
          <w:sz w:val="24"/>
        </w:rPr>
      </w:pPr>
    </w:p>
    <w:p>
      <w:pPr>
        <w:spacing w:line="360" w:lineRule="auto"/>
        <w:ind w:firstLine="480" w:firstLineChars="200"/>
        <w:rPr>
          <w:rFonts w:ascii="宋体" w:hAnsi="宋体" w:cs="宋体"/>
          <w:color w:val="auto"/>
          <w:sz w:val="24"/>
        </w:rPr>
      </w:pPr>
      <w:r>
        <w:rPr>
          <w:rFonts w:hint="eastAsia" w:ascii="宋体" w:hAnsi="宋体" w:cs="宋体"/>
          <w:color w:val="auto"/>
          <w:sz w:val="24"/>
        </w:rPr>
        <w:t>委托人授权（被委托人的姓名、职务）为委托人的委托代理人，就项目编号为的项目及合同的执行，以本单位名义处理一切与之有关的事务。</w:t>
      </w:r>
    </w:p>
    <w:p>
      <w:pPr>
        <w:spacing w:line="360" w:lineRule="auto"/>
        <w:ind w:firstLine="480" w:firstLineChars="200"/>
        <w:rPr>
          <w:rFonts w:ascii="宋体" w:hAnsi="宋体" w:cs="宋体"/>
          <w:color w:val="auto"/>
          <w:sz w:val="24"/>
        </w:rPr>
      </w:pPr>
      <w:r>
        <w:rPr>
          <w:rFonts w:hint="eastAsia" w:ascii="宋体" w:hAnsi="宋体" w:cs="宋体"/>
          <w:color w:val="auto"/>
          <w:sz w:val="24"/>
        </w:rPr>
        <w:t>本授权书于年月日签字生效，特此声明。</w:t>
      </w:r>
    </w:p>
    <w:p>
      <w:pPr>
        <w:spacing w:line="360" w:lineRule="auto"/>
        <w:rPr>
          <w:rFonts w:ascii="宋体" w:hAnsi="宋体" w:cs="宋体"/>
          <w:color w:val="auto"/>
          <w:sz w:val="24"/>
        </w:rPr>
      </w:pPr>
    </w:p>
    <w:p>
      <w:pPr>
        <w:spacing w:line="360" w:lineRule="auto"/>
        <w:ind w:firstLine="480" w:firstLineChars="200"/>
        <w:rPr>
          <w:rFonts w:ascii="宋体" w:hAnsi="宋体" w:cs="宋体"/>
          <w:color w:val="auto"/>
          <w:sz w:val="24"/>
        </w:rPr>
      </w:pPr>
      <w:r>
        <w:rPr>
          <w:rFonts w:hint="eastAsia" w:ascii="宋体" w:hAnsi="宋体" w:cs="宋体"/>
          <w:color w:val="auto"/>
          <w:sz w:val="24"/>
        </w:rPr>
        <w:t>委托人：</w:t>
      </w:r>
    </w:p>
    <w:p>
      <w:pPr>
        <w:spacing w:line="360" w:lineRule="auto"/>
        <w:ind w:firstLine="480" w:firstLineChars="200"/>
        <w:rPr>
          <w:rFonts w:ascii="宋体" w:hAnsi="宋体" w:cs="宋体"/>
          <w:color w:val="auto"/>
          <w:sz w:val="24"/>
        </w:rPr>
      </w:pPr>
      <w:r>
        <w:rPr>
          <w:rFonts w:hint="eastAsia" w:ascii="宋体" w:hAnsi="宋体" w:cs="宋体"/>
          <w:color w:val="auto"/>
          <w:sz w:val="24"/>
        </w:rPr>
        <w:t xml:space="preserve">供应商电子签章：       </w:t>
      </w:r>
    </w:p>
    <w:p>
      <w:pPr>
        <w:spacing w:line="360" w:lineRule="auto"/>
        <w:ind w:firstLine="480" w:firstLineChars="200"/>
        <w:rPr>
          <w:rFonts w:ascii="宋体" w:hAnsi="宋体" w:cs="宋体"/>
          <w:color w:val="auto"/>
          <w:sz w:val="24"/>
        </w:rPr>
      </w:pPr>
      <w:r>
        <w:rPr>
          <w:rFonts w:hint="eastAsia" w:ascii="宋体" w:hAnsi="宋体" w:cs="宋体"/>
          <w:color w:val="auto"/>
          <w:sz w:val="24"/>
        </w:rPr>
        <w:t>被委托人：</w:t>
      </w:r>
    </w:p>
    <w:p>
      <w:pPr>
        <w:spacing w:line="360" w:lineRule="auto"/>
        <w:ind w:firstLine="480" w:firstLineChars="200"/>
        <w:rPr>
          <w:rFonts w:ascii="宋体" w:hAnsi="宋体" w:cs="宋体"/>
          <w:color w:val="auto"/>
          <w:sz w:val="24"/>
        </w:rPr>
      </w:pPr>
      <w:r>
        <w:rPr>
          <w:rFonts w:hint="eastAsia" w:ascii="宋体" w:hAnsi="宋体" w:cs="宋体"/>
          <w:color w:val="auto"/>
          <w:sz w:val="24"/>
        </w:rPr>
        <w:t>法定代表人：</w:t>
      </w:r>
    </w:p>
    <w:tbl>
      <w:tblPr>
        <w:tblStyle w:val="30"/>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pPr>
              <w:spacing w:line="480" w:lineRule="exact"/>
              <w:rPr>
                <w:rFonts w:ascii="宋体" w:hAnsi="宋体" w:cs="宋体"/>
                <w:b/>
                <w:bCs/>
                <w:color w:val="auto"/>
                <w:sz w:val="24"/>
              </w:rPr>
            </w:pPr>
          </w:p>
          <w:p>
            <w:pPr>
              <w:spacing w:line="480" w:lineRule="exact"/>
              <w:rPr>
                <w:rFonts w:ascii="宋体" w:hAnsi="宋体" w:cs="宋体"/>
                <w:b/>
                <w:bCs/>
                <w:color w:val="auto"/>
                <w:sz w:val="24"/>
              </w:rPr>
            </w:pPr>
          </w:p>
          <w:p>
            <w:pPr>
              <w:spacing w:line="480" w:lineRule="exact"/>
              <w:jc w:val="center"/>
              <w:rPr>
                <w:rFonts w:ascii="宋体" w:hAnsi="宋体" w:cs="宋体"/>
                <w:color w:val="auto"/>
                <w:sz w:val="24"/>
              </w:rPr>
            </w:pPr>
            <w:r>
              <w:rPr>
                <w:rFonts w:hint="eastAsia" w:ascii="宋体" w:hAnsi="宋体" w:cs="宋体"/>
                <w:b/>
                <w:bCs/>
                <w:color w:val="auto"/>
                <w:sz w:val="24"/>
              </w:rPr>
              <w:t>（※附：被委托人身份证复印件※）</w:t>
            </w:r>
          </w:p>
        </w:tc>
      </w:tr>
    </w:tbl>
    <w:p>
      <w:pPr>
        <w:spacing w:line="360" w:lineRule="auto"/>
        <w:ind w:firstLine="480" w:firstLineChars="200"/>
        <w:rPr>
          <w:rFonts w:ascii="宋体" w:hAnsi="宋体" w:cs="宋体"/>
          <w:color w:val="auto"/>
          <w:sz w:val="24"/>
        </w:rPr>
      </w:pPr>
    </w:p>
    <w:p>
      <w:pPr>
        <w:spacing w:line="360" w:lineRule="auto"/>
        <w:ind w:firstLine="480" w:firstLineChars="200"/>
        <w:rPr>
          <w:rFonts w:ascii="宋体" w:hAnsi="宋体" w:cs="宋体"/>
          <w:color w:val="auto"/>
          <w:sz w:val="24"/>
        </w:rPr>
      </w:pPr>
    </w:p>
    <w:p>
      <w:pPr>
        <w:spacing w:line="360" w:lineRule="auto"/>
        <w:ind w:firstLine="480" w:firstLineChars="200"/>
        <w:rPr>
          <w:rFonts w:ascii="宋体" w:hAnsi="宋体" w:cs="宋体"/>
          <w:color w:val="auto"/>
          <w:sz w:val="24"/>
        </w:rPr>
      </w:pPr>
    </w:p>
    <w:p>
      <w:pPr>
        <w:spacing w:line="360" w:lineRule="auto"/>
        <w:ind w:firstLine="4920" w:firstLineChars="2050"/>
        <w:rPr>
          <w:rFonts w:ascii="宋体" w:hAnsi="宋体" w:cs="宋体"/>
          <w:color w:val="auto"/>
          <w:sz w:val="24"/>
        </w:rPr>
      </w:pPr>
    </w:p>
    <w:p>
      <w:pPr>
        <w:spacing w:line="360" w:lineRule="auto"/>
        <w:jc w:val="center"/>
        <w:rPr>
          <w:rFonts w:ascii="宋体" w:hAnsi="宋体" w:cs="宋体"/>
          <w:color w:val="auto"/>
          <w:sz w:val="24"/>
        </w:rPr>
      </w:pPr>
    </w:p>
    <w:p>
      <w:pPr>
        <w:spacing w:line="360" w:lineRule="auto"/>
        <w:jc w:val="center"/>
        <w:rPr>
          <w:rFonts w:ascii="宋体" w:hAnsi="宋体" w:cs="宋体"/>
          <w:color w:val="auto"/>
          <w:sz w:val="24"/>
        </w:rPr>
      </w:pPr>
    </w:p>
    <w:p>
      <w:pPr>
        <w:spacing w:line="360" w:lineRule="auto"/>
        <w:jc w:val="center"/>
        <w:rPr>
          <w:rFonts w:ascii="宋体" w:hAnsi="宋体" w:cs="宋体"/>
          <w:color w:val="auto"/>
          <w:sz w:val="24"/>
        </w:rPr>
      </w:pPr>
    </w:p>
    <w:p>
      <w:pPr>
        <w:spacing w:line="360" w:lineRule="auto"/>
        <w:ind w:firstLine="3840" w:firstLineChars="1600"/>
        <w:rPr>
          <w:rFonts w:ascii="宋体" w:hAnsi="宋体" w:cs="宋体"/>
          <w:color w:val="auto"/>
          <w:sz w:val="24"/>
        </w:rPr>
      </w:pPr>
      <w:r>
        <w:rPr>
          <w:rFonts w:hint="eastAsia" w:ascii="宋体" w:hAnsi="宋体" w:cs="宋体"/>
          <w:color w:val="auto"/>
          <w:sz w:val="24"/>
        </w:rPr>
        <w:t xml:space="preserve">供应商电子公章： </w:t>
      </w:r>
    </w:p>
    <w:p>
      <w:pPr>
        <w:spacing w:line="360" w:lineRule="auto"/>
        <w:jc w:val="center"/>
        <w:rPr>
          <w:rFonts w:ascii="宋体" w:hAnsi="宋体" w:cs="宋体"/>
          <w:color w:val="auto"/>
          <w:sz w:val="24"/>
        </w:rPr>
      </w:pPr>
      <w:r>
        <w:rPr>
          <w:rFonts w:hint="eastAsia" w:ascii="宋体" w:hAnsi="宋体" w:cs="宋体"/>
          <w:color w:val="auto"/>
          <w:sz w:val="24"/>
        </w:rPr>
        <w:t xml:space="preserve">                                      </w:t>
      </w:r>
    </w:p>
    <w:p>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pPr>
        <w:pStyle w:val="38"/>
        <w:ind w:firstLine="210"/>
        <w:rPr>
          <w:color w:val="auto"/>
        </w:rPr>
      </w:pPr>
    </w:p>
    <w:p>
      <w:pPr>
        <w:pStyle w:val="38"/>
        <w:ind w:firstLine="210"/>
        <w:rPr>
          <w:color w:val="auto"/>
        </w:rPr>
      </w:pPr>
    </w:p>
    <w:p>
      <w:pPr>
        <w:pStyle w:val="38"/>
        <w:ind w:firstLine="210"/>
        <w:rPr>
          <w:color w:val="auto"/>
        </w:rPr>
      </w:pPr>
    </w:p>
    <w:p>
      <w:pPr>
        <w:pStyle w:val="38"/>
        <w:ind w:firstLine="210"/>
        <w:rPr>
          <w:color w:val="auto"/>
        </w:rPr>
      </w:pPr>
    </w:p>
    <w:p>
      <w:pPr>
        <w:pStyle w:val="38"/>
        <w:ind w:firstLine="210"/>
        <w:rPr>
          <w:color w:val="auto"/>
        </w:rPr>
      </w:pPr>
    </w:p>
    <w:p>
      <w:pPr>
        <w:spacing w:line="360" w:lineRule="auto"/>
        <w:jc w:val="left"/>
        <w:rPr>
          <w:rFonts w:ascii="宋体" w:hAnsi="宋体" w:cs="宋体"/>
          <w:color w:val="auto"/>
          <w:sz w:val="24"/>
        </w:rPr>
      </w:pPr>
    </w:p>
    <w:p>
      <w:pPr>
        <w:spacing w:line="360" w:lineRule="auto"/>
        <w:jc w:val="left"/>
        <w:rPr>
          <w:rFonts w:ascii="宋体" w:hAnsi="宋体" w:cs="宋体"/>
          <w:color w:val="auto"/>
          <w:sz w:val="24"/>
        </w:rPr>
      </w:pPr>
    </w:p>
    <w:p>
      <w:pPr>
        <w:spacing w:line="360" w:lineRule="auto"/>
        <w:jc w:val="left"/>
        <w:rPr>
          <w:rFonts w:ascii="宋体" w:hAnsi="宋体" w:cs="宋体"/>
          <w:color w:val="auto"/>
          <w:sz w:val="24"/>
        </w:rPr>
      </w:pPr>
    </w:p>
    <w:p>
      <w:pPr>
        <w:spacing w:line="360" w:lineRule="auto"/>
        <w:jc w:val="left"/>
        <w:rPr>
          <w:rFonts w:ascii="宋体" w:hAnsi="宋体" w:cs="宋体"/>
          <w:color w:val="auto"/>
          <w:sz w:val="24"/>
        </w:rPr>
      </w:pPr>
      <w:r>
        <w:rPr>
          <w:rFonts w:hint="eastAsia" w:ascii="宋体" w:hAnsi="宋体" w:cs="宋体"/>
          <w:color w:val="auto"/>
          <w:sz w:val="24"/>
        </w:rPr>
        <w:t>格式2-3</w:t>
      </w:r>
    </w:p>
    <w:p>
      <w:pPr>
        <w:spacing w:line="360" w:lineRule="auto"/>
        <w:jc w:val="left"/>
        <w:rPr>
          <w:rFonts w:ascii="宋体" w:hAnsi="宋体" w:cs="宋体"/>
          <w:color w:val="auto"/>
          <w:sz w:val="24"/>
        </w:rPr>
      </w:pPr>
      <w:r>
        <w:rPr>
          <w:rFonts w:hint="eastAsia" w:ascii="宋体" w:hAnsi="宋体" w:cs="宋体"/>
          <w:color w:val="auto"/>
          <w:sz w:val="24"/>
        </w:rPr>
        <w:t>政府采购法第二十二条及参加政府采购活动前三年内无重大违法记录的书面声明</w:t>
      </w:r>
    </w:p>
    <w:p>
      <w:pPr>
        <w:spacing w:line="360" w:lineRule="auto"/>
        <w:jc w:val="left"/>
        <w:rPr>
          <w:rFonts w:ascii="宋体" w:hAnsi="宋体" w:cs="宋体"/>
          <w:color w:val="auto"/>
          <w:sz w:val="24"/>
        </w:rPr>
      </w:pPr>
    </w:p>
    <w:p>
      <w:pPr>
        <w:widowControl/>
        <w:jc w:val="left"/>
        <w:rPr>
          <w:rFonts w:ascii="宋体" w:hAnsi="宋体" w:cs="宋体"/>
          <w:color w:val="auto"/>
          <w:sz w:val="24"/>
        </w:rPr>
      </w:pPr>
      <w:r>
        <w:rPr>
          <w:rFonts w:ascii="宋体" w:hAnsi="宋体" w:cs="宋体"/>
          <w:color w:val="auto"/>
          <w:sz w:val="24"/>
        </w:rPr>
        <w:br w:type="page"/>
      </w:r>
    </w:p>
    <w:p>
      <w:pPr>
        <w:spacing w:line="360" w:lineRule="auto"/>
        <w:jc w:val="left"/>
        <w:rPr>
          <w:rFonts w:ascii="宋体" w:hAnsi="宋体" w:cs="宋体"/>
          <w:color w:val="auto"/>
          <w:sz w:val="24"/>
        </w:rPr>
      </w:pPr>
      <w:r>
        <w:rPr>
          <w:rFonts w:hint="eastAsia" w:ascii="宋体" w:hAnsi="宋体" w:cs="宋体"/>
          <w:color w:val="auto"/>
          <w:sz w:val="24"/>
        </w:rPr>
        <w:t>格式3</w:t>
      </w:r>
    </w:p>
    <w:p>
      <w:pPr>
        <w:spacing w:line="560" w:lineRule="exact"/>
        <w:jc w:val="center"/>
        <w:rPr>
          <w:rFonts w:ascii="宋体" w:hAnsi="宋体" w:cs="宋体"/>
          <w:color w:val="auto"/>
          <w:sz w:val="24"/>
        </w:rPr>
      </w:pPr>
      <w:r>
        <w:rPr>
          <w:rFonts w:hint="eastAsia" w:ascii="宋体" w:hAnsi="宋体" w:cs="宋体"/>
          <w:color w:val="auto"/>
          <w:sz w:val="24"/>
        </w:rPr>
        <w:t>投标函</w:t>
      </w:r>
    </w:p>
    <w:p>
      <w:pPr>
        <w:pStyle w:val="29"/>
        <w:shd w:val="clear" w:color="auto" w:fill="FFFFFF"/>
        <w:adjustRightInd w:val="0"/>
        <w:snapToGrid w:val="0"/>
        <w:spacing w:before="0" w:beforeAutospacing="0" w:after="0" w:afterAutospacing="0" w:line="360" w:lineRule="auto"/>
        <w:rPr>
          <w:rFonts w:cs="宋体"/>
          <w:color w:val="auto"/>
        </w:rPr>
      </w:pPr>
      <w:r>
        <w:rPr>
          <w:rFonts w:hint="eastAsia" w:cs="宋体"/>
          <w:color w:val="auto"/>
          <w:szCs w:val="24"/>
        </w:rPr>
        <w:t>致：</w:t>
      </w:r>
      <w:r>
        <w:rPr>
          <w:rFonts w:hint="eastAsia" w:cs="宋体"/>
          <w:color w:val="auto"/>
          <w:kern w:val="2"/>
        </w:rPr>
        <w:t>（采购人或采购代理机构）</w:t>
      </w:r>
    </w:p>
    <w:p>
      <w:pPr>
        <w:pStyle w:val="60"/>
        <w:ind w:firstLine="600" w:firstLineChars="250"/>
        <w:rPr>
          <w:rFonts w:ascii="宋体" w:hAnsi="宋体"/>
          <w:color w:val="auto"/>
          <w:sz w:val="24"/>
          <w:szCs w:val="24"/>
        </w:rPr>
      </w:pPr>
      <w:r>
        <w:rPr>
          <w:rFonts w:hint="eastAsia" w:ascii="宋体" w:hAnsi="宋体"/>
          <w:color w:val="auto"/>
          <w:sz w:val="24"/>
          <w:szCs w:val="24"/>
        </w:rPr>
        <w:t>根据贵方</w:t>
      </w:r>
      <w:r>
        <w:rPr>
          <w:rFonts w:hint="eastAsia" w:ascii="宋体" w:hAnsi="宋体"/>
          <w:color w:val="auto"/>
          <w:sz w:val="24"/>
          <w:szCs w:val="24"/>
          <w:u w:val="single"/>
        </w:rPr>
        <w:t>（本项目名称）</w:t>
      </w:r>
      <w:r>
        <w:rPr>
          <w:rFonts w:hint="eastAsia" w:ascii="宋体" w:hAnsi="宋体"/>
          <w:color w:val="auto"/>
          <w:sz w:val="24"/>
          <w:szCs w:val="24"/>
        </w:rPr>
        <w:t>项目的竞争性磋商邀请（项目编号</w:t>
      </w:r>
      <w:r>
        <w:rPr>
          <w:rFonts w:hint="eastAsia" w:ascii="宋体" w:hAnsi="宋体"/>
          <w:color w:val="auto"/>
          <w:sz w:val="24"/>
          <w:szCs w:val="24"/>
          <w:u w:val="single"/>
        </w:rPr>
        <w:t xml:space="preserve">：          </w:t>
      </w:r>
      <w:r>
        <w:rPr>
          <w:rFonts w:hint="eastAsia" w:ascii="宋体" w:hAnsi="宋体"/>
          <w:color w:val="auto"/>
          <w:sz w:val="24"/>
          <w:szCs w:val="24"/>
        </w:rPr>
        <w:t>），委托代理人 (全名、职务)代表 供应商名称、地址)提交投标文件，报价为</w:t>
      </w:r>
      <w:r>
        <w:rPr>
          <w:rFonts w:hint="eastAsia" w:ascii="宋体" w:hAnsi="宋体"/>
          <w:color w:val="auto"/>
          <w:sz w:val="24"/>
          <w:szCs w:val="24"/>
          <w:u w:val="single"/>
        </w:rPr>
        <w:t>：    元，</w:t>
      </w:r>
      <w:r>
        <w:rPr>
          <w:rFonts w:hint="eastAsia" w:ascii="宋体" w:hAnsi="宋体"/>
          <w:color w:val="auto"/>
          <w:sz w:val="24"/>
          <w:szCs w:val="24"/>
        </w:rPr>
        <w:t>并对之负法律责任。</w:t>
      </w:r>
    </w:p>
    <w:p>
      <w:pPr>
        <w:ind w:firstLine="568" w:firstLineChars="237"/>
        <w:rPr>
          <w:rFonts w:ascii="宋体" w:hAnsi="宋体" w:cs="宋体"/>
          <w:color w:val="auto"/>
          <w:sz w:val="24"/>
        </w:rPr>
      </w:pPr>
      <w:r>
        <w:rPr>
          <w:rFonts w:hint="eastAsia" w:ascii="宋体" w:hAnsi="宋体" w:cs="宋体"/>
          <w:color w:val="auto"/>
          <w:sz w:val="24"/>
        </w:rPr>
        <w:t>据此函，宣布同意如下：</w:t>
      </w:r>
    </w:p>
    <w:p>
      <w:pPr>
        <w:ind w:firstLine="480" w:firstLineChars="200"/>
        <w:rPr>
          <w:rFonts w:ascii="宋体" w:hAnsi="宋体" w:cs="宋体"/>
          <w:color w:val="auto"/>
          <w:sz w:val="24"/>
        </w:rPr>
      </w:pPr>
      <w:r>
        <w:rPr>
          <w:rFonts w:hint="eastAsia" w:ascii="宋体" w:hAnsi="宋体" w:cs="宋体"/>
          <w:color w:val="auto"/>
          <w:sz w:val="24"/>
        </w:rPr>
        <w:t>(1)我们完全理解贵方不一定要接受最低报价，并同意本文件规定的响应性文件有效期。</w:t>
      </w:r>
    </w:p>
    <w:p>
      <w:pPr>
        <w:ind w:firstLine="480" w:firstLineChars="200"/>
        <w:rPr>
          <w:rFonts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w:t>
      </w:r>
    </w:p>
    <w:p>
      <w:pPr>
        <w:numPr>
          <w:ilvl w:val="0"/>
          <w:numId w:val="4"/>
        </w:numPr>
        <w:ind w:firstLine="480" w:firstLineChars="200"/>
        <w:rPr>
          <w:rFonts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pPr>
        <w:ind w:firstLine="480" w:firstLineChars="200"/>
        <w:rPr>
          <w:rFonts w:ascii="宋体" w:hAnsi="宋体" w:cs="宋体"/>
          <w:color w:val="auto"/>
          <w:sz w:val="24"/>
        </w:rPr>
      </w:pPr>
      <w:r>
        <w:rPr>
          <w:rFonts w:hint="eastAsia" w:ascii="宋体" w:hAnsi="宋体" w:cs="宋体"/>
          <w:color w:val="auto"/>
          <w:sz w:val="24"/>
        </w:rPr>
        <w:t>(4)一旦我们成交，我们将严格履行合同责任和义务。</w:t>
      </w:r>
    </w:p>
    <w:p>
      <w:pPr>
        <w:ind w:firstLine="480" w:firstLineChars="200"/>
        <w:rPr>
          <w:rFonts w:ascii="宋体" w:hAnsi="宋体" w:cs="宋体"/>
          <w:color w:val="auto"/>
          <w:sz w:val="24"/>
        </w:rPr>
      </w:pPr>
      <w:r>
        <w:rPr>
          <w:rFonts w:hint="eastAsia" w:ascii="宋体" w:hAnsi="宋体" w:cs="宋体"/>
          <w:color w:val="auto"/>
          <w:sz w:val="24"/>
        </w:rPr>
        <w:t>(5)我们完全理解不向未成交人解释未成交理由的义务。</w:t>
      </w:r>
    </w:p>
    <w:p>
      <w:pPr>
        <w:ind w:firstLine="480" w:firstLineChars="200"/>
        <w:rPr>
          <w:rFonts w:ascii="宋体" w:hAnsi="宋体" w:cs="宋体"/>
          <w:color w:val="auto"/>
          <w:sz w:val="24"/>
          <w:lang w:val="zh-CN"/>
        </w:rPr>
      </w:pPr>
      <w:r>
        <w:rPr>
          <w:rFonts w:hint="eastAsia" w:ascii="宋体" w:hAnsi="宋体" w:cs="宋体"/>
          <w:color w:val="auto"/>
          <w:sz w:val="24"/>
        </w:rPr>
        <w:t>(6)</w:t>
      </w:r>
      <w:r>
        <w:rPr>
          <w:rFonts w:hint="eastAsia" w:ascii="宋体" w:hAnsi="宋体" w:cs="宋体"/>
          <w:color w:val="auto"/>
          <w:sz w:val="24"/>
          <w:lang w:val="zh-CN"/>
        </w:rPr>
        <w:t>如果我们的谈判响应文件被接受，我们将履行谈判文件中规定的每一项要求，按期、按质、按量履行合同。</w:t>
      </w:r>
    </w:p>
    <w:p>
      <w:pPr>
        <w:ind w:firstLine="480" w:firstLineChars="200"/>
        <w:rPr>
          <w:rFonts w:ascii="宋体" w:hAnsi="宋体" w:cs="宋体"/>
          <w:color w:val="auto"/>
          <w:sz w:val="24"/>
        </w:rPr>
      </w:pPr>
      <w:r>
        <w:rPr>
          <w:rFonts w:hint="eastAsia" w:ascii="宋体" w:hAnsi="宋体" w:cs="宋体"/>
          <w:color w:val="auto"/>
          <w:sz w:val="24"/>
        </w:rPr>
        <w:t>(7)</w:t>
      </w:r>
      <w:r>
        <w:rPr>
          <w:rFonts w:hint="eastAsia" w:ascii="宋体" w:hAnsi="宋体" w:cs="宋体"/>
          <w:color w:val="auto"/>
          <w:sz w:val="24"/>
          <w:lang w:val="zh-CN"/>
        </w:rPr>
        <w:t>我方愿按《中华人民共和国合同法》履行我方的全部责任。</w:t>
      </w:r>
    </w:p>
    <w:p>
      <w:pPr>
        <w:ind w:firstLine="480" w:firstLineChars="200"/>
        <w:rPr>
          <w:rFonts w:ascii="宋体" w:hAnsi="宋体" w:cs="宋体"/>
          <w:color w:val="auto"/>
          <w:sz w:val="24"/>
        </w:rPr>
      </w:pPr>
      <w:r>
        <w:rPr>
          <w:rFonts w:hint="eastAsia" w:ascii="宋体" w:hAnsi="宋体" w:cs="宋体"/>
          <w:color w:val="auto"/>
          <w:sz w:val="24"/>
        </w:rPr>
        <w:t>(8)与本次竞争性磋商有关的正式通讯地址为：</w:t>
      </w:r>
    </w:p>
    <w:p>
      <w:pPr>
        <w:ind w:firstLine="480" w:firstLineChars="200"/>
        <w:rPr>
          <w:rFonts w:ascii="宋体" w:hAnsi="宋体" w:cs="宋体"/>
          <w:color w:val="auto"/>
          <w:sz w:val="24"/>
        </w:rPr>
      </w:pPr>
      <w:r>
        <w:rPr>
          <w:rFonts w:hint="eastAsia" w:ascii="宋体" w:hAnsi="宋体" w:cs="宋体"/>
          <w:color w:val="auto"/>
          <w:sz w:val="24"/>
        </w:rPr>
        <w:t>地 址：                  邮 编：</w:t>
      </w:r>
    </w:p>
    <w:p>
      <w:pPr>
        <w:ind w:firstLine="480" w:firstLineChars="200"/>
        <w:rPr>
          <w:rFonts w:ascii="宋体" w:hAnsi="宋体" w:cs="宋体"/>
          <w:color w:val="auto"/>
          <w:sz w:val="24"/>
        </w:rPr>
      </w:pPr>
      <w:r>
        <w:rPr>
          <w:rFonts w:hint="eastAsia" w:ascii="宋体" w:hAnsi="宋体" w:cs="宋体"/>
          <w:color w:val="auto"/>
          <w:sz w:val="24"/>
        </w:rPr>
        <w:t>电 话：                  电子信箱：</w:t>
      </w:r>
    </w:p>
    <w:p>
      <w:pPr>
        <w:ind w:firstLine="480" w:firstLineChars="200"/>
        <w:jc w:val="left"/>
        <w:rPr>
          <w:rFonts w:ascii="宋体" w:hAnsi="宋体" w:cs="宋体"/>
          <w:color w:val="auto"/>
          <w:sz w:val="24"/>
        </w:rPr>
      </w:pPr>
      <w:r>
        <w:rPr>
          <w:rFonts w:hint="eastAsia" w:ascii="宋体" w:hAnsi="宋体" w:cs="宋体"/>
          <w:color w:val="auto"/>
          <w:sz w:val="24"/>
        </w:rPr>
        <w:t>我们保证：</w:t>
      </w:r>
    </w:p>
    <w:p>
      <w:pPr>
        <w:ind w:firstLine="480" w:firstLineChars="200"/>
        <w:jc w:val="left"/>
        <w:rPr>
          <w:rFonts w:ascii="宋体" w:hAnsi="宋体" w:cs="宋体"/>
          <w:color w:val="auto"/>
          <w:sz w:val="24"/>
        </w:rPr>
      </w:pPr>
      <w:r>
        <w:rPr>
          <w:rFonts w:hint="eastAsia" w:ascii="宋体" w:hAnsi="宋体" w:cs="宋体"/>
          <w:color w:val="auto"/>
          <w:sz w:val="24"/>
        </w:rPr>
        <w:t>(1)不提供虚假材料谋取成交；</w:t>
      </w:r>
    </w:p>
    <w:p>
      <w:pPr>
        <w:ind w:firstLine="480" w:firstLineChars="200"/>
        <w:jc w:val="left"/>
        <w:rPr>
          <w:rFonts w:ascii="宋体" w:hAnsi="宋体" w:cs="宋体"/>
          <w:color w:val="auto"/>
          <w:sz w:val="24"/>
        </w:rPr>
      </w:pPr>
      <w:r>
        <w:rPr>
          <w:rFonts w:hint="eastAsia" w:ascii="宋体" w:hAnsi="宋体" w:cs="宋体"/>
          <w:color w:val="auto"/>
          <w:sz w:val="24"/>
        </w:rPr>
        <w:t>(2)不以不正当手段抵毁、排挤其他供应商；</w:t>
      </w:r>
    </w:p>
    <w:p>
      <w:pPr>
        <w:ind w:firstLine="480" w:firstLineChars="200"/>
        <w:jc w:val="left"/>
        <w:rPr>
          <w:rFonts w:ascii="宋体" w:hAnsi="宋体" w:cs="宋体"/>
          <w:color w:val="auto"/>
          <w:sz w:val="24"/>
        </w:rPr>
      </w:pPr>
      <w:r>
        <w:rPr>
          <w:rFonts w:hint="eastAsia" w:ascii="宋体" w:hAnsi="宋体" w:cs="宋体"/>
          <w:color w:val="auto"/>
          <w:sz w:val="24"/>
        </w:rPr>
        <w:t>(3)不与采购人和其它供应商恶意串通；</w:t>
      </w:r>
    </w:p>
    <w:p>
      <w:pPr>
        <w:ind w:firstLine="480" w:firstLineChars="200"/>
        <w:jc w:val="left"/>
        <w:rPr>
          <w:rFonts w:ascii="宋体" w:hAnsi="宋体" w:cs="宋体"/>
          <w:color w:val="auto"/>
          <w:sz w:val="24"/>
        </w:rPr>
      </w:pPr>
      <w:r>
        <w:rPr>
          <w:rFonts w:hint="eastAsia" w:ascii="宋体" w:hAnsi="宋体" w:cs="宋体"/>
          <w:color w:val="auto"/>
          <w:sz w:val="24"/>
        </w:rPr>
        <w:t>(4)不向采购人和采购代理机构提供不正当利益；</w:t>
      </w:r>
    </w:p>
    <w:p>
      <w:pPr>
        <w:ind w:firstLine="480" w:firstLineChars="200"/>
        <w:jc w:val="left"/>
        <w:rPr>
          <w:rFonts w:ascii="宋体" w:hAnsi="宋体" w:cs="宋体"/>
          <w:color w:val="auto"/>
          <w:sz w:val="24"/>
        </w:rPr>
      </w:pPr>
      <w:r>
        <w:rPr>
          <w:rFonts w:hint="eastAsia" w:ascii="宋体" w:hAnsi="宋体" w:cs="宋体"/>
          <w:color w:val="auto"/>
          <w:sz w:val="24"/>
        </w:rPr>
        <w:t>(5)不拒绝有关部门监督检查或提供虚假情况。</w:t>
      </w:r>
    </w:p>
    <w:p>
      <w:pPr>
        <w:spacing w:line="560" w:lineRule="exact"/>
        <w:jc w:val="left"/>
        <w:rPr>
          <w:rFonts w:ascii="宋体" w:hAnsi="宋体" w:cs="宋体"/>
          <w:color w:val="auto"/>
          <w:sz w:val="24"/>
        </w:rPr>
      </w:pPr>
    </w:p>
    <w:p>
      <w:pPr>
        <w:spacing w:line="560" w:lineRule="exact"/>
        <w:jc w:val="left"/>
        <w:rPr>
          <w:rFonts w:ascii="宋体" w:hAnsi="宋体" w:cs="宋体"/>
          <w:color w:val="auto"/>
          <w:sz w:val="24"/>
        </w:rPr>
      </w:pPr>
      <w:r>
        <w:rPr>
          <w:rFonts w:hint="eastAsia" w:ascii="宋体" w:hAnsi="宋体" w:cs="宋体"/>
          <w:color w:val="auto"/>
          <w:sz w:val="24"/>
        </w:rPr>
        <w:t xml:space="preserve">     联系人：              联系电话：</w:t>
      </w:r>
    </w:p>
    <w:p>
      <w:pPr>
        <w:spacing w:line="360" w:lineRule="auto"/>
        <w:jc w:val="left"/>
        <w:rPr>
          <w:rFonts w:ascii="宋体" w:hAnsi="宋体" w:cs="宋体"/>
          <w:color w:val="auto"/>
          <w:sz w:val="24"/>
        </w:rPr>
      </w:pPr>
    </w:p>
    <w:p>
      <w:pPr>
        <w:spacing w:line="360" w:lineRule="auto"/>
        <w:jc w:val="left"/>
        <w:rPr>
          <w:rFonts w:ascii="宋体" w:hAnsi="宋体" w:cs="宋体"/>
          <w:color w:val="auto"/>
          <w:sz w:val="24"/>
        </w:rPr>
      </w:pPr>
    </w:p>
    <w:p>
      <w:pPr>
        <w:spacing w:line="360" w:lineRule="auto"/>
        <w:jc w:val="left"/>
        <w:rPr>
          <w:rFonts w:ascii="宋体" w:hAnsi="宋体" w:cs="宋体"/>
          <w:color w:val="auto"/>
          <w:sz w:val="24"/>
        </w:rPr>
      </w:pPr>
    </w:p>
    <w:p>
      <w:pPr>
        <w:spacing w:line="360" w:lineRule="auto"/>
        <w:ind w:firstLine="3840" w:firstLineChars="1600"/>
        <w:rPr>
          <w:rFonts w:ascii="宋体" w:hAnsi="宋体" w:cs="宋体"/>
          <w:color w:val="auto"/>
          <w:sz w:val="24"/>
        </w:rPr>
      </w:pPr>
      <w:r>
        <w:rPr>
          <w:rFonts w:hint="eastAsia" w:ascii="宋体" w:hAnsi="宋体" w:cs="宋体"/>
          <w:color w:val="auto"/>
          <w:sz w:val="24"/>
        </w:rPr>
        <w:t xml:space="preserve">供应商电子公章： </w:t>
      </w:r>
    </w:p>
    <w:p>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pPr>
        <w:spacing w:line="360" w:lineRule="auto"/>
        <w:jc w:val="left"/>
        <w:rPr>
          <w:rFonts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格式4</w:t>
      </w:r>
    </w:p>
    <w:p>
      <w:pPr>
        <w:pStyle w:val="12"/>
        <w:jc w:val="center"/>
        <w:rPr>
          <w:rFonts w:ascii="宋体" w:hAnsi="宋体" w:cs="宋体"/>
          <w:b w:val="0"/>
          <w:color w:val="auto"/>
          <w:sz w:val="24"/>
          <w:szCs w:val="24"/>
        </w:rPr>
      </w:pPr>
      <w:bookmarkStart w:id="35" w:name="_Toc197934561"/>
      <w:bookmarkStart w:id="36" w:name="_Toc495414231"/>
      <w:r>
        <w:rPr>
          <w:rFonts w:hint="eastAsia" w:ascii="宋体" w:hAnsi="宋体" w:cs="宋体"/>
          <w:b w:val="0"/>
          <w:color w:val="auto"/>
          <w:sz w:val="24"/>
          <w:szCs w:val="24"/>
        </w:rPr>
        <w:t>一．报价一览表</w:t>
      </w:r>
      <w:bookmarkEnd w:id="35"/>
      <w:bookmarkEnd w:id="36"/>
    </w:p>
    <w:tbl>
      <w:tblPr>
        <w:tblStyle w:val="30"/>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widowControl/>
              <w:spacing w:line="360" w:lineRule="exact"/>
              <w:jc w:val="center"/>
              <w:rPr>
                <w:rFonts w:ascii="宋体" w:hAnsi="宋体" w:cs="宋体"/>
                <w:color w:val="auto"/>
                <w:sz w:val="24"/>
              </w:rPr>
            </w:pPr>
            <w:r>
              <w:rPr>
                <w:rFonts w:hint="eastAsia" w:ascii="宋体" w:hAnsi="宋体" w:cs="宋体"/>
                <w:color w:val="auto"/>
                <w:sz w:val="24"/>
              </w:rPr>
              <w:t>项目名称</w:t>
            </w:r>
          </w:p>
        </w:tc>
        <w:tc>
          <w:tcPr>
            <w:tcW w:w="6667"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color w:val="auto"/>
                <w:sz w:val="24"/>
              </w:rPr>
            </w:pPr>
            <w:r>
              <w:rPr>
                <w:rFonts w:hint="eastAsia" w:ascii="宋体" w:hAnsi="宋体" w:cs="宋体"/>
                <w:color w:val="auto"/>
                <w:sz w:val="24"/>
              </w:rPr>
              <w:t>投标人全称</w:t>
            </w:r>
          </w:p>
        </w:tc>
        <w:tc>
          <w:tcPr>
            <w:tcW w:w="6667" w:type="dxa"/>
            <w:tcBorders>
              <w:top w:val="nil"/>
            </w:tcBorders>
            <w:vAlign w:val="center"/>
          </w:tcPr>
          <w:p>
            <w:pPr>
              <w:spacing w:line="360" w:lineRule="auto"/>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color w:val="auto"/>
                <w:sz w:val="24"/>
              </w:rPr>
            </w:pPr>
            <w:r>
              <w:rPr>
                <w:rFonts w:hint="eastAsia" w:ascii="宋体" w:hAnsi="宋体" w:cs="宋体"/>
                <w:color w:val="auto"/>
                <w:sz w:val="24"/>
              </w:rPr>
              <w:t>最终投标报价（包：）</w:t>
            </w:r>
          </w:p>
          <w:p>
            <w:pPr>
              <w:spacing w:line="360" w:lineRule="exact"/>
              <w:jc w:val="center"/>
              <w:rPr>
                <w:rFonts w:ascii="宋体" w:hAnsi="宋体" w:cs="宋体"/>
                <w:color w:val="auto"/>
                <w:sz w:val="24"/>
              </w:rPr>
            </w:pPr>
            <w:r>
              <w:rPr>
                <w:rFonts w:hint="eastAsia" w:ascii="宋体" w:hAnsi="宋体" w:cs="宋体"/>
                <w:color w:val="auto"/>
                <w:sz w:val="24"/>
              </w:rPr>
              <w:t>（人民币）</w:t>
            </w:r>
          </w:p>
        </w:tc>
        <w:tc>
          <w:tcPr>
            <w:tcW w:w="6667" w:type="dxa"/>
            <w:tcBorders>
              <w:top w:val="nil"/>
            </w:tcBorders>
            <w:vAlign w:val="center"/>
          </w:tcPr>
          <w:p>
            <w:pPr>
              <w:spacing w:line="360" w:lineRule="auto"/>
              <w:ind w:right="-670"/>
              <w:rPr>
                <w:rFonts w:ascii="宋体" w:hAnsi="宋体" w:cs="宋体"/>
                <w:color w:val="auto"/>
                <w:sz w:val="24"/>
              </w:rPr>
            </w:pPr>
            <w:r>
              <w:rPr>
                <w:rFonts w:hint="eastAsia" w:ascii="宋体" w:hAnsi="宋体" w:cs="宋体"/>
                <w:color w:val="auto"/>
                <w:sz w:val="24"/>
              </w:rPr>
              <w:t xml:space="preserve">投标总价：       大写：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810" w:hRule="atLeast"/>
          <w:jc w:val="center"/>
        </w:trPr>
        <w:tc>
          <w:tcPr>
            <w:tcW w:w="2471" w:type="dxa"/>
            <w:tcBorders>
              <w:top w:val="nil"/>
            </w:tcBorders>
            <w:vAlign w:val="center"/>
          </w:tcPr>
          <w:p>
            <w:pPr>
              <w:spacing w:line="360" w:lineRule="auto"/>
              <w:jc w:val="center"/>
              <w:rPr>
                <w:rFonts w:ascii="宋体" w:hAnsi="宋体" w:cs="宋体"/>
                <w:color w:val="auto"/>
                <w:sz w:val="24"/>
              </w:rPr>
            </w:pPr>
            <w:r>
              <w:rPr>
                <w:rFonts w:hint="eastAsia" w:ascii="宋体" w:hAnsi="宋体" w:cs="宋体"/>
                <w:color w:val="auto"/>
                <w:sz w:val="24"/>
              </w:rPr>
              <w:t>备注</w:t>
            </w:r>
          </w:p>
        </w:tc>
        <w:tc>
          <w:tcPr>
            <w:tcW w:w="6667" w:type="dxa"/>
            <w:tcBorders>
              <w:top w:val="nil"/>
            </w:tcBorders>
            <w:vAlign w:val="center"/>
          </w:tcPr>
          <w:p>
            <w:pPr>
              <w:spacing w:line="360" w:lineRule="auto"/>
              <w:jc w:val="left"/>
              <w:rPr>
                <w:rFonts w:ascii="宋体" w:hAnsi="宋体" w:cs="宋体"/>
                <w:color w:val="auto"/>
                <w:sz w:val="24"/>
              </w:rPr>
            </w:pPr>
          </w:p>
        </w:tc>
      </w:tr>
    </w:tbl>
    <w:p>
      <w:pPr>
        <w:spacing w:line="360" w:lineRule="auto"/>
        <w:ind w:firstLine="3840" w:firstLineChars="1600"/>
        <w:rPr>
          <w:rFonts w:ascii="宋体" w:hAnsi="宋体" w:cs="宋体"/>
          <w:color w:val="auto"/>
          <w:sz w:val="24"/>
        </w:rPr>
      </w:pPr>
      <w:r>
        <w:rPr>
          <w:rFonts w:hint="eastAsia" w:ascii="宋体" w:hAnsi="宋体" w:cs="宋体"/>
          <w:color w:val="auto"/>
          <w:sz w:val="24"/>
        </w:rPr>
        <w:t xml:space="preserve">供应商电子公章： </w:t>
      </w:r>
    </w:p>
    <w:p>
      <w:pPr>
        <w:spacing w:line="360" w:lineRule="auto"/>
        <w:rPr>
          <w:rFonts w:ascii="宋体" w:hAnsi="宋体" w:cs="宋体"/>
          <w:color w:val="auto"/>
          <w:sz w:val="24"/>
        </w:rPr>
      </w:pPr>
      <w:r>
        <w:rPr>
          <w:rFonts w:hint="eastAsia" w:ascii="宋体" w:hAnsi="宋体" w:cs="宋体"/>
          <w:color w:val="auto"/>
          <w:sz w:val="24"/>
        </w:rPr>
        <w:t>备注：</w:t>
      </w:r>
    </w:p>
    <w:p>
      <w:pPr>
        <w:spacing w:line="360" w:lineRule="auto"/>
        <w:rPr>
          <w:rFonts w:ascii="宋体" w:hAnsi="宋体" w:cs="宋体"/>
          <w:color w:val="auto"/>
          <w:sz w:val="24"/>
        </w:rPr>
      </w:pPr>
      <w:r>
        <w:rPr>
          <w:rFonts w:hint="eastAsia" w:ascii="宋体" w:hAnsi="宋体" w:cs="宋体"/>
          <w:color w:val="auto"/>
          <w:sz w:val="24"/>
        </w:rPr>
        <w:t>1、此表用于开标会唱标之用。</w:t>
      </w:r>
    </w:p>
    <w:p>
      <w:pPr>
        <w:spacing w:line="360" w:lineRule="auto"/>
        <w:rPr>
          <w:rFonts w:ascii="宋体" w:hAnsi="宋体" w:cs="宋体"/>
          <w:color w:val="auto"/>
          <w:sz w:val="24"/>
        </w:rPr>
      </w:pPr>
      <w:r>
        <w:rPr>
          <w:rFonts w:hint="eastAsia" w:ascii="宋体" w:hAnsi="宋体" w:cs="宋体"/>
          <w:color w:val="auto"/>
          <w:sz w:val="24"/>
        </w:rPr>
        <w:t>2、表中最终投标报价即为优惠后报价，并作为评审及定标依据。任何有选择或有条件的最终投标报价，或者表中某一包填写多个报价，均为无效报价。</w:t>
      </w:r>
    </w:p>
    <w:p>
      <w:pPr>
        <w:spacing w:line="360" w:lineRule="auto"/>
        <w:jc w:val="left"/>
        <w:rPr>
          <w:rFonts w:ascii="宋体" w:hAnsi="宋体" w:cs="宋体"/>
          <w:color w:val="auto"/>
          <w:sz w:val="24"/>
        </w:rPr>
      </w:pPr>
      <w:bookmarkStart w:id="37" w:name="_Toc220232409"/>
      <w:bookmarkStart w:id="38" w:name="_Toc495414234"/>
    </w:p>
    <w:p>
      <w:pPr>
        <w:pStyle w:val="38"/>
        <w:ind w:firstLine="240"/>
        <w:rPr>
          <w:rFonts w:ascii="宋体" w:hAnsi="宋体" w:cs="宋体"/>
          <w:color w:val="auto"/>
          <w:sz w:val="24"/>
        </w:rPr>
      </w:pPr>
    </w:p>
    <w:p>
      <w:pPr>
        <w:pStyle w:val="38"/>
        <w:ind w:firstLine="240"/>
        <w:rPr>
          <w:rFonts w:ascii="宋体" w:hAnsi="宋体" w:cs="宋体"/>
          <w:color w:val="auto"/>
          <w:sz w:val="24"/>
        </w:rPr>
      </w:pPr>
    </w:p>
    <w:p>
      <w:pPr>
        <w:pStyle w:val="38"/>
        <w:ind w:firstLine="240"/>
        <w:rPr>
          <w:rFonts w:ascii="宋体" w:hAnsi="宋体" w:cs="宋体"/>
          <w:color w:val="auto"/>
          <w:sz w:val="24"/>
        </w:rPr>
      </w:pPr>
    </w:p>
    <w:p>
      <w:pPr>
        <w:pStyle w:val="38"/>
        <w:ind w:firstLine="240"/>
        <w:rPr>
          <w:rFonts w:ascii="宋体" w:hAnsi="宋体" w:cs="宋体"/>
          <w:color w:val="auto"/>
          <w:sz w:val="24"/>
        </w:rPr>
      </w:pPr>
    </w:p>
    <w:p>
      <w:pPr>
        <w:pStyle w:val="38"/>
        <w:ind w:firstLine="240"/>
        <w:rPr>
          <w:rFonts w:ascii="宋体" w:hAnsi="宋体" w:cs="宋体"/>
          <w:color w:val="auto"/>
          <w:sz w:val="24"/>
        </w:rPr>
      </w:pPr>
    </w:p>
    <w:p>
      <w:pPr>
        <w:pStyle w:val="38"/>
        <w:ind w:firstLine="240"/>
        <w:rPr>
          <w:rFonts w:ascii="宋体" w:hAnsi="宋体" w:cs="宋体"/>
          <w:color w:val="auto"/>
          <w:sz w:val="24"/>
        </w:rPr>
      </w:pPr>
    </w:p>
    <w:bookmarkEnd w:id="37"/>
    <w:bookmarkEnd w:id="38"/>
    <w:p>
      <w:pPr>
        <w:spacing w:line="360" w:lineRule="auto"/>
        <w:jc w:val="left"/>
        <w:rPr>
          <w:rFonts w:ascii="宋体" w:hAnsi="宋体" w:cs="宋体"/>
          <w:color w:val="auto"/>
          <w:sz w:val="24"/>
        </w:rPr>
      </w:pPr>
      <w:r>
        <w:rPr>
          <w:rFonts w:hint="eastAsia" w:ascii="宋体" w:hAnsi="宋体" w:cs="宋体"/>
          <w:color w:val="auto"/>
          <w:sz w:val="24"/>
        </w:rPr>
        <w:t>格式</w:t>
      </w:r>
      <w:r>
        <w:rPr>
          <w:rFonts w:ascii="宋体" w:hAnsi="宋体" w:cs="宋体"/>
          <w:color w:val="auto"/>
          <w:sz w:val="24"/>
        </w:rPr>
        <w:t>5</w:t>
      </w:r>
    </w:p>
    <w:p>
      <w:pPr>
        <w:pStyle w:val="6"/>
        <w:ind w:firstLine="480"/>
        <w:rPr>
          <w:rFonts w:ascii="宋体" w:hAnsi="宋体" w:eastAsia="宋体" w:cs="宋体"/>
          <w:color w:val="auto"/>
          <w:sz w:val="24"/>
        </w:rPr>
      </w:pPr>
    </w:p>
    <w:p>
      <w:pPr>
        <w:spacing w:line="380" w:lineRule="exact"/>
        <w:jc w:val="center"/>
        <w:rPr>
          <w:rFonts w:ascii="宋体" w:hAnsi="宋体" w:cs="宋体"/>
          <w:color w:val="auto"/>
          <w:sz w:val="24"/>
        </w:rPr>
      </w:pPr>
      <w:r>
        <w:rPr>
          <w:rFonts w:hint="eastAsia" w:ascii="宋体" w:hAnsi="宋体" w:cs="宋体"/>
          <w:color w:val="auto"/>
          <w:sz w:val="24"/>
        </w:rPr>
        <w:t>服务方案及服务承诺</w:t>
      </w:r>
    </w:p>
    <w:p>
      <w:pPr>
        <w:spacing w:line="380" w:lineRule="exact"/>
        <w:jc w:val="center"/>
        <w:rPr>
          <w:rFonts w:ascii="宋体" w:hAnsi="宋体" w:cs="宋体"/>
          <w:color w:val="auto"/>
          <w:sz w:val="24"/>
        </w:rPr>
      </w:pPr>
    </w:p>
    <w:p>
      <w:pPr>
        <w:spacing w:line="380" w:lineRule="exact"/>
        <w:ind w:firstLine="360" w:firstLineChars="150"/>
        <w:rPr>
          <w:rFonts w:ascii="宋体" w:hAnsi="宋体" w:cs="宋体"/>
          <w:color w:val="auto"/>
          <w:sz w:val="24"/>
        </w:rPr>
      </w:pPr>
    </w:p>
    <w:p>
      <w:pPr>
        <w:pStyle w:val="42"/>
        <w:rPr>
          <w:rFonts w:ascii="宋体" w:hAnsi="宋体" w:cs="宋体"/>
          <w:color w:val="auto"/>
          <w:sz w:val="24"/>
          <w:szCs w:val="24"/>
        </w:rPr>
      </w:pPr>
    </w:p>
    <w:p>
      <w:pPr>
        <w:pStyle w:val="42"/>
        <w:rPr>
          <w:rFonts w:ascii="宋体" w:hAnsi="宋体" w:cs="宋体"/>
          <w:color w:val="auto"/>
          <w:sz w:val="24"/>
          <w:szCs w:val="24"/>
        </w:rPr>
      </w:pPr>
    </w:p>
    <w:p>
      <w:pPr>
        <w:pStyle w:val="42"/>
        <w:rPr>
          <w:rFonts w:ascii="宋体" w:hAnsi="宋体" w:cs="宋体"/>
          <w:color w:val="auto"/>
          <w:sz w:val="24"/>
          <w:szCs w:val="24"/>
        </w:rPr>
      </w:pPr>
    </w:p>
    <w:p>
      <w:pPr>
        <w:pStyle w:val="42"/>
        <w:rPr>
          <w:rFonts w:ascii="宋体" w:hAnsi="宋体" w:cs="宋体"/>
          <w:color w:val="auto"/>
          <w:sz w:val="24"/>
          <w:szCs w:val="24"/>
        </w:rPr>
      </w:pPr>
    </w:p>
    <w:p>
      <w:pPr>
        <w:pStyle w:val="42"/>
        <w:rPr>
          <w:rFonts w:ascii="宋体" w:hAnsi="宋体" w:cs="宋体"/>
          <w:color w:val="auto"/>
          <w:sz w:val="24"/>
          <w:szCs w:val="24"/>
        </w:rPr>
      </w:pPr>
    </w:p>
    <w:p>
      <w:pPr>
        <w:pStyle w:val="42"/>
        <w:rPr>
          <w:rFonts w:ascii="宋体" w:hAnsi="宋体" w:cs="宋体"/>
          <w:color w:val="auto"/>
          <w:sz w:val="24"/>
          <w:szCs w:val="24"/>
        </w:rPr>
      </w:pPr>
    </w:p>
    <w:p>
      <w:pPr>
        <w:spacing w:line="380" w:lineRule="exact"/>
        <w:rPr>
          <w:rFonts w:ascii="宋体" w:hAnsi="宋体" w:cs="宋体"/>
          <w:color w:val="auto"/>
          <w:sz w:val="24"/>
        </w:rPr>
      </w:pPr>
    </w:p>
    <w:p>
      <w:pPr>
        <w:spacing w:line="360" w:lineRule="auto"/>
        <w:ind w:firstLine="3840" w:firstLineChars="1600"/>
        <w:rPr>
          <w:rFonts w:ascii="宋体" w:hAnsi="宋体" w:cs="宋体"/>
          <w:color w:val="auto"/>
          <w:sz w:val="24"/>
        </w:rPr>
      </w:pPr>
      <w:r>
        <w:rPr>
          <w:rFonts w:hint="eastAsia" w:ascii="宋体" w:hAnsi="宋体" w:cs="宋体"/>
          <w:color w:val="auto"/>
          <w:sz w:val="24"/>
        </w:rPr>
        <w:t xml:space="preserve">供应商电子公章： </w:t>
      </w:r>
    </w:p>
    <w:p>
      <w:pPr>
        <w:spacing w:line="380" w:lineRule="exact"/>
        <w:ind w:right="640" w:firstLine="1560" w:firstLineChars="650"/>
        <w:rPr>
          <w:rFonts w:ascii="宋体" w:hAnsi="宋体" w:cs="宋体"/>
          <w:color w:val="auto"/>
          <w:sz w:val="24"/>
        </w:rPr>
      </w:pPr>
    </w:p>
    <w:p>
      <w:pPr>
        <w:spacing w:line="380" w:lineRule="exact"/>
        <w:ind w:right="640" w:firstLine="4680" w:firstLineChars="1950"/>
        <w:rPr>
          <w:rFonts w:ascii="宋体" w:hAnsi="宋体" w:cs="宋体"/>
          <w:color w:val="auto"/>
          <w:sz w:val="24"/>
        </w:rPr>
      </w:pPr>
    </w:p>
    <w:p>
      <w:pPr>
        <w:spacing w:line="380" w:lineRule="exact"/>
        <w:jc w:val="center"/>
        <w:rPr>
          <w:rFonts w:ascii="宋体" w:hAnsi="宋体" w:cs="宋体"/>
          <w:color w:val="auto"/>
          <w:sz w:val="24"/>
        </w:rPr>
      </w:pPr>
    </w:p>
    <w:p>
      <w:pPr>
        <w:spacing w:line="380" w:lineRule="exact"/>
        <w:ind w:firstLine="3600" w:firstLineChars="1500"/>
        <w:rPr>
          <w:rFonts w:ascii="宋体" w:hAnsi="宋体" w:cs="宋体"/>
          <w:color w:val="auto"/>
          <w:sz w:val="24"/>
        </w:rPr>
      </w:pPr>
      <w:r>
        <w:rPr>
          <w:rFonts w:hint="eastAsia" w:ascii="宋体" w:hAnsi="宋体" w:cs="宋体"/>
          <w:color w:val="auto"/>
          <w:sz w:val="24"/>
        </w:rPr>
        <w:t xml:space="preserve">      年   月    日</w:t>
      </w:r>
    </w:p>
    <w:p>
      <w:pPr>
        <w:spacing w:line="360" w:lineRule="auto"/>
        <w:jc w:val="center"/>
        <w:rPr>
          <w:rFonts w:ascii="宋体" w:hAnsi="宋体" w:cs="宋体"/>
          <w:b/>
          <w:bCs/>
          <w:color w:val="auto"/>
          <w:sz w:val="24"/>
        </w:rPr>
      </w:pPr>
      <w:r>
        <w:rPr>
          <w:rFonts w:hint="eastAsia" w:ascii="宋体" w:hAnsi="宋体" w:cs="宋体"/>
          <w:b/>
          <w:bCs/>
          <w:color w:val="auto"/>
          <w:sz w:val="24"/>
        </w:rPr>
        <w:br w:type="page"/>
      </w:r>
    </w:p>
    <w:p>
      <w:pPr>
        <w:spacing w:line="380" w:lineRule="exact"/>
        <w:jc w:val="left"/>
        <w:rPr>
          <w:rFonts w:ascii="宋体" w:hAnsi="宋体" w:cs="宋体"/>
          <w:color w:val="auto"/>
          <w:sz w:val="24"/>
        </w:rPr>
      </w:pPr>
      <w:r>
        <w:rPr>
          <w:rFonts w:hint="eastAsia" w:ascii="宋体" w:hAnsi="宋体" w:cs="宋体"/>
          <w:color w:val="auto"/>
          <w:sz w:val="24"/>
        </w:rPr>
        <w:t>格式</w:t>
      </w:r>
      <w:r>
        <w:rPr>
          <w:rFonts w:ascii="宋体" w:hAnsi="宋体" w:cs="宋体"/>
          <w:color w:val="auto"/>
          <w:sz w:val="24"/>
        </w:rPr>
        <w:t>6</w:t>
      </w:r>
    </w:p>
    <w:p>
      <w:pPr>
        <w:spacing w:line="380" w:lineRule="exact"/>
        <w:jc w:val="center"/>
        <w:rPr>
          <w:rFonts w:ascii="宋体" w:hAnsi="宋体" w:cs="宋体"/>
          <w:color w:val="auto"/>
          <w:sz w:val="24"/>
        </w:rPr>
      </w:pPr>
      <w:r>
        <w:rPr>
          <w:rFonts w:hint="eastAsia" w:ascii="宋体" w:hAnsi="宋体" w:cs="宋体"/>
          <w:color w:val="auto"/>
          <w:sz w:val="24"/>
        </w:rPr>
        <w:t>合格供应商的声明函和承诺书</w:t>
      </w:r>
    </w:p>
    <w:p>
      <w:pPr>
        <w:spacing w:line="360" w:lineRule="auto"/>
        <w:rPr>
          <w:rFonts w:ascii="宋体" w:hAnsi="宋体" w:cs="宋体"/>
          <w:color w:val="auto"/>
          <w:sz w:val="24"/>
        </w:rPr>
      </w:pPr>
    </w:p>
    <w:p>
      <w:pPr>
        <w:spacing w:line="360" w:lineRule="auto"/>
        <w:jc w:val="center"/>
        <w:rPr>
          <w:rFonts w:ascii="宋体" w:hAnsi="宋体" w:cs="宋体"/>
          <w:b/>
          <w:bCs/>
          <w:color w:val="auto"/>
          <w:sz w:val="24"/>
        </w:rPr>
      </w:pPr>
    </w:p>
    <w:p>
      <w:pPr>
        <w:pStyle w:val="42"/>
        <w:rPr>
          <w:color w:val="auto"/>
        </w:rPr>
      </w:pPr>
    </w:p>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p>
    <w:p>
      <w:pPr>
        <w:spacing w:line="360" w:lineRule="auto"/>
        <w:ind w:firstLine="3840" w:firstLineChars="1600"/>
        <w:rPr>
          <w:rFonts w:ascii="宋体" w:hAnsi="宋体" w:cs="宋体"/>
          <w:color w:val="auto"/>
          <w:sz w:val="24"/>
        </w:rPr>
      </w:pPr>
      <w:r>
        <w:rPr>
          <w:rFonts w:hint="eastAsia" w:ascii="宋体" w:hAnsi="宋体" w:cs="宋体"/>
          <w:color w:val="auto"/>
          <w:sz w:val="24"/>
        </w:rPr>
        <w:t xml:space="preserve">供应商电子公章： </w:t>
      </w:r>
    </w:p>
    <w:p>
      <w:pPr>
        <w:spacing w:line="380" w:lineRule="exact"/>
        <w:ind w:right="640" w:firstLine="1560" w:firstLineChars="650"/>
        <w:rPr>
          <w:rFonts w:ascii="宋体" w:hAnsi="宋体" w:cs="宋体"/>
          <w:color w:val="auto"/>
          <w:sz w:val="24"/>
        </w:rPr>
      </w:pPr>
    </w:p>
    <w:p>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pPr>
        <w:spacing w:line="360" w:lineRule="auto"/>
        <w:rPr>
          <w:rFonts w:ascii="宋体" w:hAnsi="宋体" w:cs="宋体"/>
          <w:color w:val="auto"/>
          <w:sz w:val="24"/>
        </w:rPr>
      </w:pPr>
    </w:p>
    <w:p>
      <w:pPr>
        <w:spacing w:line="360" w:lineRule="auto"/>
        <w:rPr>
          <w:rFonts w:ascii="宋体" w:hAnsi="宋体" w:cs="宋体"/>
          <w:color w:val="auto"/>
          <w:sz w:val="24"/>
        </w:rPr>
      </w:pPr>
    </w:p>
    <w:p>
      <w:pPr>
        <w:spacing w:line="360" w:lineRule="auto"/>
        <w:rPr>
          <w:rFonts w:ascii="宋体" w:hAnsi="宋体" w:cs="宋体"/>
          <w:color w:val="auto"/>
          <w:sz w:val="24"/>
        </w:rPr>
      </w:pPr>
    </w:p>
    <w:p>
      <w:pPr>
        <w:spacing w:line="360" w:lineRule="auto"/>
        <w:rPr>
          <w:rFonts w:ascii="宋体" w:hAnsi="宋体" w:cs="宋体"/>
          <w:color w:val="auto"/>
          <w:sz w:val="24"/>
        </w:rPr>
      </w:pPr>
    </w:p>
    <w:p>
      <w:pPr>
        <w:spacing w:line="380" w:lineRule="exact"/>
        <w:jc w:val="center"/>
        <w:rPr>
          <w:rFonts w:ascii="宋体" w:hAnsi="宋体" w:cs="宋体"/>
          <w:color w:val="auto"/>
          <w:sz w:val="24"/>
        </w:rPr>
      </w:pPr>
    </w:p>
    <w:p>
      <w:pPr>
        <w:spacing w:line="380" w:lineRule="exact"/>
        <w:jc w:val="center"/>
        <w:rPr>
          <w:rFonts w:ascii="宋体" w:hAnsi="宋体" w:cs="宋体"/>
          <w:color w:val="auto"/>
          <w:sz w:val="24"/>
        </w:rPr>
      </w:pPr>
    </w:p>
    <w:p>
      <w:pPr>
        <w:spacing w:line="380" w:lineRule="exact"/>
        <w:jc w:val="center"/>
        <w:rPr>
          <w:rFonts w:ascii="宋体" w:hAnsi="宋体" w:cs="宋体"/>
          <w:color w:val="auto"/>
          <w:sz w:val="24"/>
        </w:rPr>
      </w:pPr>
    </w:p>
    <w:p>
      <w:pPr>
        <w:spacing w:line="380" w:lineRule="exact"/>
        <w:jc w:val="center"/>
        <w:rPr>
          <w:rFonts w:ascii="宋体" w:hAnsi="宋体" w:cs="宋体"/>
          <w:color w:val="auto"/>
          <w:sz w:val="24"/>
        </w:rPr>
      </w:pPr>
    </w:p>
    <w:p>
      <w:pPr>
        <w:spacing w:line="380" w:lineRule="exact"/>
        <w:jc w:val="center"/>
        <w:rPr>
          <w:rFonts w:ascii="宋体" w:hAnsi="宋体" w:cs="宋体"/>
          <w:color w:val="auto"/>
          <w:sz w:val="24"/>
        </w:rPr>
      </w:pPr>
    </w:p>
    <w:p>
      <w:pPr>
        <w:spacing w:line="380" w:lineRule="exact"/>
        <w:jc w:val="center"/>
        <w:rPr>
          <w:rFonts w:ascii="宋体" w:hAnsi="宋体" w:cs="宋体"/>
          <w:color w:val="auto"/>
          <w:sz w:val="24"/>
        </w:rPr>
      </w:pPr>
    </w:p>
    <w:p>
      <w:pPr>
        <w:spacing w:line="380" w:lineRule="exact"/>
        <w:jc w:val="center"/>
        <w:rPr>
          <w:rFonts w:ascii="宋体" w:hAnsi="宋体" w:cs="宋体"/>
          <w:color w:val="auto"/>
          <w:sz w:val="24"/>
        </w:rPr>
      </w:pPr>
    </w:p>
    <w:p>
      <w:pPr>
        <w:spacing w:line="380" w:lineRule="exact"/>
        <w:jc w:val="center"/>
        <w:rPr>
          <w:rFonts w:ascii="宋体" w:hAnsi="宋体" w:cs="宋体"/>
          <w:color w:val="auto"/>
          <w:sz w:val="24"/>
        </w:rPr>
      </w:pPr>
    </w:p>
    <w:p>
      <w:pPr>
        <w:spacing w:line="380" w:lineRule="exact"/>
        <w:jc w:val="center"/>
        <w:rPr>
          <w:rFonts w:ascii="宋体" w:hAnsi="宋体" w:cs="宋体"/>
          <w:color w:val="auto"/>
          <w:sz w:val="24"/>
        </w:rPr>
      </w:pPr>
    </w:p>
    <w:p>
      <w:pPr>
        <w:spacing w:line="380" w:lineRule="exact"/>
        <w:jc w:val="left"/>
        <w:rPr>
          <w:rFonts w:ascii="宋体" w:hAnsi="宋体" w:cs="宋体"/>
          <w:color w:val="auto"/>
          <w:sz w:val="24"/>
        </w:rPr>
      </w:pPr>
      <w:r>
        <w:rPr>
          <w:rFonts w:hint="eastAsia" w:ascii="宋体" w:hAnsi="宋体" w:cs="宋体"/>
          <w:color w:val="auto"/>
          <w:sz w:val="24"/>
        </w:rPr>
        <w:t>格式</w:t>
      </w:r>
      <w:r>
        <w:rPr>
          <w:rFonts w:ascii="宋体" w:hAnsi="宋体" w:cs="宋体"/>
          <w:color w:val="auto"/>
          <w:sz w:val="24"/>
        </w:rPr>
        <w:t>7</w:t>
      </w:r>
    </w:p>
    <w:p>
      <w:pPr>
        <w:spacing w:line="380" w:lineRule="exact"/>
        <w:jc w:val="center"/>
        <w:rPr>
          <w:rFonts w:ascii="宋体" w:hAnsi="宋体" w:cs="宋体"/>
          <w:color w:val="auto"/>
          <w:sz w:val="24"/>
        </w:rPr>
      </w:pPr>
      <w:r>
        <w:rPr>
          <w:rFonts w:hint="eastAsia" w:ascii="宋体" w:hAnsi="宋体" w:cs="宋体"/>
          <w:color w:val="auto"/>
          <w:sz w:val="24"/>
        </w:rPr>
        <w:t>中小企业声明函（工程、服务）</w:t>
      </w:r>
    </w:p>
    <w:p>
      <w:pPr>
        <w:spacing w:line="360" w:lineRule="auto"/>
        <w:rPr>
          <w:b/>
          <w:bCs/>
          <w:color w:val="auto"/>
          <w:sz w:val="32"/>
          <w:szCs w:val="32"/>
        </w:rPr>
      </w:pPr>
    </w:p>
    <w:p>
      <w:pPr>
        <w:spacing w:line="360" w:lineRule="auto"/>
        <w:ind w:firstLine="480" w:firstLineChars="200"/>
        <w:rPr>
          <w:rFonts w:ascii="宋体" w:hAnsi="宋体" w:cs="宋体"/>
          <w:color w:val="auto"/>
          <w:sz w:val="24"/>
        </w:rPr>
      </w:pPr>
      <w:r>
        <w:rPr>
          <w:rFonts w:hint="eastAsia" w:ascii="宋体" w:hAnsi="宋体" w:cs="宋体"/>
          <w:color w:val="auto"/>
          <w:sz w:val="24"/>
        </w:rPr>
        <w:t>本公司（联合体）郑重声明，根据《政府采购促进中小企业发展管理办法》（财库﹝2020﹞46号）的规定，本公司（联合体）参加</w:t>
      </w:r>
      <w:r>
        <w:rPr>
          <w:rFonts w:hint="eastAsia" w:ascii="宋体" w:hAnsi="宋体" w:cs="宋体"/>
          <w:color w:val="auto"/>
          <w:sz w:val="24"/>
          <w:u w:val="single"/>
        </w:rPr>
        <w:t>（单位名称）</w:t>
      </w:r>
      <w:r>
        <w:rPr>
          <w:rFonts w:hint="eastAsia" w:ascii="宋体" w:hAnsi="宋体" w:cs="宋体"/>
          <w:color w:val="auto"/>
          <w:sz w:val="24"/>
        </w:rPr>
        <w:t>的</w:t>
      </w:r>
      <w:r>
        <w:rPr>
          <w:rFonts w:hint="eastAsia" w:ascii="宋体" w:hAnsi="宋体" w:cs="宋体"/>
          <w:color w:val="auto"/>
          <w:sz w:val="24"/>
          <w:u w:val="single"/>
        </w:rPr>
        <w:t>（项目名称）</w:t>
      </w:r>
      <w:r>
        <w:rPr>
          <w:rFonts w:hint="eastAsia" w:ascii="宋体" w:hAnsi="宋体" w:cs="宋体"/>
          <w:color w:val="auto"/>
          <w:sz w:val="24"/>
        </w:rPr>
        <w:t>采购活动，工程的施工单位全部为符合政策要求的中小企业</w:t>
      </w:r>
      <w:r>
        <w:rPr>
          <w:rFonts w:hint="eastAsia" w:ascii="宋体" w:hAnsi="宋体" w:cs="宋体"/>
          <w:color w:val="auto"/>
          <w:sz w:val="24"/>
          <w:u w:val="single"/>
        </w:rPr>
        <w:t>（或者：服务全部由符合政策要求的中小企业承接）</w:t>
      </w:r>
      <w:r>
        <w:rPr>
          <w:rFonts w:hint="eastAsia" w:ascii="宋体" w:hAnsi="宋体" w:cs="宋体"/>
          <w:color w:val="auto"/>
          <w:sz w:val="24"/>
        </w:rPr>
        <w:t>。相关企业</w:t>
      </w:r>
      <w:r>
        <w:rPr>
          <w:rFonts w:hint="eastAsia" w:ascii="宋体" w:hAnsi="宋体" w:cs="宋体"/>
          <w:color w:val="auto"/>
          <w:sz w:val="24"/>
          <w:u w:val="single"/>
        </w:rPr>
        <w:t>（含联合 体中的中小企业、签订分包意向协议的中小企业）</w:t>
      </w:r>
      <w:r>
        <w:rPr>
          <w:rFonts w:hint="eastAsia" w:ascii="宋体" w:hAnsi="宋体" w:cs="宋体"/>
          <w:color w:val="auto"/>
          <w:sz w:val="24"/>
        </w:rPr>
        <w:t>的具体情 况如下：</w:t>
      </w:r>
    </w:p>
    <w:p>
      <w:pPr>
        <w:spacing w:line="360" w:lineRule="auto"/>
        <w:ind w:firstLine="480" w:firstLineChars="200"/>
        <w:rPr>
          <w:rFonts w:ascii="宋体" w:hAnsi="宋体" w:cs="宋体"/>
          <w:color w:val="auto"/>
          <w:sz w:val="24"/>
        </w:rPr>
      </w:pPr>
      <w:r>
        <w:rPr>
          <w:rFonts w:hint="eastAsia" w:ascii="宋体" w:hAnsi="宋体" w:cs="宋体"/>
          <w:color w:val="auto"/>
          <w:sz w:val="24"/>
        </w:rPr>
        <w:t>1.</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承建（承接）企业为（企业名称），从业人员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 xml:space="preserve">万元1，属于（中型企业、小型企业、微型企业）； </w:t>
      </w:r>
    </w:p>
    <w:p>
      <w:pPr>
        <w:spacing w:line="360" w:lineRule="auto"/>
        <w:ind w:firstLine="480" w:firstLineChars="200"/>
        <w:rPr>
          <w:rFonts w:ascii="宋体" w:hAnsi="宋体" w:cs="宋体"/>
          <w:color w:val="auto"/>
          <w:sz w:val="24"/>
        </w:rPr>
      </w:pPr>
      <w:r>
        <w:rPr>
          <w:rFonts w:hint="eastAsia" w:ascii="宋体" w:hAnsi="宋体" w:cs="宋体"/>
          <w:color w:val="auto"/>
          <w:sz w:val="24"/>
        </w:rPr>
        <w:t>2.</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w:t>
      </w:r>
      <w:r>
        <w:rPr>
          <w:rFonts w:hint="eastAsia" w:ascii="宋体" w:hAnsi="宋体" w:cs="宋体"/>
          <w:color w:val="auto"/>
          <w:sz w:val="24"/>
          <w:u w:val="single"/>
        </w:rPr>
        <w:t>（企业名称）</w:t>
      </w:r>
      <w:r>
        <w:rPr>
          <w:rFonts w:hint="eastAsia" w:ascii="宋体" w:hAnsi="宋体" w:cs="宋体"/>
          <w:color w:val="auto"/>
          <w:sz w:val="24"/>
        </w:rPr>
        <w:t>，从业人员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万元，属于</w:t>
      </w:r>
      <w:r>
        <w:rPr>
          <w:rFonts w:hint="eastAsia" w:ascii="宋体" w:hAnsi="宋体" w:cs="宋体"/>
          <w:color w:val="auto"/>
          <w:sz w:val="24"/>
          <w:u w:val="single"/>
        </w:rPr>
        <w:t>（中型企业、 小型企业、微型企业）</w:t>
      </w:r>
      <w:r>
        <w:rPr>
          <w:rFonts w:hint="eastAsia" w:ascii="宋体" w:hAnsi="宋体" w:cs="宋体"/>
          <w:color w:val="auto"/>
          <w:sz w:val="24"/>
        </w:rPr>
        <w:t>； ……</w:t>
      </w:r>
    </w:p>
    <w:p>
      <w:pPr>
        <w:spacing w:line="360" w:lineRule="auto"/>
        <w:ind w:firstLine="480" w:firstLineChars="200"/>
        <w:rPr>
          <w:rFonts w:ascii="宋体" w:hAnsi="宋体" w:cs="宋体"/>
          <w:color w:val="auto"/>
          <w:sz w:val="24"/>
        </w:rPr>
      </w:pPr>
      <w:r>
        <w:rPr>
          <w:rFonts w:hint="eastAsia" w:ascii="宋体" w:hAnsi="宋体" w:cs="宋体"/>
          <w:color w:val="auto"/>
          <w:sz w:val="24"/>
        </w:rPr>
        <w:t>以上企业，不属于大企业的分支机构，不存在控股股东 为大企业的情形，也不存在与大企业的负责人为同一人的情形。</w:t>
      </w:r>
    </w:p>
    <w:p>
      <w:pPr>
        <w:spacing w:line="360" w:lineRule="auto"/>
        <w:ind w:firstLine="480" w:firstLineChars="200"/>
        <w:rPr>
          <w:rFonts w:ascii="宋体" w:hAnsi="宋体" w:cs="宋体"/>
          <w:color w:val="auto"/>
          <w:sz w:val="24"/>
        </w:rPr>
      </w:pPr>
      <w:r>
        <w:rPr>
          <w:rFonts w:hint="eastAsia" w:ascii="宋体" w:hAnsi="宋体" w:cs="宋体"/>
          <w:color w:val="auto"/>
          <w:sz w:val="24"/>
        </w:rPr>
        <w:t xml:space="preserve">本企业对上述声明内容的真实性负责。如有虚假，将依 法承担相应责任。 </w:t>
      </w:r>
    </w:p>
    <w:p>
      <w:pPr>
        <w:spacing w:line="360" w:lineRule="auto"/>
        <w:ind w:firstLine="3600" w:firstLineChars="1500"/>
        <w:rPr>
          <w:rFonts w:ascii="宋体" w:hAnsi="宋体" w:cs="宋体"/>
          <w:color w:val="auto"/>
          <w:sz w:val="24"/>
        </w:rPr>
      </w:pPr>
      <w:r>
        <w:rPr>
          <w:rFonts w:hint="eastAsia" w:ascii="宋体" w:hAnsi="宋体" w:cs="宋体"/>
          <w:color w:val="auto"/>
          <w:sz w:val="24"/>
        </w:rPr>
        <w:t xml:space="preserve">企业名称（盖章）： </w:t>
      </w:r>
    </w:p>
    <w:p>
      <w:pPr>
        <w:spacing w:line="360" w:lineRule="auto"/>
        <w:ind w:firstLine="4800" w:firstLineChars="2000"/>
        <w:rPr>
          <w:rFonts w:ascii="宋体" w:hAnsi="宋体" w:cs="宋体"/>
          <w:color w:val="auto"/>
          <w:sz w:val="24"/>
        </w:rPr>
      </w:pPr>
      <w:r>
        <w:rPr>
          <w:rFonts w:hint="eastAsia" w:ascii="宋体" w:hAnsi="宋体" w:cs="宋体"/>
          <w:color w:val="auto"/>
          <w:sz w:val="24"/>
        </w:rPr>
        <w:t xml:space="preserve">日 期： </w:t>
      </w:r>
    </w:p>
    <w:p>
      <w:pPr>
        <w:pStyle w:val="42"/>
        <w:rPr>
          <w:rFonts w:ascii="宋体" w:hAnsi="宋体" w:cs="宋体"/>
          <w:color w:val="auto"/>
          <w:sz w:val="24"/>
          <w:szCs w:val="24"/>
        </w:rPr>
      </w:pPr>
    </w:p>
    <w:p>
      <w:pPr>
        <w:pStyle w:val="14"/>
        <w:rPr>
          <w:rFonts w:ascii="宋体" w:hAnsi="宋体" w:eastAsia="宋体" w:cs="宋体"/>
          <w:color w:val="auto"/>
          <w:sz w:val="24"/>
        </w:rPr>
      </w:pPr>
    </w:p>
    <w:p>
      <w:pPr>
        <w:rPr>
          <w:rFonts w:ascii="宋体" w:hAnsi="宋体" w:cs="宋体"/>
          <w:color w:val="auto"/>
          <w:sz w:val="24"/>
        </w:rPr>
      </w:pPr>
    </w:p>
    <w:p>
      <w:pPr>
        <w:pStyle w:val="42"/>
        <w:rPr>
          <w:rFonts w:ascii="宋体" w:hAnsi="宋体" w:cs="宋体"/>
          <w:color w:val="auto"/>
          <w:sz w:val="24"/>
          <w:szCs w:val="24"/>
        </w:rPr>
      </w:pPr>
    </w:p>
    <w:p>
      <w:pPr>
        <w:pStyle w:val="14"/>
        <w:rPr>
          <w:color w:val="auto"/>
        </w:rPr>
      </w:pPr>
    </w:p>
    <w:p>
      <w:pPr>
        <w:spacing w:line="360" w:lineRule="auto"/>
        <w:ind w:firstLine="420" w:firstLineChars="200"/>
        <w:rPr>
          <w:color w:val="auto"/>
        </w:rPr>
      </w:pPr>
      <w:r>
        <w:rPr>
          <w:rFonts w:hint="eastAsia"/>
          <w:color w:val="auto"/>
        </w:rPr>
        <w:t>注：1.从业人员、营业收入、资产总额填报上一年度数据，无上一年度数据的新成立企业可不填报。</w:t>
      </w:r>
    </w:p>
    <w:p>
      <w:pPr>
        <w:spacing w:line="360" w:lineRule="auto"/>
        <w:ind w:firstLine="420" w:firstLineChars="200"/>
        <w:rPr>
          <w:color w:val="auto"/>
        </w:rPr>
      </w:pPr>
      <w:r>
        <w:rPr>
          <w:rFonts w:hint="eastAsia"/>
          <w:color w:val="auto"/>
        </w:rPr>
        <w:t>2.本项目如是只面向中小企业采购的应当必须提供。</w:t>
      </w:r>
    </w:p>
    <w:p>
      <w:pPr>
        <w:spacing w:line="360" w:lineRule="auto"/>
        <w:jc w:val="center"/>
        <w:rPr>
          <w:rFonts w:ascii="宋体" w:hAnsi="宋体" w:cs="宋体"/>
          <w:b/>
          <w:bCs/>
          <w:color w:val="auto"/>
          <w:sz w:val="24"/>
        </w:rPr>
      </w:pPr>
    </w:p>
    <w:p>
      <w:pPr>
        <w:spacing w:line="360" w:lineRule="auto"/>
        <w:jc w:val="center"/>
        <w:rPr>
          <w:rFonts w:ascii="宋体" w:hAnsi="宋体" w:cs="宋体"/>
          <w:b/>
          <w:bCs/>
          <w:color w:val="auto"/>
          <w:sz w:val="24"/>
        </w:rPr>
      </w:pPr>
    </w:p>
    <w:p>
      <w:pPr>
        <w:pStyle w:val="42"/>
        <w:rPr>
          <w:rFonts w:ascii="宋体" w:hAnsi="宋体" w:cs="宋体"/>
          <w:b/>
          <w:bCs/>
          <w:color w:val="auto"/>
          <w:sz w:val="24"/>
        </w:rPr>
      </w:pPr>
    </w:p>
    <w:p>
      <w:pPr>
        <w:pStyle w:val="14"/>
        <w:rPr>
          <w:color w:val="auto"/>
        </w:rPr>
      </w:pPr>
    </w:p>
    <w:p>
      <w:pPr>
        <w:spacing w:line="360" w:lineRule="auto"/>
        <w:rPr>
          <w:rFonts w:ascii="宋体" w:hAnsi="宋体" w:cs="宋体"/>
          <w:color w:val="auto"/>
          <w:sz w:val="24"/>
        </w:rPr>
      </w:pPr>
    </w:p>
    <w:p>
      <w:pPr>
        <w:rPr>
          <w:rFonts w:ascii="宋体" w:hAnsi="宋体" w:cs="宋体"/>
          <w:color w:val="auto"/>
          <w:sz w:val="24"/>
        </w:rPr>
      </w:pPr>
    </w:p>
    <w:p>
      <w:pPr>
        <w:spacing w:line="360" w:lineRule="auto"/>
        <w:rPr>
          <w:rFonts w:ascii="宋体" w:hAnsi="宋体" w:cs="宋体"/>
          <w:color w:val="auto"/>
          <w:sz w:val="24"/>
        </w:rPr>
      </w:pPr>
      <w:r>
        <w:rPr>
          <w:rFonts w:hint="eastAsia" w:ascii="宋体" w:hAnsi="宋体" w:cs="宋体"/>
          <w:color w:val="auto"/>
          <w:sz w:val="24"/>
        </w:rPr>
        <w:t>格式</w:t>
      </w:r>
      <w:r>
        <w:rPr>
          <w:rFonts w:ascii="宋体" w:hAnsi="宋体" w:cs="宋体"/>
          <w:color w:val="auto"/>
          <w:sz w:val="24"/>
        </w:rPr>
        <w:t>8</w:t>
      </w:r>
    </w:p>
    <w:p>
      <w:pPr>
        <w:spacing w:line="360" w:lineRule="auto"/>
        <w:jc w:val="center"/>
        <w:rPr>
          <w:rFonts w:ascii="宋体" w:hAnsi="宋体" w:cs="宋体"/>
          <w:color w:val="auto"/>
          <w:sz w:val="24"/>
        </w:rPr>
      </w:pPr>
      <w:r>
        <w:rPr>
          <w:rFonts w:hint="eastAsia" w:ascii="宋体" w:hAnsi="宋体" w:cs="宋体"/>
          <w:color w:val="auto"/>
          <w:sz w:val="24"/>
        </w:rPr>
        <w:t>其他资料</w:t>
      </w:r>
    </w:p>
    <w:p>
      <w:pPr>
        <w:spacing w:line="360" w:lineRule="auto"/>
        <w:rPr>
          <w:rFonts w:ascii="宋体" w:hAnsi="宋体" w:cs="宋体"/>
          <w:color w:val="auto"/>
          <w:sz w:val="24"/>
        </w:rPr>
      </w:pPr>
    </w:p>
    <w:p>
      <w:pPr>
        <w:widowControl/>
        <w:jc w:val="left"/>
        <w:rPr>
          <w:rFonts w:ascii="宋体" w:hAnsi="宋体" w:cs="宋体"/>
          <w:color w:val="auto"/>
          <w:sz w:val="24"/>
        </w:rPr>
      </w:pPr>
      <w:r>
        <w:rPr>
          <w:rFonts w:ascii="宋体" w:hAnsi="宋体" w:cs="宋体"/>
          <w:color w:val="auto"/>
          <w:sz w:val="24"/>
        </w:rPr>
        <w:br w:type="page"/>
      </w:r>
    </w:p>
    <w:p>
      <w:pPr>
        <w:spacing w:line="360" w:lineRule="auto"/>
        <w:rPr>
          <w:color w:val="auto"/>
        </w:rPr>
      </w:pPr>
      <w:r>
        <w:rPr>
          <w:rFonts w:hint="eastAsia" w:ascii="宋体" w:hAnsi="宋体" w:cs="宋体"/>
          <w:color w:val="auto"/>
          <w:sz w:val="24"/>
        </w:rPr>
        <w:t>格式</w:t>
      </w:r>
      <w:r>
        <w:rPr>
          <w:rFonts w:ascii="宋体" w:hAnsi="宋体" w:cs="宋体"/>
          <w:color w:val="auto"/>
          <w:sz w:val="24"/>
        </w:rPr>
        <w:t>9</w:t>
      </w:r>
    </w:p>
    <w:p>
      <w:pPr>
        <w:spacing w:line="380" w:lineRule="exact"/>
        <w:jc w:val="center"/>
        <w:rPr>
          <w:rStyle w:val="71"/>
          <w:rFonts w:ascii="宋体"/>
          <w:b/>
          <w:bCs/>
          <w:color w:val="auto"/>
          <w:sz w:val="28"/>
          <w:szCs w:val="28"/>
        </w:rPr>
      </w:pPr>
      <w:r>
        <w:rPr>
          <w:rStyle w:val="71"/>
          <w:rFonts w:hint="eastAsia" w:ascii="宋体" w:hAnsi="宋体" w:cs="宋体"/>
          <w:b/>
          <w:bCs/>
          <w:color w:val="auto"/>
          <w:sz w:val="28"/>
          <w:szCs w:val="28"/>
        </w:rPr>
        <w:t>政府采购供应商诚信承诺书</w:t>
      </w:r>
    </w:p>
    <w:p>
      <w:pPr>
        <w:spacing w:line="380" w:lineRule="exact"/>
        <w:jc w:val="center"/>
        <w:rPr>
          <w:rStyle w:val="71"/>
          <w:rFonts w:ascii="宋体"/>
          <w:b/>
          <w:bCs/>
          <w:color w:val="auto"/>
          <w:sz w:val="24"/>
        </w:rPr>
      </w:pPr>
    </w:p>
    <w:p>
      <w:pPr>
        <w:spacing w:line="380" w:lineRule="exact"/>
        <w:ind w:firstLine="720" w:firstLineChars="300"/>
        <w:rPr>
          <w:rFonts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spacing w:line="380" w:lineRule="exact"/>
        <w:rPr>
          <w:rFonts w:ascii="宋体" w:hAnsi="宋体" w:cs="宋体"/>
          <w:color w:val="auto"/>
          <w:sz w:val="24"/>
        </w:rPr>
      </w:pPr>
      <w:r>
        <w:rPr>
          <w:rFonts w:hint="eastAsia" w:ascii="宋体" w:hAnsi="宋体" w:cs="宋体"/>
          <w:color w:val="auto"/>
          <w:sz w:val="24"/>
        </w:rPr>
        <w:t>（一）提供虚假材料谋取中标;</w:t>
      </w:r>
    </w:p>
    <w:p>
      <w:pPr>
        <w:spacing w:line="380" w:lineRule="exact"/>
        <w:rPr>
          <w:rFonts w:ascii="宋体" w:hAnsi="宋体" w:cs="宋体"/>
          <w:color w:val="auto"/>
          <w:sz w:val="24"/>
        </w:rPr>
      </w:pPr>
      <w:r>
        <w:rPr>
          <w:rFonts w:hint="eastAsia" w:ascii="宋体" w:hAnsi="宋体" w:cs="宋体"/>
          <w:color w:val="auto"/>
          <w:sz w:val="24"/>
        </w:rPr>
        <w:t>（二）采取不正当手段诋毁、排挤其他供应商;</w:t>
      </w:r>
    </w:p>
    <w:p>
      <w:pPr>
        <w:spacing w:line="380" w:lineRule="exact"/>
        <w:rPr>
          <w:rFonts w:ascii="宋体" w:hAnsi="宋体" w:cs="宋体"/>
          <w:color w:val="auto"/>
          <w:sz w:val="24"/>
        </w:rPr>
      </w:pPr>
      <w:r>
        <w:rPr>
          <w:rFonts w:hint="eastAsia" w:ascii="宋体" w:hAnsi="宋体" w:cs="宋体"/>
          <w:color w:val="auto"/>
          <w:sz w:val="24"/>
        </w:rPr>
        <w:t>（三）与招标采购单位、其他投标人恶意串通;</w:t>
      </w:r>
    </w:p>
    <w:p>
      <w:pPr>
        <w:spacing w:line="380" w:lineRule="exact"/>
        <w:rPr>
          <w:rFonts w:ascii="宋体" w:hAnsi="宋体" w:cs="宋体"/>
          <w:color w:val="auto"/>
          <w:sz w:val="24"/>
        </w:rPr>
      </w:pPr>
      <w:r>
        <w:rPr>
          <w:rFonts w:hint="eastAsia" w:ascii="宋体" w:hAnsi="宋体" w:cs="宋体"/>
          <w:color w:val="auto"/>
          <w:sz w:val="24"/>
        </w:rPr>
        <w:t>（四）向招标采购单位或提供其他不正当利益;</w:t>
      </w:r>
    </w:p>
    <w:p>
      <w:pPr>
        <w:spacing w:line="380" w:lineRule="exact"/>
        <w:rPr>
          <w:rFonts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pPr>
        <w:spacing w:line="380" w:lineRule="exact"/>
        <w:rPr>
          <w:rFonts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pPr>
        <w:spacing w:line="380" w:lineRule="exact"/>
        <w:rPr>
          <w:rFonts w:ascii="宋体" w:hAnsi="宋体" w:cs="宋体"/>
          <w:color w:val="auto"/>
          <w:sz w:val="24"/>
        </w:rPr>
      </w:pPr>
      <w:r>
        <w:rPr>
          <w:rFonts w:hint="eastAsia" w:ascii="宋体" w:hAnsi="宋体" w:cs="宋体"/>
          <w:color w:val="auto"/>
          <w:sz w:val="24"/>
        </w:rPr>
        <w:t>（七）中标后无正当理由，在规定时间内不与采购单位签订合同;</w:t>
      </w:r>
    </w:p>
    <w:p>
      <w:pPr>
        <w:spacing w:line="380" w:lineRule="exact"/>
        <w:rPr>
          <w:rFonts w:ascii="宋体" w:hAnsi="宋体" w:cs="宋体"/>
          <w:color w:val="auto"/>
          <w:sz w:val="24"/>
        </w:rPr>
      </w:pPr>
      <w:r>
        <w:rPr>
          <w:rFonts w:hint="eastAsia" w:ascii="宋体" w:hAnsi="宋体" w:cs="宋体"/>
          <w:color w:val="auto"/>
          <w:sz w:val="24"/>
        </w:rPr>
        <w:t>（八）将中标项目转让给他人或非法分包他人;</w:t>
      </w:r>
    </w:p>
    <w:p>
      <w:pPr>
        <w:spacing w:line="380" w:lineRule="exact"/>
        <w:rPr>
          <w:rFonts w:ascii="宋体" w:hAnsi="宋体" w:cs="宋体"/>
          <w:color w:val="auto"/>
          <w:sz w:val="24"/>
        </w:rPr>
      </w:pPr>
      <w:r>
        <w:rPr>
          <w:rFonts w:hint="eastAsia" w:ascii="宋体" w:hAnsi="宋体" w:cs="宋体"/>
          <w:color w:val="auto"/>
          <w:sz w:val="24"/>
        </w:rPr>
        <w:t>（九）无正当理由，拒绝履行合同义务;</w:t>
      </w:r>
    </w:p>
    <w:p>
      <w:pPr>
        <w:spacing w:line="380" w:lineRule="exact"/>
        <w:rPr>
          <w:rFonts w:ascii="宋体" w:hAnsi="宋体" w:cs="宋体"/>
          <w:color w:val="auto"/>
          <w:sz w:val="24"/>
        </w:rPr>
      </w:pPr>
      <w:r>
        <w:rPr>
          <w:rFonts w:hint="eastAsia" w:ascii="宋体" w:hAnsi="宋体" w:cs="宋体"/>
          <w:color w:val="auto"/>
          <w:sz w:val="24"/>
        </w:rPr>
        <w:t>（十）无正当理由放弃中标（成交）项目;</w:t>
      </w:r>
    </w:p>
    <w:p>
      <w:pPr>
        <w:spacing w:line="380" w:lineRule="exact"/>
        <w:rPr>
          <w:rFonts w:ascii="宋体" w:hAnsi="宋体" w:cs="宋体"/>
          <w:color w:val="auto"/>
          <w:sz w:val="24"/>
        </w:rPr>
      </w:pPr>
      <w:r>
        <w:rPr>
          <w:rFonts w:hint="eastAsia" w:ascii="宋体" w:hAnsi="宋体" w:cs="宋体"/>
          <w:color w:val="auto"/>
          <w:sz w:val="24"/>
        </w:rPr>
        <w:t>（十ー）撞自或与与采购人串通或接受采购人要求，在履约合同中通过减少货物数量，更换品牌、降低配置、技术要求、质量和服务标准等，却仍按原合同进行虚假验收或终止政府采购合同;</w:t>
      </w:r>
    </w:p>
    <w:p>
      <w:pPr>
        <w:spacing w:line="380" w:lineRule="exact"/>
        <w:rPr>
          <w:rFonts w:ascii="宋体" w:hAnsi="宋体" w:cs="宋体"/>
          <w:color w:val="auto"/>
          <w:sz w:val="24"/>
        </w:rPr>
      </w:pPr>
      <w:r>
        <w:rPr>
          <w:rFonts w:hint="eastAsia" w:ascii="宋体" w:hAnsi="宋体" w:cs="宋体"/>
          <w:color w:val="auto"/>
          <w:sz w:val="24"/>
        </w:rPr>
        <w:t>（十二）与采购人串通，对尚未履约完毕的采购项目出具虚假验收报告；</w:t>
      </w:r>
    </w:p>
    <w:p>
      <w:pPr>
        <w:spacing w:line="380" w:lineRule="exact"/>
        <w:rPr>
          <w:rFonts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pPr>
        <w:spacing w:line="380" w:lineRule="exact"/>
        <w:rPr>
          <w:rFonts w:ascii="宋体" w:hAnsi="宋体" w:cs="宋体"/>
          <w:color w:val="auto"/>
          <w:sz w:val="24"/>
        </w:rPr>
      </w:pPr>
      <w:r>
        <w:rPr>
          <w:rFonts w:hint="eastAsia" w:ascii="宋体" w:hAnsi="宋体" w:cs="宋体"/>
          <w:color w:val="auto"/>
          <w:sz w:val="24"/>
        </w:rPr>
        <w:t>（十四）开标后对招标文件的相关内容再进行质疑；</w:t>
      </w:r>
    </w:p>
    <w:p>
      <w:pPr>
        <w:spacing w:line="380" w:lineRule="exact"/>
        <w:rPr>
          <w:rFonts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pPr>
        <w:spacing w:line="380" w:lineRule="exact"/>
        <w:rPr>
          <w:rFonts w:ascii="宋体" w:hAnsi="宋体" w:cs="宋体"/>
          <w:color w:val="auto"/>
          <w:sz w:val="24"/>
        </w:rPr>
      </w:pPr>
      <w:r>
        <w:rPr>
          <w:rFonts w:hint="eastAsia" w:ascii="宋体" w:hAnsi="宋体" w:cs="宋体"/>
          <w:color w:val="auto"/>
          <w:sz w:val="24"/>
        </w:rPr>
        <w:t>（十六）拒绝有关部门监督检查或者提供虚假情况；</w:t>
      </w:r>
    </w:p>
    <w:p>
      <w:pPr>
        <w:spacing w:line="380" w:lineRule="exact"/>
        <w:rPr>
          <w:rFonts w:ascii="宋体" w:hAnsi="宋体" w:cs="宋体"/>
          <w:color w:val="auto"/>
          <w:sz w:val="24"/>
        </w:rPr>
      </w:pPr>
      <w:r>
        <w:rPr>
          <w:rFonts w:hint="eastAsia" w:ascii="宋体" w:hAnsi="宋体" w:cs="宋体"/>
          <w:color w:val="auto"/>
          <w:sz w:val="24"/>
        </w:rPr>
        <w:t>（十七）政府采购监管部门认定的其他政府采购活动中的不诚信行为。</w:t>
      </w:r>
    </w:p>
    <w:p>
      <w:pPr>
        <w:spacing w:line="380" w:lineRule="exact"/>
        <w:ind w:firstLine="3360" w:firstLineChars="1400"/>
        <w:rPr>
          <w:rFonts w:ascii="宋体" w:hAnsi="宋体" w:cs="宋体"/>
          <w:color w:val="auto"/>
          <w:sz w:val="24"/>
        </w:rPr>
      </w:pPr>
    </w:p>
    <w:p>
      <w:pPr>
        <w:spacing w:line="380" w:lineRule="exact"/>
        <w:ind w:firstLine="3360" w:firstLineChars="1400"/>
        <w:rPr>
          <w:rFonts w:ascii="宋体" w:hAnsi="宋体" w:cs="宋体"/>
          <w:color w:val="auto"/>
          <w:sz w:val="24"/>
        </w:rPr>
      </w:pPr>
      <w:r>
        <w:rPr>
          <w:rFonts w:hint="eastAsia" w:ascii="宋体" w:hAnsi="宋体" w:cs="宋体"/>
          <w:color w:val="auto"/>
          <w:sz w:val="24"/>
        </w:rPr>
        <w:t>供应商名称：（盖章）</w:t>
      </w:r>
    </w:p>
    <w:p>
      <w:pPr>
        <w:spacing w:line="380" w:lineRule="exact"/>
        <w:ind w:firstLine="3360" w:firstLineChars="1400"/>
        <w:rPr>
          <w:rFonts w:ascii="宋体" w:hAnsi="宋体" w:cs="宋体"/>
          <w:color w:val="auto"/>
          <w:sz w:val="24"/>
        </w:rPr>
      </w:pPr>
      <w:r>
        <w:rPr>
          <w:rFonts w:hint="eastAsia" w:ascii="宋体" w:hAnsi="宋体" w:cs="宋体"/>
          <w:color w:val="auto"/>
          <w:sz w:val="24"/>
        </w:rPr>
        <w:t>法定代表人：（签字）</w:t>
      </w:r>
    </w:p>
    <w:p>
      <w:pPr>
        <w:spacing w:line="380" w:lineRule="exact"/>
        <w:ind w:firstLine="3360" w:firstLineChars="1400"/>
        <w:rPr>
          <w:rFonts w:ascii="宋体" w:hAnsi="宋体" w:cs="宋体"/>
          <w:color w:val="auto"/>
          <w:sz w:val="24"/>
        </w:rPr>
      </w:pPr>
    </w:p>
    <w:p>
      <w:pPr>
        <w:spacing w:line="380" w:lineRule="exact"/>
        <w:ind w:firstLine="3360" w:firstLineChars="1400"/>
        <w:rPr>
          <w:rFonts w:ascii="宋体" w:hAnsi="宋体" w:cs="宋体"/>
          <w:b/>
          <w:color w:val="auto"/>
          <w:sz w:val="24"/>
        </w:rPr>
      </w:pPr>
      <w:r>
        <w:rPr>
          <w:rFonts w:hint="eastAsia" w:ascii="宋体" w:hAnsi="宋体" w:cs="宋体"/>
          <w:color w:val="auto"/>
          <w:sz w:val="24"/>
        </w:rPr>
        <w:t>日期：年月日</w:t>
      </w:r>
    </w:p>
    <w:p>
      <w:pPr>
        <w:pStyle w:val="38"/>
        <w:ind w:firstLine="0" w:firstLineChars="0"/>
        <w:rPr>
          <w:rFonts w:ascii="宋体" w:hAnsi="宋体" w:cs="宋体"/>
          <w:b/>
          <w:color w:val="auto"/>
          <w:sz w:val="24"/>
        </w:rPr>
      </w:pPr>
    </w:p>
    <w:p>
      <w:pPr>
        <w:rPr>
          <w:rFonts w:ascii="宋体" w:hAnsi="宋体" w:cs="宋体"/>
          <w:b/>
          <w:color w:val="auto"/>
          <w:sz w:val="32"/>
          <w:szCs w:val="32"/>
        </w:rPr>
      </w:pPr>
      <w:r>
        <w:rPr>
          <w:rFonts w:hint="eastAsia" w:ascii="宋体" w:hAnsi="宋体" w:cs="宋体"/>
          <w:b/>
          <w:color w:val="auto"/>
          <w:sz w:val="32"/>
          <w:szCs w:val="32"/>
        </w:rPr>
        <w:br w:type="page"/>
      </w:r>
    </w:p>
    <w:p>
      <w:pPr>
        <w:pStyle w:val="11"/>
        <w:spacing w:line="500" w:lineRule="exact"/>
        <w:rPr>
          <w:rFonts w:ascii="宋体" w:hAnsi="宋体" w:cs="宋体"/>
          <w:b/>
          <w:color w:val="auto"/>
          <w:sz w:val="32"/>
          <w:szCs w:val="32"/>
        </w:rPr>
      </w:pPr>
      <w:r>
        <w:rPr>
          <w:rFonts w:hint="eastAsia" w:ascii="宋体" w:hAnsi="宋体" w:cs="宋体"/>
          <w:b/>
          <w:color w:val="auto"/>
          <w:sz w:val="32"/>
          <w:szCs w:val="32"/>
        </w:rPr>
        <w:t xml:space="preserve">第五章  </w:t>
      </w:r>
      <w:r>
        <w:rPr>
          <w:rFonts w:hint="eastAsia" w:ascii="宋体" w:hAnsi="宋体" w:cs="宋体"/>
          <w:b/>
          <w:color w:val="auto"/>
          <w:w w:val="92"/>
          <w:sz w:val="32"/>
          <w:szCs w:val="32"/>
        </w:rPr>
        <w:t>周口市</w:t>
      </w:r>
      <w:r>
        <w:rPr>
          <w:rFonts w:hint="eastAsia" w:ascii="宋体" w:hAnsi="宋体" w:cs="宋体"/>
          <w:b/>
          <w:color w:val="auto"/>
          <w:sz w:val="32"/>
          <w:szCs w:val="32"/>
        </w:rPr>
        <w:t>政府采购合同（服务类）标准文本</w:t>
      </w:r>
    </w:p>
    <w:p>
      <w:pPr>
        <w:ind w:firstLine="640" w:firstLineChars="200"/>
        <w:rPr>
          <w:rFonts w:ascii="宋体" w:hAnsi="宋体" w:cs="宋体"/>
          <w:color w:val="auto"/>
          <w:sz w:val="32"/>
          <w:szCs w:val="32"/>
        </w:rPr>
      </w:pPr>
    </w:p>
    <w:p>
      <w:pPr>
        <w:pStyle w:val="84"/>
        <w:spacing w:beforeLines="0" w:afterLines="0"/>
        <w:ind w:left="0" w:firstLine="640" w:firstLineChars="200"/>
        <w:rPr>
          <w:rFonts w:ascii="宋体" w:hAnsi="宋体" w:cs="宋体"/>
          <w:color w:val="auto"/>
          <w:sz w:val="32"/>
          <w:szCs w:val="32"/>
        </w:rPr>
      </w:pPr>
    </w:p>
    <w:p>
      <w:pPr>
        <w:pStyle w:val="84"/>
        <w:spacing w:beforeLines="0" w:afterLines="0"/>
        <w:ind w:left="0" w:firstLine="600" w:firstLineChars="200"/>
        <w:rPr>
          <w:rFonts w:ascii="宋体" w:hAnsi="宋体" w:cs="宋体"/>
          <w:color w:val="auto"/>
          <w:sz w:val="30"/>
          <w:szCs w:val="30"/>
        </w:rPr>
      </w:pPr>
    </w:p>
    <w:p>
      <w:pPr>
        <w:pStyle w:val="84"/>
        <w:spacing w:beforeLines="0" w:afterLines="0"/>
        <w:ind w:left="0" w:firstLine="600" w:firstLineChars="200"/>
        <w:rPr>
          <w:rFonts w:ascii="宋体" w:hAnsi="宋体" w:cs="宋体"/>
          <w:color w:val="auto"/>
          <w:sz w:val="30"/>
          <w:szCs w:val="30"/>
        </w:rPr>
      </w:pPr>
    </w:p>
    <w:p>
      <w:pPr>
        <w:pStyle w:val="84"/>
        <w:spacing w:beforeLines="0" w:afterLines="0"/>
        <w:ind w:left="0" w:firstLine="600" w:firstLineChars="200"/>
        <w:rPr>
          <w:rFonts w:ascii="宋体" w:hAnsi="宋体" w:cs="宋体"/>
          <w:color w:val="auto"/>
          <w:sz w:val="30"/>
          <w:szCs w:val="30"/>
        </w:rPr>
      </w:pPr>
    </w:p>
    <w:p>
      <w:pPr>
        <w:pStyle w:val="84"/>
        <w:spacing w:beforeLines="0" w:afterLines="0"/>
        <w:ind w:left="0" w:firstLine="600" w:firstLineChars="200"/>
        <w:rPr>
          <w:rFonts w:ascii="宋体" w:hAnsi="宋体" w:cs="宋体"/>
          <w:color w:val="auto"/>
          <w:sz w:val="30"/>
          <w:szCs w:val="30"/>
        </w:rPr>
      </w:pPr>
    </w:p>
    <w:p>
      <w:pPr>
        <w:pStyle w:val="84"/>
        <w:spacing w:beforeLines="0" w:afterLines="0"/>
        <w:ind w:left="0" w:firstLine="600" w:firstLineChars="200"/>
        <w:rPr>
          <w:rFonts w:ascii="宋体" w:hAnsi="宋体" w:cs="宋体"/>
          <w:color w:val="auto"/>
          <w:sz w:val="30"/>
          <w:szCs w:val="30"/>
        </w:rPr>
      </w:pPr>
      <w:r>
        <w:rPr>
          <w:rFonts w:hint="eastAsia" w:ascii="宋体" w:hAnsi="宋体" w:cs="宋体"/>
          <w:color w:val="auto"/>
          <w:sz w:val="30"/>
          <w:szCs w:val="30"/>
        </w:rPr>
        <w:t>政府采购项目名称：</w:t>
      </w:r>
    </w:p>
    <w:p>
      <w:pPr>
        <w:pStyle w:val="84"/>
        <w:spacing w:beforeLines="0" w:afterLines="0"/>
        <w:ind w:left="0" w:firstLine="600" w:firstLineChars="200"/>
        <w:rPr>
          <w:rFonts w:ascii="宋体" w:hAnsi="宋体" w:cs="宋体"/>
          <w:color w:val="auto"/>
          <w:sz w:val="30"/>
          <w:szCs w:val="30"/>
        </w:rPr>
      </w:pPr>
      <w:r>
        <w:rPr>
          <w:rFonts w:hint="eastAsia" w:ascii="宋体" w:hAnsi="宋体" w:cs="宋体"/>
          <w:color w:val="auto"/>
          <w:sz w:val="30"/>
          <w:szCs w:val="30"/>
        </w:rPr>
        <w:t>政府采购项目编号：</w:t>
      </w:r>
    </w:p>
    <w:p>
      <w:pPr>
        <w:pStyle w:val="84"/>
        <w:spacing w:beforeLines="0" w:afterLines="0"/>
        <w:ind w:left="0" w:firstLine="600" w:firstLineChars="200"/>
        <w:rPr>
          <w:rFonts w:ascii="宋体" w:hAnsi="宋体" w:cs="宋体"/>
          <w:color w:val="auto"/>
          <w:sz w:val="30"/>
          <w:szCs w:val="30"/>
        </w:rPr>
      </w:pPr>
      <w:r>
        <w:rPr>
          <w:rFonts w:hint="eastAsia" w:ascii="宋体" w:hAnsi="宋体" w:cs="宋体"/>
          <w:color w:val="auto"/>
          <w:sz w:val="30"/>
          <w:szCs w:val="30"/>
        </w:rPr>
        <w:t>采      购    人：</w:t>
      </w:r>
    </w:p>
    <w:p>
      <w:pPr>
        <w:pStyle w:val="84"/>
        <w:spacing w:beforeLines="0" w:afterLines="0"/>
        <w:ind w:left="0" w:firstLine="600" w:firstLineChars="200"/>
        <w:rPr>
          <w:rFonts w:ascii="宋体" w:hAnsi="宋体" w:cs="宋体"/>
          <w:color w:val="auto"/>
          <w:sz w:val="30"/>
          <w:szCs w:val="30"/>
        </w:rPr>
      </w:pPr>
      <w:r>
        <w:rPr>
          <w:rFonts w:hint="eastAsia" w:ascii="宋体" w:hAnsi="宋体" w:cs="宋体"/>
          <w:color w:val="auto"/>
          <w:sz w:val="30"/>
          <w:szCs w:val="30"/>
        </w:rPr>
        <w:t>供      应    商：</w:t>
      </w:r>
    </w:p>
    <w:p>
      <w:pPr>
        <w:pStyle w:val="84"/>
        <w:spacing w:beforeLines="0" w:afterLines="0"/>
        <w:ind w:left="0" w:firstLine="600" w:firstLineChars="200"/>
        <w:rPr>
          <w:rFonts w:ascii="宋体" w:hAnsi="宋体" w:cs="宋体"/>
          <w:color w:val="auto"/>
          <w:sz w:val="30"/>
          <w:szCs w:val="30"/>
        </w:rPr>
      </w:pPr>
      <w:r>
        <w:rPr>
          <w:rFonts w:hint="eastAsia" w:ascii="宋体" w:hAnsi="宋体" w:cs="宋体"/>
          <w:color w:val="auto"/>
          <w:sz w:val="30"/>
          <w:szCs w:val="30"/>
        </w:rPr>
        <w:t>合  同  签 订 地：</w:t>
      </w:r>
    </w:p>
    <w:p>
      <w:pPr>
        <w:pStyle w:val="84"/>
        <w:spacing w:beforeLines="0" w:afterLines="0"/>
        <w:ind w:left="0" w:firstLine="600" w:firstLineChars="200"/>
        <w:rPr>
          <w:rFonts w:ascii="宋体" w:hAnsi="宋体" w:cs="宋体"/>
          <w:color w:val="auto"/>
          <w:sz w:val="30"/>
          <w:szCs w:val="30"/>
        </w:rPr>
      </w:pPr>
      <w:r>
        <w:rPr>
          <w:rFonts w:hint="eastAsia" w:ascii="宋体" w:hAnsi="宋体" w:cs="宋体"/>
          <w:color w:val="auto"/>
          <w:sz w:val="30"/>
          <w:szCs w:val="30"/>
        </w:rPr>
        <w:t>合 同 签订 时 间：</w:t>
      </w:r>
    </w:p>
    <w:p>
      <w:pPr>
        <w:pStyle w:val="84"/>
        <w:spacing w:beforeLines="0" w:afterLines="0"/>
        <w:ind w:left="0" w:firstLine="600" w:firstLineChars="200"/>
        <w:rPr>
          <w:rFonts w:ascii="宋体" w:hAnsi="宋体" w:cs="宋体"/>
          <w:color w:val="auto"/>
          <w:sz w:val="30"/>
          <w:szCs w:val="30"/>
        </w:rPr>
      </w:pPr>
    </w:p>
    <w:p>
      <w:pPr>
        <w:pStyle w:val="84"/>
        <w:spacing w:beforeLines="0" w:afterLines="0"/>
        <w:ind w:left="0" w:firstLine="600" w:firstLineChars="200"/>
        <w:rPr>
          <w:rFonts w:ascii="宋体" w:hAnsi="宋体" w:cs="宋体"/>
          <w:color w:val="auto"/>
          <w:sz w:val="30"/>
          <w:szCs w:val="30"/>
        </w:rPr>
      </w:pPr>
    </w:p>
    <w:p>
      <w:pPr>
        <w:widowControl/>
        <w:jc w:val="left"/>
        <w:rPr>
          <w:rFonts w:ascii="宋体" w:hAnsi="宋体" w:cs="宋体"/>
          <w:color w:val="auto"/>
          <w:sz w:val="30"/>
          <w:szCs w:val="30"/>
        </w:rPr>
      </w:pPr>
      <w:r>
        <w:rPr>
          <w:rFonts w:ascii="宋体" w:hAnsi="宋体" w:cs="宋体"/>
          <w:color w:val="auto"/>
          <w:sz w:val="30"/>
          <w:szCs w:val="30"/>
        </w:rPr>
        <w:br w:type="page"/>
      </w:r>
    </w:p>
    <w:p>
      <w:pPr>
        <w:pStyle w:val="84"/>
        <w:spacing w:beforeLines="0" w:afterLines="0"/>
        <w:ind w:left="0" w:firstLine="600" w:firstLineChars="200"/>
        <w:rPr>
          <w:rFonts w:ascii="宋体" w:hAnsi="宋体" w:cs="宋体"/>
          <w:color w:val="auto"/>
          <w:sz w:val="30"/>
          <w:szCs w:val="30"/>
        </w:rPr>
      </w:pPr>
    </w:p>
    <w:p>
      <w:pPr>
        <w:pStyle w:val="84"/>
        <w:spacing w:beforeLines="0" w:afterLines="0" w:line="440" w:lineRule="exact"/>
        <w:ind w:left="0"/>
        <w:jc w:val="center"/>
        <w:rPr>
          <w:rFonts w:ascii="宋体" w:hAnsi="宋体" w:cs="宋体"/>
          <w:color w:val="auto"/>
          <w:sz w:val="32"/>
          <w:szCs w:val="32"/>
        </w:rPr>
      </w:pPr>
      <w:r>
        <w:rPr>
          <w:rFonts w:hint="eastAsia" w:ascii="宋体" w:hAnsi="宋体" w:cs="宋体"/>
          <w:color w:val="auto"/>
          <w:sz w:val="32"/>
          <w:szCs w:val="32"/>
        </w:rPr>
        <w:t>合同签订指引</w:t>
      </w:r>
    </w:p>
    <w:p>
      <w:pPr>
        <w:pStyle w:val="84"/>
        <w:spacing w:beforeLines="0" w:afterLines="0" w:line="440" w:lineRule="exact"/>
        <w:ind w:left="0"/>
        <w:rPr>
          <w:rFonts w:ascii="宋体" w:hAnsi="宋体" w:cs="宋体"/>
          <w:color w:val="auto"/>
          <w:sz w:val="30"/>
          <w:szCs w:val="30"/>
        </w:rPr>
      </w:pPr>
    </w:p>
    <w:p>
      <w:pPr>
        <w:pStyle w:val="84"/>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一、采购人在签订合同时应提供的资料：</w:t>
      </w:r>
    </w:p>
    <w:p>
      <w:pPr>
        <w:pStyle w:val="84"/>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1、该政府采购项目的招标采购文件（以网上发布内容为准）；</w:t>
      </w:r>
    </w:p>
    <w:p>
      <w:pPr>
        <w:pStyle w:val="84"/>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2、该政府采购项目招标文件的澄清和修改内容（公告内容）；</w:t>
      </w:r>
    </w:p>
    <w:p>
      <w:pPr>
        <w:pStyle w:val="84"/>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3、该政府采购项目评审报告；</w:t>
      </w:r>
    </w:p>
    <w:p>
      <w:pPr>
        <w:pStyle w:val="84"/>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4、采购单位法人授权委托书（法人到场并签字的除外）；</w:t>
      </w:r>
    </w:p>
    <w:p>
      <w:pPr>
        <w:pStyle w:val="84"/>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5、采购单位被授权人身份证件（法人到场并签字的除外）；</w:t>
      </w:r>
    </w:p>
    <w:p>
      <w:pPr>
        <w:pStyle w:val="84"/>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6、采购人和中标供应商（或服务商，下同）约定的其它内容（不得超出招标采购文件实质性内容）。</w:t>
      </w:r>
    </w:p>
    <w:p>
      <w:pPr>
        <w:pStyle w:val="84"/>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二、供应商在签订合同时应提供的资料：</w:t>
      </w:r>
    </w:p>
    <w:p>
      <w:pPr>
        <w:pStyle w:val="84"/>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1、该政府采购项目的投标文件（纸质或DPF格式的电子投标文件）；</w:t>
      </w:r>
    </w:p>
    <w:p>
      <w:pPr>
        <w:pStyle w:val="84"/>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2、针对该项目评审时评审委员会提出的质询答复（纸质并签章）；</w:t>
      </w:r>
    </w:p>
    <w:p>
      <w:pPr>
        <w:pStyle w:val="84"/>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3、该政府采购项目中标通知书；</w:t>
      </w:r>
    </w:p>
    <w:p>
      <w:pPr>
        <w:pStyle w:val="84"/>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4、供应商法人授权委托书（法人到场并签字的除外）；</w:t>
      </w:r>
    </w:p>
    <w:p>
      <w:pPr>
        <w:pStyle w:val="84"/>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5、供应商被授权人身份证件（法人到场并签字的除外）；</w:t>
      </w:r>
    </w:p>
    <w:p>
      <w:pPr>
        <w:pStyle w:val="84"/>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6、供应商和采购人约定的其它内容（不得超出招标采购文件实质性内容）。</w:t>
      </w:r>
    </w:p>
    <w:p>
      <w:pPr>
        <w:pStyle w:val="84"/>
        <w:spacing w:beforeLines="0" w:afterLines="0" w:line="440" w:lineRule="exact"/>
        <w:ind w:left="0" w:firstLine="420" w:firstLineChars="200"/>
        <w:rPr>
          <w:rFonts w:ascii="宋体" w:hAnsi="宋体" w:cs="宋体"/>
          <w:color w:val="auto"/>
          <w:sz w:val="30"/>
          <w:szCs w:val="30"/>
        </w:rPr>
      </w:pPr>
      <w:r>
        <w:rPr>
          <w:rFonts w:hint="eastAsia" w:ascii="宋体" w:hAnsi="宋体" w:cs="宋体"/>
          <w:color w:val="auto"/>
          <w:szCs w:val="21"/>
        </w:rPr>
        <w:t>三、本合同签订后二个工作日内有采购人在“周口市政府采购网”上进行合同公示。</w:t>
      </w:r>
    </w:p>
    <w:p>
      <w:pPr>
        <w:pStyle w:val="84"/>
        <w:spacing w:beforeLines="0" w:afterLines="0" w:line="440" w:lineRule="exact"/>
        <w:ind w:left="0"/>
        <w:jc w:val="center"/>
        <w:rPr>
          <w:rFonts w:ascii="宋体" w:hAnsi="宋体" w:cs="宋体"/>
          <w:bCs/>
          <w:color w:val="auto"/>
          <w:sz w:val="32"/>
          <w:szCs w:val="32"/>
        </w:rPr>
      </w:pPr>
    </w:p>
    <w:p>
      <w:pPr>
        <w:pStyle w:val="84"/>
        <w:spacing w:beforeLines="0" w:afterLines="0" w:line="440" w:lineRule="exact"/>
        <w:ind w:left="0"/>
        <w:jc w:val="center"/>
        <w:rPr>
          <w:rFonts w:ascii="宋体" w:hAnsi="宋体" w:cs="宋体"/>
          <w:color w:val="auto"/>
          <w:sz w:val="32"/>
          <w:szCs w:val="32"/>
        </w:rPr>
      </w:pPr>
      <w:r>
        <w:rPr>
          <w:rFonts w:hint="eastAsia" w:ascii="宋体" w:hAnsi="宋体" w:cs="宋体"/>
          <w:bCs/>
          <w:color w:val="auto"/>
          <w:sz w:val="32"/>
          <w:szCs w:val="32"/>
        </w:rPr>
        <w:t>供应商履约验收指引</w:t>
      </w:r>
    </w:p>
    <w:p>
      <w:pPr>
        <w:pStyle w:val="84"/>
        <w:spacing w:beforeLines="0" w:afterLines="0" w:line="440" w:lineRule="exact"/>
        <w:ind w:left="0" w:firstLine="420" w:firstLineChars="200"/>
        <w:rPr>
          <w:rFonts w:ascii="宋体" w:hAnsi="宋体" w:cs="宋体"/>
          <w:color w:val="auto"/>
          <w:szCs w:val="27"/>
        </w:rPr>
      </w:pPr>
      <w:r>
        <w:rPr>
          <w:rFonts w:hint="eastAsia" w:ascii="宋体" w:hAnsi="宋体" w:cs="宋体"/>
          <w:color w:val="auto"/>
          <w:szCs w:val="21"/>
        </w:rPr>
        <w:t>1、供应商不得擅自变更合同标的服务内容；</w:t>
      </w:r>
    </w:p>
    <w:p>
      <w:pPr>
        <w:pStyle w:val="84"/>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2、不得以次充优，随意降低服务标准和水平；</w:t>
      </w:r>
    </w:p>
    <w:p>
      <w:pPr>
        <w:pStyle w:val="84"/>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3、对因客观上采购人采购需求发生变化造成的，应提供采、供双方的纸质备忘录材料；</w:t>
      </w:r>
    </w:p>
    <w:p>
      <w:pPr>
        <w:pStyle w:val="84"/>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4、在满足验收条件5个工作日内通知采购人组织验收；</w:t>
      </w:r>
    </w:p>
    <w:p>
      <w:pPr>
        <w:pStyle w:val="84"/>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5、供应商应提供需验收服务的清单、标准、达到的水平等量化资料；</w:t>
      </w:r>
    </w:p>
    <w:p>
      <w:pPr>
        <w:pStyle w:val="84"/>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6、采、供双方约定的验收机构及相关人员组成情况。</w:t>
      </w:r>
    </w:p>
    <w:p>
      <w:pPr>
        <w:pStyle w:val="84"/>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7、督促采购人在项目验收结束并达到相关要求后一个工作日内，在“周口市政府采购网”上进行“履约验收”公示。</w:t>
      </w:r>
    </w:p>
    <w:p>
      <w:pPr>
        <w:widowControl/>
        <w:jc w:val="left"/>
        <w:rPr>
          <w:rFonts w:ascii="宋体" w:hAnsi="宋体" w:cs="宋体"/>
          <w:color w:val="auto"/>
          <w:szCs w:val="21"/>
        </w:rPr>
      </w:pPr>
      <w:r>
        <w:rPr>
          <w:rFonts w:ascii="宋体" w:hAnsi="宋体" w:cs="宋体"/>
          <w:color w:val="auto"/>
          <w:szCs w:val="21"/>
        </w:rPr>
        <w:br w:type="page"/>
      </w:r>
    </w:p>
    <w:p>
      <w:pPr>
        <w:pStyle w:val="11"/>
        <w:spacing w:line="500" w:lineRule="exact"/>
        <w:rPr>
          <w:rFonts w:ascii="宋体" w:hAnsi="宋体" w:cs="宋体"/>
          <w:color w:val="auto"/>
          <w:sz w:val="44"/>
          <w:szCs w:val="44"/>
        </w:rPr>
      </w:pPr>
      <w:r>
        <w:rPr>
          <w:rFonts w:hint="eastAsia" w:ascii="宋体" w:hAnsi="宋体" w:cs="宋体"/>
          <w:color w:val="auto"/>
          <w:sz w:val="44"/>
          <w:szCs w:val="44"/>
        </w:rPr>
        <w:t>服务合同内容</w:t>
      </w:r>
    </w:p>
    <w:p>
      <w:pPr>
        <w:spacing w:line="360" w:lineRule="auto"/>
        <w:ind w:firstLine="420" w:firstLineChars="200"/>
        <w:rPr>
          <w:rFonts w:ascii="宋体" w:hAnsi="宋体" w:cs="宋体"/>
          <w:color w:val="auto"/>
          <w:szCs w:val="27"/>
        </w:rPr>
      </w:pPr>
    </w:p>
    <w:p>
      <w:pPr>
        <w:spacing w:line="360" w:lineRule="auto"/>
        <w:ind w:firstLine="420" w:firstLineChars="200"/>
        <w:rPr>
          <w:rFonts w:ascii="宋体" w:hAnsi="宋体" w:cs="宋体"/>
          <w:color w:val="auto"/>
          <w:szCs w:val="27"/>
          <w:u w:val="single"/>
        </w:rPr>
      </w:pPr>
      <w:r>
        <w:rPr>
          <w:rFonts w:hint="eastAsia" w:ascii="宋体" w:hAnsi="宋体" w:cs="宋体"/>
          <w:color w:val="auto"/>
          <w:szCs w:val="27"/>
        </w:rPr>
        <w:t xml:space="preserve">采购人（甲方）： </w:t>
      </w:r>
    </w:p>
    <w:p>
      <w:pPr>
        <w:spacing w:line="360" w:lineRule="auto"/>
        <w:ind w:firstLine="420" w:firstLineChars="200"/>
        <w:rPr>
          <w:rFonts w:ascii="宋体" w:hAnsi="宋体" w:cs="宋体"/>
          <w:color w:val="auto"/>
          <w:szCs w:val="27"/>
        </w:rPr>
      </w:pPr>
      <w:r>
        <w:rPr>
          <w:rFonts w:hint="eastAsia" w:ascii="宋体" w:hAnsi="宋体" w:cs="宋体"/>
          <w:color w:val="auto"/>
          <w:szCs w:val="27"/>
        </w:rPr>
        <w:t>供应商（乙方）：</w:t>
      </w:r>
    </w:p>
    <w:p>
      <w:pPr>
        <w:spacing w:line="360" w:lineRule="auto"/>
        <w:ind w:firstLine="420" w:firstLineChars="200"/>
        <w:rPr>
          <w:rFonts w:ascii="宋体" w:hAnsi="宋体" w:cs="宋体"/>
          <w:color w:val="auto"/>
          <w:szCs w:val="27"/>
          <w:u w:val="single"/>
        </w:rPr>
      </w:pPr>
      <w:r>
        <w:rPr>
          <w:rFonts w:hint="eastAsia" w:ascii="宋体" w:hAnsi="宋体" w:cs="宋体"/>
          <w:color w:val="auto"/>
          <w:szCs w:val="27"/>
        </w:rPr>
        <w:t>签订地点：</w:t>
      </w:r>
    </w:p>
    <w:p>
      <w:pPr>
        <w:spacing w:line="360" w:lineRule="auto"/>
        <w:ind w:firstLine="420" w:firstLineChars="200"/>
        <w:rPr>
          <w:rFonts w:ascii="宋体" w:hAnsi="宋体" w:cs="宋体"/>
          <w:color w:val="auto"/>
          <w:szCs w:val="27"/>
          <w:u w:val="single"/>
        </w:rPr>
      </w:pPr>
      <w:r>
        <w:rPr>
          <w:rFonts w:hint="eastAsia" w:ascii="宋体" w:hAnsi="宋体" w:cs="宋体"/>
          <w:color w:val="auto"/>
          <w:szCs w:val="27"/>
        </w:rPr>
        <w:t>项目名称：</w:t>
      </w:r>
    </w:p>
    <w:p>
      <w:pPr>
        <w:spacing w:line="360" w:lineRule="auto"/>
        <w:ind w:firstLine="420" w:firstLineChars="200"/>
        <w:rPr>
          <w:rFonts w:ascii="宋体" w:hAnsi="宋体" w:cs="宋体"/>
          <w:color w:val="auto"/>
          <w:szCs w:val="27"/>
          <w:u w:val="single"/>
        </w:rPr>
      </w:pPr>
      <w:r>
        <w:rPr>
          <w:rFonts w:hint="eastAsia" w:ascii="宋体" w:hAnsi="宋体" w:cs="宋体"/>
          <w:color w:val="auto"/>
          <w:szCs w:val="27"/>
        </w:rPr>
        <w:t>项目编号：</w:t>
      </w:r>
    </w:p>
    <w:p>
      <w:pPr>
        <w:spacing w:line="360" w:lineRule="auto"/>
        <w:ind w:firstLine="420" w:firstLineChars="200"/>
        <w:rPr>
          <w:rFonts w:ascii="宋体" w:hAnsi="宋体" w:cs="宋体"/>
          <w:color w:val="auto"/>
        </w:rPr>
      </w:pPr>
      <w:r>
        <w:rPr>
          <w:rFonts w:hint="eastAsia" w:ascii="宋体" w:hAnsi="宋体" w:cs="宋体"/>
          <w:color w:val="auto"/>
          <w:szCs w:val="27"/>
        </w:rPr>
        <w:t>财政委托号：</w:t>
      </w:r>
      <w:r>
        <w:rPr>
          <w:rFonts w:hint="eastAsia" w:ascii="宋体" w:hAnsi="宋体" w:cs="宋体"/>
          <w:color w:val="auto"/>
          <w:szCs w:val="27"/>
          <w:u w:val="single"/>
        </w:rPr>
        <w:t xml:space="preserve">      </w:t>
      </w:r>
      <w:r>
        <w:rPr>
          <w:rFonts w:hint="eastAsia" w:ascii="宋体" w:hAnsi="宋体" w:cs="宋体"/>
          <w:color w:val="auto"/>
          <w:szCs w:val="27"/>
        </w:rPr>
        <w:t>(财政资金项目必须填写)</w:t>
      </w:r>
    </w:p>
    <w:p>
      <w:pPr>
        <w:spacing w:line="360" w:lineRule="auto"/>
        <w:ind w:firstLine="420" w:firstLineChars="200"/>
        <w:rPr>
          <w:rFonts w:ascii="宋体" w:hAnsi="宋体" w:cs="宋体"/>
          <w:color w:val="auto"/>
        </w:rPr>
      </w:pPr>
      <w:r>
        <w:rPr>
          <w:rFonts w:hint="eastAsia" w:ascii="宋体" w:hAnsi="宋体" w:cs="宋体"/>
          <w:color w:val="auto"/>
          <w:szCs w:val="27"/>
        </w:rPr>
        <w:t>本项目经批准采用</w:t>
      </w:r>
      <w:r>
        <w:rPr>
          <w:rFonts w:hint="eastAsia" w:ascii="宋体" w:hAnsi="宋体" w:cs="宋体"/>
          <w:color w:val="auto"/>
          <w:szCs w:val="27"/>
          <w:u w:val="single"/>
        </w:rPr>
        <w:t xml:space="preserve">           </w:t>
      </w:r>
      <w:r>
        <w:rPr>
          <w:rFonts w:hint="eastAsia" w:ascii="宋体" w:hAnsi="宋体" w:cs="宋体"/>
          <w:color w:val="auto"/>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pPr>
        <w:spacing w:line="360" w:lineRule="auto"/>
        <w:ind w:firstLine="422" w:firstLineChars="200"/>
        <w:rPr>
          <w:rFonts w:ascii="宋体" w:hAnsi="宋体" w:cs="宋体"/>
          <w:color w:val="auto"/>
          <w:u w:val="single"/>
        </w:rPr>
      </w:pPr>
      <w:r>
        <w:rPr>
          <w:rFonts w:hint="eastAsia" w:ascii="宋体" w:hAnsi="宋体" w:cs="宋体"/>
          <w:b/>
          <w:bCs/>
          <w:color w:val="auto"/>
          <w:szCs w:val="27"/>
        </w:rPr>
        <w:t>第一条</w:t>
      </w:r>
      <w:r>
        <w:rPr>
          <w:rFonts w:hint="eastAsia" w:ascii="宋体" w:hAnsi="宋体" w:cs="宋体"/>
          <w:color w:val="auto"/>
          <w:szCs w:val="27"/>
        </w:rPr>
        <w:t>   服务的内容、标准、数量和价格：（若服务项目过多则见附表，如有附表则必须加盖印章）</w:t>
      </w:r>
    </w:p>
    <w:tbl>
      <w:tblPr>
        <w:tblStyle w:val="30"/>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 w:hRule="atLeast"/>
        </w:trPr>
        <w:tc>
          <w:tcPr>
            <w:tcW w:w="1983" w:type="dxa"/>
          </w:tcPr>
          <w:p>
            <w:pPr>
              <w:spacing w:line="360" w:lineRule="auto"/>
              <w:ind w:firstLine="420" w:firstLineChars="200"/>
              <w:rPr>
                <w:rFonts w:ascii="宋体" w:hAnsi="宋体" w:cs="宋体"/>
                <w:color w:val="auto"/>
              </w:rPr>
            </w:pPr>
            <w:r>
              <w:rPr>
                <w:rFonts w:hint="eastAsia" w:ascii="宋体" w:hAnsi="宋体" w:cs="宋体"/>
                <w:color w:val="auto"/>
              </w:rPr>
              <w:t>服务内容</w:t>
            </w:r>
          </w:p>
        </w:tc>
        <w:tc>
          <w:tcPr>
            <w:tcW w:w="1623" w:type="dxa"/>
          </w:tcPr>
          <w:p>
            <w:pPr>
              <w:spacing w:line="360" w:lineRule="auto"/>
              <w:ind w:firstLine="420" w:firstLineChars="200"/>
              <w:rPr>
                <w:rFonts w:ascii="宋体" w:hAnsi="宋体" w:cs="宋体"/>
                <w:color w:val="auto"/>
              </w:rPr>
            </w:pPr>
            <w:r>
              <w:rPr>
                <w:rFonts w:hint="eastAsia" w:ascii="宋体" w:hAnsi="宋体" w:cs="宋体"/>
                <w:color w:val="auto"/>
              </w:rPr>
              <w:t>标准水平</w:t>
            </w:r>
          </w:p>
        </w:tc>
        <w:tc>
          <w:tcPr>
            <w:tcW w:w="902" w:type="dxa"/>
          </w:tcPr>
          <w:p>
            <w:pPr>
              <w:spacing w:line="360" w:lineRule="auto"/>
              <w:rPr>
                <w:rFonts w:ascii="宋体" w:hAnsi="宋体" w:cs="宋体"/>
                <w:color w:val="auto"/>
              </w:rPr>
            </w:pPr>
            <w:r>
              <w:rPr>
                <w:rFonts w:hint="eastAsia" w:ascii="宋体" w:hAnsi="宋体" w:cs="宋体"/>
                <w:color w:val="auto"/>
              </w:rPr>
              <w:t>单位</w:t>
            </w:r>
          </w:p>
        </w:tc>
        <w:tc>
          <w:tcPr>
            <w:tcW w:w="902" w:type="dxa"/>
          </w:tcPr>
          <w:p>
            <w:pPr>
              <w:spacing w:line="360" w:lineRule="auto"/>
              <w:rPr>
                <w:rFonts w:ascii="宋体" w:hAnsi="宋体" w:cs="宋体"/>
                <w:color w:val="auto"/>
              </w:rPr>
            </w:pPr>
            <w:r>
              <w:rPr>
                <w:rFonts w:hint="eastAsia" w:ascii="宋体" w:hAnsi="宋体" w:cs="宋体"/>
                <w:color w:val="auto"/>
              </w:rPr>
              <w:t>数量</w:t>
            </w:r>
          </w:p>
        </w:tc>
        <w:tc>
          <w:tcPr>
            <w:tcW w:w="1071" w:type="dxa"/>
          </w:tcPr>
          <w:p>
            <w:pPr>
              <w:spacing w:line="360" w:lineRule="auto"/>
              <w:ind w:firstLine="420" w:firstLineChars="200"/>
              <w:rPr>
                <w:rFonts w:ascii="宋体" w:hAnsi="宋体" w:cs="宋体"/>
                <w:color w:val="auto"/>
              </w:rPr>
            </w:pPr>
            <w:r>
              <w:rPr>
                <w:rFonts w:hint="eastAsia" w:ascii="宋体" w:hAnsi="宋体" w:cs="宋体"/>
                <w:color w:val="auto"/>
              </w:rPr>
              <w:t>单价</w:t>
            </w:r>
          </w:p>
        </w:tc>
        <w:tc>
          <w:tcPr>
            <w:tcW w:w="1250" w:type="dxa"/>
          </w:tcPr>
          <w:p>
            <w:pPr>
              <w:spacing w:line="360" w:lineRule="auto"/>
              <w:ind w:firstLine="420" w:firstLineChars="200"/>
              <w:rPr>
                <w:rFonts w:ascii="宋体" w:hAnsi="宋体" w:cs="宋体"/>
                <w:color w:val="auto"/>
              </w:rPr>
            </w:pPr>
            <w:r>
              <w:rPr>
                <w:rFonts w:hint="eastAsia" w:ascii="宋体" w:hAnsi="宋体" w:cs="宋体"/>
                <w:color w:val="auto"/>
              </w:rPr>
              <w:t>小计</w:t>
            </w:r>
          </w:p>
        </w:tc>
        <w:tc>
          <w:tcPr>
            <w:tcW w:w="1106" w:type="dxa"/>
          </w:tcPr>
          <w:p>
            <w:pPr>
              <w:spacing w:line="360" w:lineRule="auto"/>
              <w:ind w:firstLine="420" w:firstLineChars="200"/>
              <w:rPr>
                <w:rFonts w:ascii="宋体" w:hAnsi="宋体" w:cs="宋体"/>
                <w:color w:val="auto"/>
              </w:rPr>
            </w:pPr>
            <w:r>
              <w:rPr>
                <w:rFonts w:hint="eastAsia" w:ascii="宋体" w:hAnsi="宋体" w:cs="宋体"/>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color w:val="auto"/>
              </w:rPr>
            </w:pPr>
          </w:p>
        </w:tc>
        <w:tc>
          <w:tcPr>
            <w:tcW w:w="1623" w:type="dxa"/>
          </w:tcPr>
          <w:p>
            <w:pPr>
              <w:spacing w:line="360" w:lineRule="auto"/>
              <w:ind w:firstLine="420" w:firstLineChars="200"/>
              <w:rPr>
                <w:rFonts w:ascii="宋体" w:hAnsi="宋体" w:cs="宋体"/>
                <w:color w:val="auto"/>
              </w:rPr>
            </w:pPr>
          </w:p>
        </w:tc>
        <w:tc>
          <w:tcPr>
            <w:tcW w:w="902" w:type="dxa"/>
          </w:tcPr>
          <w:p>
            <w:pPr>
              <w:spacing w:line="360" w:lineRule="auto"/>
              <w:ind w:firstLine="420" w:firstLineChars="200"/>
              <w:rPr>
                <w:rFonts w:ascii="宋体" w:hAnsi="宋体" w:cs="宋体"/>
                <w:color w:val="auto"/>
              </w:rPr>
            </w:pPr>
          </w:p>
        </w:tc>
        <w:tc>
          <w:tcPr>
            <w:tcW w:w="902" w:type="dxa"/>
          </w:tcPr>
          <w:p>
            <w:pPr>
              <w:spacing w:line="360" w:lineRule="auto"/>
              <w:ind w:firstLine="420" w:firstLineChars="200"/>
              <w:rPr>
                <w:rFonts w:ascii="宋体" w:hAnsi="宋体" w:cs="宋体"/>
                <w:color w:val="auto"/>
              </w:rPr>
            </w:pPr>
          </w:p>
        </w:tc>
        <w:tc>
          <w:tcPr>
            <w:tcW w:w="1071" w:type="dxa"/>
          </w:tcPr>
          <w:p>
            <w:pPr>
              <w:spacing w:line="360" w:lineRule="auto"/>
              <w:ind w:firstLine="420" w:firstLineChars="200"/>
              <w:rPr>
                <w:rFonts w:ascii="宋体" w:hAnsi="宋体" w:cs="宋体"/>
                <w:color w:val="auto"/>
              </w:rPr>
            </w:pPr>
          </w:p>
        </w:tc>
        <w:tc>
          <w:tcPr>
            <w:tcW w:w="1250" w:type="dxa"/>
          </w:tcPr>
          <w:p>
            <w:pPr>
              <w:spacing w:line="360" w:lineRule="auto"/>
              <w:ind w:firstLine="420" w:firstLineChars="200"/>
              <w:rPr>
                <w:rFonts w:ascii="宋体" w:hAnsi="宋体" w:cs="宋体"/>
                <w:color w:val="auto"/>
              </w:rPr>
            </w:pPr>
          </w:p>
        </w:tc>
        <w:tc>
          <w:tcPr>
            <w:tcW w:w="1106" w:type="dxa"/>
          </w:tcPr>
          <w:p>
            <w:pPr>
              <w:spacing w:line="360" w:lineRule="auto"/>
              <w:ind w:firstLine="420" w:firstLineChars="200"/>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color w:val="auto"/>
              </w:rPr>
            </w:pPr>
          </w:p>
        </w:tc>
        <w:tc>
          <w:tcPr>
            <w:tcW w:w="1623" w:type="dxa"/>
          </w:tcPr>
          <w:p>
            <w:pPr>
              <w:spacing w:line="360" w:lineRule="auto"/>
              <w:ind w:firstLine="420" w:firstLineChars="200"/>
              <w:rPr>
                <w:rFonts w:ascii="宋体" w:hAnsi="宋体" w:cs="宋体"/>
                <w:color w:val="auto"/>
              </w:rPr>
            </w:pPr>
          </w:p>
        </w:tc>
        <w:tc>
          <w:tcPr>
            <w:tcW w:w="902" w:type="dxa"/>
          </w:tcPr>
          <w:p>
            <w:pPr>
              <w:spacing w:line="360" w:lineRule="auto"/>
              <w:ind w:firstLine="420" w:firstLineChars="200"/>
              <w:rPr>
                <w:rFonts w:ascii="宋体" w:hAnsi="宋体" w:cs="宋体"/>
                <w:color w:val="auto"/>
              </w:rPr>
            </w:pPr>
          </w:p>
        </w:tc>
        <w:tc>
          <w:tcPr>
            <w:tcW w:w="902" w:type="dxa"/>
          </w:tcPr>
          <w:p>
            <w:pPr>
              <w:spacing w:line="360" w:lineRule="auto"/>
              <w:ind w:firstLine="420" w:firstLineChars="200"/>
              <w:rPr>
                <w:rFonts w:ascii="宋体" w:hAnsi="宋体" w:cs="宋体"/>
                <w:color w:val="auto"/>
              </w:rPr>
            </w:pPr>
          </w:p>
        </w:tc>
        <w:tc>
          <w:tcPr>
            <w:tcW w:w="1071" w:type="dxa"/>
          </w:tcPr>
          <w:p>
            <w:pPr>
              <w:spacing w:line="360" w:lineRule="auto"/>
              <w:ind w:firstLine="420" w:firstLineChars="200"/>
              <w:rPr>
                <w:rFonts w:ascii="宋体" w:hAnsi="宋体" w:cs="宋体"/>
                <w:color w:val="auto"/>
              </w:rPr>
            </w:pPr>
          </w:p>
        </w:tc>
        <w:tc>
          <w:tcPr>
            <w:tcW w:w="1250" w:type="dxa"/>
          </w:tcPr>
          <w:p>
            <w:pPr>
              <w:spacing w:line="360" w:lineRule="auto"/>
              <w:ind w:firstLine="420" w:firstLineChars="200"/>
              <w:rPr>
                <w:rFonts w:ascii="宋体" w:hAnsi="宋体" w:cs="宋体"/>
                <w:color w:val="auto"/>
              </w:rPr>
            </w:pPr>
          </w:p>
        </w:tc>
        <w:tc>
          <w:tcPr>
            <w:tcW w:w="1106" w:type="dxa"/>
          </w:tcPr>
          <w:p>
            <w:pPr>
              <w:spacing w:line="360" w:lineRule="auto"/>
              <w:ind w:firstLine="420" w:firstLineChars="200"/>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color w:val="auto"/>
              </w:rPr>
            </w:pPr>
          </w:p>
        </w:tc>
        <w:tc>
          <w:tcPr>
            <w:tcW w:w="1623" w:type="dxa"/>
          </w:tcPr>
          <w:p>
            <w:pPr>
              <w:spacing w:line="360" w:lineRule="auto"/>
              <w:ind w:firstLine="420" w:firstLineChars="200"/>
              <w:rPr>
                <w:rFonts w:ascii="宋体" w:hAnsi="宋体" w:cs="宋体"/>
                <w:color w:val="auto"/>
              </w:rPr>
            </w:pPr>
          </w:p>
        </w:tc>
        <w:tc>
          <w:tcPr>
            <w:tcW w:w="902" w:type="dxa"/>
          </w:tcPr>
          <w:p>
            <w:pPr>
              <w:spacing w:line="360" w:lineRule="auto"/>
              <w:ind w:firstLine="420" w:firstLineChars="200"/>
              <w:rPr>
                <w:rFonts w:ascii="宋体" w:hAnsi="宋体" w:cs="宋体"/>
                <w:color w:val="auto"/>
              </w:rPr>
            </w:pPr>
          </w:p>
        </w:tc>
        <w:tc>
          <w:tcPr>
            <w:tcW w:w="902" w:type="dxa"/>
          </w:tcPr>
          <w:p>
            <w:pPr>
              <w:spacing w:line="360" w:lineRule="auto"/>
              <w:ind w:firstLine="420" w:firstLineChars="200"/>
              <w:rPr>
                <w:rFonts w:ascii="宋体" w:hAnsi="宋体" w:cs="宋体"/>
                <w:color w:val="auto"/>
              </w:rPr>
            </w:pPr>
          </w:p>
        </w:tc>
        <w:tc>
          <w:tcPr>
            <w:tcW w:w="1071" w:type="dxa"/>
          </w:tcPr>
          <w:p>
            <w:pPr>
              <w:spacing w:line="360" w:lineRule="auto"/>
              <w:ind w:firstLine="420" w:firstLineChars="200"/>
              <w:rPr>
                <w:rFonts w:ascii="宋体" w:hAnsi="宋体" w:cs="宋体"/>
                <w:color w:val="auto"/>
              </w:rPr>
            </w:pPr>
          </w:p>
        </w:tc>
        <w:tc>
          <w:tcPr>
            <w:tcW w:w="1250" w:type="dxa"/>
          </w:tcPr>
          <w:p>
            <w:pPr>
              <w:spacing w:line="360" w:lineRule="auto"/>
              <w:ind w:firstLine="420" w:firstLineChars="200"/>
              <w:rPr>
                <w:rFonts w:ascii="宋体" w:hAnsi="宋体" w:cs="宋体"/>
                <w:color w:val="auto"/>
              </w:rPr>
            </w:pPr>
          </w:p>
        </w:tc>
        <w:tc>
          <w:tcPr>
            <w:tcW w:w="1106" w:type="dxa"/>
          </w:tcPr>
          <w:p>
            <w:pPr>
              <w:spacing w:line="360" w:lineRule="auto"/>
              <w:ind w:firstLine="420" w:firstLineChars="200"/>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pPr>
              <w:spacing w:line="360" w:lineRule="auto"/>
              <w:ind w:firstLine="420" w:firstLineChars="200"/>
              <w:rPr>
                <w:rFonts w:ascii="宋体" w:hAnsi="宋体" w:cs="宋体"/>
                <w:color w:val="auto"/>
              </w:rPr>
            </w:pPr>
            <w:r>
              <w:rPr>
                <w:rFonts w:hint="eastAsia" w:ascii="宋体" w:hAnsi="宋体" w:cs="宋体"/>
                <w:color w:val="auto"/>
              </w:rPr>
              <w:t>合同总价款（大小写）：</w:t>
            </w:r>
          </w:p>
          <w:p>
            <w:pPr>
              <w:spacing w:line="360" w:lineRule="auto"/>
              <w:ind w:firstLine="420" w:firstLineChars="200"/>
              <w:rPr>
                <w:rFonts w:ascii="宋体" w:hAnsi="宋体" w:cs="宋体"/>
                <w:color w:val="auto"/>
              </w:rPr>
            </w:pPr>
            <w:r>
              <w:rPr>
                <w:rFonts w:hint="eastAsia" w:ascii="宋体" w:hAnsi="宋体" w:cs="宋体"/>
                <w:color w:val="auto"/>
                <w:szCs w:val="28"/>
              </w:rPr>
              <w:t>备注：上述服务包含相关设备购置、人员工资及售后服务、税金、劳保基金、人员培训等费用。</w:t>
            </w:r>
          </w:p>
        </w:tc>
      </w:tr>
    </w:tbl>
    <w:p>
      <w:pPr>
        <w:spacing w:line="360" w:lineRule="auto"/>
        <w:ind w:firstLine="422" w:firstLineChars="200"/>
        <w:rPr>
          <w:rFonts w:ascii="宋体" w:hAnsi="宋体" w:cs="宋体"/>
          <w:color w:val="auto"/>
        </w:rPr>
      </w:pPr>
      <w:r>
        <w:rPr>
          <w:rFonts w:hint="eastAsia" w:ascii="宋体" w:hAnsi="宋体" w:cs="宋体"/>
          <w:b/>
          <w:bCs/>
          <w:color w:val="auto"/>
          <w:szCs w:val="27"/>
        </w:rPr>
        <w:t xml:space="preserve">第二条  </w:t>
      </w:r>
      <w:r>
        <w:rPr>
          <w:rFonts w:hint="eastAsia" w:ascii="宋体" w:hAnsi="宋体" w:cs="宋体"/>
          <w:color w:val="auto"/>
          <w:szCs w:val="27"/>
        </w:rPr>
        <w:t>服务标准（包括达到的水平要求），按下列第（ ）项执行：</w:t>
      </w:r>
    </w:p>
    <w:p>
      <w:pPr>
        <w:spacing w:line="360" w:lineRule="auto"/>
        <w:ind w:firstLine="420" w:firstLineChars="200"/>
        <w:rPr>
          <w:rFonts w:ascii="宋体" w:hAnsi="宋体" w:cs="宋体"/>
          <w:color w:val="auto"/>
          <w:szCs w:val="27"/>
        </w:rPr>
      </w:pPr>
      <w:r>
        <w:rPr>
          <w:rFonts w:hint="eastAsia" w:ascii="宋体" w:hAnsi="宋体" w:cs="宋体"/>
          <w:color w:val="auto"/>
          <w:szCs w:val="27"/>
        </w:rPr>
        <w:t>①按国家标准执行；②按部颁标准执行；③若无以上标准，则应不低于同行业服务标准；④有特殊要求的，按甲乙双方在合同中商定的要求执行；</w:t>
      </w:r>
    </w:p>
    <w:p>
      <w:pPr>
        <w:spacing w:line="360" w:lineRule="auto"/>
        <w:ind w:firstLine="420" w:firstLineChars="200"/>
        <w:rPr>
          <w:rFonts w:ascii="宋体" w:hAnsi="宋体" w:cs="宋体"/>
          <w:color w:val="auto"/>
          <w:szCs w:val="27"/>
          <w:u w:val="single"/>
        </w:rPr>
      </w:pPr>
      <w:r>
        <w:rPr>
          <w:rFonts w:hint="eastAsia" w:ascii="宋体" w:hAnsi="宋体" w:cs="宋体"/>
          <w:color w:val="auto"/>
        </w:rPr>
        <w:t>乙方提供的服务标准和水平应与招标采购文件规定的标准和水平相一致。</w:t>
      </w:r>
    </w:p>
    <w:p>
      <w:pPr>
        <w:spacing w:line="360" w:lineRule="auto"/>
        <w:ind w:firstLine="422" w:firstLineChars="200"/>
        <w:rPr>
          <w:rFonts w:ascii="宋体" w:hAnsi="宋体" w:cs="宋体"/>
          <w:color w:val="auto"/>
          <w:szCs w:val="27"/>
        </w:rPr>
      </w:pPr>
      <w:r>
        <w:rPr>
          <w:rFonts w:hint="eastAsia" w:ascii="宋体" w:hAnsi="宋体" w:cs="宋体"/>
          <w:b/>
          <w:bCs/>
          <w:color w:val="auto"/>
          <w:szCs w:val="27"/>
        </w:rPr>
        <w:t xml:space="preserve">第三条  </w:t>
      </w:r>
      <w:r>
        <w:rPr>
          <w:rFonts w:hint="eastAsia" w:ascii="宋体" w:hAnsi="宋体" w:cs="宋体"/>
          <w:color w:val="auto"/>
          <w:szCs w:val="27"/>
        </w:rPr>
        <w:t>服务的方式、方法、、地点和期限</w:t>
      </w:r>
    </w:p>
    <w:p>
      <w:pPr>
        <w:spacing w:line="360" w:lineRule="auto"/>
        <w:ind w:firstLine="420" w:firstLineChars="200"/>
        <w:rPr>
          <w:rFonts w:ascii="宋体" w:hAnsi="宋体" w:cs="宋体"/>
          <w:color w:val="auto"/>
        </w:rPr>
      </w:pPr>
      <w:r>
        <w:rPr>
          <w:rFonts w:hint="eastAsia" w:ascii="宋体" w:hAnsi="宋体" w:cs="宋体"/>
          <w:color w:val="auto"/>
          <w:szCs w:val="27"/>
        </w:rPr>
        <w:t>1、服务方式：</w:t>
      </w:r>
    </w:p>
    <w:p>
      <w:pPr>
        <w:spacing w:line="360" w:lineRule="auto"/>
        <w:ind w:firstLine="420" w:firstLineChars="200"/>
        <w:rPr>
          <w:rFonts w:ascii="宋体" w:hAnsi="宋体" w:cs="宋体"/>
          <w:color w:val="auto"/>
        </w:rPr>
      </w:pPr>
      <w:r>
        <w:rPr>
          <w:rFonts w:hint="eastAsia" w:ascii="宋体" w:hAnsi="宋体" w:cs="宋体"/>
          <w:color w:val="auto"/>
        </w:rPr>
        <w:t>2、服务方法：</w:t>
      </w:r>
    </w:p>
    <w:p>
      <w:pPr>
        <w:spacing w:line="360" w:lineRule="auto"/>
        <w:ind w:firstLine="420" w:firstLineChars="200"/>
        <w:rPr>
          <w:rFonts w:ascii="宋体" w:hAnsi="宋体" w:cs="宋体"/>
          <w:color w:val="auto"/>
          <w:szCs w:val="27"/>
        </w:rPr>
      </w:pPr>
      <w:r>
        <w:rPr>
          <w:rFonts w:hint="eastAsia" w:ascii="宋体" w:hAnsi="宋体" w:cs="宋体"/>
          <w:color w:val="auto"/>
          <w:szCs w:val="27"/>
        </w:rPr>
        <w:t>2、服务地点：</w:t>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p>
    <w:p>
      <w:pPr>
        <w:spacing w:line="360" w:lineRule="auto"/>
        <w:ind w:firstLine="420" w:firstLineChars="200"/>
        <w:rPr>
          <w:rFonts w:ascii="宋体" w:hAnsi="宋体" w:cs="宋体"/>
          <w:color w:val="auto"/>
          <w:szCs w:val="27"/>
        </w:rPr>
      </w:pPr>
      <w:r>
        <w:rPr>
          <w:rFonts w:hint="eastAsia" w:ascii="宋体" w:hAnsi="宋体" w:cs="宋体"/>
          <w:color w:val="auto"/>
          <w:szCs w:val="27"/>
        </w:rPr>
        <w:t>3、服务期限：</w:t>
      </w:r>
    </w:p>
    <w:p>
      <w:pPr>
        <w:spacing w:line="360" w:lineRule="auto"/>
        <w:ind w:firstLine="420" w:firstLineChars="200"/>
        <w:rPr>
          <w:rFonts w:ascii="宋体" w:hAnsi="宋体" w:cs="宋体"/>
          <w:color w:val="auto"/>
        </w:rPr>
      </w:pPr>
      <w:r>
        <w:rPr>
          <w:rFonts w:hint="eastAsia" w:ascii="宋体" w:hAnsi="宋体" w:cs="宋体"/>
          <w:color w:val="auto"/>
        </w:rPr>
        <w:t>第四条  费用及支付方式</w:t>
      </w:r>
    </w:p>
    <w:p>
      <w:pPr>
        <w:pStyle w:val="3"/>
        <w:kinsoku w:val="0"/>
        <w:overflowPunct w:val="0"/>
        <w:spacing w:line="364" w:lineRule="auto"/>
        <w:ind w:firstLine="422" w:firstLineChars="200"/>
        <w:rPr>
          <w:rFonts w:ascii="宋体" w:hAnsi="宋体" w:cs="宋体"/>
          <w:b/>
          <w:color w:val="auto"/>
        </w:rPr>
      </w:pPr>
      <w:r>
        <w:rPr>
          <w:rFonts w:hint="eastAsia" w:ascii="宋体" w:hAnsi="宋体" w:cs="宋体"/>
          <w:b/>
          <w:color w:val="auto"/>
        </w:rPr>
        <w:t>(一)本项目费用有以下组成：</w:t>
      </w:r>
    </w:p>
    <w:p>
      <w:pPr>
        <w:pStyle w:val="3"/>
        <w:kinsoku w:val="0"/>
        <w:overflowPunct w:val="0"/>
        <w:spacing w:line="364" w:lineRule="auto"/>
        <w:ind w:firstLine="420" w:firstLineChars="200"/>
        <w:rPr>
          <w:rFonts w:ascii="宋体" w:hAnsi="宋体" w:cs="宋体"/>
          <w:color w:val="auto"/>
        </w:rPr>
      </w:pPr>
      <w:r>
        <w:rPr>
          <w:rFonts w:hint="eastAsia" w:ascii="宋体" w:hAnsi="宋体" w:cs="宋体"/>
          <w:color w:val="auto"/>
        </w:rPr>
        <w:t xml:space="preserve"> 1、XX 万元；</w:t>
      </w:r>
    </w:p>
    <w:p>
      <w:pPr>
        <w:pStyle w:val="3"/>
        <w:kinsoku w:val="0"/>
        <w:overflowPunct w:val="0"/>
        <w:spacing w:line="364" w:lineRule="auto"/>
        <w:ind w:firstLine="420" w:firstLineChars="200"/>
        <w:rPr>
          <w:rFonts w:ascii="宋体" w:hAnsi="宋体" w:cs="宋体"/>
          <w:color w:val="auto"/>
        </w:rPr>
      </w:pPr>
      <w:r>
        <w:rPr>
          <w:rFonts w:hint="eastAsia" w:ascii="宋体" w:hAnsi="宋体" w:cs="宋体"/>
          <w:color w:val="auto"/>
        </w:rPr>
        <w:t>2、XX 万元；</w:t>
      </w:r>
    </w:p>
    <w:p>
      <w:pPr>
        <w:pStyle w:val="3"/>
        <w:kinsoku w:val="0"/>
        <w:overflowPunct w:val="0"/>
        <w:spacing w:line="364" w:lineRule="auto"/>
        <w:ind w:firstLine="420" w:firstLineChars="200"/>
        <w:rPr>
          <w:rFonts w:ascii="宋体" w:hAnsi="宋体" w:cs="宋体"/>
          <w:color w:val="auto"/>
        </w:rPr>
      </w:pPr>
      <w:r>
        <w:rPr>
          <w:rFonts w:hint="eastAsia" w:ascii="宋体" w:hAnsi="宋体" w:cs="宋体"/>
          <w:color w:val="auto"/>
        </w:rPr>
        <w:t>……</w:t>
      </w:r>
    </w:p>
    <w:p>
      <w:pPr>
        <w:pStyle w:val="3"/>
        <w:kinsoku w:val="0"/>
        <w:overflowPunct w:val="0"/>
        <w:ind w:firstLine="422" w:firstLineChars="200"/>
        <w:rPr>
          <w:rFonts w:ascii="宋体" w:hAnsi="宋体" w:cs="宋体"/>
          <w:b/>
          <w:color w:val="auto"/>
        </w:rPr>
      </w:pPr>
      <w:r>
        <w:rPr>
          <w:rFonts w:hint="eastAsia" w:ascii="宋体" w:hAnsi="宋体" w:cs="宋体"/>
          <w:b/>
          <w:color w:val="auto"/>
        </w:rPr>
        <w:t>(二)费用支付方式：</w:t>
      </w:r>
    </w:p>
    <w:p>
      <w:pPr>
        <w:pStyle w:val="3"/>
        <w:kinsoku w:val="0"/>
        <w:overflowPunct w:val="0"/>
        <w:spacing w:line="364" w:lineRule="auto"/>
        <w:ind w:firstLine="420" w:firstLineChars="200"/>
        <w:rPr>
          <w:rFonts w:ascii="宋体" w:hAnsi="宋体" w:cs="宋体"/>
          <w:color w:val="auto"/>
        </w:rPr>
      </w:pPr>
      <w:r>
        <w:rPr>
          <w:rFonts w:hint="eastAsia" w:ascii="宋体" w:hAnsi="宋体" w:cs="宋体"/>
          <w:color w:val="auto"/>
        </w:rPr>
        <w:t>1、XXXX；</w:t>
      </w:r>
    </w:p>
    <w:p>
      <w:pPr>
        <w:pStyle w:val="3"/>
        <w:kinsoku w:val="0"/>
        <w:overflowPunct w:val="0"/>
        <w:spacing w:line="364" w:lineRule="auto"/>
        <w:ind w:firstLine="420" w:firstLineChars="200"/>
        <w:rPr>
          <w:rFonts w:ascii="宋体" w:hAnsi="宋体" w:cs="宋体"/>
          <w:color w:val="auto"/>
        </w:rPr>
      </w:pPr>
      <w:r>
        <w:rPr>
          <w:rFonts w:hint="eastAsia" w:ascii="宋体" w:hAnsi="宋体" w:cs="宋体"/>
          <w:color w:val="auto"/>
        </w:rPr>
        <w:t>2、XXXX ；</w:t>
      </w:r>
    </w:p>
    <w:p>
      <w:pPr>
        <w:pStyle w:val="3"/>
        <w:kinsoku w:val="0"/>
        <w:overflowPunct w:val="0"/>
        <w:spacing w:line="364" w:lineRule="auto"/>
        <w:ind w:firstLine="420" w:firstLineChars="200"/>
        <w:rPr>
          <w:rFonts w:ascii="宋体" w:hAnsi="宋体" w:cs="宋体"/>
          <w:color w:val="auto"/>
        </w:rPr>
      </w:pPr>
      <w:r>
        <w:rPr>
          <w:rFonts w:hint="eastAsia" w:ascii="宋体" w:hAnsi="宋体" w:cs="宋体"/>
          <w:color w:val="auto"/>
        </w:rPr>
        <w:t>3、在支付前甲方对乙方的服务进行考核或验收，合格的支付相应款 项。乙方须向甲方出具合法有效完整的完税发票及凭证资料进行支付结算。</w:t>
      </w:r>
    </w:p>
    <w:p>
      <w:pPr>
        <w:pStyle w:val="3"/>
        <w:kinsoku w:val="0"/>
        <w:overflowPunct w:val="0"/>
        <w:ind w:firstLine="422" w:firstLineChars="200"/>
        <w:rPr>
          <w:rFonts w:ascii="宋体" w:hAnsi="宋体" w:cs="宋体"/>
          <w:color w:val="auto"/>
        </w:rPr>
      </w:pPr>
      <w:r>
        <w:rPr>
          <w:rFonts w:hint="eastAsia" w:ascii="宋体" w:hAnsi="宋体" w:cs="宋体"/>
          <w:b/>
          <w:color w:val="auto"/>
        </w:rPr>
        <w:t xml:space="preserve">第五条  付款条件   </w:t>
      </w:r>
      <w:r>
        <w:rPr>
          <w:rFonts w:hint="eastAsia" w:ascii="宋体" w:hAnsi="宋体" w:cs="宋体"/>
          <w:color w:val="auto"/>
        </w:rPr>
        <w:t xml:space="preserve">               </w:t>
      </w:r>
    </w:p>
    <w:p>
      <w:pPr>
        <w:spacing w:line="360" w:lineRule="auto"/>
        <w:ind w:firstLine="420" w:firstLineChars="200"/>
        <w:rPr>
          <w:rFonts w:ascii="宋体" w:hAnsi="宋体" w:cs="宋体"/>
          <w:color w:val="auto"/>
        </w:rPr>
      </w:pPr>
      <w:r>
        <w:rPr>
          <w:rFonts w:hint="eastAsia" w:ascii="宋体" w:hAnsi="宋体" w:cs="宋体"/>
          <w:color w:val="auto"/>
        </w:rPr>
        <w:t>本合同以人民币付款。</w:t>
      </w:r>
    </w:p>
    <w:p>
      <w:pPr>
        <w:spacing w:line="360" w:lineRule="auto"/>
        <w:ind w:firstLine="420" w:firstLineChars="200"/>
        <w:rPr>
          <w:rFonts w:ascii="宋体" w:hAnsi="宋体" w:cs="宋体"/>
          <w:color w:val="auto"/>
        </w:rPr>
      </w:pPr>
      <w:r>
        <w:rPr>
          <w:rFonts w:hint="eastAsia" w:ascii="宋体" w:hAnsi="宋体" w:cs="宋体"/>
          <w:color w:val="auto"/>
        </w:rPr>
        <w:t>该项目是否实行预付款：</w:t>
      </w:r>
    </w:p>
    <w:p>
      <w:pPr>
        <w:spacing w:line="360" w:lineRule="auto"/>
        <w:ind w:firstLine="420" w:firstLineChars="200"/>
        <w:rPr>
          <w:rFonts w:ascii="宋体" w:hAnsi="宋体" w:cs="宋体"/>
          <w:color w:val="auto"/>
        </w:rPr>
      </w:pPr>
      <w:r>
        <w:rPr>
          <w:rFonts w:hint="eastAsia" w:ascii="宋体" w:hAnsi="宋体" w:cs="宋体"/>
          <w:color w:val="auto"/>
        </w:rPr>
        <w:t>实行预付款的条件和比例：</w:t>
      </w:r>
    </w:p>
    <w:p>
      <w:pPr>
        <w:spacing w:line="360" w:lineRule="auto"/>
        <w:ind w:firstLine="420" w:firstLineChars="200"/>
        <w:rPr>
          <w:rFonts w:ascii="宋体" w:hAnsi="宋体" w:cs="宋体"/>
          <w:color w:val="auto"/>
        </w:rPr>
      </w:pPr>
      <w:r>
        <w:rPr>
          <w:rFonts w:hint="eastAsia" w:ascii="宋体" w:hAnsi="宋体" w:cs="宋体"/>
          <w:color w:val="auto"/>
        </w:rPr>
        <w:t xml:space="preserve">合同款项结算方式和支付比例：   </w:t>
      </w:r>
    </w:p>
    <w:p>
      <w:pPr>
        <w:spacing w:line="360" w:lineRule="auto"/>
        <w:ind w:firstLine="420" w:firstLineChars="200"/>
        <w:rPr>
          <w:rFonts w:ascii="宋体" w:hAnsi="宋体" w:cs="宋体"/>
          <w:color w:val="auto"/>
          <w:u w:val="single"/>
        </w:rPr>
      </w:pPr>
      <w:r>
        <w:rPr>
          <w:rFonts w:hint="eastAsia" w:ascii="宋体" w:hAnsi="宋体" w:cs="宋体"/>
          <w:color w:val="auto"/>
        </w:rPr>
        <w:t>(具体付款方式</w:t>
      </w:r>
      <w:r>
        <w:rPr>
          <w:rFonts w:hint="eastAsia" w:ascii="宋体" w:hAnsi="宋体" w:cs="宋体"/>
          <w:color w:val="auto"/>
          <w:u w:val="single"/>
        </w:rPr>
        <w:t>按投标人须知前附表以及采、购双方的具体约定</w:t>
      </w:r>
    </w:p>
    <w:p>
      <w:pPr>
        <w:pStyle w:val="10"/>
        <w:kinsoku w:val="0"/>
        <w:overflowPunct w:val="0"/>
        <w:ind w:firstLine="422" w:firstLineChars="200"/>
        <w:rPr>
          <w:rFonts w:ascii="宋体" w:hAnsi="宋体" w:cs="宋体"/>
          <w:color w:val="auto"/>
          <w:kern w:val="2"/>
          <w:sz w:val="21"/>
          <w:szCs w:val="27"/>
        </w:rPr>
      </w:pPr>
      <w:r>
        <w:rPr>
          <w:rFonts w:hint="eastAsia" w:ascii="宋体" w:hAnsi="宋体" w:cs="宋体"/>
          <w:color w:val="auto"/>
          <w:kern w:val="2"/>
          <w:sz w:val="21"/>
          <w:szCs w:val="27"/>
        </w:rPr>
        <w:t>第六条  验收方法</w:t>
      </w:r>
    </w:p>
    <w:p>
      <w:pPr>
        <w:spacing w:line="360" w:lineRule="auto"/>
        <w:ind w:firstLine="420" w:firstLineChars="200"/>
        <w:rPr>
          <w:rFonts w:ascii="宋体" w:hAnsi="宋体" w:cs="宋体"/>
          <w:color w:val="auto"/>
        </w:rPr>
      </w:pPr>
      <w:r>
        <w:rPr>
          <w:rFonts w:hint="eastAsia" w:ascii="宋体" w:hAnsi="宋体" w:cs="宋体"/>
          <w:color w:val="auto"/>
        </w:rPr>
        <w:t>1.甲、乙双方应严格履行合同有关条款，如果验收过程中发现乙方在没有征得采购人同意的情况下擅自变更合同服务内容，将拒绝通过验收，由此引起的一切后果及损失由乙方承担。</w:t>
      </w:r>
    </w:p>
    <w:p>
      <w:pPr>
        <w:spacing w:line="360" w:lineRule="auto"/>
        <w:ind w:firstLine="420" w:firstLineChars="200"/>
        <w:rPr>
          <w:rFonts w:ascii="宋体" w:hAnsi="宋体" w:cs="宋体"/>
          <w:color w:val="auto"/>
        </w:rPr>
      </w:pPr>
      <w:r>
        <w:rPr>
          <w:rFonts w:hint="eastAsia" w:ascii="宋体" w:hAnsi="宋体" w:cs="宋体"/>
          <w:color w:val="auto"/>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pPr>
        <w:spacing w:line="360" w:lineRule="auto"/>
        <w:ind w:firstLine="420" w:firstLineChars="200"/>
        <w:rPr>
          <w:rFonts w:ascii="宋体" w:hAnsi="宋体" w:cs="宋体"/>
          <w:color w:val="auto"/>
        </w:rPr>
      </w:pPr>
      <w:r>
        <w:rPr>
          <w:rFonts w:hint="eastAsia" w:ascii="宋体" w:hAnsi="宋体" w:cs="宋体"/>
          <w:color w:val="auto"/>
        </w:rPr>
        <w:t>3、甲方视情况可以邀请参加本项目的其他投标人或者第三方机构参与验收，参与验收的投标人或者第三方机构的意见作为验收书的参考资料一并存档。</w:t>
      </w:r>
    </w:p>
    <w:p>
      <w:pPr>
        <w:pStyle w:val="3"/>
        <w:kinsoku w:val="0"/>
        <w:overflowPunct w:val="0"/>
        <w:spacing w:line="364" w:lineRule="auto"/>
        <w:ind w:firstLine="422" w:firstLineChars="200"/>
        <w:rPr>
          <w:rFonts w:ascii="宋体" w:hAnsi="宋体" w:cs="宋体"/>
          <w:b/>
          <w:color w:val="auto"/>
        </w:rPr>
      </w:pPr>
      <w:r>
        <w:rPr>
          <w:rFonts w:hint="eastAsia" w:ascii="宋体" w:hAnsi="宋体" w:cs="宋体"/>
          <w:b/>
          <w:color w:val="auto"/>
        </w:rPr>
        <w:t>第七条 知识产权</w:t>
      </w:r>
    </w:p>
    <w:p>
      <w:pPr>
        <w:pStyle w:val="3"/>
        <w:kinsoku w:val="0"/>
        <w:overflowPunct w:val="0"/>
        <w:spacing w:line="364" w:lineRule="auto"/>
        <w:ind w:firstLine="420" w:firstLineChars="200"/>
        <w:rPr>
          <w:rFonts w:ascii="宋体" w:hAnsi="宋体" w:cs="宋体"/>
          <w:color w:val="auto"/>
        </w:rPr>
      </w:pPr>
      <w:r>
        <w:rPr>
          <w:rFonts w:hint="eastAsia" w:ascii="宋体" w:hAnsi="宋体" w:cs="宋体"/>
          <w:color w:val="auto"/>
        </w:rPr>
        <w:t>乙方应保证所提供的服务或其任何一部分均不会侵犯任何第三方的专利权、商标权或著作权。</w:t>
      </w:r>
    </w:p>
    <w:p>
      <w:pPr>
        <w:pStyle w:val="10"/>
        <w:kinsoku w:val="0"/>
        <w:overflowPunct w:val="0"/>
        <w:ind w:firstLine="422" w:firstLineChars="200"/>
        <w:rPr>
          <w:rFonts w:ascii="宋体" w:hAnsi="宋体" w:cs="宋体"/>
          <w:color w:val="auto"/>
          <w:kern w:val="2"/>
          <w:sz w:val="21"/>
          <w:szCs w:val="27"/>
        </w:rPr>
      </w:pPr>
      <w:r>
        <w:rPr>
          <w:rFonts w:hint="eastAsia" w:ascii="宋体" w:hAnsi="宋体" w:cs="宋体"/>
          <w:color w:val="auto"/>
          <w:kern w:val="2"/>
          <w:sz w:val="21"/>
          <w:szCs w:val="27"/>
        </w:rPr>
        <w:t>第八条 无产权瑕疵条款</w:t>
      </w:r>
    </w:p>
    <w:p>
      <w:pPr>
        <w:pStyle w:val="3"/>
        <w:kinsoku w:val="0"/>
        <w:overflowPunct w:val="0"/>
        <w:spacing w:line="364" w:lineRule="auto"/>
        <w:ind w:firstLine="420" w:firstLineChars="200"/>
        <w:rPr>
          <w:rFonts w:ascii="宋体" w:hAnsi="宋体" w:cs="宋体"/>
          <w:color w:val="auto"/>
        </w:rPr>
      </w:pPr>
      <w:r>
        <w:rPr>
          <w:rFonts w:hint="eastAsia" w:ascii="宋体" w:hAnsi="宋体" w:cs="宋体"/>
          <w:color w:val="auto"/>
        </w:rPr>
        <w:t>乙方保证所提供的服务的所有权完全属于乙方且无任何抵押、查封等产权瑕疵。如有产权瑕疵的，视为乙方违约。乙方应负担由此而产生的一切损失。</w:t>
      </w:r>
    </w:p>
    <w:p>
      <w:pPr>
        <w:spacing w:line="400" w:lineRule="exact"/>
        <w:ind w:firstLine="422" w:firstLineChars="200"/>
        <w:rPr>
          <w:rFonts w:ascii="宋体" w:hAnsi="宋体" w:cs="宋体"/>
          <w:b/>
          <w:bCs/>
          <w:color w:val="auto"/>
          <w:szCs w:val="27"/>
        </w:rPr>
      </w:pPr>
      <w:r>
        <w:rPr>
          <w:rFonts w:hint="eastAsia" w:ascii="宋体" w:hAnsi="宋体" w:cs="宋体"/>
          <w:b/>
          <w:bCs/>
          <w:color w:val="auto"/>
          <w:szCs w:val="27"/>
        </w:rPr>
        <w:t xml:space="preserve">第九条  </w:t>
      </w:r>
      <w:r>
        <w:rPr>
          <w:rFonts w:hint="eastAsia" w:ascii="宋体" w:hAnsi="宋体" w:cs="宋体"/>
          <w:color w:val="auto"/>
          <w:szCs w:val="27"/>
        </w:rPr>
        <w:t>履约（或质量）保证金</w:t>
      </w:r>
    </w:p>
    <w:p>
      <w:pPr>
        <w:spacing w:line="360" w:lineRule="auto"/>
        <w:ind w:firstLine="420" w:firstLineChars="200"/>
        <w:rPr>
          <w:rFonts w:ascii="宋体" w:hAnsi="宋体" w:cs="宋体"/>
          <w:color w:val="auto"/>
        </w:rPr>
      </w:pPr>
      <w:r>
        <w:rPr>
          <w:rFonts w:hint="eastAsia" w:ascii="宋体" w:hAnsi="宋体" w:cs="宋体"/>
          <w:color w:val="auto"/>
        </w:rPr>
        <w:t>1.本项目不收取履约保证金。确需收取履约保证金的，甲方不得要求乙方以现款的形式提供。乙方提供的履约保证金按规定格式以银行保函形式提供，与此有关的费用由服务方承担。</w:t>
      </w:r>
    </w:p>
    <w:p>
      <w:pPr>
        <w:spacing w:line="360" w:lineRule="auto"/>
        <w:ind w:firstLine="420" w:firstLineChars="200"/>
        <w:rPr>
          <w:rFonts w:ascii="宋体" w:hAnsi="宋体" w:cs="宋体"/>
          <w:color w:val="auto"/>
        </w:rPr>
      </w:pPr>
      <w:r>
        <w:rPr>
          <w:rFonts w:hint="eastAsia" w:ascii="宋体" w:hAnsi="宋体" w:cs="宋体"/>
          <w:color w:val="auto"/>
        </w:rPr>
        <w:t>2.若确需质量保证金的，质量保证金不得超过合同总价款的5%</w:t>
      </w:r>
    </w:p>
    <w:p>
      <w:pPr>
        <w:spacing w:line="360" w:lineRule="auto"/>
        <w:ind w:firstLine="420" w:firstLineChars="200"/>
        <w:rPr>
          <w:rFonts w:ascii="宋体" w:hAnsi="宋体" w:cs="宋体"/>
          <w:color w:val="auto"/>
        </w:rPr>
      </w:pPr>
      <w:r>
        <w:rPr>
          <w:rFonts w:hint="eastAsia" w:ascii="宋体" w:hAnsi="宋体" w:cs="宋体"/>
          <w:color w:val="auto"/>
        </w:rPr>
        <w:t>3.如乙方未能履行其合同规定的任何义务，甲方有权从履约保证金中取得补偿。</w:t>
      </w:r>
    </w:p>
    <w:p>
      <w:pPr>
        <w:pStyle w:val="10"/>
        <w:kinsoku w:val="0"/>
        <w:overflowPunct w:val="0"/>
        <w:ind w:firstLine="422" w:firstLineChars="200"/>
        <w:rPr>
          <w:rFonts w:ascii="宋体" w:hAnsi="宋体" w:cs="宋体"/>
          <w:color w:val="auto"/>
          <w:kern w:val="2"/>
          <w:sz w:val="21"/>
          <w:szCs w:val="27"/>
        </w:rPr>
      </w:pPr>
      <w:r>
        <w:rPr>
          <w:rFonts w:hint="eastAsia" w:ascii="宋体" w:hAnsi="宋体" w:cs="宋体"/>
          <w:color w:val="auto"/>
          <w:kern w:val="2"/>
          <w:sz w:val="21"/>
          <w:szCs w:val="27"/>
        </w:rPr>
        <w:t>第十条 甲方的权利和义务</w:t>
      </w:r>
    </w:p>
    <w:p>
      <w:pPr>
        <w:spacing w:line="360" w:lineRule="auto"/>
        <w:ind w:firstLine="420" w:firstLineChars="200"/>
        <w:rPr>
          <w:rFonts w:ascii="宋体" w:hAnsi="宋体" w:cs="宋体"/>
          <w:color w:val="auto"/>
        </w:rPr>
      </w:pPr>
      <w:r>
        <w:rPr>
          <w:rFonts w:hint="eastAsia" w:ascii="宋体" w:hAnsi="宋体" w:cs="宋体"/>
          <w:color w:val="auto"/>
        </w:rPr>
        <w:t>1、甲方有权对合同规定范围内乙方的行为进行监督和检查，拥有监管权。有权定期核对乙方提供服务所配备的人员数量。对甲方认为不合理的部分有权下达整改通知书，并要求乙方限期整改。</w:t>
      </w:r>
    </w:p>
    <w:p>
      <w:pPr>
        <w:spacing w:line="360" w:lineRule="auto"/>
        <w:ind w:firstLine="420" w:firstLineChars="200"/>
        <w:rPr>
          <w:rFonts w:ascii="宋体" w:hAnsi="宋体" w:cs="宋体"/>
          <w:color w:val="auto"/>
        </w:rPr>
      </w:pPr>
      <w:r>
        <w:rPr>
          <w:rFonts w:hint="eastAsia" w:ascii="宋体" w:hAnsi="宋体" w:cs="宋体"/>
          <w:color w:val="auto"/>
        </w:rPr>
        <w:t>2、甲方有权依据双方签订的考评办法对乙方提供的服务进行定期考评。当考评结果未达到标准时，有权依据考评办法约定的数额扣除履约保证金。</w:t>
      </w:r>
    </w:p>
    <w:p>
      <w:pPr>
        <w:spacing w:line="360" w:lineRule="auto"/>
        <w:ind w:firstLine="420" w:firstLineChars="200"/>
        <w:rPr>
          <w:rFonts w:ascii="宋体" w:hAnsi="宋体" w:cs="宋体"/>
          <w:color w:val="auto"/>
        </w:rPr>
      </w:pPr>
      <w:r>
        <w:rPr>
          <w:rFonts w:hint="eastAsia" w:ascii="宋体" w:hAnsi="宋体" w:cs="宋体"/>
          <w:color w:val="auto"/>
        </w:rPr>
        <w:t>3、负责检查监督乙方管理工作的实施及制度的执行情况。</w:t>
      </w:r>
    </w:p>
    <w:p>
      <w:pPr>
        <w:spacing w:line="360" w:lineRule="auto"/>
        <w:ind w:firstLine="420" w:firstLineChars="200"/>
        <w:rPr>
          <w:rFonts w:ascii="宋体" w:hAnsi="宋体" w:cs="宋体"/>
          <w:color w:val="auto"/>
        </w:rPr>
      </w:pPr>
      <w:r>
        <w:rPr>
          <w:rFonts w:hint="eastAsia" w:ascii="宋体" w:hAnsi="宋体" w:cs="宋体"/>
          <w:color w:val="auto"/>
        </w:rPr>
        <w:t>4、根据本合同规定，按时向乙方支付应付服务费用。</w:t>
      </w:r>
    </w:p>
    <w:p>
      <w:pPr>
        <w:spacing w:line="360" w:lineRule="auto"/>
        <w:ind w:firstLine="420" w:firstLineChars="200"/>
        <w:rPr>
          <w:rFonts w:ascii="宋体" w:hAnsi="宋体" w:cs="宋体"/>
          <w:color w:val="auto"/>
        </w:rPr>
      </w:pPr>
      <w:r>
        <w:rPr>
          <w:rFonts w:hint="eastAsia" w:ascii="宋体" w:hAnsi="宋体" w:cs="宋体"/>
          <w:color w:val="auto"/>
        </w:rPr>
        <w:t xml:space="preserve">5、国家法律、法规所规定由甲方承担的其他责任               </w:t>
      </w:r>
    </w:p>
    <w:p>
      <w:pPr>
        <w:pStyle w:val="3"/>
        <w:kinsoku w:val="0"/>
        <w:overflowPunct w:val="0"/>
        <w:spacing w:line="364" w:lineRule="auto"/>
        <w:ind w:firstLine="422" w:firstLineChars="200"/>
        <w:rPr>
          <w:rFonts w:ascii="宋体" w:hAnsi="宋体" w:cs="宋体"/>
          <w:b/>
          <w:color w:val="auto"/>
        </w:rPr>
      </w:pPr>
      <w:r>
        <w:rPr>
          <w:rFonts w:hint="eastAsia" w:ascii="宋体" w:hAnsi="宋体" w:cs="宋体"/>
          <w:b/>
          <w:color w:val="auto"/>
        </w:rPr>
        <w:t>第十一条 乙方的权利和义务</w:t>
      </w:r>
    </w:p>
    <w:p>
      <w:pPr>
        <w:spacing w:line="360" w:lineRule="auto"/>
        <w:ind w:firstLine="420" w:firstLineChars="200"/>
        <w:rPr>
          <w:rFonts w:ascii="宋体" w:hAnsi="宋体" w:cs="宋体"/>
          <w:color w:val="auto"/>
        </w:rPr>
      </w:pPr>
      <w:r>
        <w:rPr>
          <w:rFonts w:hint="eastAsia" w:ascii="宋体" w:hAnsi="宋体" w:cs="宋体"/>
          <w:color w:val="auto"/>
        </w:rPr>
        <w:t>1、对本合同规定的委托服务范围内的项目享有管理权及服务义务。</w:t>
      </w:r>
    </w:p>
    <w:p>
      <w:pPr>
        <w:spacing w:line="360" w:lineRule="auto"/>
        <w:ind w:firstLine="420" w:firstLineChars="200"/>
        <w:rPr>
          <w:rFonts w:ascii="宋体" w:hAnsi="宋体" w:cs="宋体"/>
          <w:color w:val="auto"/>
        </w:rPr>
      </w:pPr>
      <w:r>
        <w:rPr>
          <w:rFonts w:hint="eastAsia" w:ascii="宋体" w:hAnsi="宋体" w:cs="宋体"/>
          <w:color w:val="auto"/>
        </w:rPr>
        <w:t>2、根据本合同的规定向甲方收取相关服务费用，并有权在本项目管理范围内管理及合理使用。</w:t>
      </w:r>
    </w:p>
    <w:p>
      <w:pPr>
        <w:spacing w:line="360" w:lineRule="auto"/>
        <w:ind w:firstLine="420" w:firstLineChars="200"/>
        <w:rPr>
          <w:rFonts w:ascii="宋体" w:hAnsi="宋体" w:cs="宋体"/>
          <w:color w:val="auto"/>
        </w:rPr>
      </w:pPr>
      <w:r>
        <w:rPr>
          <w:rFonts w:hint="eastAsia" w:ascii="宋体" w:hAnsi="宋体" w:cs="宋体"/>
          <w:color w:val="auto"/>
        </w:rPr>
        <w:t>3、及时向甲方通告本项目服务范围内有关服务的重大事项，及时配合处理投诉。</w:t>
      </w:r>
    </w:p>
    <w:p>
      <w:pPr>
        <w:spacing w:line="360" w:lineRule="auto"/>
        <w:ind w:firstLine="420" w:firstLineChars="200"/>
        <w:rPr>
          <w:rFonts w:ascii="宋体" w:hAnsi="宋体" w:cs="宋体"/>
          <w:color w:val="auto"/>
        </w:rPr>
      </w:pPr>
      <w:r>
        <w:rPr>
          <w:rFonts w:hint="eastAsia" w:ascii="宋体" w:hAnsi="宋体" w:cs="宋体"/>
          <w:color w:val="auto"/>
        </w:rPr>
        <w:t>4、接受项目行业管理部门及政府有关部门的指导，接受甲方的监督。</w:t>
      </w:r>
    </w:p>
    <w:p>
      <w:pPr>
        <w:spacing w:line="360" w:lineRule="auto"/>
        <w:ind w:firstLine="420" w:firstLineChars="200"/>
        <w:rPr>
          <w:rFonts w:ascii="宋体" w:hAnsi="宋体" w:cs="宋体"/>
          <w:color w:val="auto"/>
        </w:rPr>
      </w:pPr>
      <w:r>
        <w:rPr>
          <w:rFonts w:hint="eastAsia" w:ascii="宋体" w:hAnsi="宋体" w:cs="宋体"/>
          <w:color w:val="auto"/>
        </w:rPr>
        <w:t>5、国家法律、法规所规定由乙方承担的其它责任。</w:t>
      </w:r>
    </w:p>
    <w:p>
      <w:pPr>
        <w:pStyle w:val="3"/>
        <w:kinsoku w:val="0"/>
        <w:overflowPunct w:val="0"/>
        <w:spacing w:line="364" w:lineRule="auto"/>
        <w:ind w:firstLine="422" w:firstLineChars="200"/>
        <w:rPr>
          <w:rFonts w:ascii="宋体" w:hAnsi="宋体" w:cs="宋体"/>
          <w:b/>
          <w:color w:val="auto"/>
        </w:rPr>
      </w:pPr>
      <w:r>
        <w:rPr>
          <w:rFonts w:hint="eastAsia" w:ascii="宋体" w:hAnsi="宋体" w:cs="宋体"/>
          <w:b/>
          <w:color w:val="auto"/>
        </w:rPr>
        <w:t>第十二条 违约责任</w:t>
      </w:r>
    </w:p>
    <w:p>
      <w:pPr>
        <w:pStyle w:val="3"/>
        <w:kinsoku w:val="0"/>
        <w:overflowPunct w:val="0"/>
        <w:ind w:firstLine="420" w:firstLineChars="200"/>
        <w:rPr>
          <w:rFonts w:ascii="宋体" w:hAnsi="宋体" w:cs="宋体"/>
          <w:color w:val="auto"/>
        </w:rPr>
      </w:pPr>
      <w:r>
        <w:rPr>
          <w:rFonts w:hint="eastAsia" w:ascii="宋体" w:hAnsi="宋体" w:cs="宋体"/>
          <w:color w:val="auto"/>
        </w:rPr>
        <w:t>1、甲乙双方必须遵守本合同并执行合同中的各项规定，保证本合同的正常履行。</w:t>
      </w:r>
    </w:p>
    <w:p>
      <w:pPr>
        <w:pStyle w:val="3"/>
        <w:kinsoku w:val="0"/>
        <w:overflowPunct w:val="0"/>
        <w:spacing w:line="364" w:lineRule="auto"/>
        <w:ind w:firstLine="420" w:firstLineChars="200"/>
        <w:rPr>
          <w:rFonts w:ascii="宋体" w:hAnsi="宋体" w:cs="宋体"/>
          <w:color w:val="auto"/>
        </w:rPr>
      </w:pPr>
      <w:r>
        <w:rPr>
          <w:rFonts w:hint="eastAsia" w:ascii="宋体" w:hAnsi="宋体" w:cs="宋体"/>
          <w:color w:val="auto"/>
        </w:rPr>
        <w:t>2、甲方逾期付款的，除应及时付足款项外，应向乙方偿付欠款总额万分之 /天的违约金；逾期付款超过 天的，乙方有权终止合同。</w:t>
      </w:r>
    </w:p>
    <w:p>
      <w:pPr>
        <w:pStyle w:val="3"/>
        <w:kinsoku w:val="0"/>
        <w:overflowPunct w:val="0"/>
        <w:spacing w:line="364" w:lineRule="auto"/>
        <w:ind w:firstLine="420" w:firstLineChars="200"/>
        <w:rPr>
          <w:rFonts w:ascii="宋体" w:hAnsi="宋体" w:cs="宋体"/>
          <w:color w:val="auto"/>
        </w:rPr>
      </w:pPr>
      <w:r>
        <w:rPr>
          <w:rFonts w:hint="eastAsia" w:ascii="宋体" w:hAnsi="宋体" w:cs="宋体"/>
          <w:color w:val="auto"/>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pPr>
        <w:pStyle w:val="3"/>
        <w:kinsoku w:val="0"/>
        <w:overflowPunct w:val="0"/>
        <w:spacing w:line="364" w:lineRule="auto"/>
        <w:ind w:firstLine="420" w:firstLineChars="200"/>
        <w:rPr>
          <w:rFonts w:ascii="宋体" w:hAnsi="宋体" w:cs="宋体"/>
          <w:color w:val="auto"/>
        </w:rPr>
      </w:pPr>
      <w:r>
        <w:rPr>
          <w:rFonts w:hint="eastAsia" w:ascii="宋体" w:hAnsi="宋体" w:cs="宋体"/>
          <w:color w:val="auto"/>
        </w:rPr>
        <w:t>4、变更、中止或者终止合同，有过错的一方应当承担赔偿责任，双方都有过错的，各自承担相应的责任。</w:t>
      </w:r>
    </w:p>
    <w:p>
      <w:pPr>
        <w:spacing w:line="360" w:lineRule="auto"/>
        <w:ind w:firstLine="422" w:firstLineChars="200"/>
        <w:rPr>
          <w:rFonts w:ascii="宋体" w:hAnsi="宋体" w:cs="宋体"/>
          <w:b/>
          <w:color w:val="auto"/>
        </w:rPr>
      </w:pPr>
      <w:r>
        <w:rPr>
          <w:rFonts w:hint="eastAsia" w:ascii="宋体" w:hAnsi="宋体" w:cs="宋体"/>
          <w:b/>
          <w:bCs/>
          <w:color w:val="auto"/>
          <w:szCs w:val="27"/>
        </w:rPr>
        <w:t xml:space="preserve">第十三条 </w:t>
      </w:r>
      <w:r>
        <w:rPr>
          <w:rFonts w:hint="eastAsia" w:ascii="宋体" w:hAnsi="宋体" w:cs="宋体"/>
          <w:bCs/>
          <w:color w:val="auto"/>
        </w:rPr>
        <w:t>转让与分包</w:t>
      </w:r>
    </w:p>
    <w:p>
      <w:pPr>
        <w:spacing w:line="360" w:lineRule="auto"/>
        <w:ind w:firstLine="420" w:firstLineChars="200"/>
        <w:rPr>
          <w:rFonts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除甲方事先书面同意外，乙方不得部分转让或全部转让其应履行的合同义务。</w:t>
      </w:r>
    </w:p>
    <w:p>
      <w:pPr>
        <w:spacing w:line="360" w:lineRule="auto"/>
        <w:ind w:firstLine="420" w:firstLineChars="200"/>
        <w:rPr>
          <w:rFonts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乙方应在投标文件中或以其他书面形式对甲方确认本合同项下所授予的所有分包合同。但该确认不解除乙方承担的本合同下的任何责任或义务。意即在本合同项下，乙方对甲方负总责。</w:t>
      </w:r>
    </w:p>
    <w:p>
      <w:pPr>
        <w:spacing w:line="360" w:lineRule="auto"/>
        <w:ind w:firstLine="422" w:firstLineChars="200"/>
        <w:rPr>
          <w:rFonts w:ascii="宋体" w:hAnsi="宋体" w:cs="宋体"/>
          <w:b/>
          <w:color w:val="auto"/>
        </w:rPr>
      </w:pPr>
      <w:r>
        <w:rPr>
          <w:rFonts w:hint="eastAsia" w:ascii="宋体" w:hAnsi="宋体" w:cs="宋体"/>
          <w:b/>
          <w:bCs/>
          <w:color w:val="auto"/>
          <w:szCs w:val="27"/>
        </w:rPr>
        <w:t xml:space="preserve">第十四条 </w:t>
      </w:r>
      <w:r>
        <w:rPr>
          <w:rFonts w:hint="eastAsia" w:ascii="宋体" w:hAnsi="宋体" w:cs="宋体"/>
          <w:bCs/>
          <w:color w:val="auto"/>
        </w:rPr>
        <w:t>合同文件及资料的使用</w:t>
      </w:r>
    </w:p>
    <w:p>
      <w:pPr>
        <w:spacing w:line="360" w:lineRule="auto"/>
        <w:ind w:firstLine="420" w:firstLineChars="200"/>
        <w:rPr>
          <w:rFonts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乙方在未经甲方同意的情况下，不得将合同、合同中的规定、有关计划、图纸、样本或甲方为上述内容向乙方提供的资料透露给任何人。</w:t>
      </w:r>
    </w:p>
    <w:p>
      <w:pPr>
        <w:spacing w:line="360" w:lineRule="auto"/>
        <w:ind w:firstLine="420" w:firstLineChars="200"/>
        <w:rPr>
          <w:rFonts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除非执行合同需要，在事先未得到甲方同意的情况下，乙方不得使用前款所列的任何文件和资料。</w:t>
      </w:r>
    </w:p>
    <w:p>
      <w:pPr>
        <w:pStyle w:val="10"/>
        <w:kinsoku w:val="0"/>
        <w:overflowPunct w:val="0"/>
        <w:ind w:firstLine="422" w:firstLineChars="200"/>
        <w:rPr>
          <w:rFonts w:ascii="宋体" w:hAnsi="宋体" w:cs="宋体"/>
          <w:color w:val="auto"/>
          <w:kern w:val="2"/>
          <w:sz w:val="21"/>
          <w:szCs w:val="27"/>
        </w:rPr>
      </w:pPr>
      <w:r>
        <w:rPr>
          <w:rFonts w:hint="eastAsia" w:ascii="宋体" w:hAnsi="宋体" w:cs="宋体"/>
          <w:color w:val="auto"/>
          <w:kern w:val="2"/>
          <w:sz w:val="21"/>
          <w:szCs w:val="27"/>
        </w:rPr>
        <w:t>第十五条 不可抗力事件处理</w:t>
      </w:r>
    </w:p>
    <w:p>
      <w:pPr>
        <w:spacing w:line="360" w:lineRule="auto"/>
        <w:ind w:firstLine="420" w:firstLineChars="200"/>
        <w:rPr>
          <w:rFonts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line="360" w:lineRule="auto"/>
        <w:ind w:firstLine="420" w:firstLineChars="200"/>
        <w:rPr>
          <w:rFonts w:ascii="宋体" w:hAnsi="宋体" w:cs="宋体"/>
          <w:color w:val="auto"/>
          <w:szCs w:val="27"/>
        </w:rPr>
      </w:pPr>
      <w:r>
        <w:rPr>
          <w:rFonts w:hint="eastAsia" w:ascii="宋体" w:hAnsi="宋体" w:cs="宋体"/>
          <w:color w:val="auto"/>
        </w:rPr>
        <w:t>2</w:t>
      </w:r>
      <w:r>
        <w:rPr>
          <w:rFonts w:hint="eastAsia" w:ascii="宋体" w:hAnsi="宋体" w:cs="宋体"/>
          <w:color w:val="auto"/>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pPr>
        <w:pStyle w:val="10"/>
        <w:kinsoku w:val="0"/>
        <w:overflowPunct w:val="0"/>
        <w:ind w:firstLine="422" w:firstLineChars="200"/>
        <w:rPr>
          <w:rFonts w:ascii="宋体" w:hAnsi="宋体" w:cs="宋体"/>
          <w:color w:val="auto"/>
          <w:kern w:val="2"/>
          <w:sz w:val="21"/>
          <w:szCs w:val="27"/>
        </w:rPr>
      </w:pPr>
      <w:r>
        <w:rPr>
          <w:rFonts w:hint="eastAsia" w:ascii="宋体" w:hAnsi="宋体" w:cs="宋体"/>
          <w:color w:val="auto"/>
          <w:kern w:val="2"/>
          <w:sz w:val="21"/>
          <w:szCs w:val="27"/>
        </w:rPr>
        <w:t>第十六条 合同纠纷调处</w:t>
      </w:r>
    </w:p>
    <w:p>
      <w:pPr>
        <w:spacing w:line="360" w:lineRule="auto"/>
        <w:ind w:firstLine="420" w:firstLineChars="200"/>
        <w:rPr>
          <w:rFonts w:ascii="宋体" w:hAnsi="宋体" w:cs="宋体"/>
          <w:color w:val="auto"/>
        </w:rPr>
      </w:pPr>
      <w:r>
        <w:rPr>
          <w:rFonts w:hint="eastAsia" w:ascii="宋体" w:hAnsi="宋体" w:cs="宋体"/>
          <w:color w:val="auto"/>
        </w:rPr>
        <w:t>1</w:t>
      </w:r>
      <w:r>
        <w:rPr>
          <w:rFonts w:hint="eastAsia" w:ascii="宋体" w:hAnsi="宋体" w:cs="宋体"/>
          <w:color w:val="auto"/>
          <w:szCs w:val="27"/>
        </w:rPr>
        <w:t>.按本合同规定应该偿付的违约金、赔偿金、保管保养费和各种经济损失，应当在明确责任后10天内，按银行规定的结算办法付清，否则按逾期付款处理。</w:t>
      </w:r>
    </w:p>
    <w:p>
      <w:pPr>
        <w:spacing w:line="360" w:lineRule="auto"/>
        <w:ind w:firstLine="420" w:firstLineChars="200"/>
        <w:rPr>
          <w:rFonts w:ascii="宋体" w:hAnsi="宋体" w:cs="宋体"/>
          <w:color w:val="auto"/>
          <w:szCs w:val="27"/>
        </w:rPr>
      </w:pPr>
      <w:r>
        <w:rPr>
          <w:rFonts w:hint="eastAsia" w:ascii="宋体" w:hAnsi="宋体" w:cs="宋体"/>
          <w:color w:val="auto"/>
        </w:rPr>
        <w:t>2</w:t>
      </w:r>
      <w:r>
        <w:rPr>
          <w:rFonts w:hint="eastAsia" w:ascii="宋体" w:hAnsi="宋体" w:cs="宋体"/>
          <w:color w:val="auto"/>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color w:val="auto"/>
          <w:szCs w:val="27"/>
          <w:u w:val="single"/>
        </w:rPr>
        <w:t>周口仲裁委员会</w:t>
      </w:r>
      <w:r>
        <w:rPr>
          <w:rFonts w:hint="eastAsia" w:ascii="宋体" w:hAnsi="宋体" w:cs="宋体"/>
          <w:color w:val="auto"/>
          <w:szCs w:val="27"/>
        </w:rPr>
        <w:t>申请仲裁。②向</w:t>
      </w:r>
      <w:r>
        <w:rPr>
          <w:rFonts w:hint="eastAsia" w:ascii="宋体" w:hAnsi="宋体" w:cs="宋体"/>
          <w:color w:val="auto"/>
        </w:rPr>
        <w:t>合同签订地有级别管辖权的</w:t>
      </w:r>
      <w:r>
        <w:rPr>
          <w:rFonts w:hint="eastAsia" w:ascii="宋体" w:hAnsi="宋体" w:cs="宋体"/>
          <w:color w:val="auto"/>
          <w:szCs w:val="27"/>
        </w:rPr>
        <w:t>人民法院起诉。</w:t>
      </w:r>
    </w:p>
    <w:p>
      <w:pPr>
        <w:pStyle w:val="10"/>
        <w:kinsoku w:val="0"/>
        <w:overflowPunct w:val="0"/>
        <w:ind w:firstLine="420" w:firstLineChars="200"/>
        <w:rPr>
          <w:rFonts w:ascii="宋体" w:hAnsi="宋体" w:cs="宋体"/>
          <w:b w:val="0"/>
          <w:bCs w:val="0"/>
          <w:color w:val="auto"/>
          <w:kern w:val="2"/>
          <w:sz w:val="21"/>
          <w:szCs w:val="27"/>
        </w:rPr>
      </w:pPr>
      <w:r>
        <w:rPr>
          <w:rFonts w:hint="eastAsia" w:ascii="宋体" w:hAnsi="宋体" w:cs="宋体"/>
          <w:b w:val="0"/>
          <w:bCs w:val="0"/>
          <w:color w:val="auto"/>
          <w:kern w:val="2"/>
          <w:sz w:val="21"/>
          <w:szCs w:val="27"/>
        </w:rPr>
        <w:t>3、甲、乙双方均有权利向本项目具有监管职能的政府采购监督管理部门举报反映对方在合同履约中的违法违纪行为。</w:t>
      </w:r>
    </w:p>
    <w:p>
      <w:pPr>
        <w:spacing w:line="360" w:lineRule="auto"/>
        <w:ind w:firstLine="422" w:firstLineChars="200"/>
        <w:rPr>
          <w:rFonts w:ascii="宋体" w:hAnsi="宋体" w:cs="宋体"/>
          <w:b/>
          <w:bCs/>
          <w:color w:val="auto"/>
          <w:szCs w:val="27"/>
        </w:rPr>
      </w:pPr>
      <w:r>
        <w:rPr>
          <w:rFonts w:hint="eastAsia" w:ascii="宋体" w:hAnsi="宋体" w:cs="宋体"/>
          <w:b/>
          <w:bCs/>
          <w:color w:val="auto"/>
          <w:szCs w:val="27"/>
        </w:rPr>
        <w:t>第十七条 其他</w:t>
      </w:r>
    </w:p>
    <w:p>
      <w:pPr>
        <w:spacing w:line="360" w:lineRule="auto"/>
        <w:ind w:firstLine="422" w:firstLineChars="200"/>
        <w:rPr>
          <w:rFonts w:ascii="宋体" w:hAnsi="宋体" w:cs="宋体"/>
          <w:color w:val="auto"/>
          <w:szCs w:val="27"/>
        </w:rPr>
      </w:pPr>
      <w:r>
        <w:rPr>
          <w:rFonts w:hint="eastAsia" w:ascii="宋体" w:hAnsi="宋体" w:cs="宋体"/>
          <w:b/>
          <w:bCs/>
          <w:color w:val="auto"/>
          <w:szCs w:val="27"/>
        </w:rPr>
        <w:t xml:space="preserve"> </w:t>
      </w:r>
      <w:r>
        <w:rPr>
          <w:rFonts w:hint="eastAsia" w:ascii="宋体" w:hAnsi="宋体" w:cs="宋体"/>
          <w:color w:val="auto"/>
          <w:szCs w:val="27"/>
        </w:rPr>
        <w:t>下列关于周口市公共资源交易中心政府采购代理机构名称</w:t>
      </w:r>
      <w:r>
        <w:rPr>
          <w:rFonts w:hint="eastAsia" w:ascii="宋体" w:hAnsi="宋体" w:cs="宋体"/>
          <w:color w:val="auto"/>
          <w:szCs w:val="27"/>
          <w:u w:val="single"/>
        </w:rPr>
        <w:t>某项目（项目编号：某编号）</w:t>
      </w:r>
      <w:r>
        <w:rPr>
          <w:rFonts w:hint="eastAsia" w:ascii="宋体" w:hAnsi="宋体" w:cs="宋体"/>
          <w:color w:val="auto"/>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pPr>
        <w:spacing w:line="360" w:lineRule="auto"/>
        <w:ind w:firstLine="420" w:firstLineChars="200"/>
        <w:rPr>
          <w:rFonts w:ascii="宋体" w:hAnsi="宋体" w:cs="宋体"/>
          <w:color w:val="auto"/>
          <w:szCs w:val="27"/>
        </w:rPr>
      </w:pPr>
      <w:r>
        <w:rPr>
          <w:rFonts w:hint="eastAsia" w:ascii="宋体" w:hAnsi="宋体" w:cs="宋体"/>
          <w:color w:val="auto"/>
          <w:szCs w:val="27"/>
        </w:rPr>
        <w:t xml:space="preserve">    </w:t>
      </w:r>
      <w:r>
        <w:rPr>
          <w:rFonts w:hint="eastAsia" w:ascii="宋体" w:hAnsi="宋体" w:cs="宋体"/>
          <w:color w:val="auto"/>
        </w:rPr>
        <w:t>本合同一式</w:t>
      </w:r>
      <w:r>
        <w:rPr>
          <w:rFonts w:hint="eastAsia" w:ascii="宋体" w:hAnsi="宋体" w:cs="宋体"/>
          <w:color w:val="auto"/>
          <w:u w:val="single"/>
        </w:rPr>
        <w:t xml:space="preserve">   </w:t>
      </w:r>
      <w:r>
        <w:rPr>
          <w:rFonts w:hint="eastAsia" w:ascii="宋体" w:hAnsi="宋体" w:cs="宋体"/>
          <w:color w:val="auto"/>
        </w:rPr>
        <w:t>份，甲乙双方各执</w:t>
      </w:r>
      <w:r>
        <w:rPr>
          <w:rFonts w:hint="eastAsia" w:ascii="宋体" w:hAnsi="宋体" w:cs="宋体"/>
          <w:color w:val="auto"/>
          <w:u w:val="single"/>
        </w:rPr>
        <w:t xml:space="preserve">   </w:t>
      </w:r>
      <w:r>
        <w:rPr>
          <w:rFonts w:hint="eastAsia" w:ascii="宋体" w:hAnsi="宋体" w:cs="宋体"/>
          <w:color w:val="auto"/>
        </w:rPr>
        <w:t>份，自双方当事人签字盖章之日起生效。</w:t>
      </w:r>
    </w:p>
    <w:p>
      <w:pPr>
        <w:spacing w:line="360" w:lineRule="auto"/>
        <w:ind w:firstLine="420" w:firstLineChars="200"/>
        <w:rPr>
          <w:rFonts w:ascii="宋体" w:hAnsi="宋体" w:cs="宋体"/>
          <w:color w:val="auto"/>
          <w:szCs w:val="27"/>
        </w:rPr>
      </w:pPr>
    </w:p>
    <w:p>
      <w:pPr>
        <w:pStyle w:val="38"/>
        <w:ind w:firstLine="210"/>
        <w:rPr>
          <w:rFonts w:ascii="宋体" w:hAnsi="宋体" w:cs="宋体"/>
          <w:color w:val="auto"/>
        </w:rPr>
      </w:pPr>
    </w:p>
    <w:p>
      <w:pPr>
        <w:spacing w:line="360" w:lineRule="auto"/>
        <w:ind w:firstLine="420" w:firstLineChars="200"/>
        <w:rPr>
          <w:rFonts w:ascii="宋体" w:hAnsi="宋体" w:cs="宋体"/>
          <w:color w:val="auto"/>
          <w:szCs w:val="27"/>
        </w:rPr>
      </w:pPr>
      <w:r>
        <w:rPr>
          <w:rFonts w:hint="eastAsia" w:ascii="宋体" w:hAnsi="宋体" w:cs="宋体"/>
          <w:color w:val="auto"/>
          <w:szCs w:val="27"/>
        </w:rPr>
        <w:t xml:space="preserve">采购人（甲方）：    （公章）           供货人（乙方）：     （公章）  </w:t>
      </w:r>
    </w:p>
    <w:p>
      <w:pPr>
        <w:spacing w:line="360" w:lineRule="auto"/>
        <w:ind w:firstLine="420" w:firstLineChars="200"/>
        <w:rPr>
          <w:rFonts w:ascii="宋体" w:hAnsi="宋体" w:cs="宋体"/>
          <w:color w:val="auto"/>
        </w:rPr>
      </w:pPr>
      <w:r>
        <w:rPr>
          <w:rFonts w:hint="eastAsia" w:ascii="宋体" w:hAnsi="宋体" w:cs="宋体"/>
          <w:color w:val="auto"/>
          <w:szCs w:val="27"/>
        </w:rPr>
        <w:t>地址：                               地址：</w:t>
      </w:r>
    </w:p>
    <w:p>
      <w:pPr>
        <w:spacing w:line="360" w:lineRule="auto"/>
        <w:ind w:firstLine="420" w:firstLineChars="200"/>
        <w:rPr>
          <w:rFonts w:ascii="宋体" w:hAnsi="宋体" w:cs="宋体"/>
          <w:color w:val="auto"/>
          <w:szCs w:val="27"/>
        </w:rPr>
      </w:pPr>
      <w:r>
        <w:rPr>
          <w:rFonts w:hint="eastAsia" w:ascii="宋体" w:hAnsi="宋体" w:cs="宋体"/>
          <w:color w:val="auto"/>
          <w:szCs w:val="27"/>
        </w:rPr>
        <w:t>法定代表人：                         法定代表人：</w:t>
      </w:r>
    </w:p>
    <w:p>
      <w:pPr>
        <w:spacing w:line="360" w:lineRule="auto"/>
        <w:ind w:firstLine="420" w:firstLineChars="200"/>
        <w:rPr>
          <w:rFonts w:ascii="宋体" w:hAnsi="宋体" w:cs="宋体"/>
          <w:color w:val="auto"/>
          <w:u w:val="single"/>
        </w:rPr>
      </w:pPr>
      <w:r>
        <w:rPr>
          <w:rFonts w:hint="eastAsia" w:ascii="宋体" w:hAnsi="宋体" w:cs="宋体"/>
          <w:color w:val="auto"/>
          <w:szCs w:val="27"/>
        </w:rPr>
        <w:t>委托代理人：                         委托代理人：</w:t>
      </w:r>
    </w:p>
    <w:p>
      <w:pPr>
        <w:spacing w:line="360" w:lineRule="auto"/>
        <w:ind w:firstLine="420" w:firstLineChars="200"/>
        <w:rPr>
          <w:rFonts w:ascii="宋体" w:hAnsi="宋体" w:cs="宋体"/>
          <w:color w:val="auto"/>
        </w:rPr>
      </w:pPr>
      <w:r>
        <w:rPr>
          <w:rFonts w:hint="eastAsia" w:ascii="宋体" w:hAnsi="宋体" w:cs="宋体"/>
          <w:color w:val="auto"/>
        </w:rPr>
        <w:t>电话：                               电话：</w:t>
      </w:r>
    </w:p>
    <w:p>
      <w:pPr>
        <w:spacing w:line="360" w:lineRule="auto"/>
        <w:ind w:firstLine="420" w:firstLineChars="200"/>
        <w:rPr>
          <w:rFonts w:ascii="宋体" w:hAnsi="宋体" w:cs="宋体"/>
          <w:color w:val="auto"/>
          <w:szCs w:val="27"/>
        </w:rPr>
      </w:pPr>
      <w:r>
        <w:rPr>
          <w:rFonts w:hint="eastAsia" w:ascii="宋体" w:hAnsi="宋体" w:cs="宋体"/>
          <w:color w:val="auto"/>
          <w:szCs w:val="27"/>
        </w:rPr>
        <w:t>开户银行：                           开户银行：</w:t>
      </w:r>
    </w:p>
    <w:p>
      <w:pPr>
        <w:spacing w:line="360" w:lineRule="auto"/>
        <w:ind w:firstLine="420" w:firstLineChars="200"/>
        <w:rPr>
          <w:rFonts w:ascii="宋体" w:hAnsi="宋体" w:cs="宋体"/>
          <w:color w:val="auto"/>
        </w:rPr>
      </w:pPr>
      <w:r>
        <w:rPr>
          <w:rFonts w:hint="eastAsia" w:ascii="宋体" w:hAnsi="宋体" w:cs="宋体"/>
          <w:color w:val="auto"/>
          <w:szCs w:val="27"/>
        </w:rPr>
        <w:t>账号：                               账号：</w:t>
      </w:r>
    </w:p>
    <w:p>
      <w:pPr>
        <w:spacing w:line="640" w:lineRule="exact"/>
        <w:ind w:firstLine="420" w:firstLineChars="200"/>
        <w:rPr>
          <w:rFonts w:ascii="宋体" w:hAnsi="宋体" w:cs="宋体"/>
          <w:color w:val="auto"/>
          <w:szCs w:val="27"/>
          <w:u w:val="single"/>
        </w:rPr>
      </w:pPr>
    </w:p>
    <w:p>
      <w:pPr>
        <w:pStyle w:val="38"/>
        <w:ind w:firstLine="210"/>
        <w:jc w:val="center"/>
        <w:rPr>
          <w:b/>
          <w:color w:val="auto"/>
          <w:sz w:val="32"/>
          <w:szCs w:val="32"/>
        </w:rPr>
      </w:pPr>
      <w:r>
        <w:rPr>
          <w:rFonts w:hint="eastAsia" w:ascii="宋体" w:hAnsi="宋体" w:cs="宋体"/>
          <w:color w:val="auto"/>
          <w:szCs w:val="27"/>
          <w:u w:val="single"/>
        </w:rPr>
        <w:t>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 xml:space="preserve">日                      </w:t>
      </w:r>
      <w:r>
        <w:rPr>
          <w:rFonts w:hint="eastAsia" w:ascii="宋体" w:hAnsi="宋体" w:cs="宋体"/>
          <w:color w:val="auto"/>
          <w:szCs w:val="27"/>
          <w:u w:val="single"/>
        </w:rPr>
        <w:t xml:space="preserve">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日</w:t>
      </w:r>
    </w:p>
    <w:p>
      <w:pPr>
        <w:pStyle w:val="38"/>
        <w:ind w:firstLine="321"/>
        <w:jc w:val="center"/>
        <w:rPr>
          <w:b/>
          <w:color w:val="auto"/>
          <w:sz w:val="32"/>
          <w:szCs w:val="32"/>
        </w:rPr>
      </w:pPr>
    </w:p>
    <w:p>
      <w:pPr>
        <w:pStyle w:val="38"/>
        <w:ind w:firstLine="321"/>
        <w:jc w:val="center"/>
        <w:rPr>
          <w:b/>
          <w:color w:val="auto"/>
          <w:sz w:val="32"/>
          <w:szCs w:val="32"/>
        </w:rPr>
      </w:pPr>
    </w:p>
    <w:p>
      <w:pPr>
        <w:pStyle w:val="38"/>
        <w:ind w:firstLine="321"/>
        <w:jc w:val="center"/>
        <w:rPr>
          <w:b/>
          <w:color w:val="auto"/>
          <w:sz w:val="32"/>
          <w:szCs w:val="32"/>
        </w:rPr>
      </w:pPr>
    </w:p>
    <w:p>
      <w:pPr>
        <w:pStyle w:val="38"/>
        <w:ind w:firstLine="321"/>
        <w:jc w:val="center"/>
        <w:rPr>
          <w:b/>
          <w:color w:val="auto"/>
          <w:sz w:val="32"/>
          <w:szCs w:val="32"/>
        </w:rPr>
      </w:pPr>
    </w:p>
    <w:p>
      <w:pPr>
        <w:pStyle w:val="38"/>
        <w:ind w:firstLine="321"/>
        <w:jc w:val="center"/>
        <w:rPr>
          <w:b/>
          <w:color w:val="auto"/>
          <w:sz w:val="32"/>
          <w:szCs w:val="32"/>
        </w:rPr>
      </w:pPr>
      <w:r>
        <w:rPr>
          <w:rFonts w:hint="eastAsia"/>
          <w:b/>
          <w:color w:val="auto"/>
          <w:sz w:val="32"/>
          <w:szCs w:val="32"/>
        </w:rPr>
        <w:t>周口市政府采购合同融资政策告知函</w:t>
      </w:r>
    </w:p>
    <w:p>
      <w:pPr>
        <w:pStyle w:val="38"/>
        <w:ind w:firstLine="240"/>
        <w:rPr>
          <w:rFonts w:asciiTheme="minorEastAsia" w:hAnsiTheme="minorEastAsia" w:eastAsiaTheme="minorEastAsia"/>
          <w:color w:val="auto"/>
          <w:sz w:val="24"/>
        </w:rPr>
      </w:pPr>
    </w:p>
    <w:p>
      <w:pPr>
        <w:pStyle w:val="38"/>
        <w:ind w:firstLine="240"/>
        <w:rPr>
          <w:rFonts w:asciiTheme="minorEastAsia" w:hAnsiTheme="minorEastAsia" w:eastAsiaTheme="minorEastAsia"/>
          <w:color w:val="auto"/>
          <w:sz w:val="24"/>
        </w:rPr>
      </w:pPr>
    </w:p>
    <w:p>
      <w:pPr>
        <w:pStyle w:val="38"/>
        <w:ind w:firstLine="240"/>
        <w:rPr>
          <w:rFonts w:asciiTheme="minorEastAsia" w:hAnsiTheme="minorEastAsia" w:eastAsiaTheme="minorEastAsia"/>
          <w:color w:val="auto"/>
          <w:sz w:val="24"/>
        </w:rPr>
      </w:pPr>
    </w:p>
    <w:p>
      <w:pPr>
        <w:pStyle w:val="38"/>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pPr>
        <w:pStyle w:val="38"/>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pPr>
        <w:pStyle w:val="38"/>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38"/>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贷款渠道和提供贷款的金融机构，可在河南省政府采购网“河南省政府采购合同融资平台”查询联系。</w:t>
      </w:r>
    </w:p>
    <w:p>
      <w:pPr>
        <w:pStyle w:val="29"/>
        <w:spacing w:before="0" w:beforeAutospacing="0" w:after="0" w:afterAutospacing="0" w:line="330" w:lineRule="atLeast"/>
        <w:rPr>
          <w:rFonts w:cs="仿宋_GB2312"/>
          <w:b/>
          <w:bCs/>
          <w:color w:val="auto"/>
          <w:sz w:val="21"/>
          <w:szCs w:val="21"/>
        </w:rPr>
      </w:pPr>
    </w:p>
    <w:p>
      <w:pPr>
        <w:pStyle w:val="29"/>
        <w:spacing w:before="0" w:beforeAutospacing="0" w:after="0" w:afterAutospacing="0" w:line="330" w:lineRule="atLeast"/>
        <w:rPr>
          <w:rFonts w:cs="仿宋_GB2312"/>
          <w:b/>
          <w:bCs/>
          <w:color w:val="auto"/>
          <w:sz w:val="21"/>
          <w:szCs w:val="21"/>
        </w:rPr>
      </w:pPr>
    </w:p>
    <w:p>
      <w:pPr>
        <w:pStyle w:val="29"/>
        <w:spacing w:before="0" w:beforeAutospacing="0" w:after="0" w:afterAutospacing="0" w:line="330" w:lineRule="atLeast"/>
        <w:rPr>
          <w:rFonts w:cs="仿宋_GB2312"/>
          <w:b/>
          <w:bCs/>
          <w:color w:val="auto"/>
          <w:sz w:val="21"/>
          <w:szCs w:val="21"/>
        </w:rPr>
      </w:pPr>
    </w:p>
    <w:p>
      <w:pPr>
        <w:pStyle w:val="29"/>
        <w:spacing w:before="0" w:beforeAutospacing="0" w:after="0" w:afterAutospacing="0" w:line="330" w:lineRule="atLeast"/>
        <w:rPr>
          <w:rFonts w:cs="仿宋_GB2312"/>
          <w:b/>
          <w:bCs/>
          <w:color w:val="auto"/>
          <w:sz w:val="21"/>
          <w:szCs w:val="21"/>
        </w:rPr>
      </w:pPr>
    </w:p>
    <w:p>
      <w:pPr>
        <w:pStyle w:val="29"/>
        <w:spacing w:before="0" w:beforeAutospacing="0" w:after="0" w:afterAutospacing="0" w:line="330" w:lineRule="atLeast"/>
        <w:rPr>
          <w:rFonts w:cs="仿宋_GB2312"/>
          <w:b/>
          <w:bCs/>
          <w:color w:val="auto"/>
          <w:sz w:val="21"/>
          <w:szCs w:val="21"/>
        </w:rPr>
      </w:pPr>
    </w:p>
    <w:p>
      <w:pPr>
        <w:pStyle w:val="29"/>
        <w:spacing w:before="0" w:beforeAutospacing="0" w:after="0" w:afterAutospacing="0" w:line="330" w:lineRule="atLeast"/>
        <w:rPr>
          <w:rFonts w:cs="仿宋_GB2312"/>
          <w:b/>
          <w:bCs/>
          <w:color w:val="auto"/>
          <w:sz w:val="21"/>
          <w:szCs w:val="21"/>
        </w:rPr>
      </w:pPr>
    </w:p>
    <w:p>
      <w:pPr>
        <w:pStyle w:val="29"/>
        <w:spacing w:before="0" w:beforeAutospacing="0" w:after="0" w:afterAutospacing="0" w:line="330" w:lineRule="atLeast"/>
        <w:rPr>
          <w:rFonts w:cs="仿宋_GB2312"/>
          <w:b/>
          <w:bCs/>
          <w:color w:val="auto"/>
          <w:sz w:val="21"/>
          <w:szCs w:val="21"/>
        </w:rPr>
      </w:pPr>
    </w:p>
    <w:p>
      <w:pPr>
        <w:pStyle w:val="29"/>
        <w:spacing w:before="0" w:beforeAutospacing="0" w:after="0" w:afterAutospacing="0" w:line="330" w:lineRule="atLeast"/>
        <w:rPr>
          <w:rFonts w:cs="仿宋_GB2312"/>
          <w:b/>
          <w:bCs/>
          <w:color w:val="auto"/>
          <w:sz w:val="21"/>
          <w:szCs w:val="21"/>
        </w:rPr>
      </w:pPr>
    </w:p>
    <w:p>
      <w:pPr>
        <w:pStyle w:val="29"/>
        <w:spacing w:before="0" w:beforeAutospacing="0" w:after="0" w:afterAutospacing="0" w:line="330" w:lineRule="atLeast"/>
        <w:rPr>
          <w:rFonts w:cs="仿宋_GB2312"/>
          <w:b/>
          <w:bCs/>
          <w:color w:val="auto"/>
          <w:sz w:val="21"/>
          <w:szCs w:val="21"/>
        </w:rPr>
      </w:pPr>
    </w:p>
    <w:p>
      <w:pPr>
        <w:pStyle w:val="29"/>
        <w:spacing w:before="0" w:beforeAutospacing="0" w:after="0" w:afterAutospacing="0" w:line="330" w:lineRule="atLeast"/>
        <w:rPr>
          <w:rFonts w:cs="仿宋_GB2312"/>
          <w:b/>
          <w:bCs/>
          <w:color w:val="auto"/>
          <w:sz w:val="21"/>
          <w:szCs w:val="21"/>
        </w:rPr>
      </w:pPr>
    </w:p>
    <w:p>
      <w:pPr>
        <w:pStyle w:val="29"/>
        <w:spacing w:before="0" w:beforeAutospacing="0" w:after="0" w:afterAutospacing="0" w:line="330" w:lineRule="atLeast"/>
        <w:rPr>
          <w:rFonts w:cs="仿宋_GB2312"/>
          <w:b/>
          <w:bCs/>
          <w:color w:val="auto"/>
          <w:sz w:val="21"/>
          <w:szCs w:val="21"/>
        </w:rPr>
      </w:pPr>
    </w:p>
    <w:p>
      <w:pPr>
        <w:pStyle w:val="29"/>
        <w:spacing w:before="0" w:beforeAutospacing="0" w:after="0" w:afterAutospacing="0" w:line="330" w:lineRule="atLeast"/>
        <w:rPr>
          <w:rFonts w:cs="仿宋_GB2312"/>
          <w:b/>
          <w:bCs/>
          <w:color w:val="auto"/>
          <w:sz w:val="21"/>
          <w:szCs w:val="21"/>
        </w:rPr>
      </w:pPr>
    </w:p>
    <w:p>
      <w:pPr>
        <w:pStyle w:val="29"/>
        <w:spacing w:before="0" w:beforeAutospacing="0" w:after="0" w:afterAutospacing="0" w:line="330" w:lineRule="atLeast"/>
        <w:rPr>
          <w:rFonts w:cs="仿宋_GB2312"/>
          <w:b/>
          <w:bCs/>
          <w:color w:val="auto"/>
          <w:sz w:val="21"/>
          <w:szCs w:val="21"/>
        </w:rPr>
      </w:pPr>
    </w:p>
    <w:p>
      <w:pPr>
        <w:pStyle w:val="38"/>
        <w:ind w:firstLine="210"/>
        <w:rPr>
          <w:color w:val="auto"/>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272462A"/>
    <w:multiLevelType w:val="multilevel"/>
    <w:tmpl w:val="4272462A"/>
    <w:lvl w:ilvl="0" w:tentative="0">
      <w:start w:val="2"/>
      <w:numFmt w:val="decimalEnclosedCircle"/>
      <w:lvlText w:val="%1"/>
      <w:lvlJc w:val="left"/>
      <w:pPr>
        <w:ind w:left="780" w:hanging="36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jYTMwZWRiOTk4ZmIxMWIwNzhkODFlOTg1OTk5MjYifQ=="/>
  </w:docVars>
  <w:rsids>
    <w:rsidRoot w:val="00172A27"/>
    <w:rsid w:val="00000EB7"/>
    <w:rsid w:val="00002165"/>
    <w:rsid w:val="00003AB0"/>
    <w:rsid w:val="00005901"/>
    <w:rsid w:val="00006828"/>
    <w:rsid w:val="00007916"/>
    <w:rsid w:val="00007AAD"/>
    <w:rsid w:val="000102C8"/>
    <w:rsid w:val="00010D52"/>
    <w:rsid w:val="000129DA"/>
    <w:rsid w:val="00013396"/>
    <w:rsid w:val="00013D3C"/>
    <w:rsid w:val="00014E7F"/>
    <w:rsid w:val="0002084F"/>
    <w:rsid w:val="000213BA"/>
    <w:rsid w:val="0002371C"/>
    <w:rsid w:val="00024C10"/>
    <w:rsid w:val="00025E46"/>
    <w:rsid w:val="0004275F"/>
    <w:rsid w:val="00044689"/>
    <w:rsid w:val="000449D3"/>
    <w:rsid w:val="00045FE3"/>
    <w:rsid w:val="000466ED"/>
    <w:rsid w:val="00050196"/>
    <w:rsid w:val="000511E4"/>
    <w:rsid w:val="000529C4"/>
    <w:rsid w:val="00052DCC"/>
    <w:rsid w:val="0005462A"/>
    <w:rsid w:val="00057BB8"/>
    <w:rsid w:val="000638EC"/>
    <w:rsid w:val="00064362"/>
    <w:rsid w:val="00066982"/>
    <w:rsid w:val="00070811"/>
    <w:rsid w:val="00071C67"/>
    <w:rsid w:val="000734C1"/>
    <w:rsid w:val="00074405"/>
    <w:rsid w:val="000749C6"/>
    <w:rsid w:val="00081415"/>
    <w:rsid w:val="000829BC"/>
    <w:rsid w:val="00085402"/>
    <w:rsid w:val="000854B8"/>
    <w:rsid w:val="000864BD"/>
    <w:rsid w:val="00086641"/>
    <w:rsid w:val="00086B9C"/>
    <w:rsid w:val="00090589"/>
    <w:rsid w:val="00091696"/>
    <w:rsid w:val="00091B49"/>
    <w:rsid w:val="000928CD"/>
    <w:rsid w:val="00093E90"/>
    <w:rsid w:val="00094BB5"/>
    <w:rsid w:val="00094ECC"/>
    <w:rsid w:val="00096A3D"/>
    <w:rsid w:val="000A257B"/>
    <w:rsid w:val="000A26CA"/>
    <w:rsid w:val="000A44B1"/>
    <w:rsid w:val="000A520A"/>
    <w:rsid w:val="000A5315"/>
    <w:rsid w:val="000B2504"/>
    <w:rsid w:val="000B3B85"/>
    <w:rsid w:val="000B680D"/>
    <w:rsid w:val="000B7098"/>
    <w:rsid w:val="000C0E0E"/>
    <w:rsid w:val="000C3300"/>
    <w:rsid w:val="000D1060"/>
    <w:rsid w:val="000D13CD"/>
    <w:rsid w:val="000D2FDB"/>
    <w:rsid w:val="000D5EE1"/>
    <w:rsid w:val="000D646A"/>
    <w:rsid w:val="000E6816"/>
    <w:rsid w:val="000F00E0"/>
    <w:rsid w:val="000F1943"/>
    <w:rsid w:val="000F24C7"/>
    <w:rsid w:val="000F6D3E"/>
    <w:rsid w:val="000F7A85"/>
    <w:rsid w:val="001019E7"/>
    <w:rsid w:val="00101C3F"/>
    <w:rsid w:val="00110380"/>
    <w:rsid w:val="00112A3E"/>
    <w:rsid w:val="00114EC3"/>
    <w:rsid w:val="00116E1C"/>
    <w:rsid w:val="0011768E"/>
    <w:rsid w:val="00120244"/>
    <w:rsid w:val="00123AA2"/>
    <w:rsid w:val="001302F5"/>
    <w:rsid w:val="001325FF"/>
    <w:rsid w:val="001337D6"/>
    <w:rsid w:val="00136327"/>
    <w:rsid w:val="00144E58"/>
    <w:rsid w:val="00146C5A"/>
    <w:rsid w:val="00151089"/>
    <w:rsid w:val="0015233D"/>
    <w:rsid w:val="0015565E"/>
    <w:rsid w:val="00156E7B"/>
    <w:rsid w:val="00157047"/>
    <w:rsid w:val="00161AF6"/>
    <w:rsid w:val="00163FD1"/>
    <w:rsid w:val="001664CC"/>
    <w:rsid w:val="001670CA"/>
    <w:rsid w:val="00170FFC"/>
    <w:rsid w:val="00172A27"/>
    <w:rsid w:val="001740C8"/>
    <w:rsid w:val="001741A6"/>
    <w:rsid w:val="0017512B"/>
    <w:rsid w:val="0018079E"/>
    <w:rsid w:val="00183358"/>
    <w:rsid w:val="0018588F"/>
    <w:rsid w:val="00186974"/>
    <w:rsid w:val="00191897"/>
    <w:rsid w:val="00194767"/>
    <w:rsid w:val="00195842"/>
    <w:rsid w:val="00195D4F"/>
    <w:rsid w:val="00196EC8"/>
    <w:rsid w:val="001A0695"/>
    <w:rsid w:val="001A26F3"/>
    <w:rsid w:val="001A346F"/>
    <w:rsid w:val="001A59B6"/>
    <w:rsid w:val="001A5BD3"/>
    <w:rsid w:val="001B4FAB"/>
    <w:rsid w:val="001B548F"/>
    <w:rsid w:val="001B576E"/>
    <w:rsid w:val="001B5FA9"/>
    <w:rsid w:val="001B7F67"/>
    <w:rsid w:val="001C2A62"/>
    <w:rsid w:val="001C5B45"/>
    <w:rsid w:val="001C621E"/>
    <w:rsid w:val="001D45CF"/>
    <w:rsid w:val="001D70F0"/>
    <w:rsid w:val="001D7BCE"/>
    <w:rsid w:val="001E3AC5"/>
    <w:rsid w:val="001F1738"/>
    <w:rsid w:val="001F441B"/>
    <w:rsid w:val="00200168"/>
    <w:rsid w:val="002025C2"/>
    <w:rsid w:val="0020436D"/>
    <w:rsid w:val="00205F75"/>
    <w:rsid w:val="00206F03"/>
    <w:rsid w:val="00207987"/>
    <w:rsid w:val="00212001"/>
    <w:rsid w:val="00213E36"/>
    <w:rsid w:val="002156E9"/>
    <w:rsid w:val="002176AB"/>
    <w:rsid w:val="0022038E"/>
    <w:rsid w:val="0022145E"/>
    <w:rsid w:val="00222577"/>
    <w:rsid w:val="00223A9F"/>
    <w:rsid w:val="00224F94"/>
    <w:rsid w:val="00236A13"/>
    <w:rsid w:val="00246082"/>
    <w:rsid w:val="00247A19"/>
    <w:rsid w:val="00251AE3"/>
    <w:rsid w:val="00252382"/>
    <w:rsid w:val="00257C04"/>
    <w:rsid w:val="00265B18"/>
    <w:rsid w:val="00270508"/>
    <w:rsid w:val="00270AB4"/>
    <w:rsid w:val="00280A38"/>
    <w:rsid w:val="0028546B"/>
    <w:rsid w:val="00286D76"/>
    <w:rsid w:val="00293987"/>
    <w:rsid w:val="002A134F"/>
    <w:rsid w:val="002A2FB3"/>
    <w:rsid w:val="002A33CC"/>
    <w:rsid w:val="002A581E"/>
    <w:rsid w:val="002A6593"/>
    <w:rsid w:val="002A6941"/>
    <w:rsid w:val="002A7095"/>
    <w:rsid w:val="002B070B"/>
    <w:rsid w:val="002B29FD"/>
    <w:rsid w:val="002B4CF0"/>
    <w:rsid w:val="002B7671"/>
    <w:rsid w:val="002B7AB2"/>
    <w:rsid w:val="002C00CD"/>
    <w:rsid w:val="002C1FC4"/>
    <w:rsid w:val="002C24BA"/>
    <w:rsid w:val="002C440E"/>
    <w:rsid w:val="002C4754"/>
    <w:rsid w:val="002C58DC"/>
    <w:rsid w:val="002C650A"/>
    <w:rsid w:val="002C76CF"/>
    <w:rsid w:val="002D2A87"/>
    <w:rsid w:val="002D2DA6"/>
    <w:rsid w:val="002D6658"/>
    <w:rsid w:val="002D6811"/>
    <w:rsid w:val="002D7BB8"/>
    <w:rsid w:val="002E05DC"/>
    <w:rsid w:val="002E3325"/>
    <w:rsid w:val="002F3064"/>
    <w:rsid w:val="00300BC8"/>
    <w:rsid w:val="00301EF2"/>
    <w:rsid w:val="00303DCF"/>
    <w:rsid w:val="00304C09"/>
    <w:rsid w:val="00310CDB"/>
    <w:rsid w:val="00315AD3"/>
    <w:rsid w:val="003212A8"/>
    <w:rsid w:val="00322F75"/>
    <w:rsid w:val="0032356A"/>
    <w:rsid w:val="00326106"/>
    <w:rsid w:val="00327B1D"/>
    <w:rsid w:val="00331138"/>
    <w:rsid w:val="00336C0C"/>
    <w:rsid w:val="003370FE"/>
    <w:rsid w:val="00341B57"/>
    <w:rsid w:val="003420B3"/>
    <w:rsid w:val="0034239E"/>
    <w:rsid w:val="00342B36"/>
    <w:rsid w:val="00342B7F"/>
    <w:rsid w:val="00347F63"/>
    <w:rsid w:val="00360B52"/>
    <w:rsid w:val="00363626"/>
    <w:rsid w:val="0036629C"/>
    <w:rsid w:val="00367065"/>
    <w:rsid w:val="003723EC"/>
    <w:rsid w:val="0037369C"/>
    <w:rsid w:val="00373F72"/>
    <w:rsid w:val="0037486F"/>
    <w:rsid w:val="0037728A"/>
    <w:rsid w:val="00381FD5"/>
    <w:rsid w:val="0038214C"/>
    <w:rsid w:val="00382A6E"/>
    <w:rsid w:val="00386520"/>
    <w:rsid w:val="00397A34"/>
    <w:rsid w:val="003A3D7E"/>
    <w:rsid w:val="003A4ABC"/>
    <w:rsid w:val="003B1713"/>
    <w:rsid w:val="003B488B"/>
    <w:rsid w:val="003C0583"/>
    <w:rsid w:val="003C21D6"/>
    <w:rsid w:val="003C2A5C"/>
    <w:rsid w:val="003C4372"/>
    <w:rsid w:val="003C5B13"/>
    <w:rsid w:val="003D1ACF"/>
    <w:rsid w:val="003D41EF"/>
    <w:rsid w:val="003D68C0"/>
    <w:rsid w:val="003D7330"/>
    <w:rsid w:val="003E6F48"/>
    <w:rsid w:val="003E7C35"/>
    <w:rsid w:val="003F0BE5"/>
    <w:rsid w:val="003F2257"/>
    <w:rsid w:val="003F2B0E"/>
    <w:rsid w:val="003F2C3C"/>
    <w:rsid w:val="00407B06"/>
    <w:rsid w:val="00411E44"/>
    <w:rsid w:val="00412000"/>
    <w:rsid w:val="00412743"/>
    <w:rsid w:val="004144EF"/>
    <w:rsid w:val="00415E9C"/>
    <w:rsid w:val="00416396"/>
    <w:rsid w:val="00417D8B"/>
    <w:rsid w:val="00421E87"/>
    <w:rsid w:val="004276D1"/>
    <w:rsid w:val="00427E1C"/>
    <w:rsid w:val="00436E32"/>
    <w:rsid w:val="00440598"/>
    <w:rsid w:val="00440CD9"/>
    <w:rsid w:val="004441AE"/>
    <w:rsid w:val="00450042"/>
    <w:rsid w:val="00451260"/>
    <w:rsid w:val="004546C0"/>
    <w:rsid w:val="00457606"/>
    <w:rsid w:val="00460EA8"/>
    <w:rsid w:val="00467101"/>
    <w:rsid w:val="00467BD4"/>
    <w:rsid w:val="00471464"/>
    <w:rsid w:val="00475851"/>
    <w:rsid w:val="00475D8F"/>
    <w:rsid w:val="00480775"/>
    <w:rsid w:val="00480D31"/>
    <w:rsid w:val="00484B9E"/>
    <w:rsid w:val="00487991"/>
    <w:rsid w:val="00492A0C"/>
    <w:rsid w:val="004931AA"/>
    <w:rsid w:val="00493EBA"/>
    <w:rsid w:val="004944A7"/>
    <w:rsid w:val="00495DFE"/>
    <w:rsid w:val="004A2891"/>
    <w:rsid w:val="004A35A6"/>
    <w:rsid w:val="004A669D"/>
    <w:rsid w:val="004B0282"/>
    <w:rsid w:val="004B23DE"/>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E5D38"/>
    <w:rsid w:val="004F400C"/>
    <w:rsid w:val="004F613D"/>
    <w:rsid w:val="004F7730"/>
    <w:rsid w:val="00503390"/>
    <w:rsid w:val="00503FE1"/>
    <w:rsid w:val="00505A03"/>
    <w:rsid w:val="0050669F"/>
    <w:rsid w:val="0051077A"/>
    <w:rsid w:val="00510C03"/>
    <w:rsid w:val="00513FAF"/>
    <w:rsid w:val="00517943"/>
    <w:rsid w:val="00520620"/>
    <w:rsid w:val="00522CAA"/>
    <w:rsid w:val="00526086"/>
    <w:rsid w:val="005269CB"/>
    <w:rsid w:val="005301E0"/>
    <w:rsid w:val="0053098E"/>
    <w:rsid w:val="00534938"/>
    <w:rsid w:val="005429D6"/>
    <w:rsid w:val="005507A4"/>
    <w:rsid w:val="00551E81"/>
    <w:rsid w:val="00556822"/>
    <w:rsid w:val="00557571"/>
    <w:rsid w:val="0056410D"/>
    <w:rsid w:val="005745F5"/>
    <w:rsid w:val="00575B7A"/>
    <w:rsid w:val="00576301"/>
    <w:rsid w:val="005767C8"/>
    <w:rsid w:val="005812D3"/>
    <w:rsid w:val="005839B0"/>
    <w:rsid w:val="00586720"/>
    <w:rsid w:val="0058696C"/>
    <w:rsid w:val="00593E40"/>
    <w:rsid w:val="005960D3"/>
    <w:rsid w:val="005A0AEF"/>
    <w:rsid w:val="005A1487"/>
    <w:rsid w:val="005A4111"/>
    <w:rsid w:val="005A5948"/>
    <w:rsid w:val="005A60F7"/>
    <w:rsid w:val="005B0990"/>
    <w:rsid w:val="005B1E85"/>
    <w:rsid w:val="005B3A63"/>
    <w:rsid w:val="005B7620"/>
    <w:rsid w:val="005C0C49"/>
    <w:rsid w:val="005C3659"/>
    <w:rsid w:val="005C4554"/>
    <w:rsid w:val="005C627C"/>
    <w:rsid w:val="005D1CE5"/>
    <w:rsid w:val="005D40FE"/>
    <w:rsid w:val="005D5F1C"/>
    <w:rsid w:val="005D69B1"/>
    <w:rsid w:val="005D6ACD"/>
    <w:rsid w:val="005D71B0"/>
    <w:rsid w:val="005E0004"/>
    <w:rsid w:val="005E260C"/>
    <w:rsid w:val="005E43B1"/>
    <w:rsid w:val="005F4D02"/>
    <w:rsid w:val="00601BF7"/>
    <w:rsid w:val="0060524B"/>
    <w:rsid w:val="00607654"/>
    <w:rsid w:val="006113CF"/>
    <w:rsid w:val="006132B9"/>
    <w:rsid w:val="006158DC"/>
    <w:rsid w:val="00615E88"/>
    <w:rsid w:val="0061645A"/>
    <w:rsid w:val="0062109A"/>
    <w:rsid w:val="0062126D"/>
    <w:rsid w:val="00621B09"/>
    <w:rsid w:val="006227BE"/>
    <w:rsid w:val="00624352"/>
    <w:rsid w:val="0063018F"/>
    <w:rsid w:val="00632A25"/>
    <w:rsid w:val="006353B4"/>
    <w:rsid w:val="006362B0"/>
    <w:rsid w:val="00642B4C"/>
    <w:rsid w:val="0064576F"/>
    <w:rsid w:val="00650ECD"/>
    <w:rsid w:val="006547BF"/>
    <w:rsid w:val="00660AE8"/>
    <w:rsid w:val="00664807"/>
    <w:rsid w:val="00665625"/>
    <w:rsid w:val="00666A24"/>
    <w:rsid w:val="00671CF7"/>
    <w:rsid w:val="00674BEE"/>
    <w:rsid w:val="00676B60"/>
    <w:rsid w:val="0067790A"/>
    <w:rsid w:val="006828EF"/>
    <w:rsid w:val="00683330"/>
    <w:rsid w:val="00685DDD"/>
    <w:rsid w:val="00690481"/>
    <w:rsid w:val="00690661"/>
    <w:rsid w:val="00692E2F"/>
    <w:rsid w:val="006A1EA6"/>
    <w:rsid w:val="006A2756"/>
    <w:rsid w:val="006A3E62"/>
    <w:rsid w:val="006A4ACB"/>
    <w:rsid w:val="006B09AC"/>
    <w:rsid w:val="006B3C32"/>
    <w:rsid w:val="006B41DC"/>
    <w:rsid w:val="006B4A6B"/>
    <w:rsid w:val="006B5748"/>
    <w:rsid w:val="006B5F4F"/>
    <w:rsid w:val="006B70D2"/>
    <w:rsid w:val="006C1791"/>
    <w:rsid w:val="006C631F"/>
    <w:rsid w:val="006D09EA"/>
    <w:rsid w:val="006E0279"/>
    <w:rsid w:val="006E3D7B"/>
    <w:rsid w:val="006E3FE7"/>
    <w:rsid w:val="006E430F"/>
    <w:rsid w:val="006E483B"/>
    <w:rsid w:val="006E6A04"/>
    <w:rsid w:val="006F3DCD"/>
    <w:rsid w:val="006F68AD"/>
    <w:rsid w:val="00702C0E"/>
    <w:rsid w:val="00706198"/>
    <w:rsid w:val="00712758"/>
    <w:rsid w:val="00714C4C"/>
    <w:rsid w:val="00715BAF"/>
    <w:rsid w:val="007168C9"/>
    <w:rsid w:val="007212FB"/>
    <w:rsid w:val="00726195"/>
    <w:rsid w:val="007268FD"/>
    <w:rsid w:val="0073084E"/>
    <w:rsid w:val="00731000"/>
    <w:rsid w:val="00732671"/>
    <w:rsid w:val="007353E7"/>
    <w:rsid w:val="00737C14"/>
    <w:rsid w:val="00741235"/>
    <w:rsid w:val="007472E9"/>
    <w:rsid w:val="007515C4"/>
    <w:rsid w:val="00755755"/>
    <w:rsid w:val="007635E7"/>
    <w:rsid w:val="00771B3B"/>
    <w:rsid w:val="00772250"/>
    <w:rsid w:val="0077769A"/>
    <w:rsid w:val="00777F77"/>
    <w:rsid w:val="00781022"/>
    <w:rsid w:val="007816DE"/>
    <w:rsid w:val="00783929"/>
    <w:rsid w:val="00785043"/>
    <w:rsid w:val="007865D6"/>
    <w:rsid w:val="00793DFB"/>
    <w:rsid w:val="00795CE5"/>
    <w:rsid w:val="007A02D3"/>
    <w:rsid w:val="007A1F1A"/>
    <w:rsid w:val="007A6607"/>
    <w:rsid w:val="007A7D0D"/>
    <w:rsid w:val="007B22A9"/>
    <w:rsid w:val="007B26AB"/>
    <w:rsid w:val="007C2E93"/>
    <w:rsid w:val="007C4817"/>
    <w:rsid w:val="007C5B30"/>
    <w:rsid w:val="007C66B3"/>
    <w:rsid w:val="007D140F"/>
    <w:rsid w:val="007D41C8"/>
    <w:rsid w:val="007D68B2"/>
    <w:rsid w:val="007E1DC9"/>
    <w:rsid w:val="007E360B"/>
    <w:rsid w:val="007E4794"/>
    <w:rsid w:val="007F0F99"/>
    <w:rsid w:val="007F7BCC"/>
    <w:rsid w:val="007F7E0C"/>
    <w:rsid w:val="008039B1"/>
    <w:rsid w:val="0080554F"/>
    <w:rsid w:val="00806276"/>
    <w:rsid w:val="008077FC"/>
    <w:rsid w:val="00812680"/>
    <w:rsid w:val="0081290A"/>
    <w:rsid w:val="008154F8"/>
    <w:rsid w:val="00820E85"/>
    <w:rsid w:val="008249A0"/>
    <w:rsid w:val="008256E0"/>
    <w:rsid w:val="008300B9"/>
    <w:rsid w:val="00834ADC"/>
    <w:rsid w:val="00837F30"/>
    <w:rsid w:val="00843022"/>
    <w:rsid w:val="008449D1"/>
    <w:rsid w:val="00852238"/>
    <w:rsid w:val="008556E9"/>
    <w:rsid w:val="008567B8"/>
    <w:rsid w:val="008604B8"/>
    <w:rsid w:val="00862964"/>
    <w:rsid w:val="0086450E"/>
    <w:rsid w:val="0087215E"/>
    <w:rsid w:val="00873150"/>
    <w:rsid w:val="00876DCA"/>
    <w:rsid w:val="008773D9"/>
    <w:rsid w:val="00877A82"/>
    <w:rsid w:val="00884033"/>
    <w:rsid w:val="00885D9E"/>
    <w:rsid w:val="00886DA9"/>
    <w:rsid w:val="00890027"/>
    <w:rsid w:val="0089021D"/>
    <w:rsid w:val="008941A8"/>
    <w:rsid w:val="008950FC"/>
    <w:rsid w:val="00895142"/>
    <w:rsid w:val="008A0F14"/>
    <w:rsid w:val="008A4F0E"/>
    <w:rsid w:val="008A57B7"/>
    <w:rsid w:val="008B0347"/>
    <w:rsid w:val="008B5DE6"/>
    <w:rsid w:val="008C0B9D"/>
    <w:rsid w:val="008C170C"/>
    <w:rsid w:val="008C67FC"/>
    <w:rsid w:val="008C6860"/>
    <w:rsid w:val="008D14C4"/>
    <w:rsid w:val="008D2636"/>
    <w:rsid w:val="008D4262"/>
    <w:rsid w:val="008D565A"/>
    <w:rsid w:val="008D666A"/>
    <w:rsid w:val="008D7387"/>
    <w:rsid w:val="008E0610"/>
    <w:rsid w:val="008E23BD"/>
    <w:rsid w:val="008E4432"/>
    <w:rsid w:val="008F025C"/>
    <w:rsid w:val="008F0C14"/>
    <w:rsid w:val="008F3065"/>
    <w:rsid w:val="008F3DC2"/>
    <w:rsid w:val="009002BC"/>
    <w:rsid w:val="009034DB"/>
    <w:rsid w:val="00905099"/>
    <w:rsid w:val="009078E1"/>
    <w:rsid w:val="009124F5"/>
    <w:rsid w:val="009141DA"/>
    <w:rsid w:val="0091594C"/>
    <w:rsid w:val="0091644E"/>
    <w:rsid w:val="00916F27"/>
    <w:rsid w:val="009202CA"/>
    <w:rsid w:val="00923FD9"/>
    <w:rsid w:val="0092553D"/>
    <w:rsid w:val="0092580D"/>
    <w:rsid w:val="00925D64"/>
    <w:rsid w:val="009271A1"/>
    <w:rsid w:val="0093017D"/>
    <w:rsid w:val="00931C19"/>
    <w:rsid w:val="00933328"/>
    <w:rsid w:val="00933FF5"/>
    <w:rsid w:val="00935537"/>
    <w:rsid w:val="0093756A"/>
    <w:rsid w:val="00937C3B"/>
    <w:rsid w:val="00937F86"/>
    <w:rsid w:val="0094012B"/>
    <w:rsid w:val="009405C8"/>
    <w:rsid w:val="00945398"/>
    <w:rsid w:val="00950DCC"/>
    <w:rsid w:val="00954806"/>
    <w:rsid w:val="00956014"/>
    <w:rsid w:val="009563B8"/>
    <w:rsid w:val="0097211C"/>
    <w:rsid w:val="00973CCF"/>
    <w:rsid w:val="00973CFC"/>
    <w:rsid w:val="00981715"/>
    <w:rsid w:val="00981EA7"/>
    <w:rsid w:val="009826D9"/>
    <w:rsid w:val="009833E8"/>
    <w:rsid w:val="00985B87"/>
    <w:rsid w:val="00986993"/>
    <w:rsid w:val="00990380"/>
    <w:rsid w:val="00994E2B"/>
    <w:rsid w:val="009B640D"/>
    <w:rsid w:val="009C1641"/>
    <w:rsid w:val="009C1815"/>
    <w:rsid w:val="009C1E45"/>
    <w:rsid w:val="009C3599"/>
    <w:rsid w:val="009C4A93"/>
    <w:rsid w:val="009D02F1"/>
    <w:rsid w:val="009D1DF4"/>
    <w:rsid w:val="009D26B5"/>
    <w:rsid w:val="009D2780"/>
    <w:rsid w:val="009D43AA"/>
    <w:rsid w:val="009D5101"/>
    <w:rsid w:val="009D7296"/>
    <w:rsid w:val="009D7626"/>
    <w:rsid w:val="009E2358"/>
    <w:rsid w:val="009F1033"/>
    <w:rsid w:val="009F596B"/>
    <w:rsid w:val="00A011EA"/>
    <w:rsid w:val="00A05FC7"/>
    <w:rsid w:val="00A11EE6"/>
    <w:rsid w:val="00A128AF"/>
    <w:rsid w:val="00A17796"/>
    <w:rsid w:val="00A2007A"/>
    <w:rsid w:val="00A21FFC"/>
    <w:rsid w:val="00A248DE"/>
    <w:rsid w:val="00A325C7"/>
    <w:rsid w:val="00A37EC9"/>
    <w:rsid w:val="00A37FA9"/>
    <w:rsid w:val="00A410F5"/>
    <w:rsid w:val="00A426C8"/>
    <w:rsid w:val="00A51635"/>
    <w:rsid w:val="00A52293"/>
    <w:rsid w:val="00A54E30"/>
    <w:rsid w:val="00A71698"/>
    <w:rsid w:val="00A720FE"/>
    <w:rsid w:val="00A74266"/>
    <w:rsid w:val="00A82462"/>
    <w:rsid w:val="00A86E65"/>
    <w:rsid w:val="00A874E9"/>
    <w:rsid w:val="00A904CC"/>
    <w:rsid w:val="00A9111B"/>
    <w:rsid w:val="00A96B4F"/>
    <w:rsid w:val="00AA5AED"/>
    <w:rsid w:val="00AA68A2"/>
    <w:rsid w:val="00AB1BAE"/>
    <w:rsid w:val="00AB3E61"/>
    <w:rsid w:val="00AB40DB"/>
    <w:rsid w:val="00AB7180"/>
    <w:rsid w:val="00AB736B"/>
    <w:rsid w:val="00AC1399"/>
    <w:rsid w:val="00AC28E3"/>
    <w:rsid w:val="00AC5FEA"/>
    <w:rsid w:val="00AC68FB"/>
    <w:rsid w:val="00AC7F1A"/>
    <w:rsid w:val="00AD1707"/>
    <w:rsid w:val="00AD4CA5"/>
    <w:rsid w:val="00AD5927"/>
    <w:rsid w:val="00AE0466"/>
    <w:rsid w:val="00AE701D"/>
    <w:rsid w:val="00AE7549"/>
    <w:rsid w:val="00AE7F78"/>
    <w:rsid w:val="00AF7CA7"/>
    <w:rsid w:val="00B00A00"/>
    <w:rsid w:val="00B0731E"/>
    <w:rsid w:val="00B12500"/>
    <w:rsid w:val="00B15B88"/>
    <w:rsid w:val="00B1709C"/>
    <w:rsid w:val="00B222CB"/>
    <w:rsid w:val="00B2244A"/>
    <w:rsid w:val="00B22C29"/>
    <w:rsid w:val="00B23DD2"/>
    <w:rsid w:val="00B244B0"/>
    <w:rsid w:val="00B261F9"/>
    <w:rsid w:val="00B353DE"/>
    <w:rsid w:val="00B403F3"/>
    <w:rsid w:val="00B46D0E"/>
    <w:rsid w:val="00B50E69"/>
    <w:rsid w:val="00B52A53"/>
    <w:rsid w:val="00B53549"/>
    <w:rsid w:val="00B61578"/>
    <w:rsid w:val="00B61F6A"/>
    <w:rsid w:val="00B63E2D"/>
    <w:rsid w:val="00B63E3B"/>
    <w:rsid w:val="00B6459B"/>
    <w:rsid w:val="00B65B2B"/>
    <w:rsid w:val="00B7285E"/>
    <w:rsid w:val="00B74DF6"/>
    <w:rsid w:val="00B75749"/>
    <w:rsid w:val="00B7574A"/>
    <w:rsid w:val="00B75770"/>
    <w:rsid w:val="00B80066"/>
    <w:rsid w:val="00B810FF"/>
    <w:rsid w:val="00B813C9"/>
    <w:rsid w:val="00B819C0"/>
    <w:rsid w:val="00B832B4"/>
    <w:rsid w:val="00B83C20"/>
    <w:rsid w:val="00B8682C"/>
    <w:rsid w:val="00B91785"/>
    <w:rsid w:val="00B94EAA"/>
    <w:rsid w:val="00BA1264"/>
    <w:rsid w:val="00BA1E07"/>
    <w:rsid w:val="00BA3F05"/>
    <w:rsid w:val="00BA4044"/>
    <w:rsid w:val="00BA7189"/>
    <w:rsid w:val="00BB16AB"/>
    <w:rsid w:val="00BC0324"/>
    <w:rsid w:val="00BC1919"/>
    <w:rsid w:val="00BC3C3C"/>
    <w:rsid w:val="00BD0FFD"/>
    <w:rsid w:val="00BD3879"/>
    <w:rsid w:val="00BE1722"/>
    <w:rsid w:val="00BE48BE"/>
    <w:rsid w:val="00BF01C3"/>
    <w:rsid w:val="00BF02C3"/>
    <w:rsid w:val="00BF0FC6"/>
    <w:rsid w:val="00BF5086"/>
    <w:rsid w:val="00BF5F55"/>
    <w:rsid w:val="00BF7F74"/>
    <w:rsid w:val="00C060D6"/>
    <w:rsid w:val="00C106D4"/>
    <w:rsid w:val="00C11BA9"/>
    <w:rsid w:val="00C11CE1"/>
    <w:rsid w:val="00C15294"/>
    <w:rsid w:val="00C163FF"/>
    <w:rsid w:val="00C174E7"/>
    <w:rsid w:val="00C2478C"/>
    <w:rsid w:val="00C25084"/>
    <w:rsid w:val="00C26042"/>
    <w:rsid w:val="00C31016"/>
    <w:rsid w:val="00C35ACF"/>
    <w:rsid w:val="00C4116C"/>
    <w:rsid w:val="00C41464"/>
    <w:rsid w:val="00C41D27"/>
    <w:rsid w:val="00C463AE"/>
    <w:rsid w:val="00C4680C"/>
    <w:rsid w:val="00C46B90"/>
    <w:rsid w:val="00C46CF6"/>
    <w:rsid w:val="00C474B8"/>
    <w:rsid w:val="00C537EC"/>
    <w:rsid w:val="00C543C0"/>
    <w:rsid w:val="00C5522C"/>
    <w:rsid w:val="00C6454E"/>
    <w:rsid w:val="00C65D27"/>
    <w:rsid w:val="00C6787E"/>
    <w:rsid w:val="00C71746"/>
    <w:rsid w:val="00C71954"/>
    <w:rsid w:val="00C74533"/>
    <w:rsid w:val="00C762CB"/>
    <w:rsid w:val="00C7681E"/>
    <w:rsid w:val="00C77074"/>
    <w:rsid w:val="00C82739"/>
    <w:rsid w:val="00C83BC9"/>
    <w:rsid w:val="00C83D2E"/>
    <w:rsid w:val="00C85391"/>
    <w:rsid w:val="00C86968"/>
    <w:rsid w:val="00C9550F"/>
    <w:rsid w:val="00C97E4E"/>
    <w:rsid w:val="00CA0672"/>
    <w:rsid w:val="00CA0847"/>
    <w:rsid w:val="00CA0D11"/>
    <w:rsid w:val="00CA0D50"/>
    <w:rsid w:val="00CA170A"/>
    <w:rsid w:val="00CA17D5"/>
    <w:rsid w:val="00CA4004"/>
    <w:rsid w:val="00CB02EF"/>
    <w:rsid w:val="00CB0622"/>
    <w:rsid w:val="00CB78A2"/>
    <w:rsid w:val="00CB7A49"/>
    <w:rsid w:val="00CC18F5"/>
    <w:rsid w:val="00CC21DA"/>
    <w:rsid w:val="00CC2BBE"/>
    <w:rsid w:val="00CC4A1F"/>
    <w:rsid w:val="00CC781E"/>
    <w:rsid w:val="00CC7E9F"/>
    <w:rsid w:val="00CD469E"/>
    <w:rsid w:val="00CD54AB"/>
    <w:rsid w:val="00CD56D5"/>
    <w:rsid w:val="00CD76A3"/>
    <w:rsid w:val="00CE1E81"/>
    <w:rsid w:val="00CE2166"/>
    <w:rsid w:val="00CE70B2"/>
    <w:rsid w:val="00CE79AA"/>
    <w:rsid w:val="00CF09ED"/>
    <w:rsid w:val="00CF1936"/>
    <w:rsid w:val="00CF20C5"/>
    <w:rsid w:val="00CF3A78"/>
    <w:rsid w:val="00CF5D7A"/>
    <w:rsid w:val="00CF62CB"/>
    <w:rsid w:val="00CF7273"/>
    <w:rsid w:val="00CF7C4A"/>
    <w:rsid w:val="00D00EA8"/>
    <w:rsid w:val="00D02838"/>
    <w:rsid w:val="00D02BC5"/>
    <w:rsid w:val="00D03761"/>
    <w:rsid w:val="00D075D0"/>
    <w:rsid w:val="00D2356F"/>
    <w:rsid w:val="00D23640"/>
    <w:rsid w:val="00D26C7D"/>
    <w:rsid w:val="00D27183"/>
    <w:rsid w:val="00D27725"/>
    <w:rsid w:val="00D27DEA"/>
    <w:rsid w:val="00D31B04"/>
    <w:rsid w:val="00D514B2"/>
    <w:rsid w:val="00D52EE1"/>
    <w:rsid w:val="00D5419F"/>
    <w:rsid w:val="00D63B3F"/>
    <w:rsid w:val="00D65228"/>
    <w:rsid w:val="00D663BA"/>
    <w:rsid w:val="00D722E5"/>
    <w:rsid w:val="00D7492F"/>
    <w:rsid w:val="00D7587F"/>
    <w:rsid w:val="00D77A81"/>
    <w:rsid w:val="00D90069"/>
    <w:rsid w:val="00D90654"/>
    <w:rsid w:val="00D90954"/>
    <w:rsid w:val="00D93CA7"/>
    <w:rsid w:val="00D955C4"/>
    <w:rsid w:val="00D963B5"/>
    <w:rsid w:val="00DA4170"/>
    <w:rsid w:val="00DA649C"/>
    <w:rsid w:val="00DB2511"/>
    <w:rsid w:val="00DB2611"/>
    <w:rsid w:val="00DB3311"/>
    <w:rsid w:val="00DB5086"/>
    <w:rsid w:val="00DB6E55"/>
    <w:rsid w:val="00DB7C7E"/>
    <w:rsid w:val="00DC178C"/>
    <w:rsid w:val="00DC4C8F"/>
    <w:rsid w:val="00DD0C58"/>
    <w:rsid w:val="00DD4886"/>
    <w:rsid w:val="00DD5E07"/>
    <w:rsid w:val="00DD6401"/>
    <w:rsid w:val="00DE2836"/>
    <w:rsid w:val="00DF2BF0"/>
    <w:rsid w:val="00DF50DE"/>
    <w:rsid w:val="00DF6901"/>
    <w:rsid w:val="00DF7061"/>
    <w:rsid w:val="00E02B5F"/>
    <w:rsid w:val="00E0351E"/>
    <w:rsid w:val="00E061E2"/>
    <w:rsid w:val="00E10368"/>
    <w:rsid w:val="00E10BED"/>
    <w:rsid w:val="00E110CD"/>
    <w:rsid w:val="00E15D70"/>
    <w:rsid w:val="00E20C65"/>
    <w:rsid w:val="00E23C7A"/>
    <w:rsid w:val="00E24759"/>
    <w:rsid w:val="00E24DE1"/>
    <w:rsid w:val="00E34F1B"/>
    <w:rsid w:val="00E35DA7"/>
    <w:rsid w:val="00E37B8C"/>
    <w:rsid w:val="00E41920"/>
    <w:rsid w:val="00E440BD"/>
    <w:rsid w:val="00E4462C"/>
    <w:rsid w:val="00E46EEB"/>
    <w:rsid w:val="00E47566"/>
    <w:rsid w:val="00E50376"/>
    <w:rsid w:val="00E525C0"/>
    <w:rsid w:val="00E669D1"/>
    <w:rsid w:val="00E70704"/>
    <w:rsid w:val="00E73041"/>
    <w:rsid w:val="00E774FE"/>
    <w:rsid w:val="00E85EA8"/>
    <w:rsid w:val="00E91F2D"/>
    <w:rsid w:val="00E92CB5"/>
    <w:rsid w:val="00E94E14"/>
    <w:rsid w:val="00E97FD4"/>
    <w:rsid w:val="00EA08DA"/>
    <w:rsid w:val="00EA0FB7"/>
    <w:rsid w:val="00EA356D"/>
    <w:rsid w:val="00EB0ADA"/>
    <w:rsid w:val="00EB2CCB"/>
    <w:rsid w:val="00EB3ACE"/>
    <w:rsid w:val="00EB3DCC"/>
    <w:rsid w:val="00EB48A6"/>
    <w:rsid w:val="00EB5EFD"/>
    <w:rsid w:val="00EB7E8A"/>
    <w:rsid w:val="00EC1F8A"/>
    <w:rsid w:val="00EC5DB1"/>
    <w:rsid w:val="00ED32AA"/>
    <w:rsid w:val="00EE2AA0"/>
    <w:rsid w:val="00EE313D"/>
    <w:rsid w:val="00EE44DC"/>
    <w:rsid w:val="00EF42A8"/>
    <w:rsid w:val="00EF4BCD"/>
    <w:rsid w:val="00F06BF3"/>
    <w:rsid w:val="00F06E68"/>
    <w:rsid w:val="00F111D0"/>
    <w:rsid w:val="00F1165C"/>
    <w:rsid w:val="00F15662"/>
    <w:rsid w:val="00F15FAA"/>
    <w:rsid w:val="00F22269"/>
    <w:rsid w:val="00F249A7"/>
    <w:rsid w:val="00F251DE"/>
    <w:rsid w:val="00F26376"/>
    <w:rsid w:val="00F30298"/>
    <w:rsid w:val="00F3029E"/>
    <w:rsid w:val="00F32031"/>
    <w:rsid w:val="00F32F54"/>
    <w:rsid w:val="00F37939"/>
    <w:rsid w:val="00F400A4"/>
    <w:rsid w:val="00F4335D"/>
    <w:rsid w:val="00F52EE4"/>
    <w:rsid w:val="00F6132A"/>
    <w:rsid w:val="00F61537"/>
    <w:rsid w:val="00F6172F"/>
    <w:rsid w:val="00F66FB2"/>
    <w:rsid w:val="00F67CEB"/>
    <w:rsid w:val="00F816B6"/>
    <w:rsid w:val="00F8251B"/>
    <w:rsid w:val="00F8641B"/>
    <w:rsid w:val="00F87182"/>
    <w:rsid w:val="00F907E3"/>
    <w:rsid w:val="00F931B4"/>
    <w:rsid w:val="00FA1603"/>
    <w:rsid w:val="00FA2AB7"/>
    <w:rsid w:val="00FB185F"/>
    <w:rsid w:val="00FB1D44"/>
    <w:rsid w:val="00FB21C7"/>
    <w:rsid w:val="00FB5C5D"/>
    <w:rsid w:val="00FB7BB8"/>
    <w:rsid w:val="00FC0483"/>
    <w:rsid w:val="00FC5891"/>
    <w:rsid w:val="00FD440F"/>
    <w:rsid w:val="00FD52EF"/>
    <w:rsid w:val="00FD7284"/>
    <w:rsid w:val="00FE0F29"/>
    <w:rsid w:val="00FE6ED6"/>
    <w:rsid w:val="00FE7F88"/>
    <w:rsid w:val="00FF26A5"/>
    <w:rsid w:val="00FF309F"/>
    <w:rsid w:val="00FF4A8D"/>
    <w:rsid w:val="017C3055"/>
    <w:rsid w:val="02B07FF7"/>
    <w:rsid w:val="03733BDF"/>
    <w:rsid w:val="03A308DC"/>
    <w:rsid w:val="040532BA"/>
    <w:rsid w:val="04176582"/>
    <w:rsid w:val="04BD0DEC"/>
    <w:rsid w:val="051259ED"/>
    <w:rsid w:val="07041580"/>
    <w:rsid w:val="07932A4C"/>
    <w:rsid w:val="08DB1CFF"/>
    <w:rsid w:val="0A9E30AD"/>
    <w:rsid w:val="0BEB3B44"/>
    <w:rsid w:val="0C0644C0"/>
    <w:rsid w:val="0C3477A1"/>
    <w:rsid w:val="10D62AA4"/>
    <w:rsid w:val="10FD5DDB"/>
    <w:rsid w:val="13552B79"/>
    <w:rsid w:val="13793DF7"/>
    <w:rsid w:val="141C4A83"/>
    <w:rsid w:val="14354A58"/>
    <w:rsid w:val="14677422"/>
    <w:rsid w:val="152E6B10"/>
    <w:rsid w:val="15BF1042"/>
    <w:rsid w:val="1656732A"/>
    <w:rsid w:val="181939B9"/>
    <w:rsid w:val="184C799B"/>
    <w:rsid w:val="18D74DC1"/>
    <w:rsid w:val="18FE668A"/>
    <w:rsid w:val="1AED58EF"/>
    <w:rsid w:val="1F397F3B"/>
    <w:rsid w:val="1F3A0BB5"/>
    <w:rsid w:val="1FA92FCB"/>
    <w:rsid w:val="20193BC8"/>
    <w:rsid w:val="202030C1"/>
    <w:rsid w:val="210123D1"/>
    <w:rsid w:val="220D398C"/>
    <w:rsid w:val="2301566F"/>
    <w:rsid w:val="24165293"/>
    <w:rsid w:val="2482721D"/>
    <w:rsid w:val="24A10BF5"/>
    <w:rsid w:val="24D70B68"/>
    <w:rsid w:val="26AB07CC"/>
    <w:rsid w:val="26DD21DC"/>
    <w:rsid w:val="287B63A6"/>
    <w:rsid w:val="29613C02"/>
    <w:rsid w:val="29B82494"/>
    <w:rsid w:val="2A397C18"/>
    <w:rsid w:val="2A5015D5"/>
    <w:rsid w:val="2AF63392"/>
    <w:rsid w:val="2BA67492"/>
    <w:rsid w:val="2C66791C"/>
    <w:rsid w:val="2D221D01"/>
    <w:rsid w:val="2D676A80"/>
    <w:rsid w:val="2D7A3266"/>
    <w:rsid w:val="2F5F2B72"/>
    <w:rsid w:val="312513B2"/>
    <w:rsid w:val="31B042BF"/>
    <w:rsid w:val="31F12401"/>
    <w:rsid w:val="31FF5F72"/>
    <w:rsid w:val="32035D60"/>
    <w:rsid w:val="326E6953"/>
    <w:rsid w:val="33523A32"/>
    <w:rsid w:val="34B524C1"/>
    <w:rsid w:val="35CF4C10"/>
    <w:rsid w:val="36B85FBC"/>
    <w:rsid w:val="36D23A94"/>
    <w:rsid w:val="37607F59"/>
    <w:rsid w:val="376940D0"/>
    <w:rsid w:val="38204506"/>
    <w:rsid w:val="39321D68"/>
    <w:rsid w:val="3A3E6C3C"/>
    <w:rsid w:val="3BAE6CD9"/>
    <w:rsid w:val="3C3000ED"/>
    <w:rsid w:val="3D232399"/>
    <w:rsid w:val="3D2E2D19"/>
    <w:rsid w:val="3D31181A"/>
    <w:rsid w:val="3DC87CB2"/>
    <w:rsid w:val="3E2A287A"/>
    <w:rsid w:val="3F1749BD"/>
    <w:rsid w:val="3F4F365B"/>
    <w:rsid w:val="3F9A5B70"/>
    <w:rsid w:val="41093759"/>
    <w:rsid w:val="41380196"/>
    <w:rsid w:val="41415EFF"/>
    <w:rsid w:val="41D026B4"/>
    <w:rsid w:val="41F77A77"/>
    <w:rsid w:val="442A6307"/>
    <w:rsid w:val="452567EA"/>
    <w:rsid w:val="46886BA6"/>
    <w:rsid w:val="48524AAD"/>
    <w:rsid w:val="490552AA"/>
    <w:rsid w:val="4B7A4CDC"/>
    <w:rsid w:val="4C5440D8"/>
    <w:rsid w:val="4FFA680C"/>
    <w:rsid w:val="50981A4B"/>
    <w:rsid w:val="50A32F39"/>
    <w:rsid w:val="51962A3D"/>
    <w:rsid w:val="51C755AF"/>
    <w:rsid w:val="52330F46"/>
    <w:rsid w:val="52390069"/>
    <w:rsid w:val="528D1696"/>
    <w:rsid w:val="52CB2821"/>
    <w:rsid w:val="542F765C"/>
    <w:rsid w:val="54914939"/>
    <w:rsid w:val="54EB5EC1"/>
    <w:rsid w:val="554D13F6"/>
    <w:rsid w:val="561C77C7"/>
    <w:rsid w:val="570606C5"/>
    <w:rsid w:val="57580486"/>
    <w:rsid w:val="59DA41E0"/>
    <w:rsid w:val="5A2424B3"/>
    <w:rsid w:val="5A3906A0"/>
    <w:rsid w:val="5A9919E3"/>
    <w:rsid w:val="5B2A7B0A"/>
    <w:rsid w:val="5B417B6B"/>
    <w:rsid w:val="5B54373E"/>
    <w:rsid w:val="5BC745F2"/>
    <w:rsid w:val="5CA161B2"/>
    <w:rsid w:val="5EE21916"/>
    <w:rsid w:val="5F4417E0"/>
    <w:rsid w:val="5F88669E"/>
    <w:rsid w:val="622F04A1"/>
    <w:rsid w:val="62707B3A"/>
    <w:rsid w:val="645C0879"/>
    <w:rsid w:val="64741C1C"/>
    <w:rsid w:val="648C064A"/>
    <w:rsid w:val="64C3600D"/>
    <w:rsid w:val="656B3097"/>
    <w:rsid w:val="66AB4942"/>
    <w:rsid w:val="687951D6"/>
    <w:rsid w:val="68AB69AF"/>
    <w:rsid w:val="68D653C8"/>
    <w:rsid w:val="68D85250"/>
    <w:rsid w:val="698D4180"/>
    <w:rsid w:val="6B1B42E7"/>
    <w:rsid w:val="6C0C7CBB"/>
    <w:rsid w:val="6D1F0B58"/>
    <w:rsid w:val="6D3654A5"/>
    <w:rsid w:val="6EB24C26"/>
    <w:rsid w:val="70ED4360"/>
    <w:rsid w:val="717669ED"/>
    <w:rsid w:val="736D76AA"/>
    <w:rsid w:val="74170E85"/>
    <w:rsid w:val="75DC35E9"/>
    <w:rsid w:val="766316B8"/>
    <w:rsid w:val="77FA11D3"/>
    <w:rsid w:val="78732ED1"/>
    <w:rsid w:val="789E6834"/>
    <w:rsid w:val="79DD67E6"/>
    <w:rsid w:val="7BCF79D9"/>
    <w:rsid w:val="7C1A4C7A"/>
    <w:rsid w:val="7C444892"/>
    <w:rsid w:val="7C9A7E43"/>
    <w:rsid w:val="7CAE7448"/>
    <w:rsid w:val="7D4770DF"/>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0">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11">
    <w:name w:val="heading 2"/>
    <w:basedOn w:val="1"/>
    <w:next w:val="1"/>
    <w:autoRedefine/>
    <w:qFormat/>
    <w:uiPriority w:val="0"/>
    <w:pPr>
      <w:spacing w:line="0" w:lineRule="atLeast"/>
      <w:jc w:val="center"/>
      <w:outlineLvl w:val="1"/>
    </w:pPr>
    <w:rPr>
      <w:kern w:val="0"/>
      <w:sz w:val="28"/>
    </w:rPr>
  </w:style>
  <w:style w:type="paragraph" w:styleId="12">
    <w:name w:val="heading 3"/>
    <w:basedOn w:val="1"/>
    <w:next w:val="1"/>
    <w:link w:val="43"/>
    <w:autoRedefine/>
    <w:qFormat/>
    <w:uiPriority w:val="0"/>
    <w:pPr>
      <w:keepNext/>
      <w:keepLines/>
      <w:spacing w:before="260" w:after="260" w:line="416" w:lineRule="auto"/>
      <w:outlineLvl w:val="2"/>
    </w:pPr>
    <w:rPr>
      <w:b/>
      <w:bCs/>
      <w:sz w:val="32"/>
      <w:szCs w:val="32"/>
    </w:rPr>
  </w:style>
  <w:style w:type="paragraph" w:styleId="13">
    <w:name w:val="heading 4"/>
    <w:basedOn w:val="1"/>
    <w:next w:val="1"/>
    <w:autoRedefine/>
    <w:qFormat/>
    <w:uiPriority w:val="0"/>
    <w:pPr>
      <w:keepNext/>
      <w:keepLines/>
      <w:tabs>
        <w:tab w:val="left" w:pos="420"/>
      </w:tabs>
      <w:outlineLvl w:val="3"/>
    </w:pPr>
    <w:rPr>
      <w:rFonts w:ascii="宋体" w:hAnsi="宋体" w:cs="宋体"/>
      <w:b/>
      <w:bCs/>
      <w:sz w:val="30"/>
      <w:szCs w:val="30"/>
    </w:rPr>
  </w:style>
  <w:style w:type="character" w:default="1" w:styleId="32">
    <w:name w:val="Default Paragraph Font"/>
    <w:autoRedefine/>
    <w:semiHidden/>
    <w:unhideWhenUsed/>
    <w:qFormat/>
    <w:uiPriority w:val="1"/>
  </w:style>
  <w:style w:type="table" w:default="1" w:styleId="30">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w:basedOn w:val="3"/>
    <w:next w:val="6"/>
    <w:link w:val="47"/>
    <w:autoRedefine/>
    <w:qFormat/>
    <w:uiPriority w:val="0"/>
    <w:pPr>
      <w:ind w:firstLine="420" w:firstLineChars="100"/>
    </w:pPr>
  </w:style>
  <w:style w:type="paragraph" w:styleId="3">
    <w:name w:val="Body Text"/>
    <w:basedOn w:val="1"/>
    <w:next w:val="4"/>
    <w:link w:val="48"/>
    <w:autoRedefine/>
    <w:qFormat/>
    <w:uiPriority w:val="99"/>
    <w:pPr>
      <w:spacing w:after="120"/>
    </w:pPr>
  </w:style>
  <w:style w:type="paragraph" w:customStyle="1" w:styleId="4">
    <w:name w:val="style4"/>
    <w:basedOn w:val="1"/>
    <w:next w:val="5"/>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5">
    <w:name w:val="2"/>
    <w:basedOn w:val="1"/>
    <w:next w:val="1"/>
    <w:autoRedefine/>
    <w:qFormat/>
    <w:uiPriority w:val="0"/>
    <w:pPr>
      <w:adjustRightInd w:val="0"/>
      <w:spacing w:line="420" w:lineRule="atLeast"/>
      <w:ind w:left="1134" w:hanging="227"/>
      <w:textAlignment w:val="baseline"/>
    </w:pPr>
    <w:rPr>
      <w:kern w:val="0"/>
      <w:szCs w:val="20"/>
    </w:rPr>
  </w:style>
  <w:style w:type="paragraph" w:styleId="6">
    <w:name w:val="Body Text First Indent 2"/>
    <w:basedOn w:val="7"/>
    <w:next w:val="9"/>
    <w:autoRedefine/>
    <w:qFormat/>
    <w:uiPriority w:val="99"/>
    <w:pPr>
      <w:tabs>
        <w:tab w:val="left" w:pos="0"/>
        <w:tab w:val="left" w:pos="993"/>
        <w:tab w:val="left" w:pos="1134"/>
      </w:tabs>
      <w:ind w:firstLine="420"/>
    </w:pPr>
  </w:style>
  <w:style w:type="paragraph" w:styleId="7">
    <w:name w:val="Body Text Indent"/>
    <w:basedOn w:val="1"/>
    <w:next w:val="8"/>
    <w:autoRedefine/>
    <w:qFormat/>
    <w:uiPriority w:val="0"/>
    <w:pPr>
      <w:ind w:firstLine="632" w:firstLineChars="200"/>
    </w:pPr>
    <w:rPr>
      <w:rFonts w:ascii="仿宋_GB2312" w:hAnsi="华文楷体" w:eastAsia="仿宋_GB2312"/>
      <w:sz w:val="32"/>
    </w:rPr>
  </w:style>
  <w:style w:type="paragraph" w:styleId="8">
    <w:name w:val="envelope return"/>
    <w:basedOn w:val="1"/>
    <w:autoRedefine/>
    <w:qFormat/>
    <w:uiPriority w:val="99"/>
    <w:pPr>
      <w:snapToGrid w:val="0"/>
    </w:pPr>
    <w:rPr>
      <w:rFonts w:ascii="Arial" w:hAnsi="Arial"/>
    </w:rPr>
  </w:style>
  <w:style w:type="paragraph" w:customStyle="1" w:styleId="9">
    <w:name w:val="样式 正文首行缩进 2 + Arial"/>
    <w:basedOn w:val="1"/>
    <w:next w:val="1"/>
    <w:autoRedefine/>
    <w:qFormat/>
    <w:uiPriority w:val="0"/>
    <w:pPr>
      <w:spacing w:after="120" w:line="320" w:lineRule="atLeast"/>
      <w:ind w:firstLine="200" w:firstLineChars="200"/>
    </w:pPr>
    <w:rPr>
      <w:rFonts w:ascii="Arial" w:hAnsi="Arial"/>
      <w:kern w:val="0"/>
    </w:rPr>
  </w:style>
  <w:style w:type="paragraph" w:styleId="14">
    <w:name w:val="caption"/>
    <w:basedOn w:val="1"/>
    <w:next w:val="1"/>
    <w:autoRedefine/>
    <w:qFormat/>
    <w:uiPriority w:val="0"/>
    <w:rPr>
      <w:rFonts w:ascii="Cambria" w:hAnsi="Cambria" w:eastAsia="黑体"/>
      <w:sz w:val="20"/>
    </w:rPr>
  </w:style>
  <w:style w:type="paragraph" w:styleId="15">
    <w:name w:val="Document Map"/>
    <w:basedOn w:val="1"/>
    <w:link w:val="51"/>
    <w:autoRedefine/>
    <w:qFormat/>
    <w:uiPriority w:val="0"/>
    <w:rPr>
      <w:rFonts w:ascii="宋体"/>
      <w:sz w:val="18"/>
      <w:szCs w:val="18"/>
    </w:rPr>
  </w:style>
  <w:style w:type="paragraph" w:styleId="16">
    <w:name w:val="annotation text"/>
    <w:basedOn w:val="1"/>
    <w:link w:val="50"/>
    <w:autoRedefine/>
    <w:qFormat/>
    <w:uiPriority w:val="0"/>
    <w:pPr>
      <w:jc w:val="left"/>
    </w:pPr>
  </w:style>
  <w:style w:type="paragraph" w:styleId="17">
    <w:name w:val="Body Text 3"/>
    <w:basedOn w:val="1"/>
    <w:autoRedefine/>
    <w:qFormat/>
    <w:uiPriority w:val="0"/>
    <w:pPr>
      <w:spacing w:after="120"/>
    </w:pPr>
    <w:rPr>
      <w:sz w:val="16"/>
      <w:szCs w:val="16"/>
    </w:rPr>
  </w:style>
  <w:style w:type="paragraph" w:styleId="18">
    <w:name w:val="List 2"/>
    <w:basedOn w:val="1"/>
    <w:autoRedefine/>
    <w:qFormat/>
    <w:uiPriority w:val="0"/>
    <w:pPr>
      <w:ind w:left="400" w:leftChars="200" w:hanging="200" w:hangingChars="200"/>
    </w:pPr>
  </w:style>
  <w:style w:type="paragraph" w:styleId="19">
    <w:name w:val="Plain Text"/>
    <w:basedOn w:val="1"/>
    <w:link w:val="56"/>
    <w:autoRedefine/>
    <w:qFormat/>
    <w:uiPriority w:val="99"/>
    <w:rPr>
      <w:rFonts w:ascii="宋体" w:hAnsi="Courier New"/>
      <w:szCs w:val="20"/>
    </w:rPr>
  </w:style>
  <w:style w:type="paragraph" w:styleId="20">
    <w:name w:val="Date"/>
    <w:basedOn w:val="1"/>
    <w:next w:val="1"/>
    <w:link w:val="52"/>
    <w:autoRedefine/>
    <w:qFormat/>
    <w:uiPriority w:val="0"/>
    <w:pPr>
      <w:ind w:left="100" w:leftChars="2500"/>
    </w:pPr>
  </w:style>
  <w:style w:type="paragraph" w:styleId="21">
    <w:name w:val="Body Text Indent 2"/>
    <w:basedOn w:val="1"/>
    <w:autoRedefine/>
    <w:qFormat/>
    <w:uiPriority w:val="0"/>
    <w:pPr>
      <w:spacing w:after="120" w:line="480" w:lineRule="auto"/>
      <w:ind w:left="420" w:leftChars="200"/>
    </w:pPr>
  </w:style>
  <w:style w:type="paragraph" w:styleId="22">
    <w:name w:val="Balloon Text"/>
    <w:basedOn w:val="1"/>
    <w:autoRedefine/>
    <w:qFormat/>
    <w:uiPriority w:val="0"/>
    <w:rPr>
      <w:sz w:val="18"/>
      <w:szCs w:val="18"/>
    </w:rPr>
  </w:style>
  <w:style w:type="paragraph" w:styleId="23">
    <w:name w:val="footer"/>
    <w:basedOn w:val="1"/>
    <w:link w:val="73"/>
    <w:autoRedefine/>
    <w:qFormat/>
    <w:uiPriority w:val="99"/>
    <w:pPr>
      <w:tabs>
        <w:tab w:val="center" w:pos="4153"/>
        <w:tab w:val="right" w:pos="8306"/>
      </w:tabs>
      <w:snapToGrid w:val="0"/>
      <w:jc w:val="left"/>
    </w:pPr>
    <w:rPr>
      <w:sz w:val="18"/>
      <w:szCs w:val="18"/>
    </w:rPr>
  </w:style>
  <w:style w:type="paragraph" w:styleId="24">
    <w:name w:val="header"/>
    <w:basedOn w:val="1"/>
    <w:link w:val="72"/>
    <w:autoRedefine/>
    <w:qFormat/>
    <w:uiPriority w:val="99"/>
    <w:pPr>
      <w:pBdr>
        <w:bottom w:val="single" w:color="auto" w:sz="6" w:space="1"/>
      </w:pBdr>
      <w:tabs>
        <w:tab w:val="center" w:pos="4153"/>
        <w:tab w:val="right" w:pos="8306"/>
      </w:tabs>
      <w:snapToGrid w:val="0"/>
      <w:jc w:val="center"/>
    </w:pPr>
    <w:rPr>
      <w:sz w:val="18"/>
      <w:szCs w:val="18"/>
    </w:rPr>
  </w:style>
  <w:style w:type="paragraph" w:styleId="25">
    <w:name w:val="toc 1"/>
    <w:basedOn w:val="1"/>
    <w:next w:val="1"/>
    <w:autoRedefine/>
    <w:qFormat/>
    <w:uiPriority w:val="39"/>
    <w:pPr>
      <w:spacing w:before="120" w:after="120"/>
      <w:jc w:val="left"/>
    </w:pPr>
    <w:rPr>
      <w:caps/>
    </w:rPr>
  </w:style>
  <w:style w:type="paragraph" w:styleId="26">
    <w:name w:val="footnote text"/>
    <w:basedOn w:val="1"/>
    <w:autoRedefine/>
    <w:qFormat/>
    <w:uiPriority w:val="99"/>
    <w:pPr>
      <w:snapToGrid w:val="0"/>
      <w:jc w:val="left"/>
    </w:pPr>
    <w:rPr>
      <w:sz w:val="18"/>
      <w:szCs w:val="18"/>
    </w:rPr>
  </w:style>
  <w:style w:type="paragraph" w:styleId="27">
    <w:name w:val="Body Text 2"/>
    <w:basedOn w:val="1"/>
    <w:link w:val="70"/>
    <w:autoRedefine/>
    <w:qFormat/>
    <w:uiPriority w:val="0"/>
    <w:pPr>
      <w:spacing w:after="120" w:line="480" w:lineRule="auto"/>
    </w:pPr>
  </w:style>
  <w:style w:type="paragraph" w:styleId="28">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9">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qFormat/>
    <w:uiPriority w:val="22"/>
    <w:rPr>
      <w:b/>
      <w:bCs/>
    </w:rPr>
  </w:style>
  <w:style w:type="character" w:styleId="34">
    <w:name w:val="page number"/>
    <w:basedOn w:val="32"/>
    <w:qFormat/>
    <w:uiPriority w:val="0"/>
  </w:style>
  <w:style w:type="character" w:styleId="35">
    <w:name w:val="FollowedHyperlink"/>
    <w:basedOn w:val="32"/>
    <w:qFormat/>
    <w:uiPriority w:val="0"/>
    <w:rPr>
      <w:color w:val="000000"/>
      <w:u w:val="none"/>
    </w:rPr>
  </w:style>
  <w:style w:type="character" w:styleId="36">
    <w:name w:val="Hyperlink"/>
    <w:qFormat/>
    <w:uiPriority w:val="0"/>
    <w:rPr>
      <w:color w:val="333333"/>
      <w:u w:val="none"/>
    </w:rPr>
  </w:style>
  <w:style w:type="character" w:styleId="37">
    <w:name w:val="annotation reference"/>
    <w:qFormat/>
    <w:uiPriority w:val="99"/>
    <w:rPr>
      <w:sz w:val="21"/>
    </w:rPr>
  </w:style>
  <w:style w:type="paragraph" w:customStyle="1" w:styleId="38">
    <w:name w:val="BodyText1I"/>
    <w:basedOn w:val="39"/>
    <w:qFormat/>
    <w:uiPriority w:val="99"/>
    <w:pPr>
      <w:ind w:firstLine="420" w:firstLineChars="100"/>
    </w:pPr>
  </w:style>
  <w:style w:type="paragraph" w:customStyle="1" w:styleId="39">
    <w:name w:val="BodyText"/>
    <w:basedOn w:val="1"/>
    <w:qFormat/>
    <w:uiPriority w:val="99"/>
    <w:pPr>
      <w:spacing w:after="120"/>
    </w:pPr>
  </w:style>
  <w:style w:type="paragraph" w:customStyle="1" w:styleId="40">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1">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42">
    <w:name w:val="无间隔1"/>
    <w:next w:val="14"/>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43">
    <w:name w:val="标题 3 字符"/>
    <w:link w:val="12"/>
    <w:semiHidden/>
    <w:qFormat/>
    <w:uiPriority w:val="0"/>
    <w:rPr>
      <w:b/>
      <w:bCs/>
      <w:kern w:val="2"/>
      <w:sz w:val="32"/>
      <w:szCs w:val="32"/>
    </w:rPr>
  </w:style>
  <w:style w:type="character" w:customStyle="1" w:styleId="44">
    <w:name w:val="font231"/>
    <w:autoRedefine/>
    <w:qFormat/>
    <w:uiPriority w:val="0"/>
    <w:rPr>
      <w:rFonts w:hint="eastAsia" w:ascii="宋体" w:hAnsi="宋体" w:eastAsia="宋体" w:cs="宋体"/>
      <w:color w:val="000000"/>
      <w:sz w:val="22"/>
      <w:szCs w:val="22"/>
      <w:u w:val="none"/>
    </w:rPr>
  </w:style>
  <w:style w:type="character" w:customStyle="1" w:styleId="45">
    <w:name w:val="font11"/>
    <w:qFormat/>
    <w:uiPriority w:val="0"/>
    <w:rPr>
      <w:rFonts w:hint="default" w:ascii="Times New Roman" w:hAnsi="Times New Roman" w:cs="Times New Roman"/>
      <w:color w:val="000000"/>
      <w:sz w:val="18"/>
      <w:szCs w:val="18"/>
      <w:u w:val="none"/>
    </w:rPr>
  </w:style>
  <w:style w:type="character" w:customStyle="1" w:styleId="46">
    <w:name w:val="font191"/>
    <w:qFormat/>
    <w:uiPriority w:val="0"/>
    <w:rPr>
      <w:rFonts w:hint="default" w:ascii="Calibri" w:hAnsi="Calibri" w:cs="Calibri"/>
      <w:color w:val="000000"/>
      <w:sz w:val="22"/>
      <w:szCs w:val="22"/>
      <w:u w:val="none"/>
    </w:rPr>
  </w:style>
  <w:style w:type="character" w:customStyle="1" w:styleId="47">
    <w:name w:val="正文文本首行缩进 字符"/>
    <w:link w:val="2"/>
    <w:qFormat/>
    <w:uiPriority w:val="0"/>
    <w:rPr>
      <w:kern w:val="2"/>
      <w:sz w:val="21"/>
      <w:szCs w:val="24"/>
    </w:rPr>
  </w:style>
  <w:style w:type="character" w:customStyle="1" w:styleId="48">
    <w:name w:val="正文文本 字符"/>
    <w:link w:val="3"/>
    <w:qFormat/>
    <w:uiPriority w:val="99"/>
    <w:rPr>
      <w:kern w:val="2"/>
      <w:sz w:val="21"/>
      <w:szCs w:val="24"/>
    </w:rPr>
  </w:style>
  <w:style w:type="character" w:customStyle="1" w:styleId="49">
    <w:name w:val="font151"/>
    <w:qFormat/>
    <w:uiPriority w:val="0"/>
    <w:rPr>
      <w:rFonts w:hint="default" w:ascii="Calibri" w:hAnsi="Calibri" w:cs="Calibri"/>
      <w:color w:val="000000"/>
      <w:sz w:val="22"/>
      <w:szCs w:val="22"/>
      <w:u w:val="none"/>
    </w:rPr>
  </w:style>
  <w:style w:type="character" w:customStyle="1" w:styleId="50">
    <w:name w:val="批注文字 字符"/>
    <w:link w:val="16"/>
    <w:autoRedefine/>
    <w:qFormat/>
    <w:uiPriority w:val="0"/>
    <w:rPr>
      <w:kern w:val="2"/>
      <w:sz w:val="21"/>
      <w:szCs w:val="24"/>
    </w:rPr>
  </w:style>
  <w:style w:type="character" w:customStyle="1" w:styleId="51">
    <w:name w:val="文档结构图 字符"/>
    <w:link w:val="15"/>
    <w:qFormat/>
    <w:uiPriority w:val="0"/>
    <w:rPr>
      <w:rFonts w:ascii="宋体"/>
      <w:kern w:val="2"/>
      <w:sz w:val="18"/>
      <w:szCs w:val="18"/>
    </w:rPr>
  </w:style>
  <w:style w:type="character" w:customStyle="1" w:styleId="52">
    <w:name w:val="日期 字符"/>
    <w:link w:val="20"/>
    <w:qFormat/>
    <w:uiPriority w:val="0"/>
    <w:rPr>
      <w:kern w:val="2"/>
      <w:sz w:val="21"/>
      <w:szCs w:val="24"/>
    </w:rPr>
  </w:style>
  <w:style w:type="character" w:customStyle="1" w:styleId="53">
    <w:name w:val="font221"/>
    <w:qFormat/>
    <w:uiPriority w:val="0"/>
    <w:rPr>
      <w:rFonts w:hint="eastAsia" w:ascii="宋体" w:hAnsi="宋体" w:eastAsia="宋体" w:cs="宋体"/>
      <w:color w:val="000000"/>
      <w:sz w:val="20"/>
      <w:szCs w:val="20"/>
      <w:u w:val="none"/>
    </w:rPr>
  </w:style>
  <w:style w:type="character" w:customStyle="1" w:styleId="54">
    <w:name w:val="font61"/>
    <w:qFormat/>
    <w:uiPriority w:val="0"/>
    <w:rPr>
      <w:rFonts w:hint="eastAsia" w:ascii="宋体" w:hAnsi="宋体" w:eastAsia="宋体" w:cs="宋体"/>
      <w:color w:val="FF0000"/>
      <w:sz w:val="22"/>
      <w:szCs w:val="22"/>
      <w:u w:val="none"/>
    </w:rPr>
  </w:style>
  <w:style w:type="character" w:customStyle="1" w:styleId="55">
    <w:name w:val="font31"/>
    <w:qFormat/>
    <w:uiPriority w:val="0"/>
    <w:rPr>
      <w:rFonts w:hint="eastAsia" w:ascii="宋体" w:hAnsi="宋体" w:eastAsia="宋体" w:cs="宋体"/>
      <w:color w:val="000000"/>
      <w:sz w:val="18"/>
      <w:szCs w:val="18"/>
      <w:u w:val="none"/>
    </w:rPr>
  </w:style>
  <w:style w:type="character" w:customStyle="1" w:styleId="56">
    <w:name w:val="纯文本 字符"/>
    <w:link w:val="19"/>
    <w:qFormat/>
    <w:uiPriority w:val="99"/>
    <w:rPr>
      <w:rFonts w:ascii="宋体" w:hAnsi="Courier New"/>
      <w:kern w:val="2"/>
      <w:sz w:val="21"/>
    </w:rPr>
  </w:style>
  <w:style w:type="character" w:customStyle="1" w:styleId="57">
    <w:name w:val="访问过的超链接1"/>
    <w:qFormat/>
    <w:uiPriority w:val="0"/>
    <w:rPr>
      <w:color w:val="333333"/>
      <w:u w:val="none"/>
    </w:rPr>
  </w:style>
  <w:style w:type="character" w:customStyle="1" w:styleId="58">
    <w:name w:val="font01"/>
    <w:qFormat/>
    <w:uiPriority w:val="0"/>
    <w:rPr>
      <w:rFonts w:hint="eastAsia" w:ascii="宋体" w:hAnsi="宋体" w:eastAsia="宋体" w:cs="宋体"/>
      <w:color w:val="000000"/>
      <w:sz w:val="22"/>
      <w:szCs w:val="22"/>
      <w:u w:val="none"/>
    </w:rPr>
  </w:style>
  <w:style w:type="character" w:customStyle="1" w:styleId="59">
    <w:name w:val="font21"/>
    <w:qFormat/>
    <w:uiPriority w:val="0"/>
    <w:rPr>
      <w:rFonts w:hint="default" w:ascii="Times New Roman" w:hAnsi="Times New Roman" w:cs="Times New Roman"/>
      <w:color w:val="000000"/>
      <w:sz w:val="18"/>
      <w:szCs w:val="18"/>
      <w:u w:val="none"/>
    </w:rPr>
  </w:style>
  <w:style w:type="paragraph" w:customStyle="1" w:styleId="60">
    <w:name w:val="p0"/>
    <w:basedOn w:val="1"/>
    <w:qFormat/>
    <w:uiPriority w:val="0"/>
    <w:pPr>
      <w:widowControl/>
    </w:pPr>
    <w:rPr>
      <w:rFonts w:ascii="Calibri" w:hAnsi="Calibri" w:cs="宋体"/>
      <w:kern w:val="0"/>
      <w:szCs w:val="21"/>
    </w:rPr>
  </w:style>
  <w:style w:type="paragraph" w:customStyle="1" w:styleId="61">
    <w:name w:val="List Paragraph1"/>
    <w:basedOn w:val="1"/>
    <w:qFormat/>
    <w:uiPriority w:val="0"/>
    <w:pPr>
      <w:ind w:firstLine="420" w:firstLineChars="200"/>
    </w:pPr>
  </w:style>
  <w:style w:type="paragraph" w:customStyle="1" w:styleId="62">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3">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4">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5">
    <w:name w:val="Char Char Char Char Char Char Char1 Char"/>
    <w:basedOn w:val="1"/>
    <w:qFormat/>
    <w:uiPriority w:val="0"/>
    <w:rPr>
      <w:rFonts w:ascii="Tahoma" w:hAnsi="Tahoma"/>
      <w:sz w:val="24"/>
      <w:szCs w:val="20"/>
    </w:rPr>
  </w:style>
  <w:style w:type="paragraph" w:styleId="66">
    <w:name w:val="List Paragraph"/>
    <w:basedOn w:val="1"/>
    <w:qFormat/>
    <w:uiPriority w:val="34"/>
    <w:pPr>
      <w:ind w:firstLine="420" w:firstLineChars="200"/>
    </w:pPr>
  </w:style>
  <w:style w:type="paragraph" w:customStyle="1" w:styleId="67">
    <w:name w:val="Char Char Char1 Char"/>
    <w:basedOn w:val="1"/>
    <w:qFormat/>
    <w:uiPriority w:val="0"/>
    <w:pPr>
      <w:spacing w:line="360" w:lineRule="auto"/>
      <w:ind w:firstLine="200" w:firstLineChars="200"/>
    </w:pPr>
    <w:rPr>
      <w:rFonts w:ascii="宋体" w:hAnsi="宋体" w:cs="宋体"/>
      <w:sz w:val="24"/>
    </w:rPr>
  </w:style>
  <w:style w:type="paragraph" w:customStyle="1" w:styleId="68">
    <w:name w:val="默认段落字体 Para Char Char Char Char Char Char Char Char Char Char"/>
    <w:basedOn w:val="1"/>
    <w:qFormat/>
    <w:uiPriority w:val="0"/>
    <w:pPr>
      <w:tabs>
        <w:tab w:val="right" w:pos="-2120"/>
      </w:tabs>
      <w:snapToGrid w:val="0"/>
    </w:pPr>
  </w:style>
  <w:style w:type="character" w:customStyle="1" w:styleId="69">
    <w:name w:val="generalinfo-address-text"/>
    <w:basedOn w:val="32"/>
    <w:qFormat/>
    <w:uiPriority w:val="0"/>
  </w:style>
  <w:style w:type="character" w:customStyle="1" w:styleId="70">
    <w:name w:val="正文文本 2 字符"/>
    <w:link w:val="27"/>
    <w:qFormat/>
    <w:uiPriority w:val="0"/>
    <w:rPr>
      <w:kern w:val="2"/>
      <w:sz w:val="21"/>
      <w:szCs w:val="24"/>
    </w:rPr>
  </w:style>
  <w:style w:type="character" w:customStyle="1" w:styleId="71">
    <w:name w:val="NormalCharacter"/>
    <w:qFormat/>
    <w:uiPriority w:val="0"/>
  </w:style>
  <w:style w:type="character" w:customStyle="1" w:styleId="72">
    <w:name w:val="页眉 字符"/>
    <w:link w:val="24"/>
    <w:qFormat/>
    <w:uiPriority w:val="99"/>
    <w:rPr>
      <w:kern w:val="2"/>
      <w:sz w:val="18"/>
      <w:szCs w:val="18"/>
    </w:rPr>
  </w:style>
  <w:style w:type="character" w:customStyle="1" w:styleId="73">
    <w:name w:val="页脚 字符"/>
    <w:link w:val="23"/>
    <w:qFormat/>
    <w:uiPriority w:val="99"/>
    <w:rPr>
      <w:kern w:val="2"/>
      <w:sz w:val="18"/>
      <w:szCs w:val="18"/>
    </w:rPr>
  </w:style>
  <w:style w:type="paragraph" w:customStyle="1" w:styleId="74">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5">
    <w:name w:val="contentlabel"/>
    <w:qFormat/>
    <w:uiPriority w:val="0"/>
  </w:style>
  <w:style w:type="paragraph" w:customStyle="1" w:styleId="76">
    <w:name w:val="Body Text First Indent1"/>
    <w:basedOn w:val="3"/>
    <w:qFormat/>
    <w:uiPriority w:val="0"/>
    <w:pPr>
      <w:autoSpaceDE w:val="0"/>
      <w:autoSpaceDN w:val="0"/>
      <w:ind w:firstLine="420" w:firstLineChars="100"/>
      <w:jc w:val="left"/>
    </w:pPr>
    <w:rPr>
      <w:rFonts w:ascii="宋体" w:hAnsi="等线" w:eastAsia="等线" w:cs="宋体"/>
      <w:kern w:val="0"/>
      <w:lang w:val="zh-CN"/>
    </w:rPr>
  </w:style>
  <w:style w:type="paragraph" w:customStyle="1" w:styleId="77">
    <w:name w:val="D&amp;L"/>
    <w:basedOn w:val="24"/>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8">
    <w:name w:val="icon_gys"/>
    <w:basedOn w:val="32"/>
    <w:qFormat/>
    <w:uiPriority w:val="0"/>
    <w:rPr>
      <w:sz w:val="21"/>
      <w:szCs w:val="21"/>
    </w:rPr>
  </w:style>
  <w:style w:type="character" w:customStyle="1" w:styleId="79">
    <w:name w:val="first-child"/>
    <w:basedOn w:val="32"/>
    <w:qFormat/>
    <w:uiPriority w:val="0"/>
    <w:rPr>
      <w:color w:val="1F3149"/>
      <w:sz w:val="24"/>
      <w:szCs w:val="24"/>
    </w:rPr>
  </w:style>
  <w:style w:type="character" w:customStyle="1" w:styleId="80">
    <w:name w:val="first-child1"/>
    <w:basedOn w:val="32"/>
    <w:qFormat/>
    <w:uiPriority w:val="0"/>
    <w:rPr>
      <w:color w:val="1F3149"/>
      <w:sz w:val="24"/>
      <w:szCs w:val="24"/>
    </w:rPr>
  </w:style>
  <w:style w:type="character" w:customStyle="1" w:styleId="81">
    <w:name w:val="xiadan"/>
    <w:basedOn w:val="32"/>
    <w:qFormat/>
    <w:uiPriority w:val="0"/>
    <w:rPr>
      <w:shd w:val="clear" w:color="auto" w:fill="E4393C"/>
    </w:rPr>
  </w:style>
  <w:style w:type="character" w:customStyle="1" w:styleId="82">
    <w:name w:val="fr"/>
    <w:basedOn w:val="32"/>
    <w:qFormat/>
    <w:uiPriority w:val="0"/>
  </w:style>
  <w:style w:type="character" w:customStyle="1" w:styleId="83">
    <w:name w:val="icon_ds"/>
    <w:basedOn w:val="32"/>
    <w:qFormat/>
    <w:uiPriority w:val="0"/>
  </w:style>
  <w:style w:type="paragraph" w:customStyle="1" w:styleId="84">
    <w:name w:val="正文1"/>
    <w:basedOn w:val="1"/>
    <w:qFormat/>
    <w:uiPriority w:val="0"/>
    <w:pPr>
      <w:widowControl/>
      <w:topLinePunct/>
      <w:spacing w:beforeLines="50" w:afterLines="50" w:line="300" w:lineRule="auto"/>
      <w:ind w:left="420"/>
    </w:pPr>
  </w:style>
  <w:style w:type="table" w:customStyle="1" w:styleId="85">
    <w:name w:val="Table Normal"/>
    <w:semiHidden/>
    <w:unhideWhenUsed/>
    <w:qFormat/>
    <w:uiPriority w:val="0"/>
    <w:tblPr>
      <w:tblCellMar>
        <w:top w:w="0" w:type="dxa"/>
        <w:left w:w="0" w:type="dxa"/>
        <w:bottom w:w="0" w:type="dxa"/>
        <w:right w:w="0" w:type="dxa"/>
      </w:tblCellMar>
    </w:tblPr>
  </w:style>
  <w:style w:type="paragraph" w:customStyle="1" w:styleId="86">
    <w:name w:val="正文文本首行缩进1"/>
    <w:basedOn w:val="3"/>
    <w:qFormat/>
    <w:uiPriority w:val="0"/>
    <w:pPr>
      <w:ind w:firstLine="420" w:firstLineChars="100"/>
    </w:pPr>
  </w:style>
  <w:style w:type="paragraph" w:customStyle="1" w:styleId="87">
    <w:name w:val="正文首行缩进1"/>
    <w:basedOn w:val="3"/>
    <w:qFormat/>
    <w:uiPriority w:val="0"/>
    <w:pPr>
      <w:ind w:firstLine="420" w:firstLineChars="1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49</Pages>
  <Words>3535</Words>
  <Characters>20154</Characters>
  <Lines>167</Lines>
  <Paragraphs>47</Paragraphs>
  <TotalTime>5</TotalTime>
  <ScaleCrop>false</ScaleCrop>
  <LinksUpToDate>false</LinksUpToDate>
  <CharactersWithSpaces>23642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a5</cp:lastModifiedBy>
  <cp:lastPrinted>2020-11-18T03:21:00Z</cp:lastPrinted>
  <dcterms:modified xsi:type="dcterms:W3CDTF">2023-12-29T07:17:35Z</dcterms:modified>
  <cp:revision>271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CB94FE0E7FF2494690D87E1FE8E9148B_13</vt:lpwstr>
  </property>
</Properties>
</file>