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宋体" w:hAnsi="宋体" w:cs="宋体"/>
          <w:b/>
          <w:color w:val="000000"/>
          <w:spacing w:val="36"/>
          <w:sz w:val="72"/>
          <w:szCs w:val="72"/>
          <w14:shadow w14:blurRad="50800" w14:dist="38100" w14:dir="2700000" w14:sx="100000" w14:sy="100000" w14:kx="0" w14:ky="0" w14:algn="tl">
            <w14:srgbClr w14:val="000000">
              <w14:alpha w14:val="60000"/>
            </w14:srgbClr>
          </w14:shadow>
        </w:rPr>
      </w:pPr>
      <w:r>
        <w:rPr>
          <w:rFonts w:hint="eastAsia" w:ascii="宋体" w:hAnsi="宋体" w:cs="宋体"/>
          <w:b/>
          <w:bCs/>
          <w:color w:val="000000"/>
          <w:kern w:val="0"/>
          <w:sz w:val="72"/>
          <w:szCs w:val="72"/>
          <w14:shadow w14:blurRad="50800" w14:dist="38100" w14:dir="2700000" w14:sx="100000" w14:sy="100000" w14:kx="0" w14:ky="0" w14:algn="tl">
            <w14:srgbClr w14:val="000000">
              <w14:alpha w14:val="60000"/>
            </w14:srgbClr>
          </w14:shadow>
        </w:rPr>
        <w:t>周口市公共资源交易中心</w:t>
      </w:r>
    </w:p>
    <w:p>
      <w:pPr>
        <w:tabs>
          <w:tab w:val="left" w:pos="315"/>
          <w:tab w:val="left" w:pos="8820"/>
        </w:tabs>
        <w:spacing w:line="500" w:lineRule="exact"/>
        <w:ind w:right="267" w:rightChars="127"/>
        <w:jc w:val="center"/>
        <w:rPr>
          <w:rFonts w:hint="eastAsia" w:ascii="宋体" w:hAnsi="宋体" w:cs="宋体"/>
          <w:b/>
          <w:bCs/>
          <w:color w:val="000000"/>
          <w:sz w:val="48"/>
        </w:rPr>
      </w:pPr>
    </w:p>
    <w:p>
      <w:pPr>
        <w:tabs>
          <w:tab w:val="left" w:pos="315"/>
          <w:tab w:val="left" w:pos="8820"/>
        </w:tabs>
        <w:spacing w:line="500" w:lineRule="exact"/>
        <w:ind w:right="267" w:rightChars="127"/>
        <w:jc w:val="center"/>
        <w:rPr>
          <w:rFonts w:hint="eastAsia" w:ascii="宋体" w:hAnsi="宋体" w:cs="宋体"/>
          <w:b/>
          <w:bCs/>
          <w:color w:val="000000"/>
          <w:sz w:val="52"/>
        </w:rPr>
      </w:pPr>
      <w:r>
        <w:rPr>
          <w:rFonts w:hint="eastAsia" w:ascii="宋体" w:hAnsi="宋体" w:cs="宋体"/>
          <w:b/>
          <w:bCs/>
          <w:color w:val="000000"/>
          <w:sz w:val="52"/>
        </w:rPr>
        <w:t>政 府 采 购 招 标 文 件</w:t>
      </w:r>
    </w:p>
    <w:p>
      <w:pPr>
        <w:tabs>
          <w:tab w:val="left" w:pos="315"/>
          <w:tab w:val="left" w:pos="8820"/>
        </w:tabs>
        <w:spacing w:line="500" w:lineRule="exact"/>
        <w:ind w:right="267" w:rightChars="127"/>
        <w:jc w:val="center"/>
        <w:rPr>
          <w:rFonts w:hint="eastAsia" w:ascii="宋体" w:hAnsi="宋体" w:cs="宋体"/>
          <w:color w:val="000000"/>
          <w:sz w:val="44"/>
        </w:rPr>
      </w:pPr>
    </w:p>
    <w:p>
      <w:pPr>
        <w:tabs>
          <w:tab w:val="left" w:pos="315"/>
          <w:tab w:val="left" w:pos="8820"/>
        </w:tabs>
        <w:ind w:right="267" w:rightChars="127"/>
        <w:rPr>
          <w:rFonts w:hint="eastAsia" w:ascii="宋体" w:hAnsi="宋体" w:cs="宋体"/>
          <w:color w:val="000000"/>
          <w:sz w:val="44"/>
        </w:rPr>
      </w:pPr>
    </w:p>
    <w:p>
      <w:pPr>
        <w:tabs>
          <w:tab w:val="left" w:pos="315"/>
          <w:tab w:val="left" w:pos="8820"/>
        </w:tabs>
        <w:ind w:right="267" w:rightChars="127"/>
        <w:rPr>
          <w:rFonts w:hint="eastAsia" w:ascii="宋体" w:hAnsi="宋体" w:cs="宋体"/>
          <w:color w:val="000000"/>
          <w:sz w:val="44"/>
        </w:rPr>
      </w:pPr>
    </w:p>
    <w:p>
      <w:pPr>
        <w:tabs>
          <w:tab w:val="left" w:pos="315"/>
          <w:tab w:val="left" w:pos="8820"/>
        </w:tabs>
        <w:ind w:right="267" w:rightChars="127"/>
        <w:rPr>
          <w:rFonts w:hint="eastAsia" w:ascii="宋体" w:hAnsi="宋体" w:cs="宋体"/>
          <w:color w:val="000000"/>
          <w:sz w:val="44"/>
        </w:rPr>
      </w:pPr>
    </w:p>
    <w:p>
      <w:pPr>
        <w:tabs>
          <w:tab w:val="left" w:pos="315"/>
          <w:tab w:val="left" w:pos="8820"/>
        </w:tabs>
        <w:ind w:right="267" w:rightChars="127"/>
        <w:rPr>
          <w:rFonts w:hint="eastAsia" w:ascii="宋体" w:hAnsi="宋体" w:cs="宋体"/>
          <w:color w:val="000000"/>
          <w:sz w:val="44"/>
        </w:rPr>
      </w:pPr>
    </w:p>
    <w:p>
      <w:pPr>
        <w:tabs>
          <w:tab w:val="left" w:pos="315"/>
          <w:tab w:val="left" w:pos="8820"/>
        </w:tabs>
        <w:spacing w:line="500" w:lineRule="exact"/>
        <w:ind w:right="267" w:rightChars="127"/>
        <w:rPr>
          <w:rFonts w:hint="eastAsia" w:ascii="宋体" w:hAnsi="宋体" w:cs="宋体"/>
          <w:sz w:val="36"/>
        </w:rPr>
      </w:pPr>
    </w:p>
    <w:p>
      <w:pPr>
        <w:pStyle w:val="24"/>
        <w:spacing w:line="360" w:lineRule="auto"/>
        <w:rPr>
          <w:rFonts w:hint="eastAsia" w:ascii="宋体" w:hAnsi="宋体" w:eastAsia="宋体" w:cs="宋体"/>
          <w:sz w:val="32"/>
        </w:rPr>
      </w:pPr>
      <w:r>
        <w:rPr>
          <w:rFonts w:hint="eastAsia" w:ascii="宋体" w:hAnsi="宋体" w:eastAsia="宋体" w:cs="宋体"/>
          <w:sz w:val="32"/>
          <w:szCs w:val="32"/>
        </w:rPr>
        <w:t>项目名称</w:t>
      </w:r>
      <w:r>
        <w:rPr>
          <w:rFonts w:hint="eastAsia" w:ascii="宋体" w:hAnsi="宋体" w:eastAsia="宋体" w:cs="宋体"/>
          <w:szCs w:val="28"/>
        </w:rPr>
        <w:t>：周口市机关事务中心周口市办公用房管理系统及办公用房测绘项目</w:t>
      </w:r>
    </w:p>
    <w:p>
      <w:pPr>
        <w:pStyle w:val="24"/>
        <w:spacing w:line="360" w:lineRule="auto"/>
        <w:rPr>
          <w:rFonts w:ascii="宋体" w:hAnsi="宋体" w:eastAsia="宋体" w:cs="宋体"/>
          <w:sz w:val="32"/>
        </w:rPr>
      </w:pPr>
      <w:r>
        <w:rPr>
          <w:rFonts w:hint="eastAsia" w:ascii="宋体" w:hAnsi="宋体" w:eastAsia="宋体" w:cs="宋体"/>
          <w:sz w:val="32"/>
        </w:rPr>
        <w:t>项目编号：2023-09-119</w:t>
      </w:r>
    </w:p>
    <w:p>
      <w:pPr>
        <w:pStyle w:val="24"/>
        <w:rPr>
          <w:rFonts w:hint="eastAsia" w:ascii="宋体" w:hAnsi="宋体" w:eastAsia="宋体" w:cs="宋体"/>
          <w:sz w:val="32"/>
        </w:rPr>
      </w:pPr>
    </w:p>
    <w:p>
      <w:pPr>
        <w:spacing w:line="360" w:lineRule="auto"/>
        <w:jc w:val="center"/>
        <w:rPr>
          <w:rFonts w:hint="eastAsia" w:ascii="宋体" w:hAnsi="宋体" w:cs="宋体"/>
          <w:b/>
          <w:color w:val="000000"/>
          <w:spacing w:val="-4"/>
          <w:sz w:val="84"/>
        </w:rPr>
      </w:pPr>
    </w:p>
    <w:p>
      <w:pPr>
        <w:spacing w:line="360" w:lineRule="auto"/>
        <w:jc w:val="center"/>
        <w:rPr>
          <w:rFonts w:hint="eastAsia" w:ascii="宋体" w:hAnsi="宋体" w:cs="宋体"/>
          <w:b/>
          <w:color w:val="000000"/>
          <w:spacing w:val="-4"/>
          <w:sz w:val="32"/>
          <w:szCs w:val="32"/>
        </w:rPr>
      </w:pPr>
    </w:p>
    <w:p>
      <w:pPr>
        <w:spacing w:line="360" w:lineRule="auto"/>
        <w:jc w:val="center"/>
        <w:rPr>
          <w:rFonts w:hint="eastAsia" w:ascii="宋体" w:hAnsi="宋体" w:cs="宋体"/>
          <w:b/>
          <w:color w:val="000000"/>
          <w:spacing w:val="-4"/>
          <w:sz w:val="32"/>
          <w:szCs w:val="32"/>
        </w:rPr>
      </w:pPr>
      <w:r>
        <w:rPr>
          <w:rFonts w:hint="eastAsia" w:ascii="宋体" w:hAnsi="宋体" w:cs="宋体"/>
          <w:b/>
          <w:color w:val="000000"/>
          <w:spacing w:val="-4"/>
          <w:sz w:val="32"/>
          <w:szCs w:val="32"/>
        </w:rPr>
        <w:t>2023年10月</w:t>
      </w: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pStyle w:val="24"/>
        <w:jc w:val="center"/>
        <w:rPr>
          <w:rFonts w:hint="eastAsia" w:ascii="宋体" w:hAnsi="宋体" w:eastAsia="宋体" w:cs="宋体"/>
        </w:rPr>
      </w:pPr>
    </w:p>
    <w:p>
      <w:pPr>
        <w:tabs>
          <w:tab w:val="left" w:pos="4620"/>
        </w:tabs>
        <w:spacing w:line="500" w:lineRule="exact"/>
        <w:jc w:val="center"/>
        <w:rPr>
          <w:rFonts w:hint="eastAsia" w:ascii="宋体" w:hAnsi="宋体" w:cs="宋体"/>
          <w:b/>
          <w:sz w:val="32"/>
        </w:rPr>
      </w:pPr>
      <w:r>
        <w:rPr>
          <w:rFonts w:hint="eastAsia" w:ascii="宋体" w:hAnsi="宋体" w:cs="宋体"/>
          <w:b/>
          <w:sz w:val="32"/>
        </w:rPr>
        <w:t>目  录</w:t>
      </w:r>
    </w:p>
    <w:p>
      <w:pPr>
        <w:pStyle w:val="57"/>
        <w:tabs>
          <w:tab w:val="right" w:leader="dot" w:pos="8390"/>
        </w:tabs>
        <w:rPr>
          <w:rFonts w:hint="eastAsia" w:ascii="宋体" w:hAnsi="宋体" w:cs="宋体"/>
          <w:bCs/>
          <w:caps/>
          <w:sz w:val="32"/>
          <w:szCs w:val="32"/>
        </w:rPr>
      </w:pPr>
      <w:bookmarkStart w:id="0" w:name="_Hlt526418134"/>
      <w:bookmarkEnd w:id="0"/>
      <w:bookmarkStart w:id="1" w:name="_Hlt519045295"/>
      <w:bookmarkEnd w:id="1"/>
      <w:bookmarkStart w:id="2" w:name="_Hlt533241375"/>
      <w:bookmarkEnd w:id="2"/>
      <w:r>
        <w:rPr>
          <w:rFonts w:hint="eastAsia" w:ascii="宋体" w:hAnsi="宋体" w:cs="宋体"/>
          <w:bCs/>
          <w:caps/>
          <w:sz w:val="32"/>
          <w:szCs w:val="32"/>
        </w:rPr>
        <w:fldChar w:fldCharType="begin"/>
      </w:r>
      <w:r>
        <w:rPr>
          <w:rFonts w:hint="eastAsia" w:ascii="宋体" w:hAnsi="宋体" w:cs="宋体"/>
          <w:bCs/>
          <w:caps/>
          <w:sz w:val="32"/>
          <w:szCs w:val="32"/>
        </w:rPr>
        <w:instrText xml:space="preserve"> TOC \o "1-3" \h \z </w:instrText>
      </w:r>
      <w:r>
        <w:rPr>
          <w:rFonts w:hint="eastAsia" w:ascii="宋体" w:hAnsi="宋体" w:cs="宋体"/>
          <w:bCs/>
          <w:caps/>
          <w:sz w:val="32"/>
          <w:szCs w:val="32"/>
        </w:rPr>
        <w:fldChar w:fldCharType="separate"/>
      </w: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_Toc20608 </w:instrText>
      </w:r>
      <w:r>
        <w:rPr>
          <w:rFonts w:hint="eastAsia" w:ascii="宋体" w:hAnsi="宋体" w:cs="宋体"/>
          <w:bCs/>
          <w:caps/>
          <w:sz w:val="32"/>
          <w:szCs w:val="32"/>
        </w:rPr>
        <w:fldChar w:fldCharType="separate"/>
      </w:r>
      <w:r>
        <w:rPr>
          <w:rFonts w:hint="eastAsia" w:ascii="宋体" w:hAnsi="宋体" w:cs="宋体"/>
          <w:bCs/>
          <w:caps/>
          <w:sz w:val="32"/>
          <w:szCs w:val="32"/>
        </w:rPr>
        <w:t>第一章  招标公告</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_Toc20608 \h </w:instrText>
      </w:r>
      <w:r>
        <w:rPr>
          <w:rFonts w:hint="eastAsia" w:ascii="宋体" w:hAnsi="宋体" w:cs="宋体"/>
          <w:bCs/>
          <w:caps/>
          <w:sz w:val="32"/>
          <w:szCs w:val="32"/>
        </w:rPr>
        <w:fldChar w:fldCharType="separate"/>
      </w:r>
      <w:r>
        <w:rPr>
          <w:rFonts w:hint="eastAsia" w:ascii="宋体" w:hAnsi="宋体" w:cs="宋体"/>
          <w:bCs/>
          <w:caps/>
          <w:sz w:val="32"/>
          <w:szCs w:val="32"/>
        </w:rPr>
        <w:t>3</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_Toc8586 </w:instrText>
      </w:r>
      <w:r>
        <w:rPr>
          <w:rFonts w:hint="eastAsia" w:ascii="宋体" w:hAnsi="宋体" w:cs="宋体"/>
          <w:bCs/>
          <w:caps/>
          <w:sz w:val="32"/>
          <w:szCs w:val="32"/>
        </w:rPr>
        <w:fldChar w:fldCharType="separate"/>
      </w:r>
      <w:r>
        <w:rPr>
          <w:rFonts w:hint="eastAsia" w:ascii="宋体" w:hAnsi="宋体" w:cs="宋体"/>
          <w:bCs/>
          <w:caps/>
          <w:sz w:val="32"/>
          <w:szCs w:val="32"/>
        </w:rPr>
        <w:t>第二章 投标人须知前附表</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_Toc8586 \h </w:instrText>
      </w:r>
      <w:r>
        <w:rPr>
          <w:rFonts w:hint="eastAsia" w:ascii="宋体" w:hAnsi="宋体" w:cs="宋体"/>
          <w:bCs/>
          <w:caps/>
          <w:sz w:val="32"/>
          <w:szCs w:val="32"/>
        </w:rPr>
        <w:fldChar w:fldCharType="separate"/>
      </w:r>
      <w:r>
        <w:rPr>
          <w:rFonts w:hint="eastAsia" w:ascii="宋体" w:hAnsi="宋体" w:cs="宋体"/>
          <w:bCs/>
          <w:caps/>
          <w:sz w:val="32"/>
          <w:szCs w:val="32"/>
        </w:rPr>
        <w:t>6</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_Toc22493 </w:instrText>
      </w:r>
      <w:r>
        <w:rPr>
          <w:rFonts w:hint="eastAsia" w:ascii="宋体" w:hAnsi="宋体" w:cs="宋体"/>
          <w:bCs/>
          <w:caps/>
          <w:sz w:val="32"/>
          <w:szCs w:val="32"/>
        </w:rPr>
        <w:fldChar w:fldCharType="separate"/>
      </w:r>
      <w:r>
        <w:rPr>
          <w:rFonts w:hint="eastAsia" w:ascii="宋体" w:hAnsi="宋体" w:cs="宋体"/>
          <w:bCs/>
          <w:caps/>
          <w:sz w:val="32"/>
          <w:szCs w:val="32"/>
        </w:rPr>
        <w:t>第三章  需求一览表</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_Toc22493 \h </w:instrText>
      </w:r>
      <w:r>
        <w:rPr>
          <w:rFonts w:hint="eastAsia" w:ascii="宋体" w:hAnsi="宋体" w:cs="宋体"/>
          <w:bCs/>
          <w:caps/>
          <w:sz w:val="32"/>
          <w:szCs w:val="32"/>
        </w:rPr>
        <w:fldChar w:fldCharType="separate"/>
      </w:r>
      <w:r>
        <w:rPr>
          <w:rFonts w:hint="eastAsia" w:ascii="宋体" w:hAnsi="宋体" w:cs="宋体"/>
          <w:bCs/>
          <w:caps/>
          <w:sz w:val="32"/>
          <w:szCs w:val="32"/>
        </w:rPr>
        <w:t>8</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_Toc2172 </w:instrText>
      </w:r>
      <w:r>
        <w:rPr>
          <w:rFonts w:hint="eastAsia" w:ascii="宋体" w:hAnsi="宋体" w:cs="宋体"/>
          <w:bCs/>
          <w:caps/>
          <w:sz w:val="32"/>
          <w:szCs w:val="32"/>
        </w:rPr>
        <w:fldChar w:fldCharType="separate"/>
      </w:r>
      <w:r>
        <w:rPr>
          <w:rFonts w:hint="eastAsia" w:ascii="宋体" w:hAnsi="宋体" w:cs="宋体"/>
          <w:bCs/>
          <w:caps/>
          <w:sz w:val="32"/>
          <w:szCs w:val="32"/>
        </w:rPr>
        <w:t>第四章 评标办法</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_Toc2172 \h </w:instrText>
      </w:r>
      <w:r>
        <w:rPr>
          <w:rFonts w:hint="eastAsia" w:ascii="宋体" w:hAnsi="宋体" w:cs="宋体"/>
          <w:bCs/>
          <w:caps/>
          <w:sz w:val="32"/>
          <w:szCs w:val="32"/>
        </w:rPr>
        <w:fldChar w:fldCharType="separate"/>
      </w:r>
      <w:r>
        <w:rPr>
          <w:rFonts w:hint="eastAsia" w:ascii="宋体" w:hAnsi="宋体" w:cs="宋体"/>
          <w:bCs/>
          <w:caps/>
          <w:sz w:val="32"/>
          <w:szCs w:val="32"/>
        </w:rPr>
        <w:t>10</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_Toc20612 </w:instrText>
      </w:r>
      <w:r>
        <w:rPr>
          <w:rFonts w:hint="eastAsia" w:ascii="宋体" w:hAnsi="宋体" w:cs="宋体"/>
          <w:bCs/>
          <w:caps/>
          <w:sz w:val="32"/>
          <w:szCs w:val="32"/>
        </w:rPr>
        <w:fldChar w:fldCharType="separate"/>
      </w:r>
      <w:r>
        <w:rPr>
          <w:rFonts w:hint="eastAsia" w:ascii="宋体" w:hAnsi="宋体" w:cs="宋体"/>
          <w:bCs/>
          <w:caps/>
          <w:sz w:val="32"/>
          <w:szCs w:val="32"/>
        </w:rPr>
        <w:t>第五章 投标人须知</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_Toc20612 \h </w:instrText>
      </w:r>
      <w:r>
        <w:rPr>
          <w:rFonts w:hint="eastAsia" w:ascii="宋体" w:hAnsi="宋体" w:cs="宋体"/>
          <w:bCs/>
          <w:caps/>
          <w:sz w:val="32"/>
          <w:szCs w:val="32"/>
        </w:rPr>
        <w:fldChar w:fldCharType="separate"/>
      </w:r>
      <w:r>
        <w:rPr>
          <w:rFonts w:hint="eastAsia" w:ascii="宋体" w:hAnsi="宋体" w:cs="宋体"/>
          <w:bCs/>
          <w:caps/>
          <w:sz w:val="32"/>
          <w:szCs w:val="32"/>
        </w:rPr>
        <w:t>15</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_Toc13590 </w:instrText>
      </w:r>
      <w:r>
        <w:rPr>
          <w:rFonts w:hint="eastAsia" w:ascii="宋体" w:hAnsi="宋体" w:cs="宋体"/>
          <w:bCs/>
          <w:caps/>
          <w:sz w:val="32"/>
          <w:szCs w:val="32"/>
        </w:rPr>
        <w:fldChar w:fldCharType="separate"/>
      </w:r>
      <w:r>
        <w:rPr>
          <w:rFonts w:hint="eastAsia" w:ascii="宋体" w:hAnsi="宋体" w:cs="宋体"/>
          <w:bCs/>
          <w:caps/>
          <w:sz w:val="32"/>
          <w:szCs w:val="32"/>
        </w:rPr>
        <w:t>第六章 周口市政府采购合同（服务类）标准文本、合同签订指引、供应商履约验收指引</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_Toc13590 \h </w:instrText>
      </w:r>
      <w:r>
        <w:rPr>
          <w:rFonts w:hint="eastAsia" w:ascii="宋体" w:hAnsi="宋体" w:cs="宋体"/>
          <w:bCs/>
          <w:caps/>
          <w:sz w:val="32"/>
          <w:szCs w:val="32"/>
        </w:rPr>
        <w:fldChar w:fldCharType="separate"/>
      </w:r>
      <w:r>
        <w:rPr>
          <w:rFonts w:hint="eastAsia" w:ascii="宋体" w:hAnsi="宋体" w:cs="宋体"/>
          <w:bCs/>
          <w:caps/>
          <w:sz w:val="32"/>
          <w:szCs w:val="32"/>
        </w:rPr>
        <w:t>28</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_Toc30673 </w:instrText>
      </w:r>
      <w:r>
        <w:rPr>
          <w:rFonts w:hint="eastAsia" w:ascii="宋体" w:hAnsi="宋体" w:cs="宋体"/>
          <w:bCs/>
          <w:caps/>
          <w:sz w:val="32"/>
          <w:szCs w:val="32"/>
        </w:rPr>
        <w:fldChar w:fldCharType="separate"/>
      </w:r>
      <w:r>
        <w:rPr>
          <w:rFonts w:hint="eastAsia" w:ascii="宋体" w:hAnsi="宋体" w:cs="宋体"/>
          <w:bCs/>
          <w:caps/>
          <w:sz w:val="32"/>
          <w:szCs w:val="32"/>
        </w:rPr>
        <w:t>采购合同内容</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_Toc30673 \h </w:instrText>
      </w:r>
      <w:r>
        <w:rPr>
          <w:rFonts w:hint="eastAsia" w:ascii="宋体" w:hAnsi="宋体" w:cs="宋体"/>
          <w:bCs/>
          <w:caps/>
          <w:sz w:val="32"/>
          <w:szCs w:val="32"/>
        </w:rPr>
        <w:fldChar w:fldCharType="separate"/>
      </w:r>
      <w:r>
        <w:rPr>
          <w:rFonts w:hint="eastAsia" w:ascii="宋体" w:hAnsi="宋体" w:cs="宋体"/>
          <w:bCs/>
          <w:caps/>
          <w:sz w:val="32"/>
          <w:szCs w:val="32"/>
        </w:rPr>
        <w:t>30</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_Toc30894 </w:instrText>
      </w:r>
      <w:r>
        <w:rPr>
          <w:rFonts w:hint="eastAsia" w:ascii="宋体" w:hAnsi="宋体" w:cs="宋体"/>
          <w:bCs/>
          <w:caps/>
          <w:sz w:val="32"/>
          <w:szCs w:val="32"/>
        </w:rPr>
        <w:fldChar w:fldCharType="separate"/>
      </w:r>
      <w:r>
        <w:rPr>
          <w:rFonts w:hint="eastAsia" w:ascii="宋体" w:hAnsi="宋体" w:cs="宋体"/>
          <w:bCs/>
          <w:caps/>
          <w:sz w:val="32"/>
          <w:szCs w:val="32"/>
        </w:rPr>
        <w:t>第七章 投标文件格式</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_Toc30894 \h </w:instrText>
      </w:r>
      <w:r>
        <w:rPr>
          <w:rFonts w:hint="eastAsia" w:ascii="宋体" w:hAnsi="宋体" w:cs="宋体"/>
          <w:bCs/>
          <w:caps/>
          <w:sz w:val="32"/>
          <w:szCs w:val="32"/>
        </w:rPr>
        <w:fldChar w:fldCharType="separate"/>
      </w:r>
      <w:r>
        <w:rPr>
          <w:rFonts w:hint="eastAsia" w:ascii="宋体" w:hAnsi="宋体" w:cs="宋体"/>
          <w:bCs/>
          <w:caps/>
          <w:sz w:val="32"/>
          <w:szCs w:val="32"/>
        </w:rPr>
        <w:t>35</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begin"/>
      </w:r>
      <w:r>
        <w:rPr>
          <w:rFonts w:hint="eastAsia" w:ascii="宋体" w:hAnsi="宋体" w:cs="宋体"/>
          <w:bCs/>
          <w:caps/>
          <w:sz w:val="32"/>
          <w:szCs w:val="32"/>
        </w:rPr>
        <w:instrText xml:space="preserve"> HYPERLINK \l _Toc12913 </w:instrText>
      </w:r>
      <w:r>
        <w:rPr>
          <w:rFonts w:hint="eastAsia" w:ascii="宋体" w:hAnsi="宋体" w:cs="宋体"/>
          <w:bCs/>
          <w:caps/>
          <w:sz w:val="32"/>
          <w:szCs w:val="32"/>
        </w:rPr>
        <w:fldChar w:fldCharType="separate"/>
      </w:r>
      <w:r>
        <w:rPr>
          <w:rFonts w:hint="eastAsia" w:ascii="宋体" w:hAnsi="宋体" w:cs="宋体"/>
          <w:bCs/>
          <w:caps/>
          <w:sz w:val="32"/>
          <w:szCs w:val="32"/>
        </w:rPr>
        <w:t>周口市政府采购合同融资政策告知函</w:t>
      </w:r>
      <w:r>
        <w:rPr>
          <w:rFonts w:hint="eastAsia" w:ascii="宋体" w:hAnsi="宋体" w:cs="宋体"/>
          <w:bCs/>
          <w:caps/>
          <w:sz w:val="32"/>
          <w:szCs w:val="32"/>
        </w:rPr>
        <w:tab/>
      </w:r>
      <w:r>
        <w:rPr>
          <w:rFonts w:hint="eastAsia" w:ascii="宋体" w:hAnsi="宋体" w:cs="宋体"/>
          <w:bCs/>
          <w:caps/>
          <w:sz w:val="32"/>
          <w:szCs w:val="32"/>
        </w:rPr>
        <w:fldChar w:fldCharType="begin"/>
      </w:r>
      <w:r>
        <w:rPr>
          <w:rFonts w:hint="eastAsia" w:ascii="宋体" w:hAnsi="宋体" w:cs="宋体"/>
          <w:bCs/>
          <w:caps/>
          <w:sz w:val="32"/>
          <w:szCs w:val="32"/>
        </w:rPr>
        <w:instrText xml:space="preserve"> PAGEREF _Toc12913 \h </w:instrText>
      </w:r>
      <w:r>
        <w:rPr>
          <w:rFonts w:hint="eastAsia" w:ascii="宋体" w:hAnsi="宋体" w:cs="宋体"/>
          <w:bCs/>
          <w:caps/>
          <w:sz w:val="32"/>
          <w:szCs w:val="32"/>
        </w:rPr>
        <w:fldChar w:fldCharType="separate"/>
      </w:r>
      <w:r>
        <w:rPr>
          <w:rFonts w:hint="eastAsia" w:ascii="宋体" w:hAnsi="宋体" w:cs="宋体"/>
          <w:bCs/>
          <w:caps/>
          <w:sz w:val="32"/>
          <w:szCs w:val="32"/>
        </w:rPr>
        <w:t>47</w:t>
      </w:r>
      <w:r>
        <w:rPr>
          <w:rFonts w:hint="eastAsia" w:ascii="宋体" w:hAnsi="宋体" w:cs="宋体"/>
          <w:bCs/>
          <w:caps/>
          <w:sz w:val="32"/>
          <w:szCs w:val="32"/>
        </w:rPr>
        <w:fldChar w:fldCharType="end"/>
      </w: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r>
        <w:rPr>
          <w:rFonts w:hint="eastAsia" w:ascii="宋体" w:hAnsi="宋体" w:cs="宋体"/>
          <w:bCs/>
          <w:caps/>
          <w:sz w:val="32"/>
          <w:szCs w:val="32"/>
        </w:rPr>
        <w:fldChar w:fldCharType="end"/>
      </w:r>
    </w:p>
    <w:p>
      <w:pPr>
        <w:pStyle w:val="57"/>
        <w:tabs>
          <w:tab w:val="right" w:leader="dot" w:pos="8390"/>
        </w:tabs>
        <w:rPr>
          <w:rFonts w:hint="eastAsia" w:ascii="宋体" w:hAnsi="宋体" w:cs="宋体"/>
          <w:bCs/>
          <w:caps/>
          <w:sz w:val="32"/>
          <w:szCs w:val="32"/>
        </w:rPr>
      </w:pPr>
    </w:p>
    <w:p>
      <w:pPr>
        <w:pStyle w:val="57"/>
        <w:tabs>
          <w:tab w:val="right" w:leader="dot" w:pos="8390"/>
        </w:tabs>
        <w:rPr>
          <w:rFonts w:hint="eastAsia" w:ascii="宋体" w:hAnsi="宋体" w:cs="宋体"/>
          <w:bCs/>
          <w:caps/>
          <w:sz w:val="32"/>
          <w:szCs w:val="32"/>
        </w:rPr>
      </w:pPr>
    </w:p>
    <w:p>
      <w:pPr>
        <w:pStyle w:val="57"/>
        <w:tabs>
          <w:tab w:val="right" w:leader="dot" w:pos="8390"/>
        </w:tabs>
        <w:rPr>
          <w:rFonts w:hint="eastAsia" w:ascii="宋体" w:hAnsi="宋体" w:cs="宋体"/>
          <w:bCs/>
          <w:caps/>
          <w:sz w:val="32"/>
          <w:szCs w:val="32"/>
        </w:rPr>
      </w:pPr>
    </w:p>
    <w:p>
      <w:pPr>
        <w:pStyle w:val="57"/>
        <w:tabs>
          <w:tab w:val="right" w:leader="dot" w:pos="8390"/>
        </w:tabs>
        <w:rPr>
          <w:rFonts w:hint="eastAsia" w:ascii="宋体" w:hAnsi="宋体" w:cs="宋体"/>
          <w:bCs/>
          <w:caps/>
          <w:sz w:val="32"/>
          <w:szCs w:val="32"/>
        </w:rPr>
      </w:pPr>
    </w:p>
    <w:p>
      <w:pPr>
        <w:rPr>
          <w:rFonts w:hint="eastAsia" w:ascii="宋体" w:hAnsi="宋体" w:cs="宋体"/>
          <w:b/>
          <w:bCs/>
          <w:caps/>
          <w:sz w:val="24"/>
          <w:szCs w:val="24"/>
        </w:rPr>
      </w:pPr>
    </w:p>
    <w:p>
      <w:pPr>
        <w:rPr>
          <w:rFonts w:hint="eastAsia" w:ascii="宋体" w:hAnsi="宋体" w:cs="宋体"/>
          <w:b/>
          <w:bCs/>
          <w:caps/>
          <w:sz w:val="24"/>
          <w:szCs w:val="24"/>
        </w:rPr>
      </w:pPr>
    </w:p>
    <w:p>
      <w:pPr>
        <w:rPr>
          <w:rFonts w:hint="eastAsia" w:ascii="宋体" w:hAnsi="宋体" w:cs="宋体"/>
          <w:b/>
          <w:bCs/>
          <w:caps/>
          <w:sz w:val="24"/>
          <w:szCs w:val="24"/>
        </w:rPr>
      </w:pPr>
    </w:p>
    <w:p>
      <w:pPr>
        <w:rPr>
          <w:rFonts w:hint="eastAsia" w:ascii="宋体" w:hAnsi="宋体" w:cs="宋体"/>
          <w:b/>
          <w:bCs/>
          <w:caps/>
          <w:sz w:val="24"/>
          <w:szCs w:val="24"/>
        </w:rPr>
      </w:pPr>
    </w:p>
    <w:p>
      <w:pPr>
        <w:rPr>
          <w:rFonts w:hint="eastAsia" w:ascii="宋体" w:hAnsi="宋体" w:cs="宋体"/>
          <w:b/>
          <w:bCs/>
          <w:caps/>
          <w:sz w:val="24"/>
          <w:szCs w:val="24"/>
        </w:rPr>
      </w:pPr>
    </w:p>
    <w:p>
      <w:pPr>
        <w:jc w:val="center"/>
        <w:rPr>
          <w:rFonts w:hint="eastAsia" w:ascii="宋体" w:hAnsi="宋体" w:cs="宋体"/>
          <w:b/>
          <w:bCs/>
          <w:caps/>
          <w:sz w:val="24"/>
          <w:szCs w:val="24"/>
        </w:rPr>
      </w:pPr>
      <w:r>
        <w:rPr>
          <w:rFonts w:hint="eastAsia" w:ascii="宋体" w:hAnsi="宋体" w:cs="宋体"/>
          <w:b/>
          <w:bCs/>
          <w:caps/>
          <w:sz w:val="24"/>
          <w:szCs w:val="24"/>
        </w:rPr>
        <w:br w:type="page"/>
      </w:r>
    </w:p>
    <w:p>
      <w:pPr>
        <w:pStyle w:val="4"/>
        <w:numPr>
          <w:ilvl w:val="0"/>
          <w:numId w:val="17"/>
        </w:numPr>
        <w:spacing w:before="0" w:after="0" w:line="240" w:lineRule="auto"/>
        <w:ind w:firstLine="0"/>
        <w:rPr>
          <w:rFonts w:hint="eastAsia" w:ascii="宋体" w:hAnsi="宋体" w:eastAsia="宋体" w:cs="宋体"/>
        </w:rPr>
      </w:pPr>
      <w:bookmarkStart w:id="3" w:name="_Toc28426_WPSOffice_Level1"/>
      <w:bookmarkStart w:id="4" w:name="_Toc20608"/>
      <w:r>
        <w:rPr>
          <w:rFonts w:hint="eastAsia" w:ascii="宋体" w:hAnsi="宋体" w:eastAsia="宋体" w:cs="宋体"/>
        </w:rPr>
        <w:t xml:space="preserve"> 招标公告</w:t>
      </w:r>
      <w:bookmarkEnd w:id="3"/>
      <w:bookmarkEnd w:id="4"/>
    </w:p>
    <w:p>
      <w:pPr>
        <w:rPr>
          <w:rFonts w:hint="eastAsia"/>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项目概况</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周口市机关事务中心周口市办公用房管理系统及办公用房测绘项目的潜在投标人应在周口市公共资源交易中心网（http://jyzx.zhoukou.gov.cn）获取招标文件，并于 </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 xml:space="preserve"> 点</w:t>
      </w:r>
      <w:r>
        <w:rPr>
          <w:rFonts w:hint="eastAsia" w:ascii="宋体" w:hAnsi="宋体" w:cs="宋体"/>
          <w:sz w:val="24"/>
          <w:szCs w:val="24"/>
          <w:lang w:val="en-US" w:eastAsia="zh-CN"/>
        </w:rPr>
        <w:t>00</w:t>
      </w:r>
      <w:r>
        <w:rPr>
          <w:rFonts w:hint="eastAsia" w:ascii="宋体" w:hAnsi="宋体" w:cs="宋体"/>
          <w:sz w:val="24"/>
          <w:szCs w:val="24"/>
        </w:rPr>
        <w:t xml:space="preserve"> 分（北京时间）前递交投标文件。</w:t>
      </w:r>
    </w:p>
    <w:p>
      <w:pPr>
        <w:spacing w:line="360" w:lineRule="auto"/>
        <w:ind w:firstLine="480" w:firstLineChars="200"/>
        <w:jc w:val="left"/>
        <w:rPr>
          <w:rFonts w:hint="eastAsia" w:ascii="宋体" w:hAnsi="宋体" w:cs="宋体"/>
          <w:sz w:val="24"/>
          <w:szCs w:val="24"/>
        </w:rPr>
      </w:pPr>
      <w:bookmarkStart w:id="5" w:name="_Toc35393621"/>
      <w:bookmarkStart w:id="6" w:name="_Toc28359079"/>
      <w:bookmarkStart w:id="7" w:name="_Toc28359002"/>
      <w:bookmarkStart w:id="8" w:name="_Toc35393790"/>
      <w:bookmarkStart w:id="9" w:name="_Hlk24379207"/>
      <w:r>
        <w:rPr>
          <w:rFonts w:hint="eastAsia" w:ascii="宋体" w:hAnsi="宋体" w:cs="宋体"/>
          <w:sz w:val="24"/>
          <w:szCs w:val="24"/>
        </w:rPr>
        <w:t>一、项目基本情况</w:t>
      </w:r>
      <w:bookmarkEnd w:id="5"/>
      <w:bookmarkEnd w:id="6"/>
      <w:bookmarkEnd w:id="7"/>
      <w:bookmarkEnd w:id="8"/>
    </w:p>
    <w:p>
      <w:pPr>
        <w:spacing w:line="360" w:lineRule="auto"/>
        <w:ind w:firstLine="480" w:firstLineChars="200"/>
        <w:jc w:val="left"/>
        <w:rPr>
          <w:rFonts w:ascii="宋体" w:hAnsi="宋体" w:cs="宋体"/>
          <w:sz w:val="24"/>
          <w:szCs w:val="24"/>
        </w:rPr>
      </w:pPr>
      <w:r>
        <w:rPr>
          <w:rFonts w:hint="eastAsia" w:ascii="宋体" w:hAnsi="宋体" w:cs="宋体"/>
          <w:sz w:val="24"/>
          <w:szCs w:val="24"/>
        </w:rPr>
        <w:t>项目编号：2023-09-119</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项目名称：周口市机关事务中心周口市办公用房</w:t>
      </w:r>
      <w:bookmarkStart w:id="220" w:name="_GoBack"/>
      <w:r>
        <w:rPr>
          <w:rFonts w:hint="eastAsia" w:ascii="宋体" w:hAnsi="宋体" w:cs="宋体"/>
          <w:sz w:val="24"/>
          <w:szCs w:val="24"/>
        </w:rPr>
        <w:t>管理系统及办公用房测</w:t>
      </w:r>
      <w:bookmarkEnd w:id="220"/>
      <w:r>
        <w:rPr>
          <w:rFonts w:hint="eastAsia" w:ascii="宋体" w:hAnsi="宋体" w:cs="宋体"/>
          <w:sz w:val="24"/>
          <w:szCs w:val="24"/>
        </w:rPr>
        <w:t>绘项目</w:t>
      </w:r>
    </w:p>
    <w:bookmarkEnd w:id="9"/>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预算金额：约184万元</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最高限价（如有）：一标段：85万元；二标段：2标，每平方米1.1元以内，据实结算。测绘没有权属登记的宗地面积；国有资产（房产）建筑面积（含室内面积）</w:t>
      </w:r>
    </w:p>
    <w:p>
      <w:pPr>
        <w:pStyle w:val="2"/>
        <w:adjustRightInd w:val="0"/>
        <w:snapToGrid w:val="0"/>
        <w:spacing w:line="360" w:lineRule="auto"/>
        <w:ind w:firstLine="480" w:firstLineChars="200"/>
        <w:rPr>
          <w:rFonts w:hint="eastAsia"/>
        </w:rPr>
      </w:pPr>
      <w:r>
        <w:rPr>
          <w:rFonts w:hint="eastAsia" w:hAnsi="宋体" w:cs="宋体"/>
          <w:color w:val="000000"/>
          <w:kern w:val="0"/>
          <w:sz w:val="24"/>
          <w:szCs w:val="24"/>
        </w:rPr>
        <w:t>采购方式：公开招标</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包别划分：</w:t>
      </w:r>
      <w:r>
        <w:rPr>
          <w:rFonts w:hint="eastAsia" w:ascii="宋体" w:hAnsi="宋体" w:cs="宋体"/>
          <w:sz w:val="24"/>
          <w:szCs w:val="24"/>
          <w:u w:val="single"/>
        </w:rPr>
        <w:t>2</w:t>
      </w:r>
      <w:r>
        <w:rPr>
          <w:rFonts w:hint="eastAsia" w:ascii="宋体" w:hAnsi="宋体" w:cs="宋体"/>
          <w:sz w:val="24"/>
          <w:szCs w:val="24"/>
        </w:rPr>
        <w:t>个包</w:t>
      </w:r>
    </w:p>
    <w:tbl>
      <w:tblPr>
        <w:tblStyle w:val="71"/>
        <w:tblpPr w:leftFromText="180" w:rightFromText="180" w:vertAnchor="text" w:horzAnchor="margin" w:tblpXSpec="center" w:tblpY="154"/>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76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9" w:hRule="atLeast"/>
        </w:trPr>
        <w:tc>
          <w:tcPr>
            <w:tcW w:w="1161" w:type="dxa"/>
            <w:noWrap w:val="0"/>
            <w:vAlign w:val="center"/>
          </w:tcPr>
          <w:p>
            <w:pPr>
              <w:spacing w:line="360" w:lineRule="auto"/>
              <w:jc w:val="left"/>
              <w:rPr>
                <w:rFonts w:hint="eastAsia" w:ascii="宋体" w:hAnsi="宋体" w:cs="宋体"/>
                <w:sz w:val="24"/>
                <w:szCs w:val="24"/>
              </w:rPr>
            </w:pPr>
            <w:r>
              <w:rPr>
                <w:rFonts w:hint="eastAsia" w:ascii="宋体" w:hAnsi="宋体" w:cs="宋体"/>
                <w:sz w:val="24"/>
                <w:szCs w:val="24"/>
              </w:rPr>
              <w:t>包号</w:t>
            </w:r>
          </w:p>
        </w:tc>
        <w:tc>
          <w:tcPr>
            <w:tcW w:w="3767" w:type="dxa"/>
            <w:noWrap w:val="0"/>
            <w:vAlign w:val="center"/>
          </w:tcPr>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包名称</w:t>
            </w:r>
          </w:p>
        </w:tc>
        <w:tc>
          <w:tcPr>
            <w:tcW w:w="3118" w:type="dxa"/>
            <w:noWrap w:val="0"/>
            <w:vAlign w:val="center"/>
          </w:tcPr>
          <w:p>
            <w:pPr>
              <w:spacing w:line="360" w:lineRule="auto"/>
              <w:jc w:val="left"/>
              <w:rPr>
                <w:rFonts w:hint="eastAsia" w:ascii="宋体" w:hAnsi="宋体" w:cs="宋体"/>
                <w:sz w:val="24"/>
                <w:szCs w:val="24"/>
              </w:rPr>
            </w:pPr>
            <w:r>
              <w:rPr>
                <w:rFonts w:hint="eastAsia" w:ascii="宋体" w:hAnsi="宋体" w:cs="宋体"/>
                <w:sz w:val="24"/>
                <w:szCs w:val="24"/>
              </w:rPr>
              <w:t>包最高限价万元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1" w:hRule="atLeast"/>
        </w:trPr>
        <w:tc>
          <w:tcPr>
            <w:tcW w:w="1161" w:type="dxa"/>
            <w:noWrap w:val="0"/>
            <w:vAlign w:val="center"/>
          </w:tcPr>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p>
        </w:tc>
        <w:tc>
          <w:tcPr>
            <w:tcW w:w="3767" w:type="dxa"/>
            <w:noWrap w:val="0"/>
            <w:vAlign w:val="center"/>
          </w:tcPr>
          <w:p>
            <w:pPr>
              <w:spacing w:line="360" w:lineRule="auto"/>
              <w:jc w:val="left"/>
              <w:rPr>
                <w:rFonts w:ascii="宋体" w:hAnsi="宋体" w:cs="宋体"/>
                <w:sz w:val="24"/>
                <w:szCs w:val="24"/>
              </w:rPr>
            </w:pPr>
            <w:r>
              <w:rPr>
                <w:rFonts w:hint="eastAsia" w:ascii="宋体" w:hAnsi="宋体" w:cs="宋体"/>
                <w:sz w:val="24"/>
                <w:szCs w:val="24"/>
              </w:rPr>
              <w:t>其他房地产服务</w:t>
            </w:r>
          </w:p>
        </w:tc>
        <w:tc>
          <w:tcPr>
            <w:tcW w:w="3118" w:type="dxa"/>
            <w:noWrap w:val="0"/>
            <w:vAlign w:val="center"/>
          </w:tcPr>
          <w:p>
            <w:pPr>
              <w:spacing w:line="360" w:lineRule="auto"/>
              <w:ind w:firstLine="720" w:firstLineChars="300"/>
              <w:rPr>
                <w:rFonts w:ascii="宋体" w:hAnsi="宋体" w:cs="宋体"/>
                <w:sz w:val="24"/>
                <w:szCs w:val="24"/>
              </w:rPr>
            </w:pPr>
            <w:r>
              <w:rPr>
                <w:rFonts w:hint="eastAsia" w:ascii="宋体" w:hAnsi="宋体" w:cs="宋体"/>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trPr>
        <w:tc>
          <w:tcPr>
            <w:tcW w:w="1161" w:type="dxa"/>
            <w:noWrap w:val="0"/>
            <w:vAlign w:val="center"/>
          </w:tcPr>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p>
        </w:tc>
        <w:tc>
          <w:tcPr>
            <w:tcW w:w="3767" w:type="dxa"/>
            <w:noWrap w:val="0"/>
            <w:vAlign w:val="center"/>
          </w:tcPr>
          <w:p>
            <w:pPr>
              <w:spacing w:line="360" w:lineRule="auto"/>
              <w:jc w:val="left"/>
              <w:rPr>
                <w:rFonts w:hint="eastAsia" w:ascii="宋体" w:hAnsi="宋体" w:cs="宋体"/>
                <w:sz w:val="24"/>
                <w:szCs w:val="24"/>
              </w:rPr>
            </w:pPr>
            <w:r>
              <w:rPr>
                <w:rFonts w:hint="eastAsia" w:ascii="宋体" w:hAnsi="宋体" w:cs="宋体"/>
                <w:sz w:val="24"/>
                <w:szCs w:val="24"/>
              </w:rPr>
              <w:t>测绘服务</w:t>
            </w:r>
          </w:p>
        </w:tc>
        <w:tc>
          <w:tcPr>
            <w:tcW w:w="3118"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每平方米1.1元以内，据实结算。测绘没有权属登记的宗地面积；国有资产（房产）建筑面积（含室内面积）</w:t>
            </w:r>
          </w:p>
        </w:tc>
      </w:tr>
    </w:tbl>
    <w:p>
      <w:pPr>
        <w:spacing w:line="360" w:lineRule="auto"/>
        <w:ind w:firstLine="480" w:firstLineChars="200"/>
        <w:jc w:val="left"/>
        <w:rPr>
          <w:rFonts w:hint="eastAsia" w:ascii="宋体" w:hAnsi="宋体" w:cs="宋体"/>
          <w:sz w:val="24"/>
          <w:szCs w:val="24"/>
        </w:rPr>
      </w:pP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采购需求：其他专业技术服务（包括但不限于标的的名称、数量、简要技术需求或服务要求等）</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合同履行期限：</w:t>
      </w:r>
      <w:bookmarkStart w:id="10" w:name="_Toc28359003"/>
      <w:bookmarkStart w:id="11" w:name="_Toc35393622"/>
      <w:bookmarkStart w:id="12" w:name="_Toc28359080"/>
      <w:bookmarkStart w:id="13" w:name="_Toc35393791"/>
      <w:r>
        <w:rPr>
          <w:rFonts w:hint="eastAsia" w:ascii="宋体" w:hAnsi="宋体" w:cs="宋体"/>
          <w:sz w:val="24"/>
          <w:szCs w:val="24"/>
        </w:rPr>
        <w:t>1标段：60日历天、 2标段：180日历天；</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是否接受进口产品：否</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本项目是否接受联合体投标：否</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本项目是否为只面向中小企业采购：否</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二、申请人的资格要求：</w:t>
      </w:r>
      <w:bookmarkEnd w:id="10"/>
      <w:bookmarkEnd w:id="11"/>
      <w:bookmarkEnd w:id="12"/>
      <w:bookmarkEnd w:id="13"/>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1.满足《中华人民共和国政府采购法》第二十二条规定；</w:t>
      </w:r>
    </w:p>
    <w:p>
      <w:pPr>
        <w:pStyle w:val="2"/>
        <w:adjustRightInd w:val="0"/>
        <w:snapToGrid w:val="0"/>
        <w:spacing w:line="360" w:lineRule="auto"/>
        <w:ind w:firstLine="480" w:firstLineChars="200"/>
        <w:rPr>
          <w:rFonts w:hint="eastAsia" w:hAnsi="宋体" w:cs="宋体"/>
          <w:sz w:val="24"/>
          <w:szCs w:val="24"/>
        </w:rPr>
      </w:pPr>
      <w:r>
        <w:rPr>
          <w:rFonts w:hint="eastAsia" w:hAnsi="宋体" w:cs="宋体"/>
          <w:sz w:val="24"/>
          <w:szCs w:val="24"/>
        </w:rPr>
        <w:t>（1）具有独立承担民事责任的能力（企业营业执照等证明文件）；</w:t>
      </w:r>
    </w:p>
    <w:p>
      <w:pPr>
        <w:pStyle w:val="2"/>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（2）具有良好的商业信誉和健全的财务会计制度；</w:t>
      </w:r>
    </w:p>
    <w:p>
      <w:pPr>
        <w:pStyle w:val="2"/>
        <w:adjustRightInd w:val="0"/>
        <w:snapToGrid w:val="0"/>
        <w:spacing w:line="360" w:lineRule="auto"/>
        <w:ind w:firstLine="480" w:firstLineChars="200"/>
        <w:rPr>
          <w:rFonts w:hint="eastAsia" w:hAnsi="宋体" w:cs="宋体"/>
          <w:sz w:val="24"/>
          <w:szCs w:val="24"/>
        </w:rPr>
      </w:pPr>
      <w:r>
        <w:rPr>
          <w:rFonts w:hint="eastAsia" w:hAnsi="宋体" w:cs="宋体"/>
          <w:sz w:val="24"/>
          <w:szCs w:val="24"/>
        </w:rPr>
        <w:t>（3）具有履行合同所必需的设备和专业技术能力；</w:t>
      </w:r>
    </w:p>
    <w:p>
      <w:pPr>
        <w:pStyle w:val="2"/>
        <w:adjustRightInd w:val="0"/>
        <w:snapToGrid w:val="0"/>
        <w:spacing w:line="360" w:lineRule="auto"/>
        <w:ind w:firstLine="480" w:firstLineChars="200"/>
        <w:rPr>
          <w:rFonts w:hint="eastAsia" w:hAnsi="宋体" w:cs="宋体"/>
          <w:sz w:val="24"/>
          <w:szCs w:val="24"/>
        </w:rPr>
      </w:pPr>
      <w:r>
        <w:rPr>
          <w:rFonts w:hint="eastAsia" w:hAnsi="宋体" w:cs="宋体"/>
          <w:sz w:val="24"/>
          <w:szCs w:val="24"/>
        </w:rPr>
        <w:t>（4）有依法缴纳税收和社会保障资金的良好记录（缴纳的税收凭据、社会保险凭据，依法免税或不需要缴纳社会保障资金的供应商应提供相应的证明文件）；</w:t>
      </w:r>
    </w:p>
    <w:p>
      <w:pPr>
        <w:pStyle w:val="2"/>
        <w:adjustRightInd w:val="0"/>
        <w:snapToGrid w:val="0"/>
        <w:spacing w:line="360" w:lineRule="auto"/>
        <w:ind w:firstLine="480" w:firstLineChars="200"/>
        <w:rPr>
          <w:rFonts w:hint="eastAsia"/>
        </w:rPr>
      </w:pPr>
      <w:r>
        <w:rPr>
          <w:rFonts w:hint="eastAsia" w:hAnsi="宋体" w:cs="宋体"/>
          <w:sz w:val="24"/>
          <w:szCs w:val="24"/>
        </w:rPr>
        <w:t>（5）参加政府采购活动前三年内，在经营活动中没有重大违法记录（提供没有重大违法记录的书面声明函，格式自拟）；</w:t>
      </w:r>
    </w:p>
    <w:p>
      <w:pPr>
        <w:spacing w:line="360" w:lineRule="auto"/>
        <w:ind w:firstLine="480" w:firstLineChars="200"/>
        <w:jc w:val="left"/>
        <w:rPr>
          <w:rFonts w:hint="eastAsia" w:ascii="宋体" w:hAnsi="宋体" w:cs="宋体"/>
          <w:sz w:val="24"/>
          <w:szCs w:val="24"/>
        </w:rPr>
      </w:pPr>
      <w:bookmarkStart w:id="14" w:name="_Toc28359081"/>
      <w:bookmarkStart w:id="15" w:name="_Toc28359004"/>
      <w:r>
        <w:rPr>
          <w:rFonts w:hint="eastAsia" w:ascii="宋体" w:hAnsi="宋体" w:cs="宋体"/>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3.本项目的特定资格要求：（1）根据《关于在政府采购活动中查询及使用信用记录有关问题的通知》(财库[2016]125号)和豫财购【2016】15号的规定，对列入“信用中国”网站（</w:t>
      </w:r>
      <w:r>
        <w:rPr>
          <w:rFonts w:hint="eastAsia" w:ascii="宋体" w:hAnsi="宋体" w:cs="宋体"/>
          <w:sz w:val="24"/>
          <w:szCs w:val="24"/>
        </w:rPr>
        <w:fldChar w:fldCharType="begin"/>
      </w:r>
      <w:r>
        <w:rPr>
          <w:rFonts w:hint="eastAsia" w:ascii="宋体" w:hAnsi="宋体" w:cs="宋体"/>
          <w:sz w:val="24"/>
          <w:szCs w:val="24"/>
        </w:rPr>
        <w:instrText xml:space="preserve">HYPERLINK "http://www.creditchina.gov.cn/"</w:instrText>
      </w:r>
      <w:r>
        <w:rPr>
          <w:rFonts w:hint="eastAsia" w:ascii="宋体" w:hAnsi="宋体" w:cs="宋体"/>
          <w:sz w:val="24"/>
          <w:szCs w:val="24"/>
        </w:rP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）的“失信被执行人”、“政府采购严重违法失信行为记录名单”、“重大税收违法失信主体”的供应商和法定代表人和“中国政府采购”网站(</w:t>
      </w:r>
      <w:r>
        <w:rPr>
          <w:rFonts w:hint="eastAsia" w:ascii="宋体" w:hAnsi="宋体" w:cs="宋体"/>
          <w:sz w:val="24"/>
          <w:szCs w:val="24"/>
        </w:rPr>
        <w:fldChar w:fldCharType="begin"/>
      </w:r>
      <w:r>
        <w:rPr>
          <w:rFonts w:hint="eastAsia" w:ascii="宋体" w:hAnsi="宋体" w:cs="宋体"/>
          <w:sz w:val="24"/>
          <w:szCs w:val="24"/>
        </w:rPr>
        <w:instrText xml:space="preserve">HYPERLINK "http://www.ccgp.gov.cn/"</w:instrText>
      </w:r>
      <w:r>
        <w:rPr>
          <w:rFonts w:hint="eastAsia" w:ascii="宋体" w:hAnsi="宋体" w:cs="宋体"/>
          <w:sz w:val="24"/>
          <w:szCs w:val="24"/>
        </w:rPr>
        <w:fldChar w:fldCharType="separate"/>
      </w:r>
      <w:r>
        <w:rPr>
          <w:rFonts w:hint="eastAsia" w:ascii="宋体" w:hAnsi="宋体" w:cs="宋体"/>
          <w:sz w:val="24"/>
          <w:szCs w:val="24"/>
        </w:rPr>
        <w:t>www.ccgp.gov.cn</w:t>
      </w:r>
      <w:r>
        <w:rPr>
          <w:rFonts w:hint="eastAsia" w:ascii="宋体" w:hAnsi="宋体" w:cs="宋体"/>
          <w:sz w:val="24"/>
          <w:szCs w:val="24"/>
        </w:rPr>
        <w:fldChar w:fldCharType="end"/>
      </w:r>
      <w:r>
        <w:rPr>
          <w:rFonts w:hint="eastAsia" w:ascii="宋体" w:hAnsi="宋体" w:cs="宋体"/>
          <w:sz w:val="24"/>
          <w:szCs w:val="24"/>
        </w:rPr>
        <w:t>)的“政府采购严重违法失信行为记录名单”的供应商，将拒绝其参加政府采购活动；在标书中附网页查询截图，查询日期为公告发布之日起至投标截止之日止。</w:t>
      </w:r>
    </w:p>
    <w:p>
      <w:pPr>
        <w:pStyle w:val="2"/>
        <w:spacing w:line="360" w:lineRule="auto"/>
        <w:ind w:firstLine="480" w:firstLineChars="200"/>
      </w:pPr>
      <w:r>
        <w:rPr>
          <w:rFonts w:hint="eastAsia" w:hAnsi="宋体" w:cs="宋体"/>
          <w:sz w:val="24"/>
          <w:szCs w:val="24"/>
        </w:rPr>
        <w:t>4. 2标段投标人须具备乙级寄以上测绘资质；（专业应至少包含：摄影测量与遥感、地理信息系统工程、工程测量、界限与不动产测绘）</w:t>
      </w:r>
    </w:p>
    <w:p>
      <w:pPr>
        <w:spacing w:line="360" w:lineRule="auto"/>
        <w:ind w:firstLine="480" w:firstLineChars="200"/>
        <w:jc w:val="left"/>
        <w:rPr>
          <w:rFonts w:hint="eastAsia" w:ascii="宋体" w:hAnsi="宋体" w:cs="宋体"/>
          <w:sz w:val="24"/>
          <w:szCs w:val="24"/>
        </w:rPr>
      </w:pPr>
      <w:bookmarkStart w:id="16" w:name="_Toc35393792"/>
      <w:bookmarkStart w:id="17" w:name="_Toc35393623"/>
      <w:r>
        <w:rPr>
          <w:rFonts w:hint="eastAsia" w:ascii="宋体" w:hAnsi="宋体" w:cs="宋体"/>
          <w:sz w:val="24"/>
          <w:szCs w:val="24"/>
        </w:rPr>
        <w:t>三、获取招标文件</w:t>
      </w:r>
      <w:bookmarkEnd w:id="14"/>
      <w:bookmarkEnd w:id="15"/>
      <w:bookmarkEnd w:id="16"/>
      <w:bookmarkEnd w:id="17"/>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时间： 2023 年10 月</w:t>
      </w:r>
      <w:r>
        <w:rPr>
          <w:rFonts w:hint="eastAsia" w:ascii="宋体" w:hAnsi="宋体" w:cs="宋体"/>
          <w:sz w:val="24"/>
          <w:szCs w:val="24"/>
          <w:lang w:val="en-US" w:eastAsia="zh-CN"/>
        </w:rPr>
        <w:t>13</w:t>
      </w:r>
      <w:r>
        <w:rPr>
          <w:rFonts w:hint="eastAsia" w:ascii="宋体" w:hAnsi="宋体" w:cs="宋体"/>
          <w:sz w:val="24"/>
          <w:szCs w:val="24"/>
        </w:rPr>
        <w:t>日至  2023年10月</w:t>
      </w:r>
      <w:r>
        <w:rPr>
          <w:rFonts w:hint="eastAsia" w:ascii="宋体" w:hAnsi="宋体" w:cs="宋体"/>
          <w:sz w:val="24"/>
          <w:szCs w:val="24"/>
          <w:lang w:val="en-US" w:eastAsia="zh-CN"/>
        </w:rPr>
        <w:t>20</w:t>
      </w:r>
      <w:r>
        <w:rPr>
          <w:rFonts w:hint="eastAsia" w:ascii="宋体" w:hAnsi="宋体" w:cs="宋体"/>
          <w:sz w:val="24"/>
          <w:szCs w:val="24"/>
        </w:rPr>
        <w:t>日，每天上午0：00至12：00　，下午12：00　至　23：59（北京时间，法定节假日除外）</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地点：周口市公共资源交易中心网（http://jyzx.zhoukou.gov.cn）</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方式：供应商请在网站自主注册后下载采购文件（zkzf格式）及资料，需办理CA数字证书后方可提交响应文件，具体办理事宜请查阅周口市公共资源交易中心网站。</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售价：0</w:t>
      </w:r>
    </w:p>
    <w:p>
      <w:pPr>
        <w:spacing w:line="360" w:lineRule="auto"/>
        <w:ind w:firstLine="480" w:firstLineChars="200"/>
        <w:jc w:val="left"/>
        <w:rPr>
          <w:rFonts w:hint="eastAsia" w:ascii="宋体" w:hAnsi="宋体" w:cs="宋体"/>
          <w:sz w:val="24"/>
          <w:szCs w:val="24"/>
        </w:rPr>
      </w:pPr>
      <w:bookmarkStart w:id="18" w:name="_Toc28359005"/>
      <w:bookmarkStart w:id="19" w:name="_Toc28359082"/>
      <w:bookmarkStart w:id="20" w:name="_Toc35393793"/>
      <w:bookmarkStart w:id="21" w:name="_Toc35393624"/>
      <w:r>
        <w:rPr>
          <w:rFonts w:hint="eastAsia" w:ascii="宋体" w:hAnsi="宋体" w:cs="宋体"/>
          <w:sz w:val="24"/>
          <w:szCs w:val="24"/>
        </w:rPr>
        <w:t>四、提交投标文件</w:t>
      </w:r>
      <w:bookmarkEnd w:id="18"/>
      <w:bookmarkEnd w:id="19"/>
      <w:r>
        <w:rPr>
          <w:rFonts w:hint="eastAsia" w:ascii="宋体" w:hAnsi="宋体" w:cs="宋体"/>
          <w:sz w:val="24"/>
          <w:szCs w:val="24"/>
        </w:rPr>
        <w:t>截止时间、开标时间和地点</w:t>
      </w:r>
      <w:bookmarkEnd w:id="20"/>
      <w:bookmarkEnd w:id="21"/>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时间： </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 xml:space="preserve"> 点</w:t>
      </w:r>
      <w:r>
        <w:rPr>
          <w:rFonts w:hint="eastAsia" w:ascii="宋体" w:hAnsi="宋体" w:cs="宋体"/>
          <w:sz w:val="24"/>
          <w:szCs w:val="24"/>
          <w:lang w:val="en-US" w:eastAsia="zh-CN"/>
        </w:rPr>
        <w:t>00</w:t>
      </w:r>
      <w:r>
        <w:rPr>
          <w:rFonts w:hint="eastAsia" w:ascii="宋体" w:hAnsi="宋体" w:cs="宋体"/>
          <w:sz w:val="24"/>
          <w:szCs w:val="24"/>
        </w:rPr>
        <w:t xml:space="preserve"> 分（北京时间）</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地点：周口市公共资源交易中心开标室</w:t>
      </w:r>
    </w:p>
    <w:p>
      <w:pPr>
        <w:spacing w:line="360" w:lineRule="auto"/>
        <w:ind w:firstLine="480" w:firstLineChars="200"/>
        <w:jc w:val="left"/>
        <w:rPr>
          <w:rFonts w:hint="eastAsia" w:ascii="宋体" w:hAnsi="宋体" w:cs="宋体"/>
          <w:sz w:val="24"/>
          <w:szCs w:val="24"/>
        </w:rPr>
      </w:pPr>
      <w:bookmarkStart w:id="22" w:name="_Toc35393794"/>
      <w:bookmarkStart w:id="23" w:name="_Toc28359084"/>
      <w:bookmarkStart w:id="24" w:name="_Toc35393625"/>
      <w:bookmarkStart w:id="25" w:name="_Toc28359007"/>
      <w:r>
        <w:rPr>
          <w:rFonts w:hint="eastAsia" w:ascii="宋体" w:hAnsi="宋体" w:cs="宋体"/>
          <w:sz w:val="24"/>
          <w:szCs w:val="24"/>
        </w:rPr>
        <w:t>五、公告期限</w:t>
      </w:r>
      <w:bookmarkEnd w:id="22"/>
      <w:bookmarkEnd w:id="23"/>
      <w:bookmarkEnd w:id="24"/>
      <w:bookmarkEnd w:id="25"/>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自本公告发布之日起5个工作日。</w:t>
      </w:r>
    </w:p>
    <w:p>
      <w:pPr>
        <w:spacing w:line="360" w:lineRule="auto"/>
        <w:ind w:firstLine="480" w:firstLineChars="200"/>
        <w:jc w:val="left"/>
        <w:rPr>
          <w:rFonts w:hint="eastAsia" w:ascii="宋体" w:hAnsi="宋体" w:cs="宋体"/>
          <w:sz w:val="24"/>
          <w:szCs w:val="24"/>
        </w:rPr>
      </w:pPr>
      <w:bookmarkStart w:id="26" w:name="_Toc35393626"/>
      <w:bookmarkStart w:id="27" w:name="_Toc35393795"/>
      <w:r>
        <w:rPr>
          <w:rFonts w:hint="eastAsia" w:ascii="宋体" w:hAnsi="宋体" w:cs="宋体"/>
          <w:sz w:val="24"/>
          <w:szCs w:val="24"/>
        </w:rPr>
        <w:t>六、其他补充事宜</w:t>
      </w:r>
      <w:bookmarkEnd w:id="26"/>
      <w:bookmarkEnd w:id="27"/>
    </w:p>
    <w:p>
      <w:pPr>
        <w:spacing w:line="360" w:lineRule="auto"/>
        <w:ind w:firstLine="480" w:firstLineChars="200"/>
        <w:jc w:val="left"/>
        <w:rPr>
          <w:rFonts w:hint="eastAsia" w:ascii="宋体" w:hAnsi="宋体" w:cs="宋体"/>
          <w:sz w:val="24"/>
          <w:szCs w:val="24"/>
        </w:rPr>
      </w:pPr>
      <w:bookmarkStart w:id="28" w:name="_Toc35393796"/>
      <w:bookmarkStart w:id="29" w:name="_Toc28359008"/>
      <w:bookmarkStart w:id="30" w:name="_Toc28359085"/>
      <w:bookmarkStart w:id="31" w:name="_Toc35393627"/>
      <w:r>
        <w:rPr>
          <w:rFonts w:hint="eastAsia" w:ascii="宋体" w:hAnsi="宋体" w:cs="宋体"/>
          <w:sz w:val="24"/>
          <w:szCs w:val="24"/>
        </w:rPr>
        <w:t>无</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七、对本次招标提出询问，请按以下方式联系。</w:t>
      </w:r>
      <w:bookmarkEnd w:id="28"/>
      <w:bookmarkEnd w:id="29"/>
      <w:bookmarkEnd w:id="30"/>
      <w:bookmarkEnd w:id="31"/>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1.采购人信息</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称：周口市机关事务中心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地址：周口市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项目联系人：许迎新       联系方式：13503941765 　　　　　　　　　　　 </w:t>
      </w:r>
      <w:bookmarkStart w:id="32" w:name="_Toc28359009"/>
      <w:bookmarkStart w:id="33" w:name="_Toc28359086"/>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2.采购代理机构信息</w:t>
      </w:r>
      <w:bookmarkEnd w:id="32"/>
      <w:bookmarkEnd w:id="33"/>
    </w:p>
    <w:p>
      <w:pPr>
        <w:pStyle w:val="2"/>
        <w:adjustRightInd w:val="0"/>
        <w:snapToGrid w:val="0"/>
        <w:spacing w:line="360" w:lineRule="auto"/>
        <w:ind w:firstLine="480" w:firstLineChars="200"/>
        <w:rPr>
          <w:rFonts w:hint="eastAsia" w:hAnsi="宋体" w:cs="宋体"/>
          <w:sz w:val="24"/>
          <w:szCs w:val="24"/>
        </w:rPr>
      </w:pPr>
      <w:r>
        <w:rPr>
          <w:rFonts w:hint="eastAsia" w:hAnsi="宋体" w:cs="宋体"/>
          <w:sz w:val="24"/>
          <w:szCs w:val="24"/>
        </w:rPr>
        <w:t>名 称：周口市公共资源交易中心政府采购中心　　　　　　　　　　　　</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　址：周口市光明路与政通路交叉口向北100米路东</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项目联系人： </w:t>
      </w:r>
      <w:r>
        <w:rPr>
          <w:rFonts w:hint="eastAsia" w:ascii="宋体" w:hAnsi="宋体" w:cs="宋体"/>
          <w:sz w:val="24"/>
          <w:szCs w:val="24"/>
          <w:lang w:val="en-US" w:eastAsia="zh-CN"/>
        </w:rPr>
        <w:t>张光</w:t>
      </w:r>
      <w:r>
        <w:rPr>
          <w:rFonts w:hint="eastAsia" w:ascii="宋体" w:hAnsi="宋体" w:cs="宋体"/>
          <w:sz w:val="24"/>
          <w:szCs w:val="24"/>
        </w:rPr>
        <w:t xml:space="preserve">        联系方式：</w:t>
      </w:r>
      <w:bookmarkStart w:id="34" w:name="_Toc28359010"/>
      <w:bookmarkStart w:id="35" w:name="_Toc28359087"/>
      <w:r>
        <w:rPr>
          <w:rFonts w:hint="eastAsia" w:ascii="宋体" w:hAnsi="宋体" w:cs="宋体"/>
          <w:sz w:val="24"/>
          <w:szCs w:val="24"/>
          <w:lang w:val="en-US" w:eastAsia="zh-CN"/>
        </w:rPr>
        <w:t>0394-8106517</w:t>
      </w:r>
      <w:r>
        <w:rPr>
          <w:rFonts w:hint="eastAsia" w:ascii="宋体" w:hAnsi="宋体" w:cs="宋体"/>
          <w:sz w:val="24"/>
          <w:szCs w:val="24"/>
        </w:rPr>
        <w:t>　　　　　　　　</w:t>
      </w:r>
    </w:p>
    <w:bookmarkEnd w:id="34"/>
    <w:bookmarkEnd w:id="35"/>
    <w:p>
      <w:pPr>
        <w:adjustRightInd w:val="0"/>
        <w:snapToGrid w:val="0"/>
        <w:spacing w:line="360" w:lineRule="auto"/>
        <w:ind w:firstLine="480" w:firstLineChars="200"/>
        <w:rPr>
          <w:rFonts w:ascii="宋体" w:hAnsi="宋体" w:cs="宋体"/>
          <w:sz w:val="24"/>
        </w:rPr>
      </w:pPr>
      <w:r>
        <w:rPr>
          <w:rFonts w:hint="eastAsia" w:ascii="宋体" w:hAnsi="宋体" w:cs="宋体"/>
          <w:sz w:val="24"/>
          <w:szCs w:val="24"/>
        </w:rPr>
        <w:t>3.监督单位：</w:t>
      </w:r>
      <w:r>
        <w:rPr>
          <w:rFonts w:hint="eastAsia" w:ascii="宋体" w:hAnsi="宋体" w:cs="宋体"/>
          <w:sz w:val="24"/>
        </w:rPr>
        <w:t>周口市财政局政府采购监督管理科</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联系电话：0394-8106976 </w:t>
      </w:r>
    </w:p>
    <w:p>
      <w:pPr>
        <w:spacing w:line="360" w:lineRule="auto"/>
        <w:ind w:firstLine="420" w:firstLineChars="200"/>
        <w:jc w:val="left"/>
      </w:pPr>
    </w:p>
    <w:p>
      <w:pPr>
        <w:pStyle w:val="2"/>
        <w:adjustRightInd w:val="0"/>
        <w:snapToGrid w:val="0"/>
        <w:spacing w:line="360" w:lineRule="auto"/>
        <w:ind w:firstLine="2040" w:firstLineChars="850"/>
        <w:rPr>
          <w:rFonts w:hint="eastAsia" w:hAnsi="宋体" w:cs="宋体"/>
          <w:sz w:val="24"/>
          <w:szCs w:val="24"/>
        </w:rPr>
      </w:pPr>
    </w:p>
    <w:p>
      <w:pPr>
        <w:pStyle w:val="2"/>
        <w:adjustRightInd w:val="0"/>
        <w:snapToGrid w:val="0"/>
        <w:spacing w:line="360" w:lineRule="auto"/>
        <w:ind w:firstLine="2040" w:firstLineChars="850"/>
        <w:rPr>
          <w:rFonts w:hint="eastAsia" w:hAnsi="宋体" w:cs="宋体"/>
          <w:sz w:val="24"/>
          <w:szCs w:val="24"/>
        </w:rPr>
      </w:pPr>
    </w:p>
    <w:p>
      <w:pPr>
        <w:pStyle w:val="2"/>
        <w:adjustRightInd w:val="0"/>
        <w:snapToGrid w:val="0"/>
        <w:spacing w:line="360" w:lineRule="auto"/>
        <w:ind w:firstLine="2040" w:firstLineChars="850"/>
        <w:rPr>
          <w:rFonts w:hint="eastAsia" w:hAnsi="宋体" w:cs="宋体"/>
          <w:sz w:val="24"/>
          <w:szCs w:val="24"/>
        </w:rPr>
      </w:pPr>
    </w:p>
    <w:p>
      <w:pPr>
        <w:pStyle w:val="2"/>
        <w:adjustRightInd w:val="0"/>
        <w:snapToGrid w:val="0"/>
        <w:spacing w:line="360" w:lineRule="auto"/>
        <w:ind w:firstLine="2040" w:firstLineChars="850"/>
        <w:rPr>
          <w:rFonts w:hint="eastAsia" w:hAnsi="宋体" w:cs="宋体"/>
          <w:sz w:val="24"/>
          <w:szCs w:val="24"/>
        </w:rPr>
      </w:pPr>
      <w:r>
        <w:rPr>
          <w:rFonts w:hint="eastAsia" w:hAnsi="宋体" w:cs="宋体"/>
          <w:sz w:val="24"/>
          <w:szCs w:val="24"/>
        </w:rPr>
        <w:t>周口市公共资源交易中心政府采购中心</w:t>
      </w:r>
    </w:p>
    <w:p>
      <w:pPr>
        <w:pStyle w:val="50"/>
        <w:adjustRightInd w:val="0"/>
        <w:spacing w:line="360" w:lineRule="auto"/>
        <w:ind w:firstLine="3360" w:firstLineChars="1400"/>
        <w:rPr>
          <w:rFonts w:hint="eastAsia" w:ascii="宋体" w:hAnsi="宋体" w:cs="宋体"/>
        </w:rPr>
      </w:pPr>
      <w:r>
        <w:rPr>
          <w:rFonts w:hint="eastAsia" w:ascii="宋体" w:hAnsi="宋体" w:cs="宋体"/>
          <w:sz w:val="24"/>
          <w:szCs w:val="24"/>
        </w:rPr>
        <w:t>2023年</w:t>
      </w:r>
      <w:r>
        <w:rPr>
          <w:rFonts w:hint="eastAsia" w:ascii="宋体" w:hAnsi="宋体" w:cs="宋体"/>
          <w:color w:val="000000"/>
          <w:sz w:val="24"/>
          <w:szCs w:val="24"/>
          <w:lang w:val="en-US" w:eastAsia="zh-CN"/>
        </w:rPr>
        <w:t>10</w:t>
      </w:r>
      <w:r>
        <w:rPr>
          <w:rFonts w:hint="eastAsia" w:ascii="宋体" w:hAnsi="宋体" w:cs="宋体"/>
          <w:sz w:val="24"/>
          <w:szCs w:val="24"/>
        </w:rPr>
        <w:t>月</w:t>
      </w:r>
      <w:r>
        <w:rPr>
          <w:rFonts w:hint="eastAsia" w:ascii="宋体" w:hAnsi="宋体" w:cs="宋体"/>
          <w:color w:val="000000"/>
          <w:sz w:val="24"/>
          <w:szCs w:val="24"/>
          <w:lang w:val="en-US" w:eastAsia="zh-CN"/>
        </w:rPr>
        <w:t>13</w:t>
      </w:r>
      <w:r>
        <w:rPr>
          <w:rFonts w:hint="eastAsia" w:ascii="宋体" w:hAnsi="宋体" w:cs="宋体"/>
          <w:sz w:val="24"/>
          <w:szCs w:val="24"/>
        </w:rPr>
        <w:t>日　　</w:t>
      </w:r>
    </w:p>
    <w:p>
      <w:pPr>
        <w:spacing w:line="360" w:lineRule="auto"/>
        <w:ind w:firstLine="3360" w:firstLineChars="1400"/>
        <w:jc w:val="left"/>
        <w:rPr>
          <w:rFonts w:hint="eastAsia" w:ascii="宋体" w:hAnsi="宋体" w:cs="宋体"/>
          <w:sz w:val="24"/>
          <w:szCs w:val="24"/>
        </w:rPr>
      </w:pPr>
      <w:r>
        <w:rPr>
          <w:rFonts w:hint="eastAsia" w:ascii="宋体" w:hAnsi="宋体" w:cs="宋体"/>
          <w:sz w:val="24"/>
          <w:szCs w:val="24"/>
        </w:rPr>
        <w:t>　　　　　　　　</w:t>
      </w:r>
    </w:p>
    <w:p>
      <w:pPr>
        <w:widowControl/>
        <w:jc w:val="left"/>
        <w:rPr>
          <w:rFonts w:ascii="仿宋" w:hAnsi="仿宋" w:eastAsia="仿宋"/>
          <w:sz w:val="28"/>
          <w:szCs w:val="28"/>
        </w:rPr>
      </w:pPr>
    </w:p>
    <w:p>
      <w:pPr>
        <w:rPr>
          <w:rFonts w:hint="eastAsia"/>
        </w:rPr>
      </w:pPr>
    </w:p>
    <w:p>
      <w:pPr>
        <w:pStyle w:val="50"/>
        <w:adjustRightInd w:val="0"/>
        <w:spacing w:line="360" w:lineRule="auto"/>
        <w:rPr>
          <w:rFonts w:hint="eastAsia" w:ascii="宋体" w:hAnsi="宋体" w:cs="宋体"/>
        </w:rPr>
      </w:pPr>
      <w:bookmarkStart w:id="36" w:name="OLE_LINK5"/>
      <w:bookmarkStart w:id="37" w:name="_Hlt510343011"/>
      <w:bookmarkStart w:id="38" w:name="_Hlt510342998"/>
      <w:bookmarkStart w:id="39" w:name="_Toc7329_WPSOffice_Level1"/>
    </w:p>
    <w:p>
      <w:pPr>
        <w:pStyle w:val="50"/>
        <w:adjustRightInd w:val="0"/>
        <w:spacing w:line="360" w:lineRule="auto"/>
        <w:rPr>
          <w:rFonts w:hint="eastAsia" w:ascii="宋体" w:hAnsi="宋体" w:cs="宋体"/>
        </w:rPr>
      </w:pPr>
    </w:p>
    <w:p>
      <w:pPr>
        <w:pStyle w:val="50"/>
        <w:adjustRightInd w:val="0"/>
        <w:spacing w:line="360" w:lineRule="auto"/>
        <w:rPr>
          <w:rFonts w:hint="eastAsia" w:ascii="宋体" w:hAnsi="宋体" w:cs="宋体"/>
        </w:rPr>
      </w:pPr>
    </w:p>
    <w:p>
      <w:pPr>
        <w:pStyle w:val="50"/>
        <w:adjustRightInd w:val="0"/>
        <w:spacing w:line="360" w:lineRule="auto"/>
        <w:rPr>
          <w:rFonts w:hint="eastAsia" w:ascii="宋体" w:hAnsi="宋体" w:cs="宋体"/>
        </w:rPr>
      </w:pPr>
    </w:p>
    <w:p>
      <w:pPr>
        <w:pStyle w:val="50"/>
        <w:adjustRightInd w:val="0"/>
        <w:spacing w:line="360" w:lineRule="auto"/>
        <w:rPr>
          <w:rFonts w:hint="eastAsia" w:ascii="宋体" w:hAnsi="宋体" w:cs="宋体"/>
        </w:rPr>
      </w:pPr>
    </w:p>
    <w:bookmarkEnd w:id="36"/>
    <w:p>
      <w:pPr>
        <w:pStyle w:val="4"/>
        <w:ind w:firstLine="0"/>
        <w:rPr>
          <w:rFonts w:hint="eastAsia" w:ascii="宋体" w:hAnsi="宋体" w:eastAsia="宋体" w:cs="宋体"/>
        </w:rPr>
      </w:pPr>
      <w:bookmarkStart w:id="40" w:name="_Toc8586"/>
      <w:r>
        <w:rPr>
          <w:rFonts w:hint="eastAsia" w:ascii="宋体" w:hAnsi="宋体" w:eastAsia="宋体" w:cs="宋体"/>
        </w:rPr>
        <w:t>第二章 投标人须</w:t>
      </w:r>
      <w:bookmarkEnd w:id="37"/>
      <w:r>
        <w:rPr>
          <w:rFonts w:hint="eastAsia" w:ascii="宋体" w:hAnsi="宋体" w:eastAsia="宋体" w:cs="宋体"/>
        </w:rPr>
        <w:t>知前</w:t>
      </w:r>
      <w:bookmarkEnd w:id="38"/>
      <w:r>
        <w:rPr>
          <w:rFonts w:hint="eastAsia" w:ascii="宋体" w:hAnsi="宋体" w:eastAsia="宋体" w:cs="宋体"/>
        </w:rPr>
        <w:t>附表</w:t>
      </w:r>
      <w:bookmarkEnd w:id="39"/>
      <w:bookmarkEnd w:id="40"/>
    </w:p>
    <w:tbl>
      <w:tblPr>
        <w:tblStyle w:val="71"/>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833"/>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序号</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内容</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采购人</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周口市机关事务中心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2</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委托人</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周口市机关事务中心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3</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采购代理机构</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名  称：周口市公共资源交易中心政府采购中心</w:t>
            </w:r>
          </w:p>
          <w:p>
            <w:pPr>
              <w:rPr>
                <w:rFonts w:hint="eastAsia" w:ascii="宋体" w:hAnsi="宋体" w:cs="宋体"/>
                <w:sz w:val="24"/>
                <w:szCs w:val="24"/>
              </w:rPr>
            </w:pPr>
            <w:r>
              <w:rPr>
                <w:rFonts w:hint="eastAsia" w:ascii="宋体" w:hAnsi="宋体" w:cs="宋体"/>
                <w:sz w:val="24"/>
                <w:szCs w:val="24"/>
              </w:rPr>
              <w:t>地  址：周口市光明路与政通路交叉口向北100米路东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4</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项目名称</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周口市机关事务中心周口市办公用房管理系统及办公用房测绘项目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5</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项目编号</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2023-09-119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6</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项目性质</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7</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资金来源</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8</w:t>
            </w:r>
          </w:p>
        </w:tc>
        <w:tc>
          <w:tcPr>
            <w:tcW w:w="2833" w:type="dxa"/>
            <w:noWrap w:val="0"/>
            <w:vAlign w:val="top"/>
          </w:tcPr>
          <w:p>
            <w:pPr>
              <w:rPr>
                <w:rFonts w:hint="eastAsia" w:ascii="宋体" w:hAnsi="宋体" w:cs="宋体"/>
                <w:sz w:val="24"/>
                <w:szCs w:val="24"/>
              </w:rPr>
            </w:pPr>
            <w:r>
              <w:rPr>
                <w:rFonts w:hint="eastAsia" w:ascii="宋体" w:hAnsi="宋体" w:cs="宋体"/>
                <w:sz w:val="24"/>
                <w:szCs w:val="24"/>
              </w:rPr>
              <w:t>包别划分</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本次招标为</w:t>
            </w:r>
            <w:r>
              <w:rPr>
                <w:rFonts w:hint="eastAsia" w:ascii="宋体" w:hAnsi="宋体" w:cs="宋体"/>
                <w:color w:val="000000"/>
                <w:sz w:val="24"/>
                <w:szCs w:val="24"/>
              </w:rPr>
              <w:t>2</w:t>
            </w:r>
            <w:r>
              <w:rPr>
                <w:rFonts w:hint="eastAsia" w:ascii="宋体" w:hAnsi="宋体" w:cs="宋体"/>
                <w:sz w:val="24"/>
                <w:szCs w:val="24"/>
              </w:rPr>
              <w:t>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9</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付款方式</w:t>
            </w:r>
          </w:p>
        </w:tc>
        <w:tc>
          <w:tcPr>
            <w:tcW w:w="6519" w:type="dxa"/>
            <w:noWrap w:val="0"/>
            <w:vAlign w:val="center"/>
          </w:tcPr>
          <w:p>
            <w:pPr>
              <w:pStyle w:val="69"/>
              <w:ind w:right="-21" w:firstLine="0" w:firstLineChars="0"/>
              <w:rPr>
                <w:rFonts w:hint="eastAsia" w:ascii="Calibri" w:hAnsi="Calibri" w:eastAsia="宋体"/>
                <w:szCs w:val="24"/>
              </w:rPr>
            </w:pPr>
            <w:r>
              <w:rPr>
                <w:rFonts w:hint="eastAsia" w:ascii="Calibri" w:hAnsi="Calibri" w:eastAsia="宋体"/>
                <w:szCs w:val="24"/>
              </w:rPr>
              <w:t>一包：第一次，进场开据发票后15个工作日内付合同款的20%，第二次，验收合格，开据发票后15个工作日内付合同款40%；第三次，正常运行三个月后，开据发票后15个工作日内付合同款20%；第四次质保期结束前，开据发票后15个工作日内付合同款20%。</w:t>
            </w:r>
          </w:p>
          <w:p>
            <w:pPr>
              <w:pStyle w:val="69"/>
              <w:ind w:right="-21" w:firstLine="0" w:firstLineChars="0"/>
              <w:rPr>
                <w:rFonts w:hint="eastAsia" w:ascii="Calibri" w:hAnsi="Calibri" w:eastAsia="宋体"/>
                <w:szCs w:val="24"/>
              </w:rPr>
            </w:pPr>
            <w:r>
              <w:rPr>
                <w:rFonts w:hint="eastAsia" w:ascii="Calibri" w:hAnsi="Calibri" w:eastAsia="宋体"/>
                <w:szCs w:val="24"/>
              </w:rPr>
              <w:t>二包，(1)第一阶段:乙方完成房产测绘外业，开据发票后15 个工作日内，甲方向乙方支付按实测面积核算费用的 50%;</w:t>
            </w:r>
          </w:p>
          <w:p>
            <w:pPr>
              <w:pStyle w:val="69"/>
              <w:ind w:right="-21" w:firstLine="0" w:firstLineChars="0"/>
              <w:rPr>
                <w:rFonts w:hint="eastAsia" w:ascii="Calibri" w:hAnsi="Calibri" w:eastAsia="宋体"/>
                <w:szCs w:val="24"/>
              </w:rPr>
            </w:pPr>
            <w:r>
              <w:rPr>
                <w:rFonts w:hint="eastAsia" w:ascii="Calibri" w:hAnsi="Calibri" w:eastAsia="宋体"/>
                <w:szCs w:val="24"/>
              </w:rPr>
              <w:t>(2) 第二阶段:乙方完成数据入库，经甲方认可，开据发票后15 个工作日内，甲方向乙方支付按实测面积核算费用的 20%;</w:t>
            </w:r>
          </w:p>
          <w:p>
            <w:pPr>
              <w:pStyle w:val="69"/>
              <w:ind w:right="-21" w:firstLine="0" w:firstLineChars="0"/>
              <w:rPr>
                <w:rFonts w:hint="eastAsia" w:ascii="Calibri" w:hAnsi="Calibri" w:eastAsia="宋体"/>
                <w:szCs w:val="24"/>
              </w:rPr>
            </w:pPr>
            <w:r>
              <w:rPr>
                <w:rFonts w:hint="eastAsia" w:ascii="Calibri" w:hAnsi="Calibri" w:eastAsia="宋体"/>
                <w:szCs w:val="24"/>
              </w:rPr>
              <w:t>(3)第三阶段:乙方协助甲方完成权属登记后，开据发票15 个工作日内，甲方向乙方支付按实测面积核算费用的30%;</w:t>
            </w:r>
          </w:p>
          <w:p>
            <w:pPr>
              <w:pStyle w:val="69"/>
              <w:ind w:right="-21" w:firstLine="0" w:firstLineChars="0"/>
              <w:rPr>
                <w:rFonts w:ascii="Calibri" w:hAnsi="Calibri" w:eastAsia="宋体"/>
                <w:szCs w:val="24"/>
              </w:rPr>
            </w:pPr>
            <w:r>
              <w:rPr>
                <w:rFonts w:hint="eastAsia" w:ascii="Calibri" w:hAnsi="Calibri" w:eastAsia="宋体"/>
                <w:szCs w:val="24"/>
              </w:rPr>
              <w:t>(4)如有超出项目约定的情况需甲乙双方共同协商。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10</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联合体投标</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11</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投标有效期</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开标后60天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12</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服务地点</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13</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服务期限</w:t>
            </w:r>
          </w:p>
        </w:tc>
        <w:tc>
          <w:tcPr>
            <w:tcW w:w="6519" w:type="dxa"/>
            <w:noWrap w:val="0"/>
            <w:vAlign w:val="center"/>
          </w:tcPr>
          <w:p>
            <w:pPr>
              <w:rPr>
                <w:rFonts w:hint="eastAsia" w:ascii="宋体" w:hAnsi="宋体" w:cs="宋体"/>
                <w:b/>
                <w:bCs/>
                <w:sz w:val="24"/>
                <w:szCs w:val="24"/>
              </w:rPr>
            </w:pPr>
            <w:r>
              <w:rPr>
                <w:rFonts w:hint="eastAsia" w:ascii="宋体" w:hAnsi="宋体" w:cs="宋体"/>
                <w:sz w:val="24"/>
                <w:szCs w:val="24"/>
              </w:rPr>
              <w:t>1标段：60日历天、2标段：180日历天；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14</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投标保证金金额</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不需要缴纳投标保证金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15</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答疑</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疑问的提出与答疑获取详见招标文件第二部分第五章投标人须知第36条。</w:t>
            </w:r>
          </w:p>
          <w:p>
            <w:pPr>
              <w:rPr>
                <w:rFonts w:hint="eastAsia" w:ascii="宋体" w:hAnsi="宋体" w:cs="宋体"/>
                <w:sz w:val="24"/>
                <w:szCs w:val="24"/>
              </w:rPr>
            </w:pPr>
            <w:r>
              <w:rPr>
                <w:rFonts w:hint="eastAsia" w:ascii="宋体" w:hAnsi="宋体" w:cs="宋体"/>
                <w:sz w:val="24"/>
                <w:szCs w:val="24"/>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16</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勘察现场</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17</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投标文件</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1、投标文件为使用周口市公共资源交易中心提供的电子标书制作工具软件（</w:t>
            </w:r>
            <w:r>
              <w:rPr>
                <w:rFonts w:hint="eastAsia" w:ascii="宋体" w:hAnsi="宋体" w:cs="宋体"/>
                <w:color w:val="000000"/>
                <w:sz w:val="24"/>
                <w:szCs w:val="24"/>
              </w:rPr>
              <w:t>http://jyzx.zhoukou.gov.cn</w:t>
            </w:r>
            <w:r>
              <w:rPr>
                <w:rFonts w:hint="eastAsia" w:ascii="宋体" w:hAnsi="宋体" w:cs="宋体"/>
                <w:sz w:val="24"/>
                <w:szCs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pStyle w:val="50"/>
              <w:rPr>
                <w:rFonts w:hint="eastAsia" w:ascii="宋体" w:hAnsi="宋体" w:cs="宋体"/>
                <w:sz w:val="24"/>
                <w:szCs w:val="24"/>
              </w:rPr>
            </w:pPr>
            <w:r>
              <w:rPr>
                <w:rFonts w:hint="eastAsia" w:ascii="宋体" w:hAnsi="宋体" w:cs="宋体"/>
                <w:sz w:val="24"/>
                <w:szCs w:val="24"/>
              </w:rPr>
              <w:t>2、本项目实行网上远程开标无须到现场提交响应文件，未加密的电子投标文件和纸质文件不再提交。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jc w:val="center"/>
        </w:trPr>
        <w:tc>
          <w:tcPr>
            <w:tcW w:w="788" w:type="dxa"/>
            <w:noWrap w:val="0"/>
            <w:vAlign w:val="center"/>
          </w:tcPr>
          <w:p>
            <w:pPr>
              <w:rPr>
                <w:rFonts w:hint="eastAsia" w:ascii="宋体" w:hAnsi="宋体" w:cs="宋体"/>
                <w:sz w:val="24"/>
                <w:szCs w:val="24"/>
              </w:rPr>
            </w:pPr>
            <w:r>
              <w:rPr>
                <w:rFonts w:hint="eastAsia" w:ascii="宋体" w:hAnsi="宋体" w:cs="宋体"/>
                <w:sz w:val="24"/>
                <w:szCs w:val="24"/>
              </w:rPr>
              <w:t>18</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投标时间及地点</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投标截止时间：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 xml:space="preserve"> 点</w:t>
            </w:r>
            <w:r>
              <w:rPr>
                <w:rFonts w:hint="eastAsia" w:ascii="宋体" w:hAnsi="宋体" w:cs="宋体"/>
                <w:sz w:val="24"/>
                <w:szCs w:val="24"/>
                <w:lang w:val="en-US" w:eastAsia="zh-CN"/>
              </w:rPr>
              <w:t>00</w:t>
            </w:r>
            <w:r>
              <w:rPr>
                <w:rFonts w:hint="eastAsia" w:ascii="宋体" w:hAnsi="宋体" w:cs="宋体"/>
                <w:sz w:val="24"/>
                <w:szCs w:val="24"/>
              </w:rPr>
              <w:t xml:space="preserve"> 分（见招标公告）      </w:t>
            </w:r>
          </w:p>
          <w:p>
            <w:pPr>
              <w:rPr>
                <w:rFonts w:hint="eastAsia" w:ascii="宋体" w:hAnsi="宋体"/>
                <w:sz w:val="24"/>
                <w:szCs w:val="24"/>
              </w:rPr>
            </w:pPr>
            <w:r>
              <w:rPr>
                <w:rFonts w:hint="eastAsia" w:ascii="宋体" w:hAnsi="宋体" w:cs="宋体"/>
                <w:sz w:val="24"/>
                <w:szCs w:val="24"/>
              </w:rPr>
              <w:t>标书递交地点：</w:t>
            </w:r>
            <w:r>
              <w:rPr>
                <w:rFonts w:hint="eastAsia" w:ascii="宋体" w:hAnsi="宋体"/>
                <w:sz w:val="24"/>
                <w:szCs w:val="24"/>
              </w:rPr>
              <w:t>周口市公共资源交易中心网</w:t>
            </w:r>
          </w:p>
          <w:p>
            <w:pPr>
              <w:rPr>
                <w:rFonts w:hint="eastAsia" w:ascii="宋体" w:hAnsi="宋体" w:cs="宋体"/>
                <w:sz w:val="24"/>
                <w:szCs w:val="24"/>
              </w:rPr>
            </w:pPr>
            <w:r>
              <w:rPr>
                <w:rFonts w:hint="eastAsia" w:ascii="宋体" w:hAnsi="宋体"/>
                <w:sz w:val="24"/>
                <w:szCs w:val="24"/>
              </w:rPr>
              <w:t>网址：周口市公共资源电子交易服务平台会员系统（网址</w:t>
            </w:r>
            <w:r>
              <w:rPr>
                <w:rFonts w:hint="eastAsia" w:ascii="宋体" w:hAnsi="宋体"/>
                <w:color w:val="000000"/>
                <w:sz w:val="24"/>
                <w:szCs w:val="24"/>
              </w:rPr>
              <w:t>http://jyzx.zhoukou.gov.cn）</w:t>
            </w:r>
          </w:p>
          <w:p>
            <w:pPr>
              <w:rPr>
                <w:rFonts w:hint="eastAsia" w:ascii="宋体" w:hAnsi="宋体" w:cs="宋体"/>
                <w:sz w:val="24"/>
                <w:szCs w:val="24"/>
              </w:rPr>
            </w:pPr>
            <w:r>
              <w:rPr>
                <w:rFonts w:hint="eastAsia" w:ascii="宋体" w:hAnsi="宋体" w:cs="宋体"/>
                <w:sz w:val="24"/>
                <w:szCs w:val="24"/>
              </w:rPr>
              <w:t>（本项目实行网上远程开标无须到现场提交响应文件）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blHeader/>
          <w:jc w:val="center"/>
        </w:trPr>
        <w:tc>
          <w:tcPr>
            <w:tcW w:w="788" w:type="dxa"/>
            <w:noWrap w:val="0"/>
            <w:vAlign w:val="center"/>
          </w:tcPr>
          <w:p>
            <w:pPr>
              <w:rPr>
                <w:rFonts w:ascii="宋体" w:hAnsi="宋体" w:cs="宋体"/>
                <w:sz w:val="24"/>
                <w:szCs w:val="24"/>
              </w:rPr>
            </w:pPr>
            <w:r>
              <w:rPr>
                <w:rFonts w:hint="eastAsia" w:ascii="宋体" w:hAnsi="宋体" w:cs="宋体"/>
                <w:sz w:val="24"/>
                <w:szCs w:val="24"/>
              </w:rPr>
              <w:t>19</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开标时间及地点</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开标时间：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03</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rPr>
              <w:t xml:space="preserve"> 点</w:t>
            </w:r>
            <w:r>
              <w:rPr>
                <w:rFonts w:hint="eastAsia" w:ascii="宋体" w:hAnsi="宋体" w:cs="宋体"/>
                <w:sz w:val="24"/>
                <w:szCs w:val="24"/>
                <w:lang w:val="en-US" w:eastAsia="zh-CN"/>
              </w:rPr>
              <w:t>00</w:t>
            </w:r>
            <w:r>
              <w:rPr>
                <w:rFonts w:hint="eastAsia" w:ascii="宋体" w:hAnsi="宋体" w:cs="宋体"/>
                <w:sz w:val="24"/>
                <w:szCs w:val="24"/>
              </w:rPr>
              <w:t xml:space="preserve"> 分（见招标公告）      </w:t>
            </w:r>
          </w:p>
          <w:p>
            <w:pPr>
              <w:ind w:left="360" w:hanging="360" w:hangingChars="150"/>
              <w:rPr>
                <w:rFonts w:ascii="宋体" w:hAnsi="宋体" w:cs="宋体"/>
                <w:sz w:val="24"/>
                <w:szCs w:val="24"/>
              </w:rPr>
            </w:pPr>
            <w:r>
              <w:rPr>
                <w:rFonts w:hint="eastAsia" w:ascii="宋体" w:hAnsi="宋体" w:cs="宋体"/>
                <w:sz w:val="24"/>
                <w:szCs w:val="24"/>
              </w:rPr>
              <w:t>开标地点：周口市光明路与政通路交叉口向北100米路东(周口市公共资源交易中心四楼开标室)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788" w:type="dxa"/>
            <w:noWrap w:val="0"/>
            <w:vAlign w:val="center"/>
          </w:tcPr>
          <w:p>
            <w:pPr>
              <w:rPr>
                <w:rFonts w:ascii="宋体" w:hAnsi="宋体" w:cs="宋体"/>
                <w:sz w:val="24"/>
                <w:szCs w:val="24"/>
              </w:rPr>
            </w:pPr>
            <w:r>
              <w:rPr>
                <w:rFonts w:hint="eastAsia" w:ascii="宋体" w:hAnsi="宋体" w:cs="宋体"/>
                <w:sz w:val="24"/>
                <w:szCs w:val="24"/>
              </w:rPr>
              <w:t>20</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评标办法</w:t>
            </w:r>
          </w:p>
        </w:tc>
        <w:tc>
          <w:tcPr>
            <w:tcW w:w="6519" w:type="dxa"/>
            <w:noWrap w:val="0"/>
            <w:vAlign w:val="center"/>
          </w:tcPr>
          <w:p>
            <w:pPr>
              <w:rPr>
                <w:rFonts w:hint="eastAsia" w:ascii="宋体" w:hAnsi="宋体" w:cs="宋体"/>
                <w:sz w:val="24"/>
                <w:szCs w:val="24"/>
              </w:rPr>
            </w:pPr>
            <w:r>
              <w:rPr>
                <w:rFonts w:hint="eastAsia" w:ascii="宋体" w:hAnsi="宋体" w:cs="宋体"/>
                <w:sz w:val="24"/>
                <w:szCs w:val="24"/>
              </w:rPr>
              <w:t>综合评分法 详见招标文件第一部分第四章评标办法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788" w:type="dxa"/>
            <w:noWrap w:val="0"/>
            <w:vAlign w:val="center"/>
          </w:tcPr>
          <w:p>
            <w:pPr>
              <w:rPr>
                <w:rFonts w:ascii="宋体" w:hAnsi="宋体" w:cs="宋体"/>
                <w:sz w:val="24"/>
                <w:szCs w:val="24"/>
              </w:rPr>
            </w:pPr>
            <w:r>
              <w:rPr>
                <w:rFonts w:hint="eastAsia" w:ascii="宋体" w:hAnsi="宋体" w:cs="宋体"/>
                <w:sz w:val="24"/>
                <w:szCs w:val="24"/>
              </w:rPr>
              <w:t>21</w:t>
            </w:r>
          </w:p>
        </w:tc>
        <w:tc>
          <w:tcPr>
            <w:tcW w:w="2833" w:type="dxa"/>
            <w:noWrap w:val="0"/>
            <w:vAlign w:val="center"/>
          </w:tcPr>
          <w:p>
            <w:pPr>
              <w:rPr>
                <w:rFonts w:hint="eastAsia" w:ascii="宋体" w:hAnsi="宋体" w:cs="宋体"/>
                <w:sz w:val="24"/>
                <w:szCs w:val="24"/>
              </w:rPr>
            </w:pPr>
            <w:r>
              <w:rPr>
                <w:rFonts w:hint="eastAsia" w:ascii="宋体" w:hAnsi="宋体" w:cs="宋体"/>
                <w:sz w:val="24"/>
                <w:szCs w:val="24"/>
              </w:rPr>
              <w:t>其它</w:t>
            </w:r>
          </w:p>
        </w:tc>
        <w:tc>
          <w:tcPr>
            <w:tcW w:w="6519" w:type="dxa"/>
            <w:noWrap w:val="0"/>
            <w:vAlign w:val="center"/>
          </w:tcPr>
          <w:p>
            <w:pPr>
              <w:rPr>
                <w:rFonts w:hint="eastAsia" w:ascii="宋体" w:hAnsi="宋体" w:cs="宋体"/>
                <w:color w:val="FF0000"/>
                <w:sz w:val="24"/>
                <w:szCs w:val="24"/>
              </w:rPr>
            </w:pPr>
            <w:r>
              <w:rPr>
                <w:rFonts w:hint="eastAsia" w:ascii="宋体" w:hAnsi="宋体" w:cs="宋体"/>
                <w:sz w:val="24"/>
                <w:szCs w:val="24"/>
              </w:rPr>
              <w:t>采购人验收如需第三方质检部门介入，第三方质检验收所需费用由中标人负担。</w:t>
            </w:r>
          </w:p>
        </w:tc>
      </w:tr>
    </w:tbl>
    <w:p>
      <w:pPr>
        <w:pStyle w:val="2"/>
        <w:rPr>
          <w:rFonts w:hint="eastAsia" w:hAnsi="宋体" w:cs="宋体"/>
        </w:rPr>
      </w:pPr>
    </w:p>
    <w:p>
      <w:pPr>
        <w:pStyle w:val="115"/>
        <w:rPr>
          <w:rFonts w:hint="eastAsia" w:hAnsi="宋体"/>
        </w:rPr>
      </w:pPr>
    </w:p>
    <w:p>
      <w:pPr>
        <w:pStyle w:val="115"/>
        <w:rPr>
          <w:rFonts w:hint="eastAsia" w:hAnsi="宋体"/>
        </w:rPr>
      </w:pPr>
    </w:p>
    <w:p>
      <w:pPr>
        <w:pStyle w:val="115"/>
        <w:rPr>
          <w:rFonts w:hint="eastAsia" w:hAnsi="宋体"/>
        </w:rPr>
      </w:pPr>
    </w:p>
    <w:p>
      <w:pPr>
        <w:pStyle w:val="115"/>
        <w:rPr>
          <w:rFonts w:hint="eastAsia" w:hAnsi="宋体"/>
        </w:rPr>
      </w:pPr>
    </w:p>
    <w:p>
      <w:pPr>
        <w:pStyle w:val="4"/>
        <w:ind w:firstLine="0"/>
        <w:rPr>
          <w:rFonts w:hint="eastAsia" w:ascii="宋体" w:hAnsi="宋体" w:eastAsia="宋体" w:cs="宋体"/>
        </w:rPr>
      </w:pPr>
      <w:bookmarkStart w:id="41" w:name="_Hlt509650027"/>
      <w:bookmarkEnd w:id="41"/>
      <w:bookmarkStart w:id="42" w:name="_Hlt519045778"/>
      <w:bookmarkEnd w:id="42"/>
      <w:bookmarkStart w:id="43" w:name="_Hlt516969057"/>
      <w:bookmarkEnd w:id="43"/>
      <w:bookmarkStart w:id="44" w:name="_Hlt509650351"/>
      <w:bookmarkEnd w:id="44"/>
      <w:bookmarkStart w:id="45" w:name="_Toc220232390"/>
      <w:bookmarkStart w:id="46" w:name="_Toc450_WPSOffice_Level1"/>
      <w:bookmarkStart w:id="47" w:name="_Toc22493"/>
      <w:bookmarkStart w:id="48" w:name="_Toc11739_WPSOffice_Level1"/>
      <w:bookmarkStart w:id="49" w:name="_Toc14806_WPSOffice_Level2"/>
      <w:r>
        <w:rPr>
          <w:rFonts w:hint="eastAsia" w:ascii="宋体" w:hAnsi="宋体" w:eastAsia="宋体" w:cs="宋体"/>
        </w:rPr>
        <w:t>第三章  需求一览表</w:t>
      </w:r>
      <w:bookmarkEnd w:id="45"/>
      <w:bookmarkEnd w:id="46"/>
      <w:bookmarkEnd w:id="47"/>
    </w:p>
    <w:p>
      <w:pPr>
        <w:spacing w:line="360" w:lineRule="auto"/>
        <w:ind w:firstLine="480" w:firstLineChars="200"/>
        <w:rPr>
          <w:rFonts w:hint="eastAsia" w:ascii="宋体" w:hAnsi="宋体" w:cs="宋体"/>
          <w:sz w:val="24"/>
          <w:szCs w:val="28"/>
        </w:rPr>
      </w:pPr>
      <w:bookmarkStart w:id="50" w:name="_Hlt509716920"/>
      <w:bookmarkEnd w:id="50"/>
      <w:r>
        <w:rPr>
          <w:rFonts w:hint="eastAsia" w:ascii="宋体" w:hAnsi="宋体" w:cs="宋体"/>
          <w:sz w:val="24"/>
          <w:szCs w:val="28"/>
        </w:rPr>
        <w:t>前注：1） 本需求中提出的技术方案仅为参考，如无明确限制，投标人可以进行优化，提供满足用户实际需要的更优（或者性能实质上不低于的）</w:t>
      </w:r>
      <w:r>
        <w:rPr>
          <w:rFonts w:hint="eastAsia" w:ascii="宋体" w:hAnsi="宋体" w:cs="宋体"/>
          <w:sz w:val="24"/>
          <w:szCs w:val="24"/>
        </w:rPr>
        <w:t>技术方案或者设备配置，且此方案或配置须经评委会审核认可；</w:t>
      </w:r>
      <w:r>
        <w:rPr>
          <w:rFonts w:hint="eastAsia" w:ascii="宋体" w:hAnsi="宋体" w:cs="宋体"/>
          <w:sz w:val="24"/>
          <w:szCs w:val="24"/>
        </w:rPr>
        <w:cr/>
      </w:r>
      <w:r>
        <w:rPr>
          <w:rFonts w:hint="eastAsia" w:ascii="宋体" w:hAnsi="宋体" w:cs="宋体"/>
          <w:sz w:val="24"/>
          <w:szCs w:val="24"/>
        </w:rPr>
        <w:t xml:space="preserve">    2） 为鼓励不同品牌的充分竞争，如某设备的某技术参数或要求属于个别品牌专有，则该技术参数及要求不具有限制性，投标人可对该参数或要求进行适当调整，并应当说明调整的理由，且此调整须经评委会审核认可；</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 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hint="eastAsia" w:ascii="宋体" w:hAnsi="宋体" w:cs="宋体"/>
          <w:sz w:val="24"/>
          <w:szCs w:val="28"/>
        </w:rPr>
        <w:cr/>
      </w:r>
      <w:r>
        <w:rPr>
          <w:rFonts w:hint="eastAsia" w:ascii="宋体" w:hAnsi="宋体" w:cs="宋体"/>
          <w:sz w:val="24"/>
          <w:szCs w:val="28"/>
        </w:rPr>
        <w:t xml:space="preserve">    4） 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r>
        <w:rPr>
          <w:rFonts w:hint="eastAsia" w:ascii="宋体" w:hAnsi="宋体" w:cs="宋体"/>
          <w:sz w:val="24"/>
          <w:szCs w:val="28"/>
        </w:rPr>
        <w:cr/>
      </w:r>
      <w:r>
        <w:rPr>
          <w:rFonts w:hint="eastAsia" w:ascii="宋体" w:hAnsi="宋体" w:cs="宋体"/>
          <w:sz w:val="24"/>
          <w:szCs w:val="28"/>
        </w:rPr>
        <w:t xml:space="preserve">    5）如对本招标文件有任何疑问或澄清要求，请按本招标文件“投标人须知前附表”中约定联系周口市公共交资源交易中心政府采购中心，或接受答疑截止时间前联系采购人。否则视同理解和接受。</w:t>
      </w:r>
      <w:bookmarkStart w:id="51" w:name="_Toc6821_WPSOffice_Level2"/>
    </w:p>
    <w:p>
      <w:pPr>
        <w:spacing w:line="360" w:lineRule="auto"/>
        <w:ind w:firstLine="643" w:firstLineChars="200"/>
        <w:rPr>
          <w:rFonts w:hint="eastAsia" w:ascii="宋体" w:hAnsi="宋体" w:cs="宋体"/>
          <w:b/>
          <w:sz w:val="32"/>
          <w:szCs w:val="32"/>
        </w:rPr>
      </w:pPr>
    </w:p>
    <w:p>
      <w:pPr>
        <w:spacing w:line="360" w:lineRule="auto"/>
        <w:ind w:firstLine="643" w:firstLineChars="200"/>
        <w:rPr>
          <w:rFonts w:hint="eastAsia" w:ascii="宋体" w:hAnsi="宋体" w:cs="宋体"/>
          <w:b/>
          <w:sz w:val="32"/>
          <w:szCs w:val="32"/>
        </w:rPr>
      </w:pPr>
    </w:p>
    <w:p>
      <w:pPr>
        <w:spacing w:line="360" w:lineRule="auto"/>
        <w:ind w:firstLine="643" w:firstLineChars="200"/>
        <w:rPr>
          <w:rFonts w:hint="eastAsia" w:ascii="宋体" w:hAnsi="宋体" w:cs="宋体"/>
          <w:b/>
          <w:sz w:val="32"/>
          <w:szCs w:val="32"/>
        </w:rPr>
      </w:pPr>
    </w:p>
    <w:bookmarkEnd w:id="51"/>
    <w:p>
      <w:pPr>
        <w:jc w:val="left"/>
        <w:rPr>
          <w:rFonts w:hint="eastAsia" w:ascii="宋体" w:hAnsi="宋体" w:cs="宋体"/>
        </w:rPr>
        <w:sectPr>
          <w:footerReference r:id="rId3" w:type="default"/>
          <w:pgSz w:w="11906" w:h="16838"/>
          <w:pgMar w:top="1440" w:right="1758" w:bottom="1440" w:left="1758" w:header="851" w:footer="992" w:gutter="0"/>
          <w:cols w:space="720" w:num="1"/>
          <w:docGrid w:linePitch="312" w:charSpace="0"/>
        </w:sectPr>
      </w:pPr>
    </w:p>
    <w:p>
      <w:pPr>
        <w:pBdr>
          <w:bottom w:val="dotted" w:color="auto" w:sz="24" w:space="1"/>
        </w:pBdr>
        <w:spacing w:line="360" w:lineRule="auto"/>
        <w:jc w:val="center"/>
        <w:rPr>
          <w:rFonts w:hint="eastAsia" w:ascii="宋体" w:hAnsi="宋体" w:cs="宋体"/>
          <w:b/>
          <w:sz w:val="32"/>
          <w:szCs w:val="32"/>
        </w:rPr>
      </w:pPr>
      <w:r>
        <w:rPr>
          <w:rFonts w:hint="eastAsia" w:ascii="宋体" w:hAnsi="宋体" w:cs="宋体"/>
          <w:b/>
          <w:sz w:val="32"/>
          <w:szCs w:val="32"/>
        </w:rPr>
        <w:t>服务需求</w:t>
      </w:r>
    </w:p>
    <w:p>
      <w:pPr>
        <w:pBdr>
          <w:bottom w:val="dotted" w:color="auto" w:sz="24" w:space="1"/>
        </w:pBdr>
        <w:spacing w:line="360" w:lineRule="auto"/>
        <w:jc w:val="center"/>
        <w:rPr>
          <w:rFonts w:hint="eastAsia" w:ascii="宋体" w:hAnsi="宋体" w:cs="宋体"/>
          <w:b/>
          <w:sz w:val="32"/>
          <w:szCs w:val="32"/>
        </w:rPr>
      </w:pPr>
      <w:r>
        <w:rPr>
          <w:rFonts w:hint="eastAsia" w:ascii="宋体" w:hAnsi="宋体" w:cs="宋体"/>
          <w:b/>
          <w:sz w:val="32"/>
          <w:szCs w:val="32"/>
        </w:rPr>
        <w:t>（采购人根据项目情况设定）</w:t>
      </w:r>
    </w:p>
    <w:p>
      <w:pPr>
        <w:pStyle w:val="3"/>
        <w:tabs>
          <w:tab w:val="left" w:pos="2824"/>
          <w:tab w:val="center" w:pos="4682"/>
        </w:tabs>
        <w:spacing w:before="0" w:after="0" w:line="360" w:lineRule="auto"/>
        <w:jc w:val="left"/>
        <w:rPr>
          <w:rFonts w:hint="eastAsia"/>
          <w:sz w:val="32"/>
          <w:szCs w:val="32"/>
        </w:rPr>
      </w:pPr>
      <w:r>
        <w:rPr>
          <w:rFonts w:hint="eastAsia"/>
          <w:sz w:val="32"/>
          <w:szCs w:val="32"/>
        </w:rPr>
        <w:t>1标段</w:t>
      </w:r>
    </w:p>
    <w:p>
      <w:pPr>
        <w:spacing w:line="360" w:lineRule="auto"/>
        <w:ind w:firstLine="600"/>
        <w:jc w:val="center"/>
        <w:outlineLvl w:val="0"/>
        <w:rPr>
          <w:rFonts w:hint="eastAsia" w:ascii="黑体" w:hAnsi="黑体" w:eastAsia="黑体"/>
          <w:color w:val="000000"/>
          <w:sz w:val="32"/>
          <w:szCs w:val="32"/>
        </w:rPr>
      </w:pPr>
      <w:r>
        <w:rPr>
          <w:rFonts w:hint="eastAsia" w:ascii="黑体" w:hAnsi="黑体" w:eastAsia="黑体"/>
          <w:color w:val="000000"/>
          <w:sz w:val="32"/>
          <w:szCs w:val="32"/>
        </w:rPr>
        <w:t>服务内容及要求</w:t>
      </w:r>
    </w:p>
    <w:p>
      <w:pPr>
        <w:autoSpaceDE w:val="0"/>
        <w:autoSpaceDN w:val="0"/>
        <w:adjustRightInd w:val="0"/>
        <w:spacing w:line="420" w:lineRule="atLeast"/>
        <w:jc w:val="left"/>
        <w:textAlignment w:val="baseline"/>
        <w:rPr>
          <w:rFonts w:ascii="宋体" w:hAnsi="宋体" w:cs="宋体"/>
          <w:kern w:val="0"/>
          <w:sz w:val="22"/>
          <w:szCs w:val="22"/>
          <w:lang w:val="zh-CN" w:bidi="zh-CN"/>
        </w:rPr>
      </w:pPr>
    </w:p>
    <w:tbl>
      <w:tblPr>
        <w:tblStyle w:val="71"/>
        <w:tblW w:w="13745" w:type="dxa"/>
        <w:jc w:val="center"/>
        <w:tblLayout w:type="fixed"/>
        <w:tblCellMar>
          <w:top w:w="0" w:type="dxa"/>
          <w:left w:w="108" w:type="dxa"/>
          <w:bottom w:w="0" w:type="dxa"/>
          <w:right w:w="108" w:type="dxa"/>
        </w:tblCellMar>
      </w:tblPr>
      <w:tblGrid>
        <w:gridCol w:w="778"/>
        <w:gridCol w:w="1202"/>
        <w:gridCol w:w="1701"/>
        <w:gridCol w:w="8647"/>
        <w:gridCol w:w="708"/>
        <w:gridCol w:w="709"/>
      </w:tblGrid>
      <w:tr>
        <w:tblPrEx>
          <w:tblCellMar>
            <w:top w:w="0" w:type="dxa"/>
            <w:left w:w="108" w:type="dxa"/>
            <w:bottom w:w="0" w:type="dxa"/>
            <w:right w:w="108" w:type="dxa"/>
          </w:tblCellMar>
        </w:tblPrEx>
        <w:trPr>
          <w:trHeight w:val="453" w:hRule="atLeast"/>
          <w:jc w:val="center"/>
        </w:trPr>
        <w:tc>
          <w:tcPr>
            <w:tcW w:w="13745" w:type="dxa"/>
            <w:gridSpan w:val="6"/>
            <w:tcBorders>
              <w:top w:val="single" w:color="000000" w:sz="4" w:space="0"/>
              <w:left w:val="single" w:color="000000" w:sz="4" w:space="0"/>
              <w:bottom w:val="single" w:color="000000" w:sz="4" w:space="0"/>
              <w:right w:val="single" w:color="auto" w:sz="4" w:space="0"/>
            </w:tcBorders>
            <w:noWrap w:val="0"/>
            <w:vAlign w:val="center"/>
          </w:tcPr>
          <w:p>
            <w:pPr>
              <w:widowControl/>
              <w:autoSpaceDE w:val="0"/>
              <w:autoSpaceDN w:val="0"/>
              <w:jc w:val="center"/>
              <w:textAlignment w:val="top"/>
              <w:rPr>
                <w:rFonts w:ascii="宋体" w:hAnsi="宋体" w:cs="宋体"/>
                <w:kern w:val="0"/>
                <w:sz w:val="18"/>
                <w:szCs w:val="18"/>
                <w:lang w:val="zh-CN" w:bidi="zh-CN"/>
              </w:rPr>
            </w:pPr>
            <w:r>
              <w:rPr>
                <w:rFonts w:hint="eastAsia" w:ascii="宋体" w:hAnsi="宋体" w:cs="宋体"/>
                <w:b/>
                <w:bCs/>
                <w:kern w:val="0"/>
                <w:sz w:val="24"/>
                <w:szCs w:val="24"/>
                <w:lang w:bidi="zh-CN"/>
              </w:rPr>
              <w:t>周口市党政机关办公用房管理信息系统</w:t>
            </w:r>
          </w:p>
        </w:tc>
      </w:tr>
      <w:tr>
        <w:tblPrEx>
          <w:tblCellMar>
            <w:top w:w="0" w:type="dxa"/>
            <w:left w:w="108" w:type="dxa"/>
            <w:bottom w:w="0" w:type="dxa"/>
            <w:right w:w="108" w:type="dxa"/>
          </w:tblCellMar>
        </w:tblPrEx>
        <w:trPr>
          <w:trHeight w:val="624"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hint="eastAsia" w:ascii="宋体" w:hAnsi="宋体" w:cs="宋体"/>
                <w:b/>
                <w:bCs/>
                <w:kern w:val="0"/>
                <w:sz w:val="22"/>
                <w:szCs w:val="22"/>
                <w:lang w:bidi="zh-CN"/>
              </w:rPr>
            </w:pPr>
            <w:r>
              <w:rPr>
                <w:rFonts w:hint="eastAsia" w:ascii="宋体" w:hAnsi="宋体" w:cs="宋体"/>
                <w:b/>
                <w:bCs/>
                <w:kern w:val="0"/>
                <w:sz w:val="22"/>
                <w:szCs w:val="22"/>
                <w:lang w:bidi="zh-CN"/>
              </w:rPr>
              <w:t>序</w:t>
            </w:r>
          </w:p>
          <w:p>
            <w:pPr>
              <w:widowControl/>
              <w:autoSpaceDE w:val="0"/>
              <w:autoSpaceDN w:val="0"/>
              <w:jc w:val="center"/>
              <w:textAlignment w:val="center"/>
              <w:rPr>
                <w:rFonts w:ascii="宋体" w:hAnsi="宋体" w:cs="宋体"/>
                <w:b/>
                <w:bCs/>
                <w:kern w:val="0"/>
                <w:sz w:val="22"/>
                <w:szCs w:val="22"/>
                <w:lang w:val="zh-CN" w:bidi="zh-CN"/>
              </w:rPr>
            </w:pPr>
            <w:r>
              <w:rPr>
                <w:rFonts w:hint="eastAsia" w:ascii="宋体" w:hAnsi="宋体" w:cs="宋体"/>
                <w:b/>
                <w:bCs/>
                <w:kern w:val="0"/>
                <w:sz w:val="22"/>
                <w:szCs w:val="22"/>
                <w:lang w:bidi="zh-CN"/>
              </w:rPr>
              <w:t>号</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b/>
                <w:bCs/>
                <w:kern w:val="0"/>
                <w:sz w:val="22"/>
                <w:szCs w:val="22"/>
                <w:lang w:val="zh-CN" w:bidi="zh-CN"/>
              </w:rPr>
            </w:pPr>
            <w:r>
              <w:rPr>
                <w:rFonts w:hint="eastAsia" w:ascii="宋体" w:hAnsi="宋体" w:cs="宋体"/>
                <w:b/>
                <w:bCs/>
                <w:kern w:val="0"/>
                <w:sz w:val="22"/>
                <w:szCs w:val="22"/>
                <w:lang w:bidi="zh-CN"/>
              </w:rPr>
              <w:t>项目类型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b/>
                <w:bCs/>
                <w:kern w:val="0"/>
                <w:sz w:val="22"/>
                <w:szCs w:val="22"/>
                <w:lang w:val="zh-CN" w:bidi="zh-CN"/>
              </w:rPr>
            </w:pPr>
            <w:r>
              <w:rPr>
                <w:rFonts w:hint="eastAsia" w:ascii="宋体" w:hAnsi="宋体" w:cs="宋体"/>
                <w:b/>
                <w:bCs/>
                <w:kern w:val="0"/>
                <w:sz w:val="22"/>
                <w:szCs w:val="22"/>
                <w:lang w:bidi="zh-CN"/>
              </w:rPr>
              <w:t>采购内容</w:t>
            </w:r>
          </w:p>
        </w:tc>
        <w:tc>
          <w:tcPr>
            <w:tcW w:w="8647"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b/>
                <w:bCs/>
                <w:kern w:val="0"/>
                <w:sz w:val="22"/>
                <w:szCs w:val="22"/>
                <w:lang w:val="zh-CN" w:bidi="zh-CN"/>
              </w:rPr>
            </w:pPr>
            <w:r>
              <w:rPr>
                <w:rFonts w:hint="eastAsia" w:ascii="宋体" w:hAnsi="宋体" w:cs="宋体"/>
                <w:b/>
                <w:bCs/>
                <w:kern w:val="0"/>
                <w:sz w:val="22"/>
                <w:szCs w:val="22"/>
                <w:lang w:bidi="zh-CN"/>
              </w:rPr>
              <w:t>技术参数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b/>
                <w:bCs/>
                <w:kern w:val="0"/>
                <w:sz w:val="22"/>
                <w:szCs w:val="22"/>
                <w:lang w:val="zh-CN" w:bidi="zh-CN"/>
              </w:rPr>
            </w:pPr>
            <w:r>
              <w:rPr>
                <w:rFonts w:hint="eastAsia" w:ascii="宋体" w:hAnsi="宋体" w:cs="宋体"/>
                <w:b/>
                <w:bCs/>
                <w:kern w:val="0"/>
                <w:sz w:val="22"/>
                <w:szCs w:val="22"/>
                <w:lang w:bidi="zh-CN"/>
              </w:rPr>
              <w:t>单位</w:t>
            </w:r>
          </w:p>
        </w:tc>
        <w:tc>
          <w:tcPr>
            <w:tcW w:w="709" w:type="dxa"/>
            <w:tcBorders>
              <w:top w:val="single" w:color="000000" w:sz="4" w:space="0"/>
              <w:left w:val="single" w:color="000000" w:sz="4" w:space="0"/>
              <w:bottom w:val="single" w:color="000000" w:sz="4" w:space="0"/>
              <w:right w:val="single" w:color="auto" w:sz="4" w:space="0"/>
            </w:tcBorders>
            <w:noWrap w:val="0"/>
            <w:vAlign w:val="center"/>
          </w:tcPr>
          <w:p>
            <w:pPr>
              <w:widowControl/>
              <w:autoSpaceDE w:val="0"/>
              <w:autoSpaceDN w:val="0"/>
              <w:jc w:val="center"/>
              <w:textAlignment w:val="center"/>
              <w:rPr>
                <w:rFonts w:ascii="宋体" w:hAnsi="宋体" w:cs="宋体"/>
                <w:b/>
                <w:bCs/>
                <w:kern w:val="0"/>
                <w:sz w:val="22"/>
                <w:szCs w:val="22"/>
                <w:lang w:val="zh-CN" w:bidi="zh-CN"/>
              </w:rPr>
            </w:pPr>
            <w:r>
              <w:rPr>
                <w:rFonts w:hint="eastAsia" w:ascii="宋体" w:hAnsi="宋体" w:cs="宋体"/>
                <w:b/>
                <w:bCs/>
                <w:kern w:val="0"/>
                <w:sz w:val="22"/>
                <w:szCs w:val="22"/>
                <w:lang w:bidi="zh-CN"/>
              </w:rPr>
              <w:t>数量</w:t>
            </w:r>
          </w:p>
        </w:tc>
      </w:tr>
      <w:tr>
        <w:tblPrEx>
          <w:tblCellMar>
            <w:top w:w="0" w:type="dxa"/>
            <w:left w:w="108" w:type="dxa"/>
            <w:bottom w:w="0" w:type="dxa"/>
            <w:right w:w="108" w:type="dxa"/>
          </w:tblCellMar>
        </w:tblPrEx>
        <w:trPr>
          <w:trHeight w:val="4917" w:hRule="atLeast"/>
          <w:jc w:val="center"/>
        </w:trPr>
        <w:tc>
          <w:tcPr>
            <w:tcW w:w="778"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autoSpaceDN w:val="0"/>
              <w:jc w:val="center"/>
              <w:textAlignment w:val="center"/>
              <w:rPr>
                <w:rFonts w:ascii="宋体" w:hAnsi="宋体" w:cs="宋体"/>
                <w:kern w:val="0"/>
                <w:sz w:val="22"/>
                <w:szCs w:val="22"/>
                <w:lang w:val="zh-CN" w:bidi="zh-CN"/>
              </w:rPr>
            </w:pPr>
            <w:r>
              <w:rPr>
                <w:rFonts w:hint="eastAsia" w:ascii="宋体" w:hAnsi="宋体" w:cs="宋体"/>
                <w:kern w:val="0"/>
                <w:sz w:val="22"/>
                <w:szCs w:val="22"/>
                <w:lang w:bidi="zh-CN"/>
              </w:rPr>
              <w:t>1</w:t>
            </w:r>
          </w:p>
        </w:tc>
        <w:tc>
          <w:tcPr>
            <w:tcW w:w="1202"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jc w:val="center"/>
              <w:rPr>
                <w:rFonts w:ascii="宋体" w:hAnsi="宋体" w:cs="宋体"/>
                <w:kern w:val="0"/>
                <w:sz w:val="22"/>
                <w:szCs w:val="22"/>
                <w:lang w:val="zh-CN" w:bidi="zh-CN"/>
              </w:rPr>
            </w:pPr>
            <w:r>
              <w:rPr>
                <w:rFonts w:hint="eastAsia" w:ascii="宋体" w:hAnsi="宋体" w:cs="宋体"/>
                <w:kern w:val="0"/>
                <w:sz w:val="22"/>
                <w:szCs w:val="22"/>
                <w:lang w:bidi="zh-CN"/>
              </w:rPr>
              <w:t>周口市党政机关办公用房管理信息系统建设项目</w:t>
            </w:r>
          </w:p>
          <w:p>
            <w:pPr>
              <w:autoSpaceDE w:val="0"/>
              <w:autoSpaceDN w:val="0"/>
              <w:jc w:val="center"/>
              <w:rPr>
                <w:rFonts w:ascii="宋体" w:hAnsi="宋体" w:cs="宋体"/>
                <w:kern w:val="0"/>
                <w:sz w:val="22"/>
                <w:szCs w:val="22"/>
                <w:lang w:val="zh-CN" w:bidi="zh-CN"/>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kern w:val="0"/>
                <w:sz w:val="22"/>
                <w:szCs w:val="22"/>
                <w:lang w:val="zh-CN" w:bidi="zh-CN"/>
              </w:rPr>
            </w:pPr>
            <w:r>
              <w:rPr>
                <w:rFonts w:hint="eastAsia" w:ascii="宋体" w:hAnsi="宋体" w:cs="宋体"/>
                <w:kern w:val="0"/>
                <w:sz w:val="22"/>
                <w:szCs w:val="22"/>
                <w:lang w:bidi="zh-CN"/>
              </w:rPr>
              <w:t>周口市党政机关办公用房管理信息系统建设项目的设备、软件的采购、安装、调试、运维等</w:t>
            </w:r>
          </w:p>
        </w:tc>
        <w:tc>
          <w:tcPr>
            <w:tcW w:w="8647"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国产化自主知识产权GIS平台，实现地图测量、图形关联、院落、楼栋、单位双向定位、房间在线编辑、分色显示、搜索框功能、全景时光机等功能。</w:t>
            </w:r>
          </w:p>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2、实现对办公用房院落、楼栋、单位、人事、房间等基础信息的展示维护，提供基础信息导入、导出、数据报表、数据上报、领导干部办公用房报备、数据概况、档案管理、变动审核等功能。</w:t>
            </w:r>
          </w:p>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3、对土地的规划建设进行管理，对新建改建和扩建的建设项目的项目名称、建筑面积、投资金额建设内容等关键信息进行备案管理；支持土地与房产的关联查询。</w:t>
            </w:r>
          </w:p>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4、实现房产统一权属进度分类展示；支持统一权属管理进度查询；</w:t>
            </w:r>
          </w:p>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 xml:space="preserve">5、预置“党政机关办公用房建设标准（发改投资〔2014〕2674 号）”“党政机关办公用房管理办法”中的各级别党政机关的办公用房标准，实现模拟分配方案的生成，辅助用户日常管理工作中办公用房的调整与分配。 </w:t>
            </w:r>
          </w:p>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6、支持院落、楼栋、房间、人事、单位，基础数据的直接变动处置；支持依据管理办法及具体的业务流程对房间、人事、单位，使用信息变更进行申请、审批。</w:t>
            </w:r>
          </w:p>
          <w:p>
            <w:pPr>
              <w:widowControl/>
              <w:numPr>
                <w:ilvl w:val="0"/>
                <w:numId w:val="18"/>
              </w:numPr>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7、实现大中修项目申报、项目预审管理、审批等功能；实现维修信息的综合查询。</w:t>
            </w:r>
          </w:p>
          <w:p>
            <w:pPr>
              <w:widowControl/>
              <w:autoSpaceDE w:val="0"/>
              <w:autoSpaceDN w:val="0"/>
              <w:jc w:val="left"/>
              <w:textAlignment w:val="center"/>
              <w:rPr>
                <w:rFonts w:ascii="宋体" w:hAnsi="宋体" w:cs="宋体"/>
                <w:kern w:val="0"/>
                <w:sz w:val="22"/>
                <w:szCs w:val="22"/>
                <w:lang w:bidi="zh-CN"/>
              </w:rPr>
            </w:pPr>
            <w:r>
              <w:rPr>
                <w:rFonts w:hint="eastAsia" w:ascii="宋体" w:hAnsi="宋体" w:cs="宋体"/>
                <w:kern w:val="0"/>
                <w:sz w:val="22"/>
                <w:szCs w:val="22"/>
                <w:lang w:bidi="zh-CN"/>
              </w:rPr>
              <w:t>8、县区接口开放。</w:t>
            </w:r>
          </w:p>
          <w:p>
            <w:pPr>
              <w:widowControl/>
              <w:autoSpaceDE w:val="0"/>
              <w:autoSpaceDN w:val="0"/>
              <w:jc w:val="left"/>
              <w:textAlignment w:val="center"/>
              <w:rPr>
                <w:rFonts w:ascii="宋体" w:hAnsi="宋体" w:cs="宋体"/>
                <w:kern w:val="0"/>
                <w:sz w:val="22"/>
                <w:szCs w:val="22"/>
                <w:lang w:val="zh-CN" w:bidi="zh-CN"/>
              </w:rPr>
            </w:pPr>
            <w:r>
              <w:rPr>
                <w:rFonts w:hint="eastAsia" w:ascii="宋体" w:hAnsi="宋体" w:cs="宋体"/>
                <w:kern w:val="0"/>
                <w:sz w:val="22"/>
                <w:szCs w:val="22"/>
                <w:lang w:bidi="zh-CN"/>
              </w:rPr>
              <w:t>9、具体技术要求详见附表。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kern w:val="0"/>
                <w:sz w:val="22"/>
                <w:szCs w:val="22"/>
                <w:lang w:val="zh-CN" w:bidi="zh-CN"/>
              </w:rPr>
            </w:pPr>
            <w:r>
              <w:rPr>
                <w:rFonts w:hint="eastAsia" w:ascii="宋体" w:hAnsi="宋体" w:cs="宋体"/>
                <w:kern w:val="0"/>
                <w:sz w:val="22"/>
                <w:szCs w:val="22"/>
                <w:lang w:bidi="zh-CN"/>
              </w:rPr>
              <w:t>项</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autoSpaceDE w:val="0"/>
              <w:autoSpaceDN w:val="0"/>
              <w:jc w:val="center"/>
              <w:textAlignment w:val="center"/>
              <w:rPr>
                <w:rFonts w:ascii="宋体" w:hAnsi="宋体" w:cs="宋体"/>
                <w:kern w:val="0"/>
                <w:sz w:val="22"/>
                <w:szCs w:val="22"/>
                <w:lang w:val="zh-CN" w:bidi="zh-CN"/>
              </w:rPr>
            </w:pPr>
            <w:r>
              <w:rPr>
                <w:rFonts w:hint="eastAsia" w:ascii="宋体" w:hAnsi="宋体" w:cs="宋体"/>
                <w:kern w:val="0"/>
                <w:sz w:val="22"/>
                <w:szCs w:val="22"/>
                <w:lang w:bidi="zh-CN"/>
              </w:rPr>
              <w:t>1</w:t>
            </w:r>
          </w:p>
        </w:tc>
      </w:tr>
    </w:tbl>
    <w:p>
      <w:pPr>
        <w:autoSpaceDE w:val="0"/>
        <w:autoSpaceDN w:val="0"/>
        <w:spacing w:after="120"/>
        <w:jc w:val="left"/>
        <w:rPr>
          <w:rFonts w:ascii="宋体" w:hAnsi="宋体" w:cs="宋体"/>
          <w:kern w:val="0"/>
          <w:sz w:val="22"/>
          <w:szCs w:val="22"/>
          <w:lang w:val="zh-CN" w:bidi="zh-CN"/>
        </w:rPr>
        <w:sectPr>
          <w:footerReference r:id="rId4" w:type="default"/>
          <w:pgSz w:w="16840" w:h="11910" w:orient="landscape"/>
          <w:pgMar w:top="1417" w:right="1417" w:bottom="1417" w:left="1417" w:header="0" w:footer="954" w:gutter="0"/>
          <w:pgNumType w:fmt="numberInDash"/>
          <w:cols w:space="720" w:num="1"/>
          <w:docGrid w:linePitch="299" w:charSpace="0"/>
        </w:sectPr>
      </w:pPr>
    </w:p>
    <w:p>
      <w:pPr>
        <w:autoSpaceDE w:val="0"/>
        <w:autoSpaceDN w:val="0"/>
        <w:spacing w:line="400" w:lineRule="exact"/>
        <w:jc w:val="center"/>
        <w:rPr>
          <w:rFonts w:ascii="宋体" w:hAnsi="宋体" w:cs="宋体"/>
          <w:b/>
          <w:bCs/>
          <w:kern w:val="0"/>
          <w:sz w:val="32"/>
          <w:szCs w:val="32"/>
          <w:lang w:bidi="zh-CN"/>
        </w:rPr>
      </w:pPr>
      <w:r>
        <w:rPr>
          <w:rFonts w:hint="eastAsia" w:ascii="宋体" w:hAnsi="宋体" w:cs="宋体"/>
          <w:b/>
          <w:bCs/>
          <w:kern w:val="0"/>
          <w:sz w:val="32"/>
          <w:szCs w:val="32"/>
          <w:lang w:bidi="zh-CN"/>
        </w:rPr>
        <w:t>2、具体需求参数及要求</w:t>
      </w:r>
    </w:p>
    <w:tbl>
      <w:tblPr>
        <w:tblStyle w:val="71"/>
        <w:tblpPr w:leftFromText="180" w:rightFromText="180" w:vertAnchor="text" w:horzAnchor="page" w:tblpXSpec="center" w:tblpY="484"/>
        <w:tblOverlap w:val="never"/>
        <w:tblW w:w="14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69"/>
        <w:gridCol w:w="1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4" w:type="dxa"/>
            <w:gridSpan w:val="3"/>
            <w:noWrap/>
            <w:vAlign w:val="top"/>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4"/>
                <w:szCs w:val="24"/>
                <w:lang w:val="zh-CN" w:bidi="zh-CN"/>
              </w:rPr>
              <w:t>1、智能图形管理模块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2"/>
                <w:szCs w:val="22"/>
                <w:lang w:val="zh-CN" w:bidi="zh-CN"/>
              </w:rPr>
              <w:t>序号</w:t>
            </w:r>
          </w:p>
        </w:tc>
        <w:tc>
          <w:tcPr>
            <w:tcW w:w="1569" w:type="dxa"/>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2"/>
                <w:szCs w:val="22"/>
                <w:lang w:val="zh-CN" w:bidi="zh-CN"/>
              </w:rPr>
              <w:t>功能名称</w:t>
            </w:r>
          </w:p>
        </w:tc>
        <w:tc>
          <w:tcPr>
            <w:tcW w:w="12616" w:type="dxa"/>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2"/>
                <w:szCs w:val="22"/>
                <w:lang w:val="zh-CN" w:bidi="zh-CN"/>
              </w:rPr>
              <w:t>详细技术参数及要求说明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图形平台</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选择主流平台，方便后续扩展及图形调用和其他系统对接集成。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图层链接</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实现对地图（房屋平面图、楼层平面图等）的多级下钻式链接管理；通过在线地图展示各楼栋/各单位土地及房产的整体情况，可以直观的掌握每一处土地及房产的整体情况，地图可以实现平面、卫星两种形态的切换，平滑移动，自由放大与缩小；可以实现按照院落楼栋和使用部门两种管理方式管理，例如：选择某使用部门，只显示该部门所在院落楼栋楼层分层图，并高亮显示，达到图属互查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1.3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图形操作：</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滚轮放大缩小，使用鼠标直接拖拽图形，不需要使用滚动条操作。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1.4</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图形关联</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实现房产管理员自主院落边界绘制，新增楼栋后管理员可以在在线地图上关联该楼栋，从而实现后续点击操作，可自主进行图形增加/删除。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1.5</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双向定位</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实现图形和数据的双向互连定位，可以实现楼盘表点选的房间链接至分层图并高亮显示；可以实现直接通过分层图修改房间属性信息；可实现房产表格信息直接链接至地图楼栋甚至楼层图中的房间并且高亮闪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6</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图例信息显示</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通过图形化显示楼层平面图信息时，在相应的位置要自动生成图例信息，以便于使用者清晰的看到当前楼层每个部门占用土地及房产的情况。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7</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分色功能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★为了方便直观管理，楼栋分层图实现部门分颜色显示以及按照房间用途分色，系统中基础信息若更改后可实现自动变色，房间用途更改后实现自动变色。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1.8</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导入/导出功能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系统能够上传转换后的CAD文件，自动生成楼层房间图；可导出“所见即所得”的适应各类纸张大小的图片格式文件，支持纸张选择、字体选择、图例位置及间距选择。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9</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图形在线编辑</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★房间出现加隔断或者拆除以及新增加房间的情况后，操作人员可以直接操作，在线编辑更新图形，并且实现数据库完全对接，不需要导出通过CAD软件修改后再导入。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10</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房屋结构变更轨迹</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能记录房屋结构图形变化如分隔、合并的变更轨迹对比。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11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自由显示</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★用户可以根据使用需要，控制平面图上显示的相关信息，如可以只显示房间号或只显示部门或只显示用途等信息，或以上信息可组合显示。系统可以做到“所见即所得”的打印输出。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12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搜索框功能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可按照楼栋、部门、人事进行直接搜索定位图形。方便操作，实现土地及房产一张图管理。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1.</w:t>
            </w:r>
            <w:r>
              <w:rPr>
                <w:rFonts w:hint="eastAsia" w:ascii="宋体" w:hAnsi="宋体" w:cs="宋体"/>
                <w:color w:val="000000"/>
                <w:kern w:val="0"/>
                <w:sz w:val="22"/>
                <w:szCs w:val="22"/>
                <w:lang w:bidi="zh-CN"/>
              </w:rPr>
              <w:t>13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按部门管理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可以按照按部门管理模式直接进入部门办公用房图形管理界面，通过树状列表切换本部门所在的不同楼栋/楼层且高亮显示。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1.1</w:t>
            </w:r>
            <w:r>
              <w:rPr>
                <w:rFonts w:hint="eastAsia" w:ascii="宋体" w:hAnsi="宋体" w:cs="宋体"/>
                <w:color w:val="000000"/>
                <w:kern w:val="0"/>
                <w:sz w:val="22"/>
                <w:szCs w:val="22"/>
                <w:lang w:bidi="zh-CN"/>
              </w:rPr>
              <w:t>4</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基于位置周边查询</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★在地图上选定一个位置点后进行周边不同房产性质的查询定位功能。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1.1</w:t>
            </w:r>
            <w:r>
              <w:rPr>
                <w:rFonts w:hint="eastAsia" w:ascii="宋体" w:hAnsi="宋体" w:cs="宋体"/>
                <w:color w:val="000000"/>
                <w:kern w:val="0"/>
                <w:sz w:val="22"/>
                <w:szCs w:val="22"/>
                <w:lang w:bidi="zh-CN"/>
              </w:rPr>
              <w:t>5</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综合显示</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楼栋坐落/部门分布/超标情况/使用性质/使用人职务级别/出租情况等实现地图上综合显示功能。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1.1</w:t>
            </w:r>
            <w:r>
              <w:rPr>
                <w:rFonts w:hint="eastAsia" w:ascii="宋体" w:hAnsi="宋体" w:cs="宋体"/>
                <w:color w:val="000000"/>
                <w:kern w:val="0"/>
                <w:sz w:val="22"/>
                <w:szCs w:val="22"/>
                <w:lang w:bidi="zh-CN"/>
              </w:rPr>
              <w:t>6</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全景时光机</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基于地图进行固定位置点的不同时间周边全景的管理展示功能。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874" w:type="dxa"/>
            <w:gridSpan w:val="3"/>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4"/>
                <w:szCs w:val="24"/>
                <w:lang w:val="zh-CN" w:bidi="zh-CN"/>
              </w:rPr>
              <w:t>2、办公用房管理模块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2"/>
                <w:szCs w:val="22"/>
                <w:lang w:val="zh-CN" w:bidi="zh-CN"/>
              </w:rPr>
              <w:t>序号</w:t>
            </w:r>
          </w:p>
        </w:tc>
        <w:tc>
          <w:tcPr>
            <w:tcW w:w="1569" w:type="dxa"/>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2"/>
                <w:szCs w:val="22"/>
                <w:lang w:val="zh-CN" w:bidi="zh-CN"/>
              </w:rPr>
              <w:t>功能名称</w:t>
            </w:r>
          </w:p>
        </w:tc>
        <w:tc>
          <w:tcPr>
            <w:tcW w:w="12616" w:type="dxa"/>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2"/>
                <w:szCs w:val="22"/>
                <w:lang w:val="zh-CN" w:bidi="zh-CN"/>
              </w:rPr>
              <w:t>详细技术参数及要求说明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基础软件服务</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熟悉</w:t>
            </w:r>
            <w:r>
              <w:rPr>
                <w:rFonts w:hint="eastAsia" w:ascii="宋体" w:hAnsi="宋体" w:cs="宋体"/>
                <w:color w:val="000000"/>
                <w:kern w:val="0"/>
                <w:sz w:val="22"/>
                <w:szCs w:val="22"/>
                <w:lang w:bidi="zh-CN"/>
              </w:rPr>
              <w:t>河南</w:t>
            </w:r>
            <w:r>
              <w:rPr>
                <w:rFonts w:hint="eastAsia" w:ascii="宋体" w:hAnsi="宋体" w:cs="宋体"/>
                <w:color w:val="000000"/>
                <w:kern w:val="0"/>
                <w:sz w:val="22"/>
                <w:szCs w:val="22"/>
                <w:lang w:val="zh-CN" w:bidi="zh-CN"/>
              </w:rPr>
              <w:t>省党政机关办公用房管理业务，掌握党政机关办公用房管理政策及办公用房标准文件，并提供相关文字说明。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国有土地管理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对宗地信息进行登记、查询、统计。包含所有土地的权属管理：宗地号、宗地名、图号、土地权利人名称、座落、权属性质、使用权类型、土地权利证书编号、取得土地时间、土地使用期限、用途、使用权面积、土地等级、宗地四至、测量情况、发证机关、所属区域等信息。在系统上可自主绘制土地红线，从土地角度查看每个地块上的建筑物情况及分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院落管理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各单位所有办公用房的位置管理，同时要支持内嵌地图的边界绘制、在线定位功能，展现所有办公用房的位置信息，以便于用户方便、直观的了解办公用房的整体分布情况及院落的基础数据管理。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4</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建筑物信息管理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对所管理的建筑物的基本信息及内部使用情况进行集中的统一管理和维护。支持建筑物基本情况信息表维护，系统需要提供建筑物的批量导入功能，导入时需要进行相关数据合规性和逻辑符合性校验。用树状图清晰展示多级组织的关系，点击建筑物可展示建筑物基本情况表。支持树状图中建筑物显示前后顺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5</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产权产籍管理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对房屋的产权证书、土地证书等进行统一的编号管理，对其扫描件进行存储归档。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6</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使用管理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房屋使用信息详细列表、资产列表，可以按照使用单位、使用部门等条件查询该单位办公用房具体使用情况。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7</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维修管理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大中修的项目申请审批等功能，可查询到该单位的维修台账信息。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8</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配置管理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可以对办公用房的使用进行统一调配，可以按单位、用途结合调配方案对办公用房批量进行调配，也可以对某个房间或某个使用者进行调配；也可以对已经分配的办公用房在不同的单位间进行调配。能够统计及核算各单位各用房性质的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9</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使用单位信息管理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★对各单位信息及分布建筑物情况进行集中的维护管理，用树状图清晰展示多级单位的关系，支持单位树状图中显示前后顺序调整，维护单位的编制信息便于进行办公用房面积的核对。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10</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房间管理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办公用房管理的最小单元为“房间”，系统中要实现对每一个房间基本数据的采集与管理，包括：房间号、房间名称、房间用途、具体用途、建筑面积、使用面积、使用单位、使用部门、分配时间、使用形式等。同时对于像会议室等类型的房间，要支持照片管理功能，即用户可以填加相应的照片，并且查询时可以方便的浏览照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9" w:type="dxa"/>
            <w:vMerge w:val="restart"/>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11</w:t>
            </w:r>
          </w:p>
        </w:tc>
        <w:tc>
          <w:tcPr>
            <w:tcW w:w="1569" w:type="dxa"/>
            <w:vMerge w:val="restart"/>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多维度查询</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多角度查询：具备全字段关键字查询功能；查询结果后可再根据所选字段进行分类统计或分段统计。</w:t>
            </w:r>
          </w:p>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按单位查房间：可以选择一个单位，系统罗列出当前单位占用的所有建筑物使用情况及核定情况、所有房间情况等。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89" w:type="dxa"/>
            <w:vMerge w:val="continue"/>
            <w:noWrap/>
            <w:vAlign w:val="center"/>
          </w:tcPr>
          <w:p>
            <w:pPr>
              <w:autoSpaceDE w:val="0"/>
              <w:autoSpaceDN w:val="0"/>
              <w:spacing w:line="400" w:lineRule="exact"/>
              <w:jc w:val="center"/>
              <w:rPr>
                <w:rFonts w:ascii="宋体" w:hAnsi="宋体" w:cs="宋体"/>
                <w:color w:val="000000"/>
                <w:kern w:val="0"/>
                <w:sz w:val="22"/>
                <w:szCs w:val="22"/>
                <w:lang w:val="zh-CN" w:bidi="zh-CN"/>
              </w:rPr>
            </w:pPr>
          </w:p>
        </w:tc>
        <w:tc>
          <w:tcPr>
            <w:tcW w:w="1569" w:type="dxa"/>
            <w:vMerge w:val="continue"/>
            <w:noWrap/>
            <w:vAlign w:val="center"/>
          </w:tcPr>
          <w:p>
            <w:pPr>
              <w:autoSpaceDE w:val="0"/>
              <w:autoSpaceDN w:val="0"/>
              <w:spacing w:line="400" w:lineRule="exact"/>
              <w:jc w:val="center"/>
              <w:rPr>
                <w:rFonts w:ascii="宋体" w:hAnsi="宋体" w:cs="宋体"/>
                <w:color w:val="000000"/>
                <w:kern w:val="0"/>
                <w:sz w:val="22"/>
                <w:szCs w:val="22"/>
                <w:lang w:val="zh-CN" w:bidi="zh-CN"/>
              </w:rPr>
            </w:pP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按建筑查单位：用户选择一个建筑，系统罗列出当前建筑中不同单位的使用情况及核定情况等。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9" w:type="dxa"/>
            <w:vMerge w:val="continue"/>
            <w:noWrap/>
            <w:vAlign w:val="center"/>
          </w:tcPr>
          <w:p>
            <w:pPr>
              <w:autoSpaceDE w:val="0"/>
              <w:autoSpaceDN w:val="0"/>
              <w:spacing w:line="400" w:lineRule="exact"/>
              <w:jc w:val="center"/>
              <w:rPr>
                <w:rFonts w:ascii="宋体" w:hAnsi="宋体" w:cs="宋体"/>
                <w:color w:val="000000"/>
                <w:kern w:val="0"/>
                <w:sz w:val="22"/>
                <w:szCs w:val="22"/>
                <w:lang w:val="zh-CN" w:bidi="zh-CN"/>
              </w:rPr>
            </w:pPr>
          </w:p>
        </w:tc>
        <w:tc>
          <w:tcPr>
            <w:tcW w:w="1569" w:type="dxa"/>
            <w:vMerge w:val="continue"/>
            <w:noWrap/>
            <w:vAlign w:val="center"/>
          </w:tcPr>
          <w:p>
            <w:pPr>
              <w:autoSpaceDE w:val="0"/>
              <w:autoSpaceDN w:val="0"/>
              <w:spacing w:line="400" w:lineRule="exact"/>
              <w:jc w:val="center"/>
              <w:rPr>
                <w:rFonts w:ascii="宋体" w:hAnsi="宋体" w:cs="宋体"/>
                <w:color w:val="000000"/>
                <w:kern w:val="0"/>
                <w:sz w:val="22"/>
                <w:szCs w:val="22"/>
                <w:lang w:val="zh-CN" w:bidi="zh-CN"/>
              </w:rPr>
            </w:pP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★多选查询：可以根据查询条件组合查询，多选查询等。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9" w:type="dxa"/>
            <w:vMerge w:val="continue"/>
            <w:noWrap/>
            <w:vAlign w:val="center"/>
          </w:tcPr>
          <w:p>
            <w:pPr>
              <w:autoSpaceDE w:val="0"/>
              <w:autoSpaceDN w:val="0"/>
              <w:spacing w:line="400" w:lineRule="exact"/>
              <w:jc w:val="center"/>
              <w:rPr>
                <w:rFonts w:ascii="宋体" w:hAnsi="宋体" w:cs="宋体"/>
                <w:color w:val="000000"/>
                <w:kern w:val="0"/>
                <w:sz w:val="22"/>
                <w:szCs w:val="22"/>
                <w:lang w:val="zh-CN" w:bidi="zh-CN"/>
              </w:rPr>
            </w:pPr>
          </w:p>
        </w:tc>
        <w:tc>
          <w:tcPr>
            <w:tcW w:w="1569" w:type="dxa"/>
            <w:vMerge w:val="continue"/>
            <w:noWrap/>
            <w:vAlign w:val="center"/>
          </w:tcPr>
          <w:p>
            <w:pPr>
              <w:autoSpaceDE w:val="0"/>
              <w:autoSpaceDN w:val="0"/>
              <w:spacing w:line="400" w:lineRule="exact"/>
              <w:jc w:val="center"/>
              <w:rPr>
                <w:rFonts w:ascii="宋体" w:hAnsi="宋体" w:cs="宋体"/>
                <w:color w:val="000000"/>
                <w:kern w:val="0"/>
                <w:sz w:val="22"/>
                <w:szCs w:val="22"/>
                <w:lang w:val="zh-CN" w:bidi="zh-CN"/>
              </w:rPr>
            </w:pP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综合查询：集成了一体化查询，提供多达数十种关键字，一键查询。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2.1</w:t>
            </w:r>
            <w:r>
              <w:rPr>
                <w:rFonts w:hint="eastAsia" w:ascii="宋体" w:hAnsi="宋体" w:cs="宋体"/>
                <w:color w:val="000000"/>
                <w:kern w:val="0"/>
                <w:sz w:val="22"/>
                <w:szCs w:val="22"/>
                <w:lang w:bidi="zh-CN"/>
              </w:rPr>
              <w:t>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超标管理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★系统要与国家办公用房管理政策紧密结合，预置“党政机关办公用房建设标准（发改投资〔2014〕2674 号）”“党政机关办公用房管理办法”中的各级别党政机关的办公用房标准。用户在使用过程中，只需要选定相关标准，便可以进行各种超标情况的统计与分析。根据分摊面积与其职级对应的标准面积进行对比，形成人员超标情况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2.1</w:t>
            </w:r>
            <w:r>
              <w:rPr>
                <w:rFonts w:hint="eastAsia" w:ascii="宋体" w:hAnsi="宋体" w:cs="宋体"/>
                <w:color w:val="000000"/>
                <w:kern w:val="0"/>
                <w:sz w:val="22"/>
                <w:szCs w:val="22"/>
                <w:lang w:bidi="zh-CN"/>
              </w:rPr>
              <w:t>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档案管理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每一个建筑物和使用单位以及房间都会有相应的文档资料档案， 通过本功能将所有建筑物及使用单位、房间相关的资料进行统一管理，以实现完整办公用房资料档案的建立。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2.1</w:t>
            </w:r>
            <w:r>
              <w:rPr>
                <w:rFonts w:hint="eastAsia" w:ascii="宋体" w:hAnsi="宋体" w:cs="宋体"/>
                <w:color w:val="000000"/>
                <w:kern w:val="0"/>
                <w:sz w:val="22"/>
                <w:szCs w:val="22"/>
                <w:lang w:bidi="zh-CN"/>
              </w:rPr>
              <w:t>4</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楼盘表管理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★采用简单直观的“楼盘表”管理模式（根据颜色区分房间的不同状态）。可以实现房间信息链接至该房间电子地图。实现无缝链接的图文一体化操作模式。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2.1</w:t>
            </w:r>
            <w:r>
              <w:rPr>
                <w:rFonts w:hint="eastAsia" w:ascii="宋体" w:hAnsi="宋体" w:cs="宋体"/>
                <w:color w:val="000000"/>
                <w:kern w:val="0"/>
                <w:sz w:val="22"/>
                <w:szCs w:val="22"/>
                <w:lang w:bidi="zh-CN"/>
              </w:rPr>
              <w:t>5</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概况功能</w:t>
            </w:r>
          </w:p>
        </w:tc>
        <w:tc>
          <w:tcPr>
            <w:tcW w:w="12616" w:type="dxa"/>
            <w:noWrap/>
            <w:vAlign w:val="center"/>
          </w:tcPr>
          <w:p>
            <w:pPr>
              <w:autoSpaceDE w:val="0"/>
              <w:autoSpaceDN w:val="0"/>
              <w:adjustRightInd w:val="0"/>
              <w:spacing w:line="420" w:lineRule="atLeast"/>
              <w:jc w:val="left"/>
              <w:textAlignment w:val="baseline"/>
              <w:rPr>
                <w:rFonts w:ascii="宋体" w:hAnsi="宋体" w:cs="宋体"/>
                <w:color w:val="000000"/>
                <w:kern w:val="0"/>
                <w:szCs w:val="21"/>
                <w:lang w:bidi="zh-CN"/>
              </w:rPr>
            </w:pPr>
            <w:r>
              <w:rPr>
                <w:rFonts w:hint="eastAsia" w:ascii="宋体" w:hAnsi="宋体" w:cs="宋体"/>
                <w:color w:val="000000"/>
                <w:kern w:val="0"/>
                <w:sz w:val="22"/>
                <w:szCs w:val="22"/>
                <w:lang w:val="zh-CN" w:bidi="zh-CN"/>
              </w:rPr>
              <w:t>★</w:t>
            </w:r>
            <w:r>
              <w:rPr>
                <w:rFonts w:hint="eastAsia" w:ascii="宋体" w:hAnsi="宋体" w:cs="宋体"/>
                <w:color w:val="000000"/>
                <w:kern w:val="0"/>
                <w:szCs w:val="21"/>
                <w:lang w:bidi="zh-CN"/>
              </w:rPr>
              <w:t>符合</w:t>
            </w:r>
            <w:r>
              <w:rPr>
                <w:rFonts w:hint="eastAsia" w:ascii="宋体" w:hAnsi="宋体" w:cs="宋体"/>
                <w:color w:val="000000"/>
                <w:kern w:val="0"/>
                <w:szCs w:val="21"/>
                <w:lang w:val="zh-CN" w:bidi="zh-CN"/>
              </w:rPr>
              <w:t>河南省办公用房管理系统技术标准，与河南省办公用房管理系统对接顺畅;数据信息传输便捷、通畅。</w:t>
            </w:r>
          </w:p>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实现部门与事业单位级联关系，可自动生成部门或事业单位概况表和楼栋概况表。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2.1</w:t>
            </w:r>
            <w:r>
              <w:rPr>
                <w:rFonts w:hint="eastAsia" w:ascii="宋体" w:hAnsi="宋体" w:cs="宋体"/>
                <w:color w:val="000000"/>
                <w:kern w:val="0"/>
                <w:sz w:val="22"/>
                <w:szCs w:val="22"/>
                <w:lang w:bidi="zh-CN"/>
              </w:rPr>
              <w:t>6</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联网管理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市直单位自行登录维护每一间办公室的使用信息和人员信息，以便于系统进行自动核算房间超标以及单位整体超标情况。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2.1</w:t>
            </w:r>
            <w:r>
              <w:rPr>
                <w:rFonts w:hint="eastAsia" w:ascii="宋体" w:hAnsi="宋体" w:cs="宋体"/>
                <w:color w:val="000000"/>
                <w:kern w:val="0"/>
                <w:sz w:val="22"/>
                <w:szCs w:val="22"/>
                <w:lang w:bidi="zh-CN"/>
              </w:rPr>
              <w:t>7</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分级管理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支持省、市、县三级联动，实现分级管理，各单位根据权限维护自身数据，上级单位可访问下级单位数据，下级单位只可访问本级数据，不可逆向操作。本单位维护本单位的使用信息，可由机关事务管理局在系统中确认后方可更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2.18</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集体宿舍管理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实现宿舍楼的产权档案管理，包括地址、门牌、层数、面积、间数、可安排人数、产权证号、土地证号、产权单位等；使用管理：每个入住宿舍人员信息（包括但不限于单位、姓名、职务）、入住时间、到期时间、使用人信息、宿舍面积、房间类型（单人间、双人间、多个间）以及宿舍的租金标准、收缴记录等； 统计管理：到期提醒、欠租提醒、空房统计、费用统计等。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2.19</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出租管理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记录并维护房间的出租及费用等信息，便于管理部门对于房屋的出租及时清楚的掌握。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20</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全景功能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对院落和办公用房、技术业务用房，如办公室、会议室、资料室等，设备用房和附属用房等，系统可实现用户自主加载上传全景照片功能，足不出户就可以看到房间的布局及装修情况，方便突发事件时做应急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2.21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智能分配</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★系统需要提供模拟分配方案的制定，以辅助用户日常管理工作中办公用房的调整与分配。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2.22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预警提醒功能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★设置办公用房超标预警、租借到期提醒、空置提醒等功能。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23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宣传教育功能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用户可以在系统上发布或转发有关政策法规，下发通知公告等。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24</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信息安全</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做好身份认证、访问控制审计和数据备份等安全措施，确保信息安全。用户密码设置至少8位，使用大小写字母、数字与符号的组合。数据备份的方式协商确定。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25</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数据库备份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数据库进行数据备份，至少可对历史1年内的数据进行恢复，保留每年完成上报后的全年数据备份。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2.2</w:t>
            </w:r>
            <w:r>
              <w:rPr>
                <w:rFonts w:hint="eastAsia" w:ascii="宋体" w:hAnsi="宋体" w:cs="宋体"/>
                <w:color w:val="000000"/>
                <w:kern w:val="0"/>
                <w:sz w:val="22"/>
                <w:szCs w:val="22"/>
                <w:lang w:bidi="zh-CN"/>
              </w:rPr>
              <w:t>6</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部门编制及三定方案、使用面积自定义配置管理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部门编制及三定方案、使用面积自定义配置管理，用户可以通过自定义编制及使用信息，使房间使用及超标面积核算更加贴近部门真实数据，促进每年上报的房间数据详实，流程便捷。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2.2</w:t>
            </w:r>
            <w:r>
              <w:rPr>
                <w:rFonts w:hint="eastAsia" w:ascii="宋体" w:hAnsi="宋体" w:cs="宋体"/>
                <w:color w:val="000000"/>
                <w:kern w:val="0"/>
                <w:sz w:val="22"/>
                <w:szCs w:val="22"/>
                <w:lang w:bidi="zh-CN"/>
              </w:rPr>
              <w:t>7</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房间关联使用人</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★房间关联使用人支持两种模式，分别为职务+人数模式、与人事关联模式。通过两种模式的信息变动自动核算部门使用面积及超标面积。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2.2</w:t>
            </w:r>
            <w:r>
              <w:rPr>
                <w:rFonts w:hint="eastAsia" w:ascii="宋体" w:hAnsi="宋体" w:cs="宋体"/>
                <w:color w:val="000000"/>
                <w:kern w:val="0"/>
                <w:sz w:val="22"/>
                <w:szCs w:val="22"/>
                <w:lang w:bidi="zh-CN"/>
              </w:rPr>
              <w:t>8</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业务卡片管理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人事、院落、楼栋、部门业务卡片管理，通过人事、院落、楼栋、部门不同的维度精细化呈现相关数据并与地图坐标信息互联互通，管理更加直观化。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2.29</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管理人员驾驶舱</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管理人员驾驶舱个性化呈现，系统为每一级管理提供了个性化驾驶舱操作页面，通过数据与功能汇总，不仅能让用户从宏观角度掌控房产、人事、部门相关数据的变动同时也让用户日常管理操作更加便捷高效。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30</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数据上报</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★了解国管局党政机关办公用房管理系统的要求，</w:t>
            </w:r>
            <w:r>
              <w:rPr>
                <w:rFonts w:hint="eastAsia" w:ascii="宋体" w:hAnsi="宋体" w:cs="宋体"/>
                <w:color w:val="000000"/>
                <w:kern w:val="0"/>
                <w:sz w:val="22"/>
                <w:szCs w:val="22"/>
                <w:lang w:bidi="zh-CN"/>
              </w:rPr>
              <w:t>系统内置上报模板，并进行实时更新，且</w:t>
            </w:r>
            <w:r>
              <w:rPr>
                <w:rFonts w:hint="eastAsia" w:ascii="宋体" w:hAnsi="宋体" w:cs="宋体"/>
                <w:color w:val="000000"/>
                <w:kern w:val="0"/>
                <w:sz w:val="22"/>
                <w:szCs w:val="22"/>
                <w:lang w:val="zh-CN" w:bidi="zh-CN"/>
              </w:rPr>
              <w:t>能完成与国管局系统的对接，完成上报任务，需要提供如下佐证：国管局党政机关办公用房数据库报送表样、数据报送规范、对接通信协议（即系统对接方案）。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31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批量导入功能</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支持职务等级、单位、人事、院落、楼宇、房间、用户基础数据的批量导入功能，加持逻辑严密的校验，提供导入模板下载，模板内含有填写指南及数据示例，导入失败时系统返回错误提示信息，精确定位到错误单元格，大批量数据无需手动添加，省时省力，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32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上下级联动</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★①</w:t>
            </w:r>
            <w:r>
              <w:rPr>
                <w:rFonts w:hint="eastAsia" w:ascii="宋体" w:hAnsi="宋体" w:cs="宋体"/>
                <w:color w:val="000000"/>
                <w:kern w:val="0"/>
                <w:sz w:val="22"/>
                <w:szCs w:val="22"/>
                <w:lang w:bidi="zh-CN"/>
              </w:rPr>
              <w:t>免费</w:t>
            </w:r>
            <w:r>
              <w:rPr>
                <w:rFonts w:hint="eastAsia" w:ascii="宋体" w:hAnsi="宋体" w:cs="宋体"/>
                <w:color w:val="000000"/>
                <w:kern w:val="0"/>
                <w:sz w:val="22"/>
                <w:szCs w:val="22"/>
                <w:lang w:val="zh-CN" w:bidi="zh-CN"/>
              </w:rPr>
              <w:t>对接河南省机关事务管理局党政机关办公用房管理系统：</w:t>
            </w:r>
            <w:r>
              <w:rPr>
                <w:rFonts w:hint="eastAsia" w:ascii="宋体" w:hAnsi="宋体" w:cs="宋体"/>
                <w:color w:val="000000"/>
                <w:kern w:val="0"/>
                <w:sz w:val="22"/>
                <w:szCs w:val="22"/>
                <w:lang w:bidi="zh-CN"/>
              </w:rPr>
              <w:t>实现省、市办公用房管理系统的对接，达成数据共享</w:t>
            </w:r>
            <w:r>
              <w:rPr>
                <w:rFonts w:hint="eastAsia" w:ascii="宋体" w:hAnsi="宋体" w:cs="宋体"/>
                <w:color w:val="000000"/>
                <w:kern w:val="0"/>
                <w:sz w:val="22"/>
                <w:szCs w:val="22"/>
                <w:lang w:val="zh-CN" w:bidi="zh-CN"/>
              </w:rPr>
              <w:t>提</w:t>
            </w:r>
            <w:r>
              <w:rPr>
                <w:rFonts w:hint="eastAsia" w:ascii="宋体" w:hAnsi="宋体" w:cs="宋体"/>
                <w:color w:val="000000"/>
                <w:kern w:val="0"/>
                <w:sz w:val="22"/>
                <w:szCs w:val="22"/>
                <w:lang w:bidi="zh-CN"/>
              </w:rPr>
              <w:t>高管理服务效率。（需提供对接方案及证明文件）</w:t>
            </w:r>
          </w:p>
          <w:p>
            <w:pPr>
              <w:autoSpaceDE w:val="0"/>
              <w:autoSpaceDN w:val="0"/>
              <w:spacing w:line="400" w:lineRule="exact"/>
              <w:jc w:val="left"/>
              <w:rPr>
                <w:rFonts w:ascii="宋体" w:hAnsi="宋体" w:cs="宋体"/>
                <w:color w:val="000000"/>
                <w:kern w:val="0"/>
                <w:sz w:val="22"/>
                <w:szCs w:val="22"/>
                <w:lang w:bidi="zh-CN"/>
              </w:rPr>
            </w:pPr>
            <w:r>
              <w:rPr>
                <w:rFonts w:hint="eastAsia" w:ascii="宋体" w:hAnsi="宋体" w:cs="宋体"/>
                <w:color w:val="000000"/>
                <w:kern w:val="0"/>
                <w:sz w:val="22"/>
                <w:szCs w:val="22"/>
                <w:lang w:bidi="zh-CN"/>
              </w:rPr>
              <w:t>②县、区级党政机关办公用房管理系统接口开放，实现市、县办公用房管理系统一体化、一张网建设。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2.33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移动核查端</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实现移动端现场核查功能、照片展示。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2.34</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统一权属管理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包括统一产权登记范围内与外的房产，系统将这两类房产进行严格的区分，以保证对统一产权登记房产的有效管理。支持统一权属管理进度查询。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2.35</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办公用房报备</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★系统提供填报模板下载功能，该模板严格按照主管部门规定格式，实时更新。系统根据人事信息及房间关联信息自动生成报表，也可由各单位手动填写。支持一键导出数据。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2.36</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数据变动</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支持院落、楼栋、房间、人事、单位，基础数据的直接变动；还可依据具体的业务流程对房间、人事、单位，使用信息变更进行更改或申请更改。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2.37</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变动审核</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★系统根据权限设置支持对房间、人事、单位，使用信息的申请更改，进行业务审核。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bidi="zh-CN"/>
              </w:rPr>
              <w:t>2.38</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bidi="zh-CN"/>
              </w:rPr>
              <w:t>功能调整</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bidi="zh-CN"/>
              </w:rPr>
              <w:t>根据调研和实施情况，用户将增减功能模块对模块内容进行调整，以适应办公用房管理的实际需求。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w:t>
            </w:r>
            <w:r>
              <w:rPr>
                <w:rFonts w:hint="eastAsia" w:ascii="宋体" w:hAnsi="宋体" w:cs="宋体"/>
                <w:color w:val="000000"/>
                <w:kern w:val="0"/>
                <w:sz w:val="22"/>
                <w:szCs w:val="22"/>
                <w:lang w:bidi="zh-CN"/>
              </w:rPr>
              <w:t>39</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系统管理</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包括编码管理、单位管理、数据字典、权限管理、人员管理、角色分配、操作日志等。充分考虑到网络系统的使用安全，确保数据安全， 并记录下所有数据操作过程生成日志，便于责任划分。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874" w:type="dxa"/>
            <w:gridSpan w:val="3"/>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b/>
                <w:bCs/>
                <w:color w:val="000000"/>
                <w:kern w:val="0"/>
                <w:sz w:val="24"/>
                <w:szCs w:val="24"/>
                <w:lang w:val="zh-CN" w:bidi="zh-CN"/>
              </w:rPr>
              <w:t>3、系统技术要求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3.1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系统技术要求</w:t>
            </w:r>
          </w:p>
        </w:tc>
        <w:tc>
          <w:tcPr>
            <w:tcW w:w="12616" w:type="dxa"/>
            <w:noWrap/>
            <w:vAlign w:val="center"/>
          </w:tcPr>
          <w:p>
            <w:pPr>
              <w:autoSpaceDE w:val="0"/>
              <w:autoSpaceDN w:val="0"/>
              <w:spacing w:line="400" w:lineRule="exact"/>
              <w:jc w:val="left"/>
              <w:rPr>
                <w:rFonts w:hint="eastAsia" w:ascii="宋体" w:hAnsi="宋体" w:cs="宋体"/>
                <w:color w:val="000000"/>
                <w:kern w:val="0"/>
                <w:sz w:val="22"/>
                <w:szCs w:val="22"/>
                <w:lang w:val="zh-CN" w:bidi="zh-CN"/>
              </w:rPr>
            </w:pPr>
            <w:r>
              <w:rPr>
                <w:rFonts w:hint="eastAsia" w:ascii="宋体" w:hAnsi="宋体" w:cs="宋体"/>
                <w:color w:val="000000"/>
                <w:kern w:val="0"/>
                <w:sz w:val="22"/>
                <w:szCs w:val="22"/>
                <w:lang w:val="zh-CN" w:bidi="zh-CN"/>
              </w:rPr>
              <w:t>1.采用B/S结构设计，必须同时适合Linux和Windows的跨平台操作系统。</w:t>
            </w:r>
          </w:p>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2.开发语言：采用JAVA设计。开发技术采用J2EE标准，将系统内部在技术上相互依赖性减至最低，以符合运行环境。</w:t>
            </w:r>
          </w:p>
          <w:p>
            <w:pPr>
              <w:autoSpaceDE w:val="0"/>
              <w:autoSpaceDN w:val="0"/>
              <w:spacing w:line="400" w:lineRule="exact"/>
              <w:jc w:val="left"/>
              <w:rPr>
                <w:rFonts w:hint="eastAsia" w:ascii="宋体" w:hAnsi="宋体" w:cs="宋体"/>
                <w:color w:val="000000"/>
                <w:kern w:val="0"/>
                <w:sz w:val="22"/>
                <w:szCs w:val="22"/>
                <w:lang w:val="zh-CN" w:bidi="zh-CN"/>
              </w:rPr>
            </w:pPr>
            <w:r>
              <w:rPr>
                <w:rFonts w:hint="eastAsia" w:ascii="宋体" w:hAnsi="宋体" w:cs="宋体"/>
                <w:color w:val="000000"/>
                <w:kern w:val="0"/>
                <w:sz w:val="22"/>
                <w:szCs w:val="22"/>
                <w:lang w:val="zh-CN" w:bidi="zh-CN"/>
              </w:rPr>
              <w:t>3.数据库：采用Mysql、SQLServer或Oracle 10G/11G等主流数据库。</w:t>
            </w:r>
          </w:p>
          <w:p>
            <w:pPr>
              <w:autoSpaceDE w:val="0"/>
              <w:autoSpaceDN w:val="0"/>
              <w:spacing w:line="400" w:lineRule="exact"/>
              <w:jc w:val="left"/>
              <w:rPr>
                <w:rFonts w:hint="eastAsia" w:ascii="宋体" w:hAnsi="宋体" w:cs="宋体"/>
                <w:color w:val="000000"/>
                <w:kern w:val="0"/>
                <w:sz w:val="22"/>
                <w:szCs w:val="22"/>
                <w:lang w:val="zh-CN" w:bidi="zh-CN"/>
              </w:rPr>
            </w:pPr>
            <w:r>
              <w:rPr>
                <w:rFonts w:hint="eastAsia" w:ascii="宋体" w:hAnsi="宋体" w:cs="宋体"/>
                <w:color w:val="000000"/>
                <w:kern w:val="0"/>
                <w:sz w:val="22"/>
                <w:szCs w:val="22"/>
                <w:lang w:val="zh-CN" w:bidi="zh-CN"/>
              </w:rPr>
              <w:t xml:space="preserve">4.中间件：适应WebLogic、WebSphere、JBOSS、Tomcat等主流中间件。                                                                                        </w:t>
            </w:r>
          </w:p>
          <w:p>
            <w:pPr>
              <w:autoSpaceDE w:val="0"/>
              <w:autoSpaceDN w:val="0"/>
              <w:spacing w:line="400" w:lineRule="exact"/>
              <w:jc w:val="left"/>
              <w:rPr>
                <w:rFonts w:hint="eastAsia" w:ascii="宋体" w:hAnsi="宋体" w:cs="宋体"/>
                <w:color w:val="000000"/>
                <w:kern w:val="0"/>
                <w:sz w:val="22"/>
                <w:szCs w:val="22"/>
                <w:lang w:val="zh-CN" w:bidi="zh-CN"/>
              </w:rPr>
            </w:pPr>
            <w:r>
              <w:rPr>
                <w:rFonts w:hint="eastAsia" w:ascii="宋体" w:hAnsi="宋体" w:cs="宋体"/>
                <w:color w:val="000000"/>
                <w:kern w:val="0"/>
                <w:sz w:val="22"/>
                <w:szCs w:val="22"/>
                <w:lang w:val="zh-CN" w:bidi="zh-CN"/>
              </w:rPr>
              <w:t>5.服务器端：Linux或Windows Server 2008或以上。</w:t>
            </w:r>
          </w:p>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6.客户端：安装Windows 操作系统，支持主流浏览器。免装插件。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874" w:type="dxa"/>
            <w:gridSpan w:val="3"/>
            <w:noWrap/>
            <w:vAlign w:val="center"/>
          </w:tcPr>
          <w:p>
            <w:pPr>
              <w:autoSpaceDE w:val="0"/>
              <w:autoSpaceDN w:val="0"/>
              <w:spacing w:line="400" w:lineRule="exact"/>
              <w:jc w:val="center"/>
              <w:rPr>
                <w:rFonts w:ascii="宋体" w:hAnsi="宋体" w:cs="宋体"/>
                <w:b/>
                <w:bCs/>
                <w:color w:val="000000"/>
                <w:kern w:val="0"/>
                <w:sz w:val="22"/>
                <w:szCs w:val="22"/>
                <w:lang w:val="zh-CN" w:bidi="zh-CN"/>
              </w:rPr>
            </w:pPr>
            <w:r>
              <w:rPr>
                <w:rFonts w:hint="eastAsia" w:ascii="宋体" w:hAnsi="宋体" w:cs="宋体"/>
                <w:b/>
                <w:bCs/>
                <w:color w:val="000000"/>
                <w:kern w:val="0"/>
                <w:sz w:val="24"/>
                <w:szCs w:val="24"/>
                <w:lang w:val="zh-CN" w:bidi="zh-CN"/>
              </w:rPr>
              <w:t>4、商务要求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4</w:t>
            </w:r>
            <w:r>
              <w:rPr>
                <w:rFonts w:ascii="宋体" w:hAnsi="宋体" w:cs="宋体"/>
                <w:color w:val="000000"/>
                <w:kern w:val="0"/>
                <w:sz w:val="22"/>
                <w:szCs w:val="22"/>
                <w:lang w:val="zh-CN" w:bidi="zh-CN"/>
              </w:rPr>
              <w:t>.1</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售后服务要求</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1、须提供</w:t>
            </w:r>
            <w:r>
              <w:rPr>
                <w:rFonts w:hint="eastAsia" w:ascii="宋体" w:hAnsi="宋体" w:cs="宋体"/>
                <w:color w:val="000000"/>
                <w:kern w:val="0"/>
                <w:sz w:val="22"/>
                <w:szCs w:val="22"/>
                <w:lang w:bidi="zh-CN"/>
              </w:rPr>
              <w:t>三</w:t>
            </w:r>
            <w:r>
              <w:rPr>
                <w:rFonts w:ascii="宋体" w:hAnsi="宋体" w:cs="宋体"/>
                <w:color w:val="000000"/>
                <w:kern w:val="0"/>
                <w:sz w:val="22"/>
                <w:szCs w:val="22"/>
                <w:lang w:val="zh-CN" w:bidi="zh-CN"/>
              </w:rPr>
              <w:t>年免费质保</w:t>
            </w:r>
            <w:r>
              <w:rPr>
                <w:rFonts w:hint="eastAsia" w:ascii="宋体" w:hAnsi="宋体" w:cs="宋体"/>
                <w:color w:val="000000"/>
                <w:kern w:val="0"/>
                <w:sz w:val="22"/>
                <w:szCs w:val="22"/>
                <w:lang w:val="zh-CN" w:bidi="zh-CN"/>
              </w:rPr>
              <w:t>，质保期后的维护费用由采购人和中标人自行商定</w:t>
            </w:r>
            <w:r>
              <w:rPr>
                <w:rFonts w:ascii="宋体" w:hAnsi="宋体" w:cs="宋体"/>
                <w:color w:val="000000"/>
                <w:kern w:val="0"/>
                <w:sz w:val="22"/>
                <w:szCs w:val="22"/>
                <w:lang w:val="zh-CN" w:bidi="zh-CN"/>
              </w:rPr>
              <w:t>。</w:t>
            </w:r>
          </w:p>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2、要求能提供现场服务</w:t>
            </w:r>
          </w:p>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3、要求提供 7*24 小时服务响应，在收到服务需求后能在 4 小时内到达现场。</w:t>
            </w:r>
          </w:p>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4、有完整的服务团队，可提供在线客服、远程指导、微信、QQ 群、上门服务的专业人员。</w:t>
            </w:r>
          </w:p>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5、有完善可行的培训方案。针对市</w:t>
            </w:r>
            <w:r>
              <w:rPr>
                <w:rFonts w:hint="eastAsia" w:ascii="宋体" w:hAnsi="宋体" w:cs="宋体"/>
                <w:color w:val="000000"/>
                <w:kern w:val="0"/>
                <w:sz w:val="22"/>
                <w:szCs w:val="22"/>
                <w:lang w:val="zh-CN" w:bidi="zh-CN"/>
              </w:rPr>
              <w:t>局</w:t>
            </w:r>
            <w:r>
              <w:rPr>
                <w:rFonts w:ascii="宋体" w:hAnsi="宋体" w:cs="宋体"/>
                <w:color w:val="000000"/>
                <w:kern w:val="0"/>
                <w:sz w:val="22"/>
                <w:szCs w:val="22"/>
                <w:lang w:val="zh-CN" w:bidi="zh-CN"/>
              </w:rPr>
              <w:t>各级办公用房使用单位，至少提供 1 次免费集中培训。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4</w:t>
            </w:r>
            <w:r>
              <w:rPr>
                <w:rFonts w:ascii="宋体" w:hAnsi="宋体" w:cs="宋体"/>
                <w:color w:val="000000"/>
                <w:kern w:val="0"/>
                <w:sz w:val="22"/>
                <w:szCs w:val="22"/>
                <w:lang w:val="zh-CN" w:bidi="zh-CN"/>
              </w:rPr>
              <w:t>.2</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县（区、市）使用服务费</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1、</w:t>
            </w:r>
            <w:r>
              <w:rPr>
                <w:rFonts w:hint="eastAsia" w:ascii="宋体" w:hAnsi="宋体" w:cs="宋体"/>
                <w:color w:val="000000"/>
                <w:kern w:val="0"/>
                <w:sz w:val="22"/>
                <w:szCs w:val="22"/>
                <w:lang w:val="zh-CN" w:bidi="zh-CN"/>
              </w:rPr>
              <w:t>本包为周口市机关事务管理局党政机关办公用房管理信息系统建设项目</w:t>
            </w:r>
            <w:r>
              <w:rPr>
                <w:rFonts w:ascii="宋体" w:hAnsi="宋体" w:cs="宋体"/>
                <w:color w:val="000000"/>
                <w:kern w:val="0"/>
                <w:sz w:val="22"/>
                <w:szCs w:val="22"/>
                <w:lang w:val="zh-CN" w:bidi="zh-CN"/>
              </w:rPr>
              <w:t>，</w:t>
            </w:r>
            <w:r>
              <w:rPr>
                <w:rFonts w:hint="eastAsia" w:ascii="宋体" w:hAnsi="宋体" w:cs="宋体"/>
                <w:color w:val="000000"/>
                <w:kern w:val="0"/>
                <w:sz w:val="22"/>
                <w:szCs w:val="22"/>
                <w:lang w:val="zh-CN" w:bidi="zh-CN"/>
              </w:rPr>
              <w:t>周口市辖县（区、市）局可通过授权开通使用权限，但需要每年</w:t>
            </w:r>
            <w:r>
              <w:rPr>
                <w:rFonts w:ascii="宋体" w:hAnsi="宋体" w:cs="宋体"/>
                <w:color w:val="000000"/>
                <w:kern w:val="0"/>
                <w:sz w:val="22"/>
                <w:szCs w:val="22"/>
                <w:lang w:val="zh-CN" w:bidi="zh-CN"/>
              </w:rPr>
              <w:t>支付一定的</w:t>
            </w:r>
            <w:r>
              <w:rPr>
                <w:rFonts w:hint="eastAsia" w:ascii="宋体" w:hAnsi="宋体" w:cs="宋体"/>
                <w:color w:val="000000"/>
                <w:kern w:val="0"/>
                <w:sz w:val="22"/>
                <w:szCs w:val="22"/>
                <w:lang w:val="zh-CN" w:bidi="zh-CN"/>
              </w:rPr>
              <w:t>使用服务费</w:t>
            </w:r>
            <w:r>
              <w:rPr>
                <w:rFonts w:ascii="宋体" w:hAnsi="宋体" w:cs="宋体"/>
                <w:color w:val="000000"/>
                <w:kern w:val="0"/>
                <w:sz w:val="22"/>
                <w:szCs w:val="22"/>
                <w:lang w:val="zh-CN" w:bidi="zh-CN"/>
              </w:rPr>
              <w:t>。</w:t>
            </w:r>
          </w:p>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2、</w:t>
            </w:r>
            <w:r>
              <w:rPr>
                <w:rFonts w:hint="eastAsia" w:ascii="宋体" w:hAnsi="宋体" w:cs="宋体"/>
                <w:color w:val="000000"/>
                <w:kern w:val="0"/>
                <w:sz w:val="22"/>
                <w:szCs w:val="22"/>
                <w:lang w:val="zh-CN" w:bidi="zh-CN"/>
              </w:rPr>
              <w:t>使用服务费各县（区、市）</w:t>
            </w:r>
            <w:r>
              <w:rPr>
                <w:rFonts w:ascii="宋体" w:hAnsi="宋体" w:cs="宋体"/>
                <w:color w:val="000000"/>
                <w:kern w:val="0"/>
                <w:sz w:val="22"/>
                <w:szCs w:val="22"/>
                <w:lang w:val="zh-CN" w:bidi="zh-CN"/>
              </w:rPr>
              <w:t>分别收取，</w:t>
            </w:r>
            <w:r>
              <w:rPr>
                <w:rFonts w:hint="eastAsia" w:ascii="宋体" w:hAnsi="宋体" w:cs="宋体"/>
                <w:color w:val="000000"/>
                <w:kern w:val="0"/>
                <w:sz w:val="22"/>
                <w:szCs w:val="22"/>
                <w:lang w:val="zh-CN" w:bidi="zh-CN"/>
              </w:rPr>
              <w:t>服务内容</w:t>
            </w:r>
            <w:r>
              <w:rPr>
                <w:rFonts w:ascii="宋体" w:hAnsi="宋体" w:cs="宋体"/>
                <w:color w:val="000000"/>
                <w:kern w:val="0"/>
                <w:sz w:val="22"/>
                <w:szCs w:val="22"/>
                <w:lang w:val="zh-CN" w:bidi="zh-CN"/>
              </w:rPr>
              <w:t>包括</w:t>
            </w:r>
            <w:r>
              <w:rPr>
                <w:rFonts w:hint="eastAsia" w:ascii="宋体" w:hAnsi="宋体" w:cs="宋体"/>
                <w:color w:val="000000"/>
                <w:kern w:val="0"/>
                <w:sz w:val="22"/>
                <w:szCs w:val="22"/>
                <w:lang w:val="zh-CN" w:bidi="zh-CN"/>
              </w:rPr>
              <w:t>县（区、市）系统的使用以及</w:t>
            </w:r>
            <w:r>
              <w:rPr>
                <w:rFonts w:ascii="宋体" w:hAnsi="宋体" w:cs="宋体"/>
                <w:color w:val="000000"/>
                <w:kern w:val="0"/>
                <w:sz w:val="22"/>
                <w:szCs w:val="22"/>
                <w:lang w:val="zh-CN" w:bidi="zh-CN"/>
              </w:rPr>
              <w:t>各级管理和使用部门的运维。</w:t>
            </w:r>
          </w:p>
          <w:p>
            <w:pPr>
              <w:autoSpaceDE w:val="0"/>
              <w:autoSpaceDN w:val="0"/>
              <w:spacing w:line="400" w:lineRule="exact"/>
              <w:jc w:val="left"/>
              <w:rPr>
                <w:rFonts w:ascii="宋体" w:hAnsi="宋体" w:cs="宋体"/>
                <w:color w:val="000000"/>
                <w:kern w:val="0"/>
                <w:sz w:val="22"/>
                <w:szCs w:val="22"/>
                <w:lang w:val="zh-CN" w:bidi="zh-CN"/>
              </w:rPr>
            </w:pPr>
            <w:r>
              <w:rPr>
                <w:rFonts w:ascii="宋体" w:hAnsi="宋体" w:cs="宋体"/>
                <w:color w:val="000000"/>
                <w:kern w:val="0"/>
                <w:sz w:val="22"/>
                <w:szCs w:val="22"/>
                <w:lang w:val="zh-CN" w:bidi="zh-CN"/>
              </w:rPr>
              <w:t>3、</w:t>
            </w:r>
            <w:r>
              <w:rPr>
                <w:rFonts w:hint="eastAsia" w:ascii="宋体" w:hAnsi="宋体" w:cs="宋体"/>
                <w:color w:val="000000"/>
                <w:kern w:val="0"/>
                <w:sz w:val="22"/>
                <w:szCs w:val="22"/>
                <w:lang w:val="zh-CN" w:bidi="zh-CN"/>
              </w:rPr>
              <w:t>市直机关免费端口开放；县（市、区）端口不高于每年</w:t>
            </w:r>
            <w:r>
              <w:rPr>
                <w:rFonts w:hint="eastAsia" w:ascii="宋体" w:hAnsi="宋体" w:cs="宋体"/>
                <w:color w:val="000000"/>
                <w:kern w:val="0"/>
                <w:sz w:val="22"/>
                <w:szCs w:val="22"/>
                <w:lang w:bidi="zh-CN"/>
              </w:rPr>
              <w:t>2</w:t>
            </w:r>
            <w:r>
              <w:rPr>
                <w:rFonts w:hint="eastAsia" w:ascii="宋体" w:hAnsi="宋体" w:cs="宋体"/>
                <w:color w:val="000000"/>
                <w:kern w:val="0"/>
                <w:sz w:val="22"/>
                <w:szCs w:val="22"/>
                <w:lang w:val="zh-CN" w:bidi="zh-CN"/>
              </w:rPr>
              <w:t>万元，县（市、区）直机关免费端口开放</w:t>
            </w:r>
            <w:r>
              <w:rPr>
                <w:rFonts w:ascii="宋体" w:hAnsi="宋体" w:cs="宋体"/>
                <w:color w:val="000000"/>
                <w:kern w:val="0"/>
                <w:sz w:val="22"/>
                <w:szCs w:val="22"/>
                <w:lang w:val="zh-CN" w:bidi="zh-CN"/>
              </w:rPr>
              <w:t>，按最终中标价实施，</w:t>
            </w:r>
            <w:r>
              <w:rPr>
                <w:rFonts w:hint="eastAsia" w:ascii="宋体" w:hAnsi="宋体" w:cs="宋体"/>
                <w:color w:val="000000"/>
                <w:kern w:val="0"/>
                <w:sz w:val="22"/>
                <w:szCs w:val="22"/>
                <w:lang w:val="zh-CN" w:bidi="zh-CN"/>
              </w:rPr>
              <w:t>由各县（区、市）</w:t>
            </w:r>
            <w:r>
              <w:rPr>
                <w:rFonts w:ascii="宋体" w:hAnsi="宋体" w:cs="宋体"/>
                <w:color w:val="000000"/>
                <w:kern w:val="0"/>
                <w:sz w:val="22"/>
                <w:szCs w:val="22"/>
                <w:lang w:val="zh-CN" w:bidi="zh-CN"/>
              </w:rPr>
              <w:t>分别承担</w:t>
            </w:r>
            <w:r>
              <w:rPr>
                <w:rFonts w:hint="eastAsia" w:ascii="宋体" w:hAnsi="宋体" w:cs="宋体"/>
                <w:color w:val="000000"/>
                <w:kern w:val="0"/>
                <w:sz w:val="22"/>
                <w:szCs w:val="22"/>
                <w:lang w:val="zh-CN" w:bidi="zh-CN"/>
              </w:rPr>
              <w:t>，各县（区、市）以此标准与中标人自行签订软件使用服务合同</w:t>
            </w:r>
            <w:r>
              <w:rPr>
                <w:rFonts w:ascii="宋体" w:hAnsi="宋体" w:cs="宋体"/>
                <w:color w:val="000000"/>
                <w:kern w:val="0"/>
                <w:sz w:val="22"/>
                <w:szCs w:val="22"/>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8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4</w:t>
            </w:r>
            <w:r>
              <w:rPr>
                <w:rFonts w:ascii="宋体" w:hAnsi="宋体" w:cs="宋体"/>
                <w:color w:val="000000"/>
                <w:kern w:val="0"/>
                <w:sz w:val="22"/>
                <w:szCs w:val="22"/>
                <w:lang w:val="zh-CN" w:bidi="zh-CN"/>
              </w:rPr>
              <w:t>.3</w:t>
            </w:r>
          </w:p>
        </w:tc>
        <w:tc>
          <w:tcPr>
            <w:tcW w:w="1569" w:type="dxa"/>
            <w:noWrap/>
            <w:vAlign w:val="center"/>
          </w:tcPr>
          <w:p>
            <w:pPr>
              <w:autoSpaceDE w:val="0"/>
              <w:autoSpaceDN w:val="0"/>
              <w:spacing w:line="400" w:lineRule="exact"/>
              <w:jc w:val="center"/>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报价说明</w:t>
            </w:r>
          </w:p>
        </w:tc>
        <w:tc>
          <w:tcPr>
            <w:tcW w:w="12616" w:type="dxa"/>
            <w:noWrap/>
            <w:vAlign w:val="center"/>
          </w:tcPr>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投标人需提供本包采购内容报价和县（区、市）使用服务费用报价两部分</w:t>
            </w:r>
            <w:r>
              <w:rPr>
                <w:rFonts w:ascii="宋体" w:hAnsi="宋体" w:cs="宋体"/>
                <w:color w:val="000000"/>
                <w:kern w:val="0"/>
                <w:sz w:val="22"/>
                <w:szCs w:val="22"/>
                <w:lang w:val="zh-CN" w:bidi="zh-CN"/>
              </w:rPr>
              <w:t>:</w:t>
            </w:r>
          </w:p>
          <w:p>
            <w:pPr>
              <w:autoSpaceDE w:val="0"/>
              <w:autoSpaceDN w:val="0"/>
              <w:spacing w:line="400" w:lineRule="exact"/>
              <w:jc w:val="left"/>
              <w:rPr>
                <w:rFonts w:ascii="宋体" w:hAnsi="宋体" w:cs="宋体"/>
                <w:color w:val="000000"/>
                <w:kern w:val="0"/>
                <w:sz w:val="22"/>
                <w:szCs w:val="22"/>
                <w:lang w:val="zh-CN" w:bidi="zh-CN"/>
              </w:rPr>
            </w:pPr>
            <w:r>
              <w:rPr>
                <w:rFonts w:hint="eastAsia" w:ascii="宋体" w:hAnsi="宋体" w:cs="宋体"/>
                <w:color w:val="000000"/>
                <w:kern w:val="0"/>
                <w:sz w:val="22"/>
                <w:szCs w:val="22"/>
                <w:lang w:val="zh-CN" w:bidi="zh-CN"/>
              </w:rPr>
              <w:t>1、本标段采购内容为：周口市党政机关办公用房管理信息系统。</w:t>
            </w:r>
            <w:r>
              <w:rPr>
                <w:rFonts w:ascii="宋体" w:hAnsi="宋体" w:cs="宋体"/>
                <w:color w:val="000000"/>
                <w:kern w:val="0"/>
                <w:sz w:val="22"/>
                <w:szCs w:val="22"/>
                <w:lang w:val="zh-CN" w:bidi="zh-CN"/>
              </w:rPr>
              <w:t>此部分费用</w:t>
            </w:r>
            <w:r>
              <w:rPr>
                <w:rFonts w:hint="eastAsia" w:ascii="宋体" w:hAnsi="宋体" w:cs="宋体"/>
                <w:color w:val="000000"/>
                <w:kern w:val="0"/>
                <w:sz w:val="22"/>
                <w:szCs w:val="22"/>
                <w:lang w:val="zh-CN" w:bidi="zh-CN"/>
              </w:rPr>
              <w:t>最高限价即为本标段预算金额</w:t>
            </w:r>
            <w:r>
              <w:rPr>
                <w:rFonts w:ascii="宋体" w:hAnsi="宋体" w:cs="宋体"/>
                <w:color w:val="000000"/>
                <w:kern w:val="0"/>
                <w:sz w:val="22"/>
                <w:szCs w:val="22"/>
                <w:lang w:val="zh-CN" w:bidi="zh-CN"/>
              </w:rPr>
              <w:t>。</w:t>
            </w:r>
          </w:p>
          <w:p>
            <w:pPr>
              <w:autoSpaceDE w:val="0"/>
              <w:autoSpaceDN w:val="0"/>
              <w:spacing w:line="400" w:lineRule="exact"/>
              <w:jc w:val="left"/>
              <w:rPr>
                <w:rFonts w:ascii="宋体" w:hAnsi="宋体" w:cs="宋体"/>
                <w:color w:val="000000"/>
                <w:kern w:val="0"/>
                <w:sz w:val="22"/>
                <w:szCs w:val="22"/>
                <w:lang w:bidi="zh-CN"/>
              </w:rPr>
            </w:pPr>
            <w:r>
              <w:rPr>
                <w:rFonts w:hint="eastAsia" w:ascii="宋体" w:hAnsi="宋体" w:cs="宋体"/>
                <w:color w:val="000000"/>
                <w:kern w:val="0"/>
                <w:sz w:val="22"/>
                <w:szCs w:val="22"/>
                <w:lang w:val="zh-CN" w:bidi="zh-CN"/>
              </w:rPr>
              <w:t>2、县（区、市）使用服务</w:t>
            </w:r>
            <w:r>
              <w:rPr>
                <w:rFonts w:ascii="宋体" w:hAnsi="宋体" w:cs="宋体"/>
                <w:color w:val="000000"/>
                <w:kern w:val="0"/>
                <w:sz w:val="22"/>
                <w:szCs w:val="22"/>
                <w:lang w:val="zh-CN" w:bidi="zh-CN"/>
              </w:rPr>
              <w:t>费</w:t>
            </w:r>
            <w:r>
              <w:rPr>
                <w:rFonts w:hint="eastAsia" w:ascii="宋体" w:hAnsi="宋体" w:cs="宋体"/>
                <w:color w:val="000000"/>
                <w:kern w:val="0"/>
                <w:sz w:val="22"/>
                <w:szCs w:val="22"/>
                <w:lang w:val="zh-CN" w:bidi="zh-CN"/>
              </w:rPr>
              <w:t>用，此项费用不含在本标段预算内，但投标人须提供使用服务费用标准。周口市辖各县（区、市）局如需开通使用管理系统软件，则分别承担使用服务费，每年按照不超过</w:t>
            </w:r>
            <w:r>
              <w:rPr>
                <w:rFonts w:ascii="宋体" w:hAnsi="宋体" w:cs="宋体"/>
                <w:color w:val="000000"/>
                <w:kern w:val="0"/>
                <w:sz w:val="22"/>
                <w:szCs w:val="22"/>
                <w:lang w:val="zh-CN" w:bidi="zh-CN"/>
              </w:rPr>
              <w:t xml:space="preserve"> </w:t>
            </w:r>
            <w:r>
              <w:rPr>
                <w:rFonts w:hint="eastAsia" w:ascii="宋体" w:hAnsi="宋体" w:cs="宋体"/>
                <w:color w:val="000000"/>
                <w:kern w:val="0"/>
                <w:sz w:val="22"/>
                <w:szCs w:val="22"/>
                <w:lang w:bidi="zh-CN"/>
              </w:rPr>
              <w:t>2</w:t>
            </w:r>
            <w:r>
              <w:rPr>
                <w:rFonts w:ascii="宋体" w:hAnsi="宋体" w:cs="宋体"/>
                <w:color w:val="000000"/>
                <w:kern w:val="0"/>
                <w:sz w:val="22"/>
                <w:szCs w:val="22"/>
                <w:lang w:val="zh-CN" w:bidi="zh-CN"/>
              </w:rPr>
              <w:t>万元实施，最终价格标准由最终中标价确定。</w:t>
            </w:r>
          </w:p>
        </w:tc>
      </w:tr>
    </w:tbl>
    <w:p>
      <w:pPr>
        <w:autoSpaceDE w:val="0"/>
        <w:autoSpaceDN w:val="0"/>
        <w:spacing w:line="400" w:lineRule="exact"/>
        <w:jc w:val="left"/>
        <w:rPr>
          <w:rFonts w:ascii="宋体" w:hAnsi="宋体" w:cs="宋体"/>
          <w:kern w:val="0"/>
          <w:sz w:val="22"/>
          <w:szCs w:val="22"/>
          <w:lang w:bidi="zh-CN"/>
        </w:rPr>
      </w:pPr>
    </w:p>
    <w:p>
      <w:pPr>
        <w:autoSpaceDE w:val="0"/>
        <w:autoSpaceDN w:val="0"/>
        <w:spacing w:line="400" w:lineRule="exact"/>
        <w:jc w:val="left"/>
        <w:rPr>
          <w:rFonts w:ascii="宋体" w:hAnsi="宋体" w:cs="宋体"/>
          <w:kern w:val="0"/>
          <w:sz w:val="22"/>
          <w:szCs w:val="22"/>
          <w:lang w:val="zh-CN" w:bidi="zh-CN"/>
        </w:rPr>
        <w:sectPr>
          <w:pgSz w:w="16840" w:h="11910" w:orient="landscape"/>
          <w:pgMar w:top="1417" w:right="1417" w:bottom="1417" w:left="1417" w:header="0" w:footer="952" w:gutter="0"/>
          <w:pgNumType w:fmt="numberInDash"/>
          <w:cols w:space="720" w:num="1"/>
        </w:sectPr>
      </w:pPr>
    </w:p>
    <w:p>
      <w:pPr>
        <w:pStyle w:val="3"/>
        <w:tabs>
          <w:tab w:val="left" w:pos="2824"/>
          <w:tab w:val="center" w:pos="4682"/>
        </w:tabs>
        <w:spacing w:before="0" w:after="0" w:line="360" w:lineRule="auto"/>
        <w:jc w:val="left"/>
        <w:rPr>
          <w:rFonts w:hint="eastAsia"/>
          <w:sz w:val="32"/>
          <w:szCs w:val="32"/>
        </w:rPr>
      </w:pPr>
      <w:r>
        <w:rPr>
          <w:rFonts w:hint="eastAsia"/>
          <w:sz w:val="32"/>
          <w:szCs w:val="32"/>
        </w:rPr>
        <w:t>2标段</w:t>
      </w:r>
    </w:p>
    <w:p>
      <w:pPr>
        <w:pStyle w:val="3"/>
        <w:tabs>
          <w:tab w:val="left" w:pos="2824"/>
          <w:tab w:val="center" w:pos="4682"/>
        </w:tabs>
        <w:spacing w:before="0" w:after="0" w:line="360" w:lineRule="auto"/>
        <w:ind w:firstLine="3213" w:firstLineChars="1000"/>
        <w:jc w:val="left"/>
        <w:rPr>
          <w:rFonts w:hint="eastAsia"/>
          <w:sz w:val="32"/>
          <w:szCs w:val="32"/>
        </w:rPr>
      </w:pPr>
      <w:r>
        <w:rPr>
          <w:rFonts w:hint="eastAsia"/>
          <w:sz w:val="32"/>
          <w:szCs w:val="32"/>
        </w:rPr>
        <w:t>项目内容及要求</w:t>
      </w:r>
    </w:p>
    <w:p>
      <w:pPr>
        <w:numPr>
          <w:ilvl w:val="0"/>
          <w:numId w:val="19"/>
        </w:numPr>
        <w:rPr>
          <w:rFonts w:ascii="Calibri" w:hAnsi="Calibri"/>
          <w:sz w:val="28"/>
          <w:szCs w:val="28"/>
        </w:rPr>
      </w:pPr>
      <w:r>
        <w:rPr>
          <w:rFonts w:hint="eastAsia" w:ascii="Calibri" w:hAnsi="Calibri"/>
          <w:sz w:val="28"/>
          <w:szCs w:val="28"/>
        </w:rPr>
        <w:t>市直党政机关办公用房建筑、室内面积测绘</w:t>
      </w:r>
    </w:p>
    <w:p>
      <w:pPr>
        <w:numPr>
          <w:ilvl w:val="0"/>
          <w:numId w:val="19"/>
        </w:numPr>
        <w:rPr>
          <w:rFonts w:ascii="Calibri" w:hAnsi="Calibri"/>
          <w:sz w:val="28"/>
          <w:szCs w:val="28"/>
        </w:rPr>
      </w:pPr>
      <w:r>
        <w:rPr>
          <w:rFonts w:hint="eastAsia" w:ascii="Calibri" w:hAnsi="Calibri"/>
          <w:sz w:val="28"/>
          <w:szCs w:val="28"/>
        </w:rPr>
        <w:t>市直党政机关办公用房调查（使用单位、使用人、职务、级别、房间类别、房产类别、是否办理产权登记）</w:t>
      </w:r>
    </w:p>
    <w:p>
      <w:pPr>
        <w:numPr>
          <w:ilvl w:val="0"/>
          <w:numId w:val="19"/>
        </w:numPr>
        <w:rPr>
          <w:rFonts w:ascii="Calibri" w:hAnsi="Calibri"/>
          <w:sz w:val="28"/>
          <w:szCs w:val="28"/>
        </w:rPr>
      </w:pPr>
      <w:r>
        <w:rPr>
          <w:rFonts w:hint="eastAsia" w:ascii="Calibri" w:hAnsi="Calibri"/>
          <w:sz w:val="28"/>
          <w:szCs w:val="28"/>
        </w:rPr>
        <w:t>对未办理权属登记的市直党政机关土地进行宗地测绘</w:t>
      </w:r>
    </w:p>
    <w:p>
      <w:pPr>
        <w:numPr>
          <w:ilvl w:val="0"/>
          <w:numId w:val="19"/>
        </w:numPr>
        <w:rPr>
          <w:rFonts w:ascii="Calibri" w:hAnsi="Calibri"/>
          <w:sz w:val="28"/>
          <w:szCs w:val="28"/>
        </w:rPr>
      </w:pPr>
      <w:r>
        <w:rPr>
          <w:rFonts w:hint="eastAsia" w:ascii="Calibri" w:hAnsi="Calibri"/>
          <w:sz w:val="28"/>
          <w:szCs w:val="28"/>
        </w:rPr>
        <w:t>测绘数据导入管理平台</w:t>
      </w:r>
    </w:p>
    <w:p>
      <w:pPr>
        <w:numPr>
          <w:ilvl w:val="0"/>
          <w:numId w:val="19"/>
        </w:numPr>
        <w:rPr>
          <w:rFonts w:ascii="Calibri" w:hAnsi="Calibri"/>
          <w:sz w:val="28"/>
          <w:szCs w:val="28"/>
        </w:rPr>
      </w:pPr>
      <w:r>
        <w:rPr>
          <w:rFonts w:hint="eastAsia" w:ascii="Calibri" w:hAnsi="Calibri"/>
          <w:sz w:val="28"/>
          <w:szCs w:val="28"/>
        </w:rPr>
        <w:t>建筑物全景照片采集</w:t>
      </w:r>
    </w:p>
    <w:p>
      <w:pPr>
        <w:rPr>
          <w:rFonts w:ascii="Calibri" w:hAnsi="Calibri"/>
          <w:sz w:val="28"/>
          <w:szCs w:val="28"/>
        </w:rPr>
      </w:pPr>
      <w:r>
        <w:rPr>
          <w:rFonts w:hint="eastAsia" w:ascii="Calibri" w:hAnsi="Calibri"/>
          <w:sz w:val="28"/>
          <w:szCs w:val="28"/>
        </w:rPr>
        <w:t>6、宗地测绘、建筑测绘成果须能直接办理权属登记</w:t>
      </w:r>
    </w:p>
    <w:p>
      <w:pPr>
        <w:rPr>
          <w:rFonts w:hint="eastAsia" w:ascii="Calibri" w:hAnsi="Calibri"/>
          <w:sz w:val="28"/>
          <w:szCs w:val="28"/>
        </w:rPr>
      </w:pPr>
      <w:r>
        <w:rPr>
          <w:rFonts w:hint="eastAsia" w:ascii="Calibri" w:hAnsi="Calibri"/>
          <w:sz w:val="28"/>
          <w:szCs w:val="28"/>
        </w:rPr>
        <w:t>7、测绘数量的平方数的最后认定，以不动产部门认定认可的为准，结算相关费用。</w:t>
      </w:r>
    </w:p>
    <w:p>
      <w:pPr>
        <w:rPr>
          <w:rFonts w:ascii="Calibri" w:hAnsi="Calibri"/>
          <w:sz w:val="28"/>
          <w:szCs w:val="28"/>
        </w:rPr>
      </w:pPr>
      <w:r>
        <w:rPr>
          <w:rFonts w:hint="eastAsia" w:ascii="Calibri" w:hAnsi="Calibri"/>
          <w:sz w:val="28"/>
          <w:szCs w:val="28"/>
        </w:rPr>
        <w:t>备注：</w:t>
      </w:r>
    </w:p>
    <w:p>
      <w:pPr>
        <w:rPr>
          <w:rFonts w:ascii="Calibri" w:hAnsi="Calibri"/>
          <w:sz w:val="28"/>
          <w:szCs w:val="28"/>
        </w:rPr>
      </w:pPr>
      <w:r>
        <w:rPr>
          <w:rFonts w:hint="eastAsia" w:ascii="Calibri" w:hAnsi="Calibri"/>
          <w:sz w:val="28"/>
          <w:szCs w:val="28"/>
        </w:rPr>
        <w:t>房间类别：办公室、服务用房、设备用房、附属用房、闲置用房（周转房）</w:t>
      </w:r>
    </w:p>
    <w:p>
      <w:pPr>
        <w:rPr>
          <w:rFonts w:ascii="Calibri" w:hAnsi="Calibri"/>
          <w:sz w:val="28"/>
          <w:szCs w:val="28"/>
        </w:rPr>
      </w:pPr>
      <w:r>
        <w:rPr>
          <w:rFonts w:hint="eastAsia" w:ascii="Calibri" w:hAnsi="Calibri"/>
          <w:sz w:val="28"/>
          <w:szCs w:val="28"/>
        </w:rPr>
        <w:t>房产类别：办公用房、业务技术用房、经营性用房（门面房）</w:t>
      </w:r>
    </w:p>
    <w:p/>
    <w:p>
      <w:pPr>
        <w:adjustRightInd w:val="0"/>
        <w:snapToGrid w:val="0"/>
        <w:spacing w:line="360" w:lineRule="auto"/>
        <w:ind w:firstLine="420" w:firstLineChars="200"/>
        <w:jc w:val="center"/>
        <w:rPr>
          <w:rFonts w:hint="eastAsia" w:ascii="宋体" w:hAnsi="宋体" w:cs="宋体"/>
        </w:rPr>
      </w:pPr>
      <w:r>
        <w:rPr>
          <w:rFonts w:hint="eastAsia" w:ascii="宋体" w:hAnsi="宋体" w:cs="宋体"/>
        </w:rPr>
        <w:br w:type="page"/>
      </w:r>
      <w:bookmarkStart w:id="52" w:name="_Toc2172"/>
      <w:r>
        <w:rPr>
          <w:rStyle w:val="81"/>
          <w:rFonts w:hint="eastAsia"/>
        </w:rPr>
        <w:t>第</w:t>
      </w:r>
      <w:bookmarkStart w:id="53" w:name="_Hlt240110027"/>
      <w:bookmarkEnd w:id="53"/>
      <w:r>
        <w:rPr>
          <w:rStyle w:val="81"/>
          <w:rFonts w:hint="eastAsia"/>
        </w:rPr>
        <w:t>四章 评标办法</w:t>
      </w:r>
      <w:bookmarkEnd w:id="48"/>
      <w:bookmarkEnd w:id="52"/>
    </w:p>
    <w:p>
      <w:pPr>
        <w:tabs>
          <w:tab w:val="left" w:pos="360"/>
          <w:tab w:val="left" w:pos="540"/>
          <w:tab w:val="left" w:pos="3600"/>
          <w:tab w:val="left" w:pos="3780"/>
          <w:tab w:val="left" w:pos="8460"/>
          <w:tab w:val="left" w:pos="9180"/>
        </w:tabs>
        <w:adjustRightInd w:val="0"/>
        <w:snapToGrid w:val="0"/>
        <w:spacing w:line="360" w:lineRule="auto"/>
        <w:ind w:firstLine="3313" w:firstLineChars="1375"/>
        <w:rPr>
          <w:rFonts w:hint="eastAsia" w:ascii="宋体" w:hAnsi="宋体" w:cs="宋体"/>
          <w:b/>
          <w:sz w:val="24"/>
        </w:rPr>
      </w:pPr>
      <w:bookmarkStart w:id="54" w:name="_Toc10750_WPSOffice_Level2"/>
      <w:r>
        <w:rPr>
          <w:rFonts w:hint="eastAsia" w:ascii="宋体" w:hAnsi="宋体" w:cs="宋体"/>
          <w:b/>
          <w:sz w:val="24"/>
        </w:rPr>
        <w:t>一．总  则</w:t>
      </w:r>
      <w:bookmarkEnd w:id="54"/>
    </w:p>
    <w:p>
      <w:pPr>
        <w:adjustRightInd w:val="0"/>
        <w:snapToGrid w:val="0"/>
        <w:spacing w:line="360" w:lineRule="auto"/>
        <w:ind w:right="-10" w:firstLine="422" w:firstLineChars="175"/>
        <w:rPr>
          <w:rFonts w:hint="eastAsia" w:ascii="宋体" w:hAnsi="宋体" w:cs="宋体"/>
          <w:b/>
          <w:bCs/>
          <w:sz w:val="24"/>
        </w:rPr>
      </w:pPr>
      <w:r>
        <w:rPr>
          <w:rFonts w:hint="eastAsia" w:ascii="宋体" w:hAnsi="宋体" w:cs="宋体"/>
          <w:b/>
          <w:bCs/>
          <w:sz w:val="24"/>
        </w:rPr>
        <w:t xml:space="preserve">第一条 </w:t>
      </w:r>
      <w:r>
        <w:rPr>
          <w:rFonts w:hint="eastAsia" w:ascii="宋体" w:hAnsi="宋体" w:cs="宋体"/>
          <w:sz w:val="24"/>
        </w:rPr>
        <w:t>为了做好</w:t>
      </w:r>
      <w:r>
        <w:rPr>
          <w:rFonts w:hint="eastAsia" w:ascii="宋体" w:hAnsi="宋体" w:cs="宋体"/>
          <w:b/>
          <w:bCs/>
          <w:sz w:val="24"/>
        </w:rPr>
        <w:t>本项目（</w:t>
      </w:r>
      <w:r>
        <w:rPr>
          <w:rFonts w:hint="eastAsia" w:ascii="宋体" w:hAnsi="宋体" w:cs="宋体"/>
          <w:b/>
          <w:sz w:val="24"/>
        </w:rPr>
        <w:t>项目编号:</w:t>
      </w:r>
      <w:r>
        <w:rPr>
          <w:rFonts w:hint="eastAsia" w:ascii="宋体" w:hAnsi="宋体" w:cs="宋体"/>
          <w:sz w:val="24"/>
          <w:szCs w:val="24"/>
        </w:rPr>
        <w:t xml:space="preserve"> 2023-09-119</w:t>
      </w:r>
      <w:r>
        <w:rPr>
          <w:rFonts w:hint="eastAsia" w:ascii="宋体" w:hAnsi="宋体" w:cs="宋体"/>
          <w:b/>
          <w:bCs/>
          <w:sz w:val="24"/>
        </w:rPr>
        <w:t>）</w:t>
      </w:r>
      <w:r>
        <w:rPr>
          <w:rFonts w:hint="eastAsia" w:ascii="宋体" w:hAnsi="宋体" w:cs="宋体"/>
          <w:sz w:val="24"/>
        </w:rPr>
        <w:t>的招标评标工作，保证项目评审工作的正常有序进行，维护采购人、投标人的合法权益，依据《中华人民共和国政府采购法》及其它相关法律法规，本着公开、公平、公正的原则，制定评标办法。</w:t>
      </w:r>
    </w:p>
    <w:p>
      <w:pPr>
        <w:adjustRightInd w:val="0"/>
        <w:snapToGrid w:val="0"/>
        <w:spacing w:line="360" w:lineRule="auto"/>
        <w:ind w:right="-10" w:firstLine="422" w:firstLineChars="175"/>
        <w:rPr>
          <w:rFonts w:hint="eastAsia" w:ascii="宋体" w:hAnsi="宋体" w:cs="宋体"/>
          <w:sz w:val="24"/>
        </w:rPr>
      </w:pPr>
      <w:r>
        <w:rPr>
          <w:rFonts w:hint="eastAsia" w:ascii="宋体" w:hAnsi="宋体" w:cs="宋体"/>
          <w:b/>
          <w:bCs/>
          <w:sz w:val="24"/>
        </w:rPr>
        <w:t xml:space="preserve">第二条 </w:t>
      </w:r>
      <w:r>
        <w:rPr>
          <w:rFonts w:hint="eastAsia" w:ascii="宋体" w:hAnsi="宋体" w:cs="宋体"/>
          <w:sz w:val="24"/>
        </w:rPr>
        <w:t>本次项目评标采用</w:t>
      </w:r>
      <w:r>
        <w:rPr>
          <w:rFonts w:hint="eastAsia" w:ascii="宋体" w:hAnsi="宋体" w:cs="宋体"/>
          <w:b/>
          <w:sz w:val="24"/>
        </w:rPr>
        <w:t>综合评分法</w:t>
      </w:r>
      <w:r>
        <w:rPr>
          <w:rFonts w:hint="eastAsia" w:ascii="宋体" w:hAnsi="宋体" w:cs="宋体"/>
          <w:sz w:val="24"/>
        </w:rPr>
        <w:t>作为对投标人标书的比较方法。</w:t>
      </w:r>
    </w:p>
    <w:p>
      <w:pPr>
        <w:adjustRightInd w:val="0"/>
        <w:snapToGrid w:val="0"/>
        <w:spacing w:line="360" w:lineRule="auto"/>
        <w:ind w:left="-61" w:leftChars="-29" w:right="-10" w:firstLine="482" w:firstLineChars="200"/>
        <w:rPr>
          <w:rFonts w:hint="eastAsia" w:ascii="宋体" w:hAnsi="宋体" w:cs="宋体"/>
          <w:sz w:val="24"/>
        </w:rPr>
      </w:pPr>
      <w:r>
        <w:rPr>
          <w:rFonts w:hint="eastAsia" w:ascii="宋体" w:hAnsi="宋体" w:cs="宋体"/>
          <w:b/>
          <w:sz w:val="24"/>
        </w:rPr>
        <w:t xml:space="preserve">第三条 </w:t>
      </w:r>
      <w:r>
        <w:rPr>
          <w:rFonts w:hint="eastAsia" w:ascii="宋体" w:hAnsi="宋体" w:cs="宋体"/>
          <w:sz w:val="24"/>
        </w:rPr>
        <w:t>按照《中华人民共和国政府采购法》及其相关规定组成评标委员会负责本项目的评审工作。评标委员会</w:t>
      </w:r>
      <w:r>
        <w:rPr>
          <w:rFonts w:hint="eastAsia" w:ascii="宋体" w:hAnsi="宋体" w:cs="宋体"/>
          <w:sz w:val="24"/>
          <w:szCs w:val="22"/>
        </w:rPr>
        <w:t>在政府采购专家库中随机抽取。</w:t>
      </w:r>
    </w:p>
    <w:p>
      <w:pPr>
        <w:adjustRightInd w:val="0"/>
        <w:snapToGrid w:val="0"/>
        <w:spacing w:line="360" w:lineRule="auto"/>
        <w:ind w:right="-10" w:firstLine="482" w:firstLineChars="200"/>
        <w:rPr>
          <w:rFonts w:hint="eastAsia" w:ascii="宋体" w:hAnsi="宋体" w:cs="宋体"/>
          <w:sz w:val="24"/>
        </w:rPr>
      </w:pPr>
      <w:r>
        <w:rPr>
          <w:rFonts w:hint="eastAsia" w:ascii="宋体" w:hAnsi="宋体" w:cs="宋体"/>
          <w:b/>
          <w:sz w:val="24"/>
        </w:rPr>
        <w:t xml:space="preserve">第四条 </w:t>
      </w:r>
      <w:r>
        <w:rPr>
          <w:rFonts w:hint="eastAsia" w:ascii="宋体" w:hAnsi="宋体" w:cs="宋体"/>
          <w:sz w:val="24"/>
        </w:rPr>
        <w:t>评委会按照“客观公正，实事求是”的原则，评价参加本次招标的投标人所提供的产品价格、性能、质量、服务及对招标文件的符合性及响应性。</w:t>
      </w:r>
    </w:p>
    <w:p>
      <w:pPr>
        <w:adjustRightInd w:val="0"/>
        <w:snapToGrid w:val="0"/>
        <w:spacing w:line="360" w:lineRule="auto"/>
        <w:jc w:val="center"/>
        <w:rPr>
          <w:rFonts w:hint="eastAsia" w:ascii="宋体" w:hAnsi="宋体" w:cs="宋体"/>
          <w:sz w:val="24"/>
        </w:rPr>
      </w:pPr>
      <w:bookmarkStart w:id="55" w:name="_Toc31922_WPSOffice_Level2"/>
      <w:r>
        <w:rPr>
          <w:rFonts w:hint="eastAsia" w:ascii="宋体" w:hAnsi="宋体" w:cs="宋体"/>
          <w:b/>
          <w:sz w:val="24"/>
        </w:rPr>
        <w:t>二．评标程序及评审细则</w:t>
      </w:r>
      <w:bookmarkEnd w:id="55"/>
    </w:p>
    <w:p>
      <w:pPr>
        <w:adjustRightInd w:val="0"/>
        <w:snapToGrid w:val="0"/>
        <w:spacing w:line="360" w:lineRule="auto"/>
        <w:ind w:right="-10" w:firstLine="422" w:firstLineChars="175"/>
        <w:rPr>
          <w:rFonts w:hint="eastAsia" w:ascii="宋体" w:hAnsi="宋体" w:cs="宋体"/>
          <w:bCs/>
          <w:sz w:val="24"/>
        </w:rPr>
      </w:pPr>
      <w:r>
        <w:rPr>
          <w:rFonts w:hint="eastAsia" w:ascii="宋体" w:hAnsi="宋体" w:cs="宋体"/>
          <w:b/>
          <w:bCs/>
          <w:sz w:val="24"/>
        </w:rPr>
        <w:t>第五条</w:t>
      </w:r>
      <w:r>
        <w:rPr>
          <w:rFonts w:hint="eastAsia" w:ascii="宋体" w:hAnsi="宋体" w:cs="宋体"/>
          <w:bCs/>
          <w:sz w:val="24"/>
        </w:rPr>
        <w:t xml:space="preserve"> 评标工作于开标后进行。评委会应认真研究招标文件，至少应了解和熟悉以下内容：</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（一）招标的目标；</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（二）招标项目的范围和性质；</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（三）招标文件中规定的主要技术要求、标准和商务条款；</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（四）招标文件规定的评标标准、评标方法和在评标过程中考虑的相关因素。</w:t>
      </w:r>
    </w:p>
    <w:p>
      <w:pPr>
        <w:adjustRightInd w:val="0"/>
        <w:snapToGrid w:val="0"/>
        <w:spacing w:line="360" w:lineRule="auto"/>
        <w:ind w:right="-10" w:firstLine="422" w:firstLineChars="175"/>
        <w:rPr>
          <w:rFonts w:hint="eastAsia" w:ascii="宋体" w:hAnsi="宋体" w:cs="宋体"/>
          <w:bCs/>
          <w:sz w:val="24"/>
        </w:rPr>
      </w:pPr>
      <w:r>
        <w:rPr>
          <w:rFonts w:hint="eastAsia" w:ascii="宋体" w:hAnsi="宋体" w:cs="宋体"/>
          <w:b/>
          <w:bCs/>
          <w:sz w:val="24"/>
        </w:rPr>
        <w:t>第六条</w:t>
      </w:r>
      <w:r>
        <w:rPr>
          <w:rFonts w:hint="eastAsia" w:ascii="宋体" w:hAnsi="宋体" w:cs="宋体"/>
          <w:bCs/>
          <w:sz w:val="24"/>
        </w:rPr>
        <w:t xml:space="preserve"> 有效投标应符合以下原则：</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（一）满足招标文件的实质性要求；</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（二）无重大偏离、保留或采购人不能接受的附加条件；</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（三）通过投标符合性审查；</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（四）评委会依据招标文件认定的其他原则；</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（五）商务偏差表或技术偏差表数据不存在弄虚作假现象；</w:t>
      </w:r>
    </w:p>
    <w:p>
      <w:pPr>
        <w:adjustRightInd w:val="0"/>
        <w:snapToGrid w:val="0"/>
        <w:spacing w:line="360" w:lineRule="auto"/>
        <w:ind w:right="-10" w:firstLine="420" w:firstLineChars="175"/>
        <w:rPr>
          <w:rFonts w:hint="eastAsia" w:ascii="宋体" w:hAnsi="宋体" w:cs="宋体"/>
          <w:bCs/>
          <w:sz w:val="24"/>
        </w:rPr>
      </w:pPr>
      <w:r>
        <w:rPr>
          <w:rFonts w:hint="eastAsia" w:ascii="宋体" w:hAnsi="宋体" w:cs="宋体"/>
          <w:bCs/>
          <w:sz w:val="24"/>
        </w:rPr>
        <w:t>（六）投标人报价未超过采购人的采购预算；</w:t>
      </w:r>
    </w:p>
    <w:p>
      <w:pPr>
        <w:adjustRightInd w:val="0"/>
        <w:snapToGrid w:val="0"/>
        <w:spacing w:line="360" w:lineRule="auto"/>
        <w:ind w:right="-10" w:firstLine="482" w:firstLineChars="200"/>
        <w:rPr>
          <w:rFonts w:hint="eastAsia" w:ascii="宋体" w:hAnsi="宋体" w:cs="宋体"/>
          <w:bCs/>
          <w:sz w:val="24"/>
          <w:szCs w:val="22"/>
        </w:rPr>
      </w:pPr>
      <w:r>
        <w:rPr>
          <w:rFonts w:hint="eastAsia" w:ascii="宋体" w:hAnsi="宋体" w:cs="宋体"/>
          <w:b/>
          <w:sz w:val="24"/>
        </w:rPr>
        <w:t xml:space="preserve">第七条 </w:t>
      </w:r>
      <w:r>
        <w:rPr>
          <w:rFonts w:hint="eastAsia" w:ascii="宋体" w:hAnsi="宋体" w:cs="宋体"/>
          <w:sz w:val="24"/>
        </w:rPr>
        <w:t>评委会从每个投标人的投标文件开始独立评审，对开标后投标人所提出的优惠条件不予以考虑。按</w:t>
      </w:r>
      <w:r>
        <w:rPr>
          <w:rFonts w:hint="eastAsia" w:ascii="宋体" w:hAnsi="宋体" w:cs="宋体"/>
          <w:bCs/>
          <w:sz w:val="24"/>
          <w:szCs w:val="22"/>
        </w:rPr>
        <w:t>综合得分从高到低的顺序评出中标候选人。</w:t>
      </w:r>
    </w:p>
    <w:p>
      <w:pPr>
        <w:adjustRightInd w:val="0"/>
        <w:snapToGrid w:val="0"/>
        <w:spacing w:line="360" w:lineRule="auto"/>
        <w:ind w:right="-10" w:firstLine="482" w:firstLineChars="200"/>
        <w:rPr>
          <w:rFonts w:hint="eastAsia" w:ascii="宋体" w:hAnsi="宋体" w:cs="宋体"/>
          <w:sz w:val="24"/>
        </w:rPr>
      </w:pPr>
      <w:r>
        <w:rPr>
          <w:rFonts w:hint="eastAsia" w:ascii="宋体" w:hAnsi="宋体" w:cs="宋体"/>
          <w:b/>
          <w:sz w:val="24"/>
        </w:rPr>
        <w:t xml:space="preserve">第八条 </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p>
    <w:p>
      <w:pPr>
        <w:adjustRightInd w:val="0"/>
        <w:snapToGrid w:val="0"/>
        <w:spacing w:line="360" w:lineRule="auto"/>
        <w:ind w:right="-10" w:firstLine="482" w:firstLineChars="200"/>
        <w:rPr>
          <w:rFonts w:hint="eastAsia" w:ascii="宋体" w:hAnsi="宋体" w:cs="宋体"/>
          <w:sz w:val="24"/>
        </w:rPr>
      </w:pPr>
      <w:r>
        <w:rPr>
          <w:rFonts w:hint="eastAsia" w:ascii="宋体" w:hAnsi="宋体" w:cs="宋体"/>
          <w:b/>
          <w:sz w:val="24"/>
        </w:rPr>
        <w:t>第九条</w:t>
      </w:r>
      <w:r>
        <w:rPr>
          <w:rFonts w:hint="eastAsia" w:ascii="宋体" w:hAnsi="宋体" w:cs="宋体"/>
          <w:sz w:val="24"/>
        </w:rPr>
        <w:t xml:space="preserve"> 评委会首先对各投标人进行符合性审查，通过符合性审查的投标人为有效投标人，有效投标人进入综合评分环节，按招标文件约定由评委会推荐中标候选人；没有通过符合性审查的投标人为无效投标。</w:t>
      </w:r>
    </w:p>
    <w:p>
      <w:pPr>
        <w:rPr>
          <w:rFonts w:hint="eastAsia" w:ascii="宋体" w:hAnsi="宋体" w:cs="宋体"/>
          <w:sz w:val="24"/>
        </w:rPr>
      </w:pPr>
    </w:p>
    <w:p>
      <w:pPr>
        <w:pStyle w:val="50"/>
        <w:ind w:firstLine="480" w:firstLineChars="200"/>
        <w:rPr>
          <w:rFonts w:hint="eastAsia" w:ascii="宋体" w:hAnsi="宋体" w:cs="宋体"/>
          <w:sz w:val="24"/>
          <w:szCs w:val="20"/>
        </w:rPr>
      </w:pPr>
    </w:p>
    <w:p>
      <w:pPr>
        <w:pStyle w:val="50"/>
        <w:rPr>
          <w:rFonts w:hint="eastAsia" w:ascii="宋体" w:hAnsi="宋体" w:cs="宋体"/>
        </w:rPr>
      </w:pPr>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05"/>
        <w:gridCol w:w="2353"/>
        <w:gridCol w:w="725"/>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59" w:hRule="atLeast"/>
        </w:trPr>
        <w:tc>
          <w:tcPr>
            <w:tcW w:w="8364" w:type="dxa"/>
            <w:gridSpan w:val="5"/>
            <w:noWrap w:val="0"/>
            <w:vAlign w:val="center"/>
          </w:tcPr>
          <w:p>
            <w:pPr>
              <w:pStyle w:val="449"/>
              <w:pBdr>
                <w:bottom w:val="none" w:color="auto" w:sz="0" w:space="0"/>
              </w:pBdr>
              <w:tabs>
                <w:tab w:val="clear" w:pos="4153"/>
                <w:tab w:val="clear" w:pos="8306"/>
              </w:tabs>
              <w:snapToGrid w:val="0"/>
              <w:spacing w:line="360" w:lineRule="auto"/>
              <w:ind w:right="-10"/>
              <w:textAlignment w:val="auto"/>
              <w:rPr>
                <w:rFonts w:hint="eastAsia" w:ascii="宋体" w:hAnsi="宋体" w:cs="宋体"/>
                <w:b/>
                <w:kern w:val="2"/>
              </w:rPr>
            </w:pPr>
            <w:r>
              <w:rPr>
                <w:rFonts w:hint="eastAsia" w:ascii="宋体" w:hAnsi="宋体" w:cs="宋体"/>
                <w:b/>
                <w:kern w:val="2"/>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0" w:hRule="atLeast"/>
        </w:trPr>
        <w:tc>
          <w:tcPr>
            <w:tcW w:w="712"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序号</w:t>
            </w:r>
          </w:p>
        </w:tc>
        <w:tc>
          <w:tcPr>
            <w:tcW w:w="2005" w:type="dxa"/>
            <w:tcBorders>
              <w:bottom w:val="single" w:color="auto" w:sz="4" w:space="0"/>
            </w:tcBorders>
            <w:noWrap w:val="0"/>
            <w:vAlign w:val="center"/>
          </w:tcPr>
          <w:p>
            <w:pPr>
              <w:pStyle w:val="449"/>
              <w:pBdr>
                <w:bottom w:val="none" w:color="auto" w:sz="0" w:space="0"/>
              </w:pBdr>
              <w:tabs>
                <w:tab w:val="clear" w:pos="4153"/>
                <w:tab w:val="clear" w:pos="8306"/>
              </w:tabs>
              <w:snapToGrid w:val="0"/>
              <w:spacing w:line="360" w:lineRule="auto"/>
              <w:ind w:right="-10"/>
              <w:textAlignment w:val="auto"/>
              <w:rPr>
                <w:rFonts w:hint="eastAsia" w:ascii="宋体" w:hAnsi="宋体" w:cs="宋体"/>
                <w:kern w:val="2"/>
                <w:szCs w:val="24"/>
              </w:rPr>
            </w:pPr>
            <w:r>
              <w:rPr>
                <w:rFonts w:hint="eastAsia" w:ascii="宋体" w:hAnsi="宋体" w:cs="宋体"/>
                <w:kern w:val="2"/>
                <w:szCs w:val="24"/>
              </w:rPr>
              <w:t>指标名称</w:t>
            </w:r>
          </w:p>
        </w:tc>
        <w:tc>
          <w:tcPr>
            <w:tcW w:w="2353"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指标要求</w:t>
            </w:r>
          </w:p>
        </w:tc>
        <w:tc>
          <w:tcPr>
            <w:tcW w:w="725"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是否</w:t>
            </w:r>
          </w:p>
          <w:p>
            <w:pPr>
              <w:adjustRightInd w:val="0"/>
              <w:snapToGrid w:val="0"/>
              <w:spacing w:line="360" w:lineRule="auto"/>
              <w:ind w:right="-10"/>
              <w:jc w:val="center"/>
              <w:rPr>
                <w:rFonts w:hint="eastAsia" w:ascii="宋体" w:hAnsi="宋体" w:cs="宋体"/>
                <w:sz w:val="24"/>
              </w:rPr>
            </w:pPr>
            <w:r>
              <w:rPr>
                <w:rFonts w:hint="eastAsia" w:ascii="宋体" w:hAnsi="宋体" w:cs="宋体"/>
                <w:sz w:val="24"/>
              </w:rPr>
              <w:t>通过</w:t>
            </w:r>
          </w:p>
        </w:tc>
        <w:tc>
          <w:tcPr>
            <w:tcW w:w="2569" w:type="dxa"/>
            <w:tcBorders>
              <w:bottom w:val="single" w:color="auto" w:sz="4" w:space="0"/>
            </w:tcBorders>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投标文件格式及</w:t>
            </w:r>
          </w:p>
          <w:p>
            <w:pPr>
              <w:adjustRightInd w:val="0"/>
              <w:snapToGrid w:val="0"/>
              <w:spacing w:line="360" w:lineRule="auto"/>
              <w:ind w:right="-10"/>
              <w:jc w:val="center"/>
              <w:rPr>
                <w:rFonts w:hint="eastAsia" w:ascii="宋体" w:hAnsi="宋体" w:cs="宋体"/>
                <w:sz w:val="24"/>
              </w:rPr>
            </w:pPr>
            <w:r>
              <w:rPr>
                <w:rFonts w:hint="eastAsia" w:ascii="宋体" w:hAnsi="宋体" w:cs="宋体"/>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2" w:hRule="atLeast"/>
        </w:trPr>
        <w:tc>
          <w:tcPr>
            <w:tcW w:w="712" w:type="dxa"/>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1</w:t>
            </w:r>
          </w:p>
        </w:tc>
        <w:tc>
          <w:tcPr>
            <w:tcW w:w="2005" w:type="dxa"/>
            <w:noWrap w:val="0"/>
            <w:vAlign w:val="center"/>
          </w:tcPr>
          <w:p>
            <w:pPr>
              <w:spacing w:after="50" w:line="360" w:lineRule="auto"/>
              <w:ind w:right="-10"/>
              <w:jc w:val="center"/>
              <w:rPr>
                <w:rFonts w:hint="eastAsia" w:ascii="宋体" w:hAnsi="宋体" w:cs="宋体"/>
                <w:sz w:val="24"/>
                <w:szCs w:val="28"/>
              </w:rPr>
            </w:pPr>
            <w:r>
              <w:rPr>
                <w:rFonts w:hint="eastAsia" w:ascii="宋体" w:hAnsi="宋体" w:cs="宋体"/>
                <w:sz w:val="24"/>
                <w:szCs w:val="28"/>
              </w:rPr>
              <w:t>投标人资格</w:t>
            </w:r>
          </w:p>
        </w:tc>
        <w:tc>
          <w:tcPr>
            <w:tcW w:w="2353" w:type="dxa"/>
            <w:noWrap w:val="0"/>
            <w:vAlign w:val="center"/>
          </w:tcPr>
          <w:p>
            <w:pPr>
              <w:spacing w:after="50" w:line="360" w:lineRule="auto"/>
              <w:ind w:right="-10"/>
              <w:jc w:val="center"/>
              <w:rPr>
                <w:rFonts w:hint="eastAsia" w:ascii="宋体" w:hAnsi="宋体" w:cs="宋体"/>
                <w:sz w:val="24"/>
                <w:szCs w:val="28"/>
              </w:rPr>
            </w:pPr>
            <w:r>
              <w:rPr>
                <w:rFonts w:hint="eastAsia" w:ascii="宋体" w:hAnsi="宋体" w:cs="宋体"/>
                <w:sz w:val="24"/>
                <w:szCs w:val="28"/>
              </w:rPr>
              <w:t>见招标文件</w:t>
            </w:r>
          </w:p>
        </w:tc>
        <w:tc>
          <w:tcPr>
            <w:tcW w:w="725" w:type="dxa"/>
            <w:noWrap w:val="0"/>
            <w:vAlign w:val="center"/>
          </w:tcPr>
          <w:p>
            <w:pPr>
              <w:adjustRightInd w:val="0"/>
              <w:snapToGrid w:val="0"/>
              <w:spacing w:line="360" w:lineRule="auto"/>
              <w:ind w:right="-10"/>
              <w:rPr>
                <w:rFonts w:hint="eastAsia" w:ascii="宋体" w:hAnsi="宋体" w:cs="宋体"/>
                <w:sz w:val="24"/>
              </w:rPr>
            </w:pPr>
          </w:p>
        </w:tc>
        <w:tc>
          <w:tcPr>
            <w:tcW w:w="2569" w:type="dxa"/>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42" w:hRule="atLeast"/>
        </w:trPr>
        <w:tc>
          <w:tcPr>
            <w:tcW w:w="712" w:type="dxa"/>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2</w:t>
            </w:r>
          </w:p>
        </w:tc>
        <w:tc>
          <w:tcPr>
            <w:tcW w:w="2005" w:type="dxa"/>
            <w:noWrap w:val="0"/>
            <w:vAlign w:val="center"/>
          </w:tcPr>
          <w:p>
            <w:pPr>
              <w:spacing w:after="50" w:line="360" w:lineRule="auto"/>
              <w:ind w:right="-10"/>
              <w:jc w:val="center"/>
              <w:rPr>
                <w:rFonts w:hint="eastAsia" w:ascii="宋体" w:hAnsi="宋体" w:cs="宋体"/>
                <w:sz w:val="24"/>
                <w:szCs w:val="28"/>
              </w:rPr>
            </w:pPr>
            <w:r>
              <w:rPr>
                <w:rFonts w:hint="eastAsia" w:ascii="宋体" w:hAnsi="宋体" w:cs="宋体"/>
                <w:sz w:val="24"/>
                <w:szCs w:val="28"/>
              </w:rPr>
              <w:t>技术要求</w:t>
            </w:r>
          </w:p>
        </w:tc>
        <w:tc>
          <w:tcPr>
            <w:tcW w:w="2353" w:type="dxa"/>
            <w:noWrap w:val="0"/>
            <w:vAlign w:val="center"/>
          </w:tcPr>
          <w:p>
            <w:pPr>
              <w:spacing w:after="50" w:line="360" w:lineRule="auto"/>
              <w:ind w:right="-10"/>
              <w:jc w:val="center"/>
              <w:rPr>
                <w:rFonts w:hint="eastAsia" w:ascii="宋体" w:hAnsi="宋体" w:cs="宋体"/>
                <w:sz w:val="24"/>
                <w:szCs w:val="28"/>
              </w:rPr>
            </w:pPr>
            <w:r>
              <w:rPr>
                <w:rFonts w:hint="eastAsia" w:ascii="宋体" w:hAnsi="宋体" w:cs="宋体"/>
                <w:sz w:val="24"/>
                <w:szCs w:val="28"/>
              </w:rPr>
              <w:t>按评标办法</w:t>
            </w:r>
          </w:p>
        </w:tc>
        <w:tc>
          <w:tcPr>
            <w:tcW w:w="725" w:type="dxa"/>
            <w:noWrap w:val="0"/>
            <w:vAlign w:val="center"/>
          </w:tcPr>
          <w:p>
            <w:pPr>
              <w:adjustRightInd w:val="0"/>
              <w:snapToGrid w:val="0"/>
              <w:spacing w:line="360" w:lineRule="auto"/>
              <w:ind w:right="-10"/>
              <w:rPr>
                <w:rFonts w:hint="eastAsia" w:ascii="宋体" w:hAnsi="宋体" w:cs="宋体"/>
                <w:sz w:val="24"/>
              </w:rPr>
            </w:pPr>
          </w:p>
        </w:tc>
        <w:tc>
          <w:tcPr>
            <w:tcW w:w="2569" w:type="dxa"/>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8" w:hRule="atLeast"/>
        </w:trPr>
        <w:tc>
          <w:tcPr>
            <w:tcW w:w="712" w:type="dxa"/>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3</w:t>
            </w:r>
          </w:p>
        </w:tc>
        <w:tc>
          <w:tcPr>
            <w:tcW w:w="2005" w:type="dxa"/>
            <w:noWrap w:val="0"/>
            <w:vAlign w:val="center"/>
          </w:tcPr>
          <w:p>
            <w:pPr>
              <w:spacing w:after="50" w:line="360" w:lineRule="auto"/>
              <w:ind w:right="-10"/>
              <w:jc w:val="center"/>
              <w:rPr>
                <w:rFonts w:hint="eastAsia" w:ascii="宋体" w:hAnsi="宋体" w:cs="宋体"/>
                <w:sz w:val="24"/>
                <w:szCs w:val="28"/>
              </w:rPr>
            </w:pPr>
            <w:r>
              <w:rPr>
                <w:rFonts w:hint="eastAsia" w:ascii="宋体" w:hAnsi="宋体" w:cs="宋体"/>
                <w:sz w:val="24"/>
                <w:szCs w:val="28"/>
              </w:rPr>
              <w:t>服务期限等</w:t>
            </w:r>
          </w:p>
        </w:tc>
        <w:tc>
          <w:tcPr>
            <w:tcW w:w="2353" w:type="dxa"/>
            <w:noWrap w:val="0"/>
            <w:vAlign w:val="center"/>
          </w:tcPr>
          <w:p>
            <w:pPr>
              <w:spacing w:after="50" w:line="360" w:lineRule="auto"/>
              <w:ind w:right="-10"/>
              <w:jc w:val="center"/>
              <w:rPr>
                <w:rFonts w:hint="eastAsia" w:ascii="宋体" w:hAnsi="宋体" w:cs="宋体"/>
                <w:sz w:val="24"/>
                <w:szCs w:val="28"/>
              </w:rPr>
            </w:pPr>
            <w:r>
              <w:rPr>
                <w:rFonts w:hint="eastAsia" w:ascii="宋体" w:hAnsi="宋体" w:cs="宋体"/>
                <w:sz w:val="24"/>
                <w:szCs w:val="28"/>
              </w:rPr>
              <w:t>见招标文件</w:t>
            </w:r>
          </w:p>
        </w:tc>
        <w:tc>
          <w:tcPr>
            <w:tcW w:w="725" w:type="dxa"/>
            <w:noWrap w:val="0"/>
            <w:vAlign w:val="center"/>
          </w:tcPr>
          <w:p>
            <w:pPr>
              <w:adjustRightInd w:val="0"/>
              <w:snapToGrid w:val="0"/>
              <w:spacing w:line="360" w:lineRule="auto"/>
              <w:ind w:right="-10"/>
              <w:rPr>
                <w:rFonts w:hint="eastAsia" w:ascii="宋体" w:hAnsi="宋体" w:cs="宋体"/>
                <w:sz w:val="24"/>
              </w:rPr>
            </w:pPr>
          </w:p>
        </w:tc>
        <w:tc>
          <w:tcPr>
            <w:tcW w:w="2569" w:type="dxa"/>
            <w:noWrap w:val="0"/>
            <w:vAlign w:val="center"/>
          </w:tcPr>
          <w:p>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bl>
    <w:p>
      <w:pPr>
        <w:spacing w:line="360" w:lineRule="auto"/>
        <w:ind w:firstLine="482" w:firstLineChars="200"/>
        <w:rPr>
          <w:rFonts w:hint="eastAsia" w:ascii="宋体" w:hAnsi="宋体" w:cs="宋体"/>
          <w:sz w:val="24"/>
          <w:szCs w:val="24"/>
        </w:rPr>
      </w:pPr>
      <w:r>
        <w:rPr>
          <w:rFonts w:hint="eastAsia" w:ascii="宋体" w:hAnsi="宋体" w:cs="宋体"/>
          <w:b/>
          <w:bCs/>
          <w:sz w:val="24"/>
        </w:rPr>
        <w:t>评分标准（满分为100分）</w:t>
      </w:r>
      <w:r>
        <w:rPr>
          <w:rFonts w:hint="eastAsia" w:ascii="宋体" w:hAnsi="宋体" w:cs="宋体"/>
          <w:sz w:val="24"/>
        </w:rPr>
        <w:t>说明:</w:t>
      </w:r>
      <w:r>
        <w:rPr>
          <w:rFonts w:hint="eastAsia" w:ascii="宋体" w:hAnsi="宋体" w:cs="宋体"/>
          <w:sz w:val="24"/>
          <w:szCs w:val="24"/>
        </w:rPr>
        <w:t>各投标人的最终得分为各评委得分的算术平均值；评分分值计算保留小数点后两位，小数点后第三位“四舍五入”。</w:t>
      </w:r>
    </w:p>
    <w:p>
      <w:pPr>
        <w:pStyle w:val="64"/>
        <w:spacing w:before="0" w:beforeAutospacing="0" w:after="0" w:afterAutospacing="0"/>
        <w:contextualSpacing/>
        <w:jc w:val="center"/>
        <w:rPr>
          <w:rFonts w:hint="eastAsia" w:cs="宋体"/>
          <w:sz w:val="32"/>
          <w:szCs w:val="32"/>
        </w:rPr>
      </w:pPr>
      <w:r>
        <w:rPr>
          <w:rFonts w:hint="eastAsia" w:cs="宋体"/>
          <w:sz w:val="32"/>
          <w:szCs w:val="32"/>
          <w:highlight w:val="yellow"/>
        </w:rPr>
        <w:br w:type="page"/>
      </w:r>
      <w:r>
        <w:rPr>
          <w:rFonts w:hint="eastAsia" w:cs="宋体"/>
          <w:sz w:val="32"/>
          <w:szCs w:val="32"/>
        </w:rPr>
        <w:t>一包评标办法</w:t>
      </w:r>
    </w:p>
    <w:p>
      <w:pPr>
        <w:autoSpaceDE w:val="0"/>
        <w:autoSpaceDN w:val="0"/>
        <w:ind w:left="380" w:right="1321"/>
        <w:jc w:val="left"/>
        <w:rPr>
          <w:rFonts w:ascii="宋体" w:hAnsi="宋体" w:cs="宋体"/>
          <w:kern w:val="0"/>
          <w:sz w:val="22"/>
          <w:szCs w:val="22"/>
          <w:lang w:val="zh-CN" w:bidi="zh-CN"/>
        </w:rPr>
      </w:pPr>
    </w:p>
    <w:tbl>
      <w:tblPr>
        <w:tblStyle w:val="71"/>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67"/>
        <w:gridCol w:w="2292"/>
        <w:gridCol w:w="5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4336" w:type="dxa"/>
            <w:gridSpan w:val="3"/>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分值构成</w:t>
            </w:r>
          </w:p>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（总分100分）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报价部分：</w:t>
            </w:r>
            <w:r>
              <w:rPr>
                <w:rFonts w:ascii="宋体" w:hAnsi="宋体" w:cs="宋体"/>
                <w:kern w:val="0"/>
                <w:szCs w:val="21"/>
                <w:lang w:val="zh-CN" w:bidi="zh-CN"/>
              </w:rPr>
              <w:t>1</w:t>
            </w:r>
            <w:r>
              <w:rPr>
                <w:rFonts w:hint="eastAsia" w:ascii="宋体" w:hAnsi="宋体" w:cs="宋体"/>
                <w:kern w:val="0"/>
                <w:szCs w:val="21"/>
                <w:lang w:val="zh-CN" w:bidi="zh-CN"/>
              </w:rPr>
              <w:t xml:space="preserve">0分 </w:t>
            </w:r>
          </w:p>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技术部分：</w:t>
            </w:r>
            <w:r>
              <w:rPr>
                <w:rFonts w:ascii="宋体" w:hAnsi="宋体" w:cs="宋体"/>
                <w:kern w:val="0"/>
                <w:szCs w:val="21"/>
                <w:lang w:bidi="zh-CN"/>
              </w:rPr>
              <w:t>50</w:t>
            </w:r>
            <w:r>
              <w:rPr>
                <w:rFonts w:hint="eastAsia" w:ascii="宋体" w:hAnsi="宋体" w:cs="宋体"/>
                <w:kern w:val="0"/>
                <w:szCs w:val="21"/>
                <w:lang w:val="zh-CN" w:bidi="zh-CN"/>
              </w:rPr>
              <w:t xml:space="preserve">分 </w:t>
            </w:r>
          </w:p>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商务部分：</w:t>
            </w:r>
            <w:r>
              <w:rPr>
                <w:rFonts w:ascii="宋体" w:hAnsi="宋体" w:cs="宋体"/>
                <w:kern w:val="0"/>
                <w:szCs w:val="21"/>
                <w:lang w:bidi="zh-CN"/>
              </w:rPr>
              <w:t>40</w:t>
            </w:r>
            <w:r>
              <w:rPr>
                <w:rFonts w:hint="eastAsia" w:ascii="宋体" w:hAnsi="宋体" w:cs="宋体"/>
                <w:kern w:val="0"/>
                <w:szCs w:val="21"/>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noWrap/>
            <w:vAlign w:val="center"/>
          </w:tcPr>
          <w:p>
            <w:pPr>
              <w:autoSpaceDE w:val="0"/>
              <w:autoSpaceDN w:val="0"/>
              <w:spacing w:line="360" w:lineRule="auto"/>
              <w:jc w:val="center"/>
              <w:rPr>
                <w:rFonts w:ascii="宋体" w:hAnsi="宋体" w:cs="宋体"/>
                <w:kern w:val="0"/>
                <w:szCs w:val="21"/>
                <w:lang w:val="zh-CN" w:bidi="zh-CN"/>
              </w:rPr>
            </w:pPr>
            <w:r>
              <w:rPr>
                <w:rFonts w:ascii="宋体" w:hAnsi="宋体" w:cs="宋体"/>
                <w:kern w:val="0"/>
                <w:szCs w:val="21"/>
                <w:lang w:bidi="zh-CN"/>
              </w:rPr>
              <w:t>1</w:t>
            </w:r>
          </w:p>
        </w:tc>
        <w:tc>
          <w:tcPr>
            <w:tcW w:w="967"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报价部分（</w:t>
            </w:r>
            <w:r>
              <w:rPr>
                <w:rFonts w:ascii="宋体" w:hAnsi="宋体" w:cs="宋体"/>
                <w:kern w:val="0"/>
                <w:szCs w:val="21"/>
                <w:lang w:val="zh-CN" w:bidi="zh-CN"/>
              </w:rPr>
              <w:t>1</w:t>
            </w:r>
            <w:r>
              <w:rPr>
                <w:rFonts w:hint="eastAsia" w:ascii="宋体" w:hAnsi="宋体" w:cs="宋体"/>
                <w:kern w:val="0"/>
                <w:szCs w:val="21"/>
                <w:lang w:val="zh-CN" w:bidi="zh-CN"/>
              </w:rPr>
              <w:t>0）</w:t>
            </w: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磋商报价（</w:t>
            </w:r>
            <w:r>
              <w:rPr>
                <w:rFonts w:ascii="宋体" w:hAnsi="宋体" w:cs="宋体"/>
                <w:kern w:val="0"/>
                <w:szCs w:val="21"/>
                <w:lang w:val="zh-CN" w:bidi="zh-CN"/>
              </w:rPr>
              <w:t>1</w:t>
            </w:r>
            <w:r>
              <w:rPr>
                <w:rFonts w:hint="eastAsia" w:ascii="宋体" w:hAnsi="宋体" w:cs="宋体"/>
                <w:kern w:val="0"/>
                <w:szCs w:val="21"/>
                <w:lang w:val="zh-CN" w:bidi="zh-CN"/>
              </w:rPr>
              <w:t>0分）</w:t>
            </w:r>
          </w:p>
        </w:tc>
        <w:tc>
          <w:tcPr>
            <w:tcW w:w="5373" w:type="dxa"/>
            <w:noWrap/>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价格分应当采用低价优先法计算，即满足招标文件要求且投标价格最低的投标报价为评标基准价，其价格分为满分。其他投标人的价格分统一按照下列公式计算：</w:t>
            </w:r>
          </w:p>
          <w:p>
            <w:pPr>
              <w:tabs>
                <w:tab w:val="left" w:pos="5130"/>
              </w:tabs>
              <w:adjustRightInd w:val="0"/>
              <w:snapToGrid w:val="0"/>
              <w:spacing w:line="360" w:lineRule="auto"/>
              <w:rPr>
                <w:rFonts w:ascii="宋体" w:hAnsi="宋体" w:cs="宋体"/>
                <w:kern w:val="0"/>
                <w:szCs w:val="21"/>
              </w:rPr>
            </w:pPr>
            <w:r>
              <w:rPr>
                <w:rFonts w:hint="eastAsia" w:ascii="宋体" w:hAnsi="宋体" w:cs="宋体"/>
                <w:szCs w:val="21"/>
              </w:rPr>
              <w:t>　　投标报价得分=(评标基准价／投标报价)×10</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注：价格分计算保留小数点后二位。</w:t>
            </w:r>
          </w:p>
          <w:p>
            <w:pPr>
              <w:autoSpaceDE w:val="0"/>
              <w:autoSpaceDN w:val="0"/>
              <w:adjustRightInd w:val="0"/>
              <w:spacing w:line="360" w:lineRule="auto"/>
              <w:ind w:right="-21" w:rightChars="-10"/>
              <w:rPr>
                <w:rFonts w:ascii="宋体" w:hAnsi="宋体" w:cs="宋体"/>
                <w:color w:val="000000"/>
                <w:szCs w:val="21"/>
              </w:rPr>
            </w:pPr>
            <w:r>
              <w:rPr>
                <w:rFonts w:hint="eastAsia" w:ascii="宋体" w:hAnsi="宋体" w:cs="宋体"/>
                <w:szCs w:val="21"/>
              </w:rPr>
              <w:t>备注：根据财政部、工信部关于印发《政府采购促进中小企业发展管理办法》的通知（</w:t>
            </w:r>
            <w:r>
              <w:rPr>
                <w:rFonts w:hint="eastAsia" w:ascii="宋体" w:hAnsi="宋体" w:cs="宋体"/>
                <w:color w:val="000000"/>
                <w:szCs w:val="21"/>
              </w:rPr>
              <w:t>财库〔2020〕46号 ）文件规定：</w:t>
            </w:r>
          </w:p>
          <w:p>
            <w:pPr>
              <w:autoSpaceDE w:val="0"/>
              <w:autoSpaceDN w:val="0"/>
              <w:adjustRightInd w:val="0"/>
              <w:spacing w:line="360" w:lineRule="auto"/>
              <w:ind w:right="-21" w:rightChars="-10"/>
              <w:rPr>
                <w:rFonts w:ascii="宋体" w:hAnsi="宋体" w:cs="宋体"/>
                <w:szCs w:val="21"/>
              </w:rPr>
            </w:pPr>
            <w:r>
              <w:rPr>
                <w:rFonts w:hint="eastAsia" w:ascii="宋体" w:hAnsi="宋体" w:cs="宋体"/>
                <w:color w:val="000000"/>
                <w:szCs w:val="21"/>
              </w:rPr>
              <w:t xml:space="preserve">（1）对小微企业报价给予 </w:t>
            </w:r>
            <w:r>
              <w:rPr>
                <w:rFonts w:hint="eastAsia" w:ascii="宋体" w:hAnsi="宋体" w:cs="宋体"/>
                <w:szCs w:val="21"/>
              </w:rPr>
              <w:t>10%扣</w:t>
            </w:r>
            <w:r>
              <w:rPr>
                <w:rFonts w:hint="eastAsia" w:ascii="宋体" w:hAnsi="宋体" w:cs="宋体"/>
                <w:color w:val="000000"/>
                <w:szCs w:val="21"/>
              </w:rPr>
              <w:t>除，请按照《政府采购促进中小企业发展管理办法》要求提供中小企业声</w:t>
            </w:r>
            <w:r>
              <w:rPr>
                <w:rFonts w:hint="eastAsia" w:ascii="宋体" w:hAnsi="宋体" w:cs="宋体"/>
                <w:szCs w:val="21"/>
              </w:rPr>
              <w:t>明函。</w:t>
            </w:r>
          </w:p>
          <w:p>
            <w:pPr>
              <w:autoSpaceDE w:val="0"/>
              <w:autoSpaceDN w:val="0"/>
              <w:adjustRightInd w:val="0"/>
              <w:spacing w:line="360" w:lineRule="auto"/>
              <w:ind w:right="-21" w:rightChars="-10"/>
              <w:rPr>
                <w:rFonts w:ascii="宋体" w:hAnsi="宋体" w:cs="宋体"/>
                <w:szCs w:val="21"/>
              </w:rPr>
            </w:pPr>
            <w:r>
              <w:rPr>
                <w:rFonts w:hint="eastAsia" w:ascii="宋体" w:hAnsi="宋体" w:cs="宋体"/>
                <w:szCs w:val="21"/>
              </w:rPr>
              <w:t>（2）关于监狱企业：视同小微企业。须提供由省级以上监狱管理局、戒毒管理局（含新疆生产建设兵团）出具的属于监狱企业的证明文件，否则不考虑价格扣除。</w:t>
            </w:r>
          </w:p>
          <w:p>
            <w:pPr>
              <w:autoSpaceDE w:val="0"/>
              <w:autoSpaceDN w:val="0"/>
              <w:adjustRightInd w:val="0"/>
              <w:spacing w:line="360" w:lineRule="auto"/>
              <w:ind w:right="-21" w:rightChars="-10"/>
              <w:rPr>
                <w:rFonts w:ascii="宋体" w:hAnsi="宋体" w:cs="宋体"/>
                <w:szCs w:val="21"/>
              </w:rPr>
            </w:pPr>
            <w:r>
              <w:rPr>
                <w:rFonts w:hint="eastAsia" w:ascii="宋体" w:hAnsi="宋体" w:cs="宋体"/>
                <w:szCs w:val="21"/>
              </w:rPr>
              <w:t>（3）关于残疾人福利性单位：视同小微企业。须提供完整的“残疾人福利性单位声明函”，否则在价格评审时不予考虑价格扣除。残疾人福利性单位属于小型、微型企业的，不重复享受政策。</w:t>
            </w:r>
          </w:p>
          <w:p>
            <w:pPr>
              <w:autoSpaceDE w:val="0"/>
              <w:autoSpaceDN w:val="0"/>
              <w:spacing w:after="120" w:line="360" w:lineRule="auto"/>
              <w:jc w:val="left"/>
              <w:rPr>
                <w:rFonts w:ascii="宋体" w:hAnsi="宋体" w:cs="宋体"/>
                <w:kern w:val="0"/>
                <w:sz w:val="22"/>
                <w:szCs w:val="22"/>
                <w:lang w:val="zh-CN" w:bidi="zh-CN"/>
              </w:rPr>
            </w:pPr>
            <w:r>
              <w:rPr>
                <w:rFonts w:hint="eastAsia" w:ascii="宋体" w:hAnsi="宋体" w:cs="宋体"/>
                <w:szCs w:val="21"/>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077" w:type="dxa"/>
            <w:vMerge w:val="restart"/>
            <w:noWrap/>
            <w:vAlign w:val="center"/>
          </w:tcPr>
          <w:p>
            <w:pPr>
              <w:autoSpaceDE w:val="0"/>
              <w:autoSpaceDN w:val="0"/>
              <w:spacing w:line="360" w:lineRule="auto"/>
              <w:jc w:val="center"/>
              <w:rPr>
                <w:rFonts w:ascii="宋体" w:hAnsi="宋体" w:cs="宋体"/>
                <w:kern w:val="0"/>
                <w:szCs w:val="21"/>
                <w:lang w:bidi="zh-CN"/>
              </w:rPr>
            </w:pPr>
            <w:r>
              <w:rPr>
                <w:rFonts w:hint="eastAsia" w:ascii="宋体" w:hAnsi="宋体" w:cs="宋体"/>
                <w:kern w:val="0"/>
                <w:szCs w:val="21"/>
                <w:lang w:bidi="zh-CN"/>
              </w:rPr>
              <w:t>5</w:t>
            </w:r>
          </w:p>
        </w:tc>
        <w:tc>
          <w:tcPr>
            <w:tcW w:w="967" w:type="dxa"/>
            <w:vMerge w:val="restart"/>
            <w:noWrap/>
            <w:vAlign w:val="center"/>
          </w:tcPr>
          <w:p>
            <w:pPr>
              <w:autoSpaceDE w:val="0"/>
              <w:autoSpaceDN w:val="0"/>
              <w:spacing w:line="360" w:lineRule="auto"/>
              <w:jc w:val="center"/>
              <w:rPr>
                <w:rFonts w:ascii="宋体" w:hAnsi="宋体" w:cs="宋体"/>
                <w:kern w:val="0"/>
                <w:szCs w:val="21"/>
                <w:lang w:bidi="zh-CN"/>
              </w:rPr>
            </w:pPr>
            <w:r>
              <w:rPr>
                <w:rFonts w:hint="eastAsia" w:ascii="宋体" w:hAnsi="宋体" w:cs="宋体"/>
                <w:kern w:val="0"/>
                <w:szCs w:val="21"/>
                <w:lang w:bidi="zh-CN"/>
              </w:rPr>
              <w:t>技术部分（</w:t>
            </w:r>
            <w:r>
              <w:rPr>
                <w:rFonts w:ascii="宋体" w:hAnsi="宋体" w:cs="宋体"/>
                <w:kern w:val="0"/>
                <w:szCs w:val="21"/>
                <w:lang w:bidi="zh-CN"/>
              </w:rPr>
              <w:t>50</w:t>
            </w:r>
            <w:r>
              <w:rPr>
                <w:rFonts w:hint="eastAsia" w:ascii="宋体" w:hAnsi="宋体" w:cs="宋体"/>
                <w:kern w:val="0"/>
                <w:szCs w:val="21"/>
                <w:lang w:bidi="zh-CN"/>
              </w:rPr>
              <w:t>分）</w:t>
            </w: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技术参数</w:t>
            </w:r>
          </w:p>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bidi="zh-CN"/>
              </w:rPr>
              <w:t>34</w:t>
            </w:r>
            <w:r>
              <w:rPr>
                <w:rFonts w:hint="eastAsia" w:ascii="宋体" w:hAnsi="宋体" w:cs="宋体"/>
                <w:kern w:val="0"/>
                <w:szCs w:val="21"/>
                <w:lang w:val="zh-CN" w:bidi="zh-CN"/>
              </w:rPr>
              <w:t>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投标人的技术参数满足招标文件技术参数与要求，得基本分</w:t>
            </w:r>
            <w:r>
              <w:rPr>
                <w:rFonts w:ascii="宋体" w:hAnsi="宋体" w:cs="宋体"/>
                <w:kern w:val="0"/>
                <w:szCs w:val="21"/>
                <w:lang w:val="zh-CN" w:bidi="zh-CN"/>
              </w:rPr>
              <w:t>34</w:t>
            </w:r>
            <w:r>
              <w:rPr>
                <w:rFonts w:hint="eastAsia" w:ascii="宋体" w:hAnsi="宋体" w:cs="宋体"/>
                <w:kern w:val="0"/>
                <w:szCs w:val="21"/>
                <w:lang w:val="zh-CN" w:bidi="zh-CN"/>
              </w:rPr>
              <w:t>分；低于技术要求的（负偏离）每项在基本分基础上扣</w:t>
            </w:r>
            <w:r>
              <w:rPr>
                <w:rFonts w:hint="eastAsia" w:ascii="宋体" w:hAnsi="宋体" w:cs="宋体"/>
                <w:kern w:val="0"/>
                <w:szCs w:val="21"/>
                <w:lang w:bidi="zh-CN"/>
              </w:rPr>
              <w:t>1</w:t>
            </w:r>
            <w:r>
              <w:rPr>
                <w:rFonts w:hint="eastAsia" w:ascii="宋体" w:hAnsi="宋体" w:cs="宋体"/>
                <w:kern w:val="0"/>
                <w:szCs w:val="21"/>
                <w:lang w:val="zh-CN" w:bidi="zh-CN"/>
              </w:rPr>
              <w:t>分，扣完为止。（</w:t>
            </w:r>
            <w:r>
              <w:rPr>
                <w:rFonts w:hint="eastAsia" w:ascii="宋体" w:hAnsi="宋体" w:cs="宋体"/>
                <w:kern w:val="0"/>
                <w:szCs w:val="21"/>
                <w:lang w:bidi="zh-CN"/>
              </w:rPr>
              <w:t>加“★”项技术要求，需附软件截图证明。不满足或未提供证明的每一项扣2分。）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项目总体理解</w:t>
            </w:r>
          </w:p>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bidi="zh-CN"/>
              </w:rPr>
              <w:t>6</w:t>
            </w:r>
            <w:r>
              <w:rPr>
                <w:rFonts w:hint="eastAsia" w:ascii="宋体" w:hAnsi="宋体" w:cs="宋体"/>
                <w:kern w:val="0"/>
                <w:szCs w:val="21"/>
                <w:lang w:val="zh-CN" w:bidi="zh-CN"/>
              </w:rPr>
              <w:t>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（1)根据国家政策对办公用房管理工作的要求以及购买方办公用房管理现状，结合办公用房信息化的发展现状分析办公用房管理信息系统建设的意义及相关需求，提出针对性的解决思路和方案。</w:t>
            </w:r>
            <w:r>
              <w:rPr>
                <w:rFonts w:hint="eastAsia" w:ascii="宋体" w:hAnsi="宋体" w:cs="宋体"/>
                <w:kern w:val="0"/>
                <w:szCs w:val="21"/>
                <w:lang w:bidi="zh-CN"/>
              </w:rPr>
              <w:t>全部提供的得3分，未提供不得分）</w:t>
            </w:r>
          </w:p>
          <w:p>
            <w:pPr>
              <w:autoSpaceDE w:val="0"/>
              <w:autoSpaceDN w:val="0"/>
              <w:spacing w:line="360" w:lineRule="auto"/>
              <w:jc w:val="left"/>
              <w:rPr>
                <w:rFonts w:ascii="宋体" w:hAnsi="宋体" w:cs="宋体"/>
                <w:kern w:val="0"/>
                <w:szCs w:val="21"/>
                <w:lang w:bidi="zh-CN"/>
              </w:rPr>
            </w:pPr>
            <w:r>
              <w:rPr>
                <w:rFonts w:hint="eastAsia" w:ascii="宋体" w:hAnsi="宋体" w:cs="宋体"/>
                <w:kern w:val="0"/>
                <w:szCs w:val="21"/>
                <w:lang w:val="zh-CN" w:bidi="zh-CN"/>
              </w:rPr>
              <w:t>（2）项目总体理解全面、流程设计思路完整，准确阐述办公用房管理信息系统构成内容及之间的关系，能够用业务流程图清晰描述总体业务流程、各分项业务流程及关联关系。</w:t>
            </w:r>
            <w:r>
              <w:rPr>
                <w:rFonts w:hint="eastAsia" w:ascii="宋体" w:hAnsi="宋体" w:cs="宋体"/>
                <w:kern w:val="0"/>
                <w:szCs w:val="21"/>
                <w:lang w:bidi="zh-CN"/>
              </w:rPr>
              <w:t>全部提供的得3分，未提供不得分）。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机构设置</w:t>
            </w:r>
          </w:p>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bidi="zh-CN"/>
              </w:rPr>
              <w:t>2</w:t>
            </w:r>
            <w:r>
              <w:rPr>
                <w:rFonts w:hint="eastAsia" w:ascii="宋体" w:hAnsi="宋体" w:cs="宋体"/>
                <w:kern w:val="0"/>
                <w:szCs w:val="21"/>
                <w:lang w:val="zh-CN" w:bidi="zh-CN"/>
              </w:rPr>
              <w:t>分）</w:t>
            </w:r>
          </w:p>
        </w:tc>
        <w:tc>
          <w:tcPr>
            <w:tcW w:w="5373" w:type="dxa"/>
            <w:noWrap/>
            <w:vAlign w:val="top"/>
          </w:tcPr>
          <w:p>
            <w:pPr>
              <w:autoSpaceDE w:val="0"/>
              <w:autoSpaceDN w:val="0"/>
              <w:spacing w:line="360" w:lineRule="auto"/>
              <w:jc w:val="left"/>
              <w:rPr>
                <w:rFonts w:ascii="宋体" w:hAnsi="宋体" w:cs="宋体"/>
                <w:kern w:val="0"/>
                <w:szCs w:val="21"/>
                <w:lang w:bidi="zh-CN"/>
              </w:rPr>
            </w:pPr>
            <w:r>
              <w:rPr>
                <w:rFonts w:hint="eastAsia" w:ascii="宋体" w:hAnsi="宋体" w:cs="宋体"/>
                <w:kern w:val="0"/>
                <w:szCs w:val="21"/>
                <w:lang w:val="zh-CN" w:bidi="zh-CN"/>
              </w:rPr>
              <w:t>针对本项目机构设置情况、人员配置情况、岗位职责情况提供科学合理的方案，</w:t>
            </w:r>
            <w:r>
              <w:rPr>
                <w:rFonts w:hint="eastAsia" w:ascii="宋体" w:hAnsi="宋体" w:cs="宋体"/>
                <w:kern w:val="0"/>
                <w:szCs w:val="21"/>
                <w:lang w:bidi="zh-CN"/>
              </w:rPr>
              <w:t>全部提供的得</w:t>
            </w:r>
            <w:r>
              <w:rPr>
                <w:rFonts w:ascii="宋体" w:hAnsi="宋体" w:cs="宋体"/>
                <w:kern w:val="0"/>
                <w:szCs w:val="21"/>
                <w:lang w:bidi="zh-CN"/>
              </w:rPr>
              <w:t>2</w:t>
            </w:r>
            <w:r>
              <w:rPr>
                <w:rFonts w:hint="eastAsia" w:ascii="宋体" w:hAnsi="宋体" w:cs="宋体"/>
                <w:kern w:val="0"/>
                <w:szCs w:val="21"/>
                <w:lang w:bidi="zh-CN"/>
              </w:rPr>
              <w:t>分，未提供或缺项的不得分。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项目实施方案</w:t>
            </w:r>
          </w:p>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bidi="zh-CN"/>
              </w:rPr>
              <w:t>1</w:t>
            </w:r>
            <w:r>
              <w:rPr>
                <w:rFonts w:hint="eastAsia" w:ascii="宋体" w:hAnsi="宋体" w:cs="宋体"/>
                <w:kern w:val="0"/>
                <w:szCs w:val="21"/>
                <w:lang w:val="zh-CN" w:bidi="zh-CN"/>
              </w:rPr>
              <w:t>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针对本项目软件系统有具体的实施进度、质量控制、计划执行的方案，</w:t>
            </w:r>
            <w:r>
              <w:rPr>
                <w:rFonts w:hint="eastAsia" w:ascii="宋体" w:hAnsi="宋体" w:cs="宋体"/>
                <w:kern w:val="0"/>
                <w:szCs w:val="21"/>
                <w:lang w:bidi="zh-CN"/>
              </w:rPr>
              <w:t>全部提供的得</w:t>
            </w:r>
            <w:r>
              <w:rPr>
                <w:rFonts w:ascii="宋体" w:hAnsi="宋体" w:cs="宋体"/>
                <w:kern w:val="0"/>
                <w:szCs w:val="21"/>
                <w:lang w:bidi="zh-CN"/>
              </w:rPr>
              <w:t>1</w:t>
            </w:r>
            <w:r>
              <w:rPr>
                <w:rFonts w:hint="eastAsia" w:ascii="宋体" w:hAnsi="宋体" w:cs="宋体"/>
                <w:kern w:val="0"/>
                <w:szCs w:val="21"/>
                <w:lang w:bidi="zh-CN"/>
              </w:rPr>
              <w:t>分，未提供或缺项的不得分</w:t>
            </w:r>
            <w:r>
              <w:rPr>
                <w:rFonts w:hint="eastAsia" w:ascii="宋体" w:hAnsi="宋体" w:cs="宋体"/>
                <w:kern w:val="0"/>
                <w:szCs w:val="21"/>
                <w:lang w:val="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系统设计</w:t>
            </w:r>
          </w:p>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w:t>
            </w:r>
            <w:r>
              <w:rPr>
                <w:rFonts w:ascii="宋体" w:hAnsi="宋体" w:cs="宋体"/>
                <w:kern w:val="0"/>
                <w:szCs w:val="21"/>
                <w:lang w:bidi="zh-CN"/>
              </w:rPr>
              <w:t>7</w:t>
            </w:r>
            <w:r>
              <w:rPr>
                <w:rFonts w:hint="eastAsia" w:ascii="宋体" w:hAnsi="宋体" w:cs="宋体"/>
                <w:kern w:val="0"/>
                <w:szCs w:val="21"/>
                <w:lang w:val="zh-CN" w:bidi="zh-CN"/>
              </w:rPr>
              <w:t>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（1）整体架构符合办公用房管理信息系统的总体设计思路，各模块的系统设计对招标文件的响应程度全面。</w:t>
            </w:r>
          </w:p>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得</w:t>
            </w:r>
            <w:r>
              <w:rPr>
                <w:rFonts w:ascii="宋体" w:hAnsi="宋体" w:cs="宋体"/>
                <w:kern w:val="0"/>
                <w:szCs w:val="21"/>
                <w:lang w:bidi="zh-CN"/>
              </w:rPr>
              <w:t>2</w:t>
            </w:r>
            <w:r>
              <w:rPr>
                <w:rFonts w:hint="eastAsia" w:ascii="宋体" w:hAnsi="宋体" w:cs="宋体"/>
                <w:kern w:val="0"/>
                <w:szCs w:val="21"/>
                <w:lang w:val="zh-CN" w:bidi="zh-CN"/>
              </w:rPr>
              <w:t>分，未提供或内容偏离采购内容的不得分。</w:t>
            </w:r>
          </w:p>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（2）系统总体设计明确，有总体结构图，系统完整性、合理性、可行性、可靠性、安全性等设计分析清晰透彻，可以充分体现系统的先进性、稳定性和可靠性。得</w:t>
            </w:r>
            <w:r>
              <w:rPr>
                <w:rFonts w:ascii="宋体" w:hAnsi="宋体" w:cs="宋体"/>
                <w:kern w:val="0"/>
                <w:szCs w:val="21"/>
                <w:lang w:bidi="zh-CN"/>
              </w:rPr>
              <w:t>2</w:t>
            </w:r>
            <w:r>
              <w:rPr>
                <w:rFonts w:hint="eastAsia" w:ascii="宋体" w:hAnsi="宋体" w:cs="宋体"/>
                <w:kern w:val="0"/>
                <w:szCs w:val="21"/>
                <w:lang w:val="zh-CN" w:bidi="zh-CN"/>
              </w:rPr>
              <w:t>分，未提供或相关内容偏离采购内容的不得分。</w:t>
            </w:r>
          </w:p>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（3）与河南省办公用房管理系统对接顺畅，提供对接内容和对接方案的得</w:t>
            </w:r>
            <w:r>
              <w:rPr>
                <w:rFonts w:ascii="宋体" w:hAnsi="宋体" w:cs="宋体"/>
                <w:kern w:val="0"/>
                <w:szCs w:val="21"/>
                <w:lang w:bidi="zh-CN"/>
              </w:rPr>
              <w:t>3</w:t>
            </w:r>
            <w:r>
              <w:rPr>
                <w:rFonts w:hint="eastAsia" w:ascii="宋体" w:hAnsi="宋体" w:cs="宋体"/>
                <w:kern w:val="0"/>
                <w:szCs w:val="21"/>
                <w:lang w:val="zh-CN" w:bidi="zh-CN"/>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restart"/>
            <w:noWrap/>
            <w:vAlign w:val="center"/>
          </w:tcPr>
          <w:p>
            <w:pPr>
              <w:autoSpaceDE w:val="0"/>
              <w:autoSpaceDN w:val="0"/>
              <w:spacing w:line="360" w:lineRule="auto"/>
              <w:jc w:val="center"/>
              <w:rPr>
                <w:rFonts w:ascii="宋体" w:hAnsi="宋体" w:cs="宋体"/>
                <w:kern w:val="0"/>
                <w:szCs w:val="21"/>
                <w:lang w:bidi="zh-CN"/>
              </w:rPr>
            </w:pPr>
            <w:r>
              <w:rPr>
                <w:rFonts w:hint="eastAsia" w:ascii="宋体" w:hAnsi="宋体" w:cs="宋体"/>
                <w:kern w:val="0"/>
                <w:szCs w:val="21"/>
                <w:lang w:bidi="zh-CN"/>
              </w:rPr>
              <w:t>6</w:t>
            </w:r>
          </w:p>
        </w:tc>
        <w:tc>
          <w:tcPr>
            <w:tcW w:w="967" w:type="dxa"/>
            <w:vMerge w:val="restart"/>
            <w:noWrap/>
            <w:vAlign w:val="center"/>
          </w:tcPr>
          <w:p>
            <w:pPr>
              <w:autoSpaceDE w:val="0"/>
              <w:autoSpaceDN w:val="0"/>
              <w:spacing w:line="360" w:lineRule="auto"/>
              <w:jc w:val="center"/>
              <w:rPr>
                <w:rFonts w:ascii="宋体" w:hAnsi="宋体" w:cs="宋体"/>
                <w:kern w:val="0"/>
                <w:szCs w:val="21"/>
                <w:lang w:bidi="zh-CN"/>
              </w:rPr>
            </w:pPr>
            <w:r>
              <w:rPr>
                <w:rFonts w:hint="eastAsia" w:ascii="宋体" w:hAnsi="宋体" w:cs="宋体"/>
                <w:kern w:val="0"/>
                <w:szCs w:val="21"/>
                <w:lang w:bidi="zh-CN"/>
              </w:rPr>
              <w:t>商务部分（</w:t>
            </w:r>
            <w:r>
              <w:rPr>
                <w:rFonts w:ascii="宋体" w:hAnsi="宋体" w:cs="宋体"/>
                <w:kern w:val="0"/>
                <w:szCs w:val="21"/>
                <w:lang w:bidi="zh-CN"/>
              </w:rPr>
              <w:t>40</w:t>
            </w:r>
            <w:r>
              <w:rPr>
                <w:rFonts w:hint="eastAsia" w:ascii="宋体" w:hAnsi="宋体" w:cs="宋体"/>
                <w:kern w:val="0"/>
                <w:szCs w:val="21"/>
                <w:lang w:bidi="zh-CN"/>
              </w:rPr>
              <w:t>分）</w:t>
            </w:r>
          </w:p>
        </w:tc>
        <w:tc>
          <w:tcPr>
            <w:tcW w:w="2292" w:type="dxa"/>
            <w:vMerge w:val="restart"/>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企业实力（</w:t>
            </w:r>
            <w:r>
              <w:rPr>
                <w:rFonts w:ascii="宋体" w:hAnsi="宋体" w:cs="宋体"/>
                <w:kern w:val="0"/>
                <w:szCs w:val="21"/>
                <w:lang w:bidi="zh-CN"/>
              </w:rPr>
              <w:t>21</w:t>
            </w:r>
            <w:r>
              <w:rPr>
                <w:rFonts w:hint="eastAsia" w:ascii="宋体" w:hAnsi="宋体" w:cs="宋体"/>
                <w:kern w:val="0"/>
                <w:szCs w:val="21"/>
                <w:lang w:val="zh-CN" w:bidi="zh-CN"/>
              </w:rPr>
              <w:t>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1、</w:t>
            </w:r>
            <w:r>
              <w:rPr>
                <w:rFonts w:hint="eastAsia" w:ascii="宋体" w:hAnsi="宋体" w:cs="宋体"/>
                <w:kern w:val="0"/>
                <w:szCs w:val="21"/>
                <w:lang w:bidi="zh-CN"/>
              </w:rPr>
              <w:t>投标人或所投产品供应商</w:t>
            </w:r>
            <w:r>
              <w:rPr>
                <w:rFonts w:hint="eastAsia" w:ascii="宋体" w:hAnsi="宋体" w:cs="宋体"/>
                <w:kern w:val="0"/>
                <w:szCs w:val="21"/>
                <w:lang w:val="zh-CN" w:bidi="zh-CN"/>
              </w:rPr>
              <w:t>具有软件企业认定证书，具有高新企业认定证书，具有</w:t>
            </w:r>
            <w:r>
              <w:rPr>
                <w:rFonts w:hint="eastAsia" w:ascii="宋体" w:hAnsi="宋体" w:cs="宋体"/>
                <w:kern w:val="0"/>
                <w:sz w:val="22"/>
                <w:szCs w:val="22"/>
                <w:lang w:val="zh-CN" w:bidi="zh-CN"/>
              </w:rPr>
              <w:t>信息安全管理体系</w:t>
            </w:r>
            <w:r>
              <w:rPr>
                <w:rFonts w:hint="eastAsia" w:ascii="宋体" w:hAnsi="宋体" w:cs="宋体"/>
                <w:kern w:val="0"/>
                <w:sz w:val="22"/>
                <w:szCs w:val="22"/>
                <w:lang w:bidi="zh-CN"/>
              </w:rPr>
              <w:t>认证证书</w:t>
            </w:r>
            <w:r>
              <w:rPr>
                <w:rFonts w:hint="eastAsia" w:ascii="宋体" w:hAnsi="宋体" w:cs="宋体"/>
                <w:kern w:val="0"/>
                <w:szCs w:val="21"/>
                <w:lang w:val="zh-CN" w:bidi="zh-CN"/>
              </w:rPr>
              <w:t>，信息技术服务管理体系认证证书，每有一项得</w:t>
            </w:r>
            <w:r>
              <w:rPr>
                <w:rFonts w:hint="eastAsia" w:ascii="宋体" w:hAnsi="宋体" w:cs="宋体"/>
                <w:kern w:val="0"/>
                <w:szCs w:val="21"/>
                <w:lang w:bidi="zh-CN"/>
              </w:rPr>
              <w:t>2</w:t>
            </w:r>
            <w:r>
              <w:rPr>
                <w:rFonts w:hint="eastAsia" w:ascii="宋体" w:hAnsi="宋体" w:cs="宋体"/>
                <w:kern w:val="0"/>
                <w:szCs w:val="21"/>
                <w:lang w:val="zh-CN" w:bidi="zh-CN"/>
              </w:rPr>
              <w:t>分，最多得</w:t>
            </w:r>
            <w:r>
              <w:rPr>
                <w:rFonts w:ascii="宋体" w:hAnsi="宋体" w:cs="宋体"/>
                <w:kern w:val="0"/>
                <w:szCs w:val="21"/>
                <w:lang w:bidi="zh-CN"/>
              </w:rPr>
              <w:t>8</w:t>
            </w:r>
            <w:r>
              <w:rPr>
                <w:rFonts w:hint="eastAsia" w:ascii="宋体" w:hAnsi="宋体" w:cs="宋体"/>
                <w:kern w:val="0"/>
                <w:szCs w:val="21"/>
                <w:lang w:val="zh-CN" w:bidi="zh-CN"/>
              </w:rPr>
              <w:t>分。没有不得分。（注：提供证书原件扫描件，否则不得分。）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vMerge w:val="continue"/>
            <w:noWrap/>
            <w:vAlign w:val="center"/>
          </w:tcPr>
          <w:p>
            <w:pPr>
              <w:autoSpaceDE w:val="0"/>
              <w:autoSpaceDN w:val="0"/>
              <w:spacing w:line="360" w:lineRule="auto"/>
              <w:jc w:val="center"/>
              <w:rPr>
                <w:rFonts w:ascii="宋体" w:hAnsi="宋体" w:cs="宋体"/>
                <w:kern w:val="0"/>
                <w:szCs w:val="21"/>
                <w:lang w:val="zh-CN" w:bidi="zh-CN"/>
              </w:rPr>
            </w:pP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2、</w:t>
            </w:r>
            <w:r>
              <w:rPr>
                <w:rFonts w:hint="eastAsia" w:ascii="宋体" w:hAnsi="宋体" w:cs="宋体"/>
                <w:kern w:val="0"/>
                <w:szCs w:val="21"/>
                <w:lang w:bidi="zh-CN"/>
              </w:rPr>
              <w:t>投标人或所投产品供应商</w:t>
            </w:r>
            <w:r>
              <w:rPr>
                <w:rFonts w:hint="eastAsia" w:ascii="宋体" w:hAnsi="宋体" w:cs="宋体"/>
                <w:kern w:val="0"/>
                <w:szCs w:val="21"/>
                <w:lang w:val="zh-CN" w:bidi="zh-CN"/>
              </w:rPr>
              <w:t>具有质量管理体系认证、环境管理体系认证、职业安全健康管理体系认证。全部满足得</w:t>
            </w:r>
            <w:r>
              <w:rPr>
                <w:rFonts w:ascii="宋体" w:hAnsi="宋体" w:cs="宋体"/>
                <w:kern w:val="0"/>
                <w:szCs w:val="21"/>
                <w:lang w:bidi="zh-CN"/>
              </w:rPr>
              <w:t>5</w:t>
            </w:r>
            <w:r>
              <w:rPr>
                <w:rFonts w:hint="eastAsia" w:ascii="宋体" w:hAnsi="宋体" w:cs="宋体"/>
                <w:kern w:val="0"/>
                <w:szCs w:val="21"/>
                <w:lang w:val="zh-CN" w:bidi="zh-CN"/>
              </w:rPr>
              <w:t>分，缺一项不得分。（提供在中国国家认证认可监督管理委员会网站-查询专区-体系认证证书公众查询结果的截图，且查询结果的内容状态显示有效；提供证书原件扫描件，否则不得分。）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vMerge w:val="continue"/>
            <w:noWrap/>
            <w:vAlign w:val="center"/>
          </w:tcPr>
          <w:p>
            <w:pPr>
              <w:autoSpaceDE w:val="0"/>
              <w:autoSpaceDN w:val="0"/>
              <w:spacing w:line="360" w:lineRule="auto"/>
              <w:jc w:val="center"/>
              <w:rPr>
                <w:rFonts w:ascii="宋体" w:hAnsi="宋体" w:cs="宋体"/>
                <w:kern w:val="0"/>
                <w:szCs w:val="21"/>
                <w:lang w:val="zh-CN" w:bidi="zh-CN"/>
              </w:rPr>
            </w:pP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ascii="宋体" w:hAnsi="宋体" w:cs="宋体"/>
                <w:kern w:val="0"/>
                <w:szCs w:val="21"/>
                <w:lang w:val="zh-CN" w:bidi="zh-CN"/>
              </w:rPr>
              <w:t>3</w:t>
            </w:r>
            <w:r>
              <w:rPr>
                <w:rFonts w:hint="eastAsia" w:ascii="宋体" w:hAnsi="宋体" w:cs="宋体"/>
                <w:kern w:val="0"/>
                <w:szCs w:val="21"/>
                <w:lang w:val="zh-CN" w:bidi="zh-CN"/>
              </w:rPr>
              <w:t>、</w:t>
            </w:r>
            <w:r>
              <w:rPr>
                <w:rFonts w:hint="eastAsia" w:ascii="宋体" w:hAnsi="宋体" w:cs="宋体"/>
                <w:kern w:val="0"/>
                <w:szCs w:val="21"/>
                <w:lang w:bidi="zh-CN"/>
              </w:rPr>
              <w:t>投标人或所投产品供应商</w:t>
            </w:r>
            <w:r>
              <w:rPr>
                <w:rFonts w:hint="eastAsia" w:ascii="宋体" w:hAnsi="宋体" w:cs="宋体"/>
                <w:kern w:val="0"/>
                <w:szCs w:val="21"/>
                <w:lang w:val="zh-CN" w:bidi="zh-CN"/>
              </w:rPr>
              <w:t>具有</w:t>
            </w:r>
            <w:r>
              <w:rPr>
                <w:rFonts w:hint="eastAsia" w:ascii="宋体" w:hAnsi="宋体" w:cs="宋体"/>
                <w:kern w:val="0"/>
                <w:szCs w:val="21"/>
                <w:lang w:bidi="zh-CN"/>
              </w:rPr>
              <w:t>国家版权局等有关部门颁发的</w:t>
            </w:r>
            <w:r>
              <w:rPr>
                <w:rFonts w:hint="eastAsia" w:ascii="宋体" w:hAnsi="宋体" w:cs="宋体"/>
                <w:kern w:val="0"/>
                <w:szCs w:val="21"/>
                <w:lang w:val="zh-CN" w:bidi="zh-CN"/>
              </w:rPr>
              <w:t>办公用房管理</w:t>
            </w:r>
            <w:r>
              <w:rPr>
                <w:rFonts w:hint="eastAsia" w:ascii="宋体" w:hAnsi="宋体" w:cs="宋体"/>
                <w:kern w:val="0"/>
                <w:szCs w:val="21"/>
                <w:lang w:bidi="zh-CN"/>
              </w:rPr>
              <w:t>信息</w:t>
            </w:r>
            <w:r>
              <w:rPr>
                <w:rFonts w:hint="eastAsia" w:ascii="宋体" w:hAnsi="宋体" w:cs="宋体"/>
                <w:kern w:val="0"/>
                <w:szCs w:val="21"/>
                <w:lang w:val="zh-CN" w:bidi="zh-CN"/>
              </w:rPr>
              <w:t>系统软件著作权证书，具有地图类编辑软件著作权证书，具有房产APP移动端软件著作权证书，</w:t>
            </w:r>
            <w:r>
              <w:rPr>
                <w:rFonts w:hint="eastAsia" w:ascii="宋体" w:hAnsi="宋体" w:cs="宋体"/>
                <w:kern w:val="0"/>
                <w:szCs w:val="21"/>
                <w:lang w:bidi="zh-CN"/>
              </w:rPr>
              <w:t>具有智能导视系统软件著作权证书，具有数据集成与交换管理平台著作权证书，具有房产登记汇总系统著作权证书，具有房产</w:t>
            </w:r>
            <w:r>
              <w:rPr>
                <w:rFonts w:ascii="宋体" w:hAnsi="宋体" w:cs="宋体"/>
                <w:kern w:val="0"/>
                <w:szCs w:val="21"/>
                <w:lang w:bidi="zh-CN"/>
              </w:rPr>
              <w:t>CAD图形解析识别软件</w:t>
            </w:r>
            <w:r>
              <w:rPr>
                <w:rFonts w:hint="eastAsia" w:ascii="宋体" w:hAnsi="宋体" w:cs="宋体"/>
                <w:kern w:val="0"/>
                <w:szCs w:val="21"/>
                <w:lang w:bidi="zh-CN"/>
              </w:rPr>
              <w:t>著作权证书，具有不动产数据质检系统软件著作权证书</w:t>
            </w:r>
            <w:r>
              <w:rPr>
                <w:rFonts w:hint="eastAsia" w:ascii="宋体" w:hAnsi="宋体" w:cs="宋体"/>
                <w:kern w:val="0"/>
                <w:szCs w:val="21"/>
                <w:lang w:val="zh-CN" w:bidi="zh-CN"/>
              </w:rPr>
              <w:t>。每提供一项得</w:t>
            </w:r>
            <w:r>
              <w:rPr>
                <w:rFonts w:ascii="宋体" w:hAnsi="宋体" w:cs="宋体"/>
                <w:kern w:val="0"/>
                <w:szCs w:val="21"/>
                <w:lang w:val="zh-CN" w:bidi="zh-CN"/>
              </w:rPr>
              <w:t>1</w:t>
            </w:r>
            <w:r>
              <w:rPr>
                <w:rFonts w:hint="eastAsia" w:ascii="宋体" w:hAnsi="宋体" w:cs="宋体"/>
                <w:kern w:val="0"/>
                <w:szCs w:val="21"/>
                <w:lang w:val="zh-CN" w:bidi="zh-CN"/>
              </w:rPr>
              <w:t>分，最多</w:t>
            </w:r>
            <w:r>
              <w:rPr>
                <w:rFonts w:ascii="宋体" w:hAnsi="宋体" w:cs="宋体"/>
                <w:kern w:val="0"/>
                <w:szCs w:val="21"/>
                <w:lang w:val="zh-CN" w:bidi="zh-CN"/>
              </w:rPr>
              <w:t>8</w:t>
            </w:r>
            <w:r>
              <w:rPr>
                <w:rFonts w:hint="eastAsia" w:ascii="宋体" w:hAnsi="宋体" w:cs="宋体"/>
                <w:kern w:val="0"/>
                <w:szCs w:val="21"/>
                <w:lang w:val="zh-CN" w:bidi="zh-CN"/>
              </w:rPr>
              <w:t>分。加盖公章，同类证书只计算一次得分。（注：提供证书原件扫描件，否则不得分。）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val="zh-CN" w:bidi="zh-CN"/>
              </w:rPr>
            </w:pPr>
            <w:r>
              <w:rPr>
                <w:rFonts w:hint="eastAsia" w:ascii="宋体" w:hAnsi="宋体" w:cs="宋体"/>
                <w:kern w:val="0"/>
                <w:szCs w:val="21"/>
                <w:lang w:val="zh-CN" w:bidi="zh-CN"/>
              </w:rPr>
              <w:t>产品成熟度</w:t>
            </w:r>
          </w:p>
          <w:p>
            <w:pPr>
              <w:autoSpaceDE w:val="0"/>
              <w:autoSpaceDN w:val="0"/>
              <w:spacing w:line="360" w:lineRule="auto"/>
              <w:jc w:val="center"/>
              <w:rPr>
                <w:rFonts w:hint="eastAsia" w:ascii="宋体" w:hAnsi="宋体" w:cs="宋体"/>
                <w:kern w:val="0"/>
                <w:szCs w:val="21"/>
                <w:lang w:bidi="zh-CN"/>
              </w:rPr>
            </w:pPr>
            <w:r>
              <w:rPr>
                <w:rFonts w:hint="eastAsia" w:ascii="宋体" w:hAnsi="宋体" w:cs="宋体"/>
                <w:kern w:val="0"/>
                <w:szCs w:val="21"/>
                <w:lang w:val="zh-CN" w:bidi="zh-CN"/>
              </w:rPr>
              <w:t>（</w:t>
            </w:r>
            <w:r>
              <w:rPr>
                <w:rFonts w:ascii="宋体" w:hAnsi="宋体" w:cs="宋体"/>
                <w:kern w:val="0"/>
                <w:szCs w:val="21"/>
                <w:lang w:bidi="zh-CN"/>
              </w:rPr>
              <w:t>9</w:t>
            </w:r>
            <w:r>
              <w:rPr>
                <w:rFonts w:hint="eastAsia" w:ascii="宋体" w:hAnsi="宋体" w:cs="宋体"/>
                <w:kern w:val="0"/>
                <w:szCs w:val="21"/>
                <w:lang w:val="zh-CN" w:bidi="zh-CN"/>
              </w:rPr>
              <w:t>分）</w:t>
            </w:r>
          </w:p>
        </w:tc>
        <w:tc>
          <w:tcPr>
            <w:tcW w:w="5373" w:type="dxa"/>
            <w:noWrap/>
            <w:vAlign w:val="center"/>
          </w:tcPr>
          <w:p>
            <w:pPr>
              <w:autoSpaceDE w:val="0"/>
              <w:autoSpaceDN w:val="0"/>
              <w:spacing w:line="360" w:lineRule="auto"/>
              <w:jc w:val="left"/>
              <w:rPr>
                <w:rFonts w:hint="eastAsia" w:ascii="宋体" w:hAnsi="宋体" w:cs="宋体"/>
                <w:kern w:val="0"/>
                <w:szCs w:val="21"/>
                <w:lang w:val="zh-CN" w:bidi="zh-CN"/>
              </w:rPr>
            </w:pPr>
            <w:r>
              <w:rPr>
                <w:rFonts w:hint="eastAsia" w:ascii="宋体" w:hAnsi="宋体" w:cs="宋体"/>
                <w:kern w:val="0"/>
                <w:szCs w:val="21"/>
                <w:lang w:val="zh-CN" w:bidi="zh-CN"/>
              </w:rPr>
              <w:t>投标人所投产品的智能图形、办公用房数字化管理、移动巡检端的相关功能需通过软件检测，以第三方权威机构出具的测试报告为准（提供软件测试报告复印件加盖公章）。全部功能满足得</w:t>
            </w:r>
            <w:r>
              <w:rPr>
                <w:rFonts w:ascii="宋体" w:hAnsi="宋体" w:cs="宋体"/>
                <w:kern w:val="0"/>
                <w:szCs w:val="21"/>
                <w:lang w:bidi="zh-CN"/>
              </w:rPr>
              <w:t>9</w:t>
            </w:r>
            <w:r>
              <w:rPr>
                <w:rFonts w:hint="eastAsia" w:ascii="宋体" w:hAnsi="宋体" w:cs="宋体"/>
                <w:kern w:val="0"/>
                <w:szCs w:val="21"/>
                <w:lang w:val="zh-CN" w:bidi="zh-CN"/>
              </w:rPr>
              <w:t>分，每有一项不满足扣</w:t>
            </w:r>
            <w:r>
              <w:rPr>
                <w:rFonts w:hint="eastAsia" w:ascii="宋体" w:hAnsi="宋体" w:cs="宋体"/>
                <w:kern w:val="0"/>
                <w:szCs w:val="21"/>
                <w:lang w:bidi="zh-CN"/>
              </w:rPr>
              <w:t>2</w:t>
            </w:r>
            <w:r>
              <w:rPr>
                <w:rFonts w:hint="eastAsia" w:ascii="宋体" w:hAnsi="宋体" w:cs="宋体"/>
                <w:kern w:val="0"/>
                <w:szCs w:val="21"/>
                <w:lang w:val="zh-CN" w:bidi="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bidi="zh-CN"/>
              </w:rPr>
            </w:pPr>
            <w:r>
              <w:rPr>
                <w:rFonts w:hint="eastAsia" w:ascii="宋体" w:hAnsi="宋体" w:cs="宋体"/>
                <w:kern w:val="0"/>
                <w:szCs w:val="21"/>
                <w:lang w:bidi="zh-CN"/>
              </w:rPr>
              <w:t>企业业绩（</w:t>
            </w:r>
            <w:r>
              <w:rPr>
                <w:rFonts w:ascii="宋体" w:hAnsi="宋体" w:cs="宋体"/>
                <w:kern w:val="0"/>
                <w:szCs w:val="21"/>
                <w:lang w:bidi="zh-CN"/>
              </w:rPr>
              <w:t>4</w:t>
            </w:r>
            <w:r>
              <w:rPr>
                <w:rFonts w:hint="eastAsia" w:ascii="宋体" w:hAnsi="宋体" w:cs="宋体"/>
                <w:kern w:val="0"/>
                <w:szCs w:val="21"/>
                <w:lang w:bidi="zh-CN"/>
              </w:rPr>
              <w:t>分）</w:t>
            </w:r>
          </w:p>
        </w:tc>
        <w:tc>
          <w:tcPr>
            <w:tcW w:w="5373" w:type="dxa"/>
            <w:noWrap/>
            <w:vAlign w:val="center"/>
          </w:tcPr>
          <w:p>
            <w:pPr>
              <w:autoSpaceDE w:val="0"/>
              <w:autoSpaceDN w:val="0"/>
              <w:spacing w:line="360" w:lineRule="auto"/>
              <w:jc w:val="left"/>
              <w:rPr>
                <w:rFonts w:ascii="宋体" w:hAnsi="宋体" w:cs="宋体"/>
                <w:kern w:val="0"/>
                <w:szCs w:val="21"/>
                <w:lang w:val="zh-CN" w:bidi="zh-CN"/>
              </w:rPr>
            </w:pPr>
            <w:r>
              <w:rPr>
                <w:rFonts w:hint="eastAsia" w:ascii="宋体" w:hAnsi="宋体" w:cs="宋体"/>
                <w:kern w:val="0"/>
                <w:szCs w:val="21"/>
                <w:lang w:val="zh-CN" w:bidi="zh-CN"/>
              </w:rPr>
              <w:t>投标人提供所投产品供应商类似项目业绩，具有</w:t>
            </w:r>
            <w:r>
              <w:rPr>
                <w:rFonts w:hint="eastAsia" w:ascii="宋体" w:hAnsi="宋体" w:cs="宋体"/>
                <w:kern w:val="0"/>
                <w:szCs w:val="21"/>
                <w:lang w:bidi="zh-CN"/>
              </w:rPr>
              <w:t>党政机关办公用房</w:t>
            </w:r>
            <w:r>
              <w:rPr>
                <w:rFonts w:hint="eastAsia" w:ascii="宋体" w:hAnsi="宋体" w:cs="宋体"/>
                <w:kern w:val="0"/>
                <w:szCs w:val="21"/>
                <w:lang w:val="zh-CN" w:bidi="zh-CN"/>
              </w:rPr>
              <w:t>管理</w:t>
            </w:r>
            <w:r>
              <w:rPr>
                <w:rFonts w:hint="eastAsia" w:ascii="宋体" w:hAnsi="宋体" w:cs="宋体"/>
                <w:kern w:val="0"/>
                <w:szCs w:val="21"/>
                <w:lang w:bidi="zh-CN"/>
              </w:rPr>
              <w:t>信息</w:t>
            </w:r>
            <w:r>
              <w:rPr>
                <w:rFonts w:hint="eastAsia" w:ascii="宋体" w:hAnsi="宋体" w:cs="宋体"/>
                <w:kern w:val="0"/>
                <w:szCs w:val="21"/>
                <w:lang w:val="zh-CN" w:bidi="zh-CN"/>
              </w:rPr>
              <w:t>系统建设相关内容，每提供1份业绩得</w:t>
            </w:r>
            <w:r>
              <w:rPr>
                <w:rFonts w:ascii="宋体" w:hAnsi="宋体" w:cs="宋体"/>
                <w:kern w:val="0"/>
                <w:szCs w:val="21"/>
                <w:lang w:val="zh-CN" w:bidi="zh-CN"/>
              </w:rPr>
              <w:t>1</w:t>
            </w:r>
            <w:r>
              <w:rPr>
                <w:rFonts w:hint="eastAsia" w:ascii="宋体" w:hAnsi="宋体" w:cs="宋体"/>
                <w:kern w:val="0"/>
                <w:szCs w:val="21"/>
                <w:lang w:val="zh-CN" w:bidi="zh-CN"/>
              </w:rPr>
              <w:t>分，最高得</w:t>
            </w:r>
            <w:r>
              <w:rPr>
                <w:rFonts w:ascii="宋体" w:hAnsi="宋体" w:cs="宋体"/>
                <w:kern w:val="0"/>
                <w:szCs w:val="21"/>
                <w:lang w:bidi="zh-CN"/>
              </w:rPr>
              <w:t>4</w:t>
            </w:r>
            <w:r>
              <w:rPr>
                <w:rFonts w:hint="eastAsia" w:ascii="宋体" w:hAnsi="宋体" w:cs="宋体"/>
                <w:kern w:val="0"/>
                <w:szCs w:val="21"/>
                <w:lang w:val="zh-CN" w:bidi="zh-CN"/>
              </w:rPr>
              <w:t>分。（注：以中标通知书和合同为准，响应文件附扫描件，否则不得分。）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9" w:hRule="atLeast"/>
          <w:jc w:val="center"/>
        </w:trPr>
        <w:tc>
          <w:tcPr>
            <w:tcW w:w="107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967" w:type="dxa"/>
            <w:vMerge w:val="continue"/>
            <w:noWrap/>
            <w:vAlign w:val="top"/>
          </w:tcPr>
          <w:p>
            <w:pPr>
              <w:autoSpaceDE w:val="0"/>
              <w:autoSpaceDN w:val="0"/>
              <w:spacing w:line="360" w:lineRule="auto"/>
              <w:jc w:val="left"/>
              <w:rPr>
                <w:rFonts w:ascii="宋体" w:hAnsi="宋体" w:cs="宋体"/>
                <w:kern w:val="0"/>
                <w:szCs w:val="21"/>
                <w:lang w:val="zh-CN" w:bidi="zh-CN"/>
              </w:rPr>
            </w:pPr>
          </w:p>
        </w:tc>
        <w:tc>
          <w:tcPr>
            <w:tcW w:w="2292" w:type="dxa"/>
            <w:noWrap/>
            <w:vAlign w:val="center"/>
          </w:tcPr>
          <w:p>
            <w:pPr>
              <w:autoSpaceDE w:val="0"/>
              <w:autoSpaceDN w:val="0"/>
              <w:spacing w:line="360" w:lineRule="auto"/>
              <w:jc w:val="center"/>
              <w:rPr>
                <w:rFonts w:ascii="宋体" w:hAnsi="宋体" w:cs="宋体"/>
                <w:kern w:val="0"/>
                <w:szCs w:val="21"/>
                <w:lang w:bidi="zh-CN"/>
              </w:rPr>
            </w:pPr>
            <w:r>
              <w:rPr>
                <w:rFonts w:hint="eastAsia" w:ascii="宋体" w:hAnsi="宋体" w:cs="宋体"/>
                <w:kern w:val="0"/>
                <w:szCs w:val="21"/>
                <w:lang w:bidi="zh-CN"/>
              </w:rPr>
              <w:t>售后服务（6分）</w:t>
            </w:r>
          </w:p>
        </w:tc>
        <w:tc>
          <w:tcPr>
            <w:tcW w:w="5373" w:type="dxa"/>
            <w:noWrap/>
            <w:vAlign w:val="center"/>
          </w:tcPr>
          <w:p>
            <w:pPr>
              <w:autoSpaceDE w:val="0"/>
              <w:autoSpaceDN w:val="0"/>
              <w:spacing w:after="120" w:line="360" w:lineRule="auto"/>
              <w:jc w:val="left"/>
              <w:rPr>
                <w:rFonts w:ascii="宋体" w:hAnsi="宋体" w:cs="宋体"/>
                <w:kern w:val="0"/>
                <w:sz w:val="22"/>
                <w:szCs w:val="22"/>
                <w:lang w:val="zh-CN" w:bidi="zh-CN"/>
              </w:rPr>
            </w:pPr>
            <w:r>
              <w:rPr>
                <w:rFonts w:hint="eastAsia" w:ascii="宋体" w:hAnsi="宋体" w:cs="宋体"/>
                <w:kern w:val="0"/>
                <w:sz w:val="22"/>
                <w:szCs w:val="22"/>
                <w:lang w:bidi="zh-CN"/>
              </w:rPr>
              <w:t>投标人具有详细的售后服务方案及服务承诺，服务方案应包含：（1）服务响应时间、故障响应及处理时间；（2）人员培训方案；（3）应急处理措施；（4）维修成本及措施；（5）系统免费更新维护保障措施；（6）提供7*24小时的技术支持方案，以上齐全的得6分，每缺一项扣1分，扣完为止。</w:t>
            </w:r>
          </w:p>
        </w:tc>
      </w:tr>
    </w:tbl>
    <w:p>
      <w:pPr>
        <w:pStyle w:val="64"/>
        <w:spacing w:before="0" w:beforeAutospacing="0" w:after="0" w:afterAutospacing="0"/>
        <w:contextualSpacing/>
        <w:rPr>
          <w:rFonts w:hint="eastAsia" w:cs="宋体"/>
          <w:sz w:val="32"/>
          <w:szCs w:val="32"/>
          <w:highlight w:val="yellow"/>
        </w:rPr>
      </w:pPr>
    </w:p>
    <w:p>
      <w:pPr>
        <w:pStyle w:val="64"/>
        <w:spacing w:before="0" w:beforeAutospacing="0" w:after="0" w:afterAutospacing="0"/>
        <w:contextualSpacing/>
        <w:jc w:val="center"/>
        <w:rPr>
          <w:rFonts w:hint="eastAsia" w:cs="宋体"/>
          <w:sz w:val="32"/>
          <w:szCs w:val="32"/>
        </w:rPr>
      </w:pPr>
      <w:r>
        <w:rPr>
          <w:rFonts w:hint="eastAsia" w:cs="宋体"/>
          <w:sz w:val="32"/>
          <w:szCs w:val="32"/>
        </w:rPr>
        <w:t>二包评标办法</w:t>
      </w:r>
    </w:p>
    <w:p>
      <w:pPr>
        <w:widowControl/>
        <w:contextualSpacing/>
        <w:jc w:val="center"/>
        <w:rPr>
          <w:rFonts w:ascii="宋体" w:hAnsi="宋体" w:cs="宋体"/>
          <w:kern w:val="0"/>
          <w:sz w:val="32"/>
          <w:szCs w:val="32"/>
        </w:rPr>
      </w:pPr>
    </w:p>
    <w:tbl>
      <w:tblPr>
        <w:tblStyle w:val="7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2"/>
        <w:gridCol w:w="1843"/>
        <w:gridCol w:w="59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46" w:hRule="atLeast"/>
          <w:jc w:val="center"/>
        </w:trPr>
        <w:tc>
          <w:tcPr>
            <w:tcW w:w="1362" w:type="dxa"/>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投标报价评分标准50分</w:t>
            </w:r>
          </w:p>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color w:val="000000"/>
                <w:szCs w:val="21"/>
              </w:rPr>
              <w:t>投标报价（50分）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价格分应当采用低价优先法计算，即满足招标文件要求且投标价格最低的投标报价为评标基准价，其价格分为满分。其他投标人的价格分统一按照下列公式计算：</w:t>
            </w:r>
          </w:p>
          <w:p>
            <w:pPr>
              <w:tabs>
                <w:tab w:val="left" w:pos="5130"/>
              </w:tabs>
              <w:adjustRightInd w:val="0"/>
              <w:snapToGrid w:val="0"/>
              <w:spacing w:line="360" w:lineRule="auto"/>
              <w:rPr>
                <w:rFonts w:ascii="宋体" w:hAnsi="宋体" w:cs="宋体"/>
                <w:kern w:val="0"/>
                <w:szCs w:val="21"/>
              </w:rPr>
            </w:pPr>
            <w:r>
              <w:rPr>
                <w:rFonts w:hint="eastAsia" w:ascii="宋体" w:hAnsi="宋体" w:cs="宋体"/>
                <w:szCs w:val="21"/>
              </w:rPr>
              <w:t>　　投标报价得分=(评标基准价／投标报价)×50</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注：价格分计算保留小数点后二位。</w:t>
            </w:r>
          </w:p>
          <w:p>
            <w:pPr>
              <w:autoSpaceDE w:val="0"/>
              <w:autoSpaceDN w:val="0"/>
              <w:adjustRightInd w:val="0"/>
              <w:spacing w:line="360" w:lineRule="auto"/>
              <w:ind w:right="-21" w:rightChars="-10"/>
              <w:rPr>
                <w:rFonts w:ascii="宋体" w:hAnsi="宋体" w:cs="宋体"/>
                <w:color w:val="000000"/>
                <w:szCs w:val="21"/>
              </w:rPr>
            </w:pPr>
            <w:r>
              <w:rPr>
                <w:rFonts w:hint="eastAsia" w:ascii="宋体" w:hAnsi="宋体" w:cs="宋体"/>
                <w:szCs w:val="21"/>
              </w:rPr>
              <w:t>备注：根据财政部、工信部关于印发《政府采购促进中小企业发展管理办法》的通知（</w:t>
            </w:r>
            <w:r>
              <w:rPr>
                <w:rFonts w:hint="eastAsia" w:ascii="宋体" w:hAnsi="宋体" w:cs="宋体"/>
                <w:color w:val="000000"/>
                <w:szCs w:val="21"/>
              </w:rPr>
              <w:t>财库〔2020〕46号 ）文件规定：</w:t>
            </w:r>
          </w:p>
          <w:p>
            <w:pPr>
              <w:autoSpaceDE w:val="0"/>
              <w:autoSpaceDN w:val="0"/>
              <w:adjustRightInd w:val="0"/>
              <w:spacing w:line="360" w:lineRule="auto"/>
              <w:ind w:right="-21" w:rightChars="-10"/>
              <w:rPr>
                <w:rFonts w:ascii="宋体" w:hAnsi="宋体" w:cs="宋体"/>
                <w:szCs w:val="21"/>
              </w:rPr>
            </w:pPr>
            <w:r>
              <w:rPr>
                <w:rFonts w:hint="eastAsia" w:ascii="宋体" w:hAnsi="宋体" w:cs="宋体"/>
                <w:color w:val="000000"/>
                <w:szCs w:val="21"/>
              </w:rPr>
              <w:t xml:space="preserve">（1）对小微企业报价给予 </w:t>
            </w:r>
            <w:r>
              <w:rPr>
                <w:rFonts w:hint="eastAsia" w:ascii="宋体" w:hAnsi="宋体" w:cs="宋体"/>
                <w:szCs w:val="21"/>
              </w:rPr>
              <w:t>10%扣</w:t>
            </w:r>
            <w:r>
              <w:rPr>
                <w:rFonts w:hint="eastAsia" w:ascii="宋体" w:hAnsi="宋体" w:cs="宋体"/>
                <w:color w:val="000000"/>
                <w:szCs w:val="21"/>
              </w:rPr>
              <w:t>除，请按照《政府采购促进中小企业发展管理办法》要求提供中小企业声</w:t>
            </w:r>
            <w:r>
              <w:rPr>
                <w:rFonts w:hint="eastAsia" w:ascii="宋体" w:hAnsi="宋体" w:cs="宋体"/>
                <w:szCs w:val="21"/>
              </w:rPr>
              <w:t>明函。</w:t>
            </w:r>
          </w:p>
          <w:p>
            <w:pPr>
              <w:autoSpaceDE w:val="0"/>
              <w:autoSpaceDN w:val="0"/>
              <w:adjustRightInd w:val="0"/>
              <w:spacing w:line="360" w:lineRule="auto"/>
              <w:ind w:right="-21" w:rightChars="-10"/>
              <w:rPr>
                <w:rFonts w:ascii="宋体" w:hAnsi="宋体" w:cs="宋体"/>
                <w:szCs w:val="21"/>
              </w:rPr>
            </w:pPr>
            <w:r>
              <w:rPr>
                <w:rFonts w:hint="eastAsia" w:ascii="宋体" w:hAnsi="宋体" w:cs="宋体"/>
                <w:szCs w:val="21"/>
              </w:rPr>
              <w:t>（2）关于监狱企业：视同小微企业。须提供由省级以上监狱管理局、戒毒管理局（含新疆生产建设兵团）出具的属于监狱企业的证明文件，否则不考虑价格扣除。</w:t>
            </w:r>
          </w:p>
          <w:p>
            <w:pPr>
              <w:autoSpaceDE w:val="0"/>
              <w:autoSpaceDN w:val="0"/>
              <w:adjustRightInd w:val="0"/>
              <w:spacing w:line="360" w:lineRule="auto"/>
              <w:ind w:right="-21" w:rightChars="-10"/>
              <w:rPr>
                <w:rFonts w:ascii="宋体" w:hAnsi="宋体" w:cs="宋体"/>
                <w:szCs w:val="21"/>
              </w:rPr>
            </w:pPr>
            <w:r>
              <w:rPr>
                <w:rFonts w:hint="eastAsia" w:ascii="宋体" w:hAnsi="宋体" w:cs="宋体"/>
                <w:szCs w:val="21"/>
              </w:rPr>
              <w:t>（3）关于残疾人福利性单位：视同小微企业。须提供完整的“残疾人福利性单位声明函”，否则在价格评审时不予考虑价格扣除。残疾人福利性单位属于小型、微型企业的，不重复享受政策。</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（4）没有提供有效证明材料的供应商将被视为不接受投标总价的扣除，用原投标总价参与评审。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915" w:hRule="atLeast"/>
          <w:jc w:val="center"/>
        </w:trPr>
        <w:tc>
          <w:tcPr>
            <w:tcW w:w="1362" w:type="dxa"/>
            <w:vMerge w:val="restart"/>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技术部分</w:t>
            </w:r>
          </w:p>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(33分）</w:t>
            </w: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项目需求分析</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（4分）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提供对项目需求分析的得4分。缺项不得分。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技术方案</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（5分）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提供技术方案、指导思想、目的任务得5分，缺项不得分。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项目组织实施（5分）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提供项目组织管理体系的架构及项目人员岗位职责的得5分，缺项不得分。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 xml:space="preserve">进度计划及控制措施，（5分） </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提供各阶段进度计划时间节的工作安排得5分，缺项不得分。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质量控制措施（5分）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提供针对本项目的质量控制措施，成果提交措施的得5分，缺项不得分。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项目安全、保密措施（6分）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提供项目安全生产管理和保密管理制度的得6分，缺项不得分。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项目售后服务、培训方案及承诺（3分）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提供售后服务承诺，售后服务体系，并制定免费培训方案、技术支持保障措施的得3分，缺项不得分。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restart"/>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商务部分</w:t>
            </w:r>
          </w:p>
          <w:p>
            <w:pPr>
              <w:tabs>
                <w:tab w:val="left" w:pos="5130"/>
              </w:tabs>
              <w:adjustRightInd w:val="0"/>
              <w:snapToGrid w:val="0"/>
              <w:spacing w:line="360" w:lineRule="auto"/>
              <w:rPr>
                <w:rFonts w:ascii="宋体" w:hAnsi="宋体" w:cs="宋体"/>
                <w:sz w:val="24"/>
                <w:szCs w:val="24"/>
              </w:rPr>
            </w:pPr>
            <w:r>
              <w:rPr>
                <w:rFonts w:hint="eastAsia" w:ascii="宋体" w:hAnsi="宋体" w:cs="宋体"/>
                <w:sz w:val="24"/>
                <w:szCs w:val="24"/>
              </w:rPr>
              <w:t>（17分）</w:t>
            </w:r>
          </w:p>
        </w:tc>
        <w:tc>
          <w:tcPr>
            <w:tcW w:w="1843" w:type="dxa"/>
            <w:noWrap w:val="0"/>
            <w:vAlign w:val="center"/>
          </w:tcPr>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企业实力</w:t>
            </w: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（5分）</w:t>
            </w:r>
          </w:p>
        </w:tc>
        <w:tc>
          <w:tcPr>
            <w:tcW w:w="5981" w:type="dxa"/>
            <w:noWrap w:val="0"/>
            <w:vAlign w:val="center"/>
          </w:tcPr>
          <w:p>
            <w:pPr>
              <w:numPr>
                <w:ilvl w:val="0"/>
                <w:numId w:val="20"/>
              </w:numPr>
              <w:tabs>
                <w:tab w:val="left" w:pos="5130"/>
              </w:tabs>
              <w:adjustRightInd w:val="0"/>
              <w:snapToGrid w:val="0"/>
              <w:spacing w:line="360" w:lineRule="auto"/>
              <w:rPr>
                <w:rFonts w:ascii="宋体" w:hAnsi="宋体" w:cs="宋体"/>
                <w:szCs w:val="21"/>
              </w:rPr>
            </w:pPr>
            <w:r>
              <w:rPr>
                <w:rFonts w:hint="eastAsia" w:ascii="宋体" w:hAnsi="宋体" w:cs="宋体"/>
                <w:szCs w:val="21"/>
              </w:rPr>
              <w:t>投标人提供具有有效期内的质量管理体系认证证书(ISO9001 标准)、职业健康安全管理体系认证证书(ISO45001标准)、环境管理体系认证证书(ISO14001标准)、信息安全管理体系认证证书（ISO/IEC27001标准）、知识产权管理体系认证证书(GB/29490-2013 标准)的，每提供一项证书得1分，未提供不得分，此项满分5分。</w:t>
            </w:r>
          </w:p>
          <w:p>
            <w:pPr>
              <w:numPr>
                <w:ilvl w:val="0"/>
                <w:numId w:val="20"/>
              </w:numPr>
              <w:spacing w:after="120"/>
            </w:pPr>
            <w:r>
              <w:rPr>
                <w:rFonts w:hint="eastAsia" w:ascii="宋体" w:hAnsi="宋体" w:cs="宋体"/>
                <w:szCs w:val="21"/>
              </w:rPr>
              <w:t>投标人提供具有有效期内的国家高新企业证书、软件企业证书的，每提供一项证书得1分，未提供不得分，此项满分2分。</w:t>
            </w:r>
          </w:p>
          <w:p>
            <w:r>
              <w:rPr>
                <w:rFonts w:hint="eastAsia" w:ascii="宋体" w:hAnsi="宋体" w:cs="宋体"/>
                <w:szCs w:val="21"/>
              </w:rPr>
              <w:t>（3）投标人2019年1 月1 日至本项目投标截止时间，取得测绘或地理信息类项目获得“中国测绘学会”或“中国地理信息产业协会”优秀工程奖铜奖或以上奖项的，每提供一个奖项得1分，未提供不得分，此项满分3分。</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（注：投标文件中需附相关证书扫描件，加盖公章）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项目业绩</w:t>
            </w: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（5分）</w:t>
            </w:r>
          </w:p>
        </w:tc>
        <w:tc>
          <w:tcPr>
            <w:tcW w:w="5981" w:type="dxa"/>
            <w:noWrap w:val="0"/>
            <w:vAlign w:val="center"/>
          </w:tcPr>
          <w:p>
            <w:pPr>
              <w:spacing w:line="360" w:lineRule="auto"/>
              <w:jc w:val="left"/>
              <w:rPr>
                <w:rFonts w:ascii="宋体" w:hAnsi="宋体" w:cs="宋体"/>
                <w:szCs w:val="21"/>
              </w:rPr>
            </w:pPr>
            <w:r>
              <w:rPr>
                <w:rFonts w:hint="eastAsia" w:ascii="宋体" w:hAnsi="宋体" w:cs="宋体"/>
                <w:szCs w:val="21"/>
              </w:rPr>
              <w:t>投标人2019年1 月1 日至本项目招标公告发布之日止，以合同签订日期为准，承接过政府相关部门委托的房产测绘项目，每提供1项得1分，此项最高得5分。</w:t>
            </w:r>
          </w:p>
          <w:p>
            <w:pPr>
              <w:tabs>
                <w:tab w:val="left" w:pos="5130"/>
              </w:tabs>
              <w:adjustRightInd w:val="0"/>
              <w:snapToGrid w:val="0"/>
              <w:spacing w:line="360" w:lineRule="auto"/>
              <w:rPr>
                <w:rFonts w:ascii="宋体" w:hAnsi="宋体" w:cs="宋体"/>
                <w:szCs w:val="21"/>
              </w:rPr>
            </w:pPr>
            <w:r>
              <w:rPr>
                <w:rFonts w:hint="eastAsia" w:ascii="宋体" w:hAnsi="宋体" w:cs="宋体"/>
                <w:szCs w:val="21"/>
              </w:rPr>
              <w:t>业绩证明：</w:t>
            </w:r>
            <w:r>
              <w:rPr>
                <w:rFonts w:hint="eastAsia" w:ascii="宋体" w:hAnsi="宋体" w:cs="宋体"/>
                <w:szCs w:val="21"/>
                <w:lang w:val="zh-CN"/>
              </w:rPr>
              <w:t>每项业绩须按以下要求提供完整准确的证明文件：合同关键页（一年一签的长期服务续签合同或同一个项目签订多份合同的只计算一个业绩）；通过上述资料无法判断是否得分的，也可以同时提供能证明得分的其它资料，如项目采购单位（或被服务单位）出具的盖章证明文件等。</w:t>
            </w:r>
            <w:r>
              <w:rPr>
                <w:rFonts w:hint="eastAsia" w:ascii="宋体" w:hAnsi="宋体" w:cs="宋体"/>
                <w:szCs w:val="21"/>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475"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jc w:val="center"/>
              <w:rPr>
                <w:rFonts w:ascii="宋体" w:hAnsi="宋体" w:cs="宋体"/>
                <w:szCs w:val="21"/>
              </w:rPr>
            </w:pP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人员配备</w:t>
            </w:r>
          </w:p>
          <w:p>
            <w:pPr>
              <w:tabs>
                <w:tab w:val="left" w:pos="5130"/>
              </w:tabs>
              <w:adjustRightInd w:val="0"/>
              <w:snapToGrid w:val="0"/>
              <w:spacing w:line="360" w:lineRule="auto"/>
              <w:jc w:val="center"/>
              <w:rPr>
                <w:rFonts w:ascii="宋体" w:hAnsi="宋体" w:cs="宋体"/>
                <w:szCs w:val="21"/>
              </w:rPr>
            </w:pPr>
            <w:r>
              <w:rPr>
                <w:rFonts w:hint="eastAsia" w:ascii="宋体" w:hAnsi="宋体" w:cs="宋体"/>
                <w:szCs w:val="21"/>
              </w:rPr>
              <w:t>（5分）</w:t>
            </w:r>
          </w:p>
        </w:tc>
        <w:tc>
          <w:tcPr>
            <w:tcW w:w="5981" w:type="dxa"/>
            <w:noWrap w:val="0"/>
            <w:vAlign w:val="center"/>
          </w:tcPr>
          <w:p>
            <w:pPr>
              <w:spacing w:after="120"/>
              <w:rPr>
                <w:rFonts w:ascii="宋体" w:hAnsi="宋体" w:cs="宋体"/>
                <w:szCs w:val="21"/>
              </w:rPr>
            </w:pPr>
            <w:r>
              <w:rPr>
                <w:rFonts w:hint="eastAsia" w:ascii="宋体" w:hAnsi="宋体" w:cs="宋体"/>
                <w:szCs w:val="21"/>
              </w:rPr>
              <w:t>（1）投标人拟派项目负责人（仅限一人）具备测绘类高级工程师职称且取得注册测绘师证书，得1分；同时具备涉密测绘成果管理人员岗位培训证、不动产权籍测绘技术培训结业证书的，加1分。此项满分2分。</w:t>
            </w:r>
          </w:p>
          <w:p>
            <w:pPr>
              <w:rPr>
                <w:rFonts w:ascii="宋体" w:hAnsi="宋体" w:cs="宋体"/>
                <w:szCs w:val="21"/>
              </w:rPr>
            </w:pPr>
            <w:r>
              <w:rPr>
                <w:rFonts w:hint="eastAsia" w:ascii="宋体" w:hAnsi="宋体" w:cs="宋体"/>
                <w:szCs w:val="21"/>
              </w:rPr>
              <w:t>（2）投标人拟派项目技术负责人具有测绘相关专业高级工程师职称且取得注册测绘师证书，得1分。</w:t>
            </w:r>
          </w:p>
          <w:p>
            <w:pPr>
              <w:spacing w:after="120"/>
              <w:rPr>
                <w:rFonts w:ascii="宋体" w:hAnsi="宋体" w:cs="宋体"/>
                <w:szCs w:val="21"/>
              </w:rPr>
            </w:pPr>
            <w:r>
              <w:rPr>
                <w:rFonts w:hint="eastAsia" w:ascii="宋体" w:hAnsi="宋体" w:cs="宋体"/>
                <w:szCs w:val="21"/>
              </w:rPr>
              <w:t>（3）投标人拟派团队人员中具有测绘相关专业中级工程师或以上职称、国家测绘地理信息局人事司颁发的涉密测绘成果管理人员岗位培训证书，每提供1人得1分，此项满分为2。</w:t>
            </w:r>
          </w:p>
          <w:p>
            <w:pPr>
              <w:spacing w:after="120"/>
            </w:pPr>
            <w:r>
              <w:rPr>
                <w:rFonts w:hint="eastAsia"/>
              </w:rPr>
              <w:t>注：上述人员不重复计分。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29" w:hRule="atLeast"/>
          <w:jc w:val="center"/>
        </w:trPr>
        <w:tc>
          <w:tcPr>
            <w:tcW w:w="1362" w:type="dxa"/>
            <w:vMerge w:val="continue"/>
            <w:tcBorders>
              <w:left w:val="single" w:color="auto" w:sz="4" w:space="0"/>
            </w:tcBorders>
            <w:noWrap w:val="0"/>
            <w:vAlign w:val="center"/>
          </w:tcPr>
          <w:p>
            <w:pPr>
              <w:tabs>
                <w:tab w:val="left" w:pos="5130"/>
              </w:tabs>
              <w:adjustRightInd w:val="0"/>
              <w:snapToGrid w:val="0"/>
              <w:spacing w:line="360" w:lineRule="auto"/>
              <w:rPr>
                <w:rFonts w:ascii="宋体" w:hAnsi="宋体" w:cs="宋体"/>
                <w:sz w:val="24"/>
                <w:szCs w:val="24"/>
              </w:rPr>
            </w:pPr>
          </w:p>
        </w:tc>
        <w:tc>
          <w:tcPr>
            <w:tcW w:w="1843" w:type="dxa"/>
            <w:noWrap w:val="0"/>
            <w:vAlign w:val="center"/>
          </w:tcPr>
          <w:p>
            <w:pPr>
              <w:tabs>
                <w:tab w:val="left" w:pos="5130"/>
              </w:tabs>
              <w:adjustRightInd w:val="0"/>
              <w:snapToGrid w:val="0"/>
              <w:spacing w:line="360" w:lineRule="auto"/>
              <w:jc w:val="center"/>
              <w:rPr>
                <w:rFonts w:ascii="宋体" w:hAnsi="宋体" w:cs="宋体"/>
                <w:szCs w:val="21"/>
              </w:rPr>
            </w:pPr>
          </w:p>
          <w:p>
            <w:pPr>
              <w:tabs>
                <w:tab w:val="left" w:pos="5130"/>
              </w:tabs>
              <w:adjustRightInd w:val="0"/>
              <w:snapToGrid w:val="0"/>
              <w:spacing w:line="360" w:lineRule="auto"/>
              <w:jc w:val="center"/>
              <w:rPr>
                <w:rFonts w:ascii="宋体" w:hAnsi="宋体" w:cs="宋体"/>
                <w:szCs w:val="21"/>
              </w:rPr>
            </w:pPr>
            <w:r>
              <w:rPr>
                <w:rFonts w:hint="eastAsia" w:ascii="宋体" w:hAnsi="宋体" w:cs="宋体"/>
                <w:kern w:val="0"/>
                <w:szCs w:val="21"/>
              </w:rPr>
              <w:t>自主知识产权（2分）</w:t>
            </w:r>
          </w:p>
        </w:tc>
        <w:tc>
          <w:tcPr>
            <w:tcW w:w="5981" w:type="dxa"/>
            <w:noWrap w:val="0"/>
            <w:vAlign w:val="center"/>
          </w:tcPr>
          <w:p>
            <w:pPr>
              <w:tabs>
                <w:tab w:val="left" w:pos="5130"/>
              </w:tabs>
              <w:adjustRightInd w:val="0"/>
              <w:snapToGrid w:val="0"/>
              <w:spacing w:line="360" w:lineRule="auto"/>
              <w:rPr>
                <w:rFonts w:ascii="宋体" w:hAnsi="宋体" w:cs="宋体"/>
                <w:szCs w:val="21"/>
              </w:rPr>
            </w:pPr>
            <w:r>
              <w:rPr>
                <w:rFonts w:hint="eastAsia" w:ascii="宋体" w:hAnsi="宋体" w:cs="宋体"/>
                <w:szCs w:val="21"/>
              </w:rPr>
              <w:t>投标人2019年1 月1 日至本项目招标公告发布之日止，</w:t>
            </w:r>
            <w:r>
              <w:rPr>
                <w:rFonts w:hint="eastAsia" w:ascii="宋体" w:hAnsi="宋体" w:cs="宋体"/>
                <w:szCs w:val="21"/>
                <w:lang w:val="zh-CN"/>
              </w:rPr>
              <w:t>每提供一个国家版权局颁发</w:t>
            </w:r>
            <w:r>
              <w:rPr>
                <w:rFonts w:hint="eastAsia" w:ascii="宋体" w:hAnsi="宋体" w:cs="宋体"/>
                <w:szCs w:val="21"/>
              </w:rPr>
              <w:t>自主知识产权证书，主要包括：</w:t>
            </w:r>
            <w:r>
              <w:rPr>
                <w:rFonts w:hint="eastAsia" w:ascii="宋体" w:hAnsi="宋体" w:cs="宋体"/>
                <w:szCs w:val="21"/>
                <w:lang w:val="zh-CN"/>
              </w:rPr>
              <w:t>不动产测绘应用软件、不动产调查信息管理、权籍管理信息平台、土地信息统筹管理系统、地理信息系统数据处理软件等著作权证书，每提供一项的得</w:t>
            </w:r>
            <w:r>
              <w:rPr>
                <w:rFonts w:hint="eastAsia" w:ascii="宋体" w:hAnsi="宋体" w:cs="宋体"/>
                <w:szCs w:val="21"/>
              </w:rPr>
              <w:t>1</w:t>
            </w:r>
            <w:r>
              <w:rPr>
                <w:rFonts w:hint="eastAsia" w:ascii="宋体" w:hAnsi="宋体" w:cs="宋体"/>
                <w:szCs w:val="21"/>
                <w:lang w:val="zh-CN"/>
              </w:rPr>
              <w:t>分，此项满分得</w:t>
            </w:r>
            <w:r>
              <w:rPr>
                <w:rFonts w:hint="eastAsia" w:ascii="宋体" w:hAnsi="宋体" w:cs="宋体"/>
                <w:szCs w:val="21"/>
              </w:rPr>
              <w:t>2分。</w:t>
            </w:r>
          </w:p>
        </w:tc>
      </w:tr>
      <w:bookmarkEnd w:id="49"/>
    </w:tbl>
    <w:p>
      <w:pPr>
        <w:pStyle w:val="26"/>
        <w:spacing w:line="360" w:lineRule="auto"/>
        <w:ind w:right="-10" w:firstLine="482" w:firstLineChars="200"/>
        <w:rPr>
          <w:rFonts w:hint="eastAsia" w:ascii="宋体" w:hAnsi="宋体" w:eastAsia="宋体" w:cs="宋体"/>
          <w:b/>
          <w:kern w:val="1"/>
          <w:sz w:val="24"/>
        </w:rPr>
      </w:pPr>
      <w:r>
        <w:rPr>
          <w:rFonts w:hint="eastAsia" w:ascii="宋体" w:hAnsi="宋体" w:eastAsia="宋体" w:cs="宋体"/>
          <w:b/>
          <w:kern w:val="1"/>
          <w:sz w:val="24"/>
        </w:rPr>
        <w:t>注：评标结束后，由采购人对评审结果及响应文件等进行复核，并在法定的时间内确定中标人。</w:t>
      </w:r>
    </w:p>
    <w:p>
      <w:pPr>
        <w:adjustRightInd w:val="0"/>
        <w:snapToGrid w:val="0"/>
        <w:spacing w:line="360" w:lineRule="auto"/>
        <w:ind w:right="-10" w:firstLine="480" w:firstLineChars="200"/>
        <w:rPr>
          <w:rFonts w:hint="eastAsia" w:ascii="宋体" w:hAnsi="宋体" w:cs="宋体"/>
          <w:bCs/>
          <w:sz w:val="24"/>
        </w:rPr>
      </w:pPr>
      <w:r>
        <w:rPr>
          <w:rFonts w:hint="eastAsia" w:ascii="宋体" w:hAnsi="宋体" w:cs="宋体"/>
          <w:bCs/>
          <w:sz w:val="24"/>
        </w:rPr>
        <w:t>1、依据中华人民共和国财政部令第87号令《政府采购货物和服务招标投标管理办法》第三十一条要求，不同投标人所投核心产品对应品牌完全相同且通过资格审查、符合性审查的，将按照一家投标人计算。审后得分最高的同品牌投标人获得中标人推荐资格；评审得分相同的，按照除价格分外得分最高（商务+技术参数）的同品牌投标人获得中标人推荐资格，其他同品牌投标人不作为中标候选人</w:t>
      </w:r>
    </w:p>
    <w:p>
      <w:pPr>
        <w:adjustRightInd w:val="0"/>
        <w:snapToGrid w:val="0"/>
        <w:spacing w:line="360" w:lineRule="auto"/>
        <w:ind w:right="-10" w:firstLine="480" w:firstLineChars="200"/>
        <w:rPr>
          <w:rFonts w:hint="eastAsia" w:ascii="宋体" w:hAnsi="宋体" w:cs="宋体"/>
          <w:bCs/>
          <w:sz w:val="24"/>
        </w:rPr>
      </w:pPr>
      <w:r>
        <w:rPr>
          <w:rFonts w:hint="eastAsia" w:ascii="宋体" w:hAnsi="宋体" w:cs="宋体"/>
          <w:bCs/>
          <w:sz w:val="24"/>
        </w:rPr>
        <w:t>2、按照周口市交易中心规定，本项目投标人所需提供原件在评标时无需提供，仅作为采购单位核实时使用，评审委员会评审时仅以投标人投标文件中扫描件为准。</w:t>
      </w:r>
    </w:p>
    <w:p>
      <w:pPr>
        <w:pStyle w:val="26"/>
        <w:spacing w:line="360" w:lineRule="auto"/>
        <w:ind w:right="-10" w:firstLine="482" w:firstLineChars="200"/>
        <w:rPr>
          <w:rFonts w:hint="eastAsia" w:ascii="宋体" w:hAnsi="宋体" w:eastAsia="宋体" w:cs="宋体"/>
          <w:bCs/>
          <w:sz w:val="24"/>
        </w:rPr>
      </w:pPr>
      <w:r>
        <w:rPr>
          <w:rFonts w:hint="eastAsia" w:ascii="宋体" w:hAnsi="宋体" w:eastAsia="宋体" w:cs="宋体"/>
          <w:b/>
          <w:bCs/>
          <w:sz w:val="24"/>
        </w:rPr>
        <w:t>第十条</w:t>
      </w:r>
      <w:r>
        <w:rPr>
          <w:rFonts w:hint="eastAsia" w:ascii="宋体" w:hAnsi="宋体" w:eastAsia="宋体" w:cs="宋体"/>
          <w:bCs/>
          <w:sz w:val="24"/>
        </w:rPr>
        <w:t xml:space="preserve"> 评委独立评审后，评委会对投标人某项指标如有不同意见，按照少数服从多数的原则，确定该项指标是否通过。</w:t>
      </w:r>
    </w:p>
    <w:p>
      <w:pPr>
        <w:spacing w:line="360" w:lineRule="auto"/>
        <w:ind w:firstLine="482" w:firstLineChars="200"/>
        <w:rPr>
          <w:rFonts w:hint="eastAsia" w:ascii="宋体" w:hAnsi="宋体" w:cs="宋体"/>
          <w:bCs/>
          <w:sz w:val="24"/>
        </w:rPr>
      </w:pPr>
      <w:r>
        <w:rPr>
          <w:rFonts w:hint="eastAsia" w:ascii="宋体" w:hAnsi="宋体" w:cs="宋体"/>
          <w:b/>
          <w:bCs/>
          <w:sz w:val="24"/>
        </w:rPr>
        <w:t>第十一条</w:t>
      </w:r>
      <w:r>
        <w:rPr>
          <w:rFonts w:hint="eastAsia" w:ascii="宋体" w:hAnsi="宋体" w:cs="宋体"/>
          <w:bCs/>
          <w:sz w:val="24"/>
        </w:rPr>
        <w:t xml:space="preserve"> 商务、技术满足招标文件要求，综合得分最高的投标人将作为中标候选人。如果综合得分中出现两家或两家以上相同者，投标报价较低者优先中标，报价也相同的，由采购人自行确定。</w:t>
      </w:r>
    </w:p>
    <w:p>
      <w:pPr>
        <w:pStyle w:val="26"/>
        <w:spacing w:line="360" w:lineRule="auto"/>
        <w:ind w:right="-10" w:firstLine="482"/>
        <w:rPr>
          <w:rFonts w:hint="eastAsia" w:ascii="宋体" w:hAnsi="宋体" w:eastAsia="宋体" w:cs="宋体"/>
          <w:bCs/>
          <w:sz w:val="24"/>
        </w:rPr>
      </w:pPr>
      <w:r>
        <w:rPr>
          <w:rFonts w:hint="eastAsia" w:ascii="宋体" w:hAnsi="宋体" w:eastAsia="宋体" w:cs="宋体"/>
          <w:b/>
          <w:bCs/>
          <w:sz w:val="24"/>
        </w:rPr>
        <w:t>第十二条</w:t>
      </w:r>
      <w:r>
        <w:rPr>
          <w:rFonts w:hint="eastAsia" w:ascii="宋体" w:hAnsi="宋体" w:eastAsia="宋体" w:cs="宋体"/>
          <w:bCs/>
          <w:sz w:val="24"/>
        </w:rPr>
        <w:t xml:space="preserve"> 评委会在评标过程中发现的问题，应当及时作出处理或者向采购人提出处理建议，并作书面记录。</w:t>
      </w:r>
    </w:p>
    <w:p>
      <w:pPr>
        <w:adjustRightInd w:val="0"/>
        <w:snapToGrid w:val="0"/>
        <w:spacing w:line="360" w:lineRule="auto"/>
        <w:ind w:right="-10" w:firstLine="482" w:firstLineChars="200"/>
        <w:rPr>
          <w:rFonts w:hint="eastAsia" w:ascii="宋体" w:hAnsi="宋体" w:cs="宋体"/>
          <w:bCs/>
          <w:sz w:val="24"/>
        </w:rPr>
      </w:pPr>
      <w:r>
        <w:rPr>
          <w:rFonts w:hint="eastAsia" w:ascii="宋体" w:hAnsi="宋体" w:cs="宋体"/>
          <w:b/>
          <w:bCs/>
          <w:sz w:val="24"/>
        </w:rPr>
        <w:t>第十三条</w:t>
      </w:r>
      <w:r>
        <w:rPr>
          <w:rFonts w:hint="eastAsia" w:ascii="宋体" w:hAnsi="宋体" w:cs="宋体"/>
          <w:bCs/>
          <w:sz w:val="24"/>
        </w:rPr>
        <w:t xml:space="preserve"> 评标后，评委会应填写评审记录并签字。评审记录是评委会根据全体评标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pPr>
        <w:rPr>
          <w:rFonts w:hint="eastAsia" w:ascii="宋体" w:hAnsi="宋体" w:cs="宋体"/>
        </w:rPr>
      </w:pPr>
    </w:p>
    <w:p>
      <w:pPr>
        <w:adjustRightInd w:val="0"/>
        <w:snapToGrid w:val="0"/>
        <w:spacing w:line="360" w:lineRule="auto"/>
        <w:jc w:val="center"/>
        <w:rPr>
          <w:rFonts w:hint="eastAsia" w:ascii="宋体" w:hAnsi="宋体" w:cs="宋体"/>
          <w:b/>
          <w:bCs/>
          <w:sz w:val="24"/>
        </w:rPr>
      </w:pPr>
      <w:bookmarkStart w:id="56" w:name="_Toc40_WPSOffice_Level2"/>
      <w:r>
        <w:rPr>
          <w:rFonts w:hint="eastAsia" w:ascii="宋体" w:hAnsi="宋体" w:cs="宋体"/>
          <w:b/>
          <w:bCs/>
          <w:sz w:val="24"/>
        </w:rPr>
        <w:t>三．评标纪律</w:t>
      </w:r>
      <w:bookmarkEnd w:id="56"/>
    </w:p>
    <w:p>
      <w:pPr>
        <w:adjustRightInd w:val="0"/>
        <w:snapToGrid w:val="0"/>
        <w:spacing w:line="360" w:lineRule="auto"/>
        <w:ind w:right="-10" w:firstLine="482" w:firstLineChars="200"/>
        <w:rPr>
          <w:rFonts w:hint="eastAsia" w:ascii="宋体" w:hAnsi="宋体" w:cs="宋体"/>
          <w:sz w:val="24"/>
        </w:rPr>
      </w:pPr>
      <w:r>
        <w:rPr>
          <w:rFonts w:hint="eastAsia" w:ascii="宋体" w:hAnsi="宋体" w:cs="宋体"/>
          <w:b/>
          <w:bCs/>
          <w:sz w:val="24"/>
        </w:rPr>
        <w:t>第十四条</w:t>
      </w:r>
      <w:r>
        <w:rPr>
          <w:rFonts w:hint="eastAsia" w:ascii="宋体" w:hAnsi="宋体" w:cs="宋体"/>
          <w:bCs/>
          <w:sz w:val="24"/>
        </w:rPr>
        <w:t xml:space="preserve"> 评委会和评标工作人员应严格遵守国家的法律、法规和规章制度；</w:t>
      </w:r>
      <w:r>
        <w:rPr>
          <w:rFonts w:hint="eastAsia" w:ascii="宋体" w:hAnsi="宋体" w:cs="宋体"/>
          <w:sz w:val="24"/>
        </w:rPr>
        <w:t>严格按照本次招标文件进行评标；公正廉洁、不徇私情，不得损害国家利益；保护招、投标人的合法权益。</w:t>
      </w:r>
    </w:p>
    <w:p>
      <w:pPr>
        <w:adjustRightInd w:val="0"/>
        <w:snapToGrid w:val="0"/>
        <w:spacing w:line="360" w:lineRule="auto"/>
        <w:ind w:right="-10" w:firstLine="482" w:firstLineChars="200"/>
        <w:rPr>
          <w:rFonts w:hint="eastAsia" w:ascii="宋体" w:hAnsi="宋体" w:cs="宋体"/>
          <w:sz w:val="24"/>
        </w:rPr>
      </w:pPr>
      <w:r>
        <w:rPr>
          <w:rFonts w:hint="eastAsia" w:ascii="宋体" w:hAnsi="宋体" w:cs="宋体"/>
          <w:b/>
          <w:bCs/>
          <w:sz w:val="24"/>
        </w:rPr>
        <w:t xml:space="preserve">第十五条 </w:t>
      </w:r>
      <w:r>
        <w:rPr>
          <w:rFonts w:hint="eastAsia" w:ascii="宋体" w:hAnsi="宋体" w:cs="宋体"/>
          <w:sz w:val="24"/>
        </w:rPr>
        <w:t>在评标过程中，评委必须对评标情况严格保密，任何人不得将评标情况透露给与投标人有关的单位和个人。如有违反评标纪律的情况发生，将依据《中华人民共和国政府采购法》及其他有关法律法规的规定，追究有关当事人的责任。</w:t>
      </w:r>
    </w:p>
    <w:p>
      <w:pPr>
        <w:spacing w:line="360" w:lineRule="auto"/>
        <w:ind w:firstLine="482" w:firstLineChars="200"/>
        <w:jc w:val="left"/>
        <w:rPr>
          <w:rFonts w:hint="eastAsia" w:ascii="宋体" w:hAnsi="宋体" w:cs="宋体"/>
          <w:sz w:val="24"/>
        </w:rPr>
      </w:pPr>
      <w:r>
        <w:rPr>
          <w:rFonts w:hint="eastAsia" w:ascii="宋体" w:hAnsi="宋体" w:cs="宋体"/>
          <w:b/>
          <w:sz w:val="24"/>
        </w:rPr>
        <w:t>第十六条</w:t>
      </w:r>
      <w:r>
        <w:rPr>
          <w:rFonts w:hint="eastAsia" w:ascii="宋体" w:hAnsi="宋体" w:cs="宋体"/>
          <w:sz w:val="24"/>
        </w:rPr>
        <w:t xml:space="preserve"> 在招标采购中，出现下列情形之一的，应予废标：</w:t>
      </w:r>
    </w:p>
    <w:p>
      <w:pPr>
        <w:spacing w:line="360" w:lineRule="auto"/>
        <w:ind w:firstLine="480" w:firstLineChars="200"/>
        <w:rPr>
          <w:rFonts w:hint="eastAsia" w:ascii="宋体" w:hAnsi="宋体" w:cs="宋体"/>
          <w:sz w:val="24"/>
        </w:rPr>
      </w:pPr>
      <w:r>
        <w:rPr>
          <w:rFonts w:hint="eastAsia" w:ascii="宋体" w:hAnsi="宋体" w:cs="宋体"/>
          <w:sz w:val="24"/>
        </w:rPr>
        <w:t>1.出现影响采购公正的违法、违规行为的。</w:t>
      </w:r>
    </w:p>
    <w:p>
      <w:pPr>
        <w:spacing w:line="360" w:lineRule="auto"/>
        <w:ind w:firstLine="480" w:firstLineChars="200"/>
        <w:rPr>
          <w:rFonts w:hint="eastAsia" w:ascii="宋体" w:hAnsi="宋体" w:cs="宋体"/>
          <w:sz w:val="24"/>
        </w:rPr>
      </w:pPr>
      <w:r>
        <w:rPr>
          <w:rFonts w:hint="eastAsia" w:ascii="宋体" w:hAnsi="宋体" w:cs="宋体"/>
          <w:sz w:val="24"/>
        </w:rPr>
        <w:t>2.投标时有弄虚作假的行为。</w:t>
      </w:r>
    </w:p>
    <w:p>
      <w:pPr>
        <w:spacing w:line="360" w:lineRule="auto"/>
        <w:ind w:firstLine="475" w:firstLineChars="197"/>
        <w:rPr>
          <w:rFonts w:hint="eastAsia" w:ascii="宋体" w:hAnsi="宋体" w:cs="宋体"/>
          <w:sz w:val="24"/>
        </w:rPr>
      </w:pPr>
      <w:r>
        <w:rPr>
          <w:rFonts w:hint="eastAsia" w:ascii="宋体" w:hAnsi="宋体" w:cs="宋体"/>
          <w:b/>
          <w:sz w:val="24"/>
        </w:rPr>
        <w:t xml:space="preserve">第十七条 </w:t>
      </w:r>
      <w:r>
        <w:rPr>
          <w:rFonts w:hint="eastAsia" w:ascii="宋体" w:hAnsi="宋体" w:cs="宋体"/>
          <w:sz w:val="24"/>
        </w:rPr>
        <w:t>在投标过程中，出现下列情况之一的，按照无效投标处理：</w:t>
      </w:r>
    </w:p>
    <w:p>
      <w:pPr>
        <w:spacing w:line="360" w:lineRule="auto"/>
        <w:ind w:firstLine="480" w:firstLineChars="200"/>
        <w:rPr>
          <w:rFonts w:hint="eastAsia" w:ascii="宋体" w:hAnsi="宋体" w:cs="宋体"/>
          <w:sz w:val="24"/>
        </w:rPr>
      </w:pPr>
      <w:r>
        <w:rPr>
          <w:rFonts w:hint="eastAsia" w:ascii="宋体" w:hAnsi="宋体" w:cs="宋体"/>
          <w:sz w:val="24"/>
        </w:rPr>
        <w:t>1.未按照招标文件规定要求签署、签章的</w:t>
      </w:r>
      <w:r>
        <w:rPr>
          <w:rFonts w:hint="eastAsia" w:ascii="宋体" w:hAnsi="宋体" w:cs="宋体"/>
          <w:b/>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授权代表的名字直接打印在签章处即可）；</w:t>
      </w:r>
    </w:p>
    <w:p>
      <w:pPr>
        <w:spacing w:line="360" w:lineRule="auto"/>
        <w:ind w:firstLine="480" w:firstLineChars="200"/>
        <w:rPr>
          <w:rFonts w:hint="eastAsia" w:ascii="宋体" w:hAnsi="宋体" w:cs="宋体"/>
          <w:sz w:val="24"/>
        </w:rPr>
      </w:pPr>
      <w:r>
        <w:rPr>
          <w:rFonts w:hint="eastAsia" w:ascii="宋体" w:hAnsi="宋体" w:cs="宋体"/>
          <w:sz w:val="24"/>
        </w:rPr>
        <w:t>2.不具备招标文件中规定资格要求的；</w:t>
      </w:r>
    </w:p>
    <w:p>
      <w:pPr>
        <w:spacing w:line="360" w:lineRule="auto"/>
        <w:ind w:firstLine="480" w:firstLineChars="200"/>
        <w:rPr>
          <w:rFonts w:hint="eastAsia" w:ascii="宋体" w:hAnsi="宋体" w:cs="宋体"/>
          <w:sz w:val="24"/>
        </w:rPr>
      </w:pPr>
      <w:r>
        <w:rPr>
          <w:rFonts w:hint="eastAsia" w:ascii="宋体" w:hAnsi="宋体" w:cs="宋体"/>
          <w:sz w:val="24"/>
        </w:rPr>
        <w:t>3.不符合法律、法规和招标文件中规定的其他实质性要求的。</w:t>
      </w:r>
    </w:p>
    <w:p>
      <w:pPr>
        <w:spacing w:line="360" w:lineRule="auto"/>
        <w:ind w:firstLine="480" w:firstLineChars="200"/>
        <w:rPr>
          <w:rFonts w:hint="eastAsia" w:ascii="宋体" w:hAnsi="宋体" w:cs="宋体"/>
          <w:sz w:val="24"/>
        </w:rPr>
      </w:pPr>
      <w:r>
        <w:rPr>
          <w:rFonts w:hint="eastAsia" w:ascii="宋体" w:hAnsi="宋体" w:cs="宋体"/>
          <w:sz w:val="24"/>
        </w:rPr>
        <w:t>4.投标人的报价超过了采购预算，采购人不能支付的；</w:t>
      </w:r>
    </w:p>
    <w:p>
      <w:pPr>
        <w:spacing w:line="360" w:lineRule="auto"/>
        <w:ind w:firstLine="480" w:firstLineChars="200"/>
        <w:rPr>
          <w:rFonts w:hint="eastAsia" w:ascii="宋体" w:hAnsi="宋体" w:cs="宋体"/>
          <w:sz w:val="24"/>
        </w:rPr>
      </w:pPr>
      <w:r>
        <w:rPr>
          <w:rFonts w:hint="eastAsia" w:ascii="宋体" w:hAnsi="宋体" w:cs="宋体"/>
          <w:sz w:val="24"/>
        </w:rPr>
        <w:t>5.投标文件附有招标人不能接受的条件；</w:t>
      </w:r>
    </w:p>
    <w:p>
      <w:pPr>
        <w:spacing w:line="360" w:lineRule="auto"/>
        <w:ind w:firstLine="480" w:firstLineChars="200"/>
        <w:rPr>
          <w:rFonts w:hint="eastAsia" w:ascii="宋体" w:hAnsi="宋体" w:cs="宋体"/>
          <w:sz w:val="24"/>
        </w:rPr>
      </w:pPr>
      <w:r>
        <w:rPr>
          <w:rFonts w:hint="eastAsia" w:ascii="宋体" w:hAnsi="宋体" w:cs="宋体"/>
          <w:sz w:val="24"/>
        </w:rPr>
        <w:t>6.投标文件中对同一服务或标段提供选择性报价的；</w:t>
      </w:r>
    </w:p>
    <w:p>
      <w:pPr>
        <w:spacing w:line="360" w:lineRule="auto"/>
        <w:ind w:firstLine="480" w:firstLineChars="200"/>
        <w:rPr>
          <w:rFonts w:hint="eastAsia" w:ascii="宋体" w:hAnsi="宋体" w:cs="宋体"/>
          <w:sz w:val="24"/>
        </w:rPr>
      </w:pPr>
      <w:r>
        <w:rPr>
          <w:rFonts w:hint="eastAsia" w:ascii="宋体" w:hAnsi="宋体" w:cs="宋体"/>
          <w:sz w:val="24"/>
        </w:rPr>
        <w:t>7.商务偏差表或技术偏差表存在弄虚作假的；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8.不同供应商的电子投标（响应）文件上传计算机的网卡 MAC 地址、CPU 序列号和硬盘序列号等硬件信息相同的;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9.不同供应商的投标（响应）文件由同一电子设备编制，打印、复印、加密或者上传的；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10.不同供应商的投标（响应）文件由同一人送达或者分发，或者不同供应商联系人为同一人或不同联系人的联系电话一致的；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11.不同供应商的投标（响应）文件的内容存在两处以上细节错误一致；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12.不同供应商的法定代表人、委托代理人、项目经理、项目负责人等由同一个单位缴纳社会保险或者领取报酬的；</w:t>
      </w:r>
    </w:p>
    <w:p>
      <w:pPr>
        <w:spacing w:line="360" w:lineRule="auto"/>
        <w:ind w:firstLine="480" w:firstLineChars="200"/>
        <w:rPr>
          <w:rFonts w:hint="eastAsia"/>
          <w:color w:val="000000"/>
        </w:rPr>
      </w:pPr>
      <w:r>
        <w:rPr>
          <w:rFonts w:hint="eastAsia" w:ascii="宋体" w:hAnsi="宋体" w:cs="宋体"/>
          <w:color w:val="000000"/>
          <w:sz w:val="24"/>
        </w:rPr>
        <w:t>13.不同供应商投标（响应）文件中法定代表人或者负责人签字出自同一人之手。</w:t>
      </w:r>
    </w:p>
    <w:p>
      <w:pPr>
        <w:spacing w:line="360" w:lineRule="auto"/>
        <w:ind w:firstLine="482" w:firstLineChars="200"/>
        <w:rPr>
          <w:rFonts w:hint="eastAsia" w:ascii="宋体" w:hAnsi="宋体" w:cs="宋体"/>
          <w:sz w:val="24"/>
        </w:rPr>
      </w:pPr>
      <w:r>
        <w:rPr>
          <w:rFonts w:hint="eastAsia" w:ascii="宋体" w:hAnsi="宋体" w:cs="宋体"/>
          <w:b/>
          <w:sz w:val="24"/>
        </w:rPr>
        <w:t>第十</w:t>
      </w:r>
      <w:r>
        <w:rPr>
          <w:rFonts w:hint="eastAsia" w:ascii="宋体" w:hAnsi="宋体" w:cs="宋体"/>
          <w:b/>
          <w:bCs/>
          <w:sz w:val="24"/>
        </w:rPr>
        <w:t>八</w:t>
      </w:r>
      <w:r>
        <w:rPr>
          <w:rFonts w:hint="eastAsia" w:ascii="宋体" w:hAnsi="宋体" w:cs="宋体"/>
          <w:b/>
          <w:sz w:val="24"/>
        </w:rPr>
        <w:t xml:space="preserve">条 </w:t>
      </w:r>
      <w:r>
        <w:rPr>
          <w:rFonts w:hint="eastAsia" w:ascii="宋体" w:hAnsi="宋体" w:cs="宋体"/>
          <w:sz w:val="24"/>
        </w:rPr>
        <w:t>在投标文件中，出现下列情形之一的，其投标有可能被拒绝：</w:t>
      </w:r>
    </w:p>
    <w:p>
      <w:pPr>
        <w:spacing w:line="360" w:lineRule="auto"/>
        <w:ind w:firstLine="480" w:firstLineChars="200"/>
        <w:rPr>
          <w:rFonts w:hint="eastAsia" w:ascii="宋体" w:hAnsi="宋体" w:cs="宋体"/>
          <w:sz w:val="24"/>
        </w:rPr>
      </w:pPr>
      <w:r>
        <w:rPr>
          <w:rFonts w:hint="eastAsia" w:ascii="宋体" w:hAnsi="宋体" w:cs="宋体"/>
          <w:sz w:val="24"/>
        </w:rPr>
        <w:t>1.服务工期不确切、不肯定的投标；</w:t>
      </w:r>
    </w:p>
    <w:p>
      <w:pPr>
        <w:spacing w:line="360" w:lineRule="auto"/>
        <w:ind w:firstLine="480" w:firstLineChars="200"/>
        <w:rPr>
          <w:rFonts w:hint="eastAsia" w:ascii="宋体" w:hAnsi="宋体" w:cs="宋体"/>
          <w:sz w:val="24"/>
        </w:rPr>
      </w:pPr>
      <w:r>
        <w:rPr>
          <w:rFonts w:hint="eastAsia" w:ascii="宋体" w:hAnsi="宋体" w:cs="宋体"/>
          <w:sz w:val="24"/>
        </w:rPr>
        <w:t xml:space="preserve">2.对售后服务、付款方式不满足招标文件要求的；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3.投标人没有实质性响应招标文件的要求和条件的；</w:t>
      </w:r>
    </w:p>
    <w:p>
      <w:pPr>
        <w:tabs>
          <w:tab w:val="left" w:pos="273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4.评标委员会认为投标人的报价明显低于其他通过符合性审查投标人的报价，有可能影响产品质量或者不能诚信履约的；且提供的书面说明和相关证明材料；投标人不能证明其报价合理性的，评标委员会应当将其作为无效投标处理。</w:t>
      </w:r>
    </w:p>
    <w:p>
      <w:pPr>
        <w:spacing w:line="360" w:lineRule="auto"/>
        <w:ind w:firstLine="482" w:firstLineChars="200"/>
        <w:rPr>
          <w:rFonts w:hint="eastAsia" w:ascii="宋体" w:hAnsi="宋体" w:cs="宋体"/>
          <w:sz w:val="24"/>
        </w:rPr>
      </w:pPr>
      <w:r>
        <w:rPr>
          <w:rFonts w:hint="eastAsia" w:ascii="宋体" w:hAnsi="宋体" w:cs="宋体"/>
          <w:b/>
          <w:sz w:val="24"/>
        </w:rPr>
        <w:t>第十九条</w:t>
      </w:r>
      <w:r>
        <w:rPr>
          <w:rFonts w:hint="eastAsia" w:ascii="宋体" w:hAnsi="宋体" w:cs="宋体"/>
          <w:sz w:val="24"/>
        </w:rPr>
        <w:t xml:space="preserve"> 本评标办法的解释权属于采购人。</w:t>
      </w:r>
    </w:p>
    <w:p>
      <w:pPr>
        <w:spacing w:line="360" w:lineRule="auto"/>
        <w:rPr>
          <w:rFonts w:hint="eastAsia" w:ascii="宋体" w:hAnsi="宋体" w:cs="宋体"/>
          <w:sz w:val="24"/>
        </w:rPr>
      </w:pPr>
    </w:p>
    <w:p>
      <w:pPr>
        <w:pStyle w:val="3"/>
        <w:spacing w:before="0" w:after="0" w:line="400" w:lineRule="exact"/>
        <w:rPr>
          <w:rFonts w:hint="eastAsia" w:ascii="宋体" w:hAnsi="宋体" w:cs="宋体"/>
          <w:sz w:val="32"/>
        </w:rPr>
      </w:pPr>
      <w:bookmarkStart w:id="57" w:name="_Toc527725920"/>
      <w:r>
        <w:rPr>
          <w:rFonts w:hint="eastAsia" w:ascii="宋体" w:hAnsi="宋体" w:cs="宋体"/>
          <w:sz w:val="32"/>
        </w:rPr>
        <w:br w:type="page"/>
      </w:r>
      <w:bookmarkStart w:id="58" w:name="_Toc19468"/>
      <w:bookmarkStart w:id="59" w:name="_Toc40975440"/>
      <w:bookmarkStart w:id="60" w:name="_Toc19953"/>
      <w:bookmarkStart w:id="61" w:name="_Toc28050"/>
      <w:r>
        <w:rPr>
          <w:rFonts w:hint="eastAsia" w:ascii="宋体" w:hAnsi="宋体" w:cs="宋体"/>
          <w:sz w:val="32"/>
        </w:rPr>
        <w:t>招标文件第二部分</w:t>
      </w:r>
      <w:bookmarkEnd w:id="57"/>
      <w:bookmarkEnd w:id="58"/>
      <w:bookmarkEnd w:id="59"/>
      <w:bookmarkEnd w:id="60"/>
      <w:bookmarkEnd w:id="61"/>
    </w:p>
    <w:p>
      <w:pPr>
        <w:pStyle w:val="4"/>
        <w:spacing w:line="500" w:lineRule="exact"/>
        <w:ind w:firstLine="0"/>
        <w:rPr>
          <w:rFonts w:hint="eastAsia" w:ascii="宋体" w:hAnsi="宋体" w:eastAsia="宋体" w:cs="宋体"/>
        </w:rPr>
      </w:pPr>
      <w:bookmarkStart w:id="62" w:name="_Toc527725921"/>
      <w:bookmarkStart w:id="63" w:name="_Toc20612"/>
      <w:r>
        <w:rPr>
          <w:rFonts w:hint="eastAsia" w:ascii="宋体" w:hAnsi="宋体" w:eastAsia="宋体" w:cs="宋体"/>
        </w:rPr>
        <w:t>第五章 投标人须知</w:t>
      </w:r>
      <w:bookmarkEnd w:id="62"/>
      <w:bookmarkEnd w:id="63"/>
    </w:p>
    <w:p>
      <w:pPr>
        <w:pStyle w:val="5"/>
        <w:spacing w:line="500" w:lineRule="exact"/>
        <w:rPr>
          <w:rFonts w:hint="eastAsia" w:hAnsi="宋体" w:cs="宋体"/>
          <w:sz w:val="28"/>
        </w:rPr>
      </w:pPr>
      <w:bookmarkStart w:id="64" w:name="_Hlt509650955"/>
      <w:bookmarkEnd w:id="64"/>
      <w:bookmarkStart w:id="65" w:name="_Hlt509649998"/>
      <w:bookmarkEnd w:id="65"/>
      <w:bookmarkStart w:id="66" w:name="_Hlt509650686"/>
      <w:bookmarkEnd w:id="66"/>
      <w:bookmarkStart w:id="67" w:name="_Hlt509649722"/>
      <w:bookmarkEnd w:id="67"/>
      <w:bookmarkStart w:id="68" w:name="_Hlt509650126"/>
      <w:bookmarkEnd w:id="68"/>
      <w:bookmarkStart w:id="69" w:name="_Hlt526418143"/>
      <w:bookmarkEnd w:id="69"/>
      <w:bookmarkStart w:id="70" w:name="_Toc40975442"/>
      <w:bookmarkStart w:id="71" w:name="_Toc527725922"/>
      <w:bookmarkStart w:id="72" w:name="_Toc10068"/>
      <w:bookmarkStart w:id="73" w:name="_Toc32160"/>
      <w:bookmarkStart w:id="74" w:name="_Toc23614"/>
      <w:r>
        <w:rPr>
          <w:rFonts w:hint="eastAsia" w:hAnsi="宋体" w:cs="宋体"/>
          <w:sz w:val="28"/>
        </w:rPr>
        <w:t>一．总    则</w:t>
      </w:r>
      <w:bookmarkEnd w:id="70"/>
      <w:bookmarkEnd w:id="71"/>
      <w:bookmarkEnd w:id="72"/>
      <w:bookmarkEnd w:id="73"/>
      <w:bookmarkEnd w:id="74"/>
    </w:p>
    <w:p>
      <w:pPr>
        <w:spacing w:line="360" w:lineRule="auto"/>
        <w:ind w:firstLine="550"/>
        <w:rPr>
          <w:rFonts w:hint="eastAsia" w:ascii="宋体" w:hAnsi="宋体" w:cs="宋体"/>
          <w:b/>
          <w:sz w:val="24"/>
        </w:rPr>
      </w:pPr>
      <w:r>
        <w:rPr>
          <w:rFonts w:hint="eastAsia" w:ascii="宋体" w:hAnsi="宋体" w:cs="宋体"/>
          <w:b/>
          <w:sz w:val="24"/>
        </w:rPr>
        <w:t>1.适用范围</w:t>
      </w:r>
    </w:p>
    <w:p>
      <w:pPr>
        <w:spacing w:line="360" w:lineRule="auto"/>
        <w:ind w:firstLine="550"/>
        <w:rPr>
          <w:rFonts w:hint="eastAsia" w:ascii="宋体" w:hAnsi="宋体" w:cs="宋体"/>
          <w:sz w:val="24"/>
        </w:rPr>
      </w:pPr>
      <w:r>
        <w:rPr>
          <w:rFonts w:hint="eastAsia" w:ascii="宋体" w:hAnsi="宋体" w:cs="宋体"/>
          <w:sz w:val="24"/>
        </w:rPr>
        <w:t>1.1本招标文件仅适用于本次公开招标所述的服务项目采购。</w:t>
      </w:r>
    </w:p>
    <w:p>
      <w:pPr>
        <w:spacing w:line="360" w:lineRule="auto"/>
        <w:ind w:firstLine="550"/>
        <w:rPr>
          <w:rFonts w:hint="eastAsia" w:ascii="宋体" w:hAnsi="宋体" w:cs="宋体"/>
          <w:b/>
          <w:sz w:val="24"/>
        </w:rPr>
      </w:pPr>
      <w:r>
        <w:rPr>
          <w:rFonts w:hint="eastAsia" w:ascii="宋体" w:hAnsi="宋体" w:cs="宋体"/>
          <w:b/>
          <w:sz w:val="24"/>
        </w:rPr>
        <w:t>2.有关定义</w:t>
      </w:r>
    </w:p>
    <w:p>
      <w:pPr>
        <w:spacing w:line="360" w:lineRule="auto"/>
        <w:ind w:firstLine="550"/>
        <w:rPr>
          <w:rFonts w:hint="eastAsia" w:ascii="宋体" w:hAnsi="宋体" w:cs="宋体"/>
          <w:sz w:val="24"/>
        </w:rPr>
      </w:pPr>
      <w:r>
        <w:rPr>
          <w:rFonts w:hint="eastAsia" w:ascii="宋体" w:hAnsi="宋体" w:cs="宋体"/>
          <w:sz w:val="24"/>
        </w:rPr>
        <w:t>2.1招标人（采购人）：</w:t>
      </w:r>
      <w:r>
        <w:rPr>
          <w:rFonts w:hint="eastAsia" w:ascii="宋体" w:hAnsi="宋体" w:cs="宋体"/>
          <w:sz w:val="24"/>
          <w:szCs w:val="24"/>
        </w:rPr>
        <w:t>周口市机关事务中心</w:t>
      </w:r>
      <w:r>
        <w:rPr>
          <w:rFonts w:hint="eastAsia" w:ascii="宋体" w:hAnsi="宋体" w:cs="宋体"/>
          <w:sz w:val="24"/>
        </w:rPr>
        <w:t>。</w:t>
      </w:r>
    </w:p>
    <w:p>
      <w:pPr>
        <w:spacing w:line="360" w:lineRule="auto"/>
        <w:ind w:firstLine="550"/>
        <w:rPr>
          <w:rFonts w:hint="eastAsia" w:ascii="宋体" w:hAnsi="宋体" w:cs="宋体"/>
          <w:sz w:val="24"/>
        </w:rPr>
      </w:pPr>
      <w:r>
        <w:rPr>
          <w:rFonts w:hint="eastAsia" w:ascii="宋体" w:hAnsi="宋体" w:cs="宋体"/>
          <w:sz w:val="24"/>
        </w:rPr>
        <w:t>2.2招标代理机构（集中采购机构）：系指周口市公共资源交易中心政府采购中心，以下简称“采购中心”。</w:t>
      </w:r>
    </w:p>
    <w:p>
      <w:pPr>
        <w:spacing w:line="360" w:lineRule="auto"/>
        <w:ind w:firstLine="550"/>
        <w:rPr>
          <w:rFonts w:hint="eastAsia" w:ascii="宋体" w:hAnsi="宋体" w:cs="宋体"/>
          <w:sz w:val="24"/>
        </w:rPr>
      </w:pPr>
      <w:r>
        <w:rPr>
          <w:rFonts w:hint="eastAsia" w:ascii="宋体" w:hAnsi="宋体" w:cs="宋体"/>
          <w:sz w:val="24"/>
        </w:rPr>
        <w:t>2.3政府采购监督管理部门：系指</w:t>
      </w:r>
      <w:r>
        <w:rPr>
          <w:rFonts w:hint="eastAsia" w:ascii="宋体" w:hAnsi="宋体" w:cs="宋体"/>
          <w:sz w:val="24"/>
          <w:szCs w:val="24"/>
        </w:rPr>
        <w:t>周口市财政局采购科</w:t>
      </w:r>
      <w:r>
        <w:rPr>
          <w:rFonts w:hint="eastAsia" w:ascii="宋体" w:hAnsi="宋体" w:cs="宋体"/>
          <w:sz w:val="24"/>
        </w:rPr>
        <w:t>。</w:t>
      </w:r>
    </w:p>
    <w:p>
      <w:pPr>
        <w:spacing w:line="360" w:lineRule="auto"/>
        <w:ind w:firstLine="550"/>
        <w:rPr>
          <w:rFonts w:hint="eastAsia" w:ascii="宋体" w:hAnsi="宋体" w:cs="宋体"/>
          <w:sz w:val="24"/>
        </w:rPr>
      </w:pPr>
      <w:r>
        <w:rPr>
          <w:rFonts w:hint="eastAsia" w:ascii="宋体" w:hAnsi="宋体" w:cs="宋体"/>
          <w:sz w:val="24"/>
        </w:rPr>
        <w:t>2.4投标人：系指已经在周口市公共资源交易中心网上下载招标文件的投标人，且已经提交或准备提交本次投标文件的制造商、供应商或服务商。</w:t>
      </w:r>
    </w:p>
    <w:p>
      <w:pPr>
        <w:spacing w:line="360" w:lineRule="auto"/>
        <w:ind w:firstLine="550"/>
        <w:rPr>
          <w:rFonts w:hint="eastAsia" w:ascii="宋体" w:hAnsi="宋体" w:cs="宋体"/>
          <w:sz w:val="24"/>
        </w:rPr>
      </w:pPr>
      <w:r>
        <w:rPr>
          <w:rFonts w:hint="eastAsia" w:ascii="宋体" w:hAnsi="宋体" w:cs="宋体"/>
          <w:sz w:val="24"/>
        </w:rPr>
        <w:t>2.服务：系指本项目所采购内容。</w:t>
      </w:r>
    </w:p>
    <w:p>
      <w:pPr>
        <w:spacing w:line="360" w:lineRule="auto"/>
        <w:ind w:firstLine="550"/>
        <w:rPr>
          <w:rFonts w:hint="eastAsia" w:ascii="宋体" w:hAnsi="宋体" w:cs="宋体"/>
          <w:sz w:val="24"/>
        </w:rPr>
      </w:pPr>
      <w:r>
        <w:rPr>
          <w:rFonts w:hint="eastAsia" w:ascii="宋体" w:hAnsi="宋体" w:cs="宋体"/>
          <w:sz w:val="24"/>
        </w:rPr>
        <w:t>2.6业绩：系指符合本招标文件规定且已供货（安装）完毕的合同及相关证明。</w:t>
      </w:r>
    </w:p>
    <w:p>
      <w:pPr>
        <w:spacing w:line="360" w:lineRule="auto"/>
        <w:ind w:firstLine="550"/>
        <w:rPr>
          <w:rFonts w:hint="eastAsia" w:ascii="宋体" w:hAnsi="宋体" w:cs="宋体"/>
          <w:sz w:val="24"/>
        </w:rPr>
      </w:pPr>
      <w:r>
        <w:rPr>
          <w:rFonts w:hint="eastAsia" w:ascii="宋体" w:hAnsi="宋体" w:cs="宋体"/>
          <w:sz w:val="24"/>
        </w:rPr>
        <w:t>2.7投标人公章：在电子投标文件中系指投标人电子签章。</w:t>
      </w:r>
    </w:p>
    <w:p>
      <w:pPr>
        <w:spacing w:line="360" w:lineRule="auto"/>
        <w:ind w:firstLine="550"/>
        <w:rPr>
          <w:rFonts w:hint="eastAsia" w:ascii="宋体" w:hAnsi="宋体" w:cs="宋体"/>
          <w:b/>
          <w:sz w:val="24"/>
        </w:rPr>
      </w:pPr>
      <w:r>
        <w:rPr>
          <w:rFonts w:hint="eastAsia" w:ascii="宋体" w:hAnsi="宋体" w:cs="宋体"/>
          <w:b/>
          <w:sz w:val="24"/>
        </w:rPr>
        <w:t>3.投标费用</w:t>
      </w:r>
    </w:p>
    <w:p>
      <w:pPr>
        <w:spacing w:line="360" w:lineRule="auto"/>
        <w:ind w:firstLine="550"/>
        <w:rPr>
          <w:rFonts w:hint="eastAsia" w:ascii="宋体" w:hAnsi="宋体" w:cs="宋体"/>
          <w:sz w:val="24"/>
        </w:rPr>
      </w:pPr>
      <w:r>
        <w:rPr>
          <w:rFonts w:hint="eastAsia" w:ascii="宋体" w:hAnsi="宋体" w:cs="宋体"/>
          <w:sz w:val="24"/>
        </w:rPr>
        <w:t>3.1无论投标结果如何，投标人应自行承担其编制与递交投标文件所涉及的一切费用。</w:t>
      </w:r>
      <w:r>
        <w:rPr>
          <w:rFonts w:hint="eastAsia" w:ascii="宋体" w:hAnsi="宋体" w:cs="宋体"/>
          <w:b/>
          <w:sz w:val="24"/>
        </w:rPr>
        <w:t>评标委员会评标费用由采购人支付。</w:t>
      </w:r>
    </w:p>
    <w:p>
      <w:pPr>
        <w:spacing w:line="360" w:lineRule="auto"/>
        <w:ind w:firstLine="550"/>
        <w:rPr>
          <w:rFonts w:hint="eastAsia" w:ascii="宋体" w:hAnsi="宋体" w:cs="宋体"/>
          <w:b/>
          <w:bCs/>
          <w:sz w:val="24"/>
        </w:rPr>
      </w:pPr>
      <w:r>
        <w:rPr>
          <w:rFonts w:hint="eastAsia" w:ascii="宋体" w:hAnsi="宋体" w:cs="宋体"/>
          <w:b/>
          <w:bCs/>
          <w:sz w:val="24"/>
        </w:rPr>
        <w:t>4.合格的投标人</w:t>
      </w:r>
    </w:p>
    <w:p>
      <w:pPr>
        <w:spacing w:line="360" w:lineRule="auto"/>
        <w:ind w:firstLine="523" w:firstLineChars="218"/>
        <w:rPr>
          <w:rFonts w:hint="eastAsia" w:ascii="宋体" w:hAnsi="宋体" w:cs="宋体"/>
          <w:sz w:val="24"/>
        </w:rPr>
      </w:pPr>
      <w:r>
        <w:rPr>
          <w:rFonts w:hint="eastAsia" w:ascii="宋体" w:hAnsi="宋体" w:cs="宋体"/>
          <w:sz w:val="24"/>
        </w:rPr>
        <w:t>4.1合格的投标人应符合招标文件载明的投标资格。</w:t>
      </w:r>
    </w:p>
    <w:p>
      <w:pPr>
        <w:spacing w:line="360" w:lineRule="auto"/>
        <w:ind w:firstLine="523" w:firstLineChars="218"/>
        <w:rPr>
          <w:rFonts w:hint="eastAsia" w:ascii="宋体" w:hAnsi="宋体" w:cs="宋体"/>
          <w:sz w:val="24"/>
        </w:rPr>
      </w:pPr>
      <w:r>
        <w:rPr>
          <w:rFonts w:hint="eastAsia" w:ascii="宋体" w:hAnsi="宋体" w:cs="宋体"/>
          <w:sz w:val="24"/>
        </w:rPr>
        <w:t>4.2投标人之间如果存在下列情形之一的，不得同时参加同一标段（包别）或者不分标段（包别）的同一项目投标：</w:t>
      </w:r>
    </w:p>
    <w:p>
      <w:pPr>
        <w:spacing w:line="360" w:lineRule="auto"/>
        <w:ind w:left="420" w:leftChars="200" w:firstLine="88" w:firstLineChars="37"/>
        <w:rPr>
          <w:rFonts w:hint="eastAsia" w:ascii="宋体" w:hAnsi="宋体" w:cs="宋体"/>
          <w:sz w:val="24"/>
        </w:rPr>
      </w:pPr>
      <w:r>
        <w:rPr>
          <w:rFonts w:hint="eastAsia" w:ascii="宋体" w:hAnsi="宋体" w:cs="宋体"/>
          <w:sz w:val="24"/>
        </w:rPr>
        <w:t>4.2.1法定代表人为同一个人的两个及两个以上法人；</w:t>
      </w:r>
    </w:p>
    <w:p>
      <w:pPr>
        <w:spacing w:line="360" w:lineRule="auto"/>
        <w:ind w:left="420" w:leftChars="200" w:firstLine="88" w:firstLineChars="37"/>
        <w:rPr>
          <w:rFonts w:hint="eastAsia" w:ascii="宋体" w:hAnsi="宋体" w:cs="宋体"/>
          <w:sz w:val="24"/>
        </w:rPr>
      </w:pPr>
      <w:r>
        <w:rPr>
          <w:rFonts w:hint="eastAsia" w:ascii="宋体" w:hAnsi="宋体" w:cs="宋体"/>
          <w:sz w:val="24"/>
        </w:rPr>
        <w:t>4.2.2母公司、全资子公司及其控股公司；</w:t>
      </w:r>
    </w:p>
    <w:p>
      <w:pPr>
        <w:pStyle w:val="22"/>
        <w:spacing w:line="360" w:lineRule="auto"/>
        <w:ind w:firstLine="480" w:firstLineChars="200"/>
        <w:rPr>
          <w:rFonts w:hint="eastAsia" w:ascii="宋体" w:hAnsi="宋体" w:cs="宋体"/>
          <w:sz w:val="24"/>
        </w:rPr>
      </w:pPr>
      <w:r>
        <w:rPr>
          <w:rFonts w:hint="eastAsia" w:ascii="宋体" w:hAnsi="宋体" w:cs="宋体"/>
          <w:sz w:val="24"/>
        </w:rPr>
        <w:t>4.2.3参加投标的其他组织之间存在特殊的利害关系的；</w:t>
      </w:r>
    </w:p>
    <w:p>
      <w:pPr>
        <w:spacing w:line="360" w:lineRule="auto"/>
        <w:ind w:left="420" w:leftChars="200" w:firstLine="88" w:firstLineChars="37"/>
        <w:rPr>
          <w:rFonts w:hint="eastAsia" w:ascii="宋体" w:hAnsi="宋体" w:cs="宋体"/>
          <w:sz w:val="24"/>
        </w:rPr>
      </w:pPr>
      <w:r>
        <w:rPr>
          <w:rFonts w:hint="eastAsia" w:ascii="宋体" w:hAnsi="宋体" w:cs="宋体"/>
          <w:sz w:val="24"/>
        </w:rPr>
        <w:t>4.2.4法律和行政法规规定的其他情形。</w:t>
      </w:r>
    </w:p>
    <w:p>
      <w:pPr>
        <w:spacing w:line="360" w:lineRule="auto"/>
        <w:ind w:firstLine="550"/>
        <w:rPr>
          <w:rFonts w:hint="eastAsia" w:ascii="宋体" w:hAnsi="宋体" w:cs="宋体"/>
          <w:b/>
          <w:sz w:val="24"/>
        </w:rPr>
      </w:pPr>
      <w:r>
        <w:rPr>
          <w:rFonts w:hint="eastAsia" w:ascii="宋体" w:hAnsi="宋体" w:cs="宋体"/>
          <w:b/>
          <w:sz w:val="24"/>
        </w:rPr>
        <w:t>5.勘察现场</w:t>
      </w:r>
    </w:p>
    <w:p>
      <w:pPr>
        <w:pStyle w:val="2"/>
        <w:adjustRightInd w:val="0"/>
        <w:snapToGrid w:val="0"/>
        <w:spacing w:line="360" w:lineRule="auto"/>
        <w:ind w:firstLine="480" w:firstLineChars="200"/>
        <w:rPr>
          <w:rFonts w:hint="eastAsia" w:hAnsi="宋体" w:cs="宋体"/>
          <w:sz w:val="24"/>
        </w:rPr>
      </w:pPr>
      <w:r>
        <w:rPr>
          <w:rFonts w:hint="eastAsia" w:hAnsi="宋体" w:cs="宋体"/>
          <w:sz w:val="24"/>
        </w:rPr>
        <w:t>5.1为确保项目的顺利实施，请合格的供应商自行和采购人联系，在下载招标文件截止后第一个工作日（联系人：许先生 ，联系电话：13503941765）及时到现场进行实地勘查，并根据现场勘查情况，于当日向采购人提交适合本项目特点的服务方案，经采购人证实投标人已到现场勘察并对投标人提供的服务方案认可后，开具加盖采购单位公章的勘察证明函，投标人将证明函原件放在投标响应文件中（电子标为原件扫描件）。</w:t>
      </w:r>
    </w:p>
    <w:p>
      <w:pPr>
        <w:spacing w:line="360" w:lineRule="auto"/>
        <w:ind w:firstLine="550"/>
        <w:rPr>
          <w:rFonts w:hint="eastAsia" w:ascii="宋体" w:hAnsi="宋体" w:cs="宋体"/>
          <w:sz w:val="24"/>
        </w:rPr>
      </w:pPr>
      <w:r>
        <w:rPr>
          <w:rFonts w:hint="eastAsia" w:ascii="宋体" w:hAnsi="宋体" w:cs="宋体"/>
          <w:sz w:val="24"/>
        </w:rPr>
        <w:t>5.2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spacing w:line="360" w:lineRule="auto"/>
        <w:ind w:firstLine="550"/>
        <w:rPr>
          <w:rFonts w:hint="eastAsia" w:ascii="宋体" w:hAnsi="宋体" w:cs="宋体"/>
          <w:sz w:val="24"/>
        </w:rPr>
      </w:pPr>
      <w:r>
        <w:rPr>
          <w:rFonts w:hint="eastAsia" w:ascii="宋体" w:hAnsi="宋体" w:cs="宋体"/>
          <w:sz w:val="24"/>
        </w:rPr>
        <w:t>5.3</w:t>
      </w:r>
      <w:r>
        <w:rPr>
          <w:rFonts w:hint="eastAsia" w:ascii="宋体" w:hAnsi="宋体" w:cs="宋体"/>
          <w:color w:val="000000"/>
          <w:sz w:val="24"/>
        </w:rPr>
        <w:t>为了保证投标人能够合理报价，本次勘察需要对</w:t>
      </w:r>
      <w:r>
        <w:rPr>
          <w:rFonts w:hint="eastAsia" w:ascii="宋体" w:hAnsi="宋体" w:cs="宋体"/>
          <w:sz w:val="24"/>
        </w:rPr>
        <w:t>市本级公益一类事业单位以上办公用房、土地、经营性房产、业务技术用房进行现场勘察，除非有特殊要求，招标文件不单独提供供货使用地的自然环境、气候条件、公用设施等情况，投标人被视为熟悉上述与履行合同有关的一切情况。</w:t>
      </w:r>
    </w:p>
    <w:p>
      <w:pPr>
        <w:spacing w:line="360" w:lineRule="auto"/>
        <w:ind w:firstLine="550"/>
        <w:rPr>
          <w:rFonts w:hint="eastAsia" w:ascii="宋体" w:hAnsi="宋体" w:cs="宋体"/>
          <w:bCs/>
          <w:sz w:val="24"/>
        </w:rPr>
      </w:pPr>
      <w:r>
        <w:rPr>
          <w:rFonts w:hint="eastAsia" w:ascii="宋体" w:hAnsi="宋体" w:cs="宋体"/>
          <w:b/>
          <w:sz w:val="24"/>
        </w:rPr>
        <w:t>6.知识产权</w:t>
      </w:r>
    </w:p>
    <w:p>
      <w:pPr>
        <w:spacing w:line="360" w:lineRule="auto"/>
        <w:ind w:firstLine="549"/>
        <w:rPr>
          <w:rFonts w:hint="eastAsia" w:ascii="宋体" w:hAnsi="宋体" w:cs="宋体"/>
          <w:bCs/>
          <w:sz w:val="24"/>
        </w:rPr>
      </w:pPr>
      <w:r>
        <w:rPr>
          <w:rFonts w:hint="eastAsia" w:ascii="宋体" w:hAnsi="宋体" w:cs="宋体"/>
          <w:sz w:val="24"/>
        </w:rPr>
        <w:t>6.1</w:t>
      </w:r>
      <w:r>
        <w:rPr>
          <w:rFonts w:hint="eastAsia" w:ascii="宋体" w:hAnsi="宋体" w:cs="宋体"/>
          <w:bCs/>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s="宋体"/>
          <w:sz w:val="24"/>
        </w:rPr>
        <w:t>如因此导致采购人损失的，投标人须承担全部赔偿责任。</w:t>
      </w:r>
    </w:p>
    <w:p>
      <w:pPr>
        <w:spacing w:line="360" w:lineRule="auto"/>
        <w:ind w:firstLine="549"/>
        <w:rPr>
          <w:rFonts w:hint="eastAsia" w:ascii="宋体" w:hAnsi="宋体" w:cs="宋体"/>
          <w:bCs/>
          <w:sz w:val="24"/>
        </w:rPr>
      </w:pPr>
      <w:r>
        <w:rPr>
          <w:rFonts w:hint="eastAsia" w:ascii="宋体" w:hAnsi="宋体" w:cs="宋体"/>
          <w:bCs/>
          <w:sz w:val="24"/>
        </w:rPr>
        <w:t>6.2投标人如欲在项目实施过程中采用自有知识成果，须在投标文件中声明，并提供相关知识产权证明文件。使用该知识成果后，投标人须提供开发接口和开发手册等技术文档。</w:t>
      </w:r>
    </w:p>
    <w:p>
      <w:pPr>
        <w:spacing w:line="360" w:lineRule="auto"/>
        <w:ind w:firstLine="549"/>
        <w:rPr>
          <w:rFonts w:hint="eastAsia" w:ascii="宋体" w:hAnsi="宋体" w:cs="宋体"/>
          <w:b/>
          <w:sz w:val="24"/>
        </w:rPr>
      </w:pPr>
      <w:r>
        <w:rPr>
          <w:rFonts w:hint="eastAsia" w:ascii="宋体" w:hAnsi="宋体" w:cs="宋体"/>
          <w:b/>
          <w:sz w:val="24"/>
        </w:rPr>
        <w:t>7.纪律与保密</w:t>
      </w:r>
    </w:p>
    <w:p>
      <w:pPr>
        <w:spacing w:line="360" w:lineRule="auto"/>
        <w:ind w:firstLine="549"/>
        <w:rPr>
          <w:rFonts w:hint="eastAsia" w:ascii="宋体" w:hAnsi="宋体" w:cs="宋体"/>
          <w:sz w:val="24"/>
        </w:rPr>
      </w:pPr>
      <w:r>
        <w:rPr>
          <w:rFonts w:hint="eastAsia" w:ascii="宋体" w:hAnsi="宋体" w:cs="宋体"/>
          <w:sz w:val="24"/>
        </w:rPr>
        <w:t>7.1投标人的投标行为应遵守中国的有关法律、法规和规章。</w:t>
      </w:r>
    </w:p>
    <w:p>
      <w:pPr>
        <w:spacing w:line="360" w:lineRule="auto"/>
        <w:ind w:firstLine="549"/>
        <w:rPr>
          <w:rFonts w:hint="eastAsia" w:ascii="宋体" w:hAnsi="宋体" w:cs="宋体"/>
          <w:sz w:val="24"/>
        </w:rPr>
      </w:pPr>
      <w:r>
        <w:rPr>
          <w:rFonts w:hint="eastAsia" w:ascii="宋体" w:hAnsi="宋体" w:cs="宋体"/>
          <w:sz w:val="24"/>
        </w:rPr>
        <w:t>7.2投标人不得相互串通投标报价，不得妨碍其他投标人的公平竞争，不得损害采购人或其他投标人的合法权益，投标人不得以向采购人、评委会成员行贿或者采取其他不正当手段谋取中标。</w:t>
      </w:r>
    </w:p>
    <w:p>
      <w:pPr>
        <w:spacing w:line="360" w:lineRule="auto"/>
        <w:ind w:firstLine="549"/>
        <w:rPr>
          <w:rFonts w:hint="eastAsia" w:ascii="宋体" w:hAnsi="宋体" w:cs="宋体"/>
          <w:sz w:val="24"/>
        </w:rPr>
      </w:pPr>
      <w:r>
        <w:rPr>
          <w:rFonts w:hint="eastAsia" w:ascii="宋体" w:hAnsi="宋体" w:cs="宋体"/>
          <w:sz w:val="24"/>
        </w:rPr>
        <w:t>7.2.1有下列情形之一的，属于投标人相互串通投标：</w:t>
      </w:r>
    </w:p>
    <w:p>
      <w:pPr>
        <w:spacing w:line="360" w:lineRule="auto"/>
        <w:ind w:firstLine="1024" w:firstLineChars="427"/>
        <w:rPr>
          <w:rFonts w:hint="eastAsia" w:ascii="宋体" w:hAnsi="宋体" w:cs="宋体"/>
          <w:sz w:val="24"/>
        </w:rPr>
      </w:pPr>
      <w:r>
        <w:rPr>
          <w:rFonts w:hint="eastAsia" w:ascii="宋体" w:hAnsi="宋体" w:cs="宋体"/>
          <w:sz w:val="24"/>
        </w:rPr>
        <w:t>7.2.1.1不同投标人的投标文件由同一单位或者个人编制；</w:t>
      </w:r>
    </w:p>
    <w:p>
      <w:pPr>
        <w:spacing w:line="360" w:lineRule="auto"/>
        <w:ind w:firstLine="549"/>
        <w:rPr>
          <w:rFonts w:hint="eastAsia" w:ascii="宋体" w:hAnsi="宋体" w:cs="宋体"/>
          <w:sz w:val="24"/>
        </w:rPr>
      </w:pPr>
      <w:r>
        <w:rPr>
          <w:rFonts w:hint="eastAsia" w:ascii="宋体" w:hAnsi="宋体" w:cs="宋体"/>
          <w:sz w:val="24"/>
        </w:rPr>
        <w:t>　  7.2.1.2不同投标人委托同一单位或者个人办理投标事宜；</w:t>
      </w:r>
    </w:p>
    <w:p>
      <w:pPr>
        <w:spacing w:line="360" w:lineRule="auto"/>
        <w:ind w:firstLine="549"/>
        <w:rPr>
          <w:rFonts w:hint="eastAsia" w:ascii="宋体" w:hAnsi="宋体" w:cs="宋体"/>
          <w:sz w:val="24"/>
        </w:rPr>
      </w:pPr>
      <w:r>
        <w:rPr>
          <w:rFonts w:hint="eastAsia" w:ascii="宋体" w:hAnsi="宋体" w:cs="宋体"/>
          <w:sz w:val="24"/>
        </w:rPr>
        <w:t>　　7.2.1.3不同投标人的投标文件载明的项目管理成员或者联系人员为同一人；</w:t>
      </w:r>
    </w:p>
    <w:p>
      <w:pPr>
        <w:spacing w:line="360" w:lineRule="auto"/>
        <w:ind w:firstLine="549"/>
        <w:rPr>
          <w:rFonts w:hint="eastAsia" w:ascii="宋体" w:hAnsi="宋体" w:cs="宋体"/>
          <w:sz w:val="24"/>
        </w:rPr>
      </w:pPr>
      <w:r>
        <w:rPr>
          <w:rFonts w:hint="eastAsia" w:ascii="宋体" w:hAnsi="宋体" w:cs="宋体"/>
          <w:sz w:val="24"/>
        </w:rPr>
        <w:t>　　7.2.1.4不同投标人的投标文件异常一致或者投标报价呈规律性差异；</w:t>
      </w:r>
    </w:p>
    <w:p>
      <w:pPr>
        <w:spacing w:line="360" w:lineRule="auto"/>
        <w:ind w:firstLine="549"/>
        <w:rPr>
          <w:rFonts w:hint="eastAsia" w:ascii="宋体" w:hAnsi="宋体" w:cs="宋体"/>
          <w:sz w:val="24"/>
        </w:rPr>
      </w:pPr>
      <w:r>
        <w:rPr>
          <w:rFonts w:hint="eastAsia" w:ascii="宋体" w:hAnsi="宋体" w:cs="宋体"/>
          <w:sz w:val="24"/>
        </w:rPr>
        <w:t>　　7.2.1.5不同投标人的投标文件相互混装。</w:t>
      </w:r>
    </w:p>
    <w:p>
      <w:pPr>
        <w:spacing w:line="360" w:lineRule="auto"/>
        <w:ind w:firstLine="549"/>
        <w:rPr>
          <w:rFonts w:hint="eastAsia" w:ascii="宋体" w:hAnsi="宋体" w:cs="宋体"/>
          <w:sz w:val="24"/>
        </w:rPr>
      </w:pPr>
      <w:r>
        <w:rPr>
          <w:rFonts w:hint="eastAsia" w:ascii="宋体" w:hAnsi="宋体" w:cs="宋体"/>
          <w:sz w:val="24"/>
        </w:rPr>
        <w:t>7.3在确定中标人之前，投标人不得与采购人就投标价格、投标方案等实质性内容进行谈判，也不得私下接触评委会成员。</w:t>
      </w:r>
    </w:p>
    <w:p>
      <w:pPr>
        <w:spacing w:line="360" w:lineRule="auto"/>
        <w:ind w:firstLine="549"/>
        <w:rPr>
          <w:rFonts w:hint="eastAsia" w:ascii="宋体" w:hAnsi="宋体" w:cs="宋体"/>
          <w:sz w:val="24"/>
        </w:rPr>
      </w:pPr>
      <w:r>
        <w:rPr>
          <w:rFonts w:hint="eastAsia" w:ascii="宋体" w:hAnsi="宋体" w:cs="宋体"/>
          <w:sz w:val="24"/>
        </w:rPr>
        <w:t>7.4在确定中标人之前，投标人试图在投标文件审查、澄清、比较和评价时对评委会、采购人和采购中心施加任何影响都可能导致其投标无效。</w:t>
      </w:r>
    </w:p>
    <w:p>
      <w:pPr>
        <w:spacing w:line="360" w:lineRule="auto"/>
        <w:ind w:firstLine="549"/>
        <w:rPr>
          <w:rFonts w:hint="eastAsia" w:ascii="宋体" w:hAnsi="宋体" w:cs="宋体"/>
          <w:b/>
          <w:bCs/>
          <w:sz w:val="24"/>
        </w:rPr>
      </w:pPr>
      <w:r>
        <w:rPr>
          <w:rFonts w:hint="eastAsia" w:ascii="宋体" w:hAnsi="宋体" w:cs="宋体"/>
          <w:sz w:val="24"/>
        </w:rPr>
        <w:t>7.5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line="360" w:lineRule="auto"/>
        <w:ind w:firstLine="549"/>
        <w:rPr>
          <w:rFonts w:hint="eastAsia" w:ascii="宋体" w:hAnsi="宋体" w:cs="宋体"/>
          <w:b/>
          <w:sz w:val="24"/>
        </w:rPr>
      </w:pPr>
      <w:r>
        <w:rPr>
          <w:rFonts w:hint="eastAsia" w:ascii="宋体" w:hAnsi="宋体" w:cs="宋体"/>
          <w:b/>
          <w:sz w:val="24"/>
        </w:rPr>
        <w:t>8.联合体投标</w:t>
      </w:r>
    </w:p>
    <w:p>
      <w:pPr>
        <w:spacing w:line="360" w:lineRule="auto"/>
        <w:ind w:firstLine="480" w:firstLineChars="200"/>
        <w:rPr>
          <w:rFonts w:hint="eastAsia" w:ascii="宋体" w:hAnsi="宋体" w:cs="宋体"/>
          <w:sz w:val="24"/>
        </w:rPr>
      </w:pPr>
      <w:r>
        <w:rPr>
          <w:rFonts w:hint="eastAsia" w:ascii="宋体" w:hAnsi="宋体" w:cs="宋体"/>
          <w:sz w:val="24"/>
        </w:rPr>
        <w:t>不接受联合体投标</w:t>
      </w:r>
    </w:p>
    <w:p>
      <w:pPr>
        <w:spacing w:line="360" w:lineRule="auto"/>
        <w:ind w:firstLine="482" w:firstLineChars="200"/>
        <w:rPr>
          <w:rFonts w:hint="eastAsia" w:ascii="宋体" w:hAnsi="宋体" w:cs="宋体"/>
          <w:b/>
          <w:bCs/>
          <w:sz w:val="24"/>
        </w:rPr>
      </w:pPr>
      <w:r>
        <w:rPr>
          <w:rFonts w:hint="eastAsia" w:ascii="宋体" w:hAnsi="宋体" w:cs="宋体"/>
          <w:b/>
          <w:bCs/>
          <w:sz w:val="24"/>
        </w:rPr>
        <w:t>9.投标品牌</w:t>
      </w:r>
    </w:p>
    <w:p>
      <w:pPr>
        <w:spacing w:line="360" w:lineRule="auto"/>
        <w:ind w:firstLine="523" w:firstLineChars="218"/>
        <w:rPr>
          <w:rFonts w:hint="eastAsia" w:ascii="宋体" w:hAnsi="宋体" w:cs="宋体"/>
          <w:sz w:val="24"/>
        </w:rPr>
      </w:pPr>
      <w:r>
        <w:rPr>
          <w:rFonts w:hint="eastAsia" w:ascii="宋体" w:hAnsi="宋体" w:cs="宋体"/>
          <w:sz w:val="24"/>
        </w:rPr>
        <w:t>9.1招标文件中提供的参考商标、品牌或标准（包括工艺、材料、设备、样本目录号码、标准等），是采购人为了方便投标人更准确、更清楚说明拟采购货物、服务的技术规格和标准，并无限制性。投标人在投标中若选用替代商标、品牌或标准，应优于或相当于参考商标、品牌或标准。</w:t>
      </w:r>
    </w:p>
    <w:p>
      <w:pPr>
        <w:spacing w:line="360" w:lineRule="auto"/>
        <w:ind w:firstLine="525"/>
        <w:rPr>
          <w:rFonts w:hint="eastAsia" w:ascii="宋体" w:hAnsi="宋体" w:cs="宋体"/>
          <w:b/>
          <w:bCs/>
          <w:sz w:val="24"/>
        </w:rPr>
      </w:pPr>
      <w:r>
        <w:rPr>
          <w:rFonts w:hint="eastAsia" w:ascii="宋体" w:hAnsi="宋体" w:cs="宋体"/>
          <w:b/>
          <w:bCs/>
          <w:sz w:val="24"/>
        </w:rPr>
        <w:t>10.投标专用章的效力</w:t>
      </w:r>
    </w:p>
    <w:p>
      <w:pPr>
        <w:spacing w:line="360" w:lineRule="auto"/>
        <w:ind w:firstLine="525"/>
        <w:rPr>
          <w:rFonts w:hint="eastAsia" w:ascii="宋体" w:hAnsi="宋体" w:cs="宋体"/>
          <w:sz w:val="24"/>
        </w:rPr>
      </w:pPr>
      <w:r>
        <w:rPr>
          <w:rFonts w:hint="eastAsia" w:ascii="宋体" w:hAnsi="宋体" w:cs="宋体"/>
          <w:sz w:val="24"/>
        </w:rPr>
        <w:t>10.1招标文件中明确要求加盖电子签章的，投标人必须加盖投标人电子签章。</w:t>
      </w:r>
    </w:p>
    <w:p>
      <w:pPr>
        <w:spacing w:line="360" w:lineRule="auto"/>
        <w:ind w:firstLine="550"/>
        <w:rPr>
          <w:rFonts w:hint="eastAsia" w:ascii="宋体" w:hAnsi="宋体" w:cs="宋体"/>
          <w:b/>
          <w:bCs/>
          <w:sz w:val="24"/>
        </w:rPr>
      </w:pPr>
      <w:r>
        <w:rPr>
          <w:rFonts w:hint="eastAsia" w:ascii="宋体" w:hAnsi="宋体" w:cs="宋体"/>
          <w:b/>
          <w:bCs/>
          <w:sz w:val="24"/>
        </w:rPr>
        <w:t>11.合同标的转让</w:t>
      </w:r>
    </w:p>
    <w:p>
      <w:pPr>
        <w:spacing w:line="360" w:lineRule="auto"/>
        <w:ind w:firstLine="523" w:firstLineChars="218"/>
        <w:rPr>
          <w:rFonts w:hint="eastAsia" w:ascii="宋体" w:hAnsi="宋体" w:cs="宋体"/>
          <w:sz w:val="24"/>
        </w:rPr>
      </w:pPr>
      <w:r>
        <w:rPr>
          <w:rFonts w:hint="eastAsia" w:ascii="宋体" w:hAnsi="宋体" w:cs="宋体"/>
          <w:sz w:val="24"/>
        </w:rPr>
        <w:t xml:space="preserve">11.1合同未约定或者未经采购人同意，中标人不得向他人转让中标项目，也不得将中标项目肢解后分别向他人转让。 </w:t>
      </w:r>
    </w:p>
    <w:p>
      <w:pPr>
        <w:spacing w:line="360" w:lineRule="auto"/>
        <w:ind w:firstLine="523" w:firstLineChars="218"/>
        <w:rPr>
          <w:rFonts w:hint="eastAsia" w:ascii="宋体" w:hAnsi="宋体" w:cs="宋体"/>
          <w:sz w:val="24"/>
        </w:rPr>
      </w:pPr>
      <w:r>
        <w:rPr>
          <w:rFonts w:hint="eastAsia" w:ascii="宋体" w:hAnsi="宋体" w:cs="宋体"/>
          <w:sz w:val="24"/>
        </w:rPr>
        <w:t>11.2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pPr>
        <w:spacing w:line="360" w:lineRule="auto"/>
        <w:ind w:firstLine="523" w:firstLineChars="218"/>
        <w:rPr>
          <w:rFonts w:hint="eastAsia" w:ascii="宋体" w:hAnsi="宋体" w:cs="宋体"/>
          <w:sz w:val="24"/>
        </w:rPr>
      </w:pPr>
      <w:r>
        <w:rPr>
          <w:rFonts w:hint="eastAsia" w:ascii="宋体" w:hAnsi="宋体" w:cs="宋体"/>
          <w:sz w:val="24"/>
        </w:rPr>
        <w:t>11.3中标人应当就分包项目向采购人负责，接受分包的人就分包项目承担连带责任。</w:t>
      </w:r>
    </w:p>
    <w:p>
      <w:pPr>
        <w:spacing w:line="360" w:lineRule="auto"/>
        <w:ind w:firstLine="523" w:firstLineChars="218"/>
        <w:rPr>
          <w:rFonts w:hint="eastAsia" w:ascii="宋体" w:hAnsi="宋体" w:cs="宋体"/>
          <w:sz w:val="24"/>
        </w:rPr>
      </w:pPr>
      <w:r>
        <w:rPr>
          <w:rFonts w:hint="eastAsia" w:ascii="宋体" w:hAnsi="宋体" w:cs="宋体"/>
          <w:sz w:val="24"/>
        </w:rPr>
        <w:t>11.4未经政府采购管理部门批准，进口设备不得转包。</w:t>
      </w:r>
    </w:p>
    <w:p>
      <w:pPr>
        <w:spacing w:line="360" w:lineRule="auto"/>
        <w:ind w:firstLine="525" w:firstLineChars="218"/>
        <w:rPr>
          <w:rFonts w:hint="eastAsia" w:ascii="宋体" w:hAnsi="宋体" w:cs="宋体"/>
          <w:sz w:val="24"/>
        </w:rPr>
      </w:pPr>
      <w:r>
        <w:rPr>
          <w:rFonts w:hint="eastAsia" w:ascii="宋体" w:hAnsi="宋体" w:cs="宋体"/>
          <w:b/>
          <w:bCs/>
          <w:sz w:val="24"/>
        </w:rPr>
        <w:t>12.会员信息库</w:t>
      </w:r>
    </w:p>
    <w:p>
      <w:pPr>
        <w:spacing w:line="360" w:lineRule="auto"/>
        <w:ind w:firstLine="523" w:firstLineChars="218"/>
        <w:rPr>
          <w:rFonts w:hint="eastAsia" w:ascii="宋体" w:hAnsi="宋体" w:cs="宋体"/>
          <w:sz w:val="24"/>
        </w:rPr>
      </w:pPr>
      <w:r>
        <w:rPr>
          <w:rFonts w:hint="eastAsia" w:ascii="宋体" w:hAnsi="宋体" w:cs="宋体"/>
          <w:sz w:val="24"/>
        </w:rPr>
        <w:t>12.1为进一步规范招投标行为，提高招投标工作效率，降低投标成本，加强对投标人诚信信息的管理，加快周口市招投标工作电子化、信息化建设，为周口市公共资源交易中心实行网上招投标奠定基础，经周口市公共资源交易管理办公室研究决定，周口市公共资源交易中心实行投标人会员信息库制度，并面向全国免费征集注册投标企业会员。</w:t>
      </w:r>
    </w:p>
    <w:p>
      <w:pPr>
        <w:spacing w:line="360" w:lineRule="auto"/>
        <w:ind w:firstLine="523" w:firstLineChars="218"/>
        <w:rPr>
          <w:rFonts w:hint="eastAsia" w:ascii="宋体" w:hAnsi="宋体" w:cs="宋体"/>
          <w:sz w:val="24"/>
        </w:rPr>
      </w:pPr>
      <w:r>
        <w:rPr>
          <w:rFonts w:hint="eastAsia" w:ascii="宋体" w:hAnsi="宋体" w:cs="宋体"/>
          <w:sz w:val="24"/>
        </w:rPr>
        <w:t>12.2入库资料的真实性、有效性、完整性、准确性、合法性及清晰度由投标人负责。周口市公共资源交易中心只负责对投标人所提供的入库资料原件与上传扫描件进行比对；本项目所需会员库资料有效性由本项目评委会负责审核。</w:t>
      </w:r>
    </w:p>
    <w:p>
      <w:pPr>
        <w:spacing w:line="360" w:lineRule="auto"/>
        <w:ind w:firstLine="523" w:firstLineChars="218"/>
        <w:rPr>
          <w:rFonts w:hint="eastAsia" w:ascii="宋体" w:hAnsi="宋体" w:cs="宋体"/>
          <w:sz w:val="24"/>
        </w:rPr>
      </w:pPr>
      <w:r>
        <w:rPr>
          <w:rFonts w:hint="eastAsia" w:ascii="宋体" w:hAnsi="宋体" w:cs="宋体"/>
          <w:sz w:val="24"/>
        </w:rPr>
        <w:t>为确保投标文件通过评审，投标人应及时对入库资料进行补充、更新。</w:t>
      </w:r>
    </w:p>
    <w:p>
      <w:pPr>
        <w:spacing w:line="360" w:lineRule="auto"/>
        <w:ind w:firstLine="523" w:firstLineChars="218"/>
        <w:rPr>
          <w:rFonts w:hint="eastAsia" w:ascii="宋体" w:hAnsi="宋体" w:cs="宋体"/>
          <w:sz w:val="24"/>
        </w:rPr>
      </w:pPr>
      <w:r>
        <w:rPr>
          <w:rFonts w:hint="eastAsia" w:ascii="宋体" w:hAnsi="宋体" w:cs="宋体"/>
          <w:sz w:val="24"/>
        </w:rPr>
        <w:t>如因前款原因未通过本项目评委会评审，由投标人承担全部责任。</w:t>
      </w:r>
    </w:p>
    <w:p>
      <w:pPr>
        <w:spacing w:line="360" w:lineRule="auto"/>
        <w:ind w:firstLine="523" w:firstLineChars="218"/>
        <w:rPr>
          <w:rFonts w:hint="eastAsia" w:ascii="宋体" w:hAnsi="宋体" w:cs="宋体"/>
          <w:sz w:val="24"/>
        </w:rPr>
      </w:pPr>
      <w:r>
        <w:rPr>
          <w:rFonts w:hint="eastAsia" w:ascii="宋体" w:hAnsi="宋体" w:cs="宋体"/>
          <w:sz w:val="24"/>
        </w:rPr>
        <w:t>12.3网上会员库中文字资料与扫描件资料不一致时，以扫描件资料为准。</w:t>
      </w:r>
    </w:p>
    <w:p>
      <w:pPr>
        <w:spacing w:line="360" w:lineRule="auto"/>
        <w:ind w:firstLine="523" w:firstLineChars="218"/>
        <w:rPr>
          <w:rFonts w:hint="eastAsia" w:ascii="宋体" w:hAnsi="宋体" w:cs="宋体"/>
          <w:sz w:val="24"/>
        </w:rPr>
      </w:pPr>
      <w:r>
        <w:rPr>
          <w:rFonts w:hint="eastAsia" w:ascii="宋体" w:hAnsi="宋体" w:cs="宋体"/>
          <w:sz w:val="24"/>
        </w:rPr>
        <w:t>12.4有关会员库的更多信息，请登陆周口市公共资源交易中心网查询。</w:t>
      </w:r>
    </w:p>
    <w:p>
      <w:pPr>
        <w:spacing w:line="360" w:lineRule="auto"/>
        <w:ind w:firstLine="550"/>
        <w:rPr>
          <w:rFonts w:hint="eastAsia" w:ascii="宋体" w:hAnsi="宋体" w:cs="宋体"/>
          <w:b/>
          <w:bCs/>
          <w:sz w:val="24"/>
        </w:rPr>
      </w:pPr>
      <w:r>
        <w:rPr>
          <w:rFonts w:hint="eastAsia" w:ascii="宋体" w:hAnsi="宋体" w:cs="宋体"/>
          <w:b/>
          <w:bCs/>
          <w:sz w:val="24"/>
        </w:rPr>
        <w:t>13.采购信息的发布</w:t>
      </w:r>
    </w:p>
    <w:p>
      <w:pPr>
        <w:spacing w:line="360" w:lineRule="auto"/>
        <w:ind w:firstLine="550"/>
        <w:rPr>
          <w:rFonts w:hint="eastAsia" w:ascii="宋体" w:hAnsi="宋体" w:cs="宋体"/>
          <w:sz w:val="28"/>
        </w:rPr>
      </w:pPr>
      <w:r>
        <w:rPr>
          <w:rFonts w:hint="eastAsia" w:ascii="宋体" w:hAnsi="宋体" w:cs="宋体"/>
          <w:sz w:val="24"/>
        </w:rPr>
        <w:t>13.1与本次采购活动相关的信息，将发布在周口市公共资源交易中心网(</w:t>
      </w:r>
      <w:r>
        <w:rPr>
          <w:rFonts w:hint="eastAsia" w:ascii="宋体" w:hAnsi="宋体" w:cs="宋体"/>
          <w:sz w:val="24"/>
        </w:rPr>
        <w:fldChar w:fldCharType="begin"/>
      </w:r>
      <w:r>
        <w:rPr>
          <w:rFonts w:hint="eastAsia" w:ascii="宋体" w:hAnsi="宋体" w:cs="宋体"/>
          <w:sz w:val="24"/>
        </w:rPr>
        <w:instrText xml:space="preserve"> HYPERLINK "http://jyzx.zhoukou.gov.cn" </w:instrText>
      </w:r>
      <w:r>
        <w:rPr>
          <w:rFonts w:hint="eastAsia" w:ascii="宋体" w:hAnsi="宋体" w:cs="宋体"/>
          <w:sz w:val="24"/>
        </w:rPr>
        <w:fldChar w:fldCharType="separate"/>
      </w:r>
      <w:r>
        <w:rPr>
          <w:rFonts w:hint="eastAsia" w:ascii="宋体" w:hAnsi="宋体" w:cs="宋体"/>
          <w:sz w:val="24"/>
        </w:rPr>
        <w:t>http://jyzx.zhoukou.gov.cn</w:t>
      </w:r>
      <w:r>
        <w:rPr>
          <w:rFonts w:hint="eastAsia" w:ascii="宋体" w:hAnsi="宋体" w:cs="宋体"/>
          <w:sz w:val="24"/>
        </w:rPr>
        <w:fldChar w:fldCharType="end"/>
      </w:r>
      <w:r>
        <w:rPr>
          <w:rFonts w:hint="eastAsia" w:ascii="宋体" w:hAnsi="宋体" w:cs="宋体"/>
          <w:sz w:val="24"/>
        </w:rPr>
        <w:t>)及河南省政府采购网（www.hngp.gov.cn），以下简称“网站”。</w:t>
      </w:r>
    </w:p>
    <w:p>
      <w:pPr>
        <w:pStyle w:val="5"/>
        <w:spacing w:line="360" w:lineRule="auto"/>
        <w:ind w:firstLine="3418" w:firstLineChars="1216"/>
        <w:jc w:val="both"/>
        <w:rPr>
          <w:rFonts w:hint="eastAsia" w:hAnsi="宋体" w:cs="宋体"/>
          <w:sz w:val="28"/>
        </w:rPr>
      </w:pPr>
      <w:bookmarkStart w:id="75" w:name="_Hlt509650936"/>
      <w:bookmarkEnd w:id="75"/>
      <w:bookmarkStart w:id="76" w:name="_Hlt509650103"/>
      <w:bookmarkEnd w:id="76"/>
      <w:bookmarkStart w:id="77" w:name="_Hlt509650116"/>
      <w:bookmarkEnd w:id="77"/>
      <w:bookmarkStart w:id="78" w:name="_Hlt509649795"/>
      <w:bookmarkEnd w:id="78"/>
      <w:bookmarkStart w:id="79" w:name="_Hlt509650690"/>
      <w:bookmarkEnd w:id="79"/>
      <w:bookmarkStart w:id="80" w:name="_Hlt509649669"/>
      <w:bookmarkEnd w:id="80"/>
      <w:bookmarkStart w:id="81" w:name="_Hlt509650333"/>
      <w:bookmarkEnd w:id="81"/>
      <w:bookmarkStart w:id="82" w:name="_Hlt509650929"/>
      <w:bookmarkEnd w:id="82"/>
      <w:bookmarkStart w:id="83" w:name="_Hlt509649330"/>
      <w:bookmarkEnd w:id="83"/>
      <w:bookmarkStart w:id="84" w:name="_Hlt509650961"/>
      <w:bookmarkEnd w:id="84"/>
      <w:bookmarkStart w:id="85" w:name="_Hlt526418153"/>
      <w:bookmarkEnd w:id="85"/>
      <w:bookmarkStart w:id="86" w:name="_Hlt509649645"/>
      <w:bookmarkEnd w:id="86"/>
      <w:bookmarkStart w:id="87" w:name="_Hlt509650932"/>
      <w:bookmarkEnd w:id="87"/>
      <w:bookmarkStart w:id="88" w:name="_Hlt509649678"/>
      <w:bookmarkEnd w:id="88"/>
      <w:bookmarkStart w:id="89" w:name="_Toc5653"/>
      <w:bookmarkStart w:id="90" w:name="_Toc40975443"/>
      <w:bookmarkStart w:id="91" w:name="_Toc16689"/>
      <w:bookmarkStart w:id="92" w:name="_Toc7614"/>
      <w:bookmarkStart w:id="93" w:name="_Toc527725923"/>
      <w:r>
        <w:rPr>
          <w:rFonts w:hint="eastAsia" w:hAnsi="宋体" w:cs="宋体"/>
          <w:sz w:val="28"/>
        </w:rPr>
        <w:t>二．招标文件</w:t>
      </w:r>
      <w:bookmarkEnd w:id="89"/>
      <w:bookmarkEnd w:id="90"/>
      <w:bookmarkEnd w:id="91"/>
      <w:bookmarkEnd w:id="92"/>
      <w:bookmarkEnd w:id="93"/>
      <w:bookmarkStart w:id="94" w:name="_Hlt509649791"/>
      <w:bookmarkEnd w:id="94"/>
      <w:bookmarkStart w:id="95" w:name="_Hlt509650361"/>
      <w:bookmarkEnd w:id="95"/>
      <w:bookmarkStart w:id="96" w:name="_Hlt509649930"/>
      <w:bookmarkEnd w:id="96"/>
    </w:p>
    <w:p>
      <w:pPr>
        <w:spacing w:line="360" w:lineRule="auto"/>
        <w:ind w:firstLine="549"/>
        <w:rPr>
          <w:rFonts w:hint="eastAsia" w:ascii="宋体" w:hAnsi="宋体" w:cs="宋体"/>
          <w:b/>
          <w:sz w:val="24"/>
        </w:rPr>
      </w:pPr>
      <w:bookmarkStart w:id="97" w:name="_Hlt509650734"/>
      <w:bookmarkEnd w:id="97"/>
      <w:r>
        <w:rPr>
          <w:rFonts w:hint="eastAsia" w:ascii="宋体" w:hAnsi="宋体" w:cs="宋体"/>
          <w:b/>
          <w:sz w:val="24"/>
        </w:rPr>
        <w:t>14.招标文件构成</w:t>
      </w:r>
    </w:p>
    <w:p>
      <w:pPr>
        <w:spacing w:line="360" w:lineRule="auto"/>
        <w:ind w:firstLine="549"/>
        <w:rPr>
          <w:rFonts w:hint="eastAsia" w:ascii="宋体" w:hAnsi="宋体" w:cs="宋体"/>
          <w:sz w:val="24"/>
        </w:rPr>
      </w:pPr>
      <w:r>
        <w:rPr>
          <w:rFonts w:hint="eastAsia" w:ascii="宋体" w:hAnsi="宋体" w:cs="宋体"/>
          <w:sz w:val="24"/>
        </w:rPr>
        <w:t>14.1招标文件包括以下部分：</w:t>
      </w:r>
    </w:p>
    <w:p>
      <w:pPr>
        <w:spacing w:line="360" w:lineRule="auto"/>
        <w:ind w:firstLine="523" w:firstLineChars="218"/>
        <w:rPr>
          <w:rFonts w:hint="eastAsia" w:ascii="宋体" w:hAnsi="宋体" w:cs="宋体"/>
          <w:bCs/>
          <w:sz w:val="24"/>
        </w:rPr>
      </w:pPr>
      <w:r>
        <w:rPr>
          <w:rFonts w:hint="eastAsia" w:ascii="宋体" w:hAnsi="宋体" w:cs="宋体"/>
          <w:sz w:val="24"/>
        </w:rPr>
        <w:t>14.1.1第一章：</w:t>
      </w:r>
      <w:r>
        <w:rPr>
          <w:rFonts w:hint="eastAsia" w:ascii="宋体" w:hAnsi="宋体" w:cs="宋体"/>
          <w:bCs/>
          <w:sz w:val="24"/>
        </w:rPr>
        <w:t>投标邀请（招标公告）；</w:t>
      </w:r>
    </w:p>
    <w:p>
      <w:pPr>
        <w:spacing w:line="360" w:lineRule="auto"/>
        <w:ind w:firstLine="523" w:firstLineChars="218"/>
        <w:rPr>
          <w:rFonts w:hint="eastAsia" w:ascii="宋体" w:hAnsi="宋体" w:cs="宋体"/>
          <w:bCs/>
          <w:sz w:val="24"/>
        </w:rPr>
      </w:pPr>
      <w:r>
        <w:rPr>
          <w:rFonts w:hint="eastAsia" w:ascii="宋体" w:hAnsi="宋体" w:cs="宋体"/>
          <w:sz w:val="24"/>
        </w:rPr>
        <w:t>14.1.2第二章：</w:t>
      </w:r>
      <w:bookmarkStart w:id="98" w:name="_Hlt509650925"/>
      <w:bookmarkEnd w:id="98"/>
      <w:r>
        <w:rPr>
          <w:rFonts w:hint="eastAsia" w:ascii="宋体" w:hAnsi="宋体" w:cs="宋体"/>
          <w:bCs/>
          <w:sz w:val="24"/>
        </w:rPr>
        <w:t>投标人须知前附表；</w:t>
      </w:r>
    </w:p>
    <w:p>
      <w:pPr>
        <w:spacing w:line="360" w:lineRule="auto"/>
        <w:ind w:firstLine="523" w:firstLineChars="218"/>
        <w:rPr>
          <w:rFonts w:hint="eastAsia" w:ascii="宋体" w:hAnsi="宋体" w:cs="宋体"/>
          <w:bCs/>
          <w:sz w:val="24"/>
        </w:rPr>
      </w:pPr>
      <w:r>
        <w:rPr>
          <w:rFonts w:hint="eastAsia" w:ascii="宋体" w:hAnsi="宋体" w:cs="宋体"/>
          <w:sz w:val="24"/>
        </w:rPr>
        <w:t>14.1.3第三章：</w:t>
      </w:r>
      <w:r>
        <w:rPr>
          <w:rFonts w:hint="eastAsia" w:ascii="宋体" w:hAnsi="宋体" w:cs="宋体"/>
          <w:bCs/>
          <w:sz w:val="24"/>
        </w:rPr>
        <w:t>需求一览表；</w:t>
      </w:r>
    </w:p>
    <w:p>
      <w:pPr>
        <w:spacing w:line="360" w:lineRule="auto"/>
        <w:ind w:firstLine="523" w:firstLineChars="218"/>
        <w:rPr>
          <w:rFonts w:hint="eastAsia" w:ascii="宋体" w:hAnsi="宋体" w:cs="宋体"/>
          <w:sz w:val="24"/>
        </w:rPr>
      </w:pPr>
      <w:r>
        <w:rPr>
          <w:rFonts w:hint="eastAsia" w:ascii="宋体" w:hAnsi="宋体" w:cs="宋体"/>
          <w:sz w:val="24"/>
        </w:rPr>
        <w:t>14.1.4第四章：</w:t>
      </w:r>
      <w:r>
        <w:rPr>
          <w:rFonts w:hint="eastAsia" w:ascii="宋体" w:hAnsi="宋体" w:cs="宋体"/>
          <w:bCs/>
          <w:sz w:val="24"/>
        </w:rPr>
        <w:t>评标办法；</w:t>
      </w:r>
    </w:p>
    <w:p>
      <w:pPr>
        <w:spacing w:line="360" w:lineRule="auto"/>
        <w:ind w:firstLine="523" w:firstLineChars="218"/>
        <w:rPr>
          <w:rFonts w:hint="eastAsia" w:ascii="宋体" w:hAnsi="宋体" w:cs="宋体"/>
          <w:bCs/>
          <w:sz w:val="24"/>
        </w:rPr>
      </w:pPr>
      <w:r>
        <w:rPr>
          <w:rFonts w:hint="eastAsia" w:ascii="宋体" w:hAnsi="宋体" w:cs="宋体"/>
          <w:sz w:val="24"/>
        </w:rPr>
        <w:t>14.1.5第五章：</w:t>
      </w:r>
      <w:r>
        <w:rPr>
          <w:rFonts w:hint="eastAsia" w:ascii="宋体" w:hAnsi="宋体" w:cs="宋体"/>
          <w:bCs/>
          <w:sz w:val="24"/>
        </w:rPr>
        <w:t>投标人须知；</w:t>
      </w:r>
    </w:p>
    <w:p>
      <w:pPr>
        <w:spacing w:line="360" w:lineRule="auto"/>
        <w:ind w:firstLine="523" w:firstLineChars="218"/>
        <w:rPr>
          <w:rFonts w:hint="eastAsia" w:ascii="宋体" w:hAnsi="宋体" w:cs="宋体"/>
          <w:bCs/>
          <w:sz w:val="24"/>
        </w:rPr>
      </w:pPr>
      <w:r>
        <w:rPr>
          <w:rFonts w:hint="eastAsia" w:ascii="宋体" w:hAnsi="宋体" w:cs="宋体"/>
          <w:sz w:val="24"/>
        </w:rPr>
        <w:t>14.1.6第六章：</w:t>
      </w:r>
      <w:r>
        <w:rPr>
          <w:rFonts w:hint="eastAsia" w:ascii="宋体" w:hAnsi="宋体" w:cs="宋体"/>
          <w:bCs/>
          <w:sz w:val="24"/>
        </w:rPr>
        <w:t>采购合同；</w:t>
      </w:r>
    </w:p>
    <w:p>
      <w:pPr>
        <w:spacing w:line="360" w:lineRule="auto"/>
        <w:ind w:firstLine="523" w:firstLineChars="218"/>
        <w:rPr>
          <w:rFonts w:hint="eastAsia" w:ascii="宋体" w:hAnsi="宋体" w:cs="宋体"/>
          <w:bCs/>
          <w:sz w:val="24"/>
        </w:rPr>
      </w:pPr>
      <w:r>
        <w:rPr>
          <w:rFonts w:hint="eastAsia" w:ascii="宋体" w:hAnsi="宋体" w:cs="宋体"/>
          <w:sz w:val="24"/>
        </w:rPr>
        <w:t>14.1.7第七章：</w:t>
      </w:r>
      <w:r>
        <w:rPr>
          <w:rFonts w:hint="eastAsia" w:ascii="宋体" w:hAnsi="宋体" w:cs="宋体"/>
          <w:bCs/>
          <w:sz w:val="24"/>
        </w:rPr>
        <w:t>投标文件格式；</w:t>
      </w:r>
    </w:p>
    <w:p>
      <w:pPr>
        <w:spacing w:line="360" w:lineRule="auto"/>
        <w:ind w:firstLine="523" w:firstLineChars="218"/>
        <w:rPr>
          <w:rFonts w:hint="eastAsia" w:ascii="宋体" w:hAnsi="宋体" w:cs="宋体"/>
          <w:sz w:val="24"/>
        </w:rPr>
      </w:pPr>
      <w:r>
        <w:rPr>
          <w:rFonts w:hint="eastAsia" w:ascii="宋体" w:hAnsi="宋体" w:cs="宋体"/>
          <w:bCs/>
          <w:sz w:val="24"/>
        </w:rPr>
        <w:t>14.1.8周口市公共资源交易中心政府采购中心发布的</w:t>
      </w:r>
      <w:r>
        <w:rPr>
          <w:rFonts w:hint="eastAsia" w:ascii="宋体" w:hAnsi="宋体" w:cs="宋体"/>
          <w:sz w:val="24"/>
        </w:rPr>
        <w:t>图纸、答疑、补遗、补充通知等。</w:t>
      </w:r>
    </w:p>
    <w:p>
      <w:pPr>
        <w:spacing w:line="360" w:lineRule="auto"/>
        <w:ind w:firstLine="549"/>
        <w:rPr>
          <w:rFonts w:hint="eastAsia" w:ascii="宋体" w:hAnsi="宋体" w:cs="宋体"/>
          <w:sz w:val="24"/>
        </w:rPr>
      </w:pPr>
      <w:r>
        <w:rPr>
          <w:rFonts w:hint="eastAsia" w:ascii="宋体" w:hAnsi="宋体" w:cs="宋体"/>
          <w:sz w:val="24"/>
        </w:rPr>
        <w:t>14.2 投标人应认真阅读招标文件中所有的事项、格式、条件、条款和规范等要求。</w:t>
      </w:r>
    </w:p>
    <w:p>
      <w:pPr>
        <w:spacing w:line="360" w:lineRule="auto"/>
        <w:ind w:firstLine="550"/>
        <w:rPr>
          <w:rFonts w:hint="eastAsia" w:ascii="宋体" w:hAnsi="宋体" w:cs="宋体"/>
          <w:sz w:val="24"/>
        </w:rPr>
      </w:pPr>
      <w:r>
        <w:rPr>
          <w:rFonts w:hint="eastAsia" w:ascii="宋体" w:hAnsi="宋体" w:cs="宋体"/>
          <w:sz w:val="24"/>
        </w:rPr>
        <w:t>14.3投标人应当按照招标文件的要求编制投标文件。投标文件应对招标文件提出的要求和条件作出实质性响应。</w:t>
      </w:r>
    </w:p>
    <w:p>
      <w:pPr>
        <w:spacing w:line="360" w:lineRule="auto"/>
        <w:ind w:firstLine="550"/>
        <w:rPr>
          <w:rFonts w:hint="eastAsia" w:ascii="宋体" w:hAnsi="宋体" w:cs="宋体"/>
          <w:sz w:val="24"/>
        </w:rPr>
      </w:pPr>
      <w:r>
        <w:rPr>
          <w:rFonts w:hint="eastAsia" w:ascii="宋体" w:hAnsi="宋体" w:cs="宋体"/>
          <w:sz w:val="24"/>
        </w:rPr>
        <w:t>14.4投标人获取招标文件后，应仔细检查招标文件的所有内容，如有残缺等问题应在获得招标文件3日内向</w:t>
      </w:r>
      <w:r>
        <w:rPr>
          <w:rFonts w:hint="eastAsia" w:ascii="宋体" w:hAnsi="宋体" w:cs="宋体"/>
          <w:bCs/>
          <w:sz w:val="24"/>
        </w:rPr>
        <w:t>周口市公共资源交易中心政府采购中心或采购人</w:t>
      </w:r>
      <w:r>
        <w:rPr>
          <w:rFonts w:hint="eastAsia" w:ascii="宋体" w:hAnsi="宋体" w:cs="宋体"/>
          <w:sz w:val="24"/>
        </w:rPr>
        <w:t>提出，否则，由此引起的损失由投标人自行承担。</w:t>
      </w:r>
    </w:p>
    <w:p>
      <w:pPr>
        <w:spacing w:line="360" w:lineRule="auto"/>
        <w:ind w:firstLine="550"/>
        <w:rPr>
          <w:rFonts w:hint="eastAsia" w:ascii="宋体" w:hAnsi="宋体" w:cs="宋体"/>
          <w:sz w:val="24"/>
        </w:rPr>
      </w:pPr>
      <w:r>
        <w:rPr>
          <w:rFonts w:hint="eastAsia" w:ascii="宋体" w:hAnsi="宋体" w:cs="宋体"/>
          <w:sz w:val="24"/>
        </w:rPr>
        <w:t>15.招标文件的澄清与修改</w:t>
      </w:r>
    </w:p>
    <w:p>
      <w:pPr>
        <w:spacing w:line="360" w:lineRule="auto"/>
        <w:ind w:firstLine="550"/>
        <w:rPr>
          <w:rFonts w:hint="eastAsia" w:ascii="宋体" w:hAnsi="宋体" w:cs="宋体"/>
          <w:sz w:val="24"/>
        </w:rPr>
      </w:pPr>
      <w:r>
        <w:rPr>
          <w:rFonts w:hint="eastAsia" w:ascii="宋体" w:hAnsi="宋体" w:cs="宋体"/>
          <w:sz w:val="24"/>
        </w:rPr>
        <w:t>15.1</w:t>
      </w:r>
      <w:r>
        <w:rPr>
          <w:rFonts w:hint="eastAsia" w:ascii="宋体" w:hAnsi="宋体" w:cs="宋体"/>
          <w:bCs/>
          <w:sz w:val="24"/>
        </w:rPr>
        <w:t>周口市公共资源交易中心政府采购中心或采购人</w:t>
      </w:r>
      <w:r>
        <w:rPr>
          <w:rFonts w:hint="eastAsia" w:ascii="宋体" w:hAnsi="宋体" w:cs="宋体"/>
          <w:sz w:val="24"/>
        </w:rPr>
        <w:t>对招标文件进行的澄清、更正或更改，将在网站上及时发布，该公告内容为招标文件的组成部分，对投标人具有同样约束力。澄清或者修改的内容可能影响投标文件编制的，采购人或者采购代理机构在投标截止时间至少15日前，将在网站上及时发布通知所有获取招标文件的潜在投标人；不足15日的，采购人或者采购代理机构应当顺延提交投标文件的截止时间。投标人应主动上网查询。</w:t>
      </w:r>
      <w:r>
        <w:rPr>
          <w:rFonts w:hint="eastAsia" w:ascii="宋体" w:hAnsi="宋体" w:cs="宋体"/>
          <w:bCs/>
          <w:sz w:val="24"/>
        </w:rPr>
        <w:t>周口市公共资源交易中心政府采购中心或采购人</w:t>
      </w:r>
      <w:r>
        <w:rPr>
          <w:rFonts w:hint="eastAsia" w:ascii="宋体" w:hAnsi="宋体" w:cs="宋体"/>
          <w:sz w:val="24"/>
        </w:rPr>
        <w:t>不承担投标人未及时关注相关信息引发的相关责任。</w:t>
      </w:r>
    </w:p>
    <w:p>
      <w:pPr>
        <w:spacing w:line="360" w:lineRule="auto"/>
        <w:ind w:firstLine="550"/>
        <w:rPr>
          <w:rFonts w:hint="eastAsia" w:ascii="宋体" w:hAnsi="宋体" w:cs="宋体"/>
          <w:sz w:val="24"/>
        </w:rPr>
      </w:pPr>
      <w:r>
        <w:rPr>
          <w:rFonts w:hint="eastAsia" w:ascii="宋体" w:hAnsi="宋体" w:cs="宋体"/>
          <w:sz w:val="24"/>
        </w:rPr>
        <w:t>15.2在投标截止时间前，</w:t>
      </w:r>
      <w:r>
        <w:rPr>
          <w:rFonts w:hint="eastAsia" w:ascii="宋体" w:hAnsi="宋体" w:cs="宋体"/>
          <w:bCs/>
          <w:sz w:val="24"/>
        </w:rPr>
        <w:t>采购人</w:t>
      </w:r>
      <w:r>
        <w:rPr>
          <w:rFonts w:hint="eastAsia" w:ascii="宋体" w:hAnsi="宋体" w:cs="宋体"/>
          <w:sz w:val="24"/>
        </w:rPr>
        <w:t>可以视采购具体情况，延长投标截止时间和开标时间，并在招标文件要求提交投标文件的截止时间三日前，在网站上发布变更公告。在上述情况下，</w:t>
      </w:r>
      <w:r>
        <w:rPr>
          <w:rFonts w:hint="eastAsia" w:ascii="宋体" w:hAnsi="宋体" w:cs="宋体"/>
          <w:bCs/>
          <w:sz w:val="24"/>
        </w:rPr>
        <w:t>采购人</w:t>
      </w:r>
      <w:r>
        <w:rPr>
          <w:rFonts w:hint="eastAsia" w:ascii="宋体" w:hAnsi="宋体" w:cs="宋体"/>
          <w:sz w:val="24"/>
        </w:rPr>
        <w:t>和投标人在投标截止期方面的全部权力、责任和义务，将适用于延长后新的投标截止期。</w:t>
      </w:r>
    </w:p>
    <w:p>
      <w:pPr>
        <w:spacing w:line="360" w:lineRule="auto"/>
        <w:ind w:firstLine="550"/>
        <w:rPr>
          <w:rFonts w:hint="eastAsia" w:ascii="宋体" w:hAnsi="宋体" w:cs="宋体"/>
          <w:sz w:val="28"/>
        </w:rPr>
      </w:pPr>
      <w:r>
        <w:rPr>
          <w:rFonts w:hint="eastAsia" w:ascii="宋体" w:hAnsi="宋体" w:cs="宋体"/>
          <w:sz w:val="24"/>
        </w:rPr>
        <w:t>15.3特殊情况下，</w:t>
      </w:r>
      <w:r>
        <w:rPr>
          <w:rFonts w:hint="eastAsia" w:ascii="宋体" w:hAnsi="宋体" w:cs="宋体"/>
          <w:bCs/>
          <w:sz w:val="24"/>
        </w:rPr>
        <w:t>采购人</w:t>
      </w:r>
      <w:r>
        <w:rPr>
          <w:rFonts w:hint="eastAsia" w:ascii="宋体" w:hAnsi="宋体" w:cs="宋体"/>
          <w:sz w:val="24"/>
        </w:rPr>
        <w:t>发布澄清、更正或更改公告后，可不改变投标截止时间和开标时间。</w:t>
      </w:r>
    </w:p>
    <w:p>
      <w:pPr>
        <w:pStyle w:val="5"/>
        <w:spacing w:line="360" w:lineRule="auto"/>
        <w:ind w:firstLine="2715" w:firstLineChars="966"/>
        <w:jc w:val="both"/>
        <w:rPr>
          <w:rFonts w:hint="eastAsia" w:hAnsi="宋体" w:cs="宋体"/>
          <w:sz w:val="28"/>
        </w:rPr>
      </w:pPr>
      <w:bookmarkStart w:id="99" w:name="_Hlt510342861"/>
      <w:bookmarkEnd w:id="99"/>
      <w:bookmarkStart w:id="100" w:name="_Hlt509650697"/>
      <w:bookmarkEnd w:id="100"/>
      <w:bookmarkStart w:id="101" w:name="_Hlt509649724"/>
      <w:bookmarkEnd w:id="101"/>
      <w:bookmarkStart w:id="102" w:name="_Toc527725924"/>
      <w:bookmarkStart w:id="103" w:name="_Toc29307"/>
      <w:bookmarkStart w:id="104" w:name="_Toc30687"/>
      <w:bookmarkStart w:id="105" w:name="_Toc40975444"/>
      <w:bookmarkStart w:id="106" w:name="_Toc25639"/>
      <w:r>
        <w:rPr>
          <w:rFonts w:hint="eastAsia" w:hAnsi="宋体" w:cs="宋体"/>
          <w:sz w:val="28"/>
        </w:rPr>
        <w:t>三．投标文件的编制</w:t>
      </w:r>
      <w:bookmarkEnd w:id="102"/>
      <w:bookmarkEnd w:id="103"/>
      <w:bookmarkEnd w:id="104"/>
      <w:bookmarkEnd w:id="105"/>
      <w:bookmarkEnd w:id="106"/>
    </w:p>
    <w:p>
      <w:pPr>
        <w:spacing w:line="360" w:lineRule="auto"/>
        <w:ind w:firstLine="550"/>
        <w:rPr>
          <w:rFonts w:hint="eastAsia" w:ascii="宋体" w:hAnsi="宋体" w:cs="宋体"/>
          <w:b/>
          <w:sz w:val="24"/>
        </w:rPr>
      </w:pPr>
      <w:r>
        <w:rPr>
          <w:rFonts w:hint="eastAsia" w:ascii="宋体" w:hAnsi="宋体" w:cs="宋体"/>
          <w:b/>
          <w:sz w:val="24"/>
        </w:rPr>
        <w:t>16.投标文件构成与格式</w:t>
      </w:r>
    </w:p>
    <w:p>
      <w:pPr>
        <w:spacing w:line="360" w:lineRule="auto"/>
        <w:ind w:firstLine="550"/>
        <w:rPr>
          <w:rFonts w:hint="eastAsia" w:ascii="宋体" w:hAnsi="宋体" w:cs="宋体"/>
          <w:sz w:val="24"/>
        </w:rPr>
      </w:pPr>
      <w:bookmarkStart w:id="107" w:name="_Hlt509650345"/>
      <w:bookmarkEnd w:id="107"/>
      <w:r>
        <w:rPr>
          <w:rFonts w:hint="eastAsia" w:ascii="宋体" w:hAnsi="宋体" w:cs="宋体"/>
          <w:sz w:val="24"/>
        </w:rPr>
        <w:t>16.1投标文件是对招标文件的实质性响应及承诺文件。</w:t>
      </w:r>
    </w:p>
    <w:p>
      <w:pPr>
        <w:spacing w:line="360" w:lineRule="auto"/>
        <w:ind w:firstLine="550"/>
        <w:jc w:val="left"/>
        <w:rPr>
          <w:rFonts w:hint="eastAsia" w:ascii="宋体" w:hAnsi="宋体" w:cs="宋体"/>
          <w:sz w:val="24"/>
        </w:rPr>
      </w:pPr>
      <w:r>
        <w:rPr>
          <w:rFonts w:hint="eastAsia" w:ascii="宋体" w:hAnsi="宋体" w:cs="宋体"/>
          <w:sz w:val="24"/>
        </w:rPr>
        <w:t>16.2</w:t>
      </w:r>
      <w:r>
        <w:rPr>
          <w:rFonts w:hint="eastAsia" w:ascii="宋体" w:hAnsi="宋体" w:cs="宋体"/>
          <w:bCs/>
          <w:sz w:val="24"/>
        </w:rPr>
        <w:t>除非注明“投标人可自行制作格式”，投标文件应使用招标文件提供的格式。</w:t>
      </w:r>
    </w:p>
    <w:p>
      <w:pPr>
        <w:spacing w:line="360" w:lineRule="auto"/>
        <w:ind w:firstLine="550"/>
        <w:rPr>
          <w:rFonts w:hint="eastAsia" w:ascii="宋体" w:hAnsi="宋体" w:cs="宋体"/>
          <w:sz w:val="24"/>
        </w:rPr>
      </w:pPr>
      <w:r>
        <w:rPr>
          <w:rFonts w:hint="eastAsia" w:ascii="宋体" w:hAnsi="宋体" w:cs="宋体"/>
          <w:bCs/>
          <w:sz w:val="24"/>
        </w:rPr>
        <w:t>16.3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pPr>
        <w:spacing w:line="360" w:lineRule="auto"/>
        <w:ind w:firstLine="550"/>
        <w:rPr>
          <w:rFonts w:hint="eastAsia" w:ascii="宋体" w:hAnsi="宋体" w:cs="宋体"/>
          <w:sz w:val="24"/>
        </w:rPr>
      </w:pPr>
      <w:r>
        <w:rPr>
          <w:rFonts w:hint="eastAsia" w:ascii="宋体" w:hAnsi="宋体" w:cs="宋体"/>
          <w:sz w:val="24"/>
        </w:rPr>
        <w:t>16.4除非招标文件另有规定，投标文件应使用中华人民共和国法定计量单位。</w:t>
      </w:r>
    </w:p>
    <w:p>
      <w:pPr>
        <w:spacing w:line="360" w:lineRule="auto"/>
        <w:ind w:firstLine="550"/>
        <w:rPr>
          <w:rFonts w:hint="eastAsia" w:ascii="宋体" w:hAnsi="宋体" w:cs="宋体"/>
          <w:sz w:val="24"/>
        </w:rPr>
      </w:pPr>
      <w:r>
        <w:rPr>
          <w:rFonts w:hint="eastAsia" w:ascii="宋体" w:hAnsi="宋体" w:cs="宋体"/>
          <w:sz w:val="24"/>
        </w:rPr>
        <w:t>16.5除非招标文件另有规定，投标文件应使用人民币填报所有报价。允许以多种货币报价的，应当按照中国银行在开标日公布的汇率中间价换算成人民币。</w:t>
      </w:r>
    </w:p>
    <w:p>
      <w:pPr>
        <w:spacing w:line="360" w:lineRule="auto"/>
        <w:ind w:firstLine="550"/>
        <w:rPr>
          <w:rFonts w:hint="eastAsia" w:ascii="宋体" w:hAnsi="宋体" w:cs="宋体"/>
          <w:sz w:val="24"/>
        </w:rPr>
      </w:pPr>
      <w:r>
        <w:rPr>
          <w:rFonts w:hint="eastAsia" w:ascii="宋体" w:hAnsi="宋体" w:cs="宋体"/>
          <w:sz w:val="24"/>
        </w:rPr>
        <w:t>16.6投标文件应编制连续页码，除特殊规格的图纸或方案、图片资料等外，均应按A4规格制作。</w:t>
      </w:r>
    </w:p>
    <w:p>
      <w:pPr>
        <w:spacing w:line="360" w:lineRule="auto"/>
        <w:ind w:firstLine="550"/>
        <w:rPr>
          <w:rFonts w:hint="eastAsia" w:ascii="宋体" w:hAnsi="宋体" w:cs="宋体"/>
          <w:sz w:val="24"/>
        </w:rPr>
      </w:pPr>
      <w:r>
        <w:rPr>
          <w:rFonts w:hint="eastAsia" w:ascii="宋体" w:hAnsi="宋体" w:cs="宋体"/>
          <w:sz w:val="24"/>
        </w:rPr>
        <w:t>16.7电报、电话、传真形式的投标概不接受。</w:t>
      </w:r>
    </w:p>
    <w:p>
      <w:pPr>
        <w:spacing w:line="360" w:lineRule="auto"/>
        <w:ind w:firstLine="550"/>
        <w:rPr>
          <w:color w:val="000000"/>
        </w:rPr>
      </w:pPr>
      <w:r>
        <w:rPr>
          <w:rFonts w:hint="eastAsia" w:ascii="宋体" w:hAnsi="宋体" w:cs="宋体"/>
          <w:sz w:val="24"/>
        </w:rPr>
        <w:t>16.8电子投标文件制作，见周口市公共资源交易中心网站下载中心版</w:t>
      </w:r>
      <w:r>
        <w:rPr>
          <w:rFonts w:hint="eastAsia" w:ascii="宋体" w:hAnsi="宋体" w:cs="宋体"/>
          <w:color w:val="000000"/>
          <w:sz w:val="24"/>
        </w:rPr>
        <w:t>块《投标单位-电子投标文件视频制作手册》的相关规定。</w:t>
      </w:r>
    </w:p>
    <w:p>
      <w:pPr>
        <w:spacing w:line="360" w:lineRule="auto"/>
        <w:ind w:firstLine="550"/>
        <w:rPr>
          <w:rFonts w:hint="eastAsia" w:ascii="宋体" w:hAnsi="宋体" w:cs="宋体"/>
          <w:sz w:val="24"/>
        </w:rPr>
      </w:pPr>
      <w:r>
        <w:rPr>
          <w:rFonts w:hint="eastAsia" w:ascii="宋体" w:hAnsi="宋体" w:cs="宋体"/>
          <w:b/>
          <w:sz w:val="24"/>
        </w:rPr>
        <w:t>17.报价</w:t>
      </w:r>
    </w:p>
    <w:p>
      <w:pPr>
        <w:spacing w:line="360" w:lineRule="auto"/>
        <w:ind w:firstLine="550"/>
        <w:rPr>
          <w:rFonts w:hint="eastAsia" w:ascii="宋体" w:hAnsi="宋体" w:cs="宋体"/>
          <w:sz w:val="24"/>
        </w:rPr>
      </w:pPr>
      <w:r>
        <w:rPr>
          <w:rFonts w:hint="eastAsia" w:ascii="宋体" w:hAnsi="宋体" w:cs="宋体"/>
          <w:sz w:val="24"/>
        </w:rPr>
        <w:t>17.1投标人应以“包”为报价的基本单位。若整个需求分为若干包，则投标人可选择其中的部分或所有包报价。包内所有项目均应报价（免费赠送的除外），否则将导致投标无效。</w:t>
      </w:r>
    </w:p>
    <w:p>
      <w:pPr>
        <w:spacing w:line="360" w:lineRule="auto"/>
        <w:ind w:firstLine="550"/>
        <w:rPr>
          <w:rFonts w:hint="eastAsia" w:ascii="宋体" w:hAnsi="宋体" w:cs="宋体"/>
          <w:sz w:val="24"/>
        </w:rPr>
      </w:pPr>
      <w:r>
        <w:rPr>
          <w:rFonts w:hint="eastAsia" w:ascii="宋体" w:hAnsi="宋体" w:cs="宋体"/>
          <w:sz w:val="24"/>
        </w:rPr>
        <w:t>17.2投标人的报价应包含所投服务、保险、税费、包装、加工及加工损耗、运输、现场落地、安装及安装损耗、调试、检测验收和交付后约定期限内免费维保等工作所发生的一切应有费用。投标报价为签订合同的依据。</w:t>
      </w:r>
    </w:p>
    <w:p>
      <w:pPr>
        <w:spacing w:line="360" w:lineRule="auto"/>
        <w:ind w:firstLine="550"/>
        <w:rPr>
          <w:rFonts w:hint="eastAsia" w:ascii="宋体" w:hAnsi="宋体" w:cs="宋体"/>
          <w:sz w:val="24"/>
        </w:rPr>
      </w:pPr>
      <w:r>
        <w:rPr>
          <w:rFonts w:hint="eastAsia" w:ascii="宋体" w:hAnsi="宋体" w:cs="宋体"/>
          <w:sz w:val="24"/>
        </w:rPr>
        <w:t>17.3投标人应在投标文件中注明拟提供服务的单价明细和总价。</w:t>
      </w:r>
    </w:p>
    <w:p>
      <w:pPr>
        <w:spacing w:line="360" w:lineRule="auto"/>
        <w:ind w:firstLine="550"/>
        <w:rPr>
          <w:rFonts w:hint="eastAsia" w:ascii="宋体" w:hAnsi="宋体" w:cs="宋体"/>
          <w:sz w:val="24"/>
        </w:rPr>
      </w:pPr>
      <w:r>
        <w:rPr>
          <w:rFonts w:hint="eastAsia" w:ascii="宋体" w:hAnsi="宋体" w:cs="宋体"/>
          <w:sz w:val="24"/>
        </w:rPr>
        <w:t>17.4除非招标文件另有规定，每一包只允许有一个最终报价，任何有选择的报价或替代方案将导致投标无效。</w:t>
      </w:r>
    </w:p>
    <w:p>
      <w:pPr>
        <w:spacing w:line="360" w:lineRule="auto"/>
        <w:ind w:firstLine="550"/>
        <w:rPr>
          <w:rFonts w:hint="eastAsia" w:ascii="宋体" w:hAnsi="宋体" w:cs="宋体"/>
          <w:sz w:val="24"/>
        </w:rPr>
      </w:pPr>
      <w:r>
        <w:rPr>
          <w:rFonts w:hint="eastAsia" w:ascii="宋体" w:hAnsi="宋体" w:cs="宋体"/>
          <w:sz w:val="24"/>
        </w:rPr>
        <w:t>17.5采购人不建议投标人采用总价优惠或以总价百分比优惠的方式进行投标报价，其优惠可直接计算并体现在各项投标报价的单价中。</w:t>
      </w:r>
    </w:p>
    <w:p>
      <w:pPr>
        <w:spacing w:line="360" w:lineRule="auto"/>
        <w:ind w:firstLine="550"/>
        <w:rPr>
          <w:rFonts w:hint="eastAsia" w:ascii="宋体" w:hAnsi="宋体" w:cs="宋体"/>
          <w:sz w:val="24"/>
        </w:rPr>
      </w:pPr>
      <w:r>
        <w:rPr>
          <w:rFonts w:hint="eastAsia" w:ascii="宋体" w:hAnsi="宋体" w:cs="宋体"/>
          <w:sz w:val="24"/>
        </w:rPr>
        <w:t>17.6除政策性文件规定以外，投标人所报价格在合同实施期间不因市场变化因素而变动。</w:t>
      </w:r>
    </w:p>
    <w:p>
      <w:pPr>
        <w:spacing w:line="360" w:lineRule="auto"/>
        <w:ind w:firstLine="549"/>
        <w:rPr>
          <w:rFonts w:hint="eastAsia" w:ascii="宋体" w:hAnsi="宋体" w:cs="宋体"/>
          <w:b/>
          <w:bCs/>
          <w:sz w:val="24"/>
        </w:rPr>
      </w:pPr>
      <w:r>
        <w:rPr>
          <w:rFonts w:hint="eastAsia" w:ascii="宋体" w:hAnsi="宋体" w:cs="宋体"/>
          <w:b/>
          <w:bCs/>
          <w:sz w:val="24"/>
        </w:rPr>
        <w:t>18.投标内容填写及说明</w:t>
      </w:r>
    </w:p>
    <w:p>
      <w:pPr>
        <w:spacing w:line="360" w:lineRule="auto"/>
        <w:ind w:firstLine="549"/>
        <w:rPr>
          <w:rFonts w:hint="eastAsia" w:ascii="宋体" w:hAnsi="宋体" w:cs="宋体"/>
          <w:sz w:val="24"/>
          <w:u w:val="single"/>
        </w:rPr>
      </w:pPr>
      <w:r>
        <w:rPr>
          <w:rFonts w:hint="eastAsia" w:ascii="宋体" w:hAnsi="宋体" w:cs="宋体"/>
          <w:sz w:val="24"/>
        </w:rPr>
        <w:t>18.1投标文件须对招标文件载明的投标资格、技术、资信、服务、报价等全部要求和条件做出实质性和完整性响应，并做出承诺，否则视为无效响应。如果投标文件填报的内容资料不详，或没有提供招标文件中所要求的全部资料、证明及数据，将导致投标无效。</w:t>
      </w:r>
    </w:p>
    <w:p>
      <w:pPr>
        <w:spacing w:line="360" w:lineRule="auto"/>
        <w:ind w:firstLine="549"/>
        <w:rPr>
          <w:rFonts w:hint="eastAsia" w:ascii="宋体" w:hAnsi="宋体" w:cs="宋体"/>
          <w:sz w:val="24"/>
        </w:rPr>
      </w:pPr>
      <w:r>
        <w:rPr>
          <w:rFonts w:hint="eastAsia" w:ascii="宋体" w:hAnsi="宋体" w:cs="宋体"/>
          <w:sz w:val="24"/>
        </w:rPr>
        <w:t>18.2投标人应在投标文件中提交招标文件要求的有关证明文件（扫描或影印件上传），作为其投标文件的一部分。</w:t>
      </w:r>
    </w:p>
    <w:p>
      <w:pPr>
        <w:spacing w:line="360" w:lineRule="auto"/>
        <w:ind w:firstLine="549"/>
        <w:rPr>
          <w:rFonts w:hint="eastAsia" w:ascii="宋体" w:hAnsi="宋体" w:cs="宋体"/>
          <w:sz w:val="24"/>
        </w:rPr>
      </w:pPr>
      <w:r>
        <w:rPr>
          <w:rFonts w:hint="eastAsia" w:ascii="宋体" w:hAnsi="宋体" w:cs="宋体"/>
          <w:sz w:val="24"/>
        </w:rPr>
        <w:t>18.3投标人应在投标文件中提交（以扫描件或影印件上传）招标文件要求的所有服务的合格性以及符合招标文件规定的证明文件（可以是手册、图纸和资料）等，并作为其投标文件的一部分。包括：</w:t>
      </w:r>
    </w:p>
    <w:p>
      <w:pPr>
        <w:spacing w:line="360" w:lineRule="auto"/>
        <w:ind w:firstLine="523" w:firstLineChars="218"/>
        <w:rPr>
          <w:rFonts w:hint="eastAsia" w:ascii="宋体" w:hAnsi="宋体" w:cs="宋体"/>
          <w:sz w:val="24"/>
        </w:rPr>
      </w:pPr>
      <w:r>
        <w:rPr>
          <w:rFonts w:hint="eastAsia" w:ascii="宋体" w:hAnsi="宋体" w:cs="宋体"/>
          <w:sz w:val="24"/>
        </w:rPr>
        <w:t>18.3.1服务主要性能（内容）的详细描述；</w:t>
      </w:r>
    </w:p>
    <w:p>
      <w:pPr>
        <w:spacing w:line="360" w:lineRule="auto"/>
        <w:ind w:firstLine="523" w:firstLineChars="218"/>
        <w:rPr>
          <w:rFonts w:hint="eastAsia" w:ascii="宋体" w:hAnsi="宋体" w:cs="宋体"/>
          <w:sz w:val="24"/>
        </w:rPr>
      </w:pPr>
      <w:r>
        <w:rPr>
          <w:rFonts w:hint="eastAsia" w:ascii="宋体" w:hAnsi="宋体" w:cs="宋体"/>
          <w:sz w:val="24"/>
        </w:rPr>
        <w:t>18.3.2保证所投服务正常、安全、连续运行期间所需的所有备品、备件及专用工具的详细清单。</w:t>
      </w:r>
    </w:p>
    <w:p>
      <w:pPr>
        <w:spacing w:line="360" w:lineRule="auto"/>
        <w:ind w:firstLine="523" w:firstLineChars="218"/>
        <w:rPr>
          <w:rFonts w:hint="eastAsia" w:ascii="宋体" w:hAnsi="宋体" w:cs="宋体"/>
          <w:sz w:val="24"/>
        </w:rPr>
      </w:pPr>
      <w:r>
        <w:rPr>
          <w:rFonts w:hint="eastAsia" w:ascii="宋体" w:hAnsi="宋体" w:cs="宋体"/>
          <w:sz w:val="24"/>
        </w:rPr>
        <w:t>18.4投标文件应编排有序、内容齐全、不得任意涂改或增删。如有错漏处必须修改，应在修改处加盖投标人电子公章。</w:t>
      </w:r>
    </w:p>
    <w:p>
      <w:pPr>
        <w:spacing w:line="360" w:lineRule="auto"/>
        <w:ind w:firstLine="549"/>
        <w:rPr>
          <w:rFonts w:hint="eastAsia" w:ascii="宋体" w:hAnsi="宋体" w:cs="宋体"/>
          <w:b/>
          <w:sz w:val="24"/>
        </w:rPr>
      </w:pPr>
      <w:r>
        <w:rPr>
          <w:rFonts w:hint="eastAsia" w:ascii="宋体" w:hAnsi="宋体" w:cs="宋体"/>
          <w:b/>
          <w:sz w:val="24"/>
        </w:rPr>
        <w:t>19.投标保证金（免收）</w:t>
      </w:r>
    </w:p>
    <w:p>
      <w:pPr>
        <w:spacing w:line="360" w:lineRule="auto"/>
        <w:ind w:firstLine="550"/>
        <w:rPr>
          <w:rFonts w:hint="eastAsia" w:ascii="宋体" w:hAnsi="宋体" w:cs="宋体"/>
          <w:b/>
          <w:sz w:val="24"/>
        </w:rPr>
      </w:pPr>
      <w:r>
        <w:rPr>
          <w:rFonts w:hint="eastAsia" w:ascii="宋体" w:hAnsi="宋体" w:cs="宋体"/>
          <w:b/>
          <w:sz w:val="24"/>
        </w:rPr>
        <w:t>20.投标有效期</w:t>
      </w:r>
    </w:p>
    <w:p>
      <w:pPr>
        <w:spacing w:line="360" w:lineRule="auto"/>
        <w:ind w:firstLine="550"/>
        <w:rPr>
          <w:rFonts w:hint="eastAsia" w:ascii="宋体" w:hAnsi="宋体" w:cs="宋体"/>
          <w:sz w:val="24"/>
        </w:rPr>
      </w:pPr>
      <w:r>
        <w:rPr>
          <w:rFonts w:hint="eastAsia" w:ascii="宋体" w:hAnsi="宋体" w:cs="宋体"/>
          <w:sz w:val="24"/>
        </w:rPr>
        <w:t>20.1为保证采购人有足够的时间完成评标和与中标人签订合同，规定投标有效期。投标有效期期限见投标人须知前附表。</w:t>
      </w:r>
    </w:p>
    <w:p>
      <w:pPr>
        <w:spacing w:line="360" w:lineRule="auto"/>
        <w:ind w:firstLine="550"/>
        <w:rPr>
          <w:rFonts w:hint="eastAsia" w:ascii="宋体" w:hAnsi="宋体" w:cs="宋体"/>
          <w:sz w:val="24"/>
        </w:rPr>
      </w:pPr>
      <w:r>
        <w:rPr>
          <w:rFonts w:hint="eastAsia" w:ascii="宋体" w:hAnsi="宋体" w:cs="宋体"/>
          <w:sz w:val="24"/>
        </w:rPr>
        <w:t>20.2在投标有效期内，投标人的投标保持有效，投标人不得要求撤销或修改其投标文件。</w:t>
      </w:r>
    </w:p>
    <w:p>
      <w:pPr>
        <w:spacing w:line="360" w:lineRule="auto"/>
        <w:ind w:firstLine="550"/>
        <w:rPr>
          <w:rFonts w:hint="eastAsia" w:ascii="宋体" w:hAnsi="宋体" w:cs="宋体"/>
          <w:sz w:val="24"/>
        </w:rPr>
      </w:pPr>
      <w:r>
        <w:rPr>
          <w:rFonts w:hint="eastAsia" w:ascii="宋体" w:hAnsi="宋体" w:cs="宋体"/>
          <w:sz w:val="24"/>
        </w:rPr>
        <w:t>20.3投标有效期从投标截止日起计算。</w:t>
      </w:r>
    </w:p>
    <w:p>
      <w:pPr>
        <w:spacing w:line="360" w:lineRule="auto"/>
        <w:ind w:firstLine="550"/>
        <w:rPr>
          <w:rFonts w:hint="eastAsia" w:ascii="宋体" w:hAnsi="宋体" w:cs="宋体"/>
          <w:sz w:val="24"/>
        </w:rPr>
      </w:pPr>
      <w:r>
        <w:rPr>
          <w:rFonts w:hint="eastAsia" w:ascii="宋体" w:hAnsi="宋体" w:cs="宋体"/>
          <w:sz w:val="24"/>
        </w:rPr>
        <w:t>20.4在原定投标有效期满之前，如果出现特殊情况，</w:t>
      </w:r>
      <w:r>
        <w:rPr>
          <w:rFonts w:hint="eastAsia" w:ascii="宋体" w:hAnsi="宋体" w:cs="宋体"/>
          <w:bCs/>
          <w:sz w:val="24"/>
        </w:rPr>
        <w:t>采购人</w:t>
      </w:r>
      <w:r>
        <w:rPr>
          <w:rFonts w:hint="eastAsia" w:ascii="宋体" w:hAnsi="宋体" w:cs="宋体"/>
          <w:sz w:val="24"/>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pPr>
        <w:spacing w:line="360" w:lineRule="auto"/>
        <w:ind w:firstLine="550"/>
        <w:rPr>
          <w:rFonts w:hint="eastAsia" w:ascii="宋体" w:hAnsi="宋体" w:cs="宋体"/>
          <w:b/>
          <w:sz w:val="24"/>
        </w:rPr>
      </w:pPr>
      <w:r>
        <w:rPr>
          <w:rFonts w:hint="eastAsia" w:ascii="宋体" w:hAnsi="宋体" w:cs="宋体"/>
          <w:b/>
          <w:sz w:val="24"/>
        </w:rPr>
        <w:t>21.投标文件份数和签署</w:t>
      </w:r>
    </w:p>
    <w:p>
      <w:pPr>
        <w:spacing w:line="360" w:lineRule="auto"/>
        <w:ind w:firstLine="550"/>
        <w:rPr>
          <w:rFonts w:hint="eastAsia" w:ascii="宋体" w:hAnsi="宋体" w:cs="宋体"/>
          <w:sz w:val="24"/>
        </w:rPr>
      </w:pPr>
      <w:r>
        <w:rPr>
          <w:rFonts w:hint="eastAsia" w:ascii="宋体" w:hAnsi="宋体" w:cs="宋体"/>
          <w:sz w:val="24"/>
        </w:rPr>
        <w:t>21.1 投标人应按照投标人须知前附表的要求准备投标文件。</w:t>
      </w:r>
    </w:p>
    <w:p>
      <w:pPr>
        <w:spacing w:line="360" w:lineRule="auto"/>
        <w:ind w:firstLine="550"/>
        <w:rPr>
          <w:rFonts w:hint="eastAsia" w:ascii="宋体" w:hAnsi="宋体" w:cs="宋体"/>
          <w:b/>
          <w:sz w:val="24"/>
        </w:rPr>
      </w:pPr>
      <w:r>
        <w:rPr>
          <w:rFonts w:hint="eastAsia" w:ascii="宋体" w:hAnsi="宋体" w:cs="宋体"/>
          <w:sz w:val="24"/>
        </w:rPr>
        <w:t>21.2投标文件均应依招标文件要求加盖投标人电子签章</w:t>
      </w:r>
      <w:r>
        <w:rPr>
          <w:rFonts w:hint="eastAsia" w:ascii="宋体" w:hAnsi="宋体" w:cs="宋体"/>
          <w:b/>
          <w:sz w:val="24"/>
        </w:rPr>
        <w:t>。</w:t>
      </w:r>
    </w:p>
    <w:p>
      <w:pPr>
        <w:pStyle w:val="5"/>
        <w:spacing w:line="360" w:lineRule="auto"/>
        <w:ind w:firstLine="2715" w:firstLineChars="966"/>
        <w:jc w:val="both"/>
        <w:rPr>
          <w:rFonts w:hint="eastAsia" w:hAnsi="宋体" w:cs="宋体"/>
          <w:sz w:val="28"/>
        </w:rPr>
      </w:pPr>
      <w:bookmarkStart w:id="108" w:name="_Hlt509650572"/>
      <w:bookmarkEnd w:id="108"/>
      <w:bookmarkStart w:id="109" w:name="_Toc40975445"/>
      <w:bookmarkStart w:id="110" w:name="_Toc3045"/>
      <w:bookmarkStart w:id="111" w:name="_Toc860"/>
      <w:bookmarkStart w:id="112" w:name="_Toc26995"/>
      <w:bookmarkStart w:id="113" w:name="_Toc527725925"/>
      <w:r>
        <w:rPr>
          <w:rFonts w:hint="eastAsia" w:hAnsi="宋体" w:cs="宋体"/>
          <w:sz w:val="28"/>
        </w:rPr>
        <w:t>四．投标文件的递交</w:t>
      </w:r>
      <w:bookmarkEnd w:id="109"/>
      <w:bookmarkEnd w:id="110"/>
      <w:bookmarkEnd w:id="111"/>
      <w:bookmarkEnd w:id="112"/>
      <w:bookmarkEnd w:id="113"/>
      <w:bookmarkStart w:id="114" w:name="_Hlt509649414"/>
      <w:bookmarkEnd w:id="114"/>
    </w:p>
    <w:p>
      <w:pPr>
        <w:spacing w:line="360" w:lineRule="auto"/>
        <w:ind w:firstLine="550"/>
        <w:rPr>
          <w:rFonts w:hint="eastAsia" w:ascii="宋体" w:hAnsi="宋体" w:cs="宋体"/>
          <w:b/>
          <w:sz w:val="24"/>
        </w:rPr>
      </w:pPr>
      <w:r>
        <w:rPr>
          <w:rFonts w:hint="eastAsia" w:ascii="宋体" w:hAnsi="宋体" w:cs="宋体"/>
          <w:b/>
          <w:sz w:val="24"/>
        </w:rPr>
        <w:t>22.投标文件的密封和标记</w:t>
      </w:r>
    </w:p>
    <w:p>
      <w:pPr>
        <w:spacing w:line="360" w:lineRule="auto"/>
        <w:ind w:firstLine="550"/>
        <w:rPr>
          <w:rFonts w:hint="eastAsia" w:ascii="宋体" w:hAnsi="宋体" w:cs="宋体"/>
          <w:sz w:val="24"/>
        </w:rPr>
      </w:pPr>
      <w:r>
        <w:rPr>
          <w:rFonts w:hint="eastAsia" w:ascii="宋体" w:hAnsi="宋体" w:cs="宋体"/>
          <w:sz w:val="24"/>
        </w:rPr>
        <w:t>加密的电子投标文件的递交</w:t>
      </w:r>
      <w:r>
        <w:rPr>
          <w:rFonts w:hint="eastAsia" w:ascii="宋体" w:hAnsi="宋体" w:cs="宋体"/>
          <w:color w:val="000000"/>
          <w:sz w:val="24"/>
        </w:rPr>
        <w:t>，见周口市公共资源交易中心网站下载中心版块《投标单位-电子投标文件视频制作手册》的相关规定。</w:t>
      </w:r>
    </w:p>
    <w:p>
      <w:pPr>
        <w:spacing w:line="360" w:lineRule="auto"/>
        <w:ind w:firstLine="550"/>
        <w:rPr>
          <w:rFonts w:hint="eastAsia" w:ascii="宋体" w:hAnsi="宋体" w:cs="宋体"/>
          <w:b/>
          <w:sz w:val="24"/>
        </w:rPr>
      </w:pPr>
      <w:r>
        <w:rPr>
          <w:rFonts w:hint="eastAsia" w:ascii="宋体" w:hAnsi="宋体" w:cs="宋体"/>
          <w:b/>
          <w:sz w:val="24"/>
        </w:rPr>
        <w:t xml:space="preserve">23.投标文件的递交 </w:t>
      </w:r>
    </w:p>
    <w:p>
      <w:pPr>
        <w:spacing w:line="360" w:lineRule="auto"/>
        <w:ind w:firstLine="550"/>
        <w:rPr>
          <w:rFonts w:hint="eastAsia" w:ascii="宋体" w:hAnsi="宋体" w:cs="宋体"/>
          <w:sz w:val="24"/>
        </w:rPr>
      </w:pPr>
      <w:r>
        <w:rPr>
          <w:rFonts w:hint="eastAsia" w:ascii="宋体" w:hAnsi="宋体" w:cs="宋体"/>
          <w:sz w:val="24"/>
        </w:rPr>
        <w:t>23.1投标人应当在招标文件要求提交投标文件的截止时间前网上投标。</w:t>
      </w:r>
    </w:p>
    <w:p>
      <w:pPr>
        <w:spacing w:line="360" w:lineRule="auto"/>
        <w:ind w:firstLine="550"/>
        <w:rPr>
          <w:rFonts w:hint="eastAsia" w:ascii="宋体" w:hAnsi="宋体" w:cs="宋体"/>
          <w:sz w:val="24"/>
        </w:rPr>
      </w:pPr>
      <w:r>
        <w:rPr>
          <w:rFonts w:hint="eastAsia" w:ascii="宋体" w:hAnsi="宋体" w:cs="宋体"/>
          <w:sz w:val="24"/>
        </w:rPr>
        <w:t>23.2在招标文件要求提交投标文件的截止时间之后制作上传的投标文件为无效投标文件，</w:t>
      </w:r>
      <w:r>
        <w:rPr>
          <w:rFonts w:hint="eastAsia" w:ascii="宋体" w:hAnsi="宋体" w:cs="宋体"/>
          <w:bCs/>
          <w:sz w:val="24"/>
        </w:rPr>
        <w:t>采购人</w:t>
      </w:r>
      <w:r>
        <w:rPr>
          <w:rFonts w:hint="eastAsia" w:ascii="宋体" w:hAnsi="宋体" w:cs="宋体"/>
          <w:sz w:val="24"/>
        </w:rPr>
        <w:t>将拒绝接收。</w:t>
      </w:r>
    </w:p>
    <w:p>
      <w:pPr>
        <w:spacing w:line="360" w:lineRule="auto"/>
        <w:ind w:firstLine="550"/>
        <w:rPr>
          <w:rFonts w:hint="eastAsia" w:ascii="宋体" w:hAnsi="宋体" w:cs="宋体"/>
          <w:b/>
          <w:sz w:val="24"/>
        </w:rPr>
      </w:pPr>
      <w:r>
        <w:rPr>
          <w:rFonts w:hint="eastAsia" w:ascii="宋体" w:hAnsi="宋体" w:cs="宋体"/>
          <w:b/>
          <w:sz w:val="24"/>
        </w:rPr>
        <w:t>24.投标文件的修改和撤回</w:t>
      </w:r>
    </w:p>
    <w:p>
      <w:pPr>
        <w:spacing w:line="360" w:lineRule="auto"/>
        <w:ind w:firstLine="550"/>
        <w:rPr>
          <w:rFonts w:hint="eastAsia" w:ascii="宋体" w:hAnsi="宋体" w:cs="宋体"/>
          <w:sz w:val="24"/>
        </w:rPr>
      </w:pPr>
      <w:r>
        <w:rPr>
          <w:rFonts w:hint="eastAsia" w:ascii="宋体" w:hAnsi="宋体" w:cs="宋体"/>
          <w:sz w:val="24"/>
        </w:rPr>
        <w:t>投标截止日期前，投标人可以修改或撤回其投标文件；在投标截止时间后，投标人不得再要求修改或撤回其投标文件。</w:t>
      </w:r>
    </w:p>
    <w:p>
      <w:pPr>
        <w:pStyle w:val="5"/>
        <w:spacing w:line="360" w:lineRule="auto"/>
        <w:ind w:firstLine="2996" w:firstLineChars="1066"/>
        <w:jc w:val="both"/>
        <w:rPr>
          <w:rFonts w:hint="eastAsia" w:hAnsi="宋体" w:cs="宋体"/>
          <w:sz w:val="28"/>
        </w:rPr>
      </w:pPr>
      <w:bookmarkStart w:id="115" w:name="_Hlt509649294"/>
      <w:bookmarkEnd w:id="115"/>
      <w:bookmarkStart w:id="116" w:name="_Toc527725926"/>
      <w:bookmarkStart w:id="117" w:name="_Toc21729"/>
      <w:bookmarkStart w:id="118" w:name="_Toc11404"/>
      <w:bookmarkStart w:id="119" w:name="_Toc5128"/>
      <w:bookmarkStart w:id="120" w:name="_Toc40975446"/>
      <w:r>
        <w:rPr>
          <w:rFonts w:hint="eastAsia" w:hAnsi="宋体" w:cs="宋体"/>
          <w:sz w:val="28"/>
        </w:rPr>
        <w:t>五．开标与评标</w:t>
      </w:r>
      <w:bookmarkEnd w:id="116"/>
      <w:bookmarkEnd w:id="117"/>
      <w:bookmarkEnd w:id="118"/>
      <w:bookmarkEnd w:id="119"/>
      <w:bookmarkEnd w:id="120"/>
    </w:p>
    <w:p>
      <w:pPr>
        <w:snapToGrid w:val="0"/>
        <w:spacing w:line="300" w:lineRule="auto"/>
        <w:ind w:firstLine="550"/>
        <w:rPr>
          <w:rFonts w:hint="eastAsia" w:ascii="宋体" w:hAnsi="宋体" w:cs="宋体"/>
          <w:b/>
          <w:sz w:val="24"/>
          <w:szCs w:val="24"/>
        </w:rPr>
      </w:pPr>
      <w:r>
        <w:rPr>
          <w:rFonts w:hint="eastAsia" w:ascii="宋体" w:hAnsi="宋体" w:cs="宋体"/>
          <w:b/>
          <w:sz w:val="24"/>
          <w:szCs w:val="24"/>
        </w:rPr>
        <w:t>25.开标</w:t>
      </w:r>
    </w:p>
    <w:p>
      <w:pPr>
        <w:spacing w:line="360" w:lineRule="auto"/>
        <w:ind w:firstLine="549"/>
        <w:rPr>
          <w:rFonts w:hint="eastAsia" w:ascii="宋体" w:hAnsi="宋体" w:cs="宋体"/>
          <w:bCs/>
          <w:sz w:val="24"/>
        </w:rPr>
      </w:pPr>
      <w:r>
        <w:rPr>
          <w:rFonts w:hint="eastAsia" w:ascii="宋体" w:hAnsi="宋体" w:cs="宋体"/>
          <w:bCs/>
          <w:sz w:val="24"/>
        </w:rPr>
        <w:t>25.1本项目实行网上远程开标无须到现场提交投标文件。投标文件提交及解密详见周口市公共资源交易中心网</w:t>
      </w:r>
      <w:r>
        <w:rPr>
          <w:rFonts w:hint="eastAsia" w:hAnsi="宋体" w:cs="宋体"/>
          <w:sz w:val="24"/>
          <w:szCs w:val="24"/>
        </w:rPr>
        <w:t>办事指南</w:t>
      </w:r>
      <w:r>
        <w:rPr>
          <w:rFonts w:hint="eastAsia" w:ascii="宋体" w:hAnsi="宋体" w:cs="宋体"/>
          <w:bCs/>
          <w:sz w:val="24"/>
        </w:rPr>
        <w:t>《不见面开标远程在线解密会员端操作手册操作指南》。</w:t>
      </w:r>
    </w:p>
    <w:p>
      <w:pPr>
        <w:spacing w:line="360" w:lineRule="auto"/>
        <w:ind w:firstLine="549"/>
        <w:jc w:val="left"/>
        <w:rPr>
          <w:rFonts w:hint="eastAsia" w:ascii="宋体" w:hAnsi="宋体" w:cs="宋体"/>
          <w:bCs/>
          <w:sz w:val="24"/>
        </w:rPr>
      </w:pPr>
      <w:r>
        <w:rPr>
          <w:rFonts w:hint="eastAsia" w:ascii="宋体" w:hAnsi="宋体" w:cs="宋体"/>
          <w:bCs/>
          <w:sz w:val="24"/>
        </w:rPr>
        <w:t>25.2开标时，各投标单位应在规定时间内对本单位的投标文件现场解密。在解密投标文件开始时30分钟内进行解密，超时视为放弃递交投标文件。</w:t>
      </w:r>
    </w:p>
    <w:p>
      <w:pPr>
        <w:spacing w:line="360" w:lineRule="auto"/>
        <w:ind w:firstLine="549"/>
        <w:rPr>
          <w:rFonts w:hint="eastAsia" w:ascii="宋体" w:hAnsi="宋体" w:cs="宋体"/>
          <w:bCs/>
          <w:sz w:val="24"/>
        </w:rPr>
      </w:pPr>
      <w:r>
        <w:rPr>
          <w:rFonts w:hint="eastAsia" w:ascii="宋体" w:hAnsi="宋体" w:cs="宋体"/>
          <w:bCs/>
          <w:sz w:val="24"/>
        </w:rPr>
        <w:t>25.3投标资格及投标文件的法律文本将由评审委员会在评标前进行审查。资格不符合招标文件要求和相关法律规定的，投标无效。</w:t>
      </w:r>
    </w:p>
    <w:p>
      <w:pPr>
        <w:spacing w:line="360" w:lineRule="auto"/>
        <w:ind w:firstLine="549"/>
        <w:rPr>
          <w:rFonts w:hint="eastAsia" w:ascii="宋体" w:hAnsi="宋体" w:cs="宋体"/>
          <w:bCs/>
          <w:sz w:val="24"/>
        </w:rPr>
      </w:pPr>
      <w:r>
        <w:rPr>
          <w:rFonts w:hint="eastAsia" w:ascii="宋体" w:hAnsi="宋体" w:cs="宋体"/>
          <w:bCs/>
          <w:sz w:val="24"/>
        </w:rPr>
        <w:t>25.4开标时，周口市公共资源交易中心政府采购中心将通过网上开标系统公布投标人名称、投标价格，以及周口市公共资源交易中心政府采购中心认为合适的其它详细内容。</w:t>
      </w:r>
    </w:p>
    <w:p>
      <w:pPr>
        <w:spacing w:line="360" w:lineRule="auto"/>
        <w:ind w:firstLine="549"/>
        <w:rPr>
          <w:rFonts w:hint="eastAsia" w:ascii="宋体" w:hAnsi="宋体" w:cs="宋体"/>
          <w:bCs/>
          <w:sz w:val="24"/>
        </w:rPr>
      </w:pPr>
      <w:r>
        <w:rPr>
          <w:rFonts w:hint="eastAsia" w:ascii="宋体" w:hAnsi="宋体" w:cs="宋体"/>
          <w:bCs/>
          <w:sz w:val="24"/>
        </w:rPr>
        <w:t>25.5在评审结束前，未得到周口市公共资源交易中心政府采购中心允许，投标人授权代表不得离开开标现场。</w:t>
      </w:r>
    </w:p>
    <w:p>
      <w:pPr>
        <w:spacing w:line="360" w:lineRule="auto"/>
        <w:ind w:firstLine="549"/>
        <w:rPr>
          <w:rFonts w:hint="eastAsia" w:ascii="宋体" w:hAnsi="宋体" w:cs="宋体"/>
          <w:b/>
          <w:sz w:val="24"/>
        </w:rPr>
      </w:pPr>
      <w:r>
        <w:rPr>
          <w:rFonts w:hint="eastAsia" w:ascii="宋体" w:hAnsi="宋体" w:cs="宋体"/>
          <w:b/>
          <w:sz w:val="24"/>
        </w:rPr>
        <w:t>26.投标文件的澄清、说明或补正</w:t>
      </w:r>
    </w:p>
    <w:p>
      <w:pPr>
        <w:spacing w:line="360" w:lineRule="auto"/>
        <w:ind w:firstLine="549"/>
        <w:rPr>
          <w:rFonts w:hint="eastAsia" w:ascii="宋体" w:hAnsi="宋体" w:cs="宋体"/>
          <w:bCs/>
          <w:sz w:val="24"/>
        </w:rPr>
      </w:pPr>
      <w:r>
        <w:rPr>
          <w:rFonts w:hint="eastAsia" w:ascii="宋体" w:hAnsi="宋体" w:cs="宋体"/>
          <w:bCs/>
          <w:sz w:val="24"/>
        </w:rPr>
        <w:t>26.1为有助于投标的审查、评价和比较，评标委员会可以书面方式要求投标人对投标文件中含义不明确、对同类问题表述不一致或者有明显文字和计算错误的内容作必要的澄清、说明或补正。澄清、说明或补正不得超出投标文件的范围或改变投标文件的实质性内容。</w:t>
      </w:r>
    </w:p>
    <w:p>
      <w:pPr>
        <w:spacing w:line="360" w:lineRule="auto"/>
        <w:ind w:firstLine="549"/>
        <w:rPr>
          <w:rFonts w:hint="eastAsia" w:ascii="宋体" w:hAnsi="宋体" w:cs="宋体"/>
          <w:sz w:val="24"/>
        </w:rPr>
      </w:pPr>
      <w:r>
        <w:rPr>
          <w:rFonts w:hint="eastAsia" w:ascii="宋体" w:hAnsi="宋体" w:cs="宋体"/>
          <w:sz w:val="24"/>
        </w:rPr>
        <w:t>26.2投标文件中大写金额和小写金额不一致的，以大写金额为准；总价金额与按单价汇总金额不一致的，以单价金额计算结果为准；单价金额小数点有明显错位的，应以总价为准，并修改单价。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hint="eastAsia" w:ascii="宋体" w:hAnsi="宋体" w:cs="宋体"/>
          <w:bCs/>
          <w:sz w:val="24"/>
        </w:rPr>
      </w:pPr>
      <w:r>
        <w:rPr>
          <w:rFonts w:hint="eastAsia" w:ascii="宋体" w:hAnsi="宋体" w:cs="宋体"/>
          <w:sz w:val="24"/>
        </w:rPr>
        <w:t>26.3</w:t>
      </w:r>
      <w:r>
        <w:rPr>
          <w:rFonts w:hint="eastAsia" w:ascii="宋体" w:hAnsi="宋体" w:cs="宋体"/>
          <w:bCs/>
          <w:sz w:val="24"/>
        </w:rPr>
        <w:t>开标一览表内容与投标文件中明细表内容不一致的，以开标一览表为准。</w:t>
      </w:r>
    </w:p>
    <w:p>
      <w:pPr>
        <w:spacing w:line="360" w:lineRule="auto"/>
        <w:ind w:firstLine="549"/>
        <w:rPr>
          <w:rFonts w:hint="eastAsia" w:ascii="宋体" w:hAnsi="宋体" w:cs="宋体"/>
          <w:bCs/>
          <w:sz w:val="24"/>
        </w:rPr>
      </w:pPr>
      <w:r>
        <w:rPr>
          <w:rFonts w:hint="eastAsia" w:ascii="宋体" w:hAnsi="宋体" w:cs="宋体"/>
          <w:bCs/>
          <w:sz w:val="24"/>
        </w:rPr>
        <w:t>26.4 如同时出现26.2条和26.3条所述的不一致情况，以开标一览表为准。</w:t>
      </w:r>
    </w:p>
    <w:p>
      <w:pPr>
        <w:spacing w:line="360" w:lineRule="auto"/>
        <w:ind w:firstLine="549"/>
        <w:rPr>
          <w:rFonts w:hint="eastAsia" w:ascii="宋体" w:hAnsi="宋体" w:cs="宋体"/>
          <w:b/>
          <w:sz w:val="24"/>
        </w:rPr>
      </w:pPr>
      <w:r>
        <w:rPr>
          <w:rFonts w:hint="eastAsia" w:ascii="宋体" w:hAnsi="宋体" w:cs="宋体"/>
          <w:b/>
          <w:sz w:val="24"/>
        </w:rPr>
        <w:t>27.评标</w:t>
      </w:r>
    </w:p>
    <w:p>
      <w:pPr>
        <w:spacing w:line="360" w:lineRule="auto"/>
        <w:ind w:firstLine="523" w:firstLineChars="218"/>
        <w:rPr>
          <w:rFonts w:hint="eastAsia" w:ascii="宋体" w:hAnsi="宋体" w:cs="宋体"/>
          <w:b/>
          <w:sz w:val="24"/>
        </w:rPr>
      </w:pPr>
      <w:r>
        <w:rPr>
          <w:rFonts w:hint="eastAsia" w:ascii="宋体" w:hAnsi="宋体" w:cs="宋体"/>
          <w:sz w:val="24"/>
        </w:rPr>
        <w:t>27.1 评委会将按照招标文件规定的评标办法对投标人独立进行投标评审。投标评审分为符合性审查和综合评分。</w:t>
      </w:r>
    </w:p>
    <w:p>
      <w:pPr>
        <w:spacing w:line="360" w:lineRule="auto"/>
        <w:ind w:firstLine="549"/>
        <w:rPr>
          <w:rFonts w:hint="eastAsia" w:ascii="宋体" w:hAnsi="宋体" w:cs="宋体"/>
          <w:sz w:val="24"/>
        </w:rPr>
      </w:pPr>
      <w:r>
        <w:rPr>
          <w:rFonts w:hint="eastAsia" w:ascii="宋体" w:hAnsi="宋体" w:cs="宋体"/>
          <w:sz w:val="24"/>
        </w:rPr>
        <w:t>27.2符合性审查时，评委会将首先审查投标文件是否实质上响应招标文件的各项指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hint="eastAsia" w:ascii="宋体" w:hAnsi="宋体" w:cs="宋体"/>
          <w:sz w:val="24"/>
        </w:rPr>
      </w:pPr>
      <w:r>
        <w:rPr>
          <w:rFonts w:hint="eastAsia" w:ascii="宋体" w:hAnsi="宋体" w:cs="宋体"/>
          <w:sz w:val="24"/>
        </w:rPr>
        <w:t>有下列情形之一的，评标委员会应当否决其投标：</w:t>
      </w:r>
    </w:p>
    <w:p>
      <w:pPr>
        <w:spacing w:line="360" w:lineRule="auto"/>
        <w:ind w:firstLine="549"/>
        <w:rPr>
          <w:rFonts w:hint="eastAsia" w:ascii="宋体" w:hAnsi="宋体" w:cs="宋体"/>
          <w:sz w:val="24"/>
        </w:rPr>
      </w:pPr>
      <w:r>
        <w:rPr>
          <w:rFonts w:hint="eastAsia" w:ascii="宋体" w:hAnsi="宋体" w:cs="宋体"/>
          <w:sz w:val="24"/>
        </w:rPr>
        <w:t>27.2.1投标文件未经投标单位电子签章的；</w:t>
      </w:r>
    </w:p>
    <w:p>
      <w:pPr>
        <w:spacing w:line="360" w:lineRule="auto"/>
        <w:ind w:firstLine="549"/>
        <w:rPr>
          <w:rFonts w:hint="eastAsia" w:ascii="宋体" w:hAnsi="宋体" w:cs="宋体"/>
          <w:sz w:val="24"/>
        </w:rPr>
      </w:pPr>
      <w:r>
        <w:rPr>
          <w:rFonts w:hint="eastAsia" w:ascii="宋体" w:hAnsi="宋体" w:cs="宋体"/>
          <w:sz w:val="24"/>
        </w:rPr>
        <w:t>27.2.2投标联合体没有提交共同投标协议；</w:t>
      </w:r>
    </w:p>
    <w:p>
      <w:pPr>
        <w:spacing w:line="360" w:lineRule="auto"/>
        <w:ind w:firstLine="549"/>
        <w:rPr>
          <w:rFonts w:hint="eastAsia" w:ascii="宋体" w:hAnsi="宋体" w:cs="宋体"/>
          <w:sz w:val="24"/>
        </w:rPr>
      </w:pPr>
      <w:r>
        <w:rPr>
          <w:rFonts w:hint="eastAsia" w:ascii="宋体" w:hAnsi="宋体" w:cs="宋体"/>
          <w:sz w:val="24"/>
        </w:rPr>
        <w:t>27.2.3投标人不符合国家或者招标文件规定的资格条件；</w:t>
      </w:r>
    </w:p>
    <w:p>
      <w:pPr>
        <w:spacing w:line="360" w:lineRule="auto"/>
        <w:ind w:firstLine="549"/>
        <w:rPr>
          <w:rFonts w:hint="eastAsia" w:ascii="宋体" w:hAnsi="宋体" w:cs="宋体"/>
          <w:sz w:val="24"/>
        </w:rPr>
      </w:pPr>
      <w:r>
        <w:rPr>
          <w:rFonts w:hint="eastAsia" w:ascii="宋体" w:hAnsi="宋体" w:cs="宋体"/>
          <w:sz w:val="24"/>
        </w:rPr>
        <w:t>27.2.4同一投标人提交两个以上不同的投标文件或者投标报价，但招标文件要求提交备选投标的除外；</w:t>
      </w:r>
    </w:p>
    <w:p>
      <w:pPr>
        <w:spacing w:line="360" w:lineRule="auto"/>
        <w:ind w:firstLine="549"/>
        <w:rPr>
          <w:rFonts w:hint="eastAsia" w:ascii="宋体" w:hAnsi="宋体" w:cs="宋体"/>
          <w:sz w:val="24"/>
        </w:rPr>
      </w:pPr>
      <w:r>
        <w:rPr>
          <w:rFonts w:hint="eastAsia" w:ascii="宋体" w:hAnsi="宋体" w:cs="宋体"/>
          <w:sz w:val="24"/>
        </w:rPr>
        <w:t>27.2.5投标报价或者某些分项报价明显不合理或者低于成本，有可能影响商品质量和不能诚信履约；</w:t>
      </w:r>
    </w:p>
    <w:p>
      <w:pPr>
        <w:spacing w:line="360" w:lineRule="auto"/>
        <w:ind w:firstLine="549"/>
        <w:rPr>
          <w:rFonts w:hint="eastAsia" w:ascii="宋体" w:hAnsi="宋体" w:cs="宋体"/>
          <w:sz w:val="24"/>
        </w:rPr>
      </w:pPr>
      <w:r>
        <w:rPr>
          <w:rFonts w:hint="eastAsia" w:ascii="宋体" w:hAnsi="宋体" w:cs="宋体"/>
          <w:sz w:val="24"/>
        </w:rPr>
        <w:t>27.2.6投标报价高于招标文件设定的最高投标限价；</w:t>
      </w:r>
    </w:p>
    <w:p>
      <w:pPr>
        <w:spacing w:line="360" w:lineRule="auto"/>
        <w:ind w:firstLine="549"/>
        <w:rPr>
          <w:rFonts w:hint="eastAsia" w:ascii="宋体" w:hAnsi="宋体" w:cs="宋体"/>
          <w:sz w:val="24"/>
        </w:rPr>
      </w:pPr>
      <w:r>
        <w:rPr>
          <w:rFonts w:hint="eastAsia" w:ascii="宋体" w:hAnsi="宋体" w:cs="宋体"/>
          <w:sz w:val="24"/>
        </w:rPr>
        <w:t>27.2.7投标文件没有对招标文件的实质性要求和条件作出响应；</w:t>
      </w:r>
    </w:p>
    <w:p>
      <w:pPr>
        <w:spacing w:line="360" w:lineRule="auto"/>
        <w:ind w:firstLine="549"/>
        <w:rPr>
          <w:rFonts w:hint="eastAsia" w:ascii="宋体" w:hAnsi="宋体" w:cs="宋体"/>
          <w:sz w:val="24"/>
        </w:rPr>
      </w:pPr>
      <w:r>
        <w:rPr>
          <w:rFonts w:hint="eastAsia" w:ascii="宋体" w:hAnsi="宋体" w:cs="宋体"/>
          <w:sz w:val="24"/>
        </w:rPr>
        <w:t>27.2.8投标人有串通投标、弄虚作假、行贿等违法行为；</w:t>
      </w:r>
    </w:p>
    <w:p>
      <w:pPr>
        <w:spacing w:line="360" w:lineRule="auto"/>
        <w:ind w:firstLine="549"/>
        <w:rPr>
          <w:rFonts w:hint="eastAsia" w:ascii="宋体" w:hAnsi="宋体" w:cs="宋体"/>
          <w:sz w:val="24"/>
        </w:rPr>
      </w:pPr>
      <w:r>
        <w:rPr>
          <w:rFonts w:hint="eastAsia" w:ascii="宋体" w:hAnsi="宋体" w:cs="宋体"/>
          <w:sz w:val="24"/>
        </w:rPr>
        <w:t>27.2.8 不同投标人在同一台计算机上制作投标文件的；</w:t>
      </w:r>
    </w:p>
    <w:p>
      <w:pPr>
        <w:spacing w:line="360" w:lineRule="auto"/>
        <w:ind w:firstLine="549"/>
        <w:rPr>
          <w:rFonts w:hint="eastAsia" w:ascii="宋体" w:hAnsi="宋体" w:cs="宋体"/>
          <w:sz w:val="24"/>
        </w:rPr>
      </w:pPr>
      <w:r>
        <w:rPr>
          <w:rFonts w:hint="eastAsia" w:ascii="宋体" w:hAnsi="宋体" w:cs="宋体"/>
          <w:sz w:val="24"/>
        </w:rPr>
        <w:t>27.3如果投标文件未通过投标符合性审查，投标无效。</w:t>
      </w:r>
    </w:p>
    <w:p>
      <w:pPr>
        <w:spacing w:line="360" w:lineRule="auto"/>
        <w:ind w:firstLine="549"/>
        <w:rPr>
          <w:rFonts w:hint="eastAsia" w:ascii="宋体" w:hAnsi="宋体" w:cs="宋体"/>
          <w:sz w:val="24"/>
        </w:rPr>
      </w:pPr>
      <w:r>
        <w:rPr>
          <w:rFonts w:hint="eastAsia" w:ascii="宋体" w:hAnsi="宋体" w:cs="宋体"/>
          <w:sz w:val="24"/>
        </w:rPr>
        <w:t>27.4评委会决定投标文件的响应性及符合性只根据投标文件本身的内容，不寻求其他外部证据。</w:t>
      </w:r>
    </w:p>
    <w:p>
      <w:pPr>
        <w:spacing w:line="360" w:lineRule="auto"/>
        <w:ind w:firstLine="549"/>
        <w:rPr>
          <w:rFonts w:hint="eastAsia" w:ascii="宋体" w:hAnsi="宋体" w:cs="宋体"/>
          <w:b/>
          <w:bCs/>
          <w:sz w:val="24"/>
        </w:rPr>
      </w:pPr>
      <w:r>
        <w:rPr>
          <w:rFonts w:hint="eastAsia" w:ascii="宋体" w:hAnsi="宋体" w:cs="宋体"/>
          <w:b/>
          <w:bCs/>
          <w:sz w:val="24"/>
        </w:rPr>
        <w:t>28</w:t>
      </w:r>
      <w:r>
        <w:rPr>
          <w:rFonts w:hint="eastAsia" w:ascii="宋体" w:hAnsi="宋体" w:cs="宋体"/>
          <w:b/>
          <w:sz w:val="24"/>
        </w:rPr>
        <w:t>.</w:t>
      </w:r>
      <w:r>
        <w:rPr>
          <w:rFonts w:hint="eastAsia" w:ascii="宋体" w:hAnsi="宋体" w:cs="宋体"/>
          <w:b/>
          <w:bCs/>
          <w:sz w:val="24"/>
        </w:rPr>
        <w:t>废标处理</w:t>
      </w:r>
    </w:p>
    <w:p>
      <w:pPr>
        <w:spacing w:line="360" w:lineRule="auto"/>
        <w:ind w:firstLine="549"/>
        <w:rPr>
          <w:rFonts w:hint="eastAsia" w:ascii="宋体" w:hAnsi="宋体" w:cs="宋体"/>
          <w:sz w:val="24"/>
        </w:rPr>
      </w:pPr>
      <w:r>
        <w:rPr>
          <w:rFonts w:hint="eastAsia" w:ascii="宋体" w:hAnsi="宋体" w:cs="宋体"/>
          <w:sz w:val="24"/>
        </w:rPr>
        <w:t>28.1在招标采购中，出现下列情形之一的，周口市公共资源交易中心政府采购中心有权宣布废标：</w:t>
      </w:r>
    </w:p>
    <w:p>
      <w:pPr>
        <w:spacing w:line="360" w:lineRule="auto"/>
        <w:ind w:firstLine="523" w:firstLineChars="218"/>
        <w:rPr>
          <w:rFonts w:hint="eastAsia" w:ascii="宋体" w:hAnsi="宋体" w:cs="宋体"/>
          <w:sz w:val="24"/>
        </w:rPr>
      </w:pPr>
      <w:r>
        <w:rPr>
          <w:rFonts w:hint="eastAsia" w:ascii="宋体" w:hAnsi="宋体" w:cs="宋体"/>
          <w:sz w:val="24"/>
        </w:rPr>
        <w:t>28.1.1符合专业条件的投标人或对招标文件作实质响应的投标人不足三家的；</w:t>
      </w:r>
    </w:p>
    <w:p>
      <w:pPr>
        <w:spacing w:line="360" w:lineRule="auto"/>
        <w:ind w:firstLine="523" w:firstLineChars="218"/>
        <w:rPr>
          <w:rFonts w:hint="eastAsia" w:ascii="宋体" w:hAnsi="宋体" w:cs="宋体"/>
          <w:sz w:val="24"/>
        </w:rPr>
      </w:pPr>
      <w:r>
        <w:rPr>
          <w:rFonts w:hint="eastAsia" w:ascii="宋体" w:hAnsi="宋体" w:cs="宋体"/>
          <w:sz w:val="24"/>
        </w:rPr>
        <w:t>28.1.2投标人的报价均超过采购预算，采购人不能支付的；</w:t>
      </w:r>
    </w:p>
    <w:p>
      <w:pPr>
        <w:spacing w:line="360" w:lineRule="auto"/>
        <w:ind w:firstLine="523" w:firstLineChars="218"/>
        <w:rPr>
          <w:rFonts w:hint="eastAsia" w:ascii="宋体" w:hAnsi="宋体" w:cs="宋体"/>
          <w:sz w:val="24"/>
        </w:rPr>
      </w:pPr>
      <w:r>
        <w:rPr>
          <w:rFonts w:hint="eastAsia" w:ascii="宋体" w:hAnsi="宋体" w:cs="宋体"/>
          <w:sz w:val="24"/>
        </w:rPr>
        <w:t>28.1.3出现影响采购公正的违法、违规行为的；</w:t>
      </w:r>
    </w:p>
    <w:p>
      <w:pPr>
        <w:spacing w:line="360" w:lineRule="auto"/>
        <w:ind w:firstLine="523" w:firstLineChars="218"/>
        <w:rPr>
          <w:rFonts w:hint="eastAsia" w:ascii="宋体" w:hAnsi="宋体" w:cs="宋体"/>
          <w:sz w:val="24"/>
        </w:rPr>
      </w:pPr>
      <w:r>
        <w:rPr>
          <w:rFonts w:hint="eastAsia" w:ascii="宋体" w:hAnsi="宋体" w:cs="宋体"/>
          <w:sz w:val="24"/>
        </w:rPr>
        <w:t>28.1.4因重大变故，采购任务取消的。</w:t>
      </w:r>
    </w:p>
    <w:p>
      <w:pPr>
        <w:spacing w:line="360" w:lineRule="auto"/>
        <w:ind w:firstLine="549"/>
        <w:rPr>
          <w:rFonts w:hint="eastAsia" w:ascii="宋体" w:hAnsi="宋体" w:cs="宋体"/>
          <w:sz w:val="24"/>
        </w:rPr>
      </w:pPr>
      <w:r>
        <w:rPr>
          <w:rFonts w:hint="eastAsia" w:ascii="宋体" w:hAnsi="宋体" w:cs="宋体"/>
          <w:sz w:val="24"/>
        </w:rPr>
        <w:t>废标后，周口市公共资源交易中心政府采购中心会把废标理由通知所有投标人。</w:t>
      </w:r>
    </w:p>
    <w:p>
      <w:pPr>
        <w:spacing w:line="360" w:lineRule="auto"/>
        <w:ind w:firstLine="549"/>
        <w:rPr>
          <w:rFonts w:hint="eastAsia" w:ascii="宋体" w:hAnsi="宋体" w:cs="宋体"/>
          <w:sz w:val="24"/>
        </w:rPr>
      </w:pPr>
      <w:r>
        <w:rPr>
          <w:rFonts w:hint="eastAsia" w:ascii="宋体" w:hAnsi="宋体" w:cs="宋体"/>
          <w:sz w:val="24"/>
        </w:rPr>
        <w:t>28.2 因上条第一款、第二款规定情形导致废标的，若采购人提出申请，报经政府采购监督管理部门批准，可现场改为竞争性谈判，投标人有下列情形之一的，不得参加谈判：</w:t>
      </w:r>
    </w:p>
    <w:p>
      <w:pPr>
        <w:spacing w:line="360" w:lineRule="auto"/>
        <w:ind w:firstLine="523" w:firstLineChars="218"/>
        <w:rPr>
          <w:rFonts w:hint="eastAsia" w:ascii="宋体" w:hAnsi="宋体" w:cs="宋体"/>
          <w:sz w:val="24"/>
        </w:rPr>
      </w:pPr>
      <w:r>
        <w:rPr>
          <w:rFonts w:hint="eastAsia" w:ascii="宋体" w:hAnsi="宋体" w:cs="宋体"/>
          <w:sz w:val="24"/>
        </w:rPr>
        <w:t>28.2.1放弃参加投标的；</w:t>
      </w:r>
    </w:p>
    <w:p>
      <w:pPr>
        <w:spacing w:line="360" w:lineRule="auto"/>
        <w:ind w:firstLine="523" w:firstLineChars="218"/>
        <w:rPr>
          <w:rFonts w:hint="eastAsia" w:ascii="宋体" w:hAnsi="宋体" w:cs="宋体"/>
          <w:sz w:val="24"/>
        </w:rPr>
      </w:pPr>
      <w:r>
        <w:rPr>
          <w:rFonts w:hint="eastAsia" w:ascii="宋体" w:hAnsi="宋体" w:cs="宋体"/>
          <w:sz w:val="24"/>
        </w:rPr>
        <w:t>28.2.2未经周口市公共资源交易中心政府采购中心允许，离开开标现场通知不上的；</w:t>
      </w:r>
    </w:p>
    <w:p>
      <w:pPr>
        <w:spacing w:line="360" w:lineRule="auto"/>
        <w:ind w:firstLine="523" w:firstLineChars="218"/>
        <w:rPr>
          <w:rFonts w:hint="eastAsia" w:ascii="宋体" w:hAnsi="宋体" w:cs="宋体"/>
          <w:sz w:val="24"/>
        </w:rPr>
      </w:pPr>
      <w:r>
        <w:rPr>
          <w:rFonts w:hint="eastAsia" w:ascii="宋体" w:hAnsi="宋体" w:cs="宋体"/>
          <w:sz w:val="24"/>
        </w:rPr>
        <w:t>28.2.3不符合招标文件列明的专业条件的；</w:t>
      </w:r>
    </w:p>
    <w:p>
      <w:pPr>
        <w:spacing w:line="360" w:lineRule="auto"/>
        <w:ind w:firstLine="523" w:firstLineChars="218"/>
        <w:rPr>
          <w:rFonts w:hint="eastAsia" w:ascii="宋体" w:hAnsi="宋体" w:cs="宋体"/>
          <w:sz w:val="24"/>
        </w:rPr>
      </w:pPr>
      <w:r>
        <w:rPr>
          <w:rFonts w:hint="eastAsia" w:ascii="宋体" w:hAnsi="宋体" w:cs="宋体"/>
          <w:sz w:val="24"/>
        </w:rPr>
        <w:t>28.2.4未按规定交纳谈判保证金的；</w:t>
      </w:r>
    </w:p>
    <w:p>
      <w:pPr>
        <w:spacing w:line="360" w:lineRule="auto"/>
        <w:ind w:firstLine="523" w:firstLineChars="218"/>
        <w:rPr>
          <w:rFonts w:hint="eastAsia" w:ascii="宋体" w:hAnsi="宋体" w:cs="宋体"/>
          <w:sz w:val="24"/>
        </w:rPr>
      </w:pPr>
      <w:r>
        <w:rPr>
          <w:rFonts w:hint="eastAsia" w:ascii="宋体" w:hAnsi="宋体" w:cs="宋体"/>
          <w:sz w:val="24"/>
        </w:rPr>
        <w:t>28.2.5有影响采购公正的违法、违规行为造成项目废标的；</w:t>
      </w:r>
    </w:p>
    <w:p>
      <w:pPr>
        <w:spacing w:line="360" w:lineRule="auto"/>
        <w:ind w:firstLine="523" w:firstLineChars="218"/>
        <w:rPr>
          <w:rFonts w:hint="eastAsia" w:ascii="宋体" w:hAnsi="宋体" w:cs="宋体"/>
          <w:sz w:val="24"/>
        </w:rPr>
      </w:pPr>
      <w:r>
        <w:rPr>
          <w:rFonts w:hint="eastAsia" w:ascii="宋体" w:hAnsi="宋体" w:cs="宋体"/>
          <w:sz w:val="24"/>
        </w:rPr>
        <w:t>28.2.6其他不符合竞争性谈判条件的情况。</w:t>
      </w:r>
    </w:p>
    <w:p>
      <w:pPr>
        <w:spacing w:line="360" w:lineRule="auto"/>
        <w:ind w:firstLine="549"/>
        <w:rPr>
          <w:rFonts w:hint="eastAsia" w:ascii="宋体" w:hAnsi="宋体" w:cs="宋体"/>
          <w:sz w:val="24"/>
          <w:szCs w:val="24"/>
        </w:rPr>
      </w:pPr>
      <w:r>
        <w:rPr>
          <w:rFonts w:hint="eastAsia" w:ascii="宋体" w:hAnsi="宋体" w:cs="宋体"/>
          <w:sz w:val="24"/>
          <w:szCs w:val="24"/>
        </w:rPr>
        <w:t>28.3采购方式现场改为竞争性谈判时，</w:t>
      </w:r>
      <w:r>
        <w:rPr>
          <w:rFonts w:hint="eastAsia" w:ascii="宋体" w:hAnsi="宋体" w:cs="宋体"/>
          <w:sz w:val="24"/>
        </w:rPr>
        <w:t>周口市公共资源交易中心政府采购中心</w:t>
      </w:r>
      <w:r>
        <w:rPr>
          <w:rFonts w:hint="eastAsia" w:ascii="宋体" w:hAnsi="宋体" w:cs="宋体"/>
          <w:sz w:val="24"/>
          <w:szCs w:val="24"/>
        </w:rPr>
        <w:t>以《招标流标现场转谈判邀请函》方式函告投标现场各投标人，投标人授权代表签字确认参加谈判。放弃谈判的视同自动放弃本项目的投标资格。竞争性谈判应当至少有两家及以上投标人参加。如参加谈判的投标人少于两家，谈判做流标处理。</w:t>
      </w:r>
    </w:p>
    <w:p>
      <w:pPr>
        <w:spacing w:line="360" w:lineRule="auto"/>
        <w:ind w:firstLine="549"/>
        <w:rPr>
          <w:rFonts w:hint="eastAsia" w:ascii="宋体" w:hAnsi="宋体" w:cs="宋体"/>
          <w:sz w:val="24"/>
          <w:szCs w:val="24"/>
        </w:rPr>
      </w:pPr>
      <w:r>
        <w:rPr>
          <w:rFonts w:hint="eastAsia" w:ascii="宋体" w:hAnsi="宋体" w:cs="宋体"/>
          <w:sz w:val="24"/>
          <w:szCs w:val="24"/>
        </w:rPr>
        <w:t>28.3.1谈判时，若投标人未能在评委会指定时间内（原则上不超过60分钟）提交符合要求的补充资料或未作出实质性响应的，投标无效。经过审查符合谈判要求的有效投标人少于两家的，谈判做流标处理。</w:t>
      </w:r>
    </w:p>
    <w:p>
      <w:pPr>
        <w:spacing w:line="360" w:lineRule="auto"/>
        <w:ind w:firstLine="549"/>
        <w:rPr>
          <w:rFonts w:hint="eastAsia" w:ascii="宋体" w:hAnsi="宋体" w:cs="宋体"/>
          <w:sz w:val="24"/>
          <w:szCs w:val="24"/>
        </w:rPr>
      </w:pPr>
      <w:r>
        <w:rPr>
          <w:rFonts w:hint="eastAsia" w:ascii="宋体" w:hAnsi="宋体" w:cs="宋体"/>
          <w:sz w:val="24"/>
          <w:szCs w:val="24"/>
        </w:rPr>
        <w:t>28.3.2投标文件的报价视为谈判时的首次报价，未唱标转谈判的，谈判时不公开投标人各轮报价。已经唱标而转谈判的，谈判前公布各参与谈判的投标人首轮报价。</w:t>
      </w:r>
    </w:p>
    <w:p>
      <w:pPr>
        <w:spacing w:line="360" w:lineRule="auto"/>
        <w:ind w:firstLine="549"/>
        <w:rPr>
          <w:rFonts w:hint="eastAsia" w:ascii="宋体" w:hAnsi="宋体" w:cs="宋体"/>
          <w:sz w:val="24"/>
          <w:szCs w:val="24"/>
        </w:rPr>
      </w:pPr>
      <w:r>
        <w:rPr>
          <w:rFonts w:hint="eastAsia" w:ascii="宋体" w:hAnsi="宋体" w:cs="宋体"/>
          <w:sz w:val="24"/>
          <w:szCs w:val="24"/>
        </w:rPr>
        <w:t>28.3.3在谈判内容不作实质性变更及重大调整的前提下，投标人次轮报价不得高于上一轮报价。</w:t>
      </w:r>
    </w:p>
    <w:p>
      <w:pPr>
        <w:spacing w:line="360" w:lineRule="auto"/>
        <w:ind w:firstLine="482" w:firstLineChars="200"/>
        <w:rPr>
          <w:rFonts w:hint="eastAsia" w:ascii="宋体" w:hAnsi="宋体" w:cs="宋体"/>
          <w:b/>
          <w:bCs/>
          <w:sz w:val="24"/>
        </w:rPr>
      </w:pPr>
      <w:r>
        <w:rPr>
          <w:rFonts w:hint="eastAsia" w:ascii="宋体" w:hAnsi="宋体" w:cs="宋体"/>
          <w:b/>
          <w:bCs/>
          <w:sz w:val="24"/>
        </w:rPr>
        <w:t>29</w:t>
      </w:r>
      <w:r>
        <w:rPr>
          <w:rFonts w:hint="eastAsia" w:ascii="宋体" w:hAnsi="宋体" w:cs="宋体"/>
          <w:b/>
          <w:sz w:val="24"/>
        </w:rPr>
        <w:t>.</w:t>
      </w:r>
      <w:r>
        <w:rPr>
          <w:rFonts w:hint="eastAsia" w:ascii="宋体" w:hAnsi="宋体" w:cs="宋体"/>
          <w:b/>
          <w:bCs/>
          <w:sz w:val="24"/>
        </w:rPr>
        <w:t>二次采购</w:t>
      </w:r>
    </w:p>
    <w:p>
      <w:pPr>
        <w:spacing w:line="360" w:lineRule="auto"/>
        <w:ind w:firstLine="480" w:firstLineChars="200"/>
        <w:rPr>
          <w:rFonts w:hint="eastAsia" w:ascii="宋体" w:hAnsi="宋体" w:cs="宋体"/>
          <w:sz w:val="24"/>
        </w:rPr>
      </w:pPr>
      <w:r>
        <w:rPr>
          <w:rFonts w:hint="eastAsia" w:ascii="宋体" w:hAnsi="宋体" w:cs="宋体"/>
          <w:sz w:val="24"/>
        </w:rPr>
        <w:t>项目废标后，周口市公共资源交易中心政府采购中心可能发布二次公告（投标邀请），进行二次采购。</w:t>
      </w:r>
    </w:p>
    <w:p>
      <w:pPr>
        <w:spacing w:line="360" w:lineRule="auto"/>
        <w:ind w:firstLine="480" w:firstLineChars="200"/>
        <w:rPr>
          <w:rFonts w:hint="eastAsia" w:ascii="宋体" w:hAnsi="宋体" w:cs="宋体"/>
          <w:sz w:val="24"/>
        </w:rPr>
      </w:pPr>
      <w:r>
        <w:rPr>
          <w:rFonts w:hint="eastAsia" w:ascii="宋体" w:hAnsi="宋体" w:cs="宋体"/>
          <w:sz w:val="24"/>
        </w:rPr>
        <w:t>前款所述“二次”，系指项目废标后的重新公告及采购，并不仅限于项目的第二次公告及采购。</w:t>
      </w:r>
    </w:p>
    <w:p>
      <w:pPr>
        <w:pStyle w:val="5"/>
        <w:spacing w:line="360" w:lineRule="auto"/>
        <w:ind w:firstLine="2715" w:firstLineChars="966"/>
        <w:jc w:val="both"/>
        <w:rPr>
          <w:rFonts w:hint="eastAsia" w:hAnsi="宋体" w:cs="宋体"/>
          <w:sz w:val="28"/>
        </w:rPr>
      </w:pPr>
      <w:bookmarkStart w:id="121" w:name="_Toc7660"/>
      <w:bookmarkStart w:id="122" w:name="_Toc40975447"/>
      <w:bookmarkStart w:id="123" w:name="_Toc20916"/>
      <w:bookmarkStart w:id="124" w:name="_Toc527725927"/>
      <w:bookmarkStart w:id="125" w:name="_Toc32663"/>
      <w:bookmarkStart w:id="126" w:name="_Toc516969091"/>
      <w:r>
        <w:rPr>
          <w:rFonts w:hint="eastAsia" w:hAnsi="宋体" w:cs="宋体"/>
          <w:sz w:val="28"/>
        </w:rPr>
        <w:t>六．定标与签订合同</w:t>
      </w:r>
      <w:bookmarkEnd w:id="121"/>
      <w:bookmarkEnd w:id="122"/>
      <w:bookmarkEnd w:id="123"/>
      <w:bookmarkEnd w:id="124"/>
      <w:bookmarkEnd w:id="125"/>
      <w:bookmarkEnd w:id="126"/>
    </w:p>
    <w:p>
      <w:pPr>
        <w:spacing w:line="360" w:lineRule="auto"/>
        <w:ind w:firstLine="549"/>
        <w:rPr>
          <w:rFonts w:hint="eastAsia" w:ascii="宋体" w:hAnsi="宋体" w:cs="宋体"/>
          <w:b/>
          <w:sz w:val="24"/>
        </w:rPr>
      </w:pPr>
      <w:r>
        <w:rPr>
          <w:rFonts w:hint="eastAsia" w:ascii="宋体" w:hAnsi="宋体" w:cs="宋体"/>
          <w:b/>
          <w:sz w:val="24"/>
        </w:rPr>
        <w:t>30.定标</w:t>
      </w:r>
    </w:p>
    <w:p>
      <w:pPr>
        <w:spacing w:line="360" w:lineRule="auto"/>
        <w:ind w:firstLine="549"/>
        <w:rPr>
          <w:rFonts w:hint="eastAsia" w:ascii="宋体" w:hAnsi="宋体" w:cs="宋体"/>
          <w:sz w:val="24"/>
        </w:rPr>
      </w:pPr>
      <w:r>
        <w:rPr>
          <w:rFonts w:hint="eastAsia" w:ascii="宋体" w:hAnsi="宋体" w:cs="宋体"/>
          <w:sz w:val="24"/>
        </w:rPr>
        <w:t>30.1 投标符合性审查后，评委会应当按招标文件规定的综合评分办法提出独立评审意见，推荐中标候选人。</w:t>
      </w:r>
    </w:p>
    <w:p>
      <w:pPr>
        <w:spacing w:line="360" w:lineRule="auto"/>
        <w:ind w:firstLine="549"/>
        <w:rPr>
          <w:rFonts w:hint="eastAsia" w:ascii="宋体" w:hAnsi="宋体" w:cs="宋体"/>
          <w:sz w:val="24"/>
        </w:rPr>
      </w:pPr>
      <w:r>
        <w:rPr>
          <w:rFonts w:hint="eastAsia" w:ascii="宋体" w:hAnsi="宋体" w:cs="宋体"/>
          <w:sz w:val="24"/>
        </w:rPr>
        <w:t>30.2采购人应当自收到评审报告之日起5个工作日内在评审报告推荐的中标或者成交候选人中按顺序确定中标或者成交供应商。</w:t>
      </w:r>
    </w:p>
    <w:p>
      <w:pPr>
        <w:spacing w:line="360" w:lineRule="auto"/>
        <w:ind w:firstLine="549"/>
        <w:rPr>
          <w:rFonts w:hint="eastAsia" w:ascii="宋体" w:hAnsi="宋体" w:cs="宋体"/>
          <w:sz w:val="24"/>
        </w:rPr>
      </w:pPr>
      <w:r>
        <w:rPr>
          <w:rFonts w:hint="eastAsia" w:ascii="宋体" w:hAnsi="宋体" w:cs="宋体"/>
          <w:sz w:val="24"/>
        </w:rPr>
        <w:t>30.3如评委会认为有必要，首先对第一中标候选人就投标文件所提供的内容是否符合招标文件的要求进行资格后审。资格后审视为本项目采购活动的延续，以书面报告作为最终审查的结果。如果确定第一中标候选人无法履行合同，将按排名依次对其余中标候选人进行类似的审查。</w:t>
      </w:r>
    </w:p>
    <w:p>
      <w:pPr>
        <w:spacing w:line="360" w:lineRule="auto"/>
        <w:ind w:firstLine="549"/>
        <w:rPr>
          <w:rFonts w:hint="eastAsia" w:ascii="宋体" w:hAnsi="宋体" w:cs="宋体"/>
          <w:sz w:val="24"/>
        </w:rPr>
      </w:pPr>
      <w:r>
        <w:rPr>
          <w:rFonts w:hint="eastAsia" w:ascii="宋体" w:hAnsi="宋体" w:cs="宋体"/>
          <w:sz w:val="24"/>
        </w:rPr>
        <w:t>排名第一的中标候选人放弃中标、因不可抗力不能履行合同、不按照合同约定提交履约保证金，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549"/>
        <w:rPr>
          <w:rFonts w:hint="eastAsia" w:ascii="宋体" w:hAnsi="宋体" w:cs="宋体"/>
          <w:sz w:val="24"/>
        </w:rPr>
      </w:pPr>
      <w:r>
        <w:rPr>
          <w:rFonts w:hint="eastAsia" w:ascii="宋体" w:hAnsi="宋体" w:cs="宋体"/>
          <w:sz w:val="24"/>
        </w:rPr>
        <w:t>30.4原则上把合同授予实质上响应招标文件要求的排名最前的中标候选人或通过上条资格审查的中标候选人。</w:t>
      </w:r>
    </w:p>
    <w:p>
      <w:pPr>
        <w:spacing w:line="360" w:lineRule="auto"/>
        <w:ind w:firstLine="549"/>
        <w:rPr>
          <w:rFonts w:hint="eastAsia" w:ascii="宋体" w:hAnsi="宋体" w:cs="宋体"/>
          <w:sz w:val="24"/>
        </w:rPr>
      </w:pPr>
      <w:r>
        <w:rPr>
          <w:rFonts w:hint="eastAsia" w:ascii="宋体" w:hAnsi="宋体" w:cs="宋体"/>
          <w:sz w:val="24"/>
        </w:rPr>
        <w:t>30.5 最低报价并不是中标的保证。</w:t>
      </w:r>
    </w:p>
    <w:p>
      <w:pPr>
        <w:spacing w:line="360" w:lineRule="auto"/>
        <w:ind w:firstLine="549"/>
        <w:rPr>
          <w:rFonts w:hint="eastAsia" w:ascii="宋体" w:hAnsi="宋体" w:cs="宋体"/>
          <w:sz w:val="24"/>
        </w:rPr>
      </w:pPr>
      <w:r>
        <w:rPr>
          <w:rFonts w:hint="eastAsia" w:ascii="宋体" w:hAnsi="宋体" w:cs="宋体"/>
          <w:sz w:val="24"/>
        </w:rPr>
        <w:t>30.6凡发现中标候选人有下列行为之一的，其中标无效，并移交政府采购监督管理部门依法处理：</w:t>
      </w:r>
    </w:p>
    <w:p>
      <w:pPr>
        <w:spacing w:line="360" w:lineRule="auto"/>
        <w:ind w:left="549"/>
        <w:rPr>
          <w:rFonts w:hint="eastAsia" w:ascii="宋体" w:hAnsi="宋体" w:cs="宋体"/>
          <w:sz w:val="24"/>
        </w:rPr>
      </w:pPr>
      <w:r>
        <w:rPr>
          <w:rFonts w:hint="eastAsia" w:ascii="宋体" w:hAnsi="宋体" w:cs="宋体"/>
          <w:sz w:val="24"/>
        </w:rPr>
        <w:t>30.6.1 以他人名义投标、或提供虚假材料弄虚作假谋取中标的；</w:t>
      </w:r>
    </w:p>
    <w:p>
      <w:pPr>
        <w:spacing w:line="360" w:lineRule="auto"/>
        <w:ind w:left="549"/>
        <w:rPr>
          <w:rFonts w:hint="eastAsia" w:ascii="宋体" w:hAnsi="宋体" w:cs="宋体"/>
          <w:sz w:val="24"/>
        </w:rPr>
      </w:pPr>
      <w:r>
        <w:rPr>
          <w:rFonts w:hint="eastAsia" w:ascii="宋体" w:hAnsi="宋体" w:cs="宋体"/>
          <w:sz w:val="24"/>
        </w:rPr>
        <w:t>30.6.1.1以他人名义投标，是指使用通过受让或者租借等方式获取的资格、资质证书投标。</w:t>
      </w:r>
    </w:p>
    <w:p>
      <w:pPr>
        <w:spacing w:line="360" w:lineRule="auto"/>
        <w:ind w:left="549"/>
        <w:rPr>
          <w:rFonts w:hint="eastAsia" w:ascii="宋体" w:hAnsi="宋体" w:cs="宋体"/>
          <w:sz w:val="24"/>
        </w:rPr>
      </w:pPr>
      <w:r>
        <w:rPr>
          <w:rFonts w:hint="eastAsia" w:ascii="宋体" w:hAnsi="宋体" w:cs="宋体"/>
          <w:sz w:val="24"/>
        </w:rPr>
        <w:t>30.6.1.2有投标人有下列情形之一的，属于弄虚作假的行为：</w:t>
      </w:r>
    </w:p>
    <w:p>
      <w:pPr>
        <w:spacing w:line="360" w:lineRule="auto"/>
        <w:ind w:left="549"/>
        <w:rPr>
          <w:rFonts w:hint="eastAsia" w:ascii="宋体" w:hAnsi="宋体" w:cs="宋体"/>
          <w:sz w:val="24"/>
        </w:rPr>
      </w:pPr>
      <w:r>
        <w:rPr>
          <w:rFonts w:hint="eastAsia" w:ascii="宋体" w:hAnsi="宋体" w:cs="宋体"/>
          <w:sz w:val="24"/>
        </w:rPr>
        <w:t>30.6.1.2.1使用伪造、变造的许可证件；</w:t>
      </w:r>
    </w:p>
    <w:p>
      <w:pPr>
        <w:spacing w:line="360" w:lineRule="auto"/>
        <w:ind w:left="549"/>
        <w:rPr>
          <w:rFonts w:hint="eastAsia" w:ascii="宋体" w:hAnsi="宋体" w:cs="宋体"/>
          <w:sz w:val="24"/>
        </w:rPr>
      </w:pPr>
      <w:r>
        <w:rPr>
          <w:rFonts w:hint="eastAsia" w:ascii="宋体" w:hAnsi="宋体" w:cs="宋体"/>
          <w:sz w:val="24"/>
        </w:rPr>
        <w:t>30.6.1.2.2提供虚假的财务状况或者业绩；</w:t>
      </w:r>
    </w:p>
    <w:p>
      <w:pPr>
        <w:spacing w:line="360" w:lineRule="auto"/>
        <w:ind w:left="549"/>
        <w:rPr>
          <w:rFonts w:hint="eastAsia" w:ascii="宋体" w:hAnsi="宋体" w:cs="宋体"/>
          <w:sz w:val="24"/>
        </w:rPr>
      </w:pPr>
      <w:r>
        <w:rPr>
          <w:rFonts w:hint="eastAsia" w:ascii="宋体" w:hAnsi="宋体" w:cs="宋体"/>
          <w:sz w:val="24"/>
        </w:rPr>
        <w:t>30.6.1.2.3提供虚假的项目负责人或者主要技术人员简历、劳动关系证明；</w:t>
      </w:r>
    </w:p>
    <w:p>
      <w:pPr>
        <w:spacing w:line="360" w:lineRule="auto"/>
        <w:ind w:left="549"/>
        <w:rPr>
          <w:rFonts w:hint="eastAsia" w:ascii="宋体" w:hAnsi="宋体" w:cs="宋体"/>
          <w:sz w:val="24"/>
        </w:rPr>
      </w:pPr>
      <w:r>
        <w:rPr>
          <w:rFonts w:hint="eastAsia" w:ascii="宋体" w:hAnsi="宋体" w:cs="宋体"/>
          <w:sz w:val="24"/>
        </w:rPr>
        <w:t>30.6.1.2.4提供虚假的信用状况；</w:t>
      </w:r>
    </w:p>
    <w:p>
      <w:pPr>
        <w:spacing w:line="360" w:lineRule="auto"/>
        <w:ind w:left="549"/>
        <w:rPr>
          <w:rFonts w:hint="eastAsia" w:ascii="宋体" w:hAnsi="宋体" w:cs="宋体"/>
          <w:sz w:val="24"/>
        </w:rPr>
      </w:pPr>
      <w:r>
        <w:rPr>
          <w:rFonts w:hint="eastAsia" w:ascii="宋体" w:hAnsi="宋体" w:cs="宋体"/>
          <w:sz w:val="24"/>
        </w:rPr>
        <w:t>30.6.1.2.5其他弄虚作假的行为。</w:t>
      </w:r>
    </w:p>
    <w:p>
      <w:pPr>
        <w:spacing w:line="360" w:lineRule="auto"/>
        <w:ind w:left="549"/>
        <w:rPr>
          <w:rFonts w:hint="eastAsia" w:ascii="宋体" w:hAnsi="宋体" w:cs="宋体"/>
          <w:sz w:val="24"/>
        </w:rPr>
      </w:pPr>
      <w:r>
        <w:rPr>
          <w:rFonts w:hint="eastAsia" w:ascii="宋体" w:hAnsi="宋体" w:cs="宋体"/>
          <w:sz w:val="24"/>
        </w:rPr>
        <w:t>30.6.2与采购人、其他供应商或者采购代理机构名称工作人员恶意串通的；</w:t>
      </w:r>
    </w:p>
    <w:p>
      <w:pPr>
        <w:spacing w:line="360" w:lineRule="auto"/>
        <w:ind w:left="549"/>
        <w:rPr>
          <w:rFonts w:hint="eastAsia" w:ascii="宋体" w:hAnsi="宋体" w:cs="宋体"/>
          <w:sz w:val="24"/>
        </w:rPr>
      </w:pPr>
      <w:r>
        <w:rPr>
          <w:rFonts w:hint="eastAsia" w:ascii="宋体" w:hAnsi="宋体" w:cs="宋体"/>
          <w:sz w:val="24"/>
        </w:rPr>
        <w:t>30.6.3向采购人、评审专家、采购代理机构工作人员行贿或者提供其他不正当利益的；</w:t>
      </w:r>
    </w:p>
    <w:p>
      <w:pPr>
        <w:spacing w:line="360" w:lineRule="auto"/>
        <w:ind w:firstLine="549"/>
        <w:rPr>
          <w:rFonts w:hint="eastAsia" w:ascii="宋体" w:hAnsi="宋体" w:cs="宋体"/>
          <w:sz w:val="24"/>
        </w:rPr>
      </w:pPr>
      <w:r>
        <w:rPr>
          <w:rFonts w:hint="eastAsia" w:ascii="宋体" w:hAnsi="宋体" w:cs="宋体"/>
          <w:sz w:val="24"/>
        </w:rPr>
        <w:t>30.6.4有法律、法规规定的其他损害采购人利益和社会公共利益情形的；</w:t>
      </w:r>
    </w:p>
    <w:p>
      <w:pPr>
        <w:spacing w:line="360" w:lineRule="auto"/>
        <w:ind w:firstLine="549"/>
        <w:rPr>
          <w:rFonts w:hint="eastAsia" w:ascii="宋体" w:hAnsi="宋体" w:cs="宋体"/>
          <w:sz w:val="24"/>
        </w:rPr>
      </w:pPr>
      <w:r>
        <w:rPr>
          <w:rFonts w:hint="eastAsia" w:ascii="宋体" w:hAnsi="宋体" w:cs="宋体"/>
          <w:sz w:val="24"/>
        </w:rPr>
        <w:t>30.6.5其他违反招投标法律、法规和规章强制性规定的行为。</w:t>
      </w:r>
    </w:p>
    <w:p>
      <w:pPr>
        <w:spacing w:line="360" w:lineRule="auto"/>
        <w:ind w:firstLine="549"/>
        <w:rPr>
          <w:rFonts w:hint="eastAsia" w:ascii="宋体" w:hAnsi="宋体" w:cs="宋体"/>
          <w:sz w:val="24"/>
        </w:rPr>
      </w:pPr>
      <w:r>
        <w:rPr>
          <w:rFonts w:hint="eastAsia" w:ascii="宋体" w:hAnsi="宋体" w:cs="宋体"/>
          <w:sz w:val="24"/>
        </w:rPr>
        <w:t>30.7周口市公共资源交易中心政府采购中心将在政府采购相关网站上发布评审结果公告。</w:t>
      </w:r>
    </w:p>
    <w:p>
      <w:pPr>
        <w:spacing w:line="360" w:lineRule="auto"/>
        <w:ind w:firstLine="549"/>
        <w:rPr>
          <w:rFonts w:hint="eastAsia" w:ascii="宋体" w:hAnsi="宋体" w:cs="宋体"/>
          <w:b/>
          <w:sz w:val="24"/>
        </w:rPr>
      </w:pPr>
      <w:r>
        <w:rPr>
          <w:rFonts w:hint="eastAsia" w:ascii="宋体" w:hAnsi="宋体" w:cs="宋体"/>
          <w:b/>
          <w:sz w:val="24"/>
        </w:rPr>
        <w:t>31.中标通知书</w:t>
      </w:r>
    </w:p>
    <w:p>
      <w:pPr>
        <w:spacing w:line="360" w:lineRule="auto"/>
        <w:ind w:firstLine="549"/>
        <w:rPr>
          <w:rFonts w:hint="eastAsia" w:ascii="宋体" w:hAnsi="宋体" w:cs="宋体"/>
          <w:sz w:val="24"/>
        </w:rPr>
      </w:pPr>
      <w:r>
        <w:rPr>
          <w:rFonts w:hint="eastAsia" w:ascii="宋体" w:hAnsi="宋体" w:cs="宋体"/>
          <w:sz w:val="24"/>
        </w:rPr>
        <w:t>31.1在发出中标公告后请采购人、中标人登录周口市公共资源</w:t>
      </w:r>
      <w:r>
        <w:rPr>
          <w:rFonts w:hint="eastAsia" w:ascii="宋体" w:hAnsi="宋体" w:cs="宋体"/>
          <w:sz w:val="24"/>
          <w:szCs w:val="24"/>
        </w:rPr>
        <w:t>交易</w:t>
      </w:r>
      <w:r>
        <w:rPr>
          <w:rFonts w:hint="eastAsia" w:ascii="宋体" w:hAnsi="宋体" w:cs="宋体"/>
          <w:sz w:val="24"/>
        </w:rPr>
        <w:t>中心网</w:t>
      </w:r>
      <w:r>
        <w:rPr>
          <w:rFonts w:hint="eastAsia" w:ascii="宋体" w:hAnsi="宋体" w:cs="宋体"/>
          <w:sz w:val="24"/>
          <w:szCs w:val="24"/>
        </w:rPr>
        <w:t>（http://jyzx.zhoukou.gov.cn）自行下载</w:t>
      </w:r>
      <w:r>
        <w:rPr>
          <w:rFonts w:hint="eastAsia" w:ascii="宋体" w:hAnsi="宋体" w:cs="宋体"/>
          <w:sz w:val="24"/>
        </w:rPr>
        <w:t>中标通知书。</w:t>
      </w:r>
    </w:p>
    <w:p>
      <w:pPr>
        <w:spacing w:line="360" w:lineRule="auto"/>
        <w:ind w:firstLine="549"/>
        <w:rPr>
          <w:rFonts w:hint="eastAsia" w:ascii="宋体" w:hAnsi="宋体" w:cs="宋体"/>
          <w:sz w:val="24"/>
        </w:rPr>
      </w:pPr>
      <w:r>
        <w:rPr>
          <w:rFonts w:hint="eastAsia" w:ascii="宋体" w:hAnsi="宋体" w:cs="宋体"/>
          <w:sz w:val="24"/>
        </w:rPr>
        <w:t>31.2周口市公共资源交易中心政府采购中心对未中标的投标人不做未中标原因的解释。</w:t>
      </w:r>
    </w:p>
    <w:p>
      <w:pPr>
        <w:spacing w:line="360" w:lineRule="auto"/>
        <w:ind w:firstLine="549"/>
        <w:rPr>
          <w:rFonts w:hint="eastAsia" w:ascii="宋体" w:hAnsi="宋体" w:cs="宋体"/>
          <w:sz w:val="24"/>
        </w:rPr>
      </w:pPr>
      <w:r>
        <w:rPr>
          <w:rFonts w:hint="eastAsia" w:ascii="宋体" w:hAnsi="宋体" w:cs="宋体"/>
          <w:sz w:val="24"/>
        </w:rPr>
        <w:t>31.3评审结果确定后，中标人请及时到周口市公共资源交易中心政府采购中心领取中标通知书。</w:t>
      </w:r>
    </w:p>
    <w:p>
      <w:pPr>
        <w:spacing w:line="360" w:lineRule="auto"/>
        <w:ind w:firstLine="549"/>
        <w:rPr>
          <w:rFonts w:hint="eastAsia" w:ascii="宋体" w:hAnsi="宋体" w:cs="宋体"/>
          <w:sz w:val="24"/>
          <w:szCs w:val="22"/>
        </w:rPr>
      </w:pPr>
      <w:r>
        <w:rPr>
          <w:rFonts w:hint="eastAsia" w:ascii="宋体" w:hAnsi="宋体" w:cs="宋体"/>
          <w:sz w:val="24"/>
          <w:szCs w:val="22"/>
        </w:rPr>
        <w:t>32.中标服务费</w:t>
      </w:r>
    </w:p>
    <w:p>
      <w:pPr>
        <w:spacing w:line="360" w:lineRule="auto"/>
        <w:rPr>
          <w:rFonts w:hint="eastAsia" w:ascii="宋体" w:hAnsi="宋体" w:cs="宋体"/>
          <w:bCs/>
          <w:sz w:val="24"/>
        </w:rPr>
      </w:pPr>
      <w:r>
        <w:rPr>
          <w:rFonts w:hint="eastAsia" w:ascii="宋体" w:hAnsi="宋体" w:cs="宋体"/>
          <w:b/>
          <w:sz w:val="24"/>
        </w:rPr>
        <w:t xml:space="preserve">    </w:t>
      </w:r>
      <w:r>
        <w:rPr>
          <w:rFonts w:hint="eastAsia" w:ascii="宋体" w:hAnsi="宋体" w:cs="宋体"/>
          <w:bCs/>
          <w:sz w:val="24"/>
        </w:rPr>
        <w:t>本项目免收中标服务费</w:t>
      </w:r>
    </w:p>
    <w:p>
      <w:pPr>
        <w:spacing w:line="360" w:lineRule="auto"/>
        <w:ind w:firstLine="549"/>
        <w:rPr>
          <w:rFonts w:hint="eastAsia" w:ascii="宋体" w:hAnsi="宋体" w:cs="宋体"/>
          <w:b/>
          <w:sz w:val="24"/>
        </w:rPr>
      </w:pPr>
      <w:r>
        <w:rPr>
          <w:rFonts w:hint="eastAsia" w:ascii="宋体" w:hAnsi="宋体" w:cs="宋体"/>
          <w:b/>
          <w:sz w:val="24"/>
        </w:rPr>
        <w:t>33.履约保证金</w:t>
      </w:r>
    </w:p>
    <w:p>
      <w:pPr>
        <w:spacing w:line="360" w:lineRule="auto"/>
        <w:ind w:firstLine="549"/>
        <w:rPr>
          <w:rFonts w:hint="eastAsia" w:ascii="宋体" w:hAnsi="宋体" w:cs="宋体"/>
          <w:sz w:val="24"/>
        </w:rPr>
      </w:pPr>
      <w:r>
        <w:rPr>
          <w:rFonts w:hint="eastAsia" w:ascii="宋体" w:hAnsi="宋体" w:cs="宋体"/>
          <w:sz w:val="24"/>
        </w:rPr>
        <w:t>无</w:t>
      </w:r>
    </w:p>
    <w:p>
      <w:pPr>
        <w:spacing w:line="360" w:lineRule="auto"/>
        <w:ind w:firstLine="549"/>
        <w:rPr>
          <w:rFonts w:hint="eastAsia" w:ascii="宋体" w:hAnsi="宋体" w:cs="宋体"/>
          <w:b/>
          <w:sz w:val="24"/>
        </w:rPr>
      </w:pPr>
      <w:r>
        <w:rPr>
          <w:rFonts w:hint="eastAsia" w:ascii="宋体" w:hAnsi="宋体" w:cs="宋体"/>
          <w:b/>
          <w:sz w:val="24"/>
        </w:rPr>
        <w:t>34.签订合同</w:t>
      </w:r>
    </w:p>
    <w:p>
      <w:pPr>
        <w:spacing w:line="360" w:lineRule="auto"/>
        <w:ind w:firstLine="549"/>
        <w:rPr>
          <w:rFonts w:hint="eastAsia" w:ascii="宋体" w:hAnsi="宋体" w:cs="宋体"/>
          <w:sz w:val="24"/>
        </w:rPr>
      </w:pPr>
      <w:r>
        <w:rPr>
          <w:rFonts w:hint="eastAsia" w:ascii="宋体" w:hAnsi="宋体" w:cs="宋体"/>
          <w:sz w:val="24"/>
        </w:rPr>
        <w:t>34.1中标人应在中标通知书发出之日起七日历日内（具体时间、地点见中标通知书）与采购人签订合同。招标文件、中标人的投标文件及澄清文件等，均作为合同的附件。</w:t>
      </w:r>
    </w:p>
    <w:p>
      <w:pPr>
        <w:spacing w:line="360" w:lineRule="auto"/>
        <w:ind w:firstLine="549"/>
        <w:rPr>
          <w:rFonts w:hint="eastAsia" w:ascii="宋体" w:hAnsi="宋体" w:cs="宋体"/>
          <w:sz w:val="24"/>
        </w:rPr>
      </w:pPr>
      <w:r>
        <w:rPr>
          <w:rFonts w:hint="eastAsia" w:ascii="宋体" w:hAnsi="宋体" w:cs="宋体"/>
          <w:sz w:val="24"/>
        </w:rPr>
        <w:t>34.2 采购双方必须严格按照招标文件、投标文件及有关承诺签订采购合同，不得擅自变更。合同的标的、价款、质量、履行期限等主要条款应当与招标文件和中标人的投标文件的内容一致，招标人和中标人不得再行订立背离合同实质性内容的其他协议。对任何因双方擅自变更合同引起的问题周口市公共资源交易中心政府采购中心概不负责，合同风险由双方自行承担。</w:t>
      </w:r>
    </w:p>
    <w:p>
      <w:pPr>
        <w:spacing w:line="360" w:lineRule="auto"/>
        <w:ind w:firstLine="523" w:firstLineChars="218"/>
        <w:rPr>
          <w:rFonts w:hint="eastAsia" w:ascii="宋体" w:hAnsi="宋体" w:cs="宋体"/>
          <w:sz w:val="24"/>
        </w:rPr>
      </w:pPr>
      <w:r>
        <w:rPr>
          <w:rFonts w:hint="eastAsia" w:ascii="宋体" w:hAnsi="宋体" w:cs="宋体"/>
          <w:sz w:val="24"/>
        </w:rPr>
        <w:t>34.3采购人保留以书面形式要求合同的卖方对其所投服务的装运方式、交货地点及服务细则等作适当调整的权利。</w:t>
      </w:r>
    </w:p>
    <w:p>
      <w:pPr>
        <w:spacing w:line="360" w:lineRule="auto"/>
        <w:ind w:firstLine="549"/>
        <w:rPr>
          <w:rFonts w:hint="eastAsia" w:ascii="宋体" w:hAnsi="宋体" w:cs="宋体"/>
          <w:b/>
          <w:sz w:val="24"/>
        </w:rPr>
      </w:pPr>
      <w:r>
        <w:rPr>
          <w:rFonts w:hint="eastAsia" w:ascii="宋体" w:hAnsi="宋体" w:cs="宋体"/>
          <w:bCs/>
          <w:sz w:val="24"/>
        </w:rPr>
        <w:t>34.4签订合同后，成交供应商不得将本项目及其他相关服务进行转包，并提供不转包承诺。未经采购人同意，成交供应商不得采用分包的形式履行合同。否则采购人有权终止合同。转包或分包造成采购人损失的，成交供应商还应承担相应赔偿责任。</w:t>
      </w:r>
    </w:p>
    <w:p>
      <w:pPr>
        <w:spacing w:line="360" w:lineRule="auto"/>
        <w:ind w:firstLine="549"/>
        <w:rPr>
          <w:rFonts w:hint="eastAsia" w:ascii="宋体" w:hAnsi="宋体" w:cs="宋体"/>
          <w:sz w:val="24"/>
        </w:rPr>
      </w:pPr>
      <w:r>
        <w:rPr>
          <w:rFonts w:hint="eastAsia" w:ascii="宋体" w:hAnsi="宋体" w:cs="宋体"/>
          <w:b/>
          <w:sz w:val="24"/>
        </w:rPr>
        <w:t>35.验收</w:t>
      </w:r>
    </w:p>
    <w:p>
      <w:pPr>
        <w:spacing w:line="360" w:lineRule="auto"/>
        <w:ind w:firstLine="549"/>
        <w:rPr>
          <w:rFonts w:hint="eastAsia" w:ascii="宋体" w:hAnsi="宋体" w:cs="宋体"/>
          <w:sz w:val="24"/>
        </w:rPr>
      </w:pPr>
      <w:r>
        <w:rPr>
          <w:rFonts w:hint="eastAsia" w:ascii="宋体" w:hAnsi="宋体" w:cs="宋体"/>
          <w:sz w:val="24"/>
        </w:rPr>
        <w:t>由采购人自行组织对供应商的履约验收。</w:t>
      </w:r>
    </w:p>
    <w:p>
      <w:pPr>
        <w:spacing w:line="360" w:lineRule="auto"/>
        <w:ind w:firstLine="549"/>
        <w:rPr>
          <w:rFonts w:hint="eastAsia" w:ascii="宋体" w:hAnsi="宋体" w:cs="宋体"/>
          <w:b/>
          <w:bCs/>
          <w:sz w:val="24"/>
        </w:rPr>
      </w:pPr>
      <w:r>
        <w:rPr>
          <w:rFonts w:hint="eastAsia" w:ascii="宋体" w:hAnsi="宋体" w:cs="宋体"/>
          <w:b/>
          <w:bCs/>
          <w:sz w:val="24"/>
        </w:rPr>
        <w:t>36</w:t>
      </w:r>
      <w:r>
        <w:rPr>
          <w:rFonts w:hint="eastAsia" w:ascii="宋体" w:hAnsi="宋体" w:cs="宋体"/>
          <w:b/>
          <w:sz w:val="24"/>
        </w:rPr>
        <w:t>.</w:t>
      </w:r>
      <w:r>
        <w:rPr>
          <w:rFonts w:hint="eastAsia" w:ascii="宋体" w:hAnsi="宋体" w:cs="宋体"/>
          <w:b/>
          <w:bCs/>
          <w:sz w:val="24"/>
        </w:rPr>
        <w:t>质疑</w:t>
      </w:r>
    </w:p>
    <w:p>
      <w:pPr>
        <w:spacing w:line="360" w:lineRule="auto"/>
        <w:ind w:firstLine="523" w:firstLineChars="218"/>
        <w:rPr>
          <w:rFonts w:hint="eastAsia" w:ascii="宋体" w:hAnsi="宋体" w:cs="宋体"/>
          <w:bCs/>
          <w:sz w:val="24"/>
        </w:rPr>
      </w:pPr>
      <w:r>
        <w:rPr>
          <w:rFonts w:hint="eastAsia" w:ascii="宋体" w:hAnsi="宋体" w:cs="宋体"/>
          <w:bCs/>
          <w:sz w:val="24"/>
        </w:rPr>
        <w:t>36.1投标人认为采购过程、中标结果使自己的合法权益受到损害的，可以在知道或应当知道自己的权益受到损害之日起7个工作日内，由投标人授权代表（或法人代表）按照相关规定，向</w:t>
      </w:r>
      <w:r>
        <w:rPr>
          <w:rFonts w:hint="eastAsia" w:ascii="宋体" w:hAnsi="宋体" w:cs="宋体"/>
          <w:sz w:val="24"/>
        </w:rPr>
        <w:t>采购人</w:t>
      </w:r>
      <w:r>
        <w:rPr>
          <w:rFonts w:hint="eastAsia" w:ascii="宋体" w:hAnsi="宋体" w:cs="宋体"/>
          <w:bCs/>
          <w:sz w:val="24"/>
        </w:rPr>
        <w:t>提出质疑，逾期不予受理。</w:t>
      </w:r>
    </w:p>
    <w:p>
      <w:pPr>
        <w:spacing w:line="360" w:lineRule="auto"/>
        <w:ind w:firstLine="523" w:firstLineChars="218"/>
        <w:rPr>
          <w:rFonts w:hint="eastAsia" w:ascii="宋体" w:hAnsi="宋体" w:cs="宋体"/>
          <w:bCs/>
          <w:sz w:val="24"/>
        </w:rPr>
      </w:pPr>
      <w:r>
        <w:rPr>
          <w:rFonts w:hint="eastAsia" w:ascii="宋体" w:hAnsi="宋体" w:cs="宋体"/>
          <w:bCs/>
          <w:sz w:val="24"/>
        </w:rPr>
        <w:t>36.2质疑书内容应包括质疑的详细理由和依据，并提供有关证明资料。</w:t>
      </w:r>
    </w:p>
    <w:p>
      <w:pPr>
        <w:spacing w:line="360" w:lineRule="auto"/>
        <w:ind w:firstLine="523" w:firstLineChars="218"/>
        <w:rPr>
          <w:rFonts w:hint="eastAsia" w:ascii="宋体" w:hAnsi="宋体" w:cs="宋体"/>
          <w:bCs/>
          <w:sz w:val="24"/>
        </w:rPr>
      </w:pPr>
      <w:r>
        <w:rPr>
          <w:rFonts w:hint="eastAsia" w:ascii="宋体" w:hAnsi="宋体" w:cs="宋体"/>
          <w:bCs/>
          <w:sz w:val="24"/>
        </w:rPr>
        <w:t>36.3 有以下情形之一的，视为无效质疑：</w:t>
      </w:r>
    </w:p>
    <w:p>
      <w:pPr>
        <w:spacing w:line="360" w:lineRule="auto"/>
        <w:ind w:firstLine="549"/>
        <w:rPr>
          <w:rFonts w:hint="eastAsia" w:ascii="宋体" w:hAnsi="宋体" w:cs="宋体"/>
          <w:bCs/>
          <w:sz w:val="24"/>
        </w:rPr>
      </w:pPr>
      <w:r>
        <w:rPr>
          <w:rFonts w:hint="eastAsia" w:ascii="宋体" w:hAnsi="宋体" w:cs="宋体"/>
          <w:bCs/>
          <w:sz w:val="24"/>
        </w:rPr>
        <w:t>36.3.1 未按规定时间或规定手续提交质疑的；</w:t>
      </w:r>
    </w:p>
    <w:p>
      <w:pPr>
        <w:spacing w:line="360" w:lineRule="auto"/>
        <w:ind w:firstLine="549"/>
        <w:rPr>
          <w:rFonts w:hint="eastAsia" w:ascii="宋体" w:hAnsi="宋体" w:cs="宋体"/>
          <w:bCs/>
          <w:sz w:val="24"/>
        </w:rPr>
      </w:pPr>
      <w:r>
        <w:rPr>
          <w:rFonts w:hint="eastAsia" w:ascii="宋体" w:hAnsi="宋体" w:cs="宋体"/>
          <w:bCs/>
          <w:sz w:val="24"/>
        </w:rPr>
        <w:t>36.3.2 质疑内容含糊不清、没有提供详细理由和依据，无法进行核查的；</w:t>
      </w:r>
    </w:p>
    <w:p>
      <w:pPr>
        <w:spacing w:line="360" w:lineRule="auto"/>
        <w:ind w:firstLine="549"/>
        <w:rPr>
          <w:rFonts w:hint="eastAsia" w:ascii="宋体" w:hAnsi="宋体" w:cs="宋体"/>
          <w:bCs/>
          <w:sz w:val="24"/>
        </w:rPr>
      </w:pPr>
      <w:r>
        <w:rPr>
          <w:rFonts w:hint="eastAsia" w:ascii="宋体" w:hAnsi="宋体" w:cs="宋体"/>
          <w:bCs/>
          <w:sz w:val="24"/>
        </w:rPr>
        <w:t>36.3.3 其他不符合质疑程序和有关规定的。</w:t>
      </w:r>
    </w:p>
    <w:p>
      <w:pPr>
        <w:spacing w:line="360" w:lineRule="auto"/>
        <w:ind w:firstLine="549"/>
        <w:rPr>
          <w:rFonts w:hint="eastAsia" w:ascii="宋体" w:hAnsi="宋体" w:cs="宋体"/>
          <w:bCs/>
          <w:sz w:val="24"/>
        </w:rPr>
      </w:pPr>
      <w:r>
        <w:rPr>
          <w:rFonts w:hint="eastAsia" w:ascii="宋体" w:hAnsi="宋体" w:cs="宋体"/>
          <w:bCs/>
          <w:sz w:val="24"/>
        </w:rPr>
        <w:t>被判定无效质疑的，采购人将书面回复投标单位其质疑无效的理由，并记录无效质疑一次。</w:t>
      </w:r>
    </w:p>
    <w:p>
      <w:pPr>
        <w:spacing w:line="360" w:lineRule="auto"/>
        <w:ind w:firstLine="549"/>
        <w:rPr>
          <w:rFonts w:hint="eastAsia" w:ascii="宋体" w:hAnsi="宋体" w:cs="宋体"/>
          <w:bCs/>
          <w:sz w:val="24"/>
        </w:rPr>
      </w:pPr>
      <w:r>
        <w:rPr>
          <w:rFonts w:hint="eastAsia" w:ascii="宋体" w:hAnsi="宋体" w:cs="宋体"/>
          <w:bCs/>
          <w:sz w:val="24"/>
        </w:rPr>
        <w:t>36.4</w:t>
      </w:r>
      <w:r>
        <w:rPr>
          <w:rFonts w:hint="eastAsia" w:ascii="宋体" w:hAnsi="宋体" w:cs="宋体"/>
          <w:sz w:val="24"/>
        </w:rPr>
        <w:t>采购人</w:t>
      </w:r>
      <w:r>
        <w:rPr>
          <w:rFonts w:hint="eastAsia" w:ascii="宋体" w:hAnsi="宋体" w:cs="宋体"/>
          <w:bCs/>
          <w:sz w:val="24"/>
        </w:rPr>
        <w:t>将在受到书面质疑后7个工作日内审查质疑事项，作出答复或相关处理决定，并以书面形式通知质疑人，但答复的内容不涉及商业秘密。</w:t>
      </w:r>
    </w:p>
    <w:p>
      <w:pPr>
        <w:spacing w:line="360" w:lineRule="auto"/>
        <w:ind w:firstLine="549"/>
        <w:rPr>
          <w:rFonts w:hint="eastAsia" w:ascii="宋体" w:hAnsi="宋体" w:cs="宋体"/>
          <w:bCs/>
          <w:sz w:val="24"/>
        </w:rPr>
      </w:pPr>
      <w:r>
        <w:rPr>
          <w:rFonts w:hint="eastAsia" w:ascii="宋体" w:hAnsi="宋体" w:cs="宋体"/>
          <w:sz w:val="24"/>
        </w:rPr>
        <w:t>36.5</w:t>
      </w:r>
      <w:r>
        <w:rPr>
          <w:rFonts w:hint="eastAsia" w:ascii="宋体" w:hAnsi="宋体" w:cs="宋体"/>
          <w:bCs/>
          <w:sz w:val="24"/>
        </w:rPr>
        <w:t>投诉人有下列情形之一的，属于虚假、恶意投诉，</w:t>
      </w:r>
      <w:r>
        <w:rPr>
          <w:rFonts w:hint="eastAsia" w:ascii="宋体" w:hAnsi="宋体" w:cs="宋体"/>
          <w:sz w:val="24"/>
        </w:rPr>
        <w:t>政府采购监督管理部门</w:t>
      </w:r>
      <w:r>
        <w:rPr>
          <w:rFonts w:hint="eastAsia" w:ascii="宋体" w:hAnsi="宋体" w:cs="宋体"/>
          <w:bCs/>
          <w:sz w:val="24"/>
        </w:rPr>
        <w:t>将驳回投诉，将其列入不良行为记录名单，并依法予以处罚：</w:t>
      </w:r>
    </w:p>
    <w:p>
      <w:pPr>
        <w:spacing w:line="360" w:lineRule="auto"/>
        <w:ind w:firstLine="523" w:firstLineChars="218"/>
        <w:rPr>
          <w:rFonts w:hint="eastAsia" w:ascii="宋体" w:hAnsi="宋体" w:cs="宋体"/>
          <w:bCs/>
          <w:sz w:val="24"/>
        </w:rPr>
      </w:pPr>
      <w:r>
        <w:rPr>
          <w:rFonts w:hint="eastAsia" w:ascii="宋体" w:hAnsi="宋体" w:cs="宋体"/>
          <w:bCs/>
          <w:sz w:val="24"/>
        </w:rPr>
        <w:t>36.5.1一年内三次以上投诉均查无实据的；</w:t>
      </w:r>
    </w:p>
    <w:p>
      <w:pPr>
        <w:spacing w:line="360" w:lineRule="auto"/>
        <w:ind w:firstLine="523" w:firstLineChars="218"/>
        <w:rPr>
          <w:rFonts w:hint="eastAsia" w:ascii="宋体" w:hAnsi="宋体" w:cs="宋体"/>
          <w:bCs/>
          <w:sz w:val="24"/>
        </w:rPr>
      </w:pPr>
      <w:r>
        <w:rPr>
          <w:rFonts w:hint="eastAsia" w:ascii="宋体" w:hAnsi="宋体" w:cs="宋体"/>
          <w:bCs/>
          <w:sz w:val="24"/>
        </w:rPr>
        <w:t>36.5.2捏造事实、提供虚假投诉材料或提供以非法手段取得的证明材料质疑的；</w:t>
      </w:r>
    </w:p>
    <w:p>
      <w:pPr>
        <w:spacing w:line="360" w:lineRule="auto"/>
        <w:ind w:firstLine="523" w:firstLineChars="218"/>
        <w:rPr>
          <w:rFonts w:hint="eastAsia" w:ascii="宋体" w:hAnsi="宋体" w:cs="宋体"/>
          <w:bCs/>
          <w:sz w:val="24"/>
        </w:rPr>
      </w:pPr>
      <w:r>
        <w:rPr>
          <w:rFonts w:hint="eastAsia" w:ascii="宋体" w:hAnsi="宋体" w:cs="宋体"/>
          <w:sz w:val="24"/>
        </w:rPr>
        <w:t>36.5.3其他经认定属于虚假、恶意投诉的行为</w:t>
      </w:r>
      <w:r>
        <w:rPr>
          <w:rFonts w:hint="eastAsia" w:ascii="宋体" w:hAnsi="宋体" w:cs="宋体"/>
          <w:bCs/>
          <w:sz w:val="24"/>
        </w:rPr>
        <w:t>。</w:t>
      </w:r>
    </w:p>
    <w:p>
      <w:pPr>
        <w:spacing w:line="360" w:lineRule="auto"/>
        <w:ind w:firstLine="549"/>
        <w:rPr>
          <w:rFonts w:hint="eastAsia" w:ascii="宋体" w:hAnsi="宋体" w:cs="宋体"/>
          <w:b/>
          <w:sz w:val="24"/>
        </w:rPr>
      </w:pPr>
      <w:r>
        <w:rPr>
          <w:rFonts w:hint="eastAsia" w:ascii="宋体" w:hAnsi="宋体" w:cs="宋体"/>
          <w:b/>
          <w:sz w:val="24"/>
        </w:rPr>
        <w:t>37.未尽事宜</w:t>
      </w:r>
    </w:p>
    <w:p>
      <w:pPr>
        <w:spacing w:line="360" w:lineRule="auto"/>
        <w:ind w:firstLine="549"/>
        <w:rPr>
          <w:rFonts w:hint="eastAsia" w:ascii="宋体" w:hAnsi="宋体" w:cs="宋体"/>
          <w:sz w:val="24"/>
        </w:rPr>
      </w:pPr>
      <w:r>
        <w:rPr>
          <w:rFonts w:hint="eastAsia" w:ascii="宋体" w:hAnsi="宋体" w:cs="宋体"/>
          <w:sz w:val="24"/>
        </w:rPr>
        <w:t>37.1按《中华人民共和国政府采购法》及其他有关法律法规的规定执行。</w:t>
      </w:r>
    </w:p>
    <w:p>
      <w:pPr>
        <w:spacing w:line="360" w:lineRule="auto"/>
        <w:ind w:firstLine="549"/>
        <w:rPr>
          <w:rFonts w:hint="eastAsia" w:ascii="宋体" w:hAnsi="宋体" w:cs="宋体"/>
          <w:bCs/>
          <w:sz w:val="24"/>
        </w:rPr>
      </w:pPr>
      <w:r>
        <w:rPr>
          <w:rFonts w:hint="eastAsia" w:ascii="宋体" w:hAnsi="宋体" w:cs="宋体"/>
          <w:b/>
          <w:sz w:val="24"/>
        </w:rPr>
        <w:t>38.解释权</w:t>
      </w:r>
    </w:p>
    <w:p>
      <w:pPr>
        <w:spacing w:line="360" w:lineRule="auto"/>
        <w:ind w:firstLine="549"/>
        <w:rPr>
          <w:rFonts w:hint="eastAsia" w:ascii="宋体" w:hAnsi="宋体" w:cs="宋体"/>
          <w:bCs/>
          <w:sz w:val="24"/>
        </w:rPr>
      </w:pPr>
      <w:r>
        <w:rPr>
          <w:rFonts w:hint="eastAsia" w:ascii="宋体" w:hAnsi="宋体" w:cs="宋体"/>
          <w:bCs/>
          <w:sz w:val="24"/>
        </w:rPr>
        <w:t>38.1本招标文件的解释权属于采购人。</w:t>
      </w:r>
    </w:p>
    <w:p>
      <w:pPr>
        <w:spacing w:line="360" w:lineRule="auto"/>
        <w:rPr>
          <w:rFonts w:hint="eastAsia" w:ascii="宋体" w:hAnsi="宋体" w:cs="宋体"/>
          <w:bCs/>
          <w:sz w:val="24"/>
        </w:rPr>
      </w:pPr>
    </w:p>
    <w:p>
      <w:pPr>
        <w:pStyle w:val="575"/>
        <w:spacing w:beforeLines="0" w:afterLines="0" w:line="460" w:lineRule="exact"/>
        <w:ind w:left="0" w:firstLine="420" w:firstLineChars="200"/>
        <w:jc w:val="center"/>
        <w:rPr>
          <w:rFonts w:hint="eastAsia" w:ascii="宋体" w:hAnsi="宋体" w:cs="宋体"/>
          <w:w w:val="92"/>
        </w:rPr>
      </w:pPr>
      <w:bookmarkStart w:id="127" w:name="_Toc26087_WPSOffice_Level1"/>
      <w:bookmarkStart w:id="128" w:name="_Toc220232391"/>
      <w:r>
        <w:rPr>
          <w:rFonts w:hint="eastAsia" w:ascii="宋体" w:hAnsi="宋体" w:cs="宋体"/>
        </w:rPr>
        <w:br w:type="page"/>
      </w:r>
      <w:bookmarkEnd w:id="127"/>
      <w:bookmarkEnd w:id="128"/>
      <w:bookmarkStart w:id="129" w:name="_Toc17699_WPSOffice_Level1"/>
      <w:r>
        <w:rPr>
          <w:rFonts w:hint="eastAsia" w:ascii="宋体" w:hAnsi="宋体" w:cs="宋体"/>
          <w:bCs/>
          <w:caps/>
          <w:smallCaps/>
          <w:sz w:val="32"/>
          <w:szCs w:val="32"/>
        </w:rPr>
        <w:t>第六章</w:t>
      </w:r>
    </w:p>
    <w:p>
      <w:pPr>
        <w:pStyle w:val="4"/>
        <w:spacing w:before="0" w:after="0" w:line="500" w:lineRule="exact"/>
        <w:ind w:firstLine="0"/>
        <w:rPr>
          <w:rFonts w:hint="eastAsia" w:ascii="宋体" w:hAnsi="宋体" w:eastAsia="宋体" w:cs="宋体"/>
          <w:b w:val="0"/>
        </w:rPr>
      </w:pPr>
      <w:r>
        <w:rPr>
          <w:rFonts w:hint="eastAsia" w:ascii="宋体" w:hAnsi="宋体" w:eastAsia="宋体" w:cs="宋体"/>
          <w:b w:val="0"/>
          <w:w w:val="92"/>
        </w:rPr>
        <w:t>周口市</w:t>
      </w:r>
      <w:r>
        <w:rPr>
          <w:rFonts w:hint="eastAsia" w:ascii="宋体" w:hAnsi="宋体" w:eastAsia="宋体" w:cs="宋体"/>
          <w:b w:val="0"/>
        </w:rPr>
        <w:t>政府采购合同（服务类）标准文本</w:t>
      </w:r>
    </w:p>
    <w:p>
      <w:pPr>
        <w:ind w:firstLine="640" w:firstLineChars="200"/>
        <w:rPr>
          <w:rFonts w:hint="eastAsia" w:ascii="宋体" w:hAnsi="宋体" w:cs="宋体"/>
          <w:sz w:val="32"/>
          <w:szCs w:val="32"/>
        </w:rPr>
      </w:pPr>
    </w:p>
    <w:p>
      <w:pPr>
        <w:pStyle w:val="575"/>
        <w:spacing w:beforeLines="0" w:afterLines="0"/>
        <w:ind w:left="0" w:firstLine="640" w:firstLineChars="200"/>
        <w:rPr>
          <w:rFonts w:hint="eastAsia" w:ascii="宋体" w:hAnsi="宋体" w:cs="宋体"/>
          <w:sz w:val="32"/>
          <w:szCs w:val="32"/>
        </w:rPr>
      </w:pPr>
    </w:p>
    <w:p>
      <w:pPr>
        <w:pStyle w:val="575"/>
        <w:spacing w:beforeLines="0" w:afterLines="0"/>
        <w:ind w:left="0" w:firstLine="640" w:firstLineChars="200"/>
        <w:rPr>
          <w:rFonts w:hint="eastAsia" w:ascii="宋体" w:hAnsi="宋体" w:cs="宋体"/>
          <w:sz w:val="32"/>
          <w:szCs w:val="32"/>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r>
        <w:rPr>
          <w:rFonts w:hint="eastAsia" w:ascii="宋体" w:hAnsi="宋体" w:cs="宋体"/>
          <w:sz w:val="30"/>
          <w:szCs w:val="30"/>
        </w:rPr>
        <w:t>政府采购项目名称：</w:t>
      </w:r>
    </w:p>
    <w:p>
      <w:pPr>
        <w:pStyle w:val="575"/>
        <w:spacing w:beforeLines="0" w:afterLines="0"/>
        <w:ind w:left="0" w:firstLine="600" w:firstLineChars="200"/>
        <w:rPr>
          <w:rFonts w:hint="eastAsia" w:ascii="宋体" w:hAnsi="宋体" w:cs="宋体"/>
          <w:sz w:val="30"/>
          <w:szCs w:val="30"/>
        </w:rPr>
      </w:pPr>
      <w:r>
        <w:rPr>
          <w:rFonts w:hint="eastAsia" w:ascii="宋体" w:hAnsi="宋体" w:cs="宋体"/>
          <w:sz w:val="30"/>
          <w:szCs w:val="30"/>
        </w:rPr>
        <w:t>政府采购项目编号：</w:t>
      </w:r>
    </w:p>
    <w:p>
      <w:pPr>
        <w:pStyle w:val="575"/>
        <w:spacing w:beforeLines="0" w:afterLines="0"/>
        <w:ind w:left="0" w:firstLine="600" w:firstLineChars="200"/>
        <w:rPr>
          <w:rFonts w:hint="eastAsia" w:ascii="宋体" w:hAnsi="宋体" w:cs="宋体"/>
          <w:sz w:val="30"/>
          <w:szCs w:val="30"/>
        </w:rPr>
      </w:pPr>
      <w:r>
        <w:rPr>
          <w:rFonts w:hint="eastAsia" w:ascii="宋体" w:hAnsi="宋体" w:cs="宋体"/>
          <w:sz w:val="30"/>
          <w:szCs w:val="30"/>
        </w:rPr>
        <w:t>采      购    人：</w:t>
      </w:r>
    </w:p>
    <w:p>
      <w:pPr>
        <w:pStyle w:val="575"/>
        <w:spacing w:beforeLines="0" w:afterLines="0"/>
        <w:ind w:left="0" w:firstLine="600" w:firstLineChars="200"/>
        <w:rPr>
          <w:rFonts w:hint="eastAsia" w:ascii="宋体" w:hAnsi="宋体" w:cs="宋体"/>
          <w:sz w:val="30"/>
          <w:szCs w:val="30"/>
        </w:rPr>
      </w:pPr>
      <w:r>
        <w:rPr>
          <w:rFonts w:hint="eastAsia" w:ascii="宋体" w:hAnsi="宋体" w:cs="宋体"/>
          <w:sz w:val="30"/>
          <w:szCs w:val="30"/>
        </w:rPr>
        <w:t>供      应    商：</w:t>
      </w:r>
    </w:p>
    <w:p>
      <w:pPr>
        <w:pStyle w:val="575"/>
        <w:spacing w:beforeLines="0" w:afterLines="0"/>
        <w:ind w:left="0" w:firstLine="600" w:firstLineChars="200"/>
        <w:rPr>
          <w:rFonts w:hint="eastAsia" w:ascii="宋体" w:hAnsi="宋体" w:cs="宋体"/>
          <w:sz w:val="30"/>
          <w:szCs w:val="30"/>
        </w:rPr>
      </w:pPr>
      <w:r>
        <w:rPr>
          <w:rFonts w:hint="eastAsia" w:ascii="宋体" w:hAnsi="宋体" w:cs="宋体"/>
          <w:sz w:val="30"/>
          <w:szCs w:val="30"/>
        </w:rPr>
        <w:t>合  同  签 订 地：</w:t>
      </w:r>
    </w:p>
    <w:p>
      <w:pPr>
        <w:pStyle w:val="575"/>
        <w:spacing w:beforeLines="0" w:afterLines="0"/>
        <w:ind w:left="0" w:firstLine="600" w:firstLineChars="200"/>
        <w:rPr>
          <w:rFonts w:hint="eastAsia" w:ascii="宋体" w:hAnsi="宋体" w:cs="宋体"/>
          <w:sz w:val="30"/>
          <w:szCs w:val="30"/>
        </w:rPr>
      </w:pPr>
      <w:r>
        <w:rPr>
          <w:rFonts w:hint="eastAsia" w:ascii="宋体" w:hAnsi="宋体" w:cs="宋体"/>
          <w:sz w:val="30"/>
          <w:szCs w:val="30"/>
        </w:rPr>
        <w:t>合 同 签订 时 间：</w:t>
      </w: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ind w:left="0" w:firstLine="600" w:firstLineChars="200"/>
        <w:rPr>
          <w:rFonts w:hint="eastAsia" w:ascii="宋体" w:hAnsi="宋体" w:cs="宋体"/>
          <w:sz w:val="30"/>
          <w:szCs w:val="30"/>
        </w:rPr>
      </w:pPr>
    </w:p>
    <w:p>
      <w:pPr>
        <w:pStyle w:val="575"/>
        <w:spacing w:beforeLines="0" w:afterLines="0" w:line="440" w:lineRule="exact"/>
        <w:ind w:left="0"/>
        <w:jc w:val="center"/>
        <w:rPr>
          <w:rFonts w:hint="eastAsia" w:ascii="宋体" w:hAnsi="宋体" w:cs="宋体"/>
          <w:sz w:val="32"/>
          <w:szCs w:val="32"/>
        </w:rPr>
      </w:pPr>
      <w:r>
        <w:rPr>
          <w:rFonts w:hint="eastAsia" w:ascii="宋体" w:hAnsi="宋体" w:cs="宋体"/>
          <w:sz w:val="32"/>
          <w:szCs w:val="32"/>
        </w:rPr>
        <w:t>合同签订指引</w:t>
      </w:r>
    </w:p>
    <w:p>
      <w:pPr>
        <w:pStyle w:val="575"/>
        <w:spacing w:beforeLines="0" w:afterLines="0" w:line="440" w:lineRule="exact"/>
        <w:ind w:left="0"/>
        <w:rPr>
          <w:rFonts w:hint="eastAsia" w:ascii="宋体" w:hAnsi="宋体" w:cs="宋体"/>
          <w:sz w:val="30"/>
          <w:szCs w:val="30"/>
        </w:rPr>
      </w:pP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一、采购人在签订合同时应提供的资料：</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1、该政府采购项目的招标采购文件（以网上发布内容为准）；</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2、该政府采购项目招标文件的澄清和修改内容（公告内容）；</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3、该政府采购项目评审报告；</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4、采购单位法人授权委托书（法人到场并签字的除外）；</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5、采购单位被授权人身份证件（法人到场并签字的除外）；</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6、采购人和中标供应商（或服务商，下同）约定的其它内容（不得超出招标采购文件实质性内容）。</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二、供应商在签订合同时应提供的资料：</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1、该政府采购项目的投标文件（纸质或DPF格式的电子投标文件）；</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2、针对该项目评审时评审委员会提出的质询答复（纸质并签章）；</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3、该政府采购项目中标通知书；</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4、供应商法人授权委托书（法人到场并签字的除外）；</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5、供应商被授权人身份证件（法人到场并签字的除外）；</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6、供应商和采购人约定的其它内容（不得超出招标采购文件实质性内容）。</w:t>
      </w:r>
    </w:p>
    <w:p>
      <w:pPr>
        <w:pStyle w:val="575"/>
        <w:spacing w:beforeLines="0" w:afterLines="0" w:line="440" w:lineRule="exact"/>
        <w:ind w:left="0" w:firstLine="420" w:firstLineChars="200"/>
        <w:rPr>
          <w:rFonts w:hint="eastAsia" w:ascii="宋体" w:hAnsi="宋体" w:cs="宋体"/>
          <w:sz w:val="30"/>
          <w:szCs w:val="30"/>
        </w:rPr>
      </w:pPr>
      <w:r>
        <w:rPr>
          <w:rFonts w:hint="eastAsia" w:ascii="宋体" w:hAnsi="宋体" w:cs="宋体"/>
          <w:szCs w:val="21"/>
        </w:rPr>
        <w:t>三、本合同签订后二个工作日内有采购人在“周口市政府采购网”上进行合同公示。</w:t>
      </w:r>
    </w:p>
    <w:p>
      <w:pPr>
        <w:pStyle w:val="575"/>
        <w:spacing w:beforeLines="0" w:afterLines="0" w:line="440" w:lineRule="exact"/>
        <w:ind w:left="0"/>
        <w:jc w:val="center"/>
        <w:rPr>
          <w:rFonts w:hint="eastAsia" w:ascii="宋体" w:hAnsi="宋体" w:cs="宋体"/>
          <w:bCs/>
          <w:sz w:val="32"/>
          <w:szCs w:val="32"/>
        </w:rPr>
      </w:pPr>
    </w:p>
    <w:p>
      <w:pPr>
        <w:pStyle w:val="575"/>
        <w:spacing w:beforeLines="0" w:afterLines="0" w:line="440" w:lineRule="exact"/>
        <w:ind w:left="0"/>
        <w:jc w:val="center"/>
        <w:rPr>
          <w:rFonts w:hint="eastAsia" w:ascii="宋体" w:hAnsi="宋体" w:cs="宋体"/>
          <w:sz w:val="32"/>
          <w:szCs w:val="32"/>
        </w:rPr>
      </w:pPr>
      <w:r>
        <w:rPr>
          <w:rFonts w:hint="eastAsia" w:ascii="宋体" w:hAnsi="宋体" w:cs="宋体"/>
          <w:bCs/>
          <w:sz w:val="32"/>
          <w:szCs w:val="32"/>
        </w:rPr>
        <w:t>供应商履约验收指引</w:t>
      </w:r>
    </w:p>
    <w:p>
      <w:pPr>
        <w:pStyle w:val="575"/>
        <w:spacing w:beforeLines="0" w:afterLines="0" w:line="440" w:lineRule="exact"/>
        <w:ind w:left="0" w:firstLine="420" w:firstLineChars="200"/>
        <w:rPr>
          <w:rFonts w:hint="eastAsia" w:ascii="宋体" w:hAnsi="宋体" w:cs="宋体"/>
          <w:szCs w:val="27"/>
        </w:rPr>
      </w:pPr>
      <w:r>
        <w:rPr>
          <w:rFonts w:hint="eastAsia" w:ascii="宋体" w:hAnsi="宋体" w:cs="宋体"/>
          <w:szCs w:val="21"/>
        </w:rPr>
        <w:t>1、供应商不得擅自变更合同标的服务内容；</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2、不得以次充优，随意降低服务标准和水平；</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3、对因客观上采购人采购需求发生变化造成的，应提供采、供双方的纸质备忘录材料；</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4、在满足验收条件5个工作日内通知采购人组织验收；</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5、供应商应提供需验收服务的清单、标准、达到的水平等量化资料；</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6、采、供双方约定的验收机构及相关人员组成情况。</w:t>
      </w:r>
    </w:p>
    <w:p>
      <w:pPr>
        <w:pStyle w:val="575"/>
        <w:spacing w:beforeLines="0" w:afterLines="0" w:line="440" w:lineRule="exact"/>
        <w:ind w:left="0" w:firstLine="420" w:firstLineChars="200"/>
        <w:rPr>
          <w:rFonts w:hint="eastAsia"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pPr>
        <w:pStyle w:val="4"/>
        <w:spacing w:before="0" w:after="0" w:line="500" w:lineRule="exact"/>
        <w:ind w:firstLine="0"/>
        <w:jc w:val="both"/>
        <w:rPr>
          <w:rFonts w:hint="eastAsia" w:ascii="宋体" w:hAnsi="宋体" w:eastAsia="宋体" w:cs="宋体"/>
          <w:b w:val="0"/>
          <w:bCs w:val="0"/>
          <w:sz w:val="21"/>
          <w:szCs w:val="21"/>
        </w:rPr>
      </w:pPr>
    </w:p>
    <w:p>
      <w:pPr>
        <w:pStyle w:val="4"/>
        <w:spacing w:before="0" w:after="0" w:line="500" w:lineRule="exact"/>
        <w:ind w:firstLine="0"/>
        <w:rPr>
          <w:rFonts w:hint="eastAsia" w:ascii="宋体" w:hAnsi="宋体" w:eastAsia="宋体" w:cs="宋体"/>
          <w:b w:val="0"/>
          <w:sz w:val="44"/>
          <w:szCs w:val="44"/>
        </w:rPr>
      </w:pPr>
      <w:r>
        <w:rPr>
          <w:rFonts w:hint="eastAsia" w:ascii="宋体" w:hAnsi="宋体" w:eastAsia="宋体" w:cs="宋体"/>
          <w:b w:val="0"/>
          <w:sz w:val="44"/>
          <w:szCs w:val="44"/>
        </w:rPr>
        <w:t>服务合同内容</w:t>
      </w:r>
    </w:p>
    <w:p>
      <w:pPr>
        <w:spacing w:line="360" w:lineRule="auto"/>
        <w:ind w:firstLine="420" w:firstLineChars="200"/>
        <w:rPr>
          <w:rFonts w:hint="eastAsia" w:ascii="宋体" w:hAnsi="宋体" w:cs="宋体"/>
          <w:szCs w:val="27"/>
        </w:rPr>
      </w:pPr>
    </w:p>
    <w:p>
      <w:pPr>
        <w:spacing w:line="360" w:lineRule="auto"/>
        <w:ind w:firstLine="420" w:firstLineChars="200"/>
        <w:rPr>
          <w:rFonts w:hint="eastAsia" w:ascii="宋体" w:hAnsi="宋体" w:cs="宋体"/>
          <w:szCs w:val="27"/>
          <w:u w:val="single"/>
        </w:rPr>
      </w:pPr>
      <w:r>
        <w:rPr>
          <w:rFonts w:hint="eastAsia" w:ascii="宋体" w:hAnsi="宋体" w:cs="宋体"/>
          <w:szCs w:val="27"/>
        </w:rPr>
        <w:t xml:space="preserve">采购人（甲方）： </w:t>
      </w:r>
    </w:p>
    <w:p>
      <w:pPr>
        <w:spacing w:line="360" w:lineRule="auto"/>
        <w:ind w:firstLine="420" w:firstLineChars="200"/>
        <w:rPr>
          <w:rFonts w:hint="eastAsia" w:ascii="宋体" w:hAnsi="宋体" w:cs="宋体"/>
          <w:szCs w:val="27"/>
        </w:rPr>
      </w:pPr>
      <w:r>
        <w:rPr>
          <w:rFonts w:hint="eastAsia" w:ascii="宋体" w:hAnsi="宋体" w:cs="宋体"/>
          <w:szCs w:val="27"/>
        </w:rPr>
        <w:t>供应商（乙方）：</w:t>
      </w:r>
    </w:p>
    <w:p>
      <w:pPr>
        <w:spacing w:line="360" w:lineRule="auto"/>
        <w:ind w:firstLine="420" w:firstLineChars="200"/>
        <w:rPr>
          <w:rFonts w:hint="eastAsia" w:ascii="宋体" w:hAnsi="宋体" w:cs="宋体"/>
          <w:szCs w:val="27"/>
          <w:u w:val="single"/>
        </w:rPr>
      </w:pPr>
      <w:r>
        <w:rPr>
          <w:rFonts w:hint="eastAsia" w:ascii="宋体" w:hAnsi="宋体" w:cs="宋体"/>
          <w:szCs w:val="27"/>
        </w:rPr>
        <w:t>签订地点：</w:t>
      </w:r>
    </w:p>
    <w:p>
      <w:pPr>
        <w:spacing w:line="360" w:lineRule="auto"/>
        <w:ind w:firstLine="420" w:firstLineChars="200"/>
        <w:rPr>
          <w:rFonts w:hint="eastAsia" w:ascii="宋体" w:hAnsi="宋体" w:cs="宋体"/>
          <w:szCs w:val="27"/>
          <w:u w:val="single"/>
        </w:rPr>
      </w:pPr>
      <w:r>
        <w:rPr>
          <w:rFonts w:hint="eastAsia" w:ascii="宋体" w:hAnsi="宋体" w:cs="宋体"/>
          <w:szCs w:val="27"/>
        </w:rPr>
        <w:t>项目名称：</w:t>
      </w:r>
    </w:p>
    <w:p>
      <w:pPr>
        <w:spacing w:line="360" w:lineRule="auto"/>
        <w:ind w:firstLine="420" w:firstLineChars="200"/>
        <w:rPr>
          <w:rFonts w:hint="eastAsia" w:ascii="宋体" w:hAnsi="宋体" w:cs="宋体"/>
          <w:szCs w:val="27"/>
          <w:u w:val="single"/>
        </w:rPr>
      </w:pPr>
      <w:r>
        <w:rPr>
          <w:rFonts w:hint="eastAsia" w:ascii="宋体" w:hAnsi="宋体" w:cs="宋体"/>
          <w:szCs w:val="27"/>
        </w:rPr>
        <w:t>项目编号：</w:t>
      </w:r>
    </w:p>
    <w:p>
      <w:pPr>
        <w:spacing w:line="360" w:lineRule="auto"/>
        <w:ind w:firstLine="420" w:firstLineChars="200"/>
        <w:rPr>
          <w:rFonts w:hint="eastAsia"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pPr>
        <w:spacing w:line="360" w:lineRule="auto"/>
        <w:ind w:firstLine="420" w:firstLineChars="200"/>
        <w:rPr>
          <w:rFonts w:hint="eastAsia"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政府采购法》、《中华人民共和国合同法》之规定，经甲乙双方充分协商，特订立本合同，以便共同遵守。</w:t>
      </w:r>
    </w:p>
    <w:p>
      <w:pPr>
        <w:spacing w:line="360" w:lineRule="auto"/>
        <w:ind w:firstLine="422" w:firstLineChars="200"/>
        <w:rPr>
          <w:rFonts w:hint="eastAsia"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71"/>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hint="eastAsia" w:ascii="宋体" w:hAnsi="宋体" w:cs="宋体"/>
              </w:rPr>
            </w:pPr>
            <w:r>
              <w:rPr>
                <w:rFonts w:hint="eastAsia" w:ascii="宋体" w:hAnsi="宋体" w:cs="宋体"/>
              </w:rPr>
              <w:t>服务内容</w:t>
            </w:r>
          </w:p>
        </w:tc>
        <w:tc>
          <w:tcPr>
            <w:tcW w:w="1623" w:type="dxa"/>
            <w:noWrap w:val="0"/>
            <w:vAlign w:val="top"/>
          </w:tcPr>
          <w:p>
            <w:pPr>
              <w:spacing w:line="360" w:lineRule="auto"/>
              <w:ind w:firstLine="420" w:firstLineChars="200"/>
              <w:rPr>
                <w:rFonts w:hint="eastAsia" w:ascii="宋体" w:hAnsi="宋体" w:cs="宋体"/>
              </w:rPr>
            </w:pPr>
            <w:r>
              <w:rPr>
                <w:rFonts w:hint="eastAsia" w:ascii="宋体" w:hAnsi="宋体" w:cs="宋体"/>
              </w:rPr>
              <w:t>标准水平</w:t>
            </w:r>
          </w:p>
        </w:tc>
        <w:tc>
          <w:tcPr>
            <w:tcW w:w="902" w:type="dxa"/>
            <w:noWrap w:val="0"/>
            <w:vAlign w:val="top"/>
          </w:tcPr>
          <w:p>
            <w:pPr>
              <w:spacing w:line="360" w:lineRule="auto"/>
              <w:ind w:firstLine="420" w:firstLineChars="200"/>
              <w:rPr>
                <w:rFonts w:hint="eastAsia" w:ascii="宋体" w:hAnsi="宋体" w:cs="宋体"/>
              </w:rPr>
            </w:pPr>
            <w:r>
              <w:rPr>
                <w:rFonts w:hint="eastAsia" w:ascii="宋体" w:hAnsi="宋体" w:cs="宋体"/>
              </w:rPr>
              <w:t>单位</w:t>
            </w:r>
          </w:p>
        </w:tc>
        <w:tc>
          <w:tcPr>
            <w:tcW w:w="902" w:type="dxa"/>
            <w:noWrap w:val="0"/>
            <w:vAlign w:val="top"/>
          </w:tcPr>
          <w:p>
            <w:pPr>
              <w:spacing w:line="360" w:lineRule="auto"/>
              <w:ind w:firstLine="420" w:firstLineChars="200"/>
              <w:rPr>
                <w:rFonts w:hint="eastAsia" w:ascii="宋体" w:hAnsi="宋体" w:cs="宋体"/>
              </w:rPr>
            </w:pPr>
            <w:r>
              <w:rPr>
                <w:rFonts w:hint="eastAsia" w:ascii="宋体" w:hAnsi="宋体" w:cs="宋体"/>
              </w:rPr>
              <w:t>数量</w:t>
            </w:r>
          </w:p>
        </w:tc>
        <w:tc>
          <w:tcPr>
            <w:tcW w:w="1071" w:type="dxa"/>
            <w:noWrap w:val="0"/>
            <w:vAlign w:val="top"/>
          </w:tcPr>
          <w:p>
            <w:pPr>
              <w:spacing w:line="360" w:lineRule="auto"/>
              <w:ind w:firstLine="420" w:firstLineChars="200"/>
              <w:rPr>
                <w:rFonts w:hint="eastAsia" w:ascii="宋体" w:hAnsi="宋体" w:cs="宋体"/>
              </w:rPr>
            </w:pPr>
            <w:r>
              <w:rPr>
                <w:rFonts w:hint="eastAsia" w:ascii="宋体" w:hAnsi="宋体" w:cs="宋体"/>
              </w:rPr>
              <w:t>单价</w:t>
            </w:r>
          </w:p>
        </w:tc>
        <w:tc>
          <w:tcPr>
            <w:tcW w:w="1250" w:type="dxa"/>
            <w:noWrap w:val="0"/>
            <w:vAlign w:val="top"/>
          </w:tcPr>
          <w:p>
            <w:pPr>
              <w:spacing w:line="360" w:lineRule="auto"/>
              <w:ind w:firstLine="420" w:firstLineChars="200"/>
              <w:rPr>
                <w:rFonts w:hint="eastAsia" w:ascii="宋体" w:hAnsi="宋体" w:cs="宋体"/>
              </w:rPr>
            </w:pPr>
            <w:r>
              <w:rPr>
                <w:rFonts w:hint="eastAsia" w:ascii="宋体" w:hAnsi="宋体" w:cs="宋体"/>
              </w:rPr>
              <w:t>小计</w:t>
            </w:r>
          </w:p>
        </w:tc>
        <w:tc>
          <w:tcPr>
            <w:tcW w:w="1106" w:type="dxa"/>
            <w:noWrap w:val="0"/>
            <w:vAlign w:val="top"/>
          </w:tcPr>
          <w:p>
            <w:pPr>
              <w:spacing w:line="360" w:lineRule="auto"/>
              <w:ind w:firstLine="420" w:firstLineChars="200"/>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hint="eastAsia" w:ascii="宋体" w:hAnsi="宋体" w:cs="宋体"/>
              </w:rPr>
            </w:pPr>
          </w:p>
        </w:tc>
        <w:tc>
          <w:tcPr>
            <w:tcW w:w="1623" w:type="dxa"/>
            <w:noWrap w:val="0"/>
            <w:vAlign w:val="top"/>
          </w:tcPr>
          <w:p>
            <w:pPr>
              <w:spacing w:line="360" w:lineRule="auto"/>
              <w:ind w:firstLine="420" w:firstLineChars="200"/>
              <w:rPr>
                <w:rFonts w:hint="eastAsia" w:ascii="宋体" w:hAnsi="宋体" w:cs="宋体"/>
              </w:rPr>
            </w:pPr>
          </w:p>
        </w:tc>
        <w:tc>
          <w:tcPr>
            <w:tcW w:w="902" w:type="dxa"/>
            <w:noWrap w:val="0"/>
            <w:vAlign w:val="top"/>
          </w:tcPr>
          <w:p>
            <w:pPr>
              <w:spacing w:line="360" w:lineRule="auto"/>
              <w:ind w:firstLine="420" w:firstLineChars="200"/>
              <w:rPr>
                <w:rFonts w:hint="eastAsia" w:ascii="宋体" w:hAnsi="宋体" w:cs="宋体"/>
              </w:rPr>
            </w:pPr>
          </w:p>
        </w:tc>
        <w:tc>
          <w:tcPr>
            <w:tcW w:w="902" w:type="dxa"/>
            <w:noWrap w:val="0"/>
            <w:vAlign w:val="top"/>
          </w:tcPr>
          <w:p>
            <w:pPr>
              <w:spacing w:line="360" w:lineRule="auto"/>
              <w:ind w:firstLine="420" w:firstLineChars="200"/>
              <w:rPr>
                <w:rFonts w:hint="eastAsia" w:ascii="宋体" w:hAnsi="宋体" w:cs="宋体"/>
              </w:rPr>
            </w:pPr>
          </w:p>
        </w:tc>
        <w:tc>
          <w:tcPr>
            <w:tcW w:w="1071" w:type="dxa"/>
            <w:noWrap w:val="0"/>
            <w:vAlign w:val="top"/>
          </w:tcPr>
          <w:p>
            <w:pPr>
              <w:spacing w:line="360" w:lineRule="auto"/>
              <w:ind w:firstLine="420" w:firstLineChars="200"/>
              <w:rPr>
                <w:rFonts w:hint="eastAsia" w:ascii="宋体" w:hAnsi="宋体" w:cs="宋体"/>
              </w:rPr>
            </w:pPr>
          </w:p>
        </w:tc>
        <w:tc>
          <w:tcPr>
            <w:tcW w:w="1250" w:type="dxa"/>
            <w:noWrap w:val="0"/>
            <w:vAlign w:val="top"/>
          </w:tcPr>
          <w:p>
            <w:pPr>
              <w:spacing w:line="360" w:lineRule="auto"/>
              <w:ind w:firstLine="420" w:firstLineChars="200"/>
              <w:rPr>
                <w:rFonts w:hint="eastAsia" w:ascii="宋体" w:hAnsi="宋体" w:cs="宋体"/>
              </w:rPr>
            </w:pPr>
          </w:p>
        </w:tc>
        <w:tc>
          <w:tcPr>
            <w:tcW w:w="1106" w:type="dxa"/>
            <w:noWrap w:val="0"/>
            <w:vAlign w:val="top"/>
          </w:tcPr>
          <w:p>
            <w:pPr>
              <w:spacing w:line="360" w:lineRule="auto"/>
              <w:ind w:firstLine="42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hint="eastAsia" w:ascii="宋体" w:hAnsi="宋体" w:cs="宋体"/>
              </w:rPr>
            </w:pPr>
          </w:p>
        </w:tc>
        <w:tc>
          <w:tcPr>
            <w:tcW w:w="1623" w:type="dxa"/>
            <w:noWrap w:val="0"/>
            <w:vAlign w:val="top"/>
          </w:tcPr>
          <w:p>
            <w:pPr>
              <w:spacing w:line="360" w:lineRule="auto"/>
              <w:ind w:firstLine="420" w:firstLineChars="200"/>
              <w:rPr>
                <w:rFonts w:hint="eastAsia" w:ascii="宋体" w:hAnsi="宋体" w:cs="宋体"/>
              </w:rPr>
            </w:pPr>
          </w:p>
        </w:tc>
        <w:tc>
          <w:tcPr>
            <w:tcW w:w="902" w:type="dxa"/>
            <w:noWrap w:val="0"/>
            <w:vAlign w:val="top"/>
          </w:tcPr>
          <w:p>
            <w:pPr>
              <w:spacing w:line="360" w:lineRule="auto"/>
              <w:ind w:firstLine="420" w:firstLineChars="200"/>
              <w:rPr>
                <w:rFonts w:hint="eastAsia" w:ascii="宋体" w:hAnsi="宋体" w:cs="宋体"/>
              </w:rPr>
            </w:pPr>
          </w:p>
        </w:tc>
        <w:tc>
          <w:tcPr>
            <w:tcW w:w="902" w:type="dxa"/>
            <w:noWrap w:val="0"/>
            <w:vAlign w:val="top"/>
          </w:tcPr>
          <w:p>
            <w:pPr>
              <w:spacing w:line="360" w:lineRule="auto"/>
              <w:ind w:firstLine="420" w:firstLineChars="200"/>
              <w:rPr>
                <w:rFonts w:hint="eastAsia" w:ascii="宋体" w:hAnsi="宋体" w:cs="宋体"/>
              </w:rPr>
            </w:pPr>
          </w:p>
        </w:tc>
        <w:tc>
          <w:tcPr>
            <w:tcW w:w="1071" w:type="dxa"/>
            <w:noWrap w:val="0"/>
            <w:vAlign w:val="top"/>
          </w:tcPr>
          <w:p>
            <w:pPr>
              <w:spacing w:line="360" w:lineRule="auto"/>
              <w:ind w:firstLine="420" w:firstLineChars="200"/>
              <w:rPr>
                <w:rFonts w:hint="eastAsia" w:ascii="宋体" w:hAnsi="宋体" w:cs="宋体"/>
              </w:rPr>
            </w:pPr>
          </w:p>
        </w:tc>
        <w:tc>
          <w:tcPr>
            <w:tcW w:w="1250" w:type="dxa"/>
            <w:noWrap w:val="0"/>
            <w:vAlign w:val="top"/>
          </w:tcPr>
          <w:p>
            <w:pPr>
              <w:spacing w:line="360" w:lineRule="auto"/>
              <w:ind w:firstLine="420" w:firstLineChars="200"/>
              <w:rPr>
                <w:rFonts w:hint="eastAsia" w:ascii="宋体" w:hAnsi="宋体" w:cs="宋体"/>
              </w:rPr>
            </w:pPr>
          </w:p>
        </w:tc>
        <w:tc>
          <w:tcPr>
            <w:tcW w:w="1106" w:type="dxa"/>
            <w:noWrap w:val="0"/>
            <w:vAlign w:val="top"/>
          </w:tcPr>
          <w:p>
            <w:pPr>
              <w:spacing w:line="360" w:lineRule="auto"/>
              <w:ind w:firstLine="42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noWrap w:val="0"/>
            <w:vAlign w:val="top"/>
          </w:tcPr>
          <w:p>
            <w:pPr>
              <w:spacing w:line="360" w:lineRule="auto"/>
              <w:ind w:firstLine="420" w:firstLineChars="200"/>
              <w:rPr>
                <w:rFonts w:hint="eastAsia" w:ascii="宋体" w:hAnsi="宋体" w:cs="宋体"/>
              </w:rPr>
            </w:pPr>
          </w:p>
        </w:tc>
        <w:tc>
          <w:tcPr>
            <w:tcW w:w="1623" w:type="dxa"/>
            <w:noWrap w:val="0"/>
            <w:vAlign w:val="top"/>
          </w:tcPr>
          <w:p>
            <w:pPr>
              <w:spacing w:line="360" w:lineRule="auto"/>
              <w:ind w:firstLine="420" w:firstLineChars="200"/>
              <w:rPr>
                <w:rFonts w:hint="eastAsia" w:ascii="宋体" w:hAnsi="宋体" w:cs="宋体"/>
              </w:rPr>
            </w:pPr>
          </w:p>
        </w:tc>
        <w:tc>
          <w:tcPr>
            <w:tcW w:w="902" w:type="dxa"/>
            <w:noWrap w:val="0"/>
            <w:vAlign w:val="top"/>
          </w:tcPr>
          <w:p>
            <w:pPr>
              <w:spacing w:line="360" w:lineRule="auto"/>
              <w:ind w:firstLine="420" w:firstLineChars="200"/>
              <w:rPr>
                <w:rFonts w:hint="eastAsia" w:ascii="宋体" w:hAnsi="宋体" w:cs="宋体"/>
              </w:rPr>
            </w:pPr>
          </w:p>
        </w:tc>
        <w:tc>
          <w:tcPr>
            <w:tcW w:w="902" w:type="dxa"/>
            <w:noWrap w:val="0"/>
            <w:vAlign w:val="top"/>
          </w:tcPr>
          <w:p>
            <w:pPr>
              <w:spacing w:line="360" w:lineRule="auto"/>
              <w:ind w:firstLine="420" w:firstLineChars="200"/>
              <w:rPr>
                <w:rFonts w:hint="eastAsia" w:ascii="宋体" w:hAnsi="宋体" w:cs="宋体"/>
              </w:rPr>
            </w:pPr>
          </w:p>
        </w:tc>
        <w:tc>
          <w:tcPr>
            <w:tcW w:w="1071" w:type="dxa"/>
            <w:noWrap w:val="0"/>
            <w:vAlign w:val="top"/>
          </w:tcPr>
          <w:p>
            <w:pPr>
              <w:spacing w:line="360" w:lineRule="auto"/>
              <w:ind w:firstLine="420" w:firstLineChars="200"/>
              <w:rPr>
                <w:rFonts w:hint="eastAsia" w:ascii="宋体" w:hAnsi="宋体" w:cs="宋体"/>
              </w:rPr>
            </w:pPr>
          </w:p>
        </w:tc>
        <w:tc>
          <w:tcPr>
            <w:tcW w:w="1250" w:type="dxa"/>
            <w:noWrap w:val="0"/>
            <w:vAlign w:val="top"/>
          </w:tcPr>
          <w:p>
            <w:pPr>
              <w:spacing w:line="360" w:lineRule="auto"/>
              <w:ind w:firstLine="420" w:firstLineChars="200"/>
              <w:rPr>
                <w:rFonts w:hint="eastAsia" w:ascii="宋体" w:hAnsi="宋体" w:cs="宋体"/>
              </w:rPr>
            </w:pPr>
          </w:p>
        </w:tc>
        <w:tc>
          <w:tcPr>
            <w:tcW w:w="1106" w:type="dxa"/>
            <w:noWrap w:val="0"/>
            <w:vAlign w:val="top"/>
          </w:tcPr>
          <w:p>
            <w:pPr>
              <w:spacing w:line="360" w:lineRule="auto"/>
              <w:ind w:firstLine="420" w:firstLineChars="20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noWrap w:val="0"/>
            <w:vAlign w:val="top"/>
          </w:tcPr>
          <w:p>
            <w:pPr>
              <w:spacing w:line="360" w:lineRule="auto"/>
              <w:ind w:firstLine="420" w:firstLineChars="200"/>
              <w:rPr>
                <w:rFonts w:hint="eastAsia" w:ascii="宋体" w:hAnsi="宋体" w:cs="宋体"/>
              </w:rPr>
            </w:pPr>
            <w:r>
              <w:rPr>
                <w:rFonts w:hint="eastAsia" w:ascii="宋体" w:hAnsi="宋体" w:cs="宋体"/>
              </w:rPr>
              <w:t>合同总价款（大小写）：</w:t>
            </w:r>
          </w:p>
          <w:p>
            <w:pPr>
              <w:spacing w:line="360" w:lineRule="auto"/>
              <w:ind w:firstLine="420" w:firstLineChars="200"/>
              <w:rPr>
                <w:rFonts w:hint="eastAsia" w:ascii="宋体" w:hAnsi="宋体" w:cs="宋体"/>
              </w:rPr>
            </w:pPr>
            <w:r>
              <w:rPr>
                <w:rFonts w:hint="eastAsia" w:ascii="宋体" w:hAnsi="宋体" w:cs="宋体"/>
                <w:szCs w:val="28"/>
              </w:rPr>
              <w:t>备注：上述服务包含相关设备购置、人员工资及售后服务、税金、劳保基金、人员培训等费用。</w:t>
            </w:r>
          </w:p>
        </w:tc>
      </w:tr>
    </w:tbl>
    <w:p>
      <w:pPr>
        <w:spacing w:line="360" w:lineRule="auto"/>
        <w:ind w:firstLine="422" w:firstLineChars="200"/>
        <w:rPr>
          <w:rFonts w:hint="eastAsia"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pPr>
        <w:spacing w:line="360" w:lineRule="auto"/>
        <w:ind w:firstLine="420" w:firstLineChars="200"/>
        <w:rPr>
          <w:rFonts w:hint="eastAsia"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hint="eastAsia" w:ascii="宋体" w:hAnsi="宋体" w:cs="宋体"/>
          <w:szCs w:val="27"/>
          <w:u w:val="single"/>
        </w:rPr>
      </w:pPr>
      <w:r>
        <w:rPr>
          <w:rFonts w:hint="eastAsia" w:ascii="宋体" w:hAnsi="宋体" w:cs="宋体"/>
        </w:rPr>
        <w:t>乙方提供的服务标准和水平应与招标采购文件规定的标准和水平相一致。</w:t>
      </w:r>
    </w:p>
    <w:p>
      <w:pPr>
        <w:spacing w:line="360" w:lineRule="auto"/>
        <w:ind w:firstLine="422" w:firstLineChars="200"/>
        <w:rPr>
          <w:rFonts w:hint="eastAsia"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pPr>
        <w:spacing w:line="360" w:lineRule="auto"/>
        <w:ind w:firstLine="420" w:firstLineChars="200"/>
        <w:rPr>
          <w:rFonts w:hint="eastAsia" w:ascii="宋体" w:hAnsi="宋体" w:cs="宋体"/>
        </w:rPr>
      </w:pPr>
      <w:r>
        <w:rPr>
          <w:rFonts w:hint="eastAsia" w:ascii="宋体" w:hAnsi="宋体" w:cs="宋体"/>
          <w:szCs w:val="27"/>
        </w:rPr>
        <w:t>1、服务方式：</w:t>
      </w:r>
    </w:p>
    <w:p>
      <w:pPr>
        <w:spacing w:line="360" w:lineRule="auto"/>
        <w:ind w:firstLine="420" w:firstLineChars="200"/>
        <w:rPr>
          <w:rFonts w:hint="eastAsia" w:ascii="宋体" w:hAnsi="宋体" w:cs="宋体"/>
        </w:rPr>
      </w:pPr>
      <w:r>
        <w:rPr>
          <w:rFonts w:hint="eastAsia" w:ascii="宋体" w:hAnsi="宋体" w:cs="宋体"/>
        </w:rPr>
        <w:t>2、服务方法：</w:t>
      </w:r>
    </w:p>
    <w:p>
      <w:pPr>
        <w:spacing w:line="360" w:lineRule="auto"/>
        <w:ind w:firstLine="420" w:firstLineChars="200"/>
        <w:rPr>
          <w:rFonts w:hint="eastAsia"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pPr>
        <w:spacing w:line="360" w:lineRule="auto"/>
        <w:ind w:firstLine="420" w:firstLineChars="200"/>
        <w:rPr>
          <w:rFonts w:hint="eastAsia" w:ascii="宋体" w:hAnsi="宋体" w:cs="宋体"/>
          <w:szCs w:val="27"/>
        </w:rPr>
      </w:pPr>
      <w:r>
        <w:rPr>
          <w:rFonts w:hint="eastAsia" w:ascii="宋体" w:hAnsi="宋体" w:cs="宋体"/>
          <w:szCs w:val="27"/>
        </w:rPr>
        <w:t>3、服务期限：</w:t>
      </w:r>
    </w:p>
    <w:p>
      <w:pPr>
        <w:spacing w:line="360" w:lineRule="auto"/>
        <w:ind w:firstLine="420" w:firstLineChars="200"/>
        <w:rPr>
          <w:rFonts w:hint="eastAsia" w:ascii="宋体" w:hAnsi="宋体" w:cs="宋体"/>
        </w:rPr>
      </w:pPr>
      <w:r>
        <w:rPr>
          <w:rFonts w:hint="eastAsia" w:ascii="宋体" w:hAnsi="宋体" w:cs="宋体"/>
        </w:rPr>
        <w:t>第四条  费用及支付方式</w:t>
      </w:r>
    </w:p>
    <w:p>
      <w:pPr>
        <w:pStyle w:val="2"/>
        <w:kinsoku w:val="0"/>
        <w:overflowPunct w:val="0"/>
        <w:spacing w:line="364" w:lineRule="auto"/>
        <w:ind w:firstLine="422" w:firstLineChars="200"/>
        <w:rPr>
          <w:rFonts w:hint="eastAsia" w:hAnsi="宋体" w:cs="宋体"/>
          <w:b/>
        </w:rPr>
      </w:pPr>
      <w:r>
        <w:rPr>
          <w:rFonts w:hint="eastAsia" w:hAnsi="宋体" w:cs="宋体"/>
          <w:b/>
          <w:sz w:val="21"/>
        </w:rPr>
        <w:t>(一)</w:t>
      </w:r>
      <w:r>
        <w:rPr>
          <w:rFonts w:hint="eastAsia" w:hAnsi="宋体" w:cs="宋体"/>
          <w:b/>
        </w:rPr>
        <w:t>本项目费用有以下组成：</w:t>
      </w:r>
    </w:p>
    <w:p>
      <w:pPr>
        <w:pStyle w:val="2"/>
        <w:kinsoku w:val="0"/>
        <w:overflowPunct w:val="0"/>
        <w:spacing w:line="364" w:lineRule="auto"/>
        <w:ind w:firstLine="420" w:firstLineChars="200"/>
        <w:rPr>
          <w:rFonts w:hint="eastAsia" w:hAnsi="宋体" w:cs="宋体"/>
          <w:sz w:val="21"/>
        </w:rPr>
      </w:pPr>
      <w:r>
        <w:rPr>
          <w:rFonts w:hint="eastAsia" w:hAnsi="宋体" w:cs="宋体"/>
          <w:sz w:val="21"/>
        </w:rPr>
        <w:t xml:space="preserve"> 1、XX 万元；</w:t>
      </w:r>
    </w:p>
    <w:p>
      <w:pPr>
        <w:pStyle w:val="2"/>
        <w:kinsoku w:val="0"/>
        <w:overflowPunct w:val="0"/>
        <w:spacing w:line="364" w:lineRule="auto"/>
        <w:ind w:firstLine="420" w:firstLineChars="200"/>
        <w:rPr>
          <w:rFonts w:hint="eastAsia" w:hAnsi="宋体" w:cs="宋体"/>
          <w:sz w:val="21"/>
        </w:rPr>
      </w:pPr>
      <w:r>
        <w:rPr>
          <w:rFonts w:hint="eastAsia" w:hAnsi="宋体" w:cs="宋体"/>
          <w:sz w:val="21"/>
        </w:rPr>
        <w:t>2、XX 万元；</w:t>
      </w:r>
    </w:p>
    <w:p>
      <w:pPr>
        <w:pStyle w:val="2"/>
        <w:kinsoku w:val="0"/>
        <w:overflowPunct w:val="0"/>
        <w:spacing w:line="364" w:lineRule="auto"/>
        <w:ind w:firstLine="420" w:firstLineChars="200"/>
        <w:rPr>
          <w:rFonts w:hint="eastAsia" w:hAnsi="宋体" w:cs="宋体"/>
          <w:sz w:val="21"/>
        </w:rPr>
      </w:pPr>
      <w:r>
        <w:rPr>
          <w:rFonts w:hint="eastAsia" w:hAnsi="宋体" w:cs="宋体"/>
          <w:sz w:val="21"/>
        </w:rPr>
        <w:t>……</w:t>
      </w:r>
    </w:p>
    <w:p>
      <w:pPr>
        <w:pStyle w:val="2"/>
        <w:kinsoku w:val="0"/>
        <w:overflowPunct w:val="0"/>
        <w:ind w:firstLine="422" w:firstLineChars="200"/>
        <w:rPr>
          <w:rFonts w:hint="eastAsia" w:hAnsi="宋体" w:cs="宋体"/>
          <w:b/>
        </w:rPr>
      </w:pPr>
      <w:r>
        <w:rPr>
          <w:rFonts w:hint="eastAsia" w:hAnsi="宋体" w:cs="宋体"/>
          <w:b/>
          <w:sz w:val="21"/>
        </w:rPr>
        <w:t>(二)</w:t>
      </w:r>
      <w:r>
        <w:rPr>
          <w:rFonts w:hint="eastAsia" w:hAnsi="宋体" w:cs="宋体"/>
          <w:b/>
        </w:rPr>
        <w:t>费用支付方式：</w:t>
      </w:r>
    </w:p>
    <w:p>
      <w:pPr>
        <w:pStyle w:val="2"/>
        <w:kinsoku w:val="0"/>
        <w:overflowPunct w:val="0"/>
        <w:spacing w:line="364" w:lineRule="auto"/>
        <w:ind w:firstLine="420" w:firstLineChars="200"/>
        <w:rPr>
          <w:rFonts w:hint="eastAsia" w:hAnsi="宋体" w:cs="宋体"/>
          <w:sz w:val="21"/>
        </w:rPr>
      </w:pPr>
      <w:r>
        <w:rPr>
          <w:rFonts w:hint="eastAsia" w:hAnsi="宋体" w:cs="宋体"/>
          <w:sz w:val="21"/>
        </w:rPr>
        <w:t>1、XXXX；</w:t>
      </w:r>
    </w:p>
    <w:p>
      <w:pPr>
        <w:pStyle w:val="2"/>
        <w:kinsoku w:val="0"/>
        <w:overflowPunct w:val="0"/>
        <w:spacing w:line="364" w:lineRule="auto"/>
        <w:ind w:firstLine="420" w:firstLineChars="200"/>
        <w:rPr>
          <w:rFonts w:hint="eastAsia" w:hAnsi="宋体" w:cs="宋体"/>
          <w:sz w:val="21"/>
        </w:rPr>
      </w:pPr>
      <w:r>
        <w:rPr>
          <w:rFonts w:hint="eastAsia" w:hAnsi="宋体" w:cs="宋体"/>
          <w:sz w:val="21"/>
        </w:rPr>
        <w:t>2、XXXX ；</w:t>
      </w:r>
    </w:p>
    <w:p>
      <w:pPr>
        <w:pStyle w:val="2"/>
        <w:kinsoku w:val="0"/>
        <w:overflowPunct w:val="0"/>
        <w:spacing w:line="364" w:lineRule="auto"/>
        <w:ind w:firstLine="420" w:firstLineChars="200"/>
        <w:rPr>
          <w:rFonts w:hint="eastAsia" w:hAnsi="宋体" w:cs="宋体"/>
          <w:sz w:val="21"/>
        </w:rPr>
      </w:pPr>
      <w:r>
        <w:rPr>
          <w:rFonts w:hint="eastAsia" w:hAnsi="宋体" w:cs="宋体"/>
          <w:sz w:val="21"/>
        </w:rPr>
        <w:t>3、在支付前甲方对乙方的服务进行考核或验收，合格的支付相应款 项。乙方须向甲方出具合法有效完整的完税发票及凭证资料进行支付结算。</w:t>
      </w:r>
    </w:p>
    <w:p>
      <w:pPr>
        <w:pStyle w:val="2"/>
        <w:kinsoku w:val="0"/>
        <w:overflowPunct w:val="0"/>
        <w:ind w:firstLine="562" w:firstLineChars="200"/>
        <w:rPr>
          <w:rFonts w:hint="eastAsia" w:hAnsi="宋体" w:cs="宋体"/>
        </w:rPr>
      </w:pPr>
      <w:r>
        <w:rPr>
          <w:rFonts w:hint="eastAsia" w:hAnsi="宋体" w:cs="宋体"/>
          <w:b/>
        </w:rPr>
        <w:t xml:space="preserve">第五条  付款条件   </w:t>
      </w:r>
      <w:r>
        <w:rPr>
          <w:rFonts w:hint="eastAsia" w:hAnsi="宋体" w:cs="宋体"/>
        </w:rPr>
        <w:t xml:space="preserve">               </w:t>
      </w:r>
    </w:p>
    <w:p>
      <w:pPr>
        <w:spacing w:line="360" w:lineRule="auto"/>
        <w:ind w:firstLine="420" w:firstLineChars="200"/>
        <w:rPr>
          <w:rFonts w:hint="eastAsia" w:ascii="宋体" w:hAnsi="宋体" w:cs="宋体"/>
        </w:rPr>
      </w:pPr>
      <w:r>
        <w:rPr>
          <w:rFonts w:hint="eastAsia" w:ascii="宋体" w:hAnsi="宋体" w:cs="宋体"/>
        </w:rPr>
        <w:t>本合同以人民币付款。</w:t>
      </w:r>
    </w:p>
    <w:p>
      <w:pPr>
        <w:spacing w:line="360" w:lineRule="auto"/>
        <w:ind w:firstLine="420" w:firstLineChars="200"/>
        <w:rPr>
          <w:rFonts w:hint="eastAsia" w:ascii="宋体" w:hAnsi="宋体" w:cs="宋体"/>
        </w:rPr>
      </w:pPr>
      <w:r>
        <w:rPr>
          <w:rFonts w:hint="eastAsia" w:ascii="宋体" w:hAnsi="宋体" w:cs="宋体"/>
        </w:rPr>
        <w:t>该项目是否实行预付款：</w:t>
      </w:r>
    </w:p>
    <w:p>
      <w:pPr>
        <w:spacing w:line="360" w:lineRule="auto"/>
        <w:ind w:firstLine="420" w:firstLineChars="200"/>
        <w:rPr>
          <w:rFonts w:hint="eastAsia" w:ascii="宋体" w:hAnsi="宋体" w:cs="宋体"/>
        </w:rPr>
      </w:pPr>
      <w:r>
        <w:rPr>
          <w:rFonts w:hint="eastAsia" w:ascii="宋体" w:hAnsi="宋体" w:cs="宋体"/>
        </w:rPr>
        <w:t>实行预付款的条件和比例：</w:t>
      </w:r>
    </w:p>
    <w:p>
      <w:pPr>
        <w:spacing w:line="360" w:lineRule="auto"/>
        <w:ind w:firstLine="420" w:firstLineChars="200"/>
        <w:rPr>
          <w:rFonts w:hint="eastAsia" w:ascii="宋体" w:hAnsi="宋体" w:cs="宋体"/>
        </w:rPr>
      </w:pPr>
      <w:r>
        <w:rPr>
          <w:rFonts w:hint="eastAsia" w:ascii="宋体" w:hAnsi="宋体" w:cs="宋体"/>
        </w:rPr>
        <w:t xml:space="preserve">合同款项结算方式和支付比例：   </w:t>
      </w:r>
    </w:p>
    <w:p>
      <w:pPr>
        <w:spacing w:line="360" w:lineRule="auto"/>
        <w:ind w:firstLine="420" w:firstLineChars="200"/>
        <w:rPr>
          <w:rFonts w:hint="eastAsia"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pPr>
        <w:pStyle w:val="575"/>
        <w:spacing w:beforeLines="0" w:afterLines="0"/>
        <w:ind w:left="0" w:firstLine="562" w:firstLineChars="200"/>
        <w:rPr>
          <w:rFonts w:hint="eastAsia" w:ascii="宋体" w:hAnsi="宋体" w:cs="宋体"/>
          <w:b/>
          <w:sz w:val="28"/>
          <w:szCs w:val="20"/>
        </w:rPr>
      </w:pPr>
      <w:r>
        <w:rPr>
          <w:rFonts w:hint="eastAsia" w:ascii="宋体" w:hAnsi="宋体" w:cs="宋体"/>
          <w:b/>
          <w:sz w:val="28"/>
          <w:szCs w:val="20"/>
        </w:rPr>
        <w:t>第六条  验收方法</w:t>
      </w:r>
    </w:p>
    <w:p>
      <w:pPr>
        <w:spacing w:line="360" w:lineRule="auto"/>
        <w:ind w:firstLine="420" w:firstLineChars="200"/>
        <w:rPr>
          <w:rFonts w:hint="eastAsia"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hint="eastAsia"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hint="eastAsia"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hint="eastAsia"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hint="eastAsia" w:ascii="宋体" w:hAnsi="宋体" w:cs="宋体"/>
        </w:rPr>
      </w:pPr>
      <w:r>
        <w:rPr>
          <w:rFonts w:hint="eastAsia" w:ascii="宋体" w:hAnsi="宋体" w:cs="宋体"/>
        </w:rPr>
        <w:t>检测、验收费用承担方式：</w:t>
      </w:r>
    </w:p>
    <w:p>
      <w:pPr>
        <w:pStyle w:val="2"/>
        <w:kinsoku w:val="0"/>
        <w:overflowPunct w:val="0"/>
        <w:spacing w:line="364" w:lineRule="auto"/>
        <w:ind w:firstLine="562" w:firstLineChars="200"/>
        <w:rPr>
          <w:rFonts w:hint="eastAsia" w:hAnsi="宋体" w:cs="宋体"/>
          <w:b/>
        </w:rPr>
      </w:pPr>
      <w:r>
        <w:rPr>
          <w:rFonts w:hint="eastAsia" w:hAnsi="宋体" w:cs="宋体"/>
          <w:b/>
        </w:rPr>
        <w:t>第七条 知识产权</w:t>
      </w:r>
    </w:p>
    <w:p>
      <w:pPr>
        <w:pStyle w:val="2"/>
        <w:kinsoku w:val="0"/>
        <w:overflowPunct w:val="0"/>
        <w:spacing w:line="364" w:lineRule="auto"/>
        <w:ind w:firstLine="420" w:firstLineChars="200"/>
        <w:rPr>
          <w:rFonts w:hint="eastAsia" w:hAnsi="宋体" w:cs="宋体"/>
          <w:sz w:val="21"/>
        </w:rPr>
      </w:pPr>
      <w:r>
        <w:rPr>
          <w:rFonts w:hint="eastAsia" w:hAnsi="宋体" w:cs="宋体"/>
          <w:sz w:val="21"/>
        </w:rPr>
        <w:t>乙方应保证所提供的服务或其任何一部分均不会侵犯任何第三方的专利权、商标权或著作权。</w:t>
      </w:r>
    </w:p>
    <w:p>
      <w:pPr>
        <w:pStyle w:val="3"/>
        <w:kinsoku w:val="0"/>
        <w:overflowPunct w:val="0"/>
        <w:ind w:firstLine="602" w:firstLineChars="200"/>
        <w:jc w:val="both"/>
        <w:rPr>
          <w:rFonts w:hint="eastAsia" w:ascii="宋体" w:hAnsi="宋体" w:cs="宋体"/>
        </w:rPr>
      </w:pPr>
      <w:r>
        <w:rPr>
          <w:rFonts w:hint="eastAsia" w:ascii="宋体" w:hAnsi="宋体" w:cs="宋体"/>
        </w:rPr>
        <w:t>第八条 无产权瑕疵条款</w:t>
      </w:r>
    </w:p>
    <w:p>
      <w:pPr>
        <w:pStyle w:val="2"/>
        <w:kinsoku w:val="0"/>
        <w:overflowPunct w:val="0"/>
        <w:spacing w:line="364" w:lineRule="auto"/>
        <w:ind w:firstLine="420" w:firstLineChars="200"/>
        <w:rPr>
          <w:rFonts w:hint="eastAsia" w:hAnsi="宋体" w:cs="宋体"/>
          <w:sz w:val="21"/>
        </w:rPr>
      </w:pPr>
      <w:r>
        <w:rPr>
          <w:rFonts w:hint="eastAsia" w:hAnsi="宋体" w:cs="宋体"/>
          <w:sz w:val="21"/>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hint="eastAsia"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pPr>
        <w:spacing w:line="360" w:lineRule="auto"/>
        <w:ind w:firstLine="420" w:firstLineChars="200"/>
        <w:rPr>
          <w:rFonts w:hint="eastAsia"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hint="eastAsia" w:ascii="宋体" w:hAnsi="宋体" w:cs="宋体"/>
        </w:rPr>
      </w:pPr>
      <w:r>
        <w:rPr>
          <w:rFonts w:hint="eastAsia" w:ascii="宋体" w:hAnsi="宋体" w:cs="宋体"/>
        </w:rPr>
        <w:t>2.若确需质量保证金的，质量保证金不得超过合同总价款的5%</w:t>
      </w:r>
    </w:p>
    <w:p>
      <w:pPr>
        <w:spacing w:line="360" w:lineRule="auto"/>
        <w:ind w:firstLine="420" w:firstLineChars="200"/>
        <w:rPr>
          <w:rFonts w:hint="eastAsia" w:ascii="宋体" w:hAnsi="宋体" w:cs="宋体"/>
        </w:rPr>
      </w:pPr>
      <w:r>
        <w:rPr>
          <w:rFonts w:hint="eastAsia" w:ascii="宋体" w:hAnsi="宋体" w:cs="宋体"/>
        </w:rPr>
        <w:t>3.如乙方未能履行其合同规定的任何义务，甲方有权从履约保证金中取得补偿。</w:t>
      </w:r>
    </w:p>
    <w:p>
      <w:pPr>
        <w:pStyle w:val="3"/>
        <w:kinsoku w:val="0"/>
        <w:overflowPunct w:val="0"/>
        <w:spacing w:line="400" w:lineRule="exact"/>
        <w:ind w:firstLine="602" w:firstLineChars="200"/>
        <w:jc w:val="both"/>
        <w:rPr>
          <w:rFonts w:hint="eastAsia" w:ascii="宋体" w:hAnsi="宋体" w:cs="宋体"/>
        </w:rPr>
      </w:pPr>
      <w:r>
        <w:rPr>
          <w:rFonts w:hint="eastAsia" w:ascii="宋体" w:hAnsi="宋体" w:cs="宋体"/>
        </w:rPr>
        <w:t>第十条 甲方的权利和义务</w:t>
      </w:r>
    </w:p>
    <w:p>
      <w:pPr>
        <w:spacing w:line="360" w:lineRule="auto"/>
        <w:ind w:firstLine="420" w:firstLineChars="200"/>
        <w:rPr>
          <w:rFonts w:hint="eastAsia"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hint="eastAsia"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hint="eastAsia" w:ascii="宋体" w:hAnsi="宋体" w:cs="宋体"/>
        </w:rPr>
      </w:pPr>
      <w:r>
        <w:rPr>
          <w:rFonts w:hint="eastAsia" w:ascii="宋体" w:hAnsi="宋体" w:cs="宋体"/>
        </w:rPr>
        <w:t>3、负责检查监督乙方管理工作的实施及制度的执行情况。</w:t>
      </w:r>
    </w:p>
    <w:p>
      <w:pPr>
        <w:spacing w:line="360" w:lineRule="auto"/>
        <w:ind w:firstLine="420" w:firstLineChars="200"/>
        <w:rPr>
          <w:rFonts w:hint="eastAsia" w:ascii="宋体" w:hAnsi="宋体" w:cs="宋体"/>
        </w:rPr>
      </w:pPr>
      <w:r>
        <w:rPr>
          <w:rFonts w:hint="eastAsia" w:ascii="宋体" w:hAnsi="宋体" w:cs="宋体"/>
        </w:rPr>
        <w:t>4、根据本合同规定，按时向乙方支付应付服务费用。</w:t>
      </w:r>
    </w:p>
    <w:p>
      <w:pPr>
        <w:spacing w:line="360" w:lineRule="auto"/>
        <w:ind w:firstLine="420" w:firstLineChars="200"/>
        <w:rPr>
          <w:rFonts w:hint="eastAsia" w:ascii="宋体" w:hAnsi="宋体" w:cs="宋体"/>
        </w:rPr>
      </w:pPr>
      <w:r>
        <w:rPr>
          <w:rFonts w:hint="eastAsia" w:ascii="宋体" w:hAnsi="宋体" w:cs="宋体"/>
        </w:rPr>
        <w:t xml:space="preserve">5、国家法律、法规所规定由甲方承担的其他责任               </w:t>
      </w:r>
    </w:p>
    <w:p>
      <w:pPr>
        <w:pStyle w:val="2"/>
        <w:kinsoku w:val="0"/>
        <w:overflowPunct w:val="0"/>
        <w:spacing w:line="364" w:lineRule="auto"/>
        <w:ind w:firstLine="562" w:firstLineChars="200"/>
        <w:rPr>
          <w:rFonts w:hint="eastAsia" w:hAnsi="宋体" w:cs="宋体"/>
          <w:b/>
        </w:rPr>
      </w:pPr>
      <w:r>
        <w:rPr>
          <w:rFonts w:hint="eastAsia" w:hAnsi="宋体" w:cs="宋体"/>
          <w:b/>
        </w:rPr>
        <w:t>第十一条 乙方的权利和义务</w:t>
      </w:r>
    </w:p>
    <w:p>
      <w:pPr>
        <w:spacing w:line="360" w:lineRule="auto"/>
        <w:ind w:firstLine="420" w:firstLineChars="200"/>
        <w:rPr>
          <w:rFonts w:hint="eastAsia" w:ascii="宋体" w:hAnsi="宋体" w:cs="宋体"/>
        </w:rPr>
      </w:pPr>
      <w:r>
        <w:rPr>
          <w:rFonts w:hint="eastAsia" w:ascii="宋体" w:hAnsi="宋体" w:cs="宋体"/>
        </w:rPr>
        <w:t>1、对本合同规定的委托服务范围内的项目享有管理权及服务义务。</w:t>
      </w:r>
    </w:p>
    <w:p>
      <w:pPr>
        <w:spacing w:line="360" w:lineRule="auto"/>
        <w:ind w:firstLine="420" w:firstLineChars="200"/>
        <w:rPr>
          <w:rFonts w:hint="eastAsia" w:ascii="宋体" w:hAnsi="宋体" w:cs="宋体"/>
        </w:rPr>
      </w:pPr>
      <w:r>
        <w:rPr>
          <w:rFonts w:hint="eastAsia" w:ascii="宋体" w:hAnsi="宋体" w:cs="宋体"/>
        </w:rPr>
        <w:t>2、根据本合同的规定向甲方收取相关服务费用，并有权在本项目管理范围内管理及合理使用。</w:t>
      </w:r>
    </w:p>
    <w:p>
      <w:pPr>
        <w:spacing w:line="360" w:lineRule="auto"/>
        <w:ind w:firstLine="420" w:firstLineChars="200"/>
        <w:rPr>
          <w:rFonts w:hint="eastAsia" w:ascii="宋体" w:hAnsi="宋体" w:cs="宋体"/>
        </w:rPr>
      </w:pPr>
      <w:r>
        <w:rPr>
          <w:rFonts w:hint="eastAsia" w:ascii="宋体" w:hAnsi="宋体" w:cs="宋体"/>
        </w:rPr>
        <w:t>3、及时向甲方通告本项目服务范围内有关服务的重大事项，及时配合处理投诉。</w:t>
      </w:r>
    </w:p>
    <w:p>
      <w:pPr>
        <w:spacing w:line="360" w:lineRule="auto"/>
        <w:ind w:firstLine="420" w:firstLineChars="200"/>
        <w:rPr>
          <w:rFonts w:hint="eastAsia" w:ascii="宋体" w:hAnsi="宋体" w:cs="宋体"/>
        </w:rPr>
      </w:pPr>
      <w:r>
        <w:rPr>
          <w:rFonts w:hint="eastAsia" w:ascii="宋体" w:hAnsi="宋体" w:cs="宋体"/>
        </w:rPr>
        <w:t>4、接受项目行业管理部门及政府有关部门的指导，接受甲方的监督。</w:t>
      </w:r>
    </w:p>
    <w:p>
      <w:pPr>
        <w:spacing w:line="360" w:lineRule="auto"/>
        <w:ind w:firstLine="420" w:firstLineChars="200"/>
        <w:rPr>
          <w:rFonts w:hint="eastAsia" w:ascii="宋体" w:hAnsi="宋体" w:cs="宋体"/>
        </w:rPr>
      </w:pPr>
      <w:r>
        <w:rPr>
          <w:rFonts w:hint="eastAsia" w:ascii="宋体" w:hAnsi="宋体" w:cs="宋体"/>
        </w:rPr>
        <w:t>5、国家法律、法规所规定由乙方承担的其它责任。</w:t>
      </w:r>
    </w:p>
    <w:p>
      <w:pPr>
        <w:pStyle w:val="2"/>
        <w:kinsoku w:val="0"/>
        <w:overflowPunct w:val="0"/>
        <w:spacing w:line="364" w:lineRule="auto"/>
        <w:ind w:firstLine="562" w:firstLineChars="200"/>
        <w:rPr>
          <w:rFonts w:hint="eastAsia" w:hAnsi="宋体" w:cs="宋体"/>
          <w:b/>
        </w:rPr>
      </w:pPr>
      <w:r>
        <w:rPr>
          <w:rFonts w:hint="eastAsia" w:hAnsi="宋体" w:cs="宋体"/>
          <w:b/>
        </w:rPr>
        <w:t>第十二条 违约责任</w:t>
      </w:r>
    </w:p>
    <w:p>
      <w:pPr>
        <w:pStyle w:val="2"/>
        <w:kinsoku w:val="0"/>
        <w:overflowPunct w:val="0"/>
        <w:ind w:firstLine="420" w:firstLineChars="200"/>
        <w:rPr>
          <w:rFonts w:hint="eastAsia" w:hAnsi="宋体" w:cs="宋体"/>
          <w:sz w:val="21"/>
        </w:rPr>
      </w:pPr>
      <w:r>
        <w:rPr>
          <w:rFonts w:hint="eastAsia" w:hAnsi="宋体" w:cs="宋体"/>
          <w:sz w:val="21"/>
        </w:rPr>
        <w:t>1、甲乙双方必须遵守本合同并执行合同中的各项规定，保证本合同的正常履行。</w:t>
      </w:r>
    </w:p>
    <w:p>
      <w:pPr>
        <w:pStyle w:val="2"/>
        <w:kinsoku w:val="0"/>
        <w:overflowPunct w:val="0"/>
        <w:spacing w:line="364" w:lineRule="auto"/>
        <w:ind w:firstLine="420" w:firstLineChars="200"/>
        <w:rPr>
          <w:rFonts w:hint="eastAsia" w:hAnsi="宋体" w:cs="宋体"/>
          <w:sz w:val="21"/>
        </w:rPr>
      </w:pPr>
      <w:r>
        <w:rPr>
          <w:rFonts w:hint="eastAsia" w:hAnsi="宋体" w:cs="宋体"/>
          <w:sz w:val="21"/>
        </w:rPr>
        <w:t>2、甲方逾期付款的，除应及时付足款项外，应向乙方偿付欠款总额万分之 /天的违约金；逾期付款超过 天的，乙方有权终止合同。</w:t>
      </w:r>
    </w:p>
    <w:p>
      <w:pPr>
        <w:pStyle w:val="2"/>
        <w:kinsoku w:val="0"/>
        <w:overflowPunct w:val="0"/>
        <w:spacing w:line="364" w:lineRule="auto"/>
        <w:ind w:firstLine="420" w:firstLineChars="200"/>
        <w:rPr>
          <w:rFonts w:hint="eastAsia" w:hAnsi="宋体" w:cs="宋体"/>
          <w:sz w:val="21"/>
        </w:rPr>
      </w:pPr>
      <w:r>
        <w:rPr>
          <w:rFonts w:hint="eastAsia" w:hAnsi="宋体" w:cs="宋体"/>
          <w:sz w:val="21"/>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2"/>
        <w:kinsoku w:val="0"/>
        <w:overflowPunct w:val="0"/>
        <w:spacing w:line="364" w:lineRule="auto"/>
        <w:ind w:firstLine="420" w:firstLineChars="200"/>
        <w:rPr>
          <w:rFonts w:hint="eastAsia" w:hAnsi="宋体" w:cs="宋体"/>
          <w:sz w:val="21"/>
        </w:rPr>
      </w:pPr>
      <w:r>
        <w:rPr>
          <w:rFonts w:hint="eastAsia" w:hAnsi="宋体" w:cs="宋体"/>
          <w:sz w:val="21"/>
        </w:rPr>
        <w:t>4、变更、中止或者终止合同，有过错的一方应当承担赔偿责任，双方都有过错的，各自承担相应的责任。</w:t>
      </w:r>
    </w:p>
    <w:p>
      <w:pPr>
        <w:spacing w:line="360" w:lineRule="auto"/>
        <w:ind w:firstLine="422" w:firstLineChars="200"/>
        <w:rPr>
          <w:rFonts w:hint="eastAsia"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pPr>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hint="eastAsia"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pPr>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pPr>
        <w:pStyle w:val="3"/>
        <w:kinsoku w:val="0"/>
        <w:overflowPunct w:val="0"/>
        <w:ind w:firstLine="602" w:firstLineChars="200"/>
        <w:jc w:val="both"/>
        <w:rPr>
          <w:rFonts w:hint="eastAsia" w:ascii="宋体" w:hAnsi="宋体" w:cs="宋体"/>
        </w:rPr>
      </w:pPr>
      <w:r>
        <w:rPr>
          <w:rFonts w:hint="eastAsia" w:ascii="宋体" w:hAnsi="宋体" w:cs="宋体"/>
        </w:rPr>
        <w:t>第十五条 不可抗力事件处理</w:t>
      </w:r>
    </w:p>
    <w:p>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hint="eastAsia"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3"/>
        <w:kinsoku w:val="0"/>
        <w:overflowPunct w:val="0"/>
        <w:ind w:firstLine="602" w:firstLineChars="200"/>
        <w:jc w:val="both"/>
        <w:rPr>
          <w:rFonts w:hint="eastAsia" w:ascii="宋体" w:hAnsi="宋体" w:cs="宋体"/>
        </w:rPr>
      </w:pPr>
      <w:r>
        <w:rPr>
          <w:rFonts w:hint="eastAsia" w:ascii="宋体" w:hAnsi="宋体" w:cs="宋体"/>
        </w:rPr>
        <w:t>第十六条 合同纠纷调处</w:t>
      </w:r>
    </w:p>
    <w:p>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hint="eastAsia"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pPr>
        <w:pStyle w:val="3"/>
        <w:kinsoku w:val="0"/>
        <w:overflowPunct w:val="0"/>
        <w:ind w:firstLine="602" w:firstLineChars="200"/>
        <w:jc w:val="both"/>
        <w:rPr>
          <w:rFonts w:hint="eastAsia" w:ascii="宋体" w:hAnsi="宋体" w:cs="宋体"/>
          <w:szCs w:val="27"/>
        </w:rPr>
      </w:pPr>
      <w:r>
        <w:rPr>
          <w:rFonts w:hint="eastAsia" w:ascii="宋体" w:hAnsi="宋体" w:cs="宋体"/>
          <w:szCs w:val="27"/>
        </w:rPr>
        <w:t>3、</w:t>
      </w:r>
      <w:r>
        <w:rPr>
          <w:rFonts w:hint="eastAsia" w:ascii="宋体" w:hAnsi="宋体" w:cs="宋体"/>
          <w:b w:val="0"/>
          <w:bCs w:val="0"/>
          <w:kern w:val="2"/>
          <w:sz w:val="21"/>
          <w:szCs w:val="27"/>
        </w:rPr>
        <w:t>甲、乙双方均有权利向本项目具有监管职能的政府采购监督管理部门举报反映对方在合同履约中的违法违纪行为。</w:t>
      </w:r>
    </w:p>
    <w:p>
      <w:pPr>
        <w:spacing w:line="360" w:lineRule="auto"/>
        <w:ind w:firstLine="422" w:firstLineChars="200"/>
        <w:rPr>
          <w:rFonts w:hint="eastAsia" w:ascii="宋体" w:hAnsi="宋体" w:cs="宋体"/>
          <w:b/>
          <w:bCs/>
          <w:szCs w:val="27"/>
        </w:rPr>
      </w:pPr>
      <w:r>
        <w:rPr>
          <w:rFonts w:hint="eastAsia" w:ascii="宋体" w:hAnsi="宋体" w:cs="宋体"/>
          <w:b/>
          <w:bCs/>
          <w:szCs w:val="27"/>
        </w:rPr>
        <w:t>第十七条 其他</w:t>
      </w:r>
    </w:p>
    <w:p>
      <w:pPr>
        <w:spacing w:line="360" w:lineRule="auto"/>
        <w:ind w:firstLine="422" w:firstLineChars="200"/>
        <w:rPr>
          <w:rFonts w:hint="eastAsia"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hint="eastAsia"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pPr>
        <w:spacing w:line="360" w:lineRule="auto"/>
        <w:ind w:firstLine="420" w:firstLineChars="200"/>
        <w:rPr>
          <w:rFonts w:hint="eastAsia" w:ascii="宋体" w:hAnsi="宋体" w:cs="宋体"/>
          <w:szCs w:val="27"/>
        </w:rPr>
      </w:pPr>
    </w:p>
    <w:p>
      <w:pPr>
        <w:pStyle w:val="117"/>
        <w:ind w:firstLine="210"/>
        <w:rPr>
          <w:rFonts w:hint="eastAsia" w:ascii="宋体" w:hAnsi="宋体" w:cs="宋体"/>
        </w:rPr>
      </w:pPr>
    </w:p>
    <w:p>
      <w:pPr>
        <w:spacing w:line="360" w:lineRule="auto"/>
        <w:ind w:firstLine="420" w:firstLineChars="200"/>
        <w:rPr>
          <w:rFonts w:hint="eastAsia" w:ascii="宋体" w:hAnsi="宋体" w:cs="宋体"/>
          <w:szCs w:val="27"/>
        </w:rPr>
      </w:pPr>
      <w:r>
        <w:rPr>
          <w:rFonts w:hint="eastAsia" w:ascii="宋体" w:hAnsi="宋体" w:cs="宋体"/>
          <w:szCs w:val="27"/>
        </w:rPr>
        <w:t xml:space="preserve">采购人（甲方）：    （公章）           供货人（乙方）：     （公章）  </w:t>
      </w:r>
    </w:p>
    <w:p>
      <w:pPr>
        <w:spacing w:line="360" w:lineRule="auto"/>
        <w:ind w:firstLine="420" w:firstLineChars="200"/>
        <w:rPr>
          <w:rFonts w:hint="eastAsia" w:ascii="宋体" w:hAnsi="宋体" w:cs="宋体"/>
        </w:rPr>
      </w:pPr>
      <w:r>
        <w:rPr>
          <w:rFonts w:hint="eastAsia" w:ascii="宋体" w:hAnsi="宋体" w:cs="宋体"/>
          <w:szCs w:val="27"/>
        </w:rPr>
        <w:t>地址：                               地址：</w:t>
      </w:r>
    </w:p>
    <w:p>
      <w:pPr>
        <w:spacing w:line="360" w:lineRule="auto"/>
        <w:ind w:firstLine="420" w:firstLineChars="200"/>
        <w:rPr>
          <w:rFonts w:hint="eastAsia" w:ascii="宋体" w:hAnsi="宋体" w:cs="宋体"/>
          <w:szCs w:val="27"/>
        </w:rPr>
      </w:pPr>
      <w:r>
        <w:rPr>
          <w:rFonts w:hint="eastAsia" w:ascii="宋体" w:hAnsi="宋体" w:cs="宋体"/>
          <w:szCs w:val="27"/>
        </w:rPr>
        <w:t>法定代表人：                         法定代表人：</w:t>
      </w:r>
    </w:p>
    <w:p>
      <w:pPr>
        <w:spacing w:line="360" w:lineRule="auto"/>
        <w:ind w:firstLine="420" w:firstLineChars="200"/>
        <w:rPr>
          <w:rFonts w:hint="eastAsia" w:ascii="宋体" w:hAnsi="宋体" w:cs="宋体"/>
          <w:u w:val="single"/>
        </w:rPr>
      </w:pPr>
      <w:r>
        <w:rPr>
          <w:rFonts w:hint="eastAsia" w:ascii="宋体" w:hAnsi="宋体" w:cs="宋体"/>
          <w:szCs w:val="27"/>
        </w:rPr>
        <w:t>委托代理人：                         委托代理人：</w:t>
      </w:r>
    </w:p>
    <w:p>
      <w:pPr>
        <w:spacing w:line="360" w:lineRule="auto"/>
        <w:ind w:firstLine="420" w:firstLineChars="200"/>
        <w:rPr>
          <w:rFonts w:hint="eastAsia" w:ascii="宋体" w:hAnsi="宋体" w:cs="宋体"/>
        </w:rPr>
      </w:pPr>
      <w:r>
        <w:rPr>
          <w:rFonts w:hint="eastAsia" w:ascii="宋体" w:hAnsi="宋体" w:cs="宋体"/>
        </w:rPr>
        <w:t>电话：                               电话：</w:t>
      </w:r>
    </w:p>
    <w:p>
      <w:pPr>
        <w:spacing w:line="360" w:lineRule="auto"/>
        <w:ind w:firstLine="420" w:firstLineChars="200"/>
        <w:rPr>
          <w:rFonts w:hint="eastAsia" w:ascii="宋体" w:hAnsi="宋体" w:cs="宋体"/>
          <w:szCs w:val="27"/>
        </w:rPr>
      </w:pPr>
      <w:r>
        <w:rPr>
          <w:rFonts w:hint="eastAsia" w:ascii="宋体" w:hAnsi="宋体" w:cs="宋体"/>
          <w:szCs w:val="27"/>
        </w:rPr>
        <w:t>开户银行：                           开户银行：</w:t>
      </w:r>
    </w:p>
    <w:p>
      <w:pPr>
        <w:spacing w:line="360" w:lineRule="auto"/>
        <w:ind w:firstLine="420" w:firstLineChars="200"/>
        <w:rPr>
          <w:rFonts w:hint="eastAsia" w:ascii="宋体" w:hAnsi="宋体" w:cs="宋体"/>
        </w:rPr>
      </w:pPr>
      <w:r>
        <w:rPr>
          <w:rFonts w:hint="eastAsia" w:ascii="宋体" w:hAnsi="宋体" w:cs="宋体"/>
          <w:szCs w:val="27"/>
        </w:rPr>
        <w:t>账号：                               账号：</w:t>
      </w:r>
    </w:p>
    <w:p>
      <w:pPr>
        <w:spacing w:line="640" w:lineRule="exact"/>
        <w:ind w:firstLine="420" w:firstLineChars="200"/>
        <w:rPr>
          <w:rFonts w:hint="eastAsia" w:ascii="宋体" w:hAnsi="宋体" w:cs="宋体"/>
          <w:szCs w:val="27"/>
          <w:u w:val="single"/>
        </w:rPr>
      </w:pPr>
    </w:p>
    <w:p>
      <w:pPr>
        <w:spacing w:line="900" w:lineRule="exact"/>
        <w:jc w:val="center"/>
        <w:rPr>
          <w:rFonts w:hint="eastAsia" w:ascii="宋体" w:hAnsi="宋体" w:cs="宋体"/>
          <w:szCs w:val="27"/>
        </w:rPr>
      </w:pPr>
      <w:r>
        <w:rPr>
          <w:rFonts w:hint="eastAsia" w:ascii="宋体" w:hAnsi="宋体" w:cs="宋体"/>
          <w:szCs w:val="27"/>
          <w:u w:val="single"/>
        </w:rPr>
        <w:t>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r>
        <w:rPr>
          <w:rFonts w:hint="eastAsia" w:ascii="宋体" w:hAnsi="宋体" w:cs="宋体"/>
          <w:szCs w:val="27"/>
          <w:u w:val="single"/>
        </w:rPr>
        <w:t xml:space="preserve">         </w:t>
      </w:r>
      <w:r>
        <w:rPr>
          <w:rFonts w:hint="eastAsia" w:ascii="宋体" w:hAnsi="宋体" w:cs="宋体"/>
          <w:szCs w:val="27"/>
        </w:rPr>
        <w:t>年</w:t>
      </w:r>
      <w:r>
        <w:rPr>
          <w:rFonts w:hint="eastAsia" w:ascii="宋体" w:hAnsi="宋体" w:cs="宋体"/>
          <w:szCs w:val="27"/>
          <w:u w:val="single"/>
        </w:rPr>
        <w:t xml:space="preserve">    </w:t>
      </w:r>
      <w:r>
        <w:rPr>
          <w:rFonts w:hint="eastAsia" w:ascii="宋体" w:hAnsi="宋体" w:cs="宋体"/>
          <w:szCs w:val="27"/>
        </w:rPr>
        <w:t>月</w:t>
      </w:r>
      <w:r>
        <w:rPr>
          <w:rFonts w:hint="eastAsia" w:ascii="宋体" w:hAnsi="宋体" w:cs="宋体"/>
          <w:szCs w:val="27"/>
          <w:u w:val="single"/>
        </w:rPr>
        <w:t xml:space="preserve">  </w:t>
      </w:r>
      <w:r>
        <w:rPr>
          <w:rFonts w:hint="eastAsia" w:ascii="宋体" w:hAnsi="宋体" w:cs="宋体"/>
          <w:szCs w:val="27"/>
        </w:rPr>
        <w:t xml:space="preserve">日     </w:t>
      </w: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117"/>
        <w:ind w:firstLine="210"/>
        <w:rPr>
          <w:rFonts w:hint="eastAsia" w:ascii="宋体" w:hAnsi="宋体" w:cs="宋体"/>
          <w:szCs w:val="27"/>
        </w:rPr>
      </w:pPr>
    </w:p>
    <w:p>
      <w:pPr>
        <w:pStyle w:val="3"/>
        <w:rPr>
          <w:rFonts w:hint="eastAsia" w:ascii="宋体" w:hAnsi="宋体" w:cs="宋体"/>
        </w:rPr>
      </w:pPr>
      <w:bookmarkStart w:id="130" w:name="_Toc30894"/>
      <w:r>
        <w:rPr>
          <w:rFonts w:hint="eastAsia" w:ascii="宋体" w:hAnsi="宋体" w:cs="宋体"/>
        </w:rPr>
        <w:t>第七章 投标文件格式</w:t>
      </w:r>
      <w:bookmarkEnd w:id="129"/>
      <w:bookmarkEnd w:id="130"/>
    </w:p>
    <w:p>
      <w:pPr>
        <w:spacing w:line="900" w:lineRule="exact"/>
        <w:jc w:val="center"/>
        <w:rPr>
          <w:rFonts w:hint="eastAsia" w:ascii="宋体" w:hAnsi="宋体" w:cs="宋体"/>
          <w:b/>
          <w:bCs/>
          <w:sz w:val="32"/>
          <w:szCs w:val="32"/>
        </w:rPr>
      </w:pPr>
      <w:r>
        <w:rPr>
          <w:rFonts w:hint="eastAsia" w:ascii="宋体" w:hAnsi="宋体" w:cs="宋体"/>
          <w:b/>
          <w:bCs/>
          <w:sz w:val="32"/>
          <w:szCs w:val="32"/>
        </w:rPr>
        <w:t>****项目</w:t>
      </w:r>
    </w:p>
    <w:p>
      <w:pPr>
        <w:pStyle w:val="50"/>
        <w:rPr>
          <w:rFonts w:hint="eastAsia" w:ascii="宋体" w:hAnsi="宋体" w:cs="宋体"/>
        </w:rPr>
      </w:pPr>
    </w:p>
    <w:p>
      <w:pPr>
        <w:spacing w:line="900" w:lineRule="exact"/>
        <w:jc w:val="center"/>
        <w:rPr>
          <w:rFonts w:hint="eastAsia" w:ascii="宋体" w:hAnsi="宋体" w:cs="宋体"/>
          <w:b/>
          <w:sz w:val="72"/>
        </w:rPr>
      </w:pPr>
      <w:r>
        <w:rPr>
          <w:rFonts w:hint="eastAsia" w:ascii="宋体" w:hAnsi="宋体" w:cs="宋体"/>
          <w:b/>
          <w:sz w:val="72"/>
        </w:rPr>
        <w:t>投</w:t>
      </w:r>
    </w:p>
    <w:p>
      <w:pPr>
        <w:spacing w:line="900" w:lineRule="exact"/>
        <w:jc w:val="center"/>
        <w:rPr>
          <w:rFonts w:hint="eastAsia" w:ascii="宋体" w:hAnsi="宋体" w:cs="宋体"/>
          <w:b/>
          <w:sz w:val="72"/>
        </w:rPr>
      </w:pPr>
    </w:p>
    <w:p>
      <w:pPr>
        <w:spacing w:line="900" w:lineRule="exact"/>
        <w:jc w:val="center"/>
        <w:rPr>
          <w:rFonts w:hint="eastAsia" w:ascii="宋体" w:hAnsi="宋体" w:cs="宋体"/>
          <w:b/>
          <w:sz w:val="72"/>
        </w:rPr>
      </w:pPr>
      <w:r>
        <w:rPr>
          <w:rFonts w:hint="eastAsia" w:ascii="宋体" w:hAnsi="宋体" w:cs="宋体"/>
          <w:b/>
          <w:sz w:val="72"/>
        </w:rPr>
        <w:t>标</w:t>
      </w:r>
    </w:p>
    <w:p>
      <w:pPr>
        <w:spacing w:line="900" w:lineRule="exact"/>
        <w:jc w:val="center"/>
        <w:rPr>
          <w:rFonts w:hint="eastAsia" w:ascii="宋体" w:hAnsi="宋体" w:cs="宋体"/>
          <w:b/>
          <w:sz w:val="72"/>
        </w:rPr>
      </w:pPr>
    </w:p>
    <w:p>
      <w:pPr>
        <w:spacing w:line="900" w:lineRule="exact"/>
        <w:jc w:val="center"/>
        <w:rPr>
          <w:rFonts w:hint="eastAsia" w:ascii="宋体" w:hAnsi="宋体" w:cs="宋体"/>
          <w:b/>
          <w:sz w:val="72"/>
        </w:rPr>
      </w:pPr>
      <w:r>
        <w:rPr>
          <w:rFonts w:hint="eastAsia" w:ascii="宋体" w:hAnsi="宋体" w:cs="宋体"/>
          <w:b/>
          <w:sz w:val="72"/>
        </w:rPr>
        <w:t>文</w:t>
      </w:r>
    </w:p>
    <w:p>
      <w:pPr>
        <w:spacing w:line="900" w:lineRule="exact"/>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件</w:t>
      </w:r>
    </w:p>
    <w:p>
      <w:pPr>
        <w:spacing w:after="120" w:afterLines="50" w:line="500" w:lineRule="exact"/>
        <w:rPr>
          <w:rFonts w:hint="eastAsia" w:ascii="宋体" w:hAnsi="宋体" w:cs="宋体"/>
          <w:b/>
          <w:sz w:val="32"/>
          <w:u w:val="single"/>
        </w:rPr>
      </w:pPr>
      <w:r>
        <w:rPr>
          <w:rFonts w:hint="eastAsia" w:ascii="宋体" w:hAnsi="宋体" w:cs="宋体"/>
          <w:b/>
          <w:sz w:val="30"/>
        </w:rPr>
        <w:t xml:space="preserve">                 </w:t>
      </w:r>
      <w:r>
        <w:rPr>
          <w:rFonts w:hint="eastAsia" w:ascii="宋体" w:hAnsi="宋体" w:cs="宋体"/>
          <w:b/>
          <w:sz w:val="32"/>
        </w:rPr>
        <w:t>投标人：</w:t>
      </w:r>
      <w:r>
        <w:rPr>
          <w:rFonts w:hint="eastAsia" w:ascii="宋体" w:hAnsi="宋体" w:cs="宋体"/>
          <w:b/>
          <w:sz w:val="32"/>
          <w:u w:val="single"/>
        </w:rPr>
        <w:t xml:space="preserve">               </w:t>
      </w:r>
    </w:p>
    <w:p>
      <w:pPr>
        <w:spacing w:after="120" w:afterLines="50" w:line="500" w:lineRule="exact"/>
        <w:jc w:val="center"/>
        <w:rPr>
          <w:rFonts w:hint="eastAsia" w:ascii="宋体" w:hAnsi="宋体" w:cs="宋体"/>
        </w:rPr>
      </w:pPr>
      <w:r>
        <w:rPr>
          <w:rFonts w:hint="eastAsia" w:ascii="宋体" w:hAnsi="宋体" w:cs="宋体"/>
          <w:b/>
          <w:sz w:val="32"/>
          <w:u w:val="single"/>
        </w:rPr>
        <w:t xml:space="preserve"> </w:t>
      </w:r>
      <w:bookmarkStart w:id="131" w:name="_Toc5567_WPSOffice_Level2"/>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bookmarkEnd w:id="131"/>
      <w:bookmarkStart w:id="132" w:name="_Hlt533408877"/>
      <w:bookmarkEnd w:id="132"/>
      <w:bookmarkStart w:id="133" w:name="_Hlt519045470"/>
      <w:bookmarkEnd w:id="133"/>
      <w:bookmarkStart w:id="134" w:name="_Hlt50174722"/>
      <w:bookmarkEnd w:id="134"/>
      <w:bookmarkStart w:id="135" w:name="_Hlt50174708"/>
      <w:bookmarkEnd w:id="135"/>
      <w:bookmarkStart w:id="136" w:name="_Hlt519068595"/>
      <w:bookmarkEnd w:id="136"/>
      <w:bookmarkStart w:id="137" w:name="_Hlt50174972"/>
      <w:bookmarkEnd w:id="137"/>
      <w:bookmarkStart w:id="138" w:name="_Hlt509738521"/>
      <w:bookmarkStart w:id="139" w:name="_Hlt509738509"/>
      <w:bookmarkStart w:id="140" w:name="_Hlt519045391"/>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47"/>
        <w:rPr>
          <w:rFonts w:hint="eastAsia" w:ascii="宋体" w:hAnsi="宋体" w:eastAsia="宋体" w:cs="宋体"/>
        </w:rPr>
      </w:pPr>
      <w:bookmarkStart w:id="141" w:name="_Toc20284_WPSOffice_Level2"/>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r>
        <w:rPr>
          <w:rFonts w:hint="eastAsia" w:ascii="宋体" w:hAnsi="宋体" w:eastAsia="宋体" w:cs="宋体"/>
        </w:rPr>
        <w:t>投标文件资料清单</w:t>
      </w:r>
      <w:bookmarkEnd w:id="141"/>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460"/>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spacing w:line="400" w:lineRule="exact"/>
              <w:jc w:val="center"/>
              <w:rPr>
                <w:rFonts w:hint="eastAsia" w:ascii="宋体" w:hAnsi="宋体" w:cs="宋体"/>
                <w:b/>
                <w:sz w:val="24"/>
              </w:rPr>
            </w:pPr>
            <w:r>
              <w:rPr>
                <w:rFonts w:hint="eastAsia" w:ascii="宋体" w:hAnsi="宋体" w:cs="宋体"/>
                <w:b/>
                <w:sz w:val="24"/>
              </w:rPr>
              <w:t>序号</w:t>
            </w:r>
          </w:p>
        </w:tc>
        <w:tc>
          <w:tcPr>
            <w:tcW w:w="5460" w:type="dxa"/>
            <w:noWrap w:val="0"/>
            <w:vAlign w:val="center"/>
          </w:tcPr>
          <w:p>
            <w:pPr>
              <w:spacing w:line="400" w:lineRule="exact"/>
              <w:jc w:val="center"/>
              <w:rPr>
                <w:rFonts w:hint="eastAsia" w:ascii="宋体" w:hAnsi="宋体" w:cs="宋体"/>
                <w:b/>
                <w:sz w:val="24"/>
              </w:rPr>
            </w:pPr>
            <w:r>
              <w:rPr>
                <w:rFonts w:hint="eastAsia" w:ascii="宋体" w:hAnsi="宋体" w:cs="宋体"/>
                <w:b/>
                <w:sz w:val="24"/>
              </w:rPr>
              <w:t>资料名称</w:t>
            </w:r>
          </w:p>
        </w:tc>
        <w:tc>
          <w:tcPr>
            <w:tcW w:w="1854" w:type="dxa"/>
            <w:noWrap w:val="0"/>
            <w:vAlign w:val="center"/>
          </w:tcPr>
          <w:p>
            <w:pPr>
              <w:spacing w:line="400" w:lineRule="exact"/>
              <w:jc w:val="center"/>
              <w:rPr>
                <w:rFonts w:hint="eastAsia" w:ascii="宋体" w:hAnsi="宋体" w:cs="宋体"/>
                <w:b/>
                <w:sz w:val="24"/>
              </w:rPr>
            </w:pPr>
            <w:r>
              <w:rPr>
                <w:rFonts w:hint="eastAsia" w:ascii="宋体" w:hAnsi="宋体" w:cs="宋体"/>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一</w:t>
            </w:r>
          </w:p>
        </w:tc>
        <w:tc>
          <w:tcPr>
            <w:tcW w:w="5460" w:type="dxa"/>
            <w:noWrap w:val="0"/>
            <w:vAlign w:val="center"/>
          </w:tcPr>
          <w:p>
            <w:pPr>
              <w:rPr>
                <w:rFonts w:hint="eastAsia" w:ascii="宋体" w:hAnsi="宋体" w:cs="宋体"/>
                <w:u w:val="single"/>
              </w:rPr>
            </w:pPr>
            <w:r>
              <w:rPr>
                <w:rFonts w:hint="eastAsia" w:ascii="宋体" w:hAnsi="宋体" w:cs="宋体"/>
                <w:bCs/>
                <w:sz w:val="24"/>
              </w:rPr>
              <w:t>开标一览表</w:t>
            </w:r>
          </w:p>
        </w:tc>
        <w:tc>
          <w:tcPr>
            <w:tcW w:w="1854" w:type="dxa"/>
            <w:noWrap w:val="0"/>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二</w:t>
            </w:r>
          </w:p>
        </w:tc>
        <w:tc>
          <w:tcPr>
            <w:tcW w:w="5460" w:type="dxa"/>
            <w:noWrap w:val="0"/>
            <w:vAlign w:val="center"/>
          </w:tcPr>
          <w:p>
            <w:pPr>
              <w:rPr>
                <w:rFonts w:hint="eastAsia" w:ascii="宋体" w:hAnsi="宋体" w:cs="宋体"/>
                <w:bCs/>
                <w:sz w:val="24"/>
              </w:rPr>
            </w:pPr>
            <w:r>
              <w:rPr>
                <w:rFonts w:hint="eastAsia" w:ascii="宋体" w:hAnsi="宋体" w:cs="宋体"/>
                <w:sz w:val="24"/>
              </w:rPr>
              <w:t>投标人情况综合简介</w:t>
            </w:r>
          </w:p>
        </w:tc>
        <w:tc>
          <w:tcPr>
            <w:tcW w:w="1854" w:type="dxa"/>
            <w:noWrap w:val="0"/>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bCs/>
                <w:sz w:val="24"/>
              </w:rPr>
            </w:pPr>
            <w:r>
              <w:rPr>
                <w:rFonts w:hint="eastAsia" w:ascii="宋体" w:hAnsi="宋体" w:cs="宋体"/>
                <w:bCs/>
                <w:sz w:val="24"/>
              </w:rPr>
              <w:t>三</w:t>
            </w:r>
          </w:p>
        </w:tc>
        <w:tc>
          <w:tcPr>
            <w:tcW w:w="5460" w:type="dxa"/>
            <w:noWrap w:val="0"/>
            <w:vAlign w:val="center"/>
          </w:tcPr>
          <w:p>
            <w:pPr>
              <w:rPr>
                <w:rFonts w:hint="eastAsia" w:ascii="宋体" w:hAnsi="宋体" w:cs="宋体"/>
                <w:bCs/>
                <w:sz w:val="24"/>
              </w:rPr>
            </w:pPr>
            <w:r>
              <w:rPr>
                <w:rFonts w:hint="eastAsia" w:ascii="宋体" w:hAnsi="宋体" w:cs="宋体"/>
                <w:bCs/>
                <w:sz w:val="24"/>
              </w:rPr>
              <w:t>投标函</w:t>
            </w:r>
          </w:p>
        </w:tc>
        <w:tc>
          <w:tcPr>
            <w:tcW w:w="1854" w:type="dxa"/>
            <w:noWrap w:val="0"/>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四</w:t>
            </w:r>
          </w:p>
        </w:tc>
        <w:tc>
          <w:tcPr>
            <w:tcW w:w="5460" w:type="dxa"/>
            <w:noWrap w:val="0"/>
            <w:vAlign w:val="center"/>
          </w:tcPr>
          <w:p>
            <w:pPr>
              <w:pStyle w:val="456"/>
              <w:rPr>
                <w:rFonts w:hint="eastAsia" w:ascii="宋体" w:hAnsi="宋体" w:cs="宋体"/>
                <w:bCs/>
              </w:rPr>
            </w:pPr>
            <w:r>
              <w:rPr>
                <w:rFonts w:hint="eastAsia" w:ascii="宋体" w:hAnsi="宋体" w:cs="宋体"/>
                <w:bCs/>
              </w:rPr>
              <w:t>投标分项报价表</w:t>
            </w:r>
          </w:p>
        </w:tc>
        <w:tc>
          <w:tcPr>
            <w:tcW w:w="1854" w:type="dxa"/>
            <w:noWrap w:val="0"/>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五</w:t>
            </w:r>
          </w:p>
        </w:tc>
        <w:tc>
          <w:tcPr>
            <w:tcW w:w="5460" w:type="dxa"/>
            <w:noWrap w:val="0"/>
            <w:vAlign w:val="center"/>
          </w:tcPr>
          <w:p>
            <w:pPr>
              <w:rPr>
                <w:rFonts w:hint="eastAsia" w:ascii="宋体" w:hAnsi="宋体" w:cs="宋体"/>
                <w:bCs/>
                <w:sz w:val="24"/>
              </w:rPr>
            </w:pPr>
            <w:r>
              <w:rPr>
                <w:rFonts w:hint="eastAsia" w:ascii="宋体" w:hAnsi="宋体" w:cs="宋体"/>
                <w:sz w:val="24"/>
              </w:rPr>
              <w:t>投标响应表</w:t>
            </w:r>
          </w:p>
        </w:tc>
        <w:tc>
          <w:tcPr>
            <w:tcW w:w="1854" w:type="dxa"/>
            <w:noWrap w:val="0"/>
            <w:vAlign w:val="center"/>
          </w:tcPr>
          <w:p>
            <w:pPr>
              <w:spacing w:line="360" w:lineRule="auto"/>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六</w:t>
            </w:r>
          </w:p>
        </w:tc>
        <w:tc>
          <w:tcPr>
            <w:tcW w:w="5460" w:type="dxa"/>
            <w:noWrap w:val="0"/>
            <w:vAlign w:val="center"/>
          </w:tcPr>
          <w:p>
            <w:pPr>
              <w:rPr>
                <w:rFonts w:hint="eastAsia" w:ascii="宋体" w:hAnsi="宋体" w:cs="宋体"/>
                <w:sz w:val="24"/>
              </w:rPr>
            </w:pPr>
            <w:r>
              <w:rPr>
                <w:rFonts w:hint="eastAsia" w:ascii="宋体" w:hAnsi="宋体" w:cs="宋体"/>
                <w:sz w:val="24"/>
              </w:rPr>
              <w:t>服务质量承诺</w:t>
            </w: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七</w:t>
            </w:r>
          </w:p>
        </w:tc>
        <w:tc>
          <w:tcPr>
            <w:tcW w:w="5460" w:type="dxa"/>
            <w:noWrap w:val="0"/>
            <w:vAlign w:val="center"/>
          </w:tcPr>
          <w:p>
            <w:pPr>
              <w:rPr>
                <w:rFonts w:hint="eastAsia" w:ascii="宋体" w:hAnsi="宋体" w:cs="宋体"/>
                <w:sz w:val="24"/>
              </w:rPr>
            </w:pPr>
            <w:r>
              <w:rPr>
                <w:rFonts w:hint="eastAsia" w:ascii="宋体" w:hAnsi="宋体" w:cs="宋体"/>
                <w:sz w:val="24"/>
              </w:rPr>
              <w:t>有关证明文件</w:t>
            </w: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pPr>
              <w:ind w:firstLine="240" w:firstLineChars="100"/>
              <w:rPr>
                <w:rFonts w:hint="eastAsia" w:ascii="宋体" w:hAnsi="宋体" w:cs="宋体"/>
                <w:sz w:val="24"/>
              </w:rPr>
            </w:pPr>
            <w:r>
              <w:rPr>
                <w:rFonts w:hint="eastAsia" w:ascii="宋体" w:hAnsi="宋体" w:cs="宋体"/>
                <w:sz w:val="24"/>
              </w:rPr>
              <w:t>八</w:t>
            </w:r>
          </w:p>
        </w:tc>
        <w:tc>
          <w:tcPr>
            <w:tcW w:w="5460" w:type="dxa"/>
            <w:noWrap w:val="0"/>
            <w:vAlign w:val="center"/>
          </w:tcPr>
          <w:p>
            <w:pPr>
              <w:rPr>
                <w:rFonts w:hint="eastAsia" w:ascii="宋体" w:hAnsi="宋体" w:cs="宋体"/>
                <w:sz w:val="24"/>
              </w:rPr>
            </w:pPr>
            <w:r>
              <w:rPr>
                <w:rFonts w:hint="eastAsia" w:ascii="宋体" w:hAnsi="宋体" w:cs="宋体"/>
                <w:sz w:val="24"/>
              </w:rPr>
              <w:t>中小企业声明函</w:t>
            </w: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九</w:t>
            </w:r>
          </w:p>
        </w:tc>
        <w:tc>
          <w:tcPr>
            <w:tcW w:w="5460" w:type="dxa"/>
            <w:noWrap w:val="0"/>
            <w:vAlign w:val="center"/>
          </w:tcPr>
          <w:p>
            <w:pPr>
              <w:rPr>
                <w:rFonts w:hint="eastAsia" w:ascii="宋体" w:hAnsi="宋体" w:cs="宋体"/>
                <w:sz w:val="24"/>
              </w:rPr>
            </w:pPr>
            <w:r>
              <w:rPr>
                <w:rFonts w:hint="eastAsia" w:ascii="宋体" w:hAnsi="宋体" w:cs="宋体"/>
                <w:sz w:val="24"/>
              </w:rPr>
              <w:t>售后服务</w:t>
            </w: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十</w:t>
            </w:r>
          </w:p>
        </w:tc>
        <w:tc>
          <w:tcPr>
            <w:tcW w:w="5460" w:type="dxa"/>
            <w:noWrap w:val="0"/>
            <w:vAlign w:val="center"/>
          </w:tcPr>
          <w:p>
            <w:pPr>
              <w:rPr>
                <w:rFonts w:hint="eastAsia" w:ascii="宋体" w:hAnsi="宋体" w:cs="宋体"/>
                <w:sz w:val="24"/>
              </w:rPr>
            </w:pPr>
            <w:r>
              <w:rPr>
                <w:rFonts w:hint="eastAsia" w:ascii="宋体" w:hAnsi="宋体" w:cs="宋体"/>
                <w:sz w:val="24"/>
              </w:rPr>
              <w:t>所投服务的技术资料等</w:t>
            </w: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十一</w:t>
            </w:r>
          </w:p>
        </w:tc>
        <w:tc>
          <w:tcPr>
            <w:tcW w:w="5460" w:type="dxa"/>
            <w:noWrap w:val="0"/>
            <w:vAlign w:val="center"/>
          </w:tcPr>
          <w:p>
            <w:pPr>
              <w:rPr>
                <w:rFonts w:hint="eastAsia" w:ascii="宋体" w:hAnsi="宋体" w:cs="宋体"/>
                <w:sz w:val="24"/>
              </w:rPr>
            </w:pPr>
            <w:r>
              <w:rPr>
                <w:rFonts w:hint="eastAsia" w:ascii="宋体" w:hAnsi="宋体" w:cs="宋体"/>
                <w:sz w:val="24"/>
              </w:rPr>
              <w:t>其他投标人认为需要提供得材料等</w:t>
            </w: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pPr>
              <w:jc w:val="center"/>
              <w:rPr>
                <w:rFonts w:hint="eastAsia" w:ascii="宋体" w:hAnsi="宋体" w:cs="宋体"/>
                <w:sz w:val="24"/>
              </w:rPr>
            </w:pPr>
            <w:r>
              <w:rPr>
                <w:rFonts w:hint="eastAsia" w:ascii="宋体" w:hAnsi="宋体" w:cs="宋体"/>
                <w:sz w:val="24"/>
              </w:rPr>
              <w:t>十二</w:t>
            </w:r>
          </w:p>
        </w:tc>
        <w:tc>
          <w:tcPr>
            <w:tcW w:w="5460" w:type="dxa"/>
            <w:noWrap w:val="0"/>
            <w:vAlign w:val="center"/>
          </w:tcPr>
          <w:p>
            <w:pPr>
              <w:rPr>
                <w:rFonts w:hint="eastAsia" w:ascii="宋体" w:hAnsi="宋体" w:cs="宋体"/>
                <w:sz w:val="24"/>
              </w:rPr>
            </w:pPr>
            <w:r>
              <w:rPr>
                <w:rFonts w:hint="eastAsia" w:ascii="宋体" w:hAnsi="宋体" w:cs="宋体"/>
                <w:sz w:val="24"/>
              </w:rPr>
              <w:t>政府采购供应商诚信承诺书</w:t>
            </w:r>
          </w:p>
          <w:p>
            <w:pPr>
              <w:jc w:val="center"/>
              <w:rPr>
                <w:rFonts w:hint="eastAsia" w:ascii="宋体" w:hAnsi="宋体" w:cs="宋体"/>
                <w:sz w:val="24"/>
              </w:rPr>
            </w:pPr>
          </w:p>
        </w:tc>
        <w:tc>
          <w:tcPr>
            <w:tcW w:w="1854" w:type="dxa"/>
            <w:noWrap w:val="0"/>
            <w:vAlign w:val="center"/>
          </w:tcPr>
          <w:p>
            <w:pPr>
              <w:spacing w:line="360" w:lineRule="auto"/>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364" w:type="dxa"/>
            <w:gridSpan w:val="3"/>
            <w:noWrap w:val="0"/>
            <w:vAlign w:val="center"/>
          </w:tcPr>
          <w:p>
            <w:pPr>
              <w:spacing w:line="500" w:lineRule="exact"/>
              <w:rPr>
                <w:rFonts w:hint="eastAsia" w:ascii="宋体" w:hAnsi="宋体" w:cs="宋体"/>
                <w:b/>
                <w:sz w:val="28"/>
              </w:rPr>
            </w:pPr>
            <w:r>
              <w:rPr>
                <w:rFonts w:hint="eastAsia" w:ascii="宋体" w:hAnsi="宋体" w:cs="宋体"/>
                <w:b/>
                <w:sz w:val="28"/>
              </w:rPr>
              <w:t>备注：投标文件资料清单是投标人制作投标文件的参考格式，并非必须格式，请各位投标人根据所投项目需要自行增减，是否依据了本格式或自行增减了多少格式并不是废标的条款。</w:t>
            </w:r>
          </w:p>
        </w:tc>
      </w:tr>
    </w:tbl>
    <w:p>
      <w:pPr>
        <w:spacing w:line="500" w:lineRule="exact"/>
        <w:rPr>
          <w:rFonts w:hint="eastAsia" w:ascii="宋体" w:hAnsi="宋体" w:cs="宋体"/>
          <w:sz w:val="28"/>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
        <w:rPr>
          <w:rFonts w:hint="eastAsia" w:hAnsi="宋体" w:cs="宋体"/>
          <w:sz w:val="28"/>
        </w:rPr>
      </w:pPr>
      <w:bookmarkStart w:id="142" w:name="_Toc2396_WPSOffice_Level2"/>
      <w:bookmarkStart w:id="143" w:name="_Toc40975449"/>
      <w:bookmarkStart w:id="144" w:name="_Toc197934561"/>
    </w:p>
    <w:p>
      <w:pPr>
        <w:jc w:val="center"/>
        <w:rPr>
          <w:rFonts w:hint="eastAsia" w:ascii="宋体" w:hAnsi="宋体" w:cs="宋体"/>
          <w:b/>
          <w:bCs/>
          <w:sz w:val="28"/>
          <w:szCs w:val="28"/>
        </w:rPr>
      </w:pPr>
      <w:bookmarkStart w:id="145" w:name="_Toc5255"/>
      <w:bookmarkStart w:id="146" w:name="_Toc11226"/>
      <w:bookmarkStart w:id="147" w:name="_Toc17431"/>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一．开标一览表</w:t>
      </w:r>
      <w:bookmarkEnd w:id="142"/>
      <w:bookmarkEnd w:id="143"/>
      <w:bookmarkEnd w:id="144"/>
      <w:bookmarkEnd w:id="145"/>
      <w:bookmarkEnd w:id="146"/>
      <w:bookmarkEnd w:id="147"/>
    </w:p>
    <w:tbl>
      <w:tblPr>
        <w:tblStyle w:val="7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85" w:hRule="atLeast"/>
          <w:jc w:val="center"/>
        </w:trPr>
        <w:tc>
          <w:tcPr>
            <w:tcW w:w="2056"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cs="宋体"/>
                <w:b/>
                <w:sz w:val="24"/>
              </w:rPr>
            </w:pPr>
            <w:r>
              <w:rPr>
                <w:rFonts w:hint="eastAsia" w:ascii="宋体" w:hAnsi="宋体" w:cs="宋体"/>
                <w:b/>
                <w:sz w:val="24"/>
              </w:rPr>
              <w:t>项目名称</w:t>
            </w:r>
          </w:p>
        </w:tc>
        <w:tc>
          <w:tcPr>
            <w:tcW w:w="6309"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jc w:val="center"/>
        </w:trPr>
        <w:tc>
          <w:tcPr>
            <w:tcW w:w="2056" w:type="dxa"/>
            <w:tcBorders>
              <w:top w:val="nil"/>
            </w:tcBorders>
            <w:noWrap w:val="0"/>
            <w:vAlign w:val="center"/>
          </w:tcPr>
          <w:p>
            <w:pPr>
              <w:spacing w:line="360" w:lineRule="exact"/>
              <w:jc w:val="center"/>
              <w:rPr>
                <w:rFonts w:hint="eastAsia" w:ascii="宋体" w:hAnsi="宋体" w:cs="宋体"/>
                <w:b/>
                <w:sz w:val="24"/>
              </w:rPr>
            </w:pPr>
            <w:r>
              <w:rPr>
                <w:rFonts w:hint="eastAsia" w:ascii="宋体" w:hAnsi="宋体" w:cs="宋体"/>
                <w:b/>
                <w:sz w:val="24"/>
              </w:rPr>
              <w:t>投标人全称</w:t>
            </w:r>
          </w:p>
        </w:tc>
        <w:tc>
          <w:tcPr>
            <w:tcW w:w="6309" w:type="dxa"/>
            <w:tcBorders>
              <w:top w:val="nil"/>
            </w:tcBorders>
            <w:noWrap w:val="0"/>
            <w:vAlign w:val="center"/>
          </w:tcPr>
          <w:p>
            <w:pPr>
              <w:spacing w:line="36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jc w:val="center"/>
        </w:trPr>
        <w:tc>
          <w:tcPr>
            <w:tcW w:w="2056" w:type="dxa"/>
            <w:tcBorders>
              <w:top w:val="nil"/>
            </w:tcBorders>
            <w:noWrap w:val="0"/>
            <w:vAlign w:val="center"/>
          </w:tcPr>
          <w:p>
            <w:pPr>
              <w:spacing w:line="360" w:lineRule="exact"/>
              <w:jc w:val="center"/>
              <w:rPr>
                <w:rFonts w:hint="eastAsia" w:ascii="宋体" w:hAnsi="宋体" w:cs="宋体"/>
                <w:b/>
                <w:sz w:val="24"/>
              </w:rPr>
            </w:pPr>
            <w:r>
              <w:rPr>
                <w:rFonts w:hint="eastAsia" w:ascii="宋体" w:hAnsi="宋体" w:cs="宋体"/>
                <w:b/>
                <w:sz w:val="24"/>
              </w:rPr>
              <w:t>投标范围</w:t>
            </w:r>
          </w:p>
        </w:tc>
        <w:tc>
          <w:tcPr>
            <w:tcW w:w="6309" w:type="dxa"/>
            <w:tcBorders>
              <w:top w:val="nil"/>
            </w:tcBorders>
            <w:noWrap w:val="0"/>
            <w:vAlign w:val="center"/>
          </w:tcPr>
          <w:p>
            <w:pPr>
              <w:widowControl/>
              <w:spacing w:line="360" w:lineRule="exact"/>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10" w:hRule="atLeast"/>
          <w:jc w:val="center"/>
        </w:trPr>
        <w:tc>
          <w:tcPr>
            <w:tcW w:w="2056" w:type="dxa"/>
            <w:tcBorders>
              <w:top w:val="nil"/>
            </w:tcBorders>
            <w:noWrap w:val="0"/>
            <w:vAlign w:val="center"/>
          </w:tcPr>
          <w:p>
            <w:pPr>
              <w:spacing w:line="360" w:lineRule="exact"/>
              <w:jc w:val="center"/>
              <w:rPr>
                <w:rFonts w:hint="eastAsia" w:ascii="宋体" w:hAnsi="宋体" w:cs="宋体"/>
                <w:b/>
                <w:sz w:val="24"/>
              </w:rPr>
            </w:pPr>
            <w:r>
              <w:rPr>
                <w:rFonts w:hint="eastAsia" w:ascii="宋体" w:hAnsi="宋体" w:cs="宋体"/>
                <w:b/>
                <w:sz w:val="24"/>
              </w:rPr>
              <w:t>1、最终投标报价</w:t>
            </w:r>
          </w:p>
          <w:p>
            <w:pPr>
              <w:spacing w:line="360" w:lineRule="exact"/>
              <w:jc w:val="center"/>
              <w:rPr>
                <w:rFonts w:hint="eastAsia" w:ascii="宋体" w:hAnsi="宋体" w:cs="宋体"/>
                <w:b/>
                <w:sz w:val="24"/>
              </w:rPr>
            </w:pPr>
            <w:r>
              <w:rPr>
                <w:rFonts w:hint="eastAsia" w:ascii="宋体" w:hAnsi="宋体" w:cs="宋体"/>
                <w:b/>
                <w:sz w:val="24"/>
              </w:rPr>
              <w:t>（人民币）</w:t>
            </w:r>
          </w:p>
          <w:p>
            <w:pPr>
              <w:spacing w:line="360" w:lineRule="exact"/>
              <w:rPr>
                <w:rFonts w:hint="eastAsia" w:ascii="宋体" w:hAnsi="宋体" w:cs="宋体"/>
              </w:rPr>
            </w:pPr>
          </w:p>
        </w:tc>
        <w:tc>
          <w:tcPr>
            <w:tcW w:w="6309" w:type="dxa"/>
            <w:tcBorders>
              <w:top w:val="nil"/>
            </w:tcBorders>
            <w:noWrap w:val="0"/>
            <w:vAlign w:val="center"/>
          </w:tcPr>
          <w:p>
            <w:pPr>
              <w:spacing w:line="360" w:lineRule="exact"/>
              <w:jc w:val="center"/>
              <w:rPr>
                <w:rFonts w:hint="eastAsia" w:ascii="宋体" w:hAnsi="宋体" w:cs="宋体"/>
                <w:b/>
                <w:sz w:val="24"/>
              </w:rPr>
            </w:pPr>
            <w:r>
              <w:rPr>
                <w:rFonts w:hint="eastAsia" w:ascii="宋体" w:hAnsi="宋体" w:cs="宋体"/>
                <w:b/>
                <w:sz w:val="24"/>
              </w:rPr>
              <w:t xml:space="preserve">1、投标报价：        元、大写：         </w:t>
            </w:r>
          </w:p>
          <w:p>
            <w:pPr>
              <w:pStyle w:val="69"/>
              <w:ind w:right="-21" w:firstLine="540"/>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10" w:hRule="atLeast"/>
          <w:jc w:val="center"/>
        </w:trPr>
        <w:tc>
          <w:tcPr>
            <w:tcW w:w="2056" w:type="dxa"/>
            <w:tcBorders>
              <w:top w:val="nil"/>
            </w:tcBorders>
            <w:noWrap w:val="0"/>
            <w:vAlign w:val="center"/>
          </w:tcPr>
          <w:p>
            <w:pPr>
              <w:spacing w:line="360" w:lineRule="auto"/>
              <w:jc w:val="center"/>
              <w:rPr>
                <w:rFonts w:hint="eastAsia" w:ascii="宋体" w:hAnsi="宋体" w:cs="宋体"/>
                <w:b/>
                <w:sz w:val="24"/>
              </w:rPr>
            </w:pPr>
            <w:r>
              <w:rPr>
                <w:rFonts w:hint="eastAsia" w:ascii="宋体" w:hAnsi="宋体" w:cs="宋体"/>
                <w:b/>
                <w:sz w:val="24"/>
              </w:rPr>
              <w:t>备注</w:t>
            </w:r>
          </w:p>
        </w:tc>
        <w:tc>
          <w:tcPr>
            <w:tcW w:w="6309" w:type="dxa"/>
            <w:tcBorders>
              <w:top w:val="nil"/>
            </w:tcBorders>
            <w:noWrap w:val="0"/>
            <w:vAlign w:val="center"/>
          </w:tcPr>
          <w:p>
            <w:pPr>
              <w:spacing w:line="360" w:lineRule="auto"/>
              <w:jc w:val="left"/>
              <w:rPr>
                <w:rFonts w:hint="eastAsia" w:ascii="宋体" w:hAnsi="宋体" w:cs="宋体"/>
                <w:sz w:val="24"/>
                <w:szCs w:val="28"/>
              </w:rPr>
            </w:pPr>
          </w:p>
        </w:tc>
      </w:tr>
    </w:tbl>
    <w:p>
      <w:pPr>
        <w:spacing w:line="380" w:lineRule="exact"/>
        <w:ind w:firstLine="3600" w:firstLineChars="1500"/>
        <w:rPr>
          <w:rFonts w:hint="eastAsia" w:ascii="宋体" w:hAnsi="宋体" w:cs="宋体"/>
          <w:sz w:val="24"/>
        </w:rPr>
      </w:pPr>
      <w:r>
        <w:rPr>
          <w:rFonts w:hint="eastAsia" w:ascii="宋体" w:hAnsi="宋体" w:cs="宋体"/>
          <w:sz w:val="24"/>
        </w:rPr>
        <w:t>供应商名称：（电子签章）</w:t>
      </w:r>
    </w:p>
    <w:p>
      <w:pPr>
        <w:spacing w:line="380" w:lineRule="exact"/>
        <w:ind w:right="640" w:firstLine="1560" w:firstLineChars="650"/>
        <w:rPr>
          <w:rFonts w:hint="eastAsia" w:ascii="宋体" w:hAnsi="宋体" w:cs="宋体"/>
          <w:sz w:val="24"/>
        </w:rPr>
      </w:pPr>
    </w:p>
    <w:p>
      <w:pPr>
        <w:spacing w:line="380" w:lineRule="exact"/>
        <w:ind w:right="640" w:firstLine="3600" w:firstLineChars="1500"/>
        <w:rPr>
          <w:rFonts w:hint="eastAsia" w:ascii="宋体" w:hAnsi="宋体" w:cs="宋体"/>
          <w:sz w:val="24"/>
        </w:rPr>
      </w:pPr>
      <w:r>
        <w:rPr>
          <w:rFonts w:hint="eastAsia" w:ascii="宋体" w:hAnsi="宋体" w:cs="宋体"/>
          <w:sz w:val="24"/>
        </w:rPr>
        <w:t>授权委托人：</w:t>
      </w:r>
    </w:p>
    <w:p>
      <w:pPr>
        <w:spacing w:line="380" w:lineRule="exact"/>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 xml:space="preserve">               日期：      年   月    日</w:t>
      </w:r>
    </w:p>
    <w:p>
      <w:pPr>
        <w:spacing w:before="100" w:beforeAutospacing="1" w:after="100" w:afterAutospacing="1" w:line="360" w:lineRule="auto"/>
        <w:rPr>
          <w:rFonts w:hint="eastAsia" w:ascii="宋体" w:hAnsi="宋体" w:cs="宋体"/>
          <w:b/>
          <w:sz w:val="24"/>
        </w:rPr>
      </w:pPr>
      <w:r>
        <w:rPr>
          <w:rFonts w:hint="eastAsia" w:ascii="宋体" w:hAnsi="宋体" w:cs="宋体"/>
          <w:b/>
          <w:sz w:val="24"/>
        </w:rPr>
        <w:t xml:space="preserve">                                           </w:t>
      </w: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pStyle w:val="5"/>
        <w:rPr>
          <w:rFonts w:hint="eastAsia" w:hAnsi="宋体" w:cs="宋体"/>
          <w:sz w:val="28"/>
        </w:rPr>
      </w:pPr>
      <w:bookmarkStart w:id="148" w:name="_Hlt533408409"/>
      <w:bookmarkEnd w:id="148"/>
      <w:bookmarkStart w:id="149" w:name="_Hlt533408916"/>
      <w:bookmarkEnd w:id="149"/>
      <w:bookmarkStart w:id="150" w:name="_Hlt533409360"/>
      <w:bookmarkEnd w:id="150"/>
      <w:bookmarkStart w:id="151" w:name="_Hlt519045798"/>
      <w:bookmarkEnd w:id="151"/>
      <w:bookmarkStart w:id="152" w:name="_Hlt509716873"/>
      <w:bookmarkEnd w:id="152"/>
      <w:bookmarkStart w:id="153" w:name="_Toc32321"/>
      <w:bookmarkStart w:id="154" w:name="_Toc516969097"/>
      <w:bookmarkStart w:id="155" w:name="_Toc11175_WPSOffice_Level2"/>
      <w:bookmarkStart w:id="156" w:name="_Toc6108"/>
      <w:bookmarkStart w:id="157" w:name="_Toc18070"/>
      <w:bookmarkStart w:id="158" w:name="_Toc40975450"/>
      <w:bookmarkStart w:id="159" w:name="_Toc197934563"/>
    </w:p>
    <w:p>
      <w:pPr>
        <w:pStyle w:val="5"/>
        <w:rPr>
          <w:rFonts w:hint="eastAsia" w:hAnsi="宋体" w:cs="宋体"/>
          <w:sz w:val="28"/>
        </w:rPr>
      </w:pPr>
      <w:r>
        <w:rPr>
          <w:rFonts w:hint="eastAsia" w:hAnsi="宋体" w:cs="宋体"/>
          <w:sz w:val="28"/>
        </w:rPr>
        <w:t>二．投标人综合情况简介</w:t>
      </w:r>
      <w:bookmarkEnd w:id="153"/>
      <w:bookmarkEnd w:id="154"/>
      <w:bookmarkEnd w:id="155"/>
      <w:bookmarkEnd w:id="156"/>
      <w:bookmarkEnd w:id="157"/>
      <w:bookmarkEnd w:id="158"/>
    </w:p>
    <w:p>
      <w:pPr>
        <w:spacing w:line="500" w:lineRule="exact"/>
        <w:jc w:val="center"/>
        <w:rPr>
          <w:rFonts w:hint="eastAsia" w:ascii="宋体" w:hAnsi="宋体" w:cs="宋体"/>
          <w:sz w:val="24"/>
        </w:rPr>
      </w:pPr>
      <w:r>
        <w:rPr>
          <w:rFonts w:hint="eastAsia" w:ascii="宋体" w:hAnsi="宋体" w:cs="宋体"/>
          <w:sz w:val="24"/>
        </w:rPr>
        <w:t>(投标人可自行制作格式)</w:t>
      </w:r>
    </w:p>
    <w:p>
      <w:pPr>
        <w:pStyle w:val="50"/>
        <w:rPr>
          <w:rFonts w:hint="eastAsia" w:ascii="宋体" w:hAnsi="宋体" w:cs="宋体"/>
        </w:rPr>
      </w:pPr>
    </w:p>
    <w:p>
      <w:pPr>
        <w:pStyle w:val="5"/>
        <w:spacing w:after="240"/>
        <w:rPr>
          <w:rFonts w:hint="eastAsia" w:hAnsi="宋体" w:cs="宋体"/>
          <w:sz w:val="28"/>
        </w:rPr>
      </w:pPr>
      <w:bookmarkStart w:id="160" w:name="_Hlt509739007"/>
      <w:bookmarkEnd w:id="160"/>
      <w:bookmarkStart w:id="161" w:name="_Toc516969098"/>
      <w:bookmarkStart w:id="162" w:name="_Toc40975451"/>
      <w:bookmarkStart w:id="163" w:name="_Toc1391_WPSOffice_Level2"/>
      <w:bookmarkStart w:id="164" w:name="_Toc23480"/>
      <w:bookmarkStart w:id="165" w:name="_Toc25232"/>
      <w:bookmarkStart w:id="166" w:name="_Toc15297"/>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pStyle w:val="5"/>
        <w:spacing w:after="240"/>
        <w:rPr>
          <w:rFonts w:hint="eastAsia" w:hAnsi="宋体" w:cs="宋体"/>
          <w:sz w:val="28"/>
        </w:rPr>
      </w:pPr>
    </w:p>
    <w:p>
      <w:pPr>
        <w:rPr>
          <w:rFonts w:hint="eastAsia"/>
        </w:rPr>
      </w:pPr>
    </w:p>
    <w:p>
      <w:pPr>
        <w:rPr>
          <w:rFonts w:hint="eastAsia"/>
        </w:rPr>
      </w:pPr>
    </w:p>
    <w:p>
      <w:pPr>
        <w:pStyle w:val="3"/>
        <w:rPr>
          <w:rFonts w:hint="eastAsia"/>
        </w:rPr>
      </w:pPr>
      <w:r>
        <w:rPr>
          <w:rFonts w:hint="eastAsia"/>
        </w:rPr>
        <w:t>三．投标函</w:t>
      </w:r>
      <w:bookmarkEnd w:id="161"/>
      <w:bookmarkEnd w:id="162"/>
      <w:bookmarkEnd w:id="163"/>
      <w:bookmarkEnd w:id="164"/>
      <w:bookmarkEnd w:id="165"/>
      <w:bookmarkEnd w:id="166"/>
    </w:p>
    <w:p>
      <w:pPr>
        <w:pStyle w:val="38"/>
        <w:spacing w:line="360" w:lineRule="auto"/>
        <w:rPr>
          <w:rFonts w:hint="eastAsia" w:ascii="宋体" w:hAnsi="宋体" w:cs="宋体"/>
          <w:b w:val="0"/>
          <w:sz w:val="24"/>
        </w:rPr>
      </w:pPr>
      <w:r>
        <w:rPr>
          <w:rFonts w:hint="eastAsia" w:ascii="宋体" w:hAnsi="宋体" w:cs="宋体"/>
          <w:b w:val="0"/>
          <w:sz w:val="24"/>
        </w:rPr>
        <w:t>致：（采购人或采购代理机构）</w:t>
      </w:r>
    </w:p>
    <w:p>
      <w:pPr>
        <w:spacing w:line="360" w:lineRule="auto"/>
        <w:ind w:left="239" w:leftChars="114" w:firstLine="386" w:firstLineChars="161"/>
        <w:rPr>
          <w:rFonts w:hint="eastAsia" w:ascii="宋体" w:hAnsi="宋体" w:cs="宋体"/>
          <w:b/>
          <w:bCs/>
          <w:sz w:val="24"/>
          <w:u w:val="single"/>
        </w:rPr>
      </w:pPr>
      <w:r>
        <w:rPr>
          <w:rFonts w:hint="eastAsia" w:ascii="宋体" w:hAnsi="宋体" w:cs="宋体"/>
          <w:sz w:val="24"/>
        </w:rPr>
        <w:t>根据贵方“（</w:t>
      </w:r>
      <w:r>
        <w:rPr>
          <w:rFonts w:hint="eastAsia" w:ascii="宋体" w:hAnsi="宋体" w:cs="宋体"/>
          <w:b/>
          <w:bCs/>
          <w:sz w:val="24"/>
          <w:u w:val="single"/>
        </w:rPr>
        <w:t>项目名称、项目编号)</w:t>
      </w:r>
      <w:r>
        <w:rPr>
          <w:rFonts w:hint="eastAsia" w:ascii="宋体" w:hAnsi="宋体" w:cs="宋体"/>
          <w:sz w:val="24"/>
        </w:rPr>
        <w:t>”项目招标邀请书或招标公告，正式授权下述签字人</w:t>
      </w:r>
      <w:r>
        <w:rPr>
          <w:rFonts w:hint="eastAsia" w:ascii="宋体" w:hAnsi="宋体" w:cs="宋体"/>
          <w:sz w:val="24"/>
          <w:u w:val="single"/>
        </w:rPr>
        <w:t xml:space="preserve">         　</w:t>
      </w:r>
      <w:r>
        <w:rPr>
          <w:rFonts w:hint="eastAsia" w:ascii="宋体" w:hAnsi="宋体" w:cs="宋体"/>
          <w:sz w:val="24"/>
        </w:rPr>
        <w:t>（姓名）代表投标人</w:t>
      </w:r>
      <w:r>
        <w:rPr>
          <w:rFonts w:hint="eastAsia" w:ascii="宋体" w:hAnsi="宋体" w:cs="宋体"/>
          <w:sz w:val="24"/>
          <w:u w:val="single"/>
        </w:rPr>
        <w:t xml:space="preserve">        　   </w:t>
      </w:r>
      <w:r>
        <w:rPr>
          <w:rFonts w:hint="eastAsia" w:ascii="宋体" w:hAnsi="宋体" w:cs="宋体"/>
          <w:sz w:val="24"/>
        </w:rPr>
        <w:t>（投标人全称），提交规定形式的投标文件。</w:t>
      </w:r>
    </w:p>
    <w:p>
      <w:pPr>
        <w:spacing w:line="360" w:lineRule="auto"/>
        <w:ind w:firstLine="630"/>
        <w:rPr>
          <w:rFonts w:hint="eastAsia" w:ascii="宋体" w:hAnsi="宋体" w:cs="宋体"/>
          <w:sz w:val="24"/>
        </w:rPr>
      </w:pPr>
      <w:r>
        <w:rPr>
          <w:rFonts w:hint="eastAsia" w:ascii="宋体" w:hAnsi="宋体" w:cs="宋体"/>
          <w:sz w:val="24"/>
        </w:rPr>
        <w:t>据此函，我方兹宣布同意如下：</w:t>
      </w:r>
    </w:p>
    <w:p>
      <w:pPr>
        <w:spacing w:line="360" w:lineRule="auto"/>
        <w:ind w:firstLine="630"/>
        <w:rPr>
          <w:rFonts w:hint="eastAsia" w:ascii="宋体" w:hAnsi="宋体" w:cs="宋体"/>
          <w:sz w:val="24"/>
        </w:rPr>
      </w:pPr>
      <w:r>
        <w:rPr>
          <w:rFonts w:hint="eastAsia" w:ascii="宋体" w:hAnsi="宋体" w:cs="宋体"/>
          <w:sz w:val="24"/>
        </w:rPr>
        <w:t>（1）如我公司中标，愿意按招标文件规定提供交付服务（包括税费等工作）的总报价为人民币</w:t>
      </w:r>
      <w:r>
        <w:rPr>
          <w:rFonts w:hint="eastAsia" w:ascii="宋体" w:hAnsi="宋体" w:cs="宋体"/>
          <w:sz w:val="24"/>
          <w:u w:val="single"/>
        </w:rPr>
        <w:t xml:space="preserve">             </w:t>
      </w:r>
      <w:r>
        <w:rPr>
          <w:rFonts w:hint="eastAsia" w:ascii="宋体" w:hAnsi="宋体" w:cs="宋体"/>
          <w:sz w:val="24"/>
        </w:rPr>
        <w:t>元，服务期</w:t>
      </w:r>
      <w:r>
        <w:rPr>
          <w:rFonts w:hint="eastAsia" w:ascii="宋体" w:hAnsi="宋体" w:cs="宋体"/>
          <w:sz w:val="24"/>
          <w:u w:val="single"/>
        </w:rPr>
        <w:t xml:space="preserve">        </w:t>
      </w:r>
      <w:r>
        <w:rPr>
          <w:rFonts w:hint="eastAsia" w:ascii="宋体" w:hAnsi="宋体" w:cs="宋体"/>
          <w:sz w:val="24"/>
        </w:rPr>
        <w:t>。</w:t>
      </w:r>
    </w:p>
    <w:p>
      <w:pPr>
        <w:spacing w:line="360" w:lineRule="auto"/>
        <w:ind w:firstLine="630"/>
        <w:rPr>
          <w:rFonts w:hint="eastAsia" w:ascii="宋体" w:hAnsi="宋体" w:cs="宋体"/>
          <w:sz w:val="24"/>
        </w:rPr>
      </w:pPr>
      <w:r>
        <w:rPr>
          <w:rFonts w:hint="eastAsia" w:ascii="宋体" w:hAnsi="宋体" w:cs="宋体"/>
          <w:sz w:val="24"/>
        </w:rPr>
        <w:t>（2）我方根据招标文件的规定，严格履行合同的责任和义务,并保证于买方要求的日期内完成服务，并通过买方验收。</w:t>
      </w:r>
    </w:p>
    <w:p>
      <w:pPr>
        <w:spacing w:line="360" w:lineRule="auto"/>
        <w:ind w:firstLine="630"/>
        <w:rPr>
          <w:rFonts w:hint="eastAsia" w:ascii="宋体" w:hAnsi="宋体" w:cs="宋体"/>
          <w:sz w:val="24"/>
        </w:rPr>
      </w:pPr>
      <w:r>
        <w:rPr>
          <w:rFonts w:hint="eastAsia" w:ascii="宋体" w:hAnsi="宋体" w:cs="宋体"/>
          <w:sz w:val="24"/>
        </w:rPr>
        <w:t>（3）我方承诺报价低于同类货物和服务的市场平均价格。</w:t>
      </w:r>
    </w:p>
    <w:p>
      <w:pPr>
        <w:spacing w:line="360" w:lineRule="auto"/>
        <w:ind w:firstLine="630"/>
        <w:rPr>
          <w:rFonts w:hint="eastAsia" w:ascii="宋体" w:hAnsi="宋体" w:cs="宋体"/>
          <w:sz w:val="24"/>
        </w:rPr>
      </w:pPr>
      <w:r>
        <w:rPr>
          <w:rFonts w:hint="eastAsia" w:ascii="宋体" w:hAnsi="宋体" w:cs="宋体"/>
          <w:sz w:val="24"/>
        </w:rPr>
        <w:t>（4）我方已详细审核全部招标文件，包括招标文件修改书（如有），参考资料及有关附件，我方正式认可本次招标文件，并对招标文件各项条款（包括开标时间）均无异议。我方知道必须放弃提出含糊不清或误解的问题的权利。</w:t>
      </w:r>
    </w:p>
    <w:p>
      <w:pPr>
        <w:spacing w:line="360" w:lineRule="auto"/>
        <w:ind w:firstLine="630"/>
        <w:rPr>
          <w:rFonts w:hint="eastAsia" w:ascii="宋体" w:hAnsi="宋体" w:cs="宋体"/>
          <w:sz w:val="24"/>
        </w:rPr>
      </w:pPr>
      <w:r>
        <w:rPr>
          <w:rFonts w:hint="eastAsia" w:ascii="宋体" w:hAnsi="宋体" w:cs="宋体"/>
          <w:sz w:val="24"/>
        </w:rPr>
        <w:t>（5）我方同意从招标文件规定的开标日期起遵循本投标文件，并在招标文件规定的投标有效期之前均具有约束力。投标函</w:t>
      </w:r>
      <w:r>
        <w:rPr>
          <w:rFonts w:hint="eastAsia" w:ascii="宋体" w:hAnsi="宋体" w:cs="仿宋_GB2312"/>
          <w:sz w:val="24"/>
          <w:szCs w:val="24"/>
        </w:rPr>
        <w:t>按统一格式填写，由供应商加盖公章，并由供应商法定代表人或其授权代表人签字和盖章。</w:t>
      </w:r>
    </w:p>
    <w:p>
      <w:pPr>
        <w:spacing w:line="360" w:lineRule="auto"/>
        <w:ind w:firstLine="630"/>
        <w:rPr>
          <w:rFonts w:hint="eastAsia" w:ascii="宋体" w:hAnsi="宋体" w:cs="宋体"/>
          <w:sz w:val="24"/>
        </w:rPr>
      </w:pPr>
      <w:r>
        <w:rPr>
          <w:rFonts w:hint="eastAsia" w:ascii="宋体" w:hAnsi="宋体" w:cs="宋体"/>
          <w:sz w:val="24"/>
        </w:rPr>
        <w:t>（6）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pPr>
        <w:spacing w:line="360" w:lineRule="auto"/>
        <w:ind w:firstLine="630"/>
        <w:rPr>
          <w:rFonts w:hint="eastAsia" w:ascii="宋体" w:hAnsi="宋体" w:cs="宋体"/>
          <w:sz w:val="24"/>
        </w:rPr>
      </w:pPr>
      <w:r>
        <w:rPr>
          <w:rFonts w:hint="eastAsia" w:ascii="宋体" w:hAnsi="宋体" w:cs="宋体"/>
          <w:sz w:val="24"/>
        </w:rPr>
        <w:t>（7）我方完全理解贵方不一定接受最低报价的投标。</w:t>
      </w:r>
    </w:p>
    <w:p>
      <w:pPr>
        <w:spacing w:line="360" w:lineRule="auto"/>
        <w:ind w:firstLine="630"/>
        <w:rPr>
          <w:rFonts w:hint="eastAsia" w:ascii="宋体" w:hAnsi="宋体" w:cs="宋体"/>
          <w:sz w:val="24"/>
        </w:rPr>
      </w:pPr>
      <w:r>
        <w:rPr>
          <w:rFonts w:hint="eastAsia" w:ascii="宋体" w:hAnsi="宋体" w:cs="宋体"/>
          <w:sz w:val="24"/>
        </w:rPr>
        <w:t>（8）我方同意招标文件规定的付款方式。</w:t>
      </w:r>
    </w:p>
    <w:p>
      <w:pPr>
        <w:spacing w:line="360" w:lineRule="auto"/>
        <w:ind w:firstLine="630"/>
        <w:rPr>
          <w:rFonts w:hint="eastAsia" w:ascii="宋体" w:hAnsi="宋体" w:cs="宋体"/>
          <w:sz w:val="24"/>
          <w:u w:val="single"/>
        </w:rPr>
      </w:pPr>
      <w:r>
        <w:rPr>
          <w:rFonts w:hint="eastAsia" w:ascii="宋体" w:hAnsi="宋体" w:cs="宋体"/>
          <w:sz w:val="24"/>
        </w:rPr>
        <w:t>（9）与本投标有关的通讯地址：</w:t>
      </w:r>
      <w:r>
        <w:rPr>
          <w:rFonts w:hint="eastAsia" w:ascii="宋体" w:hAnsi="宋体" w:cs="宋体"/>
          <w:sz w:val="24"/>
          <w:u w:val="single"/>
        </w:rPr>
        <w:t xml:space="preserve">                                  </w:t>
      </w:r>
    </w:p>
    <w:p>
      <w:pPr>
        <w:pStyle w:val="117"/>
        <w:ind w:firstLine="720" w:firstLineChars="300"/>
        <w:rPr>
          <w:rFonts w:ascii="宋体" w:hAnsi="宋体" w:cs="宋体"/>
          <w:sz w:val="24"/>
        </w:rPr>
      </w:pPr>
      <w:r>
        <w:rPr>
          <w:rFonts w:hint="eastAsia" w:ascii="宋体" w:hAnsi="宋体" w:cs="宋体"/>
          <w:sz w:val="24"/>
        </w:rPr>
        <w:t>（10）本项目项目责任人：   电话：</w:t>
      </w:r>
    </w:p>
    <w:p>
      <w:pPr>
        <w:spacing w:line="380" w:lineRule="exact"/>
        <w:ind w:firstLine="3600" w:firstLineChars="1500"/>
        <w:rPr>
          <w:rFonts w:hint="eastAsia" w:ascii="宋体" w:hAnsi="宋体" w:cs="宋体"/>
          <w:sz w:val="24"/>
        </w:rPr>
      </w:pPr>
      <w:r>
        <w:rPr>
          <w:rFonts w:hint="eastAsia" w:ascii="宋体" w:hAnsi="宋体" w:cs="宋体"/>
          <w:sz w:val="24"/>
        </w:rPr>
        <w:t>供应商名称：（电子公章）</w:t>
      </w:r>
    </w:p>
    <w:p>
      <w:pPr>
        <w:spacing w:line="380" w:lineRule="exact"/>
        <w:ind w:right="640" w:firstLine="1560" w:firstLineChars="650"/>
        <w:rPr>
          <w:rFonts w:hint="eastAsia" w:ascii="宋体" w:hAnsi="宋体" w:cs="宋体"/>
          <w:sz w:val="24"/>
        </w:rPr>
      </w:pPr>
    </w:p>
    <w:p>
      <w:pPr>
        <w:spacing w:line="380" w:lineRule="exact"/>
        <w:ind w:right="640" w:firstLine="3600" w:firstLineChars="1500"/>
        <w:rPr>
          <w:rFonts w:hint="eastAsia" w:ascii="宋体" w:hAnsi="宋体" w:cs="宋体"/>
          <w:sz w:val="24"/>
        </w:rPr>
      </w:pPr>
      <w:r>
        <w:rPr>
          <w:rFonts w:hint="eastAsia" w:ascii="宋体" w:hAnsi="宋体" w:cs="宋体"/>
          <w:sz w:val="24"/>
        </w:rPr>
        <w:t>全权代表：</w:t>
      </w:r>
    </w:p>
    <w:p>
      <w:pPr>
        <w:spacing w:line="380" w:lineRule="exact"/>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 xml:space="preserve">               日期：      年   月    日</w:t>
      </w:r>
    </w:p>
    <w:bookmarkEnd w:id="159"/>
    <w:p>
      <w:pPr>
        <w:pStyle w:val="5"/>
        <w:rPr>
          <w:rFonts w:hint="eastAsia" w:hAnsi="宋体" w:cs="宋体"/>
          <w:sz w:val="28"/>
          <w:szCs w:val="36"/>
        </w:rPr>
      </w:pPr>
      <w:bookmarkStart w:id="167" w:name="_Toc200"/>
      <w:bookmarkStart w:id="168" w:name="_Toc220232409"/>
      <w:bookmarkStart w:id="169" w:name="_Toc15353"/>
      <w:bookmarkStart w:id="170" w:name="_Toc24077_WPSOffice_Level2"/>
      <w:bookmarkStart w:id="171" w:name="_Toc27702"/>
      <w:bookmarkStart w:id="172" w:name="_Toc40975452"/>
      <w:r>
        <w:rPr>
          <w:rFonts w:hint="eastAsia" w:hAnsi="宋体" w:cs="宋体"/>
          <w:sz w:val="28"/>
        </w:rPr>
        <w:t>四．投标分项报价表</w:t>
      </w:r>
      <w:bookmarkEnd w:id="167"/>
      <w:bookmarkEnd w:id="168"/>
      <w:bookmarkEnd w:id="169"/>
      <w:bookmarkEnd w:id="170"/>
      <w:bookmarkEnd w:id="171"/>
      <w:bookmarkEnd w:id="172"/>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3" w:hRule="atLeast"/>
        </w:trPr>
        <w:tc>
          <w:tcPr>
            <w:tcW w:w="840" w:type="dxa"/>
            <w:noWrap w:val="0"/>
            <w:vAlign w:val="center"/>
          </w:tcPr>
          <w:p>
            <w:pPr>
              <w:pStyle w:val="426"/>
              <w:widowControl w:val="0"/>
              <w:spacing w:before="0" w:beforeAutospacing="0" w:after="0" w:afterAutospacing="0"/>
              <w:rPr>
                <w:rFonts w:hint="eastAsia" w:cs="宋体"/>
                <w:bCs w:val="0"/>
                <w:kern w:val="2"/>
                <w:sz w:val="24"/>
                <w:szCs w:val="20"/>
              </w:rPr>
            </w:pPr>
            <w:r>
              <w:rPr>
                <w:rFonts w:hint="eastAsia" w:cs="宋体"/>
                <w:bCs w:val="0"/>
                <w:kern w:val="2"/>
                <w:sz w:val="24"/>
                <w:szCs w:val="20"/>
              </w:rPr>
              <w:t>序号</w:t>
            </w:r>
          </w:p>
        </w:tc>
        <w:tc>
          <w:tcPr>
            <w:tcW w:w="2205" w:type="dxa"/>
            <w:noWrap w:val="0"/>
            <w:vAlign w:val="center"/>
          </w:tcPr>
          <w:p>
            <w:pPr>
              <w:jc w:val="center"/>
              <w:rPr>
                <w:rFonts w:hint="eastAsia" w:ascii="宋体" w:hAnsi="宋体" w:cs="宋体"/>
                <w:b/>
                <w:sz w:val="24"/>
              </w:rPr>
            </w:pPr>
            <w:r>
              <w:rPr>
                <w:rFonts w:hint="eastAsia" w:ascii="宋体" w:hAnsi="宋体" w:cs="宋体"/>
                <w:b/>
                <w:sz w:val="24"/>
              </w:rPr>
              <w:t>名称</w:t>
            </w:r>
          </w:p>
        </w:tc>
        <w:tc>
          <w:tcPr>
            <w:tcW w:w="957" w:type="dxa"/>
            <w:noWrap w:val="0"/>
            <w:vAlign w:val="center"/>
          </w:tcPr>
          <w:p>
            <w:pPr>
              <w:jc w:val="center"/>
              <w:rPr>
                <w:rFonts w:hint="eastAsia" w:ascii="宋体" w:hAnsi="宋体" w:cs="宋体"/>
                <w:b/>
                <w:sz w:val="24"/>
              </w:rPr>
            </w:pPr>
            <w:r>
              <w:rPr>
                <w:rFonts w:hint="eastAsia" w:ascii="宋体" w:hAnsi="宋体" w:cs="宋体"/>
                <w:b/>
                <w:sz w:val="24"/>
              </w:rPr>
              <w:t>单位</w:t>
            </w:r>
          </w:p>
        </w:tc>
        <w:tc>
          <w:tcPr>
            <w:tcW w:w="840" w:type="dxa"/>
            <w:noWrap w:val="0"/>
            <w:vAlign w:val="center"/>
          </w:tcPr>
          <w:p>
            <w:pPr>
              <w:jc w:val="center"/>
              <w:rPr>
                <w:rFonts w:hint="eastAsia" w:ascii="宋体" w:hAnsi="宋体" w:cs="宋体"/>
                <w:b/>
                <w:sz w:val="24"/>
              </w:rPr>
            </w:pPr>
            <w:r>
              <w:rPr>
                <w:rFonts w:hint="eastAsia" w:ascii="宋体" w:hAnsi="宋体" w:cs="宋体"/>
                <w:b/>
                <w:sz w:val="24"/>
              </w:rPr>
              <w:t>数量</w:t>
            </w:r>
          </w:p>
        </w:tc>
        <w:tc>
          <w:tcPr>
            <w:tcW w:w="1260" w:type="dxa"/>
            <w:noWrap w:val="0"/>
            <w:vAlign w:val="center"/>
          </w:tcPr>
          <w:p>
            <w:pPr>
              <w:jc w:val="center"/>
              <w:rPr>
                <w:rFonts w:hint="eastAsia" w:ascii="宋体" w:hAnsi="宋体" w:cs="宋体"/>
                <w:b/>
                <w:sz w:val="24"/>
              </w:rPr>
            </w:pPr>
            <w:r>
              <w:rPr>
                <w:rFonts w:hint="eastAsia" w:ascii="宋体" w:hAnsi="宋体" w:cs="宋体"/>
                <w:b/>
                <w:sz w:val="24"/>
              </w:rPr>
              <w:t>单价</w:t>
            </w:r>
          </w:p>
        </w:tc>
        <w:tc>
          <w:tcPr>
            <w:tcW w:w="1340" w:type="dxa"/>
            <w:noWrap w:val="0"/>
            <w:vAlign w:val="center"/>
          </w:tcPr>
          <w:p>
            <w:pPr>
              <w:jc w:val="center"/>
              <w:rPr>
                <w:rFonts w:hint="eastAsia" w:ascii="宋体" w:hAnsi="宋体" w:cs="宋体"/>
                <w:b/>
                <w:sz w:val="24"/>
              </w:rPr>
            </w:pPr>
            <w:r>
              <w:rPr>
                <w:rFonts w:hint="eastAsia" w:ascii="宋体" w:hAnsi="宋体" w:cs="宋体"/>
                <w:b/>
                <w:sz w:val="24"/>
              </w:rPr>
              <w:t>小计</w:t>
            </w:r>
          </w:p>
        </w:tc>
        <w:tc>
          <w:tcPr>
            <w:tcW w:w="922" w:type="dxa"/>
            <w:noWrap w:val="0"/>
            <w:vAlign w:val="center"/>
          </w:tcPr>
          <w:p>
            <w:pPr>
              <w:jc w:val="center"/>
              <w:rPr>
                <w:rFonts w:hint="eastAsia"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tcBorders>
              <w:bottom w:val="single" w:color="auto" w:sz="4" w:space="0"/>
            </w:tcBorders>
            <w:noWrap w:val="0"/>
            <w:vAlign w:val="top"/>
          </w:tcPr>
          <w:p>
            <w:pPr>
              <w:jc w:val="center"/>
              <w:rPr>
                <w:rFonts w:hint="eastAsia" w:ascii="宋体" w:hAnsi="宋体" w:cs="宋体"/>
                <w:sz w:val="24"/>
              </w:rPr>
            </w:pPr>
            <w:r>
              <w:rPr>
                <w:rFonts w:hint="eastAsia" w:ascii="宋体" w:hAnsi="宋体" w:cs="宋体"/>
                <w:sz w:val="24"/>
              </w:rPr>
              <w:t>1</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3" w:hRule="atLeast"/>
        </w:trPr>
        <w:tc>
          <w:tcPr>
            <w:tcW w:w="840" w:type="dxa"/>
            <w:noWrap w:val="0"/>
            <w:vAlign w:val="top"/>
          </w:tcPr>
          <w:p>
            <w:pPr>
              <w:jc w:val="center"/>
              <w:rPr>
                <w:rFonts w:hint="eastAsia" w:ascii="宋体" w:hAnsi="宋体" w:cs="宋体"/>
                <w:sz w:val="24"/>
              </w:rPr>
            </w:pPr>
            <w:r>
              <w:rPr>
                <w:rFonts w:hint="eastAsia" w:ascii="宋体" w:hAnsi="宋体" w:cs="宋体"/>
                <w:sz w:val="24"/>
              </w:rPr>
              <w:t>2</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3</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3" w:hRule="atLeast"/>
        </w:trPr>
        <w:tc>
          <w:tcPr>
            <w:tcW w:w="840" w:type="dxa"/>
            <w:noWrap w:val="0"/>
            <w:vAlign w:val="top"/>
          </w:tcPr>
          <w:p>
            <w:pPr>
              <w:jc w:val="center"/>
              <w:rPr>
                <w:rFonts w:hint="eastAsia" w:ascii="宋体" w:hAnsi="宋体" w:cs="宋体"/>
                <w:sz w:val="24"/>
              </w:rPr>
            </w:pPr>
            <w:r>
              <w:rPr>
                <w:rFonts w:hint="eastAsia" w:ascii="宋体" w:hAnsi="宋体" w:cs="宋体"/>
                <w:sz w:val="24"/>
              </w:rPr>
              <w:t>4</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5</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3" w:hRule="atLeast"/>
        </w:trPr>
        <w:tc>
          <w:tcPr>
            <w:tcW w:w="840" w:type="dxa"/>
            <w:noWrap w:val="0"/>
            <w:vAlign w:val="top"/>
          </w:tcPr>
          <w:p>
            <w:pPr>
              <w:jc w:val="center"/>
              <w:rPr>
                <w:rFonts w:hint="eastAsia" w:ascii="宋体" w:hAnsi="宋体" w:cs="宋体"/>
                <w:sz w:val="24"/>
              </w:rPr>
            </w:pPr>
            <w:r>
              <w:rPr>
                <w:rFonts w:hint="eastAsia" w:ascii="宋体" w:hAnsi="宋体" w:cs="宋体"/>
                <w:sz w:val="24"/>
              </w:rPr>
              <w:t>6</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7</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3" w:hRule="atLeast"/>
        </w:trPr>
        <w:tc>
          <w:tcPr>
            <w:tcW w:w="840" w:type="dxa"/>
            <w:noWrap w:val="0"/>
            <w:vAlign w:val="top"/>
          </w:tcPr>
          <w:p>
            <w:pPr>
              <w:jc w:val="center"/>
              <w:rPr>
                <w:rFonts w:hint="eastAsia" w:ascii="宋体" w:hAnsi="宋体" w:cs="宋体"/>
                <w:sz w:val="24"/>
              </w:rPr>
            </w:pPr>
            <w:r>
              <w:rPr>
                <w:rFonts w:hint="eastAsia" w:ascii="宋体" w:hAnsi="宋体" w:cs="宋体"/>
                <w:sz w:val="24"/>
              </w:rPr>
              <w:t>8</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9</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10</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11</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12</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r>
              <w:rPr>
                <w:rFonts w:hint="eastAsia" w:ascii="宋体" w:hAnsi="宋体" w:cs="宋体"/>
                <w:sz w:val="24"/>
              </w:rPr>
              <w:t>13</w:t>
            </w:r>
          </w:p>
        </w:tc>
        <w:tc>
          <w:tcPr>
            <w:tcW w:w="2205" w:type="dxa"/>
            <w:noWrap w:val="0"/>
            <w:vAlign w:val="top"/>
          </w:tcPr>
          <w:p>
            <w:pPr>
              <w:rPr>
                <w:rFonts w:hint="eastAsia" w:ascii="宋体" w:hAnsi="宋体" w:cs="宋体"/>
                <w:sz w:val="24"/>
              </w:rPr>
            </w:pP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p>
        </w:tc>
        <w:tc>
          <w:tcPr>
            <w:tcW w:w="2205" w:type="dxa"/>
            <w:noWrap w:val="0"/>
            <w:vAlign w:val="center"/>
          </w:tcPr>
          <w:p>
            <w:pPr>
              <w:pStyle w:val="456"/>
              <w:rPr>
                <w:rFonts w:hint="eastAsia" w:ascii="宋体" w:hAnsi="宋体" w:cs="宋体"/>
              </w:rPr>
            </w:pPr>
            <w:r>
              <w:rPr>
                <w:rFonts w:hint="eastAsia" w:ascii="宋体" w:hAnsi="宋体" w:cs="宋体"/>
              </w:rPr>
              <w:t>其他费用</w:t>
            </w: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24" w:hRule="atLeast"/>
        </w:trPr>
        <w:tc>
          <w:tcPr>
            <w:tcW w:w="840" w:type="dxa"/>
            <w:noWrap w:val="0"/>
            <w:vAlign w:val="top"/>
          </w:tcPr>
          <w:p>
            <w:pPr>
              <w:jc w:val="center"/>
              <w:rPr>
                <w:rFonts w:hint="eastAsia" w:ascii="宋体" w:hAnsi="宋体" w:cs="宋体"/>
                <w:sz w:val="24"/>
              </w:rPr>
            </w:pPr>
          </w:p>
        </w:tc>
        <w:tc>
          <w:tcPr>
            <w:tcW w:w="2205" w:type="dxa"/>
            <w:noWrap w:val="0"/>
            <w:vAlign w:val="center"/>
          </w:tcPr>
          <w:p>
            <w:pPr>
              <w:pStyle w:val="456"/>
              <w:rPr>
                <w:rFonts w:hint="eastAsia" w:ascii="宋体" w:hAnsi="宋体" w:cs="宋体"/>
              </w:rPr>
            </w:pPr>
            <w:r>
              <w:rPr>
                <w:rFonts w:hint="eastAsia" w:ascii="宋体" w:hAnsi="宋体" w:cs="宋体"/>
              </w:rPr>
              <w:t>合计</w:t>
            </w:r>
          </w:p>
        </w:tc>
        <w:tc>
          <w:tcPr>
            <w:tcW w:w="957" w:type="dxa"/>
            <w:noWrap w:val="0"/>
            <w:vAlign w:val="top"/>
          </w:tcPr>
          <w:p>
            <w:pPr>
              <w:rPr>
                <w:rFonts w:hint="eastAsia" w:ascii="宋体" w:hAnsi="宋体" w:cs="宋体"/>
                <w:sz w:val="24"/>
              </w:rPr>
            </w:pPr>
          </w:p>
        </w:tc>
        <w:tc>
          <w:tcPr>
            <w:tcW w:w="840" w:type="dxa"/>
            <w:noWrap w:val="0"/>
            <w:vAlign w:val="top"/>
          </w:tcPr>
          <w:p>
            <w:pPr>
              <w:rPr>
                <w:rFonts w:hint="eastAsia" w:ascii="宋体" w:hAnsi="宋体" w:cs="宋体"/>
                <w:sz w:val="24"/>
              </w:rPr>
            </w:pPr>
          </w:p>
        </w:tc>
        <w:tc>
          <w:tcPr>
            <w:tcW w:w="1260" w:type="dxa"/>
            <w:noWrap w:val="0"/>
            <w:vAlign w:val="top"/>
          </w:tcPr>
          <w:p>
            <w:pPr>
              <w:rPr>
                <w:rFonts w:hint="eastAsia" w:ascii="宋体" w:hAnsi="宋体" w:cs="宋体"/>
                <w:sz w:val="24"/>
              </w:rPr>
            </w:pPr>
          </w:p>
        </w:tc>
        <w:tc>
          <w:tcPr>
            <w:tcW w:w="1340" w:type="dxa"/>
            <w:noWrap w:val="0"/>
            <w:vAlign w:val="top"/>
          </w:tcPr>
          <w:p>
            <w:pPr>
              <w:rPr>
                <w:rFonts w:hint="eastAsia" w:ascii="宋体" w:hAnsi="宋体" w:cs="宋体"/>
                <w:sz w:val="24"/>
              </w:rPr>
            </w:pPr>
          </w:p>
        </w:tc>
        <w:tc>
          <w:tcPr>
            <w:tcW w:w="922" w:type="dxa"/>
            <w:noWrap w:val="0"/>
            <w:vAlign w:val="top"/>
          </w:tcPr>
          <w:p>
            <w:pPr>
              <w:rPr>
                <w:rFonts w:hint="eastAsia" w:ascii="宋体" w:hAnsi="宋体" w:cs="宋体"/>
                <w:sz w:val="24"/>
              </w:rPr>
            </w:pPr>
          </w:p>
        </w:tc>
        <w:bookmarkStart w:id="173" w:name="_Hlt514495724"/>
        <w:bookmarkStart w:id="174" w:name="_Hlt533408944"/>
      </w:tr>
      <w:bookmarkEnd w:id="138"/>
      <w:bookmarkEnd w:id="139"/>
      <w:bookmarkEnd w:id="140"/>
      <w:bookmarkEnd w:id="173"/>
      <w:bookmarkEnd w:id="174"/>
    </w:tbl>
    <w:p>
      <w:pPr>
        <w:pStyle w:val="38"/>
        <w:spacing w:line="360" w:lineRule="auto"/>
        <w:rPr>
          <w:rFonts w:hint="eastAsia" w:ascii="宋体" w:hAnsi="宋体" w:cs="宋体"/>
          <w:sz w:val="24"/>
        </w:rPr>
      </w:pPr>
      <w:bookmarkStart w:id="175" w:name="_Toc197934552"/>
      <w:bookmarkStart w:id="176" w:name="_Toc27270_WPSOffice_Level2"/>
    </w:p>
    <w:p>
      <w:pPr>
        <w:spacing w:line="380" w:lineRule="exact"/>
        <w:ind w:firstLine="3600" w:firstLineChars="1500"/>
        <w:rPr>
          <w:rFonts w:hint="eastAsia" w:ascii="宋体" w:hAnsi="宋体" w:cs="宋体"/>
          <w:sz w:val="24"/>
        </w:rPr>
      </w:pPr>
      <w:r>
        <w:rPr>
          <w:rFonts w:hint="eastAsia" w:ascii="宋体" w:hAnsi="宋体" w:cs="宋体"/>
          <w:sz w:val="24"/>
        </w:rPr>
        <w:t>供应商名称：（电子公章）</w:t>
      </w:r>
    </w:p>
    <w:p>
      <w:pPr>
        <w:spacing w:line="380" w:lineRule="exact"/>
        <w:ind w:right="640" w:firstLine="1560" w:firstLineChars="650"/>
        <w:rPr>
          <w:rFonts w:hint="eastAsia" w:ascii="宋体" w:hAnsi="宋体" w:cs="宋体"/>
          <w:sz w:val="24"/>
        </w:rPr>
      </w:pPr>
    </w:p>
    <w:p>
      <w:pPr>
        <w:spacing w:line="380" w:lineRule="exact"/>
        <w:ind w:right="640" w:firstLine="3600" w:firstLineChars="1500"/>
        <w:rPr>
          <w:rFonts w:hint="eastAsia" w:ascii="宋体" w:hAnsi="宋体" w:cs="宋体"/>
          <w:sz w:val="24"/>
        </w:rPr>
      </w:pPr>
      <w:r>
        <w:rPr>
          <w:rFonts w:hint="eastAsia" w:ascii="宋体" w:hAnsi="宋体" w:cs="宋体"/>
          <w:sz w:val="24"/>
        </w:rPr>
        <w:t>法人代表：（签字）</w:t>
      </w:r>
    </w:p>
    <w:p>
      <w:pPr>
        <w:spacing w:line="380" w:lineRule="exact"/>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 xml:space="preserve">               日期：      年   月    日</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备注：</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报价为所投服务的单价组成。包括税金及其它。</w:t>
      </w: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
        <w:rPr>
          <w:rFonts w:hint="eastAsia" w:hAnsi="宋体" w:cs="宋体"/>
          <w:sz w:val="28"/>
        </w:rPr>
      </w:pPr>
      <w:bookmarkStart w:id="177" w:name="_Toc30168"/>
      <w:bookmarkStart w:id="178" w:name="_Toc3380"/>
      <w:bookmarkStart w:id="179" w:name="_Toc22823"/>
      <w:bookmarkStart w:id="180" w:name="_Toc40975453"/>
      <w:r>
        <w:rPr>
          <w:rFonts w:hint="eastAsia" w:hAnsi="宋体" w:cs="宋体"/>
          <w:sz w:val="28"/>
        </w:rPr>
        <w:t>五．投标响应表</w:t>
      </w:r>
      <w:bookmarkEnd w:id="175"/>
      <w:bookmarkEnd w:id="176"/>
      <w:bookmarkEnd w:id="177"/>
      <w:bookmarkEnd w:id="178"/>
      <w:bookmarkEnd w:id="179"/>
      <w:bookmarkEnd w:id="180"/>
    </w:p>
    <w:tbl>
      <w:tblPr>
        <w:tblStyle w:val="7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5" w:hRule="atLeast"/>
        </w:trPr>
        <w:tc>
          <w:tcPr>
            <w:tcW w:w="4830" w:type="dxa"/>
            <w:gridSpan w:val="3"/>
            <w:noWrap w:val="0"/>
            <w:vAlign w:val="center"/>
          </w:tcPr>
          <w:p>
            <w:pPr>
              <w:pStyle w:val="35"/>
              <w:jc w:val="center"/>
              <w:rPr>
                <w:rFonts w:hint="eastAsia" w:hAnsi="宋体" w:cs="宋体"/>
                <w:b/>
                <w:sz w:val="24"/>
              </w:rPr>
            </w:pPr>
            <w:r>
              <w:rPr>
                <w:rFonts w:hint="eastAsia" w:hAnsi="宋体" w:cs="宋体"/>
                <w:b/>
                <w:sz w:val="24"/>
              </w:rPr>
              <w:t>按招标文件规定填写</w:t>
            </w:r>
          </w:p>
        </w:tc>
        <w:tc>
          <w:tcPr>
            <w:tcW w:w="3534" w:type="dxa"/>
            <w:gridSpan w:val="2"/>
            <w:noWrap w:val="0"/>
            <w:vAlign w:val="center"/>
          </w:tcPr>
          <w:p>
            <w:pPr>
              <w:pStyle w:val="35"/>
              <w:jc w:val="center"/>
              <w:rPr>
                <w:rFonts w:hint="eastAsia" w:hAnsi="宋体" w:cs="宋体"/>
                <w:b/>
                <w:sz w:val="24"/>
              </w:rPr>
            </w:pPr>
            <w:r>
              <w:rPr>
                <w:rFonts w:hint="eastAsia" w:hAnsi="宋体" w:cs="宋体"/>
                <w:b/>
                <w:sz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85" w:hRule="atLeast"/>
        </w:trPr>
        <w:tc>
          <w:tcPr>
            <w:tcW w:w="8364" w:type="dxa"/>
            <w:gridSpan w:val="5"/>
            <w:noWrap w:val="0"/>
            <w:vAlign w:val="center"/>
          </w:tcPr>
          <w:p>
            <w:pPr>
              <w:pStyle w:val="35"/>
              <w:jc w:val="center"/>
              <w:rPr>
                <w:rFonts w:hint="eastAsia" w:hAnsi="宋体" w:cs="宋体"/>
                <w:b/>
                <w:sz w:val="24"/>
              </w:rPr>
            </w:pPr>
            <w:r>
              <w:rPr>
                <w:rFonts w:hint="eastAsia" w:hAnsi="宋体" w:cs="宋体"/>
                <w:b/>
                <w:sz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2" w:hRule="atLeast"/>
        </w:trPr>
        <w:tc>
          <w:tcPr>
            <w:tcW w:w="840" w:type="dxa"/>
            <w:noWrap w:val="0"/>
            <w:vAlign w:val="center"/>
          </w:tcPr>
          <w:p>
            <w:pPr>
              <w:pStyle w:val="35"/>
              <w:jc w:val="center"/>
              <w:rPr>
                <w:rFonts w:hint="eastAsia" w:hAnsi="宋体" w:cs="宋体"/>
                <w:b/>
                <w:sz w:val="24"/>
              </w:rPr>
            </w:pPr>
            <w:r>
              <w:rPr>
                <w:rFonts w:hint="eastAsia" w:hAnsi="宋体" w:cs="宋体"/>
                <w:b/>
                <w:sz w:val="24"/>
              </w:rPr>
              <w:t>序号</w:t>
            </w:r>
          </w:p>
        </w:tc>
        <w:tc>
          <w:tcPr>
            <w:tcW w:w="1470" w:type="dxa"/>
            <w:noWrap w:val="0"/>
            <w:vAlign w:val="center"/>
          </w:tcPr>
          <w:p>
            <w:pPr>
              <w:pStyle w:val="35"/>
              <w:jc w:val="center"/>
              <w:rPr>
                <w:rFonts w:hint="eastAsia" w:hAnsi="宋体" w:cs="宋体"/>
                <w:b/>
                <w:sz w:val="24"/>
              </w:rPr>
            </w:pPr>
            <w:r>
              <w:rPr>
                <w:rFonts w:hint="eastAsia" w:hAnsi="宋体" w:cs="宋体"/>
                <w:b/>
                <w:sz w:val="24"/>
              </w:rPr>
              <w:t>品名</w:t>
            </w:r>
          </w:p>
        </w:tc>
        <w:tc>
          <w:tcPr>
            <w:tcW w:w="2520" w:type="dxa"/>
            <w:noWrap w:val="0"/>
            <w:vAlign w:val="center"/>
          </w:tcPr>
          <w:p>
            <w:pPr>
              <w:pStyle w:val="35"/>
              <w:jc w:val="center"/>
              <w:rPr>
                <w:rFonts w:hint="eastAsia" w:hAnsi="宋体" w:cs="宋体"/>
                <w:b/>
                <w:sz w:val="24"/>
              </w:rPr>
            </w:pPr>
            <w:r>
              <w:rPr>
                <w:rFonts w:hint="eastAsia" w:hAnsi="宋体" w:cs="宋体"/>
                <w:b/>
                <w:sz w:val="24"/>
              </w:rPr>
              <w:t>招标文件要求</w:t>
            </w:r>
          </w:p>
        </w:tc>
        <w:tc>
          <w:tcPr>
            <w:tcW w:w="2310" w:type="dxa"/>
            <w:noWrap w:val="0"/>
            <w:vAlign w:val="center"/>
          </w:tcPr>
          <w:p>
            <w:pPr>
              <w:pStyle w:val="35"/>
              <w:rPr>
                <w:rFonts w:hint="eastAsia" w:hAnsi="宋体" w:cs="宋体"/>
                <w:b/>
                <w:sz w:val="24"/>
              </w:rPr>
            </w:pPr>
            <w:r>
              <w:rPr>
                <w:rFonts w:hint="eastAsia" w:hAnsi="宋体" w:cs="宋体"/>
                <w:b/>
                <w:sz w:val="24"/>
              </w:rPr>
              <w:t>投标响应</w:t>
            </w:r>
          </w:p>
          <w:p>
            <w:pPr>
              <w:pStyle w:val="35"/>
              <w:rPr>
                <w:rFonts w:hint="eastAsia" w:hAnsi="宋体" w:cs="宋体"/>
                <w:b/>
                <w:sz w:val="24"/>
              </w:rPr>
            </w:pPr>
          </w:p>
        </w:tc>
        <w:tc>
          <w:tcPr>
            <w:tcW w:w="1224" w:type="dxa"/>
            <w:noWrap w:val="0"/>
            <w:vAlign w:val="center"/>
          </w:tcPr>
          <w:p>
            <w:pPr>
              <w:pStyle w:val="35"/>
              <w:jc w:val="center"/>
              <w:rPr>
                <w:rFonts w:hint="eastAsia" w:hAnsi="宋体" w:cs="宋体"/>
                <w:b/>
                <w:sz w:val="24"/>
              </w:rPr>
            </w:pPr>
            <w:r>
              <w:rPr>
                <w:rFonts w:hint="eastAsia" w:hAnsi="宋体" w:cs="宋体"/>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1</w:t>
            </w:r>
          </w:p>
        </w:tc>
        <w:tc>
          <w:tcPr>
            <w:tcW w:w="1470" w:type="dxa"/>
            <w:noWrap w:val="0"/>
            <w:vAlign w:val="top"/>
          </w:tcPr>
          <w:p>
            <w:pPr>
              <w:rPr>
                <w:rFonts w:hint="eastAsia" w:ascii="宋体" w:hAnsi="宋体" w:cs="宋体"/>
                <w:sz w:val="24"/>
              </w:rPr>
            </w:pP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2</w:t>
            </w:r>
          </w:p>
        </w:tc>
        <w:tc>
          <w:tcPr>
            <w:tcW w:w="1470" w:type="dxa"/>
            <w:noWrap w:val="0"/>
            <w:vAlign w:val="top"/>
          </w:tcPr>
          <w:p>
            <w:pPr>
              <w:rPr>
                <w:rFonts w:hint="eastAsia" w:ascii="宋体" w:hAnsi="宋体" w:cs="宋体"/>
                <w:sz w:val="24"/>
              </w:rPr>
            </w:pP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3</w:t>
            </w:r>
          </w:p>
        </w:tc>
        <w:tc>
          <w:tcPr>
            <w:tcW w:w="1470" w:type="dxa"/>
            <w:noWrap w:val="0"/>
            <w:vAlign w:val="top"/>
          </w:tcPr>
          <w:p>
            <w:pPr>
              <w:rPr>
                <w:rFonts w:hint="eastAsia" w:ascii="宋体" w:hAnsi="宋体" w:cs="宋体"/>
                <w:sz w:val="24"/>
              </w:rPr>
            </w:pPr>
          </w:p>
        </w:tc>
        <w:tc>
          <w:tcPr>
            <w:tcW w:w="2520" w:type="dxa"/>
            <w:noWrap w:val="0"/>
            <w:vAlign w:val="top"/>
          </w:tcPr>
          <w:p>
            <w:pPr>
              <w:rPr>
                <w:rFonts w:hint="eastAsia" w:ascii="宋体" w:hAnsi="宋体" w:cs="宋体"/>
                <w:sz w:val="24"/>
              </w:rPr>
            </w:pPr>
          </w:p>
        </w:tc>
        <w:tc>
          <w:tcPr>
            <w:tcW w:w="2310" w:type="dxa"/>
            <w:noWrap w:val="0"/>
            <w:vAlign w:val="top"/>
          </w:tcPr>
          <w:p>
            <w:pPr>
              <w:pStyle w:val="456"/>
              <w:rPr>
                <w:rFonts w:hint="eastAsia" w:ascii="宋体" w:hAnsi="宋体" w:cs="宋体"/>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4</w:t>
            </w:r>
          </w:p>
        </w:tc>
        <w:tc>
          <w:tcPr>
            <w:tcW w:w="1470" w:type="dxa"/>
            <w:noWrap w:val="0"/>
            <w:vAlign w:val="top"/>
          </w:tcPr>
          <w:p>
            <w:pPr>
              <w:rPr>
                <w:rFonts w:hint="eastAsia" w:ascii="宋体" w:hAnsi="宋体" w:cs="宋体"/>
                <w:sz w:val="24"/>
              </w:rPr>
            </w:pP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364" w:type="dxa"/>
            <w:gridSpan w:val="5"/>
            <w:noWrap w:val="0"/>
            <w:vAlign w:val="center"/>
          </w:tcPr>
          <w:p>
            <w:pPr>
              <w:pStyle w:val="35"/>
              <w:jc w:val="center"/>
              <w:rPr>
                <w:rFonts w:hint="eastAsia" w:hAnsi="宋体" w:cs="宋体"/>
                <w:sz w:val="24"/>
              </w:rPr>
            </w:pPr>
            <w:r>
              <w:rPr>
                <w:rFonts w:hint="eastAsia" w:hAnsi="宋体" w:cs="宋体"/>
                <w:b/>
                <w:sz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pStyle w:val="35"/>
              <w:jc w:val="center"/>
              <w:rPr>
                <w:rFonts w:hint="eastAsia" w:hAnsi="宋体" w:cs="宋体"/>
                <w:b/>
                <w:sz w:val="24"/>
              </w:rPr>
            </w:pPr>
            <w:r>
              <w:rPr>
                <w:rFonts w:hint="eastAsia" w:hAnsi="宋体" w:cs="宋体"/>
                <w:b/>
                <w:sz w:val="24"/>
              </w:rPr>
              <w:t>序号</w:t>
            </w:r>
          </w:p>
        </w:tc>
        <w:tc>
          <w:tcPr>
            <w:tcW w:w="1470" w:type="dxa"/>
            <w:noWrap w:val="0"/>
            <w:vAlign w:val="center"/>
          </w:tcPr>
          <w:p>
            <w:pPr>
              <w:pStyle w:val="35"/>
              <w:jc w:val="center"/>
              <w:rPr>
                <w:rFonts w:hint="eastAsia" w:hAnsi="宋体" w:cs="宋体"/>
                <w:b/>
                <w:sz w:val="24"/>
              </w:rPr>
            </w:pPr>
            <w:r>
              <w:rPr>
                <w:rFonts w:hint="eastAsia" w:hAnsi="宋体" w:cs="宋体"/>
                <w:b/>
                <w:sz w:val="24"/>
              </w:rPr>
              <w:t>内容</w:t>
            </w:r>
          </w:p>
        </w:tc>
        <w:tc>
          <w:tcPr>
            <w:tcW w:w="2520" w:type="dxa"/>
            <w:noWrap w:val="0"/>
            <w:vAlign w:val="center"/>
          </w:tcPr>
          <w:p>
            <w:pPr>
              <w:pStyle w:val="35"/>
              <w:jc w:val="center"/>
              <w:rPr>
                <w:rFonts w:hint="eastAsia" w:hAnsi="宋体" w:cs="宋体"/>
                <w:b/>
                <w:sz w:val="24"/>
              </w:rPr>
            </w:pPr>
            <w:r>
              <w:rPr>
                <w:rFonts w:hint="eastAsia" w:hAnsi="宋体" w:cs="宋体"/>
                <w:b/>
                <w:sz w:val="24"/>
              </w:rPr>
              <w:t>招标要求</w:t>
            </w:r>
          </w:p>
        </w:tc>
        <w:tc>
          <w:tcPr>
            <w:tcW w:w="2310" w:type="dxa"/>
            <w:noWrap w:val="0"/>
            <w:vAlign w:val="center"/>
          </w:tcPr>
          <w:p>
            <w:pPr>
              <w:pStyle w:val="35"/>
              <w:jc w:val="center"/>
              <w:rPr>
                <w:rFonts w:hint="eastAsia" w:hAnsi="宋体" w:cs="宋体"/>
                <w:b/>
                <w:sz w:val="24"/>
              </w:rPr>
            </w:pPr>
            <w:r>
              <w:rPr>
                <w:rFonts w:hint="eastAsia" w:hAnsi="宋体" w:cs="宋体"/>
                <w:b/>
                <w:sz w:val="24"/>
              </w:rPr>
              <w:t>投标承诺</w:t>
            </w:r>
          </w:p>
        </w:tc>
        <w:tc>
          <w:tcPr>
            <w:tcW w:w="1224" w:type="dxa"/>
            <w:noWrap w:val="0"/>
            <w:vAlign w:val="center"/>
          </w:tcPr>
          <w:p>
            <w:pPr>
              <w:pStyle w:val="35"/>
              <w:jc w:val="center"/>
              <w:rPr>
                <w:rFonts w:hint="eastAsia" w:hAnsi="宋体" w:cs="宋体"/>
                <w:b/>
                <w:sz w:val="24"/>
              </w:rPr>
            </w:pPr>
            <w:r>
              <w:rPr>
                <w:rFonts w:hint="eastAsia" w:hAnsi="宋体" w:cs="宋体"/>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1</w:t>
            </w:r>
          </w:p>
        </w:tc>
        <w:tc>
          <w:tcPr>
            <w:tcW w:w="1470" w:type="dxa"/>
            <w:noWrap w:val="0"/>
            <w:vAlign w:val="center"/>
          </w:tcPr>
          <w:p>
            <w:pPr>
              <w:jc w:val="center"/>
              <w:rPr>
                <w:rFonts w:hint="eastAsia" w:ascii="宋体" w:hAnsi="宋体" w:cs="宋体"/>
                <w:sz w:val="24"/>
              </w:rPr>
            </w:pPr>
            <w:r>
              <w:rPr>
                <w:rFonts w:hint="eastAsia" w:ascii="宋体" w:hAnsi="宋体" w:cs="宋体"/>
                <w:sz w:val="24"/>
              </w:rPr>
              <w:t>供货期</w:t>
            </w: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2</w:t>
            </w:r>
          </w:p>
        </w:tc>
        <w:tc>
          <w:tcPr>
            <w:tcW w:w="1470" w:type="dxa"/>
            <w:noWrap w:val="0"/>
            <w:vAlign w:val="center"/>
          </w:tcPr>
          <w:p>
            <w:pPr>
              <w:rPr>
                <w:rFonts w:hint="eastAsia" w:ascii="宋体" w:hAnsi="宋体" w:cs="宋体"/>
                <w:sz w:val="24"/>
              </w:rPr>
            </w:pPr>
            <w:r>
              <w:rPr>
                <w:rFonts w:hint="eastAsia" w:ascii="宋体" w:hAnsi="宋体" w:cs="宋体"/>
                <w:sz w:val="24"/>
              </w:rPr>
              <w:t>免费质保期</w:t>
            </w: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3</w:t>
            </w:r>
          </w:p>
        </w:tc>
        <w:tc>
          <w:tcPr>
            <w:tcW w:w="1470" w:type="dxa"/>
            <w:noWrap w:val="0"/>
            <w:vAlign w:val="center"/>
          </w:tcPr>
          <w:p>
            <w:pPr>
              <w:jc w:val="center"/>
              <w:rPr>
                <w:rFonts w:hint="eastAsia" w:ascii="宋体" w:hAnsi="宋体" w:cs="宋体"/>
                <w:sz w:val="24"/>
              </w:rPr>
            </w:pPr>
            <w:r>
              <w:rPr>
                <w:rFonts w:hint="eastAsia" w:ascii="宋体" w:hAnsi="宋体" w:cs="宋体"/>
                <w:sz w:val="24"/>
              </w:rPr>
              <w:t>付款响应</w:t>
            </w: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4</w:t>
            </w:r>
          </w:p>
        </w:tc>
        <w:tc>
          <w:tcPr>
            <w:tcW w:w="1470" w:type="dxa"/>
            <w:noWrap w:val="0"/>
            <w:vAlign w:val="center"/>
          </w:tcPr>
          <w:p>
            <w:pPr>
              <w:jc w:val="center"/>
              <w:rPr>
                <w:rFonts w:hint="eastAsia" w:ascii="宋体" w:hAnsi="宋体" w:cs="宋体"/>
                <w:sz w:val="24"/>
              </w:rPr>
            </w:pPr>
            <w:r>
              <w:rPr>
                <w:rFonts w:hint="eastAsia" w:ascii="宋体" w:hAnsi="宋体" w:cs="宋体"/>
                <w:sz w:val="24"/>
              </w:rPr>
              <w:t>业绩</w:t>
            </w: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4" w:hRule="atLeast"/>
        </w:trPr>
        <w:tc>
          <w:tcPr>
            <w:tcW w:w="840" w:type="dxa"/>
            <w:noWrap w:val="0"/>
            <w:vAlign w:val="center"/>
          </w:tcPr>
          <w:p>
            <w:pPr>
              <w:jc w:val="center"/>
              <w:rPr>
                <w:rFonts w:hint="eastAsia" w:ascii="宋体" w:hAnsi="宋体" w:cs="宋体"/>
                <w:sz w:val="24"/>
              </w:rPr>
            </w:pPr>
            <w:r>
              <w:rPr>
                <w:rFonts w:hint="eastAsia" w:ascii="宋体" w:hAnsi="宋体" w:cs="宋体"/>
                <w:sz w:val="24"/>
              </w:rPr>
              <w:t>5</w:t>
            </w:r>
          </w:p>
        </w:tc>
        <w:tc>
          <w:tcPr>
            <w:tcW w:w="1470" w:type="dxa"/>
            <w:noWrap w:val="0"/>
            <w:vAlign w:val="center"/>
          </w:tcPr>
          <w:p>
            <w:pPr>
              <w:jc w:val="center"/>
              <w:rPr>
                <w:rFonts w:hint="eastAsia" w:ascii="宋体" w:hAnsi="宋体" w:cs="宋体"/>
                <w:sz w:val="24"/>
              </w:rPr>
            </w:pPr>
            <w:r>
              <w:rPr>
                <w:rFonts w:hint="eastAsia" w:ascii="宋体" w:hAnsi="宋体" w:cs="宋体"/>
                <w:sz w:val="24"/>
              </w:rPr>
              <w:t>其他</w:t>
            </w:r>
          </w:p>
        </w:tc>
        <w:tc>
          <w:tcPr>
            <w:tcW w:w="2520" w:type="dxa"/>
            <w:noWrap w:val="0"/>
            <w:vAlign w:val="top"/>
          </w:tcPr>
          <w:p>
            <w:pPr>
              <w:rPr>
                <w:rFonts w:hint="eastAsia" w:ascii="宋体" w:hAnsi="宋体" w:cs="宋体"/>
                <w:sz w:val="24"/>
              </w:rPr>
            </w:pPr>
          </w:p>
        </w:tc>
        <w:tc>
          <w:tcPr>
            <w:tcW w:w="2310" w:type="dxa"/>
            <w:noWrap w:val="0"/>
            <w:vAlign w:val="top"/>
          </w:tcPr>
          <w:p>
            <w:pPr>
              <w:rPr>
                <w:rFonts w:hint="eastAsia" w:ascii="宋体" w:hAnsi="宋体" w:cs="宋体"/>
                <w:sz w:val="24"/>
              </w:rPr>
            </w:pPr>
          </w:p>
        </w:tc>
        <w:tc>
          <w:tcPr>
            <w:tcW w:w="1224" w:type="dxa"/>
            <w:noWrap w:val="0"/>
            <w:vAlign w:val="top"/>
          </w:tcPr>
          <w:p>
            <w:pPr>
              <w:rPr>
                <w:rFonts w:hint="eastAsia" w:ascii="宋体" w:hAnsi="宋体" w:cs="宋体"/>
                <w:sz w:val="24"/>
              </w:rPr>
            </w:pPr>
          </w:p>
        </w:tc>
      </w:tr>
    </w:tbl>
    <w:p>
      <w:pPr>
        <w:spacing w:line="380" w:lineRule="exact"/>
        <w:jc w:val="left"/>
        <w:rPr>
          <w:rFonts w:hint="eastAsia" w:ascii="宋体" w:hAnsi="宋体" w:cs="宋体"/>
          <w:sz w:val="24"/>
        </w:rPr>
      </w:pPr>
      <w:r>
        <w:rPr>
          <w:rFonts w:hint="eastAsia" w:ascii="宋体" w:hAnsi="宋体" w:cs="宋体"/>
          <w:sz w:val="24"/>
        </w:rPr>
        <w:t>供应商名称：（电子公章）</w:t>
      </w:r>
    </w:p>
    <w:p>
      <w:pPr>
        <w:spacing w:line="380" w:lineRule="exact"/>
        <w:ind w:right="640" w:firstLine="1560" w:firstLineChars="650"/>
        <w:jc w:val="left"/>
        <w:rPr>
          <w:rFonts w:hint="eastAsia" w:ascii="宋体" w:hAnsi="宋体" w:cs="宋体"/>
          <w:sz w:val="24"/>
        </w:rPr>
      </w:pPr>
    </w:p>
    <w:p>
      <w:pPr>
        <w:spacing w:line="380" w:lineRule="exact"/>
        <w:ind w:right="640"/>
        <w:jc w:val="left"/>
        <w:rPr>
          <w:rFonts w:hint="eastAsia" w:ascii="宋体" w:hAnsi="宋体" w:cs="宋体"/>
          <w:sz w:val="24"/>
        </w:rPr>
      </w:pPr>
      <w:r>
        <w:rPr>
          <w:rFonts w:hint="eastAsia" w:ascii="宋体" w:hAnsi="宋体" w:cs="宋体"/>
          <w:sz w:val="24"/>
        </w:rPr>
        <w:t>法人代表：（签字）</w:t>
      </w:r>
    </w:p>
    <w:p>
      <w:pPr>
        <w:jc w:val="right"/>
        <w:rPr>
          <w:rFonts w:hint="eastAsia" w:ascii="宋体" w:hAnsi="宋体" w:cs="宋体"/>
          <w:sz w:val="24"/>
        </w:rPr>
      </w:pPr>
      <w:r>
        <w:rPr>
          <w:rFonts w:hint="eastAsia" w:ascii="宋体" w:hAnsi="宋体" w:cs="宋体"/>
          <w:sz w:val="24"/>
        </w:rPr>
        <w:t xml:space="preserve">               日期：      年   月    日</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备注：</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1、投标人必须逐项对应描述投标服务要求，如不进行描述，仅在响应栏填“响应”或未填写的，将可能导致投标无效；</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2、投标人所投服务如与招标文件要求不一致，则须在上表偏离说明中详细注明。</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3、响应部分可后附详细说明及技术资料，并应注明投标文件中对应的页码范围。</w:t>
      </w: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autoSpaceDE w:val="0"/>
        <w:autoSpaceDN w:val="0"/>
        <w:ind w:left="739" w:leftChars="352" w:firstLine="643" w:firstLineChars="200"/>
        <w:jc w:val="left"/>
        <w:outlineLvl w:val="1"/>
        <w:rPr>
          <w:rFonts w:ascii="宋体" w:hAnsi="宋体" w:cs="宋体"/>
          <w:b/>
          <w:bCs/>
          <w:kern w:val="0"/>
          <w:sz w:val="32"/>
          <w:szCs w:val="32"/>
          <w:lang w:val="zh-CN" w:bidi="zh-CN"/>
        </w:rPr>
      </w:pPr>
      <w:r>
        <w:rPr>
          <w:rFonts w:hint="eastAsia" w:ascii="宋体" w:hAnsi="宋体" w:cs="宋体"/>
          <w:b/>
          <w:bCs/>
          <w:kern w:val="0"/>
          <w:sz w:val="32"/>
          <w:szCs w:val="32"/>
          <w:lang w:val="zh-CN" w:bidi="zh-CN"/>
        </w:rPr>
        <w:t>（一包</w:t>
      </w:r>
      <w:r>
        <w:rPr>
          <w:rFonts w:ascii="宋体" w:hAnsi="宋体" w:cs="宋体"/>
          <w:b/>
          <w:bCs/>
          <w:kern w:val="0"/>
          <w:sz w:val="32"/>
          <w:szCs w:val="32"/>
          <w:lang w:val="zh-CN" w:bidi="zh-CN"/>
        </w:rPr>
        <w:t>）</w:t>
      </w:r>
      <w:r>
        <w:rPr>
          <w:rFonts w:hint="eastAsia" w:ascii="宋体" w:hAnsi="宋体" w:cs="宋体"/>
          <w:b/>
          <w:bCs/>
          <w:kern w:val="0"/>
          <w:sz w:val="32"/>
          <w:szCs w:val="32"/>
          <w:lang w:val="zh-CN" w:bidi="zh-CN"/>
        </w:rPr>
        <w:t>县（区、市）使用服务费报价表</w:t>
      </w:r>
    </w:p>
    <w:p>
      <w:pPr>
        <w:autoSpaceDE w:val="0"/>
        <w:autoSpaceDN w:val="0"/>
        <w:spacing w:line="312" w:lineRule="auto"/>
        <w:jc w:val="right"/>
        <w:rPr>
          <w:rFonts w:ascii="宋体" w:hAnsi="宋体" w:cs="宋体"/>
          <w:b/>
          <w:kern w:val="0"/>
          <w:szCs w:val="21"/>
          <w:lang w:val="zh-CN" w:bidi="zh-CN"/>
        </w:rPr>
      </w:pPr>
      <w:r>
        <w:rPr>
          <w:rFonts w:hint="eastAsia" w:ascii="宋体" w:hAnsi="宋体" w:cs="宋体"/>
          <w:b/>
          <w:kern w:val="0"/>
          <w:szCs w:val="21"/>
          <w:lang w:val="zh-CN" w:bidi="zh-CN"/>
        </w:rPr>
        <w:t>单位：元/年</w:t>
      </w:r>
    </w:p>
    <w:tbl>
      <w:tblPr>
        <w:tblStyle w:val="7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54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71" w:type="dxa"/>
            <w:noWrap/>
            <w:vAlign w:val="center"/>
          </w:tcPr>
          <w:p>
            <w:pPr>
              <w:autoSpaceDE w:val="0"/>
              <w:autoSpaceDN w:val="0"/>
              <w:jc w:val="center"/>
              <w:rPr>
                <w:rFonts w:ascii="宋体" w:hAnsi="宋体" w:cs="宋体"/>
                <w:kern w:val="0"/>
                <w:szCs w:val="21"/>
                <w:lang w:val="zh-CN" w:bidi="zh-CN"/>
              </w:rPr>
            </w:pPr>
            <w:r>
              <w:rPr>
                <w:rFonts w:hint="eastAsia" w:ascii="宋体" w:hAnsi="宋体" w:cs="宋体"/>
                <w:kern w:val="0"/>
                <w:szCs w:val="21"/>
                <w:lang w:val="zh-CN" w:bidi="zh-CN"/>
              </w:rPr>
              <w:t>序号</w:t>
            </w:r>
          </w:p>
        </w:tc>
        <w:tc>
          <w:tcPr>
            <w:tcW w:w="3544" w:type="dxa"/>
            <w:noWrap/>
            <w:vAlign w:val="center"/>
          </w:tcPr>
          <w:p>
            <w:pPr>
              <w:autoSpaceDE w:val="0"/>
              <w:autoSpaceDN w:val="0"/>
              <w:jc w:val="center"/>
              <w:rPr>
                <w:rFonts w:ascii="宋体" w:hAnsi="宋体" w:cs="宋体"/>
                <w:kern w:val="0"/>
                <w:szCs w:val="21"/>
                <w:lang w:val="zh-CN" w:bidi="zh-CN"/>
              </w:rPr>
            </w:pPr>
            <w:r>
              <w:rPr>
                <w:rFonts w:hint="eastAsia" w:ascii="宋体" w:hAnsi="宋体" w:cs="宋体"/>
                <w:kern w:val="0"/>
                <w:szCs w:val="21"/>
                <w:lang w:val="zh-CN" w:bidi="zh-CN"/>
              </w:rPr>
              <w:t>内容</w:t>
            </w:r>
          </w:p>
        </w:tc>
        <w:tc>
          <w:tcPr>
            <w:tcW w:w="4536" w:type="dxa"/>
            <w:noWrap/>
            <w:vAlign w:val="center"/>
          </w:tcPr>
          <w:p>
            <w:pPr>
              <w:autoSpaceDE w:val="0"/>
              <w:autoSpaceDN w:val="0"/>
              <w:jc w:val="center"/>
              <w:rPr>
                <w:rFonts w:ascii="宋体" w:hAnsi="宋体" w:cs="宋体"/>
                <w:kern w:val="0"/>
                <w:szCs w:val="21"/>
                <w:lang w:val="zh-CN" w:bidi="zh-CN"/>
              </w:rPr>
            </w:pPr>
            <w:r>
              <w:rPr>
                <w:rFonts w:hint="eastAsia" w:ascii="宋体" w:hAnsi="宋体" w:cs="宋体"/>
                <w:kern w:val="0"/>
                <w:szCs w:val="21"/>
                <w:lang w:val="zh-CN" w:bidi="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71" w:type="dxa"/>
            <w:noWrap/>
            <w:vAlign w:val="center"/>
          </w:tcPr>
          <w:p>
            <w:pPr>
              <w:autoSpaceDE w:val="0"/>
              <w:autoSpaceDN w:val="0"/>
              <w:jc w:val="center"/>
              <w:rPr>
                <w:rFonts w:ascii="宋体" w:hAnsi="宋体" w:cs="宋体"/>
                <w:kern w:val="0"/>
                <w:sz w:val="22"/>
                <w:szCs w:val="21"/>
                <w:lang w:val="zh-CN" w:bidi="zh-CN"/>
              </w:rPr>
            </w:pPr>
            <w:r>
              <w:rPr>
                <w:rFonts w:hint="eastAsia" w:ascii="宋体" w:hAnsi="宋体" w:cs="宋体"/>
                <w:kern w:val="0"/>
                <w:sz w:val="22"/>
                <w:szCs w:val="21"/>
                <w:lang w:val="zh-CN" w:bidi="zh-CN"/>
              </w:rPr>
              <w:t>1</w:t>
            </w:r>
          </w:p>
        </w:tc>
        <w:tc>
          <w:tcPr>
            <w:tcW w:w="3544" w:type="dxa"/>
            <w:noWrap/>
            <w:vAlign w:val="center"/>
          </w:tcPr>
          <w:p>
            <w:pPr>
              <w:autoSpaceDE w:val="0"/>
              <w:autoSpaceDN w:val="0"/>
              <w:jc w:val="center"/>
              <w:rPr>
                <w:rFonts w:ascii="宋体" w:hAnsi="宋体" w:cs="宋体"/>
                <w:kern w:val="0"/>
                <w:sz w:val="22"/>
                <w:szCs w:val="21"/>
                <w:lang w:val="zh-CN" w:bidi="zh-CN"/>
              </w:rPr>
            </w:pPr>
            <w:r>
              <w:rPr>
                <w:rFonts w:hint="eastAsia" w:ascii="宋体" w:hAnsi="宋体" w:cs="宋体"/>
                <w:kern w:val="0"/>
                <w:sz w:val="22"/>
                <w:szCs w:val="21"/>
                <w:lang w:val="zh-CN" w:bidi="zh-CN"/>
              </w:rPr>
              <w:t>县（区、市）使用服务费</w:t>
            </w:r>
          </w:p>
        </w:tc>
        <w:tc>
          <w:tcPr>
            <w:tcW w:w="4536" w:type="dxa"/>
            <w:noWrap/>
            <w:vAlign w:val="center"/>
          </w:tcPr>
          <w:p>
            <w:pPr>
              <w:autoSpaceDE w:val="0"/>
              <w:autoSpaceDN w:val="0"/>
              <w:jc w:val="center"/>
              <w:rPr>
                <w:rFonts w:ascii="宋体" w:hAnsi="宋体" w:cs="宋体"/>
                <w:kern w:val="0"/>
                <w:sz w:val="22"/>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351" w:type="dxa"/>
            <w:gridSpan w:val="3"/>
            <w:noWrap/>
            <w:vAlign w:val="center"/>
          </w:tcPr>
          <w:p>
            <w:pPr>
              <w:autoSpaceDE w:val="0"/>
              <w:autoSpaceDN w:val="0"/>
              <w:jc w:val="left"/>
              <w:rPr>
                <w:rFonts w:ascii="宋体" w:hAnsi="宋体" w:cs="宋体"/>
                <w:kern w:val="0"/>
                <w:sz w:val="22"/>
                <w:szCs w:val="21"/>
                <w:lang w:val="zh-CN" w:bidi="zh-CN"/>
              </w:rPr>
            </w:pPr>
            <w:r>
              <w:rPr>
                <w:rFonts w:hint="eastAsia" w:ascii="宋体" w:hAnsi="宋体" w:cs="宋体"/>
                <w:kern w:val="0"/>
                <w:sz w:val="22"/>
                <w:szCs w:val="22"/>
                <w:lang w:val="zh-CN" w:bidi="zh-CN"/>
              </w:rPr>
              <w:t>注：此项报价不含在本项目预算内，不计入评分，只作为县（区、市）授权开通市局系统使用权限的使用服务费标准。</w:t>
            </w:r>
          </w:p>
        </w:tc>
      </w:tr>
    </w:tbl>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
        <w:rPr>
          <w:rFonts w:hint="eastAsia" w:hAnsi="宋体" w:cs="宋体"/>
          <w:sz w:val="28"/>
          <w:szCs w:val="36"/>
        </w:rPr>
      </w:pPr>
      <w:bookmarkStart w:id="181" w:name="_Hlt509738950"/>
      <w:bookmarkEnd w:id="181"/>
      <w:bookmarkStart w:id="182" w:name="_Toc19673"/>
      <w:bookmarkStart w:id="183" w:name="_Toc2238_WPSOffice_Level2"/>
      <w:bookmarkStart w:id="184" w:name="_Toc220232400"/>
      <w:bookmarkStart w:id="185" w:name="_Toc1906"/>
      <w:bookmarkStart w:id="186" w:name="_Toc40975454"/>
      <w:bookmarkStart w:id="187" w:name="_Toc28604"/>
      <w:r>
        <w:rPr>
          <w:rFonts w:hint="eastAsia" w:hAnsi="宋体" w:cs="宋体"/>
          <w:sz w:val="28"/>
        </w:rPr>
        <w:t>六．服务质量承诺</w:t>
      </w:r>
      <w:bookmarkEnd w:id="182"/>
      <w:bookmarkEnd w:id="183"/>
      <w:bookmarkEnd w:id="184"/>
      <w:bookmarkEnd w:id="185"/>
      <w:bookmarkEnd w:id="186"/>
      <w:bookmarkEnd w:id="187"/>
    </w:p>
    <w:p>
      <w:pPr>
        <w:spacing w:before="48" w:beforeLines="20" w:after="48" w:afterLines="20" w:line="360" w:lineRule="auto"/>
        <w:ind w:firstLine="480" w:firstLineChars="200"/>
        <w:jc w:val="center"/>
        <w:rPr>
          <w:rFonts w:hint="eastAsia" w:ascii="宋体" w:hAnsi="宋体" w:cs="宋体"/>
          <w:sz w:val="24"/>
        </w:rPr>
      </w:pPr>
      <w:r>
        <w:rPr>
          <w:rFonts w:hint="eastAsia" w:ascii="宋体" w:hAnsi="宋体" w:cs="宋体"/>
          <w:sz w:val="24"/>
        </w:rPr>
        <w:t>(投标人可自行制作格式)</w:t>
      </w:r>
    </w:p>
    <w:p>
      <w:pPr>
        <w:spacing w:before="48" w:beforeLines="20" w:after="48" w:afterLines="20" w:line="360" w:lineRule="auto"/>
        <w:rPr>
          <w:rFonts w:hint="eastAsia" w:ascii="宋体" w:hAnsi="宋体" w:cs="宋体"/>
          <w:sz w:val="28"/>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
        <w:rPr>
          <w:rFonts w:hint="eastAsia" w:hAnsi="宋体" w:cs="宋体"/>
          <w:sz w:val="28"/>
          <w:szCs w:val="36"/>
        </w:rPr>
      </w:pPr>
      <w:bookmarkStart w:id="188" w:name="_Toc40975456"/>
      <w:bookmarkStart w:id="189" w:name="_Toc220232402"/>
      <w:bookmarkStart w:id="190" w:name="_Toc516969105"/>
      <w:bookmarkStart w:id="191" w:name="_Toc5312_WPSOffice_Level2"/>
      <w:bookmarkStart w:id="192" w:name="_Toc8310"/>
      <w:bookmarkStart w:id="193" w:name="_Toc25061"/>
      <w:bookmarkStart w:id="194" w:name="_Toc235"/>
      <w:r>
        <w:rPr>
          <w:rFonts w:hint="eastAsia" w:hAnsi="宋体" w:cs="宋体"/>
          <w:sz w:val="28"/>
        </w:rPr>
        <w:t>七．有关证明文件</w:t>
      </w:r>
      <w:bookmarkEnd w:id="188"/>
      <w:bookmarkEnd w:id="189"/>
      <w:bookmarkEnd w:id="190"/>
      <w:bookmarkEnd w:id="191"/>
      <w:bookmarkEnd w:id="192"/>
      <w:bookmarkEnd w:id="193"/>
      <w:bookmarkEnd w:id="194"/>
    </w:p>
    <w:p>
      <w:pPr>
        <w:tabs>
          <w:tab w:val="left" w:pos="4620"/>
        </w:tabs>
        <w:spacing w:line="360" w:lineRule="auto"/>
        <w:ind w:firstLine="480" w:firstLineChars="200"/>
        <w:rPr>
          <w:rFonts w:hint="eastAsia" w:ascii="宋体" w:hAnsi="宋体" w:cs="宋体"/>
          <w:sz w:val="24"/>
        </w:rPr>
      </w:pPr>
      <w:r>
        <w:rPr>
          <w:rFonts w:hint="eastAsia" w:ascii="宋体" w:hAnsi="宋体" w:cs="宋体"/>
          <w:sz w:val="24"/>
        </w:rPr>
        <w:t>提供符合投标邀请（招标公告）、需求一览表及评标办法规定的相关证明文件。</w:t>
      </w: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tabs>
          <w:tab w:val="left" w:pos="4620"/>
        </w:tabs>
        <w:spacing w:line="360" w:lineRule="auto"/>
        <w:ind w:firstLine="480" w:firstLineChars="200"/>
        <w:rPr>
          <w:rFonts w:hint="eastAsia" w:ascii="宋体" w:hAnsi="宋体" w:cs="宋体"/>
          <w:sz w:val="24"/>
        </w:rPr>
      </w:pPr>
    </w:p>
    <w:p>
      <w:pPr>
        <w:numPr>
          <w:ilvl w:val="0"/>
          <w:numId w:val="21"/>
        </w:numPr>
        <w:spacing w:line="360" w:lineRule="auto"/>
        <w:jc w:val="center"/>
        <w:rPr>
          <w:rFonts w:hint="eastAsia"/>
          <w:b/>
          <w:bCs/>
          <w:sz w:val="28"/>
          <w:szCs w:val="28"/>
        </w:rPr>
      </w:pPr>
      <w:r>
        <w:rPr>
          <w:rFonts w:hint="eastAsia"/>
          <w:b/>
          <w:bCs/>
          <w:sz w:val="28"/>
          <w:szCs w:val="28"/>
        </w:rPr>
        <w:t>中小企业声明函（工程、服务）</w:t>
      </w:r>
    </w:p>
    <w:p>
      <w:pPr>
        <w:spacing w:line="360" w:lineRule="auto"/>
        <w:rPr>
          <w:rFonts w:hint="eastAsia"/>
          <w:b/>
          <w:bCs/>
          <w:sz w:val="32"/>
          <w:szCs w:val="32"/>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w:t>
      </w:r>
      <w:r>
        <w:rPr>
          <w:rFonts w:hint="eastAsia" w:ascii="宋体" w:hAnsi="宋体" w:cs="宋体"/>
          <w:sz w:val="24"/>
          <w:szCs w:val="24"/>
          <w:u w:val="single"/>
        </w:rPr>
        <w:t>（或者：服务全部由符合政策要求的中小企业承接）</w:t>
      </w:r>
      <w:r>
        <w:rPr>
          <w:rFonts w:hint="eastAsia" w:ascii="宋体" w:hAnsi="宋体" w:cs="宋体"/>
          <w:sz w:val="24"/>
          <w:szCs w:val="24"/>
        </w:rPr>
        <w:t>。相关企业</w:t>
      </w:r>
      <w:r>
        <w:rPr>
          <w:rFonts w:hint="eastAsia" w:ascii="宋体" w:hAnsi="宋体" w:cs="宋体"/>
          <w:sz w:val="24"/>
          <w:szCs w:val="24"/>
          <w:u w:val="single"/>
        </w:rPr>
        <w:t>（含联合 体中的中小企业、签订分包意向协议的中小企业）</w:t>
      </w:r>
      <w:r>
        <w:rPr>
          <w:rFonts w:hint="eastAsia" w:ascii="宋体" w:hAnsi="宋体" w:cs="宋体"/>
          <w:sz w:val="24"/>
          <w:szCs w:val="24"/>
        </w:rPr>
        <w:t>的具体情 况如下：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承建（承接）企业为（企业名称），从业人员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万元，属于（中型企业、小型企业、微型企业）；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以上企业，不属于大企业的分支机构，不存在控股股东 为大企业的情形，也不存在与大企业的负责人为同一人的情形。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pPr>
        <w:spacing w:line="360" w:lineRule="auto"/>
        <w:ind w:firstLine="3600" w:firstLineChars="1500"/>
        <w:rPr>
          <w:rFonts w:hint="eastAsia" w:ascii="宋体" w:hAnsi="宋体" w:cs="宋体"/>
          <w:sz w:val="24"/>
          <w:szCs w:val="24"/>
        </w:rPr>
      </w:pPr>
      <w:r>
        <w:rPr>
          <w:rFonts w:hint="eastAsia" w:ascii="宋体" w:hAnsi="宋体" w:cs="宋体"/>
          <w:sz w:val="24"/>
          <w:szCs w:val="24"/>
        </w:rPr>
        <w:t xml:space="preserve">企业名称（盖章）： </w:t>
      </w:r>
    </w:p>
    <w:p>
      <w:pPr>
        <w:spacing w:line="360" w:lineRule="auto"/>
        <w:ind w:firstLine="4800" w:firstLineChars="2000"/>
        <w:rPr>
          <w:rFonts w:hint="eastAsia" w:ascii="宋体" w:hAnsi="宋体" w:cs="宋体"/>
          <w:sz w:val="24"/>
          <w:szCs w:val="24"/>
        </w:rPr>
      </w:pPr>
      <w:r>
        <w:rPr>
          <w:rFonts w:hint="eastAsia" w:ascii="宋体" w:hAnsi="宋体" w:cs="宋体"/>
          <w:sz w:val="24"/>
          <w:szCs w:val="24"/>
        </w:rPr>
        <w:t xml:space="preserve">日 期： </w:t>
      </w:r>
    </w:p>
    <w:p>
      <w:pPr>
        <w:pStyle w:val="114"/>
        <w:rPr>
          <w:rFonts w:hint="eastAsia" w:ascii="宋体" w:hAnsi="宋体" w:cs="宋体"/>
          <w:sz w:val="24"/>
          <w:szCs w:val="24"/>
        </w:rPr>
      </w:pPr>
    </w:p>
    <w:p>
      <w:pPr>
        <w:pStyle w:val="17"/>
        <w:rPr>
          <w:rFonts w:hint="eastAsia" w:ascii="宋体" w:hAnsi="宋体" w:eastAsia="宋体" w:cs="宋体"/>
          <w:sz w:val="24"/>
          <w:szCs w:val="24"/>
        </w:rPr>
      </w:pPr>
    </w:p>
    <w:p>
      <w:pPr>
        <w:rPr>
          <w:rFonts w:hint="eastAsia" w:ascii="宋体" w:hAnsi="宋体" w:cs="宋体"/>
          <w:sz w:val="24"/>
          <w:szCs w:val="24"/>
        </w:rPr>
      </w:pPr>
    </w:p>
    <w:p>
      <w:pPr>
        <w:pStyle w:val="114"/>
        <w:rPr>
          <w:rFonts w:hint="eastAsia" w:ascii="宋体" w:hAnsi="宋体" w:cs="宋体"/>
          <w:sz w:val="24"/>
          <w:szCs w:val="24"/>
        </w:rPr>
      </w:pPr>
    </w:p>
    <w:p>
      <w:pPr>
        <w:pStyle w:val="17"/>
        <w:rPr>
          <w:rFonts w:hint="eastAsia"/>
        </w:rPr>
      </w:pPr>
    </w:p>
    <w:p>
      <w:pPr>
        <w:spacing w:line="360" w:lineRule="auto"/>
        <w:ind w:firstLine="420" w:firstLineChars="200"/>
        <w:rPr>
          <w:rFonts w:hint="eastAsia"/>
        </w:rPr>
      </w:pPr>
      <w:r>
        <w:rPr>
          <w:rFonts w:hint="eastAsia"/>
        </w:rPr>
        <w:t>注：1.从业人员、营业收入、资产总额填报上一年度数据，无上一年度数据的新成立企业可不填报。</w:t>
      </w:r>
    </w:p>
    <w:p>
      <w:pPr>
        <w:spacing w:line="360" w:lineRule="auto"/>
        <w:ind w:firstLine="420" w:firstLineChars="200"/>
      </w:pPr>
      <w:r>
        <w:rPr>
          <w:rFonts w:hint="eastAsia"/>
        </w:rPr>
        <w:t>2.本项目如是只面向中小企业采购的应当必须提供。</w:t>
      </w:r>
    </w:p>
    <w:p>
      <w:pPr>
        <w:spacing w:line="360" w:lineRule="auto"/>
        <w:rPr>
          <w:rFonts w:ascii="宋体" w:hAnsi="宋体" w:cs="宋体"/>
          <w:sz w:val="24"/>
          <w:szCs w:val="28"/>
        </w:rPr>
      </w:pPr>
    </w:p>
    <w:p>
      <w:pPr>
        <w:rPr>
          <w:rFonts w:hint="eastAsia" w:ascii="宋体" w:hAnsi="宋体" w:cs="宋体"/>
          <w:sz w:val="28"/>
          <w:szCs w:val="28"/>
        </w:rPr>
      </w:pPr>
    </w:p>
    <w:p>
      <w:pPr>
        <w:rPr>
          <w:rFonts w:hint="eastAsia" w:ascii="宋体" w:hAnsi="宋体" w:cs="宋体"/>
          <w:sz w:val="28"/>
          <w:szCs w:val="28"/>
        </w:rPr>
      </w:pPr>
      <w:bookmarkStart w:id="195" w:name="_Toc220232403"/>
    </w:p>
    <w:p>
      <w:pPr>
        <w:rPr>
          <w:rFonts w:hint="eastAsia" w:ascii="宋体" w:hAnsi="宋体" w:cs="宋体"/>
          <w:sz w:val="28"/>
          <w:szCs w:val="28"/>
        </w:rPr>
      </w:pPr>
    </w:p>
    <w:bookmarkEnd w:id="195"/>
    <w:p>
      <w:pPr>
        <w:pStyle w:val="5"/>
        <w:jc w:val="both"/>
        <w:rPr>
          <w:rFonts w:hint="eastAsia" w:hAnsi="宋体" w:cs="宋体"/>
          <w:sz w:val="36"/>
          <w:szCs w:val="36"/>
        </w:rPr>
      </w:pPr>
      <w:bookmarkStart w:id="196" w:name="_Hlt526418111"/>
      <w:bookmarkEnd w:id="196"/>
      <w:bookmarkStart w:id="197" w:name="_Hlt526418103"/>
      <w:bookmarkEnd w:id="197"/>
      <w:bookmarkStart w:id="198" w:name="_Toc516969110"/>
      <w:bookmarkStart w:id="199" w:name="_Toc2532_WPSOffice_Level2"/>
      <w:bookmarkStart w:id="200" w:name="_Toc220232405"/>
      <w:r>
        <w:rPr>
          <w:rFonts w:hint="eastAsia" w:hAnsi="宋体" w:cs="宋体"/>
          <w:sz w:val="28"/>
        </w:rPr>
        <w:br w:type="page"/>
      </w:r>
      <w:bookmarkStart w:id="201" w:name="_Toc10948"/>
      <w:bookmarkStart w:id="202" w:name="_Toc2639"/>
      <w:bookmarkStart w:id="203" w:name="_Toc40975458"/>
      <w:bookmarkStart w:id="204" w:name="_Toc3638"/>
      <w:r>
        <w:rPr>
          <w:rFonts w:hint="eastAsia" w:hAnsi="宋体" w:cs="宋体"/>
          <w:sz w:val="28"/>
        </w:rPr>
        <w:t>九．售后服务</w:t>
      </w:r>
      <w:bookmarkEnd w:id="198"/>
      <w:bookmarkEnd w:id="199"/>
      <w:bookmarkEnd w:id="200"/>
      <w:bookmarkEnd w:id="201"/>
      <w:bookmarkEnd w:id="202"/>
      <w:bookmarkEnd w:id="203"/>
      <w:bookmarkEnd w:id="204"/>
    </w:p>
    <w:p>
      <w:pPr>
        <w:jc w:val="center"/>
        <w:rPr>
          <w:rFonts w:hint="eastAsia" w:ascii="宋体" w:hAnsi="宋体" w:cs="宋体"/>
          <w:sz w:val="28"/>
        </w:rPr>
      </w:pPr>
      <w:r>
        <w:rPr>
          <w:rFonts w:hint="eastAsia" w:ascii="宋体" w:hAnsi="宋体" w:cs="宋体"/>
          <w:sz w:val="24"/>
        </w:rPr>
        <w:t>(投标人可自行制作格式)</w:t>
      </w:r>
    </w:p>
    <w:p>
      <w:pPr>
        <w:spacing w:line="500" w:lineRule="exact"/>
        <w:jc w:val="center"/>
        <w:rPr>
          <w:rFonts w:hint="eastAsia" w:ascii="宋体" w:hAnsi="宋体" w:cs="宋体"/>
          <w:b/>
          <w:bCs/>
          <w:sz w:val="30"/>
        </w:rPr>
      </w:pPr>
      <w:bookmarkStart w:id="205" w:name="_Hlt526418107"/>
      <w:bookmarkEnd w:id="205"/>
    </w:p>
    <w:p>
      <w:pPr>
        <w:pStyle w:val="5"/>
        <w:rPr>
          <w:rFonts w:hint="eastAsia" w:hAnsi="宋体" w:cs="宋体"/>
          <w:sz w:val="44"/>
        </w:rPr>
      </w:pPr>
      <w:bookmarkStart w:id="206" w:name="_Toc516969111"/>
      <w:bookmarkStart w:id="207" w:name="_Toc30338_WPSOffice_Level2"/>
      <w:bookmarkStart w:id="208" w:name="_Toc40975459"/>
      <w:bookmarkStart w:id="209" w:name="_Toc10813"/>
      <w:bookmarkStart w:id="210" w:name="_Toc27099"/>
      <w:bookmarkStart w:id="211" w:name="_Toc359404312"/>
      <w:bookmarkStart w:id="212" w:name="_Hlt509738384"/>
      <w:bookmarkStart w:id="213" w:name="_Toc197934560"/>
      <w:bookmarkStart w:id="214" w:name="_Toc26966"/>
      <w:r>
        <w:rPr>
          <w:rFonts w:hint="eastAsia" w:hAnsi="宋体" w:cs="宋体"/>
          <w:sz w:val="28"/>
        </w:rPr>
        <w:t>十、所投服务的技术资料等</w:t>
      </w:r>
      <w:bookmarkEnd w:id="206"/>
      <w:bookmarkEnd w:id="207"/>
      <w:bookmarkEnd w:id="208"/>
      <w:bookmarkEnd w:id="209"/>
      <w:bookmarkEnd w:id="210"/>
      <w:bookmarkEnd w:id="211"/>
      <w:bookmarkEnd w:id="212"/>
      <w:bookmarkEnd w:id="213"/>
      <w:bookmarkEnd w:id="214"/>
      <w:bookmarkStart w:id="215" w:name="_Hlt509650291"/>
      <w:bookmarkEnd w:id="215"/>
    </w:p>
    <w:p>
      <w:pPr>
        <w:jc w:val="center"/>
        <w:rPr>
          <w:rFonts w:hint="eastAsia" w:ascii="宋体" w:hAnsi="宋体" w:cs="宋体"/>
          <w:sz w:val="24"/>
        </w:rPr>
      </w:pPr>
      <w:r>
        <w:rPr>
          <w:rFonts w:hint="eastAsia" w:ascii="宋体" w:hAnsi="宋体" w:cs="宋体"/>
          <w:sz w:val="24"/>
        </w:rPr>
        <w:t>（投标人可自行制作格式，可附产品技术彩页）</w:t>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5"/>
        <w:rPr>
          <w:rFonts w:hint="eastAsia" w:hAnsi="宋体" w:cs="宋体"/>
          <w:sz w:val="28"/>
        </w:rPr>
      </w:pPr>
      <w:bookmarkStart w:id="216" w:name="_Toc1814"/>
      <w:bookmarkStart w:id="217" w:name="_Toc17042"/>
      <w:bookmarkStart w:id="218" w:name="_Toc10283"/>
      <w:r>
        <w:rPr>
          <w:rFonts w:hint="eastAsia" w:hAnsi="宋体" w:cs="宋体"/>
          <w:sz w:val="28"/>
        </w:rPr>
        <w:t>十一、其他投标人认为需要提供得材料等</w:t>
      </w:r>
      <w:bookmarkEnd w:id="216"/>
      <w:bookmarkEnd w:id="217"/>
      <w:bookmarkEnd w:id="218"/>
    </w:p>
    <w:p>
      <w:pPr>
        <w:pStyle w:val="5"/>
        <w:rPr>
          <w:rFonts w:hint="eastAsia" w:hAnsi="宋体" w:cs="宋体"/>
          <w:sz w:val="28"/>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pStyle w:val="50"/>
        <w:rPr>
          <w:rFonts w:hint="eastAsia" w:ascii="宋体" w:hAnsi="宋体" w:cs="宋体"/>
        </w:rPr>
      </w:pPr>
    </w:p>
    <w:p>
      <w:pPr>
        <w:pStyle w:val="50"/>
        <w:rPr>
          <w:rFonts w:hint="eastAsia" w:ascii="宋体" w:hAnsi="宋体" w:cs="宋体"/>
        </w:rPr>
      </w:pPr>
    </w:p>
    <w:p>
      <w:pPr>
        <w:pStyle w:val="50"/>
        <w:rPr>
          <w:rFonts w:hint="eastAsia" w:ascii="宋体" w:hAnsi="宋体" w:cs="宋体"/>
        </w:rPr>
      </w:pPr>
    </w:p>
    <w:p>
      <w:pPr>
        <w:pStyle w:val="69"/>
        <w:ind w:right="-21" w:firstLine="0" w:firstLineChars="0"/>
        <w:rPr>
          <w:rFonts w:hint="eastAsia" w:ascii="宋体" w:hAnsi="宋体" w:eastAsia="宋体" w:cs="宋体"/>
        </w:rPr>
      </w:pPr>
    </w:p>
    <w:p>
      <w:pPr>
        <w:spacing w:line="380" w:lineRule="exact"/>
        <w:jc w:val="center"/>
        <w:rPr>
          <w:rFonts w:hint="eastAsia" w:ascii="宋体" w:hAnsi="宋体" w:cs="宋体"/>
          <w:b/>
          <w:sz w:val="28"/>
          <w:szCs w:val="28"/>
        </w:rPr>
      </w:pPr>
      <w:r>
        <w:rPr>
          <w:rFonts w:hint="eastAsia" w:ascii="宋体" w:hAnsi="宋体" w:cs="宋体"/>
          <w:b/>
          <w:sz w:val="28"/>
          <w:szCs w:val="28"/>
        </w:rPr>
        <w:t>十二、政府采购供应商诚信承诺书</w:t>
      </w:r>
    </w:p>
    <w:p>
      <w:pPr>
        <w:spacing w:line="380" w:lineRule="exact"/>
        <w:jc w:val="center"/>
        <w:rPr>
          <w:rFonts w:hint="eastAsia" w:ascii="宋体" w:hAnsi="宋体" w:cs="宋体"/>
          <w:b/>
          <w:sz w:val="24"/>
        </w:rPr>
      </w:pPr>
    </w:p>
    <w:p>
      <w:pPr>
        <w:spacing w:line="380" w:lineRule="exact"/>
        <w:ind w:firstLine="480" w:firstLineChars="200"/>
        <w:rPr>
          <w:rFonts w:hint="eastAsia"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ind w:firstLine="403" w:firstLineChars="168"/>
        <w:rPr>
          <w:rFonts w:hint="eastAsia" w:ascii="宋体" w:hAnsi="宋体" w:cs="宋体"/>
          <w:sz w:val="24"/>
        </w:rPr>
      </w:pPr>
      <w:r>
        <w:rPr>
          <w:rFonts w:hint="eastAsia" w:ascii="宋体" w:hAnsi="宋体" w:cs="宋体"/>
          <w:sz w:val="24"/>
        </w:rPr>
        <w:t>（一）提供虚假材料谋取中标;</w:t>
      </w:r>
    </w:p>
    <w:p>
      <w:pPr>
        <w:spacing w:line="380" w:lineRule="exact"/>
        <w:ind w:firstLine="403" w:firstLineChars="168"/>
        <w:rPr>
          <w:rFonts w:hint="eastAsia" w:ascii="宋体" w:hAnsi="宋体" w:cs="宋体"/>
          <w:sz w:val="24"/>
        </w:rPr>
      </w:pPr>
      <w:r>
        <w:rPr>
          <w:rFonts w:hint="eastAsia" w:ascii="宋体" w:hAnsi="宋体" w:cs="宋体"/>
          <w:sz w:val="24"/>
        </w:rPr>
        <w:t>（二）采取不正当手段诋毁、排挤其他供应商;</w:t>
      </w:r>
    </w:p>
    <w:p>
      <w:pPr>
        <w:spacing w:line="380" w:lineRule="exact"/>
        <w:ind w:firstLine="403" w:firstLineChars="168"/>
        <w:rPr>
          <w:rFonts w:hint="eastAsia" w:ascii="宋体" w:hAnsi="宋体" w:cs="宋体"/>
          <w:sz w:val="24"/>
        </w:rPr>
      </w:pPr>
      <w:r>
        <w:rPr>
          <w:rFonts w:hint="eastAsia" w:ascii="宋体" w:hAnsi="宋体" w:cs="宋体"/>
          <w:sz w:val="24"/>
        </w:rPr>
        <w:t>（三）与招标采购单位、其他投标人恶意串通;</w:t>
      </w:r>
    </w:p>
    <w:p>
      <w:pPr>
        <w:spacing w:line="380" w:lineRule="exact"/>
        <w:ind w:firstLine="403" w:firstLineChars="168"/>
        <w:rPr>
          <w:rFonts w:hint="eastAsia" w:ascii="宋体" w:hAnsi="宋体" w:cs="宋体"/>
          <w:sz w:val="24"/>
        </w:rPr>
      </w:pPr>
      <w:r>
        <w:rPr>
          <w:rFonts w:hint="eastAsia" w:ascii="宋体" w:hAnsi="宋体" w:cs="宋体"/>
          <w:sz w:val="24"/>
        </w:rPr>
        <w:t>（四）向招标采购单位或提供其他不正当利益;</w:t>
      </w:r>
    </w:p>
    <w:p>
      <w:pPr>
        <w:spacing w:line="380" w:lineRule="exact"/>
        <w:ind w:firstLine="403" w:firstLineChars="168"/>
        <w:rPr>
          <w:rFonts w:hint="eastAsia"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pPr>
        <w:spacing w:line="380" w:lineRule="exact"/>
        <w:ind w:firstLine="403" w:firstLineChars="168"/>
        <w:rPr>
          <w:rFonts w:hint="eastAsia" w:ascii="宋体" w:hAnsi="宋体" w:cs="宋体"/>
          <w:sz w:val="24"/>
        </w:rPr>
      </w:pPr>
      <w:r>
        <w:rPr>
          <w:rFonts w:hint="eastAsia" w:ascii="宋体" w:hAnsi="宋体" w:cs="宋体"/>
          <w:sz w:val="24"/>
        </w:rPr>
        <w:t>（六）开标后擅自撤销投标，影响招标继续进行的或领取招标文件纳投标保证金后不投标导致废标;</w:t>
      </w:r>
    </w:p>
    <w:p>
      <w:pPr>
        <w:spacing w:line="380" w:lineRule="exact"/>
        <w:ind w:firstLine="403" w:firstLineChars="168"/>
        <w:rPr>
          <w:rFonts w:hint="eastAsia" w:ascii="宋体" w:hAnsi="宋体" w:cs="宋体"/>
          <w:sz w:val="24"/>
        </w:rPr>
      </w:pPr>
      <w:r>
        <w:rPr>
          <w:rFonts w:hint="eastAsia" w:ascii="宋体" w:hAnsi="宋体" w:cs="宋体"/>
          <w:sz w:val="24"/>
        </w:rPr>
        <w:t>（七）中标后无正当理由，在规定时间内不与采购单位签订合同;</w:t>
      </w:r>
    </w:p>
    <w:p>
      <w:pPr>
        <w:spacing w:line="380" w:lineRule="exact"/>
        <w:ind w:firstLine="403" w:firstLineChars="168"/>
        <w:rPr>
          <w:rFonts w:hint="eastAsia" w:ascii="宋体" w:hAnsi="宋体" w:cs="宋体"/>
          <w:sz w:val="24"/>
        </w:rPr>
      </w:pPr>
      <w:r>
        <w:rPr>
          <w:rFonts w:hint="eastAsia" w:ascii="宋体" w:hAnsi="宋体" w:cs="宋体"/>
          <w:sz w:val="24"/>
        </w:rPr>
        <w:t>（八）将中标项目转让给他人或非法分包他人;</w:t>
      </w:r>
    </w:p>
    <w:p>
      <w:pPr>
        <w:spacing w:line="380" w:lineRule="exact"/>
        <w:ind w:firstLine="403" w:firstLineChars="168"/>
        <w:rPr>
          <w:rFonts w:hint="eastAsia" w:ascii="宋体" w:hAnsi="宋体" w:cs="宋体"/>
          <w:sz w:val="24"/>
        </w:rPr>
      </w:pPr>
      <w:r>
        <w:rPr>
          <w:rFonts w:hint="eastAsia" w:ascii="宋体" w:hAnsi="宋体" w:cs="宋体"/>
          <w:sz w:val="24"/>
        </w:rPr>
        <w:t>（九）无正当理由，拒绝履行合同义务;</w:t>
      </w:r>
    </w:p>
    <w:p>
      <w:pPr>
        <w:spacing w:line="380" w:lineRule="exact"/>
        <w:ind w:firstLine="403" w:firstLineChars="168"/>
        <w:rPr>
          <w:rFonts w:hint="eastAsia" w:ascii="宋体" w:hAnsi="宋体" w:cs="宋体"/>
          <w:sz w:val="24"/>
        </w:rPr>
      </w:pPr>
      <w:r>
        <w:rPr>
          <w:rFonts w:hint="eastAsia" w:ascii="宋体" w:hAnsi="宋体" w:cs="宋体"/>
          <w:sz w:val="24"/>
        </w:rPr>
        <w:t>（十）无正当理由放弃中标（成交）项目;</w:t>
      </w:r>
    </w:p>
    <w:p>
      <w:pPr>
        <w:spacing w:line="380" w:lineRule="exact"/>
        <w:ind w:firstLine="403" w:firstLineChars="168"/>
        <w:rPr>
          <w:rFonts w:hint="eastAsia" w:ascii="宋体" w:hAnsi="宋体" w:cs="宋体"/>
          <w:sz w:val="24"/>
        </w:rPr>
      </w:pPr>
      <w:r>
        <w:rPr>
          <w:rFonts w:hint="eastAsia" w:ascii="宋体" w:hAnsi="宋体" w:cs="宋体"/>
          <w:sz w:val="24"/>
        </w:rPr>
        <w:t>（十ー）擅自或与与采购人串通或接受采购人要求，在履约合同中通过减少服务数量，更服务标准等，却仍按原合同进行虚假验收或终止政府采购合同;</w:t>
      </w:r>
    </w:p>
    <w:p>
      <w:pPr>
        <w:spacing w:line="380" w:lineRule="exact"/>
        <w:ind w:firstLine="403" w:firstLineChars="168"/>
        <w:jc w:val="left"/>
        <w:rPr>
          <w:rFonts w:hint="eastAsia" w:ascii="宋体" w:hAnsi="宋体" w:cs="宋体"/>
          <w:sz w:val="24"/>
        </w:rPr>
      </w:pPr>
      <w:r>
        <w:rPr>
          <w:rFonts w:hint="eastAsia" w:ascii="宋体" w:hAnsi="宋体" w:cs="宋体"/>
          <w:sz w:val="24"/>
        </w:rPr>
        <w:t>（十二）与采购人串通，对尚未履约完毕的采购项目出具虚假验收报告；</w:t>
      </w:r>
    </w:p>
    <w:p>
      <w:pPr>
        <w:spacing w:line="380" w:lineRule="exact"/>
        <w:ind w:firstLine="403" w:firstLineChars="168"/>
        <w:jc w:val="left"/>
        <w:rPr>
          <w:rFonts w:hint="eastAsia"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pPr>
        <w:spacing w:line="380" w:lineRule="exact"/>
        <w:ind w:firstLine="360" w:firstLineChars="150"/>
        <w:jc w:val="left"/>
        <w:rPr>
          <w:rFonts w:hint="eastAsia" w:ascii="宋体" w:hAnsi="宋体" w:cs="宋体"/>
          <w:sz w:val="24"/>
        </w:rPr>
      </w:pPr>
      <w:r>
        <w:rPr>
          <w:rFonts w:hint="eastAsia" w:ascii="宋体" w:hAnsi="宋体" w:cs="宋体"/>
          <w:sz w:val="24"/>
        </w:rPr>
        <w:t>（十四）开标后对招标文件的相关内容再进行质疑；</w:t>
      </w:r>
    </w:p>
    <w:p>
      <w:pPr>
        <w:spacing w:line="380" w:lineRule="exact"/>
        <w:ind w:firstLine="360" w:firstLineChars="150"/>
        <w:jc w:val="left"/>
        <w:rPr>
          <w:rFonts w:hint="eastAsia" w:ascii="宋体" w:hAnsi="宋体" w:cs="宋体"/>
          <w:sz w:val="24"/>
        </w:rPr>
      </w:pPr>
      <w:r>
        <w:rPr>
          <w:rFonts w:hint="eastAsia" w:ascii="宋体" w:hAnsi="宋体" w:cs="宋体"/>
          <w:sz w:val="24"/>
        </w:rPr>
        <w:t>（十五）恶意投诉的行为：投诉经查无实据的、捏造事实或者提供虚假设诉材料；</w:t>
      </w:r>
    </w:p>
    <w:p>
      <w:pPr>
        <w:spacing w:line="380" w:lineRule="exact"/>
        <w:ind w:firstLine="240" w:firstLineChars="100"/>
        <w:jc w:val="left"/>
        <w:rPr>
          <w:rFonts w:hint="eastAsia" w:ascii="宋体" w:hAnsi="宋体" w:cs="宋体"/>
          <w:sz w:val="24"/>
        </w:rPr>
      </w:pPr>
      <w:r>
        <w:rPr>
          <w:rFonts w:hint="eastAsia" w:ascii="宋体" w:hAnsi="宋体" w:cs="宋体"/>
          <w:sz w:val="24"/>
        </w:rPr>
        <w:t>（十六）拒绝有关部门监督检查或者提供虚假情况；</w:t>
      </w:r>
    </w:p>
    <w:p>
      <w:pPr>
        <w:spacing w:line="380" w:lineRule="exact"/>
        <w:ind w:firstLine="240" w:firstLineChars="100"/>
        <w:jc w:val="left"/>
        <w:rPr>
          <w:rFonts w:hint="eastAsia" w:ascii="宋体" w:hAnsi="宋体" w:cs="宋体"/>
          <w:sz w:val="24"/>
        </w:rPr>
      </w:pPr>
      <w:r>
        <w:rPr>
          <w:rFonts w:hint="eastAsia" w:ascii="宋体" w:hAnsi="宋体" w:cs="宋体"/>
          <w:sz w:val="24"/>
        </w:rPr>
        <w:t>（十七）政府采购监管部门认定的其他政府采购活动中的不诚信行为。</w:t>
      </w:r>
    </w:p>
    <w:p>
      <w:pPr>
        <w:spacing w:line="380" w:lineRule="exact"/>
        <w:jc w:val="center"/>
        <w:rPr>
          <w:rFonts w:hint="eastAsia" w:ascii="宋体" w:hAnsi="宋体" w:cs="宋体"/>
          <w:sz w:val="24"/>
        </w:rPr>
      </w:pPr>
    </w:p>
    <w:p>
      <w:pPr>
        <w:spacing w:line="380" w:lineRule="exact"/>
        <w:jc w:val="center"/>
        <w:rPr>
          <w:rFonts w:hint="eastAsia" w:ascii="宋体" w:hAnsi="宋体" w:cs="宋体"/>
          <w:sz w:val="24"/>
        </w:rPr>
      </w:pPr>
      <w:r>
        <w:rPr>
          <w:rFonts w:hint="eastAsia" w:ascii="宋体" w:hAnsi="宋体" w:cs="宋体"/>
          <w:sz w:val="24"/>
        </w:rPr>
        <w:t>供应商名称：（电子公章）</w:t>
      </w:r>
    </w:p>
    <w:p>
      <w:pPr>
        <w:spacing w:line="380" w:lineRule="exact"/>
        <w:jc w:val="center"/>
        <w:rPr>
          <w:rFonts w:hint="eastAsia" w:ascii="宋体" w:hAnsi="宋体" w:cs="宋体"/>
          <w:sz w:val="24"/>
        </w:rPr>
      </w:pPr>
      <w:r>
        <w:rPr>
          <w:rFonts w:hint="eastAsia" w:ascii="宋体" w:hAnsi="宋体" w:cs="宋体"/>
          <w:sz w:val="24"/>
        </w:rPr>
        <w:t xml:space="preserve"> </w:t>
      </w:r>
    </w:p>
    <w:p>
      <w:pPr>
        <w:spacing w:line="380" w:lineRule="exact"/>
        <w:jc w:val="center"/>
        <w:rPr>
          <w:rFonts w:hint="eastAsia" w:ascii="宋体" w:hAnsi="宋体" w:cs="宋体"/>
          <w:sz w:val="24"/>
        </w:rPr>
      </w:pPr>
    </w:p>
    <w:p>
      <w:pPr>
        <w:spacing w:line="380" w:lineRule="exact"/>
        <w:jc w:val="center"/>
        <w:rPr>
          <w:rFonts w:hint="eastAsia" w:ascii="宋体" w:hAnsi="宋体" w:cs="宋体"/>
          <w:sz w:val="24"/>
        </w:rPr>
      </w:pPr>
      <w:r>
        <w:rPr>
          <w:rFonts w:hint="eastAsia" w:ascii="宋体" w:hAnsi="宋体" w:cs="宋体"/>
          <w:sz w:val="24"/>
        </w:rPr>
        <w:t>法人代表或授权委托人：（签字）</w:t>
      </w:r>
    </w:p>
    <w:p>
      <w:pPr>
        <w:spacing w:line="380" w:lineRule="exact"/>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rPr>
        <w:t xml:space="preserve">               日期：      年   月    日</w:t>
      </w:r>
    </w:p>
    <w:p>
      <w:pPr>
        <w:pStyle w:val="117"/>
        <w:ind w:firstLine="210"/>
        <w:rPr>
          <w:rFonts w:hint="eastAsia" w:ascii="宋体" w:hAnsi="宋体" w:cs="宋体"/>
        </w:rPr>
      </w:pPr>
    </w:p>
    <w:p>
      <w:pPr>
        <w:pStyle w:val="117"/>
        <w:ind w:firstLine="210"/>
        <w:rPr>
          <w:rFonts w:hint="eastAsia" w:ascii="宋体" w:hAnsi="宋体" w:cs="宋体"/>
        </w:rPr>
      </w:pPr>
    </w:p>
    <w:p>
      <w:pPr>
        <w:pStyle w:val="117"/>
        <w:ind w:firstLine="210"/>
        <w:rPr>
          <w:rFonts w:hint="eastAsia" w:ascii="宋体" w:hAnsi="宋体" w:cs="宋体"/>
        </w:rPr>
      </w:pPr>
    </w:p>
    <w:p>
      <w:pPr>
        <w:pStyle w:val="3"/>
        <w:rPr>
          <w:rFonts w:hint="eastAsia" w:ascii="宋体" w:hAnsi="宋体" w:cs="宋体"/>
        </w:rPr>
      </w:pPr>
      <w:bookmarkStart w:id="219" w:name="_Toc12913"/>
      <w:r>
        <w:rPr>
          <w:rFonts w:hint="eastAsia" w:ascii="宋体" w:hAnsi="宋体" w:cs="宋体"/>
        </w:rPr>
        <w:t>周口市政府采购合同融资政策告知函</w:t>
      </w:r>
      <w:bookmarkEnd w:id="219"/>
    </w:p>
    <w:p>
      <w:pPr>
        <w:pStyle w:val="117"/>
        <w:ind w:firstLine="240"/>
        <w:rPr>
          <w:rFonts w:hint="eastAsia" w:ascii="宋体" w:hAnsi="宋体" w:cs="宋体"/>
          <w:sz w:val="24"/>
          <w:szCs w:val="24"/>
        </w:rPr>
      </w:pPr>
    </w:p>
    <w:p>
      <w:pPr>
        <w:pStyle w:val="117"/>
        <w:ind w:firstLine="240"/>
        <w:rPr>
          <w:rFonts w:hint="eastAsia" w:ascii="宋体" w:hAnsi="宋体" w:cs="宋体"/>
          <w:sz w:val="24"/>
          <w:szCs w:val="24"/>
        </w:rPr>
      </w:pPr>
    </w:p>
    <w:p>
      <w:pPr>
        <w:pStyle w:val="117"/>
        <w:ind w:firstLine="240"/>
        <w:rPr>
          <w:rFonts w:hint="eastAsia" w:ascii="宋体" w:hAnsi="宋体" w:cs="宋体"/>
          <w:sz w:val="24"/>
          <w:szCs w:val="24"/>
        </w:rPr>
      </w:pPr>
    </w:p>
    <w:p>
      <w:pPr>
        <w:pStyle w:val="117"/>
        <w:spacing w:line="360" w:lineRule="auto"/>
        <w:ind w:firstLine="240"/>
        <w:rPr>
          <w:rFonts w:hint="eastAsia" w:ascii="宋体" w:hAnsi="宋体" w:cs="宋体"/>
          <w:sz w:val="24"/>
          <w:szCs w:val="24"/>
        </w:rPr>
      </w:pPr>
      <w:r>
        <w:rPr>
          <w:rFonts w:hint="eastAsia" w:ascii="宋体" w:hAnsi="宋体" w:cs="宋体"/>
          <w:sz w:val="24"/>
          <w:szCs w:val="24"/>
        </w:rPr>
        <w:t>各供应商：</w:t>
      </w:r>
    </w:p>
    <w:p>
      <w:pPr>
        <w:pStyle w:val="117"/>
        <w:spacing w:line="360" w:lineRule="auto"/>
        <w:ind w:firstLine="240"/>
        <w:rPr>
          <w:rFonts w:hint="eastAsia" w:ascii="宋体" w:hAnsi="宋体" w:cs="宋体"/>
          <w:sz w:val="24"/>
          <w:szCs w:val="24"/>
        </w:rPr>
      </w:pPr>
      <w:r>
        <w:rPr>
          <w:rFonts w:hint="eastAsia" w:ascii="宋体" w:hAnsi="宋体" w:cs="宋体"/>
          <w:sz w:val="24"/>
          <w:szCs w:val="24"/>
        </w:rPr>
        <w:t>欢迎贵公司参与周口市政府采购活动！</w:t>
      </w:r>
    </w:p>
    <w:p>
      <w:pPr>
        <w:pStyle w:val="117"/>
        <w:spacing w:line="360" w:lineRule="auto"/>
        <w:ind w:firstLine="240"/>
        <w:rPr>
          <w:rFonts w:hint="eastAsia" w:ascii="宋体" w:hAnsi="宋体" w:cs="宋体"/>
          <w:sz w:val="24"/>
          <w:szCs w:val="24"/>
        </w:rPr>
      </w:pPr>
      <w:r>
        <w:rPr>
          <w:rFonts w:hint="eastAsia" w:ascii="宋体" w:hAnsi="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64"/>
        <w:spacing w:before="0" w:beforeAutospacing="0" w:after="0" w:afterAutospacing="0" w:line="360" w:lineRule="auto"/>
        <w:rPr>
          <w:rFonts w:hint="eastAsia" w:cs="宋体"/>
        </w:rPr>
      </w:pPr>
      <w:r>
        <w:rPr>
          <w:rFonts w:hint="eastAsia" w:cs="宋体"/>
        </w:rPr>
        <w:t>贷款渠道和提供贷款的金融机构，可在河南省政府采购网“河南省政府采购合同融资平台”查询联系。</w:t>
      </w: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64"/>
        <w:spacing w:before="0" w:beforeAutospacing="0" w:after="0" w:afterAutospacing="0" w:line="330" w:lineRule="atLeast"/>
        <w:rPr>
          <w:rFonts w:hint="eastAsia" w:cs="仿宋_GB2312"/>
          <w:b/>
          <w:bCs/>
          <w:color w:val="0000FF"/>
          <w:sz w:val="21"/>
          <w:szCs w:val="21"/>
        </w:rPr>
      </w:pPr>
    </w:p>
    <w:p>
      <w:pPr>
        <w:pStyle w:val="117"/>
        <w:ind w:firstLine="0" w:firstLineChars="0"/>
        <w:rPr>
          <w:rFonts w:hint="eastAsia" w:ascii="宋体" w:hAnsi="宋体" w:cs="宋体"/>
          <w:sz w:val="24"/>
          <w:szCs w:val="24"/>
        </w:rPr>
      </w:pPr>
    </w:p>
    <w:sectPr>
      <w:pgSz w:w="11906" w:h="16838"/>
      <w:pgMar w:top="1389" w:right="1304" w:bottom="1440"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Droid Sans">
    <w:altName w:val="宋体"/>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E0002EFF" w:usb1="C000785B" w:usb2="00000009" w:usb3="00000000" w:csb0="000001FF" w:csb1="00000000"/>
  </w:font>
  <w:font w:name="Verdana">
    <w:panose1 w:val="020B0604030504040204"/>
    <w:charset w:val="00"/>
    <w:family w:val="swiss"/>
    <w:pitch w:val="default"/>
    <w:sig w:usb0="A00006FF" w:usb1="4000205B" w:usb2="00000010" w:usb3="00000000" w:csb0="2000019F" w:csb1="00000000"/>
  </w:font>
  <w:font w:name="Franklin Gothic Heavy">
    <w:panose1 w:val="020B09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A00002FF" w:usb1="28CFFCFA" w:usb2="00000016" w:usb3="00000000" w:csb0="00100001" w:csb1="00000000"/>
  </w:font>
  <w:font w:name="MS Mincho">
    <w:panose1 w:val="02020609040205080304"/>
    <w:charset w:val="80"/>
    <w:family w:val="modern"/>
    <w:pitch w:val="default"/>
    <w:sig w:usb0="A00002BF" w:usb1="68C7FCFB" w:usb2="00000010"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CG Times">
    <w:altName w:val="Microsoft YaHei UI"/>
    <w:panose1 w:val="02020603050405020304"/>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tabs>
        <w:tab w:val="clear" w:pos="8306"/>
      </w:tabs>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4625" cy="210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4625" cy="210820"/>
                      </a:xfrm>
                      <a:prstGeom prst="rect">
                        <a:avLst/>
                      </a:prstGeom>
                      <a:noFill/>
                      <a:ln>
                        <a:noFill/>
                      </a:ln>
                    </wps:spPr>
                    <wps:txbx>
                      <w:txbxContent>
                        <w:p>
                          <w:pPr>
                            <w:pStyle w:val="41"/>
                            <w:rPr>
                              <w:rStyle w:val="75"/>
                              <w:rFonts w:hint="eastAsia"/>
                            </w:rPr>
                          </w:pPr>
                          <w:r>
                            <w:fldChar w:fldCharType="begin"/>
                          </w:r>
                          <w:r>
                            <w:rPr>
                              <w:rStyle w:val="75"/>
                            </w:rPr>
                            <w:instrText xml:space="preserve">PAGE   \* MERGEFORMAT</w:instrText>
                          </w:r>
                          <w:r>
                            <w:fldChar w:fldCharType="separate"/>
                          </w:r>
                          <w:r>
                            <w:rPr>
                              <w:rStyle w:val="75"/>
                              <w:lang w:val="zh-CN"/>
                            </w:rPr>
                            <w:t>8</w:t>
                          </w:r>
                          <w:r>
                            <w:fldChar w:fldCharType="end"/>
                          </w:r>
                        </w:p>
                      </w:txbxContent>
                    </wps:txbx>
                    <wps:bodyPr wrap="square" lIns="0" tIns="0" rIns="0" bIns="0" upright="0"/>
                  </wps:wsp>
                </a:graphicData>
              </a:graphic>
            </wp:anchor>
          </w:drawing>
        </mc:Choice>
        <mc:Fallback>
          <w:pict>
            <v:shape id="_x0000_s1026" o:spid="_x0000_s1026" o:spt="202" type="#_x0000_t202" style="position:absolute;left:0pt;margin-top:0pt;height:16.6pt;width:13.75pt;mso-position-horizontal:center;mso-position-horizontal-relative:margin;z-index:251660288;mso-width-relative:page;mso-height-relative:page;" filled="f" stroked="f" coordsize="21600,21600" o:gfxdata="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XX2lvUAAAAAwEAAA8AAAAAAAAAAQAgAAAAIgAAAGRycy9kb3ducmV2Lnht&#10;bFBLAQIUABQAAAAIAIdO4kDW2/H9xAEAAH8DAAAOAAAAAAAAAAEAIAAAACMBAABkcnMvZTJvRG9j&#10;LnhtbFBLBQYAAAAABgAGAFkBAABZBQAAAAA=&#10;">
              <v:fill on="f" focussize="0,0"/>
              <v:stroke on="f"/>
              <v:imagedata o:title=""/>
              <o:lock v:ext="edit" aspectratio="f"/>
              <v:textbox inset="0mm,0mm,0mm,0mm">
                <w:txbxContent>
                  <w:p>
                    <w:pPr>
                      <w:pStyle w:val="41"/>
                      <w:rPr>
                        <w:rStyle w:val="75"/>
                        <w:rFonts w:hint="eastAsia"/>
                      </w:rPr>
                    </w:pPr>
                    <w:r>
                      <w:fldChar w:fldCharType="begin"/>
                    </w:r>
                    <w:r>
                      <w:rPr>
                        <w:rStyle w:val="75"/>
                      </w:rPr>
                      <w:instrText xml:space="preserve">PAGE   \* MERGEFORMAT</w:instrText>
                    </w:r>
                    <w:r>
                      <w:fldChar w:fldCharType="separate"/>
                    </w:r>
                    <w:r>
                      <w:rPr>
                        <w:rStyle w:val="75"/>
                        <w:lang w:val="zh-CN"/>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1"/>
                          </w:pPr>
                          <w:r>
                            <w:fldChar w:fldCharType="begin"/>
                          </w:r>
                          <w:r>
                            <w:instrText xml:space="preserve"> PAGE  \* MERGEFORMAT </w:instrText>
                          </w:r>
                          <w:r>
                            <w:fldChar w:fldCharType="separate"/>
                          </w:r>
                          <w:r>
                            <w:rPr>
                              <w:lang/>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1"/>
                    </w:pPr>
                    <w:r>
                      <w:fldChar w:fldCharType="begin"/>
                    </w:r>
                    <w:r>
                      <w:instrText xml:space="preserve"> PAGE  \* MERGEFORMAT </w:instrText>
                    </w:r>
                    <w:r>
                      <w:fldChar w:fldCharType="separate"/>
                    </w:r>
                    <w:r>
                      <w:rPr>
                        <w:lang/>
                      </w:rP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3E1E4"/>
    <w:multiLevelType w:val="singleLevel"/>
    <w:tmpl w:val="C113E1E4"/>
    <w:lvl w:ilvl="0" w:tentative="0">
      <w:start w:val="1"/>
      <w:numFmt w:val="decimal"/>
      <w:suff w:val="nothing"/>
      <w:lvlText w:val="%1、"/>
      <w:lvlJc w:val="left"/>
    </w:lvl>
  </w:abstractNum>
  <w:abstractNum w:abstractNumId="1">
    <w:nsid w:val="00000006"/>
    <w:multiLevelType w:val="multilevel"/>
    <w:tmpl w:val="00000006"/>
    <w:lvl w:ilvl="0" w:tentative="0">
      <w:start w:val="1"/>
      <w:numFmt w:val="decimal"/>
      <w:pStyle w:val="5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8"/>
    <w:multiLevelType w:val="singleLevel"/>
    <w:tmpl w:val="00000008"/>
    <w:lvl w:ilvl="0" w:tentative="0">
      <w:start w:val="1"/>
      <w:numFmt w:val="decimal"/>
      <w:pStyle w:val="25"/>
      <w:lvlText w:val="（%1）"/>
      <w:lvlJc w:val="left"/>
      <w:pPr>
        <w:tabs>
          <w:tab w:val="left" w:pos="744"/>
        </w:tabs>
        <w:ind w:left="744" w:hanging="744"/>
      </w:pPr>
      <w:rPr>
        <w:rFonts w:hint="eastAsia"/>
      </w:rPr>
    </w:lvl>
  </w:abstractNum>
  <w:abstractNum w:abstractNumId="3">
    <w:nsid w:val="0000000A"/>
    <w:multiLevelType w:val="singleLevel"/>
    <w:tmpl w:val="0000000A"/>
    <w:lvl w:ilvl="0" w:tentative="0">
      <w:start w:val="1"/>
      <w:numFmt w:val="decimal"/>
      <w:lvlText w:val="（%1）"/>
      <w:lvlJc w:val="left"/>
      <w:pPr>
        <w:tabs>
          <w:tab w:val="left" w:pos="810"/>
        </w:tabs>
        <w:ind w:left="810" w:hanging="810"/>
      </w:pPr>
      <w:rPr>
        <w:rFonts w:hint="eastAsia"/>
      </w:rPr>
    </w:lvl>
  </w:abstractNum>
  <w:abstractNum w:abstractNumId="4">
    <w:nsid w:val="0000000E"/>
    <w:multiLevelType w:val="multilevel"/>
    <w:tmpl w:val="0000000E"/>
    <w:lvl w:ilvl="0" w:tentative="0">
      <w:start w:val="1"/>
      <w:numFmt w:val="decimal"/>
      <w:lvlText w:val="%1"/>
      <w:lvlJc w:val="left"/>
      <w:pPr>
        <w:tabs>
          <w:tab w:val="left" w:pos="2502"/>
        </w:tabs>
        <w:ind w:left="2502" w:hanging="432"/>
      </w:pPr>
      <w:rPr>
        <w:rFonts w:hint="default"/>
      </w:rPr>
    </w:lvl>
    <w:lvl w:ilvl="1" w:tentative="0">
      <w:start w:val="1"/>
      <w:numFmt w:val="decimal"/>
      <w:pStyle w:val="19"/>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353"/>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5">
    <w:nsid w:val="00000011"/>
    <w:multiLevelType w:val="multilevel"/>
    <w:tmpl w:val="00000011"/>
    <w:lvl w:ilvl="0" w:tentative="0">
      <w:start w:val="1"/>
      <w:numFmt w:val="decimal"/>
      <w:pStyle w:val="63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pStyle w:val="585"/>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396"/>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40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0000013"/>
    <w:multiLevelType w:val="singleLevel"/>
    <w:tmpl w:val="00000013"/>
    <w:lvl w:ilvl="0" w:tentative="0">
      <w:start w:val="32"/>
      <w:numFmt w:val="decimal"/>
      <w:pStyle w:val="31"/>
      <w:suff w:val="nothing"/>
      <w:lvlText w:val="%1."/>
      <w:lvlJc w:val="left"/>
    </w:lvl>
  </w:abstractNum>
  <w:abstractNum w:abstractNumId="8">
    <w:nsid w:val="00000014"/>
    <w:multiLevelType w:val="singleLevel"/>
    <w:tmpl w:val="00000014"/>
    <w:lvl w:ilvl="0" w:tentative="0">
      <w:start w:val="7"/>
      <w:numFmt w:val="chineseCounting"/>
      <w:pStyle w:val="459"/>
      <w:suff w:val="nothing"/>
      <w:lvlText w:val="%1、"/>
      <w:lvlJc w:val="left"/>
    </w:lvl>
  </w:abstractNum>
  <w:abstractNum w:abstractNumId="9">
    <w:nsid w:val="1223B73C"/>
    <w:multiLevelType w:val="singleLevel"/>
    <w:tmpl w:val="1223B73C"/>
    <w:lvl w:ilvl="0" w:tentative="0">
      <w:start w:val="1"/>
      <w:numFmt w:val="chineseCounting"/>
      <w:suff w:val="space"/>
      <w:lvlText w:val="第%1章"/>
      <w:lvlJc w:val="left"/>
      <w:rPr>
        <w:rFonts w:hint="eastAsia"/>
      </w:rPr>
    </w:lvl>
  </w:abstractNum>
  <w:abstractNum w:abstractNumId="10">
    <w:nsid w:val="139E41D9"/>
    <w:multiLevelType w:val="multilevel"/>
    <w:tmpl w:val="139E41D9"/>
    <w:lvl w:ilvl="0" w:tentative="0">
      <w:start w:val="1"/>
      <w:numFmt w:val="decimal"/>
      <w:pStyle w:val="50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5240F87"/>
    <w:multiLevelType w:val="multilevel"/>
    <w:tmpl w:val="25240F87"/>
    <w:lvl w:ilvl="0" w:tentative="0">
      <w:start w:val="1"/>
      <w:numFmt w:val="decimal"/>
      <w:pStyle w:val="147"/>
      <w:lvlText w:val="%1."/>
      <w:lvlJc w:val="left"/>
      <w:rPr>
        <w:rFonts w:hint="default" w:cs="Times New Roman"/>
      </w:rPr>
    </w:lvl>
    <w:lvl w:ilvl="1" w:tentative="0">
      <w:start w:val="1"/>
      <w:numFmt w:val="decimal"/>
      <w:pStyle w:val="330"/>
      <w:isLgl/>
      <w:lvlText w:val="%1.%2"/>
      <w:lvlJc w:val="left"/>
      <w:rPr>
        <w:rFonts w:hint="default" w:cs="Times New Roman"/>
        <w:b/>
        <w:sz w:val="32"/>
        <w:szCs w:val="32"/>
      </w:rPr>
    </w:lvl>
    <w:lvl w:ilvl="2" w:tentative="0">
      <w:start w:val="1"/>
      <w:numFmt w:val="decimal"/>
      <w:pStyle w:val="159"/>
      <w:isLgl/>
      <w:lvlText w:val="%1.%2.%3"/>
      <w:lvlJc w:val="left"/>
      <w:rPr>
        <w:rFonts w:hint="default" w:cs="Times New Roman"/>
      </w:rPr>
    </w:lvl>
    <w:lvl w:ilvl="3" w:tentative="0">
      <w:start w:val="1"/>
      <w:numFmt w:val="decimal"/>
      <w:pStyle w:val="158"/>
      <w:isLgl/>
      <w:lvlText w:val="%1.%2.%3.%4"/>
      <w:lvlJc w:val="left"/>
      <w:rPr>
        <w:rFonts w:hint="eastAsia"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isLgl/>
      <w:lvlText w:val="%1.%2.%3.%4.%5"/>
      <w:lvlJc w:val="left"/>
      <w:rPr>
        <w:rFonts w:hint="default" w:cs="Times New Roman"/>
      </w:rPr>
    </w:lvl>
    <w:lvl w:ilvl="5" w:tentative="0">
      <w:start w:val="1"/>
      <w:numFmt w:val="decimal"/>
      <w:isLgl/>
      <w:lvlText w:val="%1.%2.%3.%4.%5.%6"/>
      <w:lvlJc w:val="left"/>
      <w:rPr>
        <w:rFonts w:hint="default" w:cs="Times New Roman"/>
      </w:rPr>
    </w:lvl>
    <w:lvl w:ilvl="6" w:tentative="0">
      <w:start w:val="1"/>
      <w:numFmt w:val="decimal"/>
      <w:isLgl/>
      <w:lvlText w:val="%1.%2.%3.%4.%5.%6.%7"/>
      <w:lvlJc w:val="left"/>
      <w:rPr>
        <w:rFonts w:hint="default" w:cs="Times New Roman"/>
      </w:rPr>
    </w:lvl>
    <w:lvl w:ilvl="7" w:tentative="0">
      <w:start w:val="1"/>
      <w:numFmt w:val="decimal"/>
      <w:isLgl/>
      <w:lvlText w:val="%1.%2.%3.%4.%5.%6.%7.%8"/>
      <w:lvlJc w:val="left"/>
      <w:rPr>
        <w:rFonts w:hint="default" w:cs="Times New Roman"/>
      </w:rPr>
    </w:lvl>
    <w:lvl w:ilvl="8" w:tentative="0">
      <w:start w:val="1"/>
      <w:numFmt w:val="decimal"/>
      <w:isLgl/>
      <w:lvlText w:val="%1.%2.%3.%4.%5.%6.%7.%8.%9"/>
      <w:lvlJc w:val="left"/>
      <w:rPr>
        <w:rFonts w:hint="default" w:cs="Times New Roman"/>
      </w:rPr>
    </w:lvl>
  </w:abstractNum>
  <w:abstractNum w:abstractNumId="12">
    <w:nsid w:val="2E0DCD58"/>
    <w:multiLevelType w:val="singleLevel"/>
    <w:tmpl w:val="2E0DCD58"/>
    <w:lvl w:ilvl="0" w:tentative="0">
      <w:start w:val="1"/>
      <w:numFmt w:val="decimal"/>
      <w:suff w:val="nothing"/>
      <w:lvlText w:val="（%1）"/>
      <w:lvlJc w:val="left"/>
    </w:lvl>
  </w:abstractNum>
  <w:abstractNum w:abstractNumId="13">
    <w:nsid w:val="3146156C"/>
    <w:multiLevelType w:val="multilevel"/>
    <w:tmpl w:val="3146156C"/>
    <w:lvl w:ilvl="0" w:tentative="0">
      <w:start w:val="1"/>
      <w:numFmt w:val="decimal"/>
      <w:pStyle w:val="591"/>
      <w:lvlText w:val="%1)"/>
      <w:lvlJc w:val="left"/>
      <w:pPr>
        <w:ind w:left="840" w:hanging="420"/>
      </w:pPr>
      <w:rPr>
        <w:rFonts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4">
    <w:nsid w:val="324833B9"/>
    <w:multiLevelType w:val="multilevel"/>
    <w:tmpl w:val="324833B9"/>
    <w:lvl w:ilvl="0" w:tentative="0">
      <w:start w:val="1"/>
      <w:numFmt w:val="bullet"/>
      <w:pStyle w:val="517"/>
      <w:lvlText w:val=""/>
      <w:lvlJc w:val="left"/>
      <w:pPr>
        <w:ind w:left="820" w:hanging="420"/>
      </w:pPr>
      <w:rPr>
        <w:b w:val="0"/>
        <w:i w:val="0"/>
        <w:caps w:val="0"/>
        <w:smallCaps w:val="0"/>
        <w:strike w:val="0"/>
        <w:dstrike w:val="0"/>
        <w:outline w:val="0"/>
        <w:shadow w:val="0"/>
        <w:emboss w:val="0"/>
        <w:imprint w:val="0"/>
        <w:vanish w:val="0"/>
        <w:spacing w:val="0"/>
        <w:position w:val="0"/>
        <w:u w:val="none"/>
        <w:vertAlign w:val="baseline"/>
      </w:rPr>
    </w:lvl>
    <w:lvl w:ilvl="1" w:tentative="0">
      <w:start w:val="1"/>
      <w:numFmt w:val="bullet"/>
      <w:lvlText w:val=""/>
      <w:lvlJc w:val="left"/>
      <w:pPr>
        <w:ind w:left="1240" w:hanging="420"/>
      </w:pPr>
      <w:rPr>
        <w:rFonts w:hint="default" w:ascii="Wingdings" w:hAnsi="Wingdings"/>
      </w:rPr>
    </w:lvl>
    <w:lvl w:ilvl="2" w:tentative="0">
      <w:start w:val="1"/>
      <w:numFmt w:val="bullet"/>
      <w:lvlText w:val=""/>
      <w:lvlJc w:val="left"/>
      <w:pPr>
        <w:ind w:left="1660" w:hanging="420"/>
      </w:pPr>
      <w:rPr>
        <w:rFonts w:hint="default" w:ascii="Wingdings" w:hAnsi="Wingdings"/>
      </w:rPr>
    </w:lvl>
    <w:lvl w:ilvl="3" w:tentative="0">
      <w:start w:val="1"/>
      <w:numFmt w:val="bullet"/>
      <w:lvlText w:val=""/>
      <w:lvlJc w:val="left"/>
      <w:pPr>
        <w:ind w:left="2080" w:hanging="420"/>
      </w:pPr>
      <w:rPr>
        <w:rFonts w:hint="default" w:ascii="Wingdings" w:hAnsi="Wingdings"/>
      </w:rPr>
    </w:lvl>
    <w:lvl w:ilvl="4" w:tentative="0">
      <w:start w:val="1"/>
      <w:numFmt w:val="bullet"/>
      <w:lvlText w:val=""/>
      <w:lvlJc w:val="left"/>
      <w:pPr>
        <w:ind w:left="2500" w:hanging="420"/>
      </w:pPr>
      <w:rPr>
        <w:rFonts w:hint="default" w:ascii="Wingdings" w:hAnsi="Wingdings"/>
      </w:rPr>
    </w:lvl>
    <w:lvl w:ilvl="5" w:tentative="0">
      <w:start w:val="1"/>
      <w:numFmt w:val="bullet"/>
      <w:lvlText w:val=""/>
      <w:lvlJc w:val="left"/>
      <w:pPr>
        <w:ind w:left="2920" w:hanging="420"/>
      </w:pPr>
      <w:rPr>
        <w:rFonts w:hint="default" w:ascii="Wingdings" w:hAnsi="Wingdings"/>
      </w:rPr>
    </w:lvl>
    <w:lvl w:ilvl="6" w:tentative="0">
      <w:start w:val="1"/>
      <w:numFmt w:val="bullet"/>
      <w:lvlText w:val=""/>
      <w:lvlJc w:val="left"/>
      <w:pPr>
        <w:ind w:left="3340" w:hanging="420"/>
      </w:pPr>
      <w:rPr>
        <w:rFonts w:hint="default" w:ascii="Wingdings" w:hAnsi="Wingdings"/>
      </w:rPr>
    </w:lvl>
    <w:lvl w:ilvl="7" w:tentative="0">
      <w:start w:val="1"/>
      <w:numFmt w:val="bullet"/>
      <w:lvlText w:val=""/>
      <w:lvlJc w:val="left"/>
      <w:pPr>
        <w:ind w:left="3760" w:hanging="420"/>
      </w:pPr>
      <w:rPr>
        <w:rFonts w:hint="default" w:ascii="Wingdings" w:hAnsi="Wingdings"/>
      </w:rPr>
    </w:lvl>
    <w:lvl w:ilvl="8" w:tentative="0">
      <w:start w:val="1"/>
      <w:numFmt w:val="bullet"/>
      <w:lvlText w:val=""/>
      <w:lvlJc w:val="left"/>
      <w:pPr>
        <w:ind w:left="4180" w:hanging="420"/>
      </w:pPr>
      <w:rPr>
        <w:rFonts w:hint="default" w:ascii="Wingdings" w:hAnsi="Wingdings"/>
      </w:rPr>
    </w:lvl>
  </w:abstractNum>
  <w:abstractNum w:abstractNumId="15">
    <w:nsid w:val="35554C28"/>
    <w:multiLevelType w:val="multilevel"/>
    <w:tmpl w:val="35554C28"/>
    <w:lvl w:ilvl="0" w:tentative="0">
      <w:start w:val="1"/>
      <w:numFmt w:val="bullet"/>
      <w:pStyle w:val="381"/>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47F37F83"/>
    <w:multiLevelType w:val="multilevel"/>
    <w:tmpl w:val="47F37F83"/>
    <w:lvl w:ilvl="0" w:tentative="0">
      <w:start w:val="1"/>
      <w:numFmt w:val="decimal"/>
      <w:suff w:val="space"/>
      <w:lvlText w:val="第 %1 章"/>
      <w:lvlJc w:val="center"/>
      <w:pPr>
        <w:ind w:firstLine="288"/>
      </w:pPr>
      <w:rPr>
        <w:rFonts w:hint="eastAsia" w:cs="Times New Roman"/>
        <w:b w:val="0"/>
        <w:i w:val="0"/>
        <w:iCs w:val="0"/>
        <w:caps w:val="0"/>
        <w:smallCaps w:val="0"/>
        <w:strike w:val="0"/>
        <w:dstrike w:val="0"/>
        <w:vanish w:val="0"/>
        <w:color w:val="000000"/>
        <w:spacing w:val="0"/>
        <w:kern w:val="0"/>
        <w:position w:val="0"/>
        <w:u w:val="none"/>
        <w:vertAlign w:val="baseline"/>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2270" w:hanging="2270"/>
      </w:pPr>
      <w:rPr>
        <w:rFonts w:hint="eastAsia" w:cs="Times New Roman"/>
        <w:b w:val="0"/>
        <w:i w:val="0"/>
        <w:iCs w:val="0"/>
        <w:caps w:val="0"/>
        <w:smallCaps w:val="0"/>
        <w:strike w:val="0"/>
        <w:dstrike w:val="0"/>
        <w:vanish w:val="0"/>
        <w:color w:val="000000"/>
        <w:spacing w:val="0"/>
        <w:kern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cs="Times New Roman"/>
        <w:b w:val="0"/>
        <w:i w:val="0"/>
        <w:sz w:val="30"/>
      </w:rPr>
    </w:lvl>
    <w:lvl w:ilvl="4" w:tentative="0">
      <w:start w:val="1"/>
      <w:numFmt w:val="decimal"/>
      <w:isLgl/>
      <w:suff w:val="space"/>
      <w:lvlText w:val="%1.%2.%3.%4.%5"/>
      <w:lvlJc w:val="left"/>
      <w:pPr>
        <w:ind w:left="2268" w:hanging="2268"/>
      </w:pPr>
      <w:rPr>
        <w:rFonts w:hint="default" w:ascii="Arial" w:hAnsi="Arial" w:eastAsia="黑体" w:cs="Times New Roman"/>
        <w:b w:val="0"/>
        <w:i w:val="0"/>
        <w:sz w:val="28"/>
      </w:rPr>
    </w:lvl>
    <w:lvl w:ilvl="5" w:tentative="0">
      <w:start w:val="1"/>
      <w:numFmt w:val="decimal"/>
      <w:isLgl/>
      <w:lvlText w:val="%1.%2.%3.%4.%5.%6"/>
      <w:lvlJc w:val="left"/>
      <w:pPr>
        <w:tabs>
          <w:tab w:val="left" w:pos="1992"/>
        </w:tabs>
        <w:ind w:left="2268" w:hanging="2268"/>
      </w:pPr>
      <w:rPr>
        <w:rFonts w:hint="eastAsia" w:cs="Times New Roman"/>
      </w:rPr>
    </w:lvl>
    <w:lvl w:ilvl="6" w:tentative="0">
      <w:start w:val="1"/>
      <w:numFmt w:val="decimal"/>
      <w:lvlText w:val="%1.%2.%3.%4.%5.%6.%7"/>
      <w:lvlJc w:val="left"/>
      <w:pPr>
        <w:tabs>
          <w:tab w:val="left" w:pos="2136"/>
        </w:tabs>
        <w:ind w:left="2136" w:hanging="1296"/>
      </w:pPr>
      <w:rPr>
        <w:rFonts w:hint="eastAsia" w:cs="Times New Roman"/>
      </w:rPr>
    </w:lvl>
    <w:lvl w:ilvl="7" w:tentative="0">
      <w:start w:val="1"/>
      <w:numFmt w:val="decimal"/>
      <w:pStyle w:val="552"/>
      <w:suff w:val="space"/>
      <w:lvlText w:val="%1.%2.%3.%4.%5.%6.%7.%8"/>
      <w:lvlJc w:val="left"/>
      <w:pPr>
        <w:ind w:left="2268" w:hanging="2268"/>
      </w:pPr>
      <w:rPr>
        <w:rFonts w:hint="eastAsia" w:cs="Times New Roman"/>
      </w:rPr>
    </w:lvl>
    <w:lvl w:ilvl="8" w:tentative="0">
      <w:start w:val="1"/>
      <w:numFmt w:val="decimal"/>
      <w:lvlText w:val="%1.%2.%3.%4.%5.%6.%7.%8.%9"/>
      <w:lvlJc w:val="left"/>
      <w:pPr>
        <w:tabs>
          <w:tab w:val="left" w:pos="2424"/>
        </w:tabs>
        <w:ind w:left="2424" w:hanging="1584"/>
      </w:pPr>
      <w:rPr>
        <w:rFonts w:hint="eastAsia" w:cs="Times New Roman"/>
      </w:rPr>
    </w:lvl>
  </w:abstractNum>
  <w:abstractNum w:abstractNumId="17">
    <w:nsid w:val="492BC776"/>
    <w:multiLevelType w:val="singleLevel"/>
    <w:tmpl w:val="492BC776"/>
    <w:lvl w:ilvl="0" w:tentative="0">
      <w:start w:val="1"/>
      <w:numFmt w:val="decimal"/>
      <w:suff w:val="nothing"/>
      <w:lvlText w:val="%1、"/>
      <w:lvlJc w:val="left"/>
    </w:lvl>
  </w:abstractNum>
  <w:abstractNum w:abstractNumId="18">
    <w:nsid w:val="4CA75A52"/>
    <w:multiLevelType w:val="multilevel"/>
    <w:tmpl w:val="4CA75A52"/>
    <w:lvl w:ilvl="0" w:tentative="0">
      <w:start w:val="1"/>
      <w:numFmt w:val="decimal"/>
      <w:pStyle w:val="182"/>
      <w:lvlText w:val="%1)"/>
      <w:lvlJc w:val="left"/>
      <w:pPr>
        <w:ind w:left="840" w:hanging="420"/>
      </w:pPr>
      <w:rPr>
        <w:rFonts w:hint="eastAsia" w:cs="Times New Roman"/>
      </w:rPr>
    </w:lvl>
    <w:lvl w:ilvl="1" w:tentative="0">
      <w:start w:val="1"/>
      <w:numFmt w:val="lowerLetter"/>
      <w:lvlText w:val="%2)"/>
      <w:lvlJc w:val="left"/>
      <w:pPr>
        <w:ind w:left="420" w:hanging="420"/>
      </w:pPr>
      <w:rPr>
        <w:rFonts w:cs="Times New Roman"/>
      </w:rPr>
    </w:lvl>
    <w:lvl w:ilvl="2" w:tentative="0">
      <w:start w:val="1"/>
      <w:numFmt w:val="lowerRoman"/>
      <w:lvlText w:val="%3."/>
      <w:lvlJc w:val="right"/>
      <w:pPr>
        <w:ind w:left="840" w:hanging="420"/>
      </w:pPr>
      <w:rPr>
        <w:rFonts w:cs="Times New Roman"/>
      </w:rPr>
    </w:lvl>
    <w:lvl w:ilvl="3" w:tentative="0">
      <w:start w:val="1"/>
      <w:numFmt w:val="decimal"/>
      <w:lvlText w:val="%4."/>
      <w:lvlJc w:val="left"/>
      <w:pPr>
        <w:ind w:left="1260" w:hanging="420"/>
      </w:pPr>
      <w:rPr>
        <w:rFonts w:cs="Times New Roman"/>
      </w:rPr>
    </w:lvl>
    <w:lvl w:ilvl="4" w:tentative="0">
      <w:start w:val="1"/>
      <w:numFmt w:val="lowerLetter"/>
      <w:lvlText w:val="%5)"/>
      <w:lvlJc w:val="left"/>
      <w:pPr>
        <w:ind w:left="1680" w:hanging="420"/>
      </w:pPr>
      <w:rPr>
        <w:rFonts w:cs="Times New Roman"/>
      </w:rPr>
    </w:lvl>
    <w:lvl w:ilvl="5" w:tentative="0">
      <w:start w:val="1"/>
      <w:numFmt w:val="lowerRoman"/>
      <w:lvlText w:val="%6."/>
      <w:lvlJc w:val="right"/>
      <w:pPr>
        <w:ind w:left="2100" w:hanging="420"/>
      </w:pPr>
      <w:rPr>
        <w:rFonts w:cs="Times New Roman"/>
      </w:rPr>
    </w:lvl>
    <w:lvl w:ilvl="6" w:tentative="0">
      <w:start w:val="1"/>
      <w:numFmt w:val="decimal"/>
      <w:lvlText w:val="%7."/>
      <w:lvlJc w:val="left"/>
      <w:pPr>
        <w:ind w:left="2520" w:hanging="420"/>
      </w:pPr>
      <w:rPr>
        <w:rFonts w:cs="Times New Roman"/>
      </w:rPr>
    </w:lvl>
    <w:lvl w:ilvl="7" w:tentative="0">
      <w:start w:val="1"/>
      <w:numFmt w:val="lowerLetter"/>
      <w:lvlText w:val="%8)"/>
      <w:lvlJc w:val="left"/>
      <w:pPr>
        <w:ind w:left="2940" w:hanging="420"/>
      </w:pPr>
      <w:rPr>
        <w:rFonts w:cs="Times New Roman"/>
      </w:rPr>
    </w:lvl>
    <w:lvl w:ilvl="8" w:tentative="0">
      <w:start w:val="1"/>
      <w:numFmt w:val="lowerRoman"/>
      <w:lvlText w:val="%9."/>
      <w:lvlJc w:val="right"/>
      <w:pPr>
        <w:ind w:left="3360" w:hanging="420"/>
      </w:pPr>
      <w:rPr>
        <w:rFonts w:cs="Times New Roman"/>
      </w:rPr>
    </w:lvl>
  </w:abstractNum>
  <w:abstractNum w:abstractNumId="19">
    <w:nsid w:val="66410E74"/>
    <w:multiLevelType w:val="multilevel"/>
    <w:tmpl w:val="66410E74"/>
    <w:lvl w:ilvl="0" w:tentative="0">
      <w:start w:val="1"/>
      <w:numFmt w:val="decimal"/>
      <w:suff w:val="space"/>
      <w:lvlText w:val="第 %1 章"/>
      <w:lvlJc w:val="center"/>
      <w:pPr>
        <w:ind w:firstLine="288"/>
      </w:pPr>
      <w:rPr>
        <w:rFonts w:hint="default" w:ascii="Times New Roman" w:hAnsi="Times New Roman" w:eastAsia="黑体" w:cs="Times New Roman"/>
        <w:b w:val="0"/>
        <w:i w:val="0"/>
        <w:sz w:val="44"/>
      </w:rPr>
    </w:lvl>
    <w:lvl w:ilvl="1" w:tentative="0">
      <w:start w:val="1"/>
      <w:numFmt w:val="decimal"/>
      <w:isLgl/>
      <w:suff w:val="space"/>
      <w:lvlText w:val="%1.%2"/>
      <w:lvlJc w:val="left"/>
      <w:pPr>
        <w:ind w:left="2268" w:hanging="2268"/>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2270" w:hanging="227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tentative="0">
      <w:start w:val="1"/>
      <w:numFmt w:val="decimal"/>
      <w:isLgl/>
      <w:suff w:val="space"/>
      <w:lvlText w:val="%1.%2.%3.%4"/>
      <w:lvlJc w:val="left"/>
      <w:pPr>
        <w:ind w:left="2268" w:hanging="2268"/>
      </w:pPr>
      <w:rPr>
        <w:rFonts w:hint="default" w:ascii="Arial" w:hAnsi="Arial" w:eastAsia="黑体" w:cs="Times New Roman"/>
        <w:b w:val="0"/>
        <w:i w:val="0"/>
        <w:sz w:val="30"/>
      </w:rPr>
    </w:lvl>
    <w:lvl w:ilvl="4" w:tentative="0">
      <w:start w:val="1"/>
      <w:numFmt w:val="decimal"/>
      <w:isLgl/>
      <w:suff w:val="space"/>
      <w:lvlText w:val="%1.%2.%3.%4.%5"/>
      <w:lvlJc w:val="left"/>
      <w:pPr>
        <w:ind w:left="2268" w:hanging="2268"/>
      </w:pPr>
      <w:rPr>
        <w:rFonts w:hint="default" w:ascii="Arial" w:hAnsi="Arial" w:eastAsia="黑体" w:cs="Times New Roman"/>
        <w:b w:val="0"/>
        <w:i w:val="0"/>
        <w:sz w:val="28"/>
      </w:rPr>
    </w:lvl>
    <w:lvl w:ilvl="5" w:tentative="0">
      <w:start w:val="1"/>
      <w:numFmt w:val="decimal"/>
      <w:isLgl/>
      <w:lvlText w:val="%1.%2.%3.%4.%5.%6"/>
      <w:lvlJc w:val="left"/>
      <w:pPr>
        <w:tabs>
          <w:tab w:val="left" w:pos="1992"/>
        </w:tabs>
        <w:ind w:left="2268" w:hanging="2268"/>
      </w:pPr>
      <w:rPr>
        <w:rFonts w:hint="eastAsia" w:cs="Times New Roman"/>
      </w:rPr>
    </w:lvl>
    <w:lvl w:ilvl="6" w:tentative="0">
      <w:start w:val="1"/>
      <w:numFmt w:val="decimal"/>
      <w:pStyle w:val="493"/>
      <w:suff w:val="space"/>
      <w:lvlText w:val="%1.%2.%3.%4.%5.%6.%7"/>
      <w:lvlJc w:val="left"/>
      <w:pPr>
        <w:ind w:left="2268" w:hanging="2268"/>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7" w:tentative="0">
      <w:start w:val="1"/>
      <w:numFmt w:val="decimal"/>
      <w:lvlText w:val="%1.%2.%3.%4.%5.%6.%7.%8"/>
      <w:lvlJc w:val="left"/>
      <w:pPr>
        <w:tabs>
          <w:tab w:val="left" w:pos="2280"/>
        </w:tabs>
        <w:ind w:left="2280" w:hanging="1440"/>
      </w:pPr>
      <w:rPr>
        <w:rFonts w:hint="eastAsia" w:cs="Times New Roman"/>
      </w:rPr>
    </w:lvl>
    <w:lvl w:ilvl="8" w:tentative="0">
      <w:start w:val="1"/>
      <w:numFmt w:val="decimal"/>
      <w:lvlText w:val="%1.%2.%3.%4.%5.%6.%7.%8.%9"/>
      <w:lvlJc w:val="left"/>
      <w:pPr>
        <w:tabs>
          <w:tab w:val="left" w:pos="2424"/>
        </w:tabs>
        <w:ind w:left="2424" w:hanging="1584"/>
      </w:pPr>
      <w:rPr>
        <w:rFonts w:hint="eastAsia" w:cs="Times New Roman"/>
      </w:rPr>
    </w:lvl>
  </w:abstractNum>
  <w:abstractNum w:abstractNumId="20">
    <w:nsid w:val="6DA1672E"/>
    <w:multiLevelType w:val="singleLevel"/>
    <w:tmpl w:val="6DA1672E"/>
    <w:lvl w:ilvl="0" w:tentative="0">
      <w:start w:val="8"/>
      <w:numFmt w:val="chineseCounting"/>
      <w:suff w:val="nothing"/>
      <w:lvlText w:val="%1．"/>
      <w:lvlJc w:val="left"/>
      <w:rPr>
        <w:rFonts w:hint="eastAsia"/>
      </w:rPr>
    </w:lvl>
  </w:abstractNum>
  <w:num w:numId="1">
    <w:abstractNumId w:val="4"/>
  </w:num>
  <w:num w:numId="2">
    <w:abstractNumId w:val="2"/>
  </w:num>
  <w:num w:numId="3">
    <w:abstractNumId w:val="7"/>
  </w:num>
  <w:num w:numId="4">
    <w:abstractNumId w:val="11"/>
  </w:num>
  <w:num w:numId="5">
    <w:abstractNumId w:val="18"/>
  </w:num>
  <w:num w:numId="6">
    <w:abstractNumId w:val="3"/>
  </w:num>
  <w:num w:numId="7">
    <w:abstractNumId w:val="15"/>
  </w:num>
  <w:num w:numId="8">
    <w:abstractNumId w:val="6"/>
  </w:num>
  <w:num w:numId="9">
    <w:abstractNumId w:val="8"/>
  </w:num>
  <w:num w:numId="10">
    <w:abstractNumId w:val="19"/>
  </w:num>
  <w:num w:numId="11">
    <w:abstractNumId w:val="10"/>
  </w:num>
  <w:num w:numId="12">
    <w:abstractNumId w:val="14"/>
  </w:num>
  <w:num w:numId="13">
    <w:abstractNumId w:val="16"/>
  </w:num>
  <w:num w:numId="14">
    <w:abstractNumId w:val="1"/>
  </w:num>
  <w:num w:numId="15">
    <w:abstractNumId w:val="13"/>
  </w:num>
  <w:num w:numId="16">
    <w:abstractNumId w:val="5"/>
  </w:num>
  <w:num w:numId="17">
    <w:abstractNumId w:val="9"/>
  </w:num>
  <w:num w:numId="18">
    <w:abstractNumId w:val="0"/>
  </w:num>
  <w:num w:numId="19">
    <w:abstractNumId w:val="17"/>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2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NTFkZjg3ZTFjOWE3NmM0NWZmYWUyYjc2ODE4NjMifQ=="/>
  </w:docVars>
  <w:rsids>
    <w:rsidRoot w:val="005A08C3"/>
    <w:rsid w:val="000036B6"/>
    <w:rsid w:val="000047EB"/>
    <w:rsid w:val="000102A7"/>
    <w:rsid w:val="0001082C"/>
    <w:rsid w:val="00011733"/>
    <w:rsid w:val="00011984"/>
    <w:rsid w:val="00012333"/>
    <w:rsid w:val="0001297E"/>
    <w:rsid w:val="00012F30"/>
    <w:rsid w:val="00013144"/>
    <w:rsid w:val="00013908"/>
    <w:rsid w:val="00013C1A"/>
    <w:rsid w:val="00014943"/>
    <w:rsid w:val="00020FDA"/>
    <w:rsid w:val="0002316A"/>
    <w:rsid w:val="000243DB"/>
    <w:rsid w:val="00024AAC"/>
    <w:rsid w:val="000260D7"/>
    <w:rsid w:val="00027ED8"/>
    <w:rsid w:val="00035204"/>
    <w:rsid w:val="0003640F"/>
    <w:rsid w:val="00036D8B"/>
    <w:rsid w:val="00037C32"/>
    <w:rsid w:val="000414DA"/>
    <w:rsid w:val="000423CF"/>
    <w:rsid w:val="0004252A"/>
    <w:rsid w:val="00042902"/>
    <w:rsid w:val="00044DBA"/>
    <w:rsid w:val="00047960"/>
    <w:rsid w:val="000521BC"/>
    <w:rsid w:val="00052E72"/>
    <w:rsid w:val="000536A7"/>
    <w:rsid w:val="00053DF9"/>
    <w:rsid w:val="0005457A"/>
    <w:rsid w:val="000546D8"/>
    <w:rsid w:val="00057D9D"/>
    <w:rsid w:val="0006001C"/>
    <w:rsid w:val="00061C03"/>
    <w:rsid w:val="0006360F"/>
    <w:rsid w:val="00063D3D"/>
    <w:rsid w:val="000645F7"/>
    <w:rsid w:val="000656C0"/>
    <w:rsid w:val="000659A5"/>
    <w:rsid w:val="0006618E"/>
    <w:rsid w:val="00066528"/>
    <w:rsid w:val="00070514"/>
    <w:rsid w:val="00070E3B"/>
    <w:rsid w:val="00073C31"/>
    <w:rsid w:val="000747CF"/>
    <w:rsid w:val="0007528F"/>
    <w:rsid w:val="000758E5"/>
    <w:rsid w:val="00077974"/>
    <w:rsid w:val="000812D4"/>
    <w:rsid w:val="00083E06"/>
    <w:rsid w:val="00084B8E"/>
    <w:rsid w:val="00090117"/>
    <w:rsid w:val="00090A4C"/>
    <w:rsid w:val="0009281D"/>
    <w:rsid w:val="00094D8E"/>
    <w:rsid w:val="00094EED"/>
    <w:rsid w:val="00097F66"/>
    <w:rsid w:val="000A0E7D"/>
    <w:rsid w:val="000A1A0E"/>
    <w:rsid w:val="000A1B7E"/>
    <w:rsid w:val="000A28E8"/>
    <w:rsid w:val="000A2AB3"/>
    <w:rsid w:val="000A748E"/>
    <w:rsid w:val="000B0577"/>
    <w:rsid w:val="000B43E2"/>
    <w:rsid w:val="000B4436"/>
    <w:rsid w:val="000B5252"/>
    <w:rsid w:val="000B600E"/>
    <w:rsid w:val="000B7610"/>
    <w:rsid w:val="000B7EA7"/>
    <w:rsid w:val="000C0705"/>
    <w:rsid w:val="000C0D98"/>
    <w:rsid w:val="000C2B6D"/>
    <w:rsid w:val="000C46C3"/>
    <w:rsid w:val="000C4BCB"/>
    <w:rsid w:val="000C4DAA"/>
    <w:rsid w:val="000C5587"/>
    <w:rsid w:val="000C5C78"/>
    <w:rsid w:val="000C6ADD"/>
    <w:rsid w:val="000C7525"/>
    <w:rsid w:val="000D3DAC"/>
    <w:rsid w:val="000D4445"/>
    <w:rsid w:val="000D6037"/>
    <w:rsid w:val="000D67E6"/>
    <w:rsid w:val="000D706E"/>
    <w:rsid w:val="000D7AAB"/>
    <w:rsid w:val="000E0009"/>
    <w:rsid w:val="000E171A"/>
    <w:rsid w:val="000E3225"/>
    <w:rsid w:val="000E3911"/>
    <w:rsid w:val="000E55B2"/>
    <w:rsid w:val="000E57BF"/>
    <w:rsid w:val="000E68BE"/>
    <w:rsid w:val="000F00CF"/>
    <w:rsid w:val="000F06BB"/>
    <w:rsid w:val="000F30E7"/>
    <w:rsid w:val="000F4322"/>
    <w:rsid w:val="000F52F2"/>
    <w:rsid w:val="000F5FF7"/>
    <w:rsid w:val="000F678C"/>
    <w:rsid w:val="000F69CC"/>
    <w:rsid w:val="0010138A"/>
    <w:rsid w:val="00101F3A"/>
    <w:rsid w:val="0010265A"/>
    <w:rsid w:val="00103F28"/>
    <w:rsid w:val="00107024"/>
    <w:rsid w:val="00107A7D"/>
    <w:rsid w:val="00110A4C"/>
    <w:rsid w:val="00111B6B"/>
    <w:rsid w:val="001140DB"/>
    <w:rsid w:val="0011775B"/>
    <w:rsid w:val="00117D08"/>
    <w:rsid w:val="00120BB9"/>
    <w:rsid w:val="0012108A"/>
    <w:rsid w:val="00122188"/>
    <w:rsid w:val="001257DE"/>
    <w:rsid w:val="0012582E"/>
    <w:rsid w:val="00127B7E"/>
    <w:rsid w:val="00130614"/>
    <w:rsid w:val="001306CA"/>
    <w:rsid w:val="001310AA"/>
    <w:rsid w:val="001341ED"/>
    <w:rsid w:val="00134C10"/>
    <w:rsid w:val="001354A9"/>
    <w:rsid w:val="001375B5"/>
    <w:rsid w:val="001402D7"/>
    <w:rsid w:val="0014103B"/>
    <w:rsid w:val="00142D5F"/>
    <w:rsid w:val="00143EA7"/>
    <w:rsid w:val="001446C6"/>
    <w:rsid w:val="00147D50"/>
    <w:rsid w:val="001512FB"/>
    <w:rsid w:val="00155AB3"/>
    <w:rsid w:val="00156585"/>
    <w:rsid w:val="00157979"/>
    <w:rsid w:val="00163B16"/>
    <w:rsid w:val="0016491F"/>
    <w:rsid w:val="00164DEB"/>
    <w:rsid w:val="0016502B"/>
    <w:rsid w:val="001704AD"/>
    <w:rsid w:val="00171CA2"/>
    <w:rsid w:val="0017306D"/>
    <w:rsid w:val="00174115"/>
    <w:rsid w:val="00175106"/>
    <w:rsid w:val="00176E85"/>
    <w:rsid w:val="00180406"/>
    <w:rsid w:val="00181402"/>
    <w:rsid w:val="001848EB"/>
    <w:rsid w:val="0018501C"/>
    <w:rsid w:val="001861E9"/>
    <w:rsid w:val="00190947"/>
    <w:rsid w:val="00191CDB"/>
    <w:rsid w:val="00193849"/>
    <w:rsid w:val="00193A49"/>
    <w:rsid w:val="00193DBD"/>
    <w:rsid w:val="00195909"/>
    <w:rsid w:val="00195FCD"/>
    <w:rsid w:val="0019733B"/>
    <w:rsid w:val="001A2E0D"/>
    <w:rsid w:val="001A317B"/>
    <w:rsid w:val="001A3C9D"/>
    <w:rsid w:val="001A3D6A"/>
    <w:rsid w:val="001A4AB9"/>
    <w:rsid w:val="001A4C66"/>
    <w:rsid w:val="001B0FF8"/>
    <w:rsid w:val="001B11CA"/>
    <w:rsid w:val="001B1245"/>
    <w:rsid w:val="001B1684"/>
    <w:rsid w:val="001B4C64"/>
    <w:rsid w:val="001B5A3C"/>
    <w:rsid w:val="001B6E6A"/>
    <w:rsid w:val="001B6F71"/>
    <w:rsid w:val="001B76EA"/>
    <w:rsid w:val="001B7E7A"/>
    <w:rsid w:val="001C391E"/>
    <w:rsid w:val="001D30C0"/>
    <w:rsid w:val="001D39AF"/>
    <w:rsid w:val="001D450A"/>
    <w:rsid w:val="001D4592"/>
    <w:rsid w:val="001D5075"/>
    <w:rsid w:val="001D5569"/>
    <w:rsid w:val="001D6080"/>
    <w:rsid w:val="001D71C2"/>
    <w:rsid w:val="001D7E63"/>
    <w:rsid w:val="001E0912"/>
    <w:rsid w:val="001E1B42"/>
    <w:rsid w:val="001E204E"/>
    <w:rsid w:val="001E4B81"/>
    <w:rsid w:val="001E5085"/>
    <w:rsid w:val="001E5279"/>
    <w:rsid w:val="001E6994"/>
    <w:rsid w:val="001F3BF8"/>
    <w:rsid w:val="001F4219"/>
    <w:rsid w:val="001F4B0C"/>
    <w:rsid w:val="001F4BB5"/>
    <w:rsid w:val="001F4D16"/>
    <w:rsid w:val="00201000"/>
    <w:rsid w:val="00201B04"/>
    <w:rsid w:val="00203582"/>
    <w:rsid w:val="00212A80"/>
    <w:rsid w:val="00213340"/>
    <w:rsid w:val="00213368"/>
    <w:rsid w:val="0021338F"/>
    <w:rsid w:val="002134AA"/>
    <w:rsid w:val="00213A07"/>
    <w:rsid w:val="00213D3B"/>
    <w:rsid w:val="002140D9"/>
    <w:rsid w:val="0021418E"/>
    <w:rsid w:val="002145BF"/>
    <w:rsid w:val="00220B74"/>
    <w:rsid w:val="00223D05"/>
    <w:rsid w:val="00223F46"/>
    <w:rsid w:val="0022512E"/>
    <w:rsid w:val="00225196"/>
    <w:rsid w:val="002273E1"/>
    <w:rsid w:val="00227D77"/>
    <w:rsid w:val="00233089"/>
    <w:rsid w:val="0023446E"/>
    <w:rsid w:val="00234A8F"/>
    <w:rsid w:val="002356C1"/>
    <w:rsid w:val="00236226"/>
    <w:rsid w:val="002404F9"/>
    <w:rsid w:val="00240B3F"/>
    <w:rsid w:val="00244443"/>
    <w:rsid w:val="00244712"/>
    <w:rsid w:val="002458C1"/>
    <w:rsid w:val="00246C97"/>
    <w:rsid w:val="00251D5D"/>
    <w:rsid w:val="00255D5F"/>
    <w:rsid w:val="00256D68"/>
    <w:rsid w:val="0025743F"/>
    <w:rsid w:val="00261E44"/>
    <w:rsid w:val="002627F7"/>
    <w:rsid w:val="00264F52"/>
    <w:rsid w:val="00265CA3"/>
    <w:rsid w:val="002667AC"/>
    <w:rsid w:val="00266EA9"/>
    <w:rsid w:val="00267EAF"/>
    <w:rsid w:val="00270D3D"/>
    <w:rsid w:val="00274E4B"/>
    <w:rsid w:val="002756D0"/>
    <w:rsid w:val="00277A0D"/>
    <w:rsid w:val="002802DA"/>
    <w:rsid w:val="00280557"/>
    <w:rsid w:val="00280883"/>
    <w:rsid w:val="00280DB8"/>
    <w:rsid w:val="00281D86"/>
    <w:rsid w:val="002820DE"/>
    <w:rsid w:val="0028391D"/>
    <w:rsid w:val="00290887"/>
    <w:rsid w:val="00291D74"/>
    <w:rsid w:val="002925F3"/>
    <w:rsid w:val="002931DE"/>
    <w:rsid w:val="0029372E"/>
    <w:rsid w:val="00294367"/>
    <w:rsid w:val="00295564"/>
    <w:rsid w:val="00296749"/>
    <w:rsid w:val="002A4F0D"/>
    <w:rsid w:val="002A51FD"/>
    <w:rsid w:val="002A602E"/>
    <w:rsid w:val="002A6491"/>
    <w:rsid w:val="002B1764"/>
    <w:rsid w:val="002B3635"/>
    <w:rsid w:val="002B3FE7"/>
    <w:rsid w:val="002B56E0"/>
    <w:rsid w:val="002B5E7C"/>
    <w:rsid w:val="002B66C9"/>
    <w:rsid w:val="002B6ED5"/>
    <w:rsid w:val="002B74D8"/>
    <w:rsid w:val="002B7500"/>
    <w:rsid w:val="002B7949"/>
    <w:rsid w:val="002C0C13"/>
    <w:rsid w:val="002C0FF5"/>
    <w:rsid w:val="002C185B"/>
    <w:rsid w:val="002C1D57"/>
    <w:rsid w:val="002C1F4C"/>
    <w:rsid w:val="002C704F"/>
    <w:rsid w:val="002C7392"/>
    <w:rsid w:val="002C783F"/>
    <w:rsid w:val="002D0220"/>
    <w:rsid w:val="002D1E6C"/>
    <w:rsid w:val="002D293B"/>
    <w:rsid w:val="002D3539"/>
    <w:rsid w:val="002D3E57"/>
    <w:rsid w:val="002D459A"/>
    <w:rsid w:val="002D4674"/>
    <w:rsid w:val="002D4EDE"/>
    <w:rsid w:val="002D531C"/>
    <w:rsid w:val="002D67D2"/>
    <w:rsid w:val="002D6DC7"/>
    <w:rsid w:val="002E063A"/>
    <w:rsid w:val="002E10D0"/>
    <w:rsid w:val="002E30E7"/>
    <w:rsid w:val="002E541D"/>
    <w:rsid w:val="002E5427"/>
    <w:rsid w:val="002E5B52"/>
    <w:rsid w:val="002F0F05"/>
    <w:rsid w:val="002F42C2"/>
    <w:rsid w:val="00300036"/>
    <w:rsid w:val="003017F8"/>
    <w:rsid w:val="00303692"/>
    <w:rsid w:val="003046F8"/>
    <w:rsid w:val="00304E2F"/>
    <w:rsid w:val="00305D4E"/>
    <w:rsid w:val="0030612F"/>
    <w:rsid w:val="00307763"/>
    <w:rsid w:val="003121A9"/>
    <w:rsid w:val="00312244"/>
    <w:rsid w:val="00313FE8"/>
    <w:rsid w:val="0031780F"/>
    <w:rsid w:val="003179C3"/>
    <w:rsid w:val="003208DC"/>
    <w:rsid w:val="0032315B"/>
    <w:rsid w:val="00325191"/>
    <w:rsid w:val="003253BD"/>
    <w:rsid w:val="003257F4"/>
    <w:rsid w:val="00326436"/>
    <w:rsid w:val="00326CF5"/>
    <w:rsid w:val="0032730A"/>
    <w:rsid w:val="003301EC"/>
    <w:rsid w:val="00330B45"/>
    <w:rsid w:val="003343F2"/>
    <w:rsid w:val="0033465B"/>
    <w:rsid w:val="00334C1A"/>
    <w:rsid w:val="00340CE6"/>
    <w:rsid w:val="0034106E"/>
    <w:rsid w:val="0034117E"/>
    <w:rsid w:val="0034186C"/>
    <w:rsid w:val="00342788"/>
    <w:rsid w:val="003464D1"/>
    <w:rsid w:val="00346761"/>
    <w:rsid w:val="003471E4"/>
    <w:rsid w:val="00347247"/>
    <w:rsid w:val="003532D4"/>
    <w:rsid w:val="00354A24"/>
    <w:rsid w:val="00355646"/>
    <w:rsid w:val="00356FB3"/>
    <w:rsid w:val="003610E5"/>
    <w:rsid w:val="0036252B"/>
    <w:rsid w:val="00364CA8"/>
    <w:rsid w:val="00365948"/>
    <w:rsid w:val="003670E3"/>
    <w:rsid w:val="00367FDE"/>
    <w:rsid w:val="00371934"/>
    <w:rsid w:val="003722F1"/>
    <w:rsid w:val="00373585"/>
    <w:rsid w:val="00376195"/>
    <w:rsid w:val="00376737"/>
    <w:rsid w:val="00376EA9"/>
    <w:rsid w:val="003770A6"/>
    <w:rsid w:val="00383AC1"/>
    <w:rsid w:val="00383D18"/>
    <w:rsid w:val="00384026"/>
    <w:rsid w:val="00384566"/>
    <w:rsid w:val="003850A4"/>
    <w:rsid w:val="00385792"/>
    <w:rsid w:val="00386546"/>
    <w:rsid w:val="00386853"/>
    <w:rsid w:val="00386BA1"/>
    <w:rsid w:val="00390CF2"/>
    <w:rsid w:val="00390EA5"/>
    <w:rsid w:val="003931D1"/>
    <w:rsid w:val="0039621A"/>
    <w:rsid w:val="00396CDA"/>
    <w:rsid w:val="003A073D"/>
    <w:rsid w:val="003A1095"/>
    <w:rsid w:val="003A10E7"/>
    <w:rsid w:val="003A140C"/>
    <w:rsid w:val="003A2434"/>
    <w:rsid w:val="003A5E83"/>
    <w:rsid w:val="003A6041"/>
    <w:rsid w:val="003A68A0"/>
    <w:rsid w:val="003A6CE1"/>
    <w:rsid w:val="003B1F0B"/>
    <w:rsid w:val="003B2877"/>
    <w:rsid w:val="003B3400"/>
    <w:rsid w:val="003B4319"/>
    <w:rsid w:val="003B45CF"/>
    <w:rsid w:val="003B69A0"/>
    <w:rsid w:val="003B7538"/>
    <w:rsid w:val="003C2C23"/>
    <w:rsid w:val="003C3293"/>
    <w:rsid w:val="003C3B45"/>
    <w:rsid w:val="003C4940"/>
    <w:rsid w:val="003D362D"/>
    <w:rsid w:val="003D4C72"/>
    <w:rsid w:val="003D609E"/>
    <w:rsid w:val="003D6515"/>
    <w:rsid w:val="003E049E"/>
    <w:rsid w:val="003E1433"/>
    <w:rsid w:val="003E1587"/>
    <w:rsid w:val="003E29D1"/>
    <w:rsid w:val="003E3243"/>
    <w:rsid w:val="003E4FF4"/>
    <w:rsid w:val="003E5681"/>
    <w:rsid w:val="003E5A66"/>
    <w:rsid w:val="003E5B02"/>
    <w:rsid w:val="003E5C82"/>
    <w:rsid w:val="003E6E20"/>
    <w:rsid w:val="003E717E"/>
    <w:rsid w:val="003F08C7"/>
    <w:rsid w:val="003F0B5F"/>
    <w:rsid w:val="003F190A"/>
    <w:rsid w:val="003F2A85"/>
    <w:rsid w:val="003F39C2"/>
    <w:rsid w:val="003F432D"/>
    <w:rsid w:val="003F4A39"/>
    <w:rsid w:val="003F4CFD"/>
    <w:rsid w:val="003F5D4D"/>
    <w:rsid w:val="003F645D"/>
    <w:rsid w:val="00400E97"/>
    <w:rsid w:val="00401888"/>
    <w:rsid w:val="004024AF"/>
    <w:rsid w:val="004031A6"/>
    <w:rsid w:val="004047ED"/>
    <w:rsid w:val="00405944"/>
    <w:rsid w:val="00410467"/>
    <w:rsid w:val="00410A63"/>
    <w:rsid w:val="00411D55"/>
    <w:rsid w:val="00412C4E"/>
    <w:rsid w:val="00413637"/>
    <w:rsid w:val="00414F59"/>
    <w:rsid w:val="004158E5"/>
    <w:rsid w:val="00415A0B"/>
    <w:rsid w:val="0041681C"/>
    <w:rsid w:val="00417772"/>
    <w:rsid w:val="00417D9E"/>
    <w:rsid w:val="004202A0"/>
    <w:rsid w:val="004211F1"/>
    <w:rsid w:val="00427620"/>
    <w:rsid w:val="00430068"/>
    <w:rsid w:val="00430C2F"/>
    <w:rsid w:val="00431092"/>
    <w:rsid w:val="004318F6"/>
    <w:rsid w:val="00431EB9"/>
    <w:rsid w:val="004328B9"/>
    <w:rsid w:val="00433D96"/>
    <w:rsid w:val="00435B15"/>
    <w:rsid w:val="00436414"/>
    <w:rsid w:val="00442300"/>
    <w:rsid w:val="00446A69"/>
    <w:rsid w:val="00447612"/>
    <w:rsid w:val="00450D0F"/>
    <w:rsid w:val="0045120D"/>
    <w:rsid w:val="004524D3"/>
    <w:rsid w:val="0045263F"/>
    <w:rsid w:val="00452A61"/>
    <w:rsid w:val="00452BD6"/>
    <w:rsid w:val="004530A9"/>
    <w:rsid w:val="00454425"/>
    <w:rsid w:val="004544AE"/>
    <w:rsid w:val="00456396"/>
    <w:rsid w:val="004579F0"/>
    <w:rsid w:val="0046087F"/>
    <w:rsid w:val="00460881"/>
    <w:rsid w:val="00460FD3"/>
    <w:rsid w:val="00463EF9"/>
    <w:rsid w:val="00466E26"/>
    <w:rsid w:val="00470103"/>
    <w:rsid w:val="004745A3"/>
    <w:rsid w:val="004756F2"/>
    <w:rsid w:val="00475F03"/>
    <w:rsid w:val="004802BB"/>
    <w:rsid w:val="00481281"/>
    <w:rsid w:val="004837DD"/>
    <w:rsid w:val="0048447B"/>
    <w:rsid w:val="0048540B"/>
    <w:rsid w:val="00486D81"/>
    <w:rsid w:val="004913E4"/>
    <w:rsid w:val="00491E85"/>
    <w:rsid w:val="004922D4"/>
    <w:rsid w:val="004924C7"/>
    <w:rsid w:val="00494C16"/>
    <w:rsid w:val="00494E79"/>
    <w:rsid w:val="004957BB"/>
    <w:rsid w:val="004961B6"/>
    <w:rsid w:val="00497725"/>
    <w:rsid w:val="004A0396"/>
    <w:rsid w:val="004A0B7F"/>
    <w:rsid w:val="004A2A4F"/>
    <w:rsid w:val="004A2F46"/>
    <w:rsid w:val="004A3C94"/>
    <w:rsid w:val="004A3E92"/>
    <w:rsid w:val="004A42D9"/>
    <w:rsid w:val="004A44ED"/>
    <w:rsid w:val="004B4F62"/>
    <w:rsid w:val="004B5A82"/>
    <w:rsid w:val="004B64B2"/>
    <w:rsid w:val="004B6E9E"/>
    <w:rsid w:val="004B70A5"/>
    <w:rsid w:val="004B7EE5"/>
    <w:rsid w:val="004C1740"/>
    <w:rsid w:val="004C5B40"/>
    <w:rsid w:val="004C647D"/>
    <w:rsid w:val="004C6827"/>
    <w:rsid w:val="004C6FDC"/>
    <w:rsid w:val="004C7A0A"/>
    <w:rsid w:val="004D025A"/>
    <w:rsid w:val="004D05F8"/>
    <w:rsid w:val="004D2290"/>
    <w:rsid w:val="004D4F60"/>
    <w:rsid w:val="004D7C1B"/>
    <w:rsid w:val="004D7EF4"/>
    <w:rsid w:val="004E1458"/>
    <w:rsid w:val="004E14C9"/>
    <w:rsid w:val="004E2B81"/>
    <w:rsid w:val="004E2D8B"/>
    <w:rsid w:val="004E4785"/>
    <w:rsid w:val="004E5E18"/>
    <w:rsid w:val="004E5FE0"/>
    <w:rsid w:val="004E73CA"/>
    <w:rsid w:val="004F0794"/>
    <w:rsid w:val="004F1149"/>
    <w:rsid w:val="004F289B"/>
    <w:rsid w:val="004F2FCC"/>
    <w:rsid w:val="004F3006"/>
    <w:rsid w:val="004F3220"/>
    <w:rsid w:val="004F38E1"/>
    <w:rsid w:val="004F3D2A"/>
    <w:rsid w:val="004F4993"/>
    <w:rsid w:val="004F6FC9"/>
    <w:rsid w:val="00500559"/>
    <w:rsid w:val="0050214A"/>
    <w:rsid w:val="0050245B"/>
    <w:rsid w:val="00502781"/>
    <w:rsid w:val="00502FE0"/>
    <w:rsid w:val="00503DEB"/>
    <w:rsid w:val="00504C13"/>
    <w:rsid w:val="00505435"/>
    <w:rsid w:val="00505CAE"/>
    <w:rsid w:val="00506C5E"/>
    <w:rsid w:val="00507B5B"/>
    <w:rsid w:val="00510A3F"/>
    <w:rsid w:val="005131C2"/>
    <w:rsid w:val="005141B4"/>
    <w:rsid w:val="00521F80"/>
    <w:rsid w:val="0052476A"/>
    <w:rsid w:val="00524DED"/>
    <w:rsid w:val="00530111"/>
    <w:rsid w:val="00530717"/>
    <w:rsid w:val="00530DD7"/>
    <w:rsid w:val="005313DA"/>
    <w:rsid w:val="00531601"/>
    <w:rsid w:val="005348B4"/>
    <w:rsid w:val="00536A4F"/>
    <w:rsid w:val="00537EB2"/>
    <w:rsid w:val="00545231"/>
    <w:rsid w:val="005464E0"/>
    <w:rsid w:val="00552719"/>
    <w:rsid w:val="00555D2B"/>
    <w:rsid w:val="00556ADC"/>
    <w:rsid w:val="005574B1"/>
    <w:rsid w:val="005600A7"/>
    <w:rsid w:val="00561C7A"/>
    <w:rsid w:val="00565017"/>
    <w:rsid w:val="00565F5B"/>
    <w:rsid w:val="00571509"/>
    <w:rsid w:val="00571927"/>
    <w:rsid w:val="00572B71"/>
    <w:rsid w:val="005731F5"/>
    <w:rsid w:val="00573249"/>
    <w:rsid w:val="00573FB5"/>
    <w:rsid w:val="005740B6"/>
    <w:rsid w:val="0057468A"/>
    <w:rsid w:val="00574D03"/>
    <w:rsid w:val="00575BC6"/>
    <w:rsid w:val="00577704"/>
    <w:rsid w:val="005778A1"/>
    <w:rsid w:val="00577C40"/>
    <w:rsid w:val="0058037C"/>
    <w:rsid w:val="0058073B"/>
    <w:rsid w:val="00580AD7"/>
    <w:rsid w:val="005811D5"/>
    <w:rsid w:val="0058323B"/>
    <w:rsid w:val="005864E6"/>
    <w:rsid w:val="005865DB"/>
    <w:rsid w:val="00586862"/>
    <w:rsid w:val="00586CB9"/>
    <w:rsid w:val="00586F62"/>
    <w:rsid w:val="0058736F"/>
    <w:rsid w:val="005873C5"/>
    <w:rsid w:val="005914D1"/>
    <w:rsid w:val="005920F2"/>
    <w:rsid w:val="005933AA"/>
    <w:rsid w:val="00594FE9"/>
    <w:rsid w:val="00595A88"/>
    <w:rsid w:val="0059618F"/>
    <w:rsid w:val="005A024B"/>
    <w:rsid w:val="005A056B"/>
    <w:rsid w:val="005A06FB"/>
    <w:rsid w:val="005A08AC"/>
    <w:rsid w:val="005A08C3"/>
    <w:rsid w:val="005A27E4"/>
    <w:rsid w:val="005A2AFD"/>
    <w:rsid w:val="005A41FC"/>
    <w:rsid w:val="005A4390"/>
    <w:rsid w:val="005A5AF4"/>
    <w:rsid w:val="005A5EDA"/>
    <w:rsid w:val="005A6296"/>
    <w:rsid w:val="005A63B2"/>
    <w:rsid w:val="005A755A"/>
    <w:rsid w:val="005A75A8"/>
    <w:rsid w:val="005A789C"/>
    <w:rsid w:val="005B0562"/>
    <w:rsid w:val="005B20E5"/>
    <w:rsid w:val="005B2663"/>
    <w:rsid w:val="005B2AAA"/>
    <w:rsid w:val="005B34E4"/>
    <w:rsid w:val="005B3575"/>
    <w:rsid w:val="005B3F1A"/>
    <w:rsid w:val="005B3FB5"/>
    <w:rsid w:val="005B5ADF"/>
    <w:rsid w:val="005B6C11"/>
    <w:rsid w:val="005B7B46"/>
    <w:rsid w:val="005B7BC3"/>
    <w:rsid w:val="005C0160"/>
    <w:rsid w:val="005C0275"/>
    <w:rsid w:val="005C0F89"/>
    <w:rsid w:val="005C1F0F"/>
    <w:rsid w:val="005C2DD9"/>
    <w:rsid w:val="005C76BF"/>
    <w:rsid w:val="005C7B31"/>
    <w:rsid w:val="005D0832"/>
    <w:rsid w:val="005D131C"/>
    <w:rsid w:val="005D2144"/>
    <w:rsid w:val="005D2BDF"/>
    <w:rsid w:val="005D3ED2"/>
    <w:rsid w:val="005D4E4F"/>
    <w:rsid w:val="005D75E4"/>
    <w:rsid w:val="005D7E06"/>
    <w:rsid w:val="005E149C"/>
    <w:rsid w:val="005E1525"/>
    <w:rsid w:val="005E6006"/>
    <w:rsid w:val="005F1006"/>
    <w:rsid w:val="005F1FAC"/>
    <w:rsid w:val="005F5841"/>
    <w:rsid w:val="005F628D"/>
    <w:rsid w:val="005F6FCA"/>
    <w:rsid w:val="00601039"/>
    <w:rsid w:val="00601FD1"/>
    <w:rsid w:val="00603CF5"/>
    <w:rsid w:val="00604813"/>
    <w:rsid w:val="00604E3F"/>
    <w:rsid w:val="006066AB"/>
    <w:rsid w:val="00607A5A"/>
    <w:rsid w:val="00610AF3"/>
    <w:rsid w:val="00611723"/>
    <w:rsid w:val="00612665"/>
    <w:rsid w:val="00614FBB"/>
    <w:rsid w:val="0061527C"/>
    <w:rsid w:val="00616C6D"/>
    <w:rsid w:val="006228FB"/>
    <w:rsid w:val="006239FB"/>
    <w:rsid w:val="00624827"/>
    <w:rsid w:val="00624CE9"/>
    <w:rsid w:val="00627260"/>
    <w:rsid w:val="0063121B"/>
    <w:rsid w:val="00632C0F"/>
    <w:rsid w:val="0063353E"/>
    <w:rsid w:val="00634221"/>
    <w:rsid w:val="006346FE"/>
    <w:rsid w:val="00634E58"/>
    <w:rsid w:val="006359B5"/>
    <w:rsid w:val="00637A1A"/>
    <w:rsid w:val="00640563"/>
    <w:rsid w:val="00645147"/>
    <w:rsid w:val="00646B91"/>
    <w:rsid w:val="00646DD6"/>
    <w:rsid w:val="006474D0"/>
    <w:rsid w:val="00647541"/>
    <w:rsid w:val="00647870"/>
    <w:rsid w:val="006533C6"/>
    <w:rsid w:val="0065672E"/>
    <w:rsid w:val="0065741E"/>
    <w:rsid w:val="00657734"/>
    <w:rsid w:val="00661708"/>
    <w:rsid w:val="00661B49"/>
    <w:rsid w:val="00662B10"/>
    <w:rsid w:val="00663E5B"/>
    <w:rsid w:val="0066433A"/>
    <w:rsid w:val="00664B2C"/>
    <w:rsid w:val="00664D02"/>
    <w:rsid w:val="006650D7"/>
    <w:rsid w:val="00666A69"/>
    <w:rsid w:val="00670310"/>
    <w:rsid w:val="00670601"/>
    <w:rsid w:val="006706D3"/>
    <w:rsid w:val="00670FF9"/>
    <w:rsid w:val="00680BB2"/>
    <w:rsid w:val="00680E3D"/>
    <w:rsid w:val="00681CB3"/>
    <w:rsid w:val="00681DC9"/>
    <w:rsid w:val="00682F21"/>
    <w:rsid w:val="00685DDF"/>
    <w:rsid w:val="00687F70"/>
    <w:rsid w:val="0069010A"/>
    <w:rsid w:val="00690A88"/>
    <w:rsid w:val="0069190D"/>
    <w:rsid w:val="006933F7"/>
    <w:rsid w:val="00693967"/>
    <w:rsid w:val="00695EA6"/>
    <w:rsid w:val="006A2122"/>
    <w:rsid w:val="006A236E"/>
    <w:rsid w:val="006A4B03"/>
    <w:rsid w:val="006A4FAA"/>
    <w:rsid w:val="006A710C"/>
    <w:rsid w:val="006A74F3"/>
    <w:rsid w:val="006B0765"/>
    <w:rsid w:val="006B247F"/>
    <w:rsid w:val="006B6504"/>
    <w:rsid w:val="006C45FB"/>
    <w:rsid w:val="006C5B54"/>
    <w:rsid w:val="006C6D71"/>
    <w:rsid w:val="006C7BD5"/>
    <w:rsid w:val="006D0007"/>
    <w:rsid w:val="006D08FD"/>
    <w:rsid w:val="006D09A0"/>
    <w:rsid w:val="006D2516"/>
    <w:rsid w:val="006D54CF"/>
    <w:rsid w:val="006D7087"/>
    <w:rsid w:val="006D7FCC"/>
    <w:rsid w:val="006E12B6"/>
    <w:rsid w:val="006E2195"/>
    <w:rsid w:val="006E284E"/>
    <w:rsid w:val="006E460E"/>
    <w:rsid w:val="006E4EBC"/>
    <w:rsid w:val="006E63F4"/>
    <w:rsid w:val="006E65AD"/>
    <w:rsid w:val="006E69E1"/>
    <w:rsid w:val="006E7951"/>
    <w:rsid w:val="006F130A"/>
    <w:rsid w:val="006F434D"/>
    <w:rsid w:val="006F4A6B"/>
    <w:rsid w:val="006F4E30"/>
    <w:rsid w:val="006F5743"/>
    <w:rsid w:val="00700B81"/>
    <w:rsid w:val="007015D1"/>
    <w:rsid w:val="00702461"/>
    <w:rsid w:val="00704612"/>
    <w:rsid w:val="00705CA9"/>
    <w:rsid w:val="007100FB"/>
    <w:rsid w:val="00711712"/>
    <w:rsid w:val="00711FA9"/>
    <w:rsid w:val="00713037"/>
    <w:rsid w:val="00715D32"/>
    <w:rsid w:val="00715F61"/>
    <w:rsid w:val="00720C70"/>
    <w:rsid w:val="00721D5E"/>
    <w:rsid w:val="007237FF"/>
    <w:rsid w:val="00723816"/>
    <w:rsid w:val="00723F45"/>
    <w:rsid w:val="00723FB6"/>
    <w:rsid w:val="007243A1"/>
    <w:rsid w:val="007244C8"/>
    <w:rsid w:val="00724DDD"/>
    <w:rsid w:val="0072508E"/>
    <w:rsid w:val="00725A93"/>
    <w:rsid w:val="00725E0C"/>
    <w:rsid w:val="00726551"/>
    <w:rsid w:val="00726A03"/>
    <w:rsid w:val="00730CFE"/>
    <w:rsid w:val="007310FE"/>
    <w:rsid w:val="00731ADE"/>
    <w:rsid w:val="00733015"/>
    <w:rsid w:val="007338F8"/>
    <w:rsid w:val="00734064"/>
    <w:rsid w:val="00734204"/>
    <w:rsid w:val="00734984"/>
    <w:rsid w:val="007352DD"/>
    <w:rsid w:val="0074196C"/>
    <w:rsid w:val="00742C1C"/>
    <w:rsid w:val="00746299"/>
    <w:rsid w:val="00747A05"/>
    <w:rsid w:val="00750A43"/>
    <w:rsid w:val="00750D08"/>
    <w:rsid w:val="007536F5"/>
    <w:rsid w:val="00754F10"/>
    <w:rsid w:val="0075502D"/>
    <w:rsid w:val="007552C6"/>
    <w:rsid w:val="00755697"/>
    <w:rsid w:val="00756F61"/>
    <w:rsid w:val="00757BEE"/>
    <w:rsid w:val="007634A2"/>
    <w:rsid w:val="007653BB"/>
    <w:rsid w:val="00767273"/>
    <w:rsid w:val="00767674"/>
    <w:rsid w:val="00771ADB"/>
    <w:rsid w:val="00773595"/>
    <w:rsid w:val="00775670"/>
    <w:rsid w:val="00775A6C"/>
    <w:rsid w:val="00777CA4"/>
    <w:rsid w:val="00780B72"/>
    <w:rsid w:val="00782234"/>
    <w:rsid w:val="00782510"/>
    <w:rsid w:val="00782825"/>
    <w:rsid w:val="00782E3E"/>
    <w:rsid w:val="00783654"/>
    <w:rsid w:val="0078494D"/>
    <w:rsid w:val="00785569"/>
    <w:rsid w:val="007861C4"/>
    <w:rsid w:val="00786CA3"/>
    <w:rsid w:val="0078799E"/>
    <w:rsid w:val="00787BC0"/>
    <w:rsid w:val="00791813"/>
    <w:rsid w:val="00791AAC"/>
    <w:rsid w:val="00791D12"/>
    <w:rsid w:val="00791E75"/>
    <w:rsid w:val="00792B36"/>
    <w:rsid w:val="00792CE0"/>
    <w:rsid w:val="00793695"/>
    <w:rsid w:val="007A0B02"/>
    <w:rsid w:val="007A0B0E"/>
    <w:rsid w:val="007A1B67"/>
    <w:rsid w:val="007A4B94"/>
    <w:rsid w:val="007A6056"/>
    <w:rsid w:val="007A6469"/>
    <w:rsid w:val="007A6591"/>
    <w:rsid w:val="007A6C8A"/>
    <w:rsid w:val="007A7C0C"/>
    <w:rsid w:val="007B0879"/>
    <w:rsid w:val="007B0FD3"/>
    <w:rsid w:val="007B1CE8"/>
    <w:rsid w:val="007B34FF"/>
    <w:rsid w:val="007B36AB"/>
    <w:rsid w:val="007B42B7"/>
    <w:rsid w:val="007B4804"/>
    <w:rsid w:val="007B4AA0"/>
    <w:rsid w:val="007B6339"/>
    <w:rsid w:val="007C029F"/>
    <w:rsid w:val="007C081F"/>
    <w:rsid w:val="007C0F7D"/>
    <w:rsid w:val="007C18F9"/>
    <w:rsid w:val="007C2505"/>
    <w:rsid w:val="007C2B34"/>
    <w:rsid w:val="007C3BC3"/>
    <w:rsid w:val="007C4C6A"/>
    <w:rsid w:val="007C5944"/>
    <w:rsid w:val="007D03E7"/>
    <w:rsid w:val="007D0DD7"/>
    <w:rsid w:val="007D10AC"/>
    <w:rsid w:val="007D1AC4"/>
    <w:rsid w:val="007D371F"/>
    <w:rsid w:val="007D387F"/>
    <w:rsid w:val="007D4967"/>
    <w:rsid w:val="007D4D83"/>
    <w:rsid w:val="007D4F6D"/>
    <w:rsid w:val="007D66FE"/>
    <w:rsid w:val="007E5D99"/>
    <w:rsid w:val="007F0DDD"/>
    <w:rsid w:val="007F1A59"/>
    <w:rsid w:val="007F3536"/>
    <w:rsid w:val="007F36D1"/>
    <w:rsid w:val="007F3D21"/>
    <w:rsid w:val="007F4E35"/>
    <w:rsid w:val="007F5EDB"/>
    <w:rsid w:val="007F5F58"/>
    <w:rsid w:val="008019F5"/>
    <w:rsid w:val="00802489"/>
    <w:rsid w:val="008064CE"/>
    <w:rsid w:val="0080754A"/>
    <w:rsid w:val="00807C27"/>
    <w:rsid w:val="0081055C"/>
    <w:rsid w:val="008127B3"/>
    <w:rsid w:val="00815F4C"/>
    <w:rsid w:val="008174D6"/>
    <w:rsid w:val="008209D6"/>
    <w:rsid w:val="008213FF"/>
    <w:rsid w:val="00821E45"/>
    <w:rsid w:val="00822DD8"/>
    <w:rsid w:val="00823C40"/>
    <w:rsid w:val="00824847"/>
    <w:rsid w:val="00825120"/>
    <w:rsid w:val="00825344"/>
    <w:rsid w:val="00825F97"/>
    <w:rsid w:val="008261BC"/>
    <w:rsid w:val="008267CD"/>
    <w:rsid w:val="00827EC4"/>
    <w:rsid w:val="0083010B"/>
    <w:rsid w:val="00831581"/>
    <w:rsid w:val="00831780"/>
    <w:rsid w:val="008318BC"/>
    <w:rsid w:val="0083347A"/>
    <w:rsid w:val="0083348A"/>
    <w:rsid w:val="008345DF"/>
    <w:rsid w:val="00834627"/>
    <w:rsid w:val="00834A0B"/>
    <w:rsid w:val="00836F7F"/>
    <w:rsid w:val="00837B0B"/>
    <w:rsid w:val="00841F93"/>
    <w:rsid w:val="008427CA"/>
    <w:rsid w:val="00845588"/>
    <w:rsid w:val="00845EB9"/>
    <w:rsid w:val="008460EA"/>
    <w:rsid w:val="00846B72"/>
    <w:rsid w:val="00847918"/>
    <w:rsid w:val="00851DA2"/>
    <w:rsid w:val="008522B6"/>
    <w:rsid w:val="00852A27"/>
    <w:rsid w:val="00854326"/>
    <w:rsid w:val="00856BE4"/>
    <w:rsid w:val="00857E44"/>
    <w:rsid w:val="00860421"/>
    <w:rsid w:val="00860B5B"/>
    <w:rsid w:val="008621B9"/>
    <w:rsid w:val="00867072"/>
    <w:rsid w:val="008709F3"/>
    <w:rsid w:val="0087226F"/>
    <w:rsid w:val="008731F0"/>
    <w:rsid w:val="00873289"/>
    <w:rsid w:val="008738D8"/>
    <w:rsid w:val="00874283"/>
    <w:rsid w:val="008747F4"/>
    <w:rsid w:val="00874C9B"/>
    <w:rsid w:val="00874F5B"/>
    <w:rsid w:val="0087727A"/>
    <w:rsid w:val="00880174"/>
    <w:rsid w:val="00880C9C"/>
    <w:rsid w:val="00881C4D"/>
    <w:rsid w:val="008865AD"/>
    <w:rsid w:val="00886899"/>
    <w:rsid w:val="00887DB7"/>
    <w:rsid w:val="008909E0"/>
    <w:rsid w:val="0089115D"/>
    <w:rsid w:val="00891CCC"/>
    <w:rsid w:val="00893980"/>
    <w:rsid w:val="00893EB6"/>
    <w:rsid w:val="008959DB"/>
    <w:rsid w:val="00895D89"/>
    <w:rsid w:val="00895DEA"/>
    <w:rsid w:val="00896780"/>
    <w:rsid w:val="00897A12"/>
    <w:rsid w:val="008A0D34"/>
    <w:rsid w:val="008A1322"/>
    <w:rsid w:val="008A1C12"/>
    <w:rsid w:val="008A1CB9"/>
    <w:rsid w:val="008A4609"/>
    <w:rsid w:val="008A49BD"/>
    <w:rsid w:val="008A4BFE"/>
    <w:rsid w:val="008A628D"/>
    <w:rsid w:val="008A6557"/>
    <w:rsid w:val="008A6961"/>
    <w:rsid w:val="008B018B"/>
    <w:rsid w:val="008B1B1A"/>
    <w:rsid w:val="008B79D3"/>
    <w:rsid w:val="008C21CD"/>
    <w:rsid w:val="008C346C"/>
    <w:rsid w:val="008C45B0"/>
    <w:rsid w:val="008C5632"/>
    <w:rsid w:val="008C5BD3"/>
    <w:rsid w:val="008D3539"/>
    <w:rsid w:val="008D3933"/>
    <w:rsid w:val="008D6BAB"/>
    <w:rsid w:val="008E0150"/>
    <w:rsid w:val="008E0EB4"/>
    <w:rsid w:val="008E2425"/>
    <w:rsid w:val="008E34B7"/>
    <w:rsid w:val="008E4471"/>
    <w:rsid w:val="008E5D6E"/>
    <w:rsid w:val="008E60FE"/>
    <w:rsid w:val="008E6C3A"/>
    <w:rsid w:val="008F06AD"/>
    <w:rsid w:val="008F073B"/>
    <w:rsid w:val="008F1476"/>
    <w:rsid w:val="008F1B4F"/>
    <w:rsid w:val="008F23EB"/>
    <w:rsid w:val="008F31B2"/>
    <w:rsid w:val="008F4AD0"/>
    <w:rsid w:val="008F4E4F"/>
    <w:rsid w:val="008F50B8"/>
    <w:rsid w:val="008F5781"/>
    <w:rsid w:val="00902019"/>
    <w:rsid w:val="009030EF"/>
    <w:rsid w:val="0090335A"/>
    <w:rsid w:val="00903A58"/>
    <w:rsid w:val="0090670E"/>
    <w:rsid w:val="00907111"/>
    <w:rsid w:val="009076C4"/>
    <w:rsid w:val="00913302"/>
    <w:rsid w:val="0091347C"/>
    <w:rsid w:val="00914829"/>
    <w:rsid w:val="00914D0A"/>
    <w:rsid w:val="00916D08"/>
    <w:rsid w:val="00916EF1"/>
    <w:rsid w:val="00917684"/>
    <w:rsid w:val="00917B19"/>
    <w:rsid w:val="00921972"/>
    <w:rsid w:val="00921C80"/>
    <w:rsid w:val="009259BD"/>
    <w:rsid w:val="00925B8D"/>
    <w:rsid w:val="009275C9"/>
    <w:rsid w:val="0092765D"/>
    <w:rsid w:val="00931FCA"/>
    <w:rsid w:val="00933379"/>
    <w:rsid w:val="00936776"/>
    <w:rsid w:val="0094058A"/>
    <w:rsid w:val="00940D9B"/>
    <w:rsid w:val="009455D5"/>
    <w:rsid w:val="0094568D"/>
    <w:rsid w:val="00945FEC"/>
    <w:rsid w:val="00946178"/>
    <w:rsid w:val="00946CB2"/>
    <w:rsid w:val="00950B53"/>
    <w:rsid w:val="009517A3"/>
    <w:rsid w:val="00957FC6"/>
    <w:rsid w:val="009603BF"/>
    <w:rsid w:val="009607E1"/>
    <w:rsid w:val="009613BB"/>
    <w:rsid w:val="00962552"/>
    <w:rsid w:val="009627CE"/>
    <w:rsid w:val="00963379"/>
    <w:rsid w:val="00964D7C"/>
    <w:rsid w:val="0096513B"/>
    <w:rsid w:val="009665DE"/>
    <w:rsid w:val="00966FDE"/>
    <w:rsid w:val="00967D14"/>
    <w:rsid w:val="00971442"/>
    <w:rsid w:val="009741D9"/>
    <w:rsid w:val="00974403"/>
    <w:rsid w:val="00974466"/>
    <w:rsid w:val="00976A6A"/>
    <w:rsid w:val="00976E3E"/>
    <w:rsid w:val="00977595"/>
    <w:rsid w:val="009806C2"/>
    <w:rsid w:val="0098399F"/>
    <w:rsid w:val="00984EC4"/>
    <w:rsid w:val="00985629"/>
    <w:rsid w:val="009877B4"/>
    <w:rsid w:val="00990AA3"/>
    <w:rsid w:val="00990B90"/>
    <w:rsid w:val="009927A9"/>
    <w:rsid w:val="009974A5"/>
    <w:rsid w:val="009A0728"/>
    <w:rsid w:val="009A1858"/>
    <w:rsid w:val="009A4559"/>
    <w:rsid w:val="009B074B"/>
    <w:rsid w:val="009B254C"/>
    <w:rsid w:val="009B3971"/>
    <w:rsid w:val="009B5369"/>
    <w:rsid w:val="009B6244"/>
    <w:rsid w:val="009B63A3"/>
    <w:rsid w:val="009B6AF9"/>
    <w:rsid w:val="009B6F2E"/>
    <w:rsid w:val="009C6FAD"/>
    <w:rsid w:val="009D0793"/>
    <w:rsid w:val="009D2D77"/>
    <w:rsid w:val="009D38B1"/>
    <w:rsid w:val="009D3D46"/>
    <w:rsid w:val="009D56B9"/>
    <w:rsid w:val="009D585C"/>
    <w:rsid w:val="009D6202"/>
    <w:rsid w:val="009D6561"/>
    <w:rsid w:val="009D6E56"/>
    <w:rsid w:val="009D7690"/>
    <w:rsid w:val="009E1174"/>
    <w:rsid w:val="009E5CEA"/>
    <w:rsid w:val="009F31BE"/>
    <w:rsid w:val="009F62E9"/>
    <w:rsid w:val="009F6FB3"/>
    <w:rsid w:val="00A00118"/>
    <w:rsid w:val="00A0016F"/>
    <w:rsid w:val="00A023D4"/>
    <w:rsid w:val="00A024C2"/>
    <w:rsid w:val="00A028F6"/>
    <w:rsid w:val="00A02CEC"/>
    <w:rsid w:val="00A049E2"/>
    <w:rsid w:val="00A05262"/>
    <w:rsid w:val="00A11072"/>
    <w:rsid w:val="00A11248"/>
    <w:rsid w:val="00A1280E"/>
    <w:rsid w:val="00A128B6"/>
    <w:rsid w:val="00A12A14"/>
    <w:rsid w:val="00A13028"/>
    <w:rsid w:val="00A14A74"/>
    <w:rsid w:val="00A15A81"/>
    <w:rsid w:val="00A15AE0"/>
    <w:rsid w:val="00A17CF9"/>
    <w:rsid w:val="00A201EE"/>
    <w:rsid w:val="00A21D90"/>
    <w:rsid w:val="00A22368"/>
    <w:rsid w:val="00A233BD"/>
    <w:rsid w:val="00A24827"/>
    <w:rsid w:val="00A24D58"/>
    <w:rsid w:val="00A24E0B"/>
    <w:rsid w:val="00A25262"/>
    <w:rsid w:val="00A25A54"/>
    <w:rsid w:val="00A278C5"/>
    <w:rsid w:val="00A3160A"/>
    <w:rsid w:val="00A34ADD"/>
    <w:rsid w:val="00A35C50"/>
    <w:rsid w:val="00A36BCA"/>
    <w:rsid w:val="00A3714A"/>
    <w:rsid w:val="00A37A81"/>
    <w:rsid w:val="00A402EA"/>
    <w:rsid w:val="00A40BCF"/>
    <w:rsid w:val="00A40D20"/>
    <w:rsid w:val="00A41C01"/>
    <w:rsid w:val="00A41C6F"/>
    <w:rsid w:val="00A42CFB"/>
    <w:rsid w:val="00A44ABC"/>
    <w:rsid w:val="00A462D1"/>
    <w:rsid w:val="00A505FB"/>
    <w:rsid w:val="00A511BA"/>
    <w:rsid w:val="00A51459"/>
    <w:rsid w:val="00A51664"/>
    <w:rsid w:val="00A52D81"/>
    <w:rsid w:val="00A541E2"/>
    <w:rsid w:val="00A54616"/>
    <w:rsid w:val="00A56F96"/>
    <w:rsid w:val="00A5786F"/>
    <w:rsid w:val="00A60B3B"/>
    <w:rsid w:val="00A618A6"/>
    <w:rsid w:val="00A63D7B"/>
    <w:rsid w:val="00A6789D"/>
    <w:rsid w:val="00A70424"/>
    <w:rsid w:val="00A7120A"/>
    <w:rsid w:val="00A726AF"/>
    <w:rsid w:val="00A72A10"/>
    <w:rsid w:val="00A738BC"/>
    <w:rsid w:val="00A74CDD"/>
    <w:rsid w:val="00A74D98"/>
    <w:rsid w:val="00A7627D"/>
    <w:rsid w:val="00A76C2A"/>
    <w:rsid w:val="00A80477"/>
    <w:rsid w:val="00A822D0"/>
    <w:rsid w:val="00A82691"/>
    <w:rsid w:val="00A8296E"/>
    <w:rsid w:val="00A829AE"/>
    <w:rsid w:val="00A8371F"/>
    <w:rsid w:val="00A8449E"/>
    <w:rsid w:val="00A85535"/>
    <w:rsid w:val="00A91954"/>
    <w:rsid w:val="00A924FD"/>
    <w:rsid w:val="00A96C9B"/>
    <w:rsid w:val="00A9762F"/>
    <w:rsid w:val="00AA0153"/>
    <w:rsid w:val="00AA0202"/>
    <w:rsid w:val="00AA1D4E"/>
    <w:rsid w:val="00AA321F"/>
    <w:rsid w:val="00AA45AB"/>
    <w:rsid w:val="00AA57DC"/>
    <w:rsid w:val="00AA5FE3"/>
    <w:rsid w:val="00AB0B67"/>
    <w:rsid w:val="00AB188F"/>
    <w:rsid w:val="00AB18BD"/>
    <w:rsid w:val="00AB5345"/>
    <w:rsid w:val="00AB5845"/>
    <w:rsid w:val="00AB5900"/>
    <w:rsid w:val="00AB591C"/>
    <w:rsid w:val="00AC10A5"/>
    <w:rsid w:val="00AC199C"/>
    <w:rsid w:val="00AC328D"/>
    <w:rsid w:val="00AC5BA1"/>
    <w:rsid w:val="00AC6E69"/>
    <w:rsid w:val="00AD23CF"/>
    <w:rsid w:val="00AD4D2E"/>
    <w:rsid w:val="00AD5928"/>
    <w:rsid w:val="00AD607A"/>
    <w:rsid w:val="00AD631F"/>
    <w:rsid w:val="00AD71C4"/>
    <w:rsid w:val="00AE08C7"/>
    <w:rsid w:val="00AE151E"/>
    <w:rsid w:val="00AE1639"/>
    <w:rsid w:val="00AE3868"/>
    <w:rsid w:val="00AE6CDF"/>
    <w:rsid w:val="00AE7442"/>
    <w:rsid w:val="00AF0020"/>
    <w:rsid w:val="00AF0058"/>
    <w:rsid w:val="00AF17B9"/>
    <w:rsid w:val="00AF20BA"/>
    <w:rsid w:val="00AF235F"/>
    <w:rsid w:val="00AF2527"/>
    <w:rsid w:val="00AF5383"/>
    <w:rsid w:val="00AF5AC1"/>
    <w:rsid w:val="00AF63C6"/>
    <w:rsid w:val="00AF7226"/>
    <w:rsid w:val="00AF7734"/>
    <w:rsid w:val="00B002E2"/>
    <w:rsid w:val="00B00342"/>
    <w:rsid w:val="00B004B7"/>
    <w:rsid w:val="00B01375"/>
    <w:rsid w:val="00B0636A"/>
    <w:rsid w:val="00B07053"/>
    <w:rsid w:val="00B07788"/>
    <w:rsid w:val="00B07AF2"/>
    <w:rsid w:val="00B110DC"/>
    <w:rsid w:val="00B111F1"/>
    <w:rsid w:val="00B117B5"/>
    <w:rsid w:val="00B14071"/>
    <w:rsid w:val="00B14471"/>
    <w:rsid w:val="00B149BE"/>
    <w:rsid w:val="00B22B9A"/>
    <w:rsid w:val="00B23126"/>
    <w:rsid w:val="00B2450E"/>
    <w:rsid w:val="00B245B3"/>
    <w:rsid w:val="00B24FB5"/>
    <w:rsid w:val="00B277F3"/>
    <w:rsid w:val="00B31DBF"/>
    <w:rsid w:val="00B33A84"/>
    <w:rsid w:val="00B342B0"/>
    <w:rsid w:val="00B34443"/>
    <w:rsid w:val="00B34E05"/>
    <w:rsid w:val="00B369DC"/>
    <w:rsid w:val="00B41DF5"/>
    <w:rsid w:val="00B448DB"/>
    <w:rsid w:val="00B46A9A"/>
    <w:rsid w:val="00B47BF3"/>
    <w:rsid w:val="00B47D79"/>
    <w:rsid w:val="00B50BF4"/>
    <w:rsid w:val="00B51C80"/>
    <w:rsid w:val="00B52CC4"/>
    <w:rsid w:val="00B55757"/>
    <w:rsid w:val="00B568A7"/>
    <w:rsid w:val="00B6007E"/>
    <w:rsid w:val="00B60BAF"/>
    <w:rsid w:val="00B61CD1"/>
    <w:rsid w:val="00B61D29"/>
    <w:rsid w:val="00B64D33"/>
    <w:rsid w:val="00B6702B"/>
    <w:rsid w:val="00B723AB"/>
    <w:rsid w:val="00B741E3"/>
    <w:rsid w:val="00B7426A"/>
    <w:rsid w:val="00B75382"/>
    <w:rsid w:val="00B770EF"/>
    <w:rsid w:val="00B83AF9"/>
    <w:rsid w:val="00B83B99"/>
    <w:rsid w:val="00B85979"/>
    <w:rsid w:val="00B87359"/>
    <w:rsid w:val="00B8757D"/>
    <w:rsid w:val="00B92736"/>
    <w:rsid w:val="00B940A7"/>
    <w:rsid w:val="00B941F0"/>
    <w:rsid w:val="00B95BC0"/>
    <w:rsid w:val="00B96220"/>
    <w:rsid w:val="00B965DD"/>
    <w:rsid w:val="00B96EBE"/>
    <w:rsid w:val="00B970FE"/>
    <w:rsid w:val="00BA227B"/>
    <w:rsid w:val="00BB0A33"/>
    <w:rsid w:val="00BB2C1F"/>
    <w:rsid w:val="00BB2C9B"/>
    <w:rsid w:val="00BB2FBD"/>
    <w:rsid w:val="00BB3606"/>
    <w:rsid w:val="00BB4176"/>
    <w:rsid w:val="00BB43FC"/>
    <w:rsid w:val="00BB476F"/>
    <w:rsid w:val="00BB48F9"/>
    <w:rsid w:val="00BB5736"/>
    <w:rsid w:val="00BB7107"/>
    <w:rsid w:val="00BC0B6A"/>
    <w:rsid w:val="00BC1265"/>
    <w:rsid w:val="00BC3DEA"/>
    <w:rsid w:val="00BC4CE3"/>
    <w:rsid w:val="00BC5BF0"/>
    <w:rsid w:val="00BC7BC5"/>
    <w:rsid w:val="00BD2488"/>
    <w:rsid w:val="00BD30AF"/>
    <w:rsid w:val="00BD4A22"/>
    <w:rsid w:val="00BD4F0F"/>
    <w:rsid w:val="00BD5256"/>
    <w:rsid w:val="00BD5E70"/>
    <w:rsid w:val="00BD6AC1"/>
    <w:rsid w:val="00BD7C44"/>
    <w:rsid w:val="00BE1E11"/>
    <w:rsid w:val="00BE2487"/>
    <w:rsid w:val="00BE39EB"/>
    <w:rsid w:val="00BE63C1"/>
    <w:rsid w:val="00BF00C6"/>
    <w:rsid w:val="00BF11AC"/>
    <w:rsid w:val="00BF264A"/>
    <w:rsid w:val="00BF2746"/>
    <w:rsid w:val="00BF34BC"/>
    <w:rsid w:val="00BF4BFD"/>
    <w:rsid w:val="00BF55FE"/>
    <w:rsid w:val="00BF79F4"/>
    <w:rsid w:val="00C0290F"/>
    <w:rsid w:val="00C029B7"/>
    <w:rsid w:val="00C05743"/>
    <w:rsid w:val="00C05A26"/>
    <w:rsid w:val="00C05E84"/>
    <w:rsid w:val="00C145B6"/>
    <w:rsid w:val="00C146B4"/>
    <w:rsid w:val="00C16431"/>
    <w:rsid w:val="00C16C0A"/>
    <w:rsid w:val="00C174FC"/>
    <w:rsid w:val="00C1760A"/>
    <w:rsid w:val="00C17DE4"/>
    <w:rsid w:val="00C203FB"/>
    <w:rsid w:val="00C20CD0"/>
    <w:rsid w:val="00C2122E"/>
    <w:rsid w:val="00C21D3C"/>
    <w:rsid w:val="00C21F46"/>
    <w:rsid w:val="00C22A17"/>
    <w:rsid w:val="00C237BA"/>
    <w:rsid w:val="00C24B85"/>
    <w:rsid w:val="00C25F50"/>
    <w:rsid w:val="00C279CF"/>
    <w:rsid w:val="00C32A95"/>
    <w:rsid w:val="00C33BD2"/>
    <w:rsid w:val="00C3455B"/>
    <w:rsid w:val="00C34C16"/>
    <w:rsid w:val="00C34FCD"/>
    <w:rsid w:val="00C35768"/>
    <w:rsid w:val="00C373B0"/>
    <w:rsid w:val="00C405D3"/>
    <w:rsid w:val="00C40603"/>
    <w:rsid w:val="00C407FB"/>
    <w:rsid w:val="00C41596"/>
    <w:rsid w:val="00C416E2"/>
    <w:rsid w:val="00C43A3D"/>
    <w:rsid w:val="00C43C97"/>
    <w:rsid w:val="00C45985"/>
    <w:rsid w:val="00C46033"/>
    <w:rsid w:val="00C46E00"/>
    <w:rsid w:val="00C47153"/>
    <w:rsid w:val="00C50733"/>
    <w:rsid w:val="00C50F0E"/>
    <w:rsid w:val="00C5148E"/>
    <w:rsid w:val="00C51B0F"/>
    <w:rsid w:val="00C53A50"/>
    <w:rsid w:val="00C5716C"/>
    <w:rsid w:val="00C600FF"/>
    <w:rsid w:val="00C62771"/>
    <w:rsid w:val="00C642A6"/>
    <w:rsid w:val="00C644E3"/>
    <w:rsid w:val="00C647B7"/>
    <w:rsid w:val="00C6480D"/>
    <w:rsid w:val="00C64BF5"/>
    <w:rsid w:val="00C65683"/>
    <w:rsid w:val="00C65C26"/>
    <w:rsid w:val="00C66197"/>
    <w:rsid w:val="00C6655F"/>
    <w:rsid w:val="00C67AD5"/>
    <w:rsid w:val="00C7136D"/>
    <w:rsid w:val="00C735A1"/>
    <w:rsid w:val="00C73A20"/>
    <w:rsid w:val="00C75CDD"/>
    <w:rsid w:val="00C77D97"/>
    <w:rsid w:val="00C804CC"/>
    <w:rsid w:val="00C84AA7"/>
    <w:rsid w:val="00C84B10"/>
    <w:rsid w:val="00C87027"/>
    <w:rsid w:val="00C87B45"/>
    <w:rsid w:val="00C90C77"/>
    <w:rsid w:val="00C918FF"/>
    <w:rsid w:val="00C91961"/>
    <w:rsid w:val="00C9209A"/>
    <w:rsid w:val="00C968B6"/>
    <w:rsid w:val="00C96D4D"/>
    <w:rsid w:val="00CA05C9"/>
    <w:rsid w:val="00CA15E9"/>
    <w:rsid w:val="00CA1CC9"/>
    <w:rsid w:val="00CA2239"/>
    <w:rsid w:val="00CB2035"/>
    <w:rsid w:val="00CB22EC"/>
    <w:rsid w:val="00CB23F1"/>
    <w:rsid w:val="00CB37C4"/>
    <w:rsid w:val="00CB4E3A"/>
    <w:rsid w:val="00CC0A7D"/>
    <w:rsid w:val="00CC3456"/>
    <w:rsid w:val="00CC36BA"/>
    <w:rsid w:val="00CC36BB"/>
    <w:rsid w:val="00CC3CAF"/>
    <w:rsid w:val="00CC4406"/>
    <w:rsid w:val="00CC6F8F"/>
    <w:rsid w:val="00CD067D"/>
    <w:rsid w:val="00CD1882"/>
    <w:rsid w:val="00CD23B2"/>
    <w:rsid w:val="00CD289B"/>
    <w:rsid w:val="00CD3419"/>
    <w:rsid w:val="00CD4007"/>
    <w:rsid w:val="00CD5E41"/>
    <w:rsid w:val="00CE01A5"/>
    <w:rsid w:val="00CE0572"/>
    <w:rsid w:val="00CE2725"/>
    <w:rsid w:val="00CE34FA"/>
    <w:rsid w:val="00CE373D"/>
    <w:rsid w:val="00CE3990"/>
    <w:rsid w:val="00CE3E3B"/>
    <w:rsid w:val="00CE4468"/>
    <w:rsid w:val="00CE4F57"/>
    <w:rsid w:val="00CE72AC"/>
    <w:rsid w:val="00CF2F6F"/>
    <w:rsid w:val="00CF577A"/>
    <w:rsid w:val="00D00ED4"/>
    <w:rsid w:val="00D016F3"/>
    <w:rsid w:val="00D018C9"/>
    <w:rsid w:val="00D03629"/>
    <w:rsid w:val="00D0410E"/>
    <w:rsid w:val="00D043A0"/>
    <w:rsid w:val="00D04956"/>
    <w:rsid w:val="00D068D7"/>
    <w:rsid w:val="00D1214E"/>
    <w:rsid w:val="00D12318"/>
    <w:rsid w:val="00D12CD1"/>
    <w:rsid w:val="00D13825"/>
    <w:rsid w:val="00D15EB3"/>
    <w:rsid w:val="00D1642A"/>
    <w:rsid w:val="00D17B77"/>
    <w:rsid w:val="00D2247E"/>
    <w:rsid w:val="00D24611"/>
    <w:rsid w:val="00D272FC"/>
    <w:rsid w:val="00D30CA5"/>
    <w:rsid w:val="00D33802"/>
    <w:rsid w:val="00D33AC8"/>
    <w:rsid w:val="00D34302"/>
    <w:rsid w:val="00D36E02"/>
    <w:rsid w:val="00D37A3F"/>
    <w:rsid w:val="00D405B7"/>
    <w:rsid w:val="00D40C39"/>
    <w:rsid w:val="00D45B95"/>
    <w:rsid w:val="00D461A0"/>
    <w:rsid w:val="00D471DC"/>
    <w:rsid w:val="00D47D5A"/>
    <w:rsid w:val="00D50AF3"/>
    <w:rsid w:val="00D51B0B"/>
    <w:rsid w:val="00D5255D"/>
    <w:rsid w:val="00D52565"/>
    <w:rsid w:val="00D545DB"/>
    <w:rsid w:val="00D564AB"/>
    <w:rsid w:val="00D56CBD"/>
    <w:rsid w:val="00D578FC"/>
    <w:rsid w:val="00D57DD2"/>
    <w:rsid w:val="00D61F70"/>
    <w:rsid w:val="00D62021"/>
    <w:rsid w:val="00D626C9"/>
    <w:rsid w:val="00D62C68"/>
    <w:rsid w:val="00D62DAC"/>
    <w:rsid w:val="00D644AA"/>
    <w:rsid w:val="00D64540"/>
    <w:rsid w:val="00D64816"/>
    <w:rsid w:val="00D667D3"/>
    <w:rsid w:val="00D715A1"/>
    <w:rsid w:val="00D72CE9"/>
    <w:rsid w:val="00D73BF6"/>
    <w:rsid w:val="00D757FC"/>
    <w:rsid w:val="00D76C8E"/>
    <w:rsid w:val="00D76EA6"/>
    <w:rsid w:val="00D80D08"/>
    <w:rsid w:val="00D8133D"/>
    <w:rsid w:val="00D82CD2"/>
    <w:rsid w:val="00D835C3"/>
    <w:rsid w:val="00D836A5"/>
    <w:rsid w:val="00D83840"/>
    <w:rsid w:val="00D87313"/>
    <w:rsid w:val="00D905EB"/>
    <w:rsid w:val="00D91010"/>
    <w:rsid w:val="00D92804"/>
    <w:rsid w:val="00D929E5"/>
    <w:rsid w:val="00D95051"/>
    <w:rsid w:val="00D95339"/>
    <w:rsid w:val="00D95CB1"/>
    <w:rsid w:val="00D9658E"/>
    <w:rsid w:val="00D96AF1"/>
    <w:rsid w:val="00DA180F"/>
    <w:rsid w:val="00DA209C"/>
    <w:rsid w:val="00DA3BFE"/>
    <w:rsid w:val="00DA4430"/>
    <w:rsid w:val="00DA7157"/>
    <w:rsid w:val="00DA7C46"/>
    <w:rsid w:val="00DB03AA"/>
    <w:rsid w:val="00DB1D55"/>
    <w:rsid w:val="00DB3244"/>
    <w:rsid w:val="00DB39DF"/>
    <w:rsid w:val="00DB3CC4"/>
    <w:rsid w:val="00DB401D"/>
    <w:rsid w:val="00DB5411"/>
    <w:rsid w:val="00DB5953"/>
    <w:rsid w:val="00DB5EED"/>
    <w:rsid w:val="00DC0492"/>
    <w:rsid w:val="00DC0799"/>
    <w:rsid w:val="00DC0AA6"/>
    <w:rsid w:val="00DC1918"/>
    <w:rsid w:val="00DC2B9D"/>
    <w:rsid w:val="00DC47D5"/>
    <w:rsid w:val="00DC5BFC"/>
    <w:rsid w:val="00DD05BC"/>
    <w:rsid w:val="00DD0945"/>
    <w:rsid w:val="00DD249A"/>
    <w:rsid w:val="00DD5867"/>
    <w:rsid w:val="00DE34F0"/>
    <w:rsid w:val="00DE41D0"/>
    <w:rsid w:val="00DE4323"/>
    <w:rsid w:val="00DE4CFF"/>
    <w:rsid w:val="00DE66FC"/>
    <w:rsid w:val="00DF0483"/>
    <w:rsid w:val="00DF2D88"/>
    <w:rsid w:val="00DF2EC8"/>
    <w:rsid w:val="00DF43AC"/>
    <w:rsid w:val="00DF4F68"/>
    <w:rsid w:val="00DF5036"/>
    <w:rsid w:val="00DF5B89"/>
    <w:rsid w:val="00DF6E68"/>
    <w:rsid w:val="00DF70FE"/>
    <w:rsid w:val="00DF7BC6"/>
    <w:rsid w:val="00DF7F84"/>
    <w:rsid w:val="00E0117F"/>
    <w:rsid w:val="00E017DE"/>
    <w:rsid w:val="00E036B4"/>
    <w:rsid w:val="00E03701"/>
    <w:rsid w:val="00E051FD"/>
    <w:rsid w:val="00E10340"/>
    <w:rsid w:val="00E11056"/>
    <w:rsid w:val="00E1141D"/>
    <w:rsid w:val="00E119F5"/>
    <w:rsid w:val="00E12749"/>
    <w:rsid w:val="00E14A96"/>
    <w:rsid w:val="00E14B39"/>
    <w:rsid w:val="00E169F1"/>
    <w:rsid w:val="00E22102"/>
    <w:rsid w:val="00E22D86"/>
    <w:rsid w:val="00E24B87"/>
    <w:rsid w:val="00E259DA"/>
    <w:rsid w:val="00E26495"/>
    <w:rsid w:val="00E26DE8"/>
    <w:rsid w:val="00E30366"/>
    <w:rsid w:val="00E31010"/>
    <w:rsid w:val="00E3147A"/>
    <w:rsid w:val="00E34F61"/>
    <w:rsid w:val="00E35BFB"/>
    <w:rsid w:val="00E35CE4"/>
    <w:rsid w:val="00E367FA"/>
    <w:rsid w:val="00E4112C"/>
    <w:rsid w:val="00E41BCA"/>
    <w:rsid w:val="00E441A8"/>
    <w:rsid w:val="00E52D65"/>
    <w:rsid w:val="00E54650"/>
    <w:rsid w:val="00E54A7F"/>
    <w:rsid w:val="00E54A89"/>
    <w:rsid w:val="00E55021"/>
    <w:rsid w:val="00E55336"/>
    <w:rsid w:val="00E561A9"/>
    <w:rsid w:val="00E57B44"/>
    <w:rsid w:val="00E60730"/>
    <w:rsid w:val="00E6125A"/>
    <w:rsid w:val="00E618DA"/>
    <w:rsid w:val="00E61FCC"/>
    <w:rsid w:val="00E624C6"/>
    <w:rsid w:val="00E62F6F"/>
    <w:rsid w:val="00E6510C"/>
    <w:rsid w:val="00E65721"/>
    <w:rsid w:val="00E65DD3"/>
    <w:rsid w:val="00E661F6"/>
    <w:rsid w:val="00E674C0"/>
    <w:rsid w:val="00E70320"/>
    <w:rsid w:val="00E70EE8"/>
    <w:rsid w:val="00E74462"/>
    <w:rsid w:val="00E74985"/>
    <w:rsid w:val="00E815E4"/>
    <w:rsid w:val="00E818B8"/>
    <w:rsid w:val="00E8233F"/>
    <w:rsid w:val="00E8354D"/>
    <w:rsid w:val="00E8358C"/>
    <w:rsid w:val="00E83C38"/>
    <w:rsid w:val="00E8471C"/>
    <w:rsid w:val="00E85B43"/>
    <w:rsid w:val="00E879F4"/>
    <w:rsid w:val="00E9049A"/>
    <w:rsid w:val="00E9131B"/>
    <w:rsid w:val="00E91581"/>
    <w:rsid w:val="00E9217B"/>
    <w:rsid w:val="00E935E5"/>
    <w:rsid w:val="00E942FA"/>
    <w:rsid w:val="00E97CCB"/>
    <w:rsid w:val="00EA02F5"/>
    <w:rsid w:val="00EA12A8"/>
    <w:rsid w:val="00EA3E8F"/>
    <w:rsid w:val="00EA6C4A"/>
    <w:rsid w:val="00EB0A57"/>
    <w:rsid w:val="00EB16C7"/>
    <w:rsid w:val="00EB34AA"/>
    <w:rsid w:val="00EB3BFB"/>
    <w:rsid w:val="00EB41CD"/>
    <w:rsid w:val="00EB4F34"/>
    <w:rsid w:val="00EB7B01"/>
    <w:rsid w:val="00EC06D7"/>
    <w:rsid w:val="00EC0ECE"/>
    <w:rsid w:val="00EC183C"/>
    <w:rsid w:val="00EC202A"/>
    <w:rsid w:val="00EC2D89"/>
    <w:rsid w:val="00EC3D4F"/>
    <w:rsid w:val="00EC6393"/>
    <w:rsid w:val="00EC73C9"/>
    <w:rsid w:val="00ED1F4A"/>
    <w:rsid w:val="00ED3524"/>
    <w:rsid w:val="00ED7342"/>
    <w:rsid w:val="00EE1D26"/>
    <w:rsid w:val="00EE270F"/>
    <w:rsid w:val="00EE2CD7"/>
    <w:rsid w:val="00EE3D24"/>
    <w:rsid w:val="00EE44D9"/>
    <w:rsid w:val="00EE4A60"/>
    <w:rsid w:val="00EF0D55"/>
    <w:rsid w:val="00EF1E10"/>
    <w:rsid w:val="00EF402A"/>
    <w:rsid w:val="00EF50AC"/>
    <w:rsid w:val="00EF606B"/>
    <w:rsid w:val="00EF6D31"/>
    <w:rsid w:val="00EF6DF6"/>
    <w:rsid w:val="00F009E1"/>
    <w:rsid w:val="00F019A7"/>
    <w:rsid w:val="00F0318E"/>
    <w:rsid w:val="00F03B27"/>
    <w:rsid w:val="00F04A36"/>
    <w:rsid w:val="00F05A94"/>
    <w:rsid w:val="00F06BCE"/>
    <w:rsid w:val="00F07A78"/>
    <w:rsid w:val="00F1002D"/>
    <w:rsid w:val="00F1091F"/>
    <w:rsid w:val="00F10A64"/>
    <w:rsid w:val="00F1176D"/>
    <w:rsid w:val="00F11C7C"/>
    <w:rsid w:val="00F11E16"/>
    <w:rsid w:val="00F12385"/>
    <w:rsid w:val="00F12696"/>
    <w:rsid w:val="00F1369F"/>
    <w:rsid w:val="00F16D4C"/>
    <w:rsid w:val="00F17220"/>
    <w:rsid w:val="00F21C7B"/>
    <w:rsid w:val="00F226F2"/>
    <w:rsid w:val="00F230F6"/>
    <w:rsid w:val="00F23C7C"/>
    <w:rsid w:val="00F276EC"/>
    <w:rsid w:val="00F30D1D"/>
    <w:rsid w:val="00F310F0"/>
    <w:rsid w:val="00F31AC5"/>
    <w:rsid w:val="00F31D26"/>
    <w:rsid w:val="00F32060"/>
    <w:rsid w:val="00F339D2"/>
    <w:rsid w:val="00F33F53"/>
    <w:rsid w:val="00F35E41"/>
    <w:rsid w:val="00F3692D"/>
    <w:rsid w:val="00F36D81"/>
    <w:rsid w:val="00F403E7"/>
    <w:rsid w:val="00F41ACC"/>
    <w:rsid w:val="00F41D00"/>
    <w:rsid w:val="00F43FC0"/>
    <w:rsid w:val="00F450F0"/>
    <w:rsid w:val="00F4583A"/>
    <w:rsid w:val="00F46600"/>
    <w:rsid w:val="00F47A59"/>
    <w:rsid w:val="00F52015"/>
    <w:rsid w:val="00F521EB"/>
    <w:rsid w:val="00F534F3"/>
    <w:rsid w:val="00F570DE"/>
    <w:rsid w:val="00F57F57"/>
    <w:rsid w:val="00F60DCA"/>
    <w:rsid w:val="00F617CF"/>
    <w:rsid w:val="00F63C19"/>
    <w:rsid w:val="00F64266"/>
    <w:rsid w:val="00F643E3"/>
    <w:rsid w:val="00F647F8"/>
    <w:rsid w:val="00F648FD"/>
    <w:rsid w:val="00F64BC2"/>
    <w:rsid w:val="00F65F84"/>
    <w:rsid w:val="00F700CC"/>
    <w:rsid w:val="00F71356"/>
    <w:rsid w:val="00F73AED"/>
    <w:rsid w:val="00F75DB3"/>
    <w:rsid w:val="00F81429"/>
    <w:rsid w:val="00F82667"/>
    <w:rsid w:val="00F8290B"/>
    <w:rsid w:val="00F84629"/>
    <w:rsid w:val="00F84CD4"/>
    <w:rsid w:val="00F85169"/>
    <w:rsid w:val="00F85D32"/>
    <w:rsid w:val="00F8664F"/>
    <w:rsid w:val="00F870AB"/>
    <w:rsid w:val="00F912C8"/>
    <w:rsid w:val="00F92334"/>
    <w:rsid w:val="00F92DEC"/>
    <w:rsid w:val="00F964C2"/>
    <w:rsid w:val="00F9669D"/>
    <w:rsid w:val="00F971CF"/>
    <w:rsid w:val="00FA03E3"/>
    <w:rsid w:val="00FA0887"/>
    <w:rsid w:val="00FA10A9"/>
    <w:rsid w:val="00FA15F0"/>
    <w:rsid w:val="00FA1FF6"/>
    <w:rsid w:val="00FA20CF"/>
    <w:rsid w:val="00FA3297"/>
    <w:rsid w:val="00FA3507"/>
    <w:rsid w:val="00FA39CB"/>
    <w:rsid w:val="00FA39F9"/>
    <w:rsid w:val="00FA5D9D"/>
    <w:rsid w:val="00FA6CD5"/>
    <w:rsid w:val="00FB00D5"/>
    <w:rsid w:val="00FB0AB9"/>
    <w:rsid w:val="00FB2C1E"/>
    <w:rsid w:val="00FB6966"/>
    <w:rsid w:val="00FC0BE5"/>
    <w:rsid w:val="00FC0ED4"/>
    <w:rsid w:val="00FC1120"/>
    <w:rsid w:val="00FC236C"/>
    <w:rsid w:val="00FC2573"/>
    <w:rsid w:val="00FC2EF0"/>
    <w:rsid w:val="00FC45E7"/>
    <w:rsid w:val="00FC60E1"/>
    <w:rsid w:val="00FC6E2E"/>
    <w:rsid w:val="00FC734C"/>
    <w:rsid w:val="00FD2128"/>
    <w:rsid w:val="00FD2C9A"/>
    <w:rsid w:val="00FD511A"/>
    <w:rsid w:val="00FD53E2"/>
    <w:rsid w:val="00FD55DB"/>
    <w:rsid w:val="00FD58D9"/>
    <w:rsid w:val="00FD5F08"/>
    <w:rsid w:val="00FD6024"/>
    <w:rsid w:val="00FD71BE"/>
    <w:rsid w:val="00FE1683"/>
    <w:rsid w:val="00FE191C"/>
    <w:rsid w:val="00FE3204"/>
    <w:rsid w:val="00FE39AD"/>
    <w:rsid w:val="00FE3FB9"/>
    <w:rsid w:val="00FE467C"/>
    <w:rsid w:val="00FE4ECE"/>
    <w:rsid w:val="00FE5222"/>
    <w:rsid w:val="00FE524C"/>
    <w:rsid w:val="00FE5B43"/>
    <w:rsid w:val="00FE6160"/>
    <w:rsid w:val="00FE7256"/>
    <w:rsid w:val="00FF0B29"/>
    <w:rsid w:val="00FF1D68"/>
    <w:rsid w:val="00FF1E81"/>
    <w:rsid w:val="00FF307F"/>
    <w:rsid w:val="00FF30D0"/>
    <w:rsid w:val="00FF3E82"/>
    <w:rsid w:val="00FF51FE"/>
    <w:rsid w:val="00FF5712"/>
    <w:rsid w:val="00FF6105"/>
    <w:rsid w:val="00FF6B24"/>
    <w:rsid w:val="00FF713A"/>
    <w:rsid w:val="014D745A"/>
    <w:rsid w:val="019F31AE"/>
    <w:rsid w:val="01A72A5A"/>
    <w:rsid w:val="01BF5AAB"/>
    <w:rsid w:val="023C437C"/>
    <w:rsid w:val="0257294E"/>
    <w:rsid w:val="02826A8F"/>
    <w:rsid w:val="02C05ABD"/>
    <w:rsid w:val="02EE6485"/>
    <w:rsid w:val="03365776"/>
    <w:rsid w:val="036A3186"/>
    <w:rsid w:val="03CD15D7"/>
    <w:rsid w:val="05226AB1"/>
    <w:rsid w:val="058B47A5"/>
    <w:rsid w:val="05BB2D3F"/>
    <w:rsid w:val="05C96DE0"/>
    <w:rsid w:val="06144087"/>
    <w:rsid w:val="06557F19"/>
    <w:rsid w:val="067B0F55"/>
    <w:rsid w:val="068D1C71"/>
    <w:rsid w:val="06C8674D"/>
    <w:rsid w:val="07081583"/>
    <w:rsid w:val="072B2711"/>
    <w:rsid w:val="07C06F05"/>
    <w:rsid w:val="07EE0585"/>
    <w:rsid w:val="081C53C1"/>
    <w:rsid w:val="08392CB3"/>
    <w:rsid w:val="0866708C"/>
    <w:rsid w:val="08AB4F0D"/>
    <w:rsid w:val="08DC087C"/>
    <w:rsid w:val="09423491"/>
    <w:rsid w:val="09863673"/>
    <w:rsid w:val="0B2E584B"/>
    <w:rsid w:val="0B6F4171"/>
    <w:rsid w:val="0B9633BD"/>
    <w:rsid w:val="0BF62BE5"/>
    <w:rsid w:val="0C2672BE"/>
    <w:rsid w:val="0C2C5D1C"/>
    <w:rsid w:val="0C2C74E1"/>
    <w:rsid w:val="0C345668"/>
    <w:rsid w:val="0C3C0EAC"/>
    <w:rsid w:val="0C5D098D"/>
    <w:rsid w:val="0CAF4023"/>
    <w:rsid w:val="0CC25FC4"/>
    <w:rsid w:val="0D0777FE"/>
    <w:rsid w:val="0D336D85"/>
    <w:rsid w:val="0D874609"/>
    <w:rsid w:val="0E640173"/>
    <w:rsid w:val="0E831FEA"/>
    <w:rsid w:val="0E9E7075"/>
    <w:rsid w:val="0EE36172"/>
    <w:rsid w:val="0EF94B3D"/>
    <w:rsid w:val="0EFB3F68"/>
    <w:rsid w:val="0F370383"/>
    <w:rsid w:val="0F5163FF"/>
    <w:rsid w:val="0F9C2701"/>
    <w:rsid w:val="0FB401B7"/>
    <w:rsid w:val="0FF67276"/>
    <w:rsid w:val="103D3392"/>
    <w:rsid w:val="107F5005"/>
    <w:rsid w:val="1215652F"/>
    <w:rsid w:val="123A6BAD"/>
    <w:rsid w:val="128F4176"/>
    <w:rsid w:val="12A460C1"/>
    <w:rsid w:val="12D706B8"/>
    <w:rsid w:val="137E32AC"/>
    <w:rsid w:val="13E97F8B"/>
    <w:rsid w:val="14A20CDD"/>
    <w:rsid w:val="14E05AD6"/>
    <w:rsid w:val="14F44E15"/>
    <w:rsid w:val="151F1D8D"/>
    <w:rsid w:val="15657AEF"/>
    <w:rsid w:val="15EB7B01"/>
    <w:rsid w:val="1613006B"/>
    <w:rsid w:val="16481484"/>
    <w:rsid w:val="165F6538"/>
    <w:rsid w:val="16795273"/>
    <w:rsid w:val="168E29AD"/>
    <w:rsid w:val="16DA32F3"/>
    <w:rsid w:val="16F6044C"/>
    <w:rsid w:val="17BE18D1"/>
    <w:rsid w:val="17D71672"/>
    <w:rsid w:val="17F11316"/>
    <w:rsid w:val="17FE661D"/>
    <w:rsid w:val="181D1637"/>
    <w:rsid w:val="184B14B9"/>
    <w:rsid w:val="18BA663E"/>
    <w:rsid w:val="1A6C61E7"/>
    <w:rsid w:val="1AA45EAC"/>
    <w:rsid w:val="1ABA53F2"/>
    <w:rsid w:val="1ABC771B"/>
    <w:rsid w:val="1AE4538C"/>
    <w:rsid w:val="1AEE0C14"/>
    <w:rsid w:val="1B8C4AB8"/>
    <w:rsid w:val="1BFF43FF"/>
    <w:rsid w:val="1C4E7C1D"/>
    <w:rsid w:val="1C502BA8"/>
    <w:rsid w:val="1C791009"/>
    <w:rsid w:val="1C7F6D3C"/>
    <w:rsid w:val="1CC2439E"/>
    <w:rsid w:val="1D0F7C29"/>
    <w:rsid w:val="1D233438"/>
    <w:rsid w:val="1D2D3051"/>
    <w:rsid w:val="1DBE513A"/>
    <w:rsid w:val="1DDE2B28"/>
    <w:rsid w:val="1E612A7B"/>
    <w:rsid w:val="1F1251D8"/>
    <w:rsid w:val="1F3972A8"/>
    <w:rsid w:val="1F560937"/>
    <w:rsid w:val="1F730A49"/>
    <w:rsid w:val="1FA944E4"/>
    <w:rsid w:val="1FCB0A8B"/>
    <w:rsid w:val="1FF45226"/>
    <w:rsid w:val="202E5364"/>
    <w:rsid w:val="204B4C27"/>
    <w:rsid w:val="20916818"/>
    <w:rsid w:val="20965AA6"/>
    <w:rsid w:val="20E862EE"/>
    <w:rsid w:val="21237B64"/>
    <w:rsid w:val="21A6258F"/>
    <w:rsid w:val="21B20862"/>
    <w:rsid w:val="22031F75"/>
    <w:rsid w:val="222178ED"/>
    <w:rsid w:val="222639BD"/>
    <w:rsid w:val="22540994"/>
    <w:rsid w:val="241C7396"/>
    <w:rsid w:val="2452781A"/>
    <w:rsid w:val="248E66BB"/>
    <w:rsid w:val="24E576CD"/>
    <w:rsid w:val="253B28B5"/>
    <w:rsid w:val="255621F4"/>
    <w:rsid w:val="25D50A68"/>
    <w:rsid w:val="25FD6004"/>
    <w:rsid w:val="27470682"/>
    <w:rsid w:val="27B24A33"/>
    <w:rsid w:val="282A37AE"/>
    <w:rsid w:val="28465F76"/>
    <w:rsid w:val="287271B3"/>
    <w:rsid w:val="289B61B4"/>
    <w:rsid w:val="289E2258"/>
    <w:rsid w:val="28B52E2E"/>
    <w:rsid w:val="28B77C80"/>
    <w:rsid w:val="28BF11BC"/>
    <w:rsid w:val="28D7376B"/>
    <w:rsid w:val="28E22641"/>
    <w:rsid w:val="29334959"/>
    <w:rsid w:val="293F695A"/>
    <w:rsid w:val="29422AF1"/>
    <w:rsid w:val="2950356A"/>
    <w:rsid w:val="295433E1"/>
    <w:rsid w:val="29CC0F6B"/>
    <w:rsid w:val="29CF23DC"/>
    <w:rsid w:val="29EC063E"/>
    <w:rsid w:val="2A167C2E"/>
    <w:rsid w:val="2A5572A5"/>
    <w:rsid w:val="2A5C62DB"/>
    <w:rsid w:val="2A6D51CD"/>
    <w:rsid w:val="2B360826"/>
    <w:rsid w:val="2B4322C4"/>
    <w:rsid w:val="2B926785"/>
    <w:rsid w:val="2BB73D02"/>
    <w:rsid w:val="2D153AF9"/>
    <w:rsid w:val="2D7A45D2"/>
    <w:rsid w:val="2DA059AB"/>
    <w:rsid w:val="2DC70A4F"/>
    <w:rsid w:val="2DF12F87"/>
    <w:rsid w:val="2E294723"/>
    <w:rsid w:val="2E621D9A"/>
    <w:rsid w:val="2E8F5AA9"/>
    <w:rsid w:val="2EB111B4"/>
    <w:rsid w:val="2F6E7FA8"/>
    <w:rsid w:val="2F8C0C0C"/>
    <w:rsid w:val="2FD333FD"/>
    <w:rsid w:val="30454731"/>
    <w:rsid w:val="30792255"/>
    <w:rsid w:val="30C5751E"/>
    <w:rsid w:val="30F73FEB"/>
    <w:rsid w:val="312B78A2"/>
    <w:rsid w:val="3146530D"/>
    <w:rsid w:val="31697C17"/>
    <w:rsid w:val="320378A1"/>
    <w:rsid w:val="321330C9"/>
    <w:rsid w:val="32317565"/>
    <w:rsid w:val="323A16DC"/>
    <w:rsid w:val="3248505E"/>
    <w:rsid w:val="32644795"/>
    <w:rsid w:val="326C646B"/>
    <w:rsid w:val="32D95E2E"/>
    <w:rsid w:val="32F65A39"/>
    <w:rsid w:val="330E51B6"/>
    <w:rsid w:val="33BF2CF4"/>
    <w:rsid w:val="33D47F2F"/>
    <w:rsid w:val="33ED357D"/>
    <w:rsid w:val="343806DE"/>
    <w:rsid w:val="344C39B7"/>
    <w:rsid w:val="34626F4C"/>
    <w:rsid w:val="34BC771E"/>
    <w:rsid w:val="34E25B5D"/>
    <w:rsid w:val="350F4AF1"/>
    <w:rsid w:val="35705809"/>
    <w:rsid w:val="3575344B"/>
    <w:rsid w:val="357D73DE"/>
    <w:rsid w:val="35B41A2D"/>
    <w:rsid w:val="35DC620A"/>
    <w:rsid w:val="363909E6"/>
    <w:rsid w:val="36A15BBF"/>
    <w:rsid w:val="36AA0825"/>
    <w:rsid w:val="36EB4BDC"/>
    <w:rsid w:val="372D5674"/>
    <w:rsid w:val="37B93841"/>
    <w:rsid w:val="37BA5991"/>
    <w:rsid w:val="37D326E7"/>
    <w:rsid w:val="37F82ABC"/>
    <w:rsid w:val="387640B8"/>
    <w:rsid w:val="38EC41A7"/>
    <w:rsid w:val="39180414"/>
    <w:rsid w:val="394C3880"/>
    <w:rsid w:val="3B1C2093"/>
    <w:rsid w:val="3BAE2963"/>
    <w:rsid w:val="3BBA68E7"/>
    <w:rsid w:val="3BCE093D"/>
    <w:rsid w:val="3C214048"/>
    <w:rsid w:val="3C477201"/>
    <w:rsid w:val="3C6251D3"/>
    <w:rsid w:val="3C6509B1"/>
    <w:rsid w:val="3C7157B5"/>
    <w:rsid w:val="3C790083"/>
    <w:rsid w:val="3C8B4E9D"/>
    <w:rsid w:val="3CA8765B"/>
    <w:rsid w:val="3D1618E8"/>
    <w:rsid w:val="3D516FF2"/>
    <w:rsid w:val="3D707831"/>
    <w:rsid w:val="3DA23D0A"/>
    <w:rsid w:val="3EF5621B"/>
    <w:rsid w:val="3FB02221"/>
    <w:rsid w:val="3FB0547E"/>
    <w:rsid w:val="400A4E75"/>
    <w:rsid w:val="401C651D"/>
    <w:rsid w:val="40D211BA"/>
    <w:rsid w:val="422805AA"/>
    <w:rsid w:val="42AD4BFA"/>
    <w:rsid w:val="4363296F"/>
    <w:rsid w:val="438A7846"/>
    <w:rsid w:val="44215282"/>
    <w:rsid w:val="443618CE"/>
    <w:rsid w:val="444C263C"/>
    <w:rsid w:val="448D3BF7"/>
    <w:rsid w:val="44922913"/>
    <w:rsid w:val="44FC0FC8"/>
    <w:rsid w:val="452D2E58"/>
    <w:rsid w:val="45346DD5"/>
    <w:rsid w:val="45382C86"/>
    <w:rsid w:val="456563FA"/>
    <w:rsid w:val="459729A6"/>
    <w:rsid w:val="46665B9E"/>
    <w:rsid w:val="466F53D0"/>
    <w:rsid w:val="46A52BAA"/>
    <w:rsid w:val="4717354F"/>
    <w:rsid w:val="476F570B"/>
    <w:rsid w:val="47B82F8C"/>
    <w:rsid w:val="47DB48C5"/>
    <w:rsid w:val="480C19EA"/>
    <w:rsid w:val="4861702F"/>
    <w:rsid w:val="48776D38"/>
    <w:rsid w:val="48CA64DA"/>
    <w:rsid w:val="48CD11B6"/>
    <w:rsid w:val="490B709C"/>
    <w:rsid w:val="49231BBC"/>
    <w:rsid w:val="4A5B23AD"/>
    <w:rsid w:val="4A865455"/>
    <w:rsid w:val="4AF27FDB"/>
    <w:rsid w:val="4B6E0530"/>
    <w:rsid w:val="4C61016D"/>
    <w:rsid w:val="4C9E0711"/>
    <w:rsid w:val="4DC63E5D"/>
    <w:rsid w:val="4E642584"/>
    <w:rsid w:val="4E9234E5"/>
    <w:rsid w:val="4F004AC8"/>
    <w:rsid w:val="4FDD3421"/>
    <w:rsid w:val="50220974"/>
    <w:rsid w:val="50563A10"/>
    <w:rsid w:val="50744124"/>
    <w:rsid w:val="50DB612B"/>
    <w:rsid w:val="50FB7BCD"/>
    <w:rsid w:val="51D50F1C"/>
    <w:rsid w:val="51E970C3"/>
    <w:rsid w:val="528625FA"/>
    <w:rsid w:val="52DB10B0"/>
    <w:rsid w:val="53163BF2"/>
    <w:rsid w:val="54F70D70"/>
    <w:rsid w:val="556D1D67"/>
    <w:rsid w:val="559323C5"/>
    <w:rsid w:val="55DA574B"/>
    <w:rsid w:val="55DB14B9"/>
    <w:rsid w:val="55E333E3"/>
    <w:rsid w:val="5610528E"/>
    <w:rsid w:val="56182B6E"/>
    <w:rsid w:val="56270168"/>
    <w:rsid w:val="56790BF4"/>
    <w:rsid w:val="56C46547"/>
    <w:rsid w:val="56DA3123"/>
    <w:rsid w:val="56E723FE"/>
    <w:rsid w:val="574F4AA7"/>
    <w:rsid w:val="575A07A3"/>
    <w:rsid w:val="57E400AD"/>
    <w:rsid w:val="57EE76E4"/>
    <w:rsid w:val="585614E4"/>
    <w:rsid w:val="58774C70"/>
    <w:rsid w:val="58B47A22"/>
    <w:rsid w:val="58EA52A0"/>
    <w:rsid w:val="59130765"/>
    <w:rsid w:val="592B4899"/>
    <w:rsid w:val="59BE008C"/>
    <w:rsid w:val="59E62CA7"/>
    <w:rsid w:val="5A914920"/>
    <w:rsid w:val="5AB00B25"/>
    <w:rsid w:val="5AC04A0B"/>
    <w:rsid w:val="5B4C62E3"/>
    <w:rsid w:val="5B4E3FA9"/>
    <w:rsid w:val="5B7504ED"/>
    <w:rsid w:val="5B8B449F"/>
    <w:rsid w:val="5C1B135A"/>
    <w:rsid w:val="5C2769E7"/>
    <w:rsid w:val="5C8F57C6"/>
    <w:rsid w:val="5C993234"/>
    <w:rsid w:val="5CEF39E7"/>
    <w:rsid w:val="5D0C639D"/>
    <w:rsid w:val="5D4D1366"/>
    <w:rsid w:val="5DA821BF"/>
    <w:rsid w:val="5DC139D2"/>
    <w:rsid w:val="5DF319AE"/>
    <w:rsid w:val="5DF67626"/>
    <w:rsid w:val="5E772F3C"/>
    <w:rsid w:val="5ED7778B"/>
    <w:rsid w:val="5F731BA9"/>
    <w:rsid w:val="5F9264C3"/>
    <w:rsid w:val="6058674D"/>
    <w:rsid w:val="608F3F69"/>
    <w:rsid w:val="61056E0B"/>
    <w:rsid w:val="615067D7"/>
    <w:rsid w:val="616A185D"/>
    <w:rsid w:val="619E2B89"/>
    <w:rsid w:val="620D2994"/>
    <w:rsid w:val="62C5787E"/>
    <w:rsid w:val="631F787D"/>
    <w:rsid w:val="63202D68"/>
    <w:rsid w:val="63213448"/>
    <w:rsid w:val="633607E1"/>
    <w:rsid w:val="639533FD"/>
    <w:rsid w:val="639B5A24"/>
    <w:rsid w:val="63A8130F"/>
    <w:rsid w:val="63C77B91"/>
    <w:rsid w:val="63C8615D"/>
    <w:rsid w:val="64301060"/>
    <w:rsid w:val="643738BF"/>
    <w:rsid w:val="64AF1FBB"/>
    <w:rsid w:val="64C0660B"/>
    <w:rsid w:val="658223CF"/>
    <w:rsid w:val="65AE4647"/>
    <w:rsid w:val="65B07A0B"/>
    <w:rsid w:val="65F76387"/>
    <w:rsid w:val="662214F1"/>
    <w:rsid w:val="668A55F7"/>
    <w:rsid w:val="674246DE"/>
    <w:rsid w:val="67BA2DBD"/>
    <w:rsid w:val="680649AA"/>
    <w:rsid w:val="681D64C2"/>
    <w:rsid w:val="681E7B79"/>
    <w:rsid w:val="682D3D0A"/>
    <w:rsid w:val="68A824BF"/>
    <w:rsid w:val="68DE575D"/>
    <w:rsid w:val="68F9039B"/>
    <w:rsid w:val="693E48E3"/>
    <w:rsid w:val="694E203D"/>
    <w:rsid w:val="695F0F37"/>
    <w:rsid w:val="69C160CF"/>
    <w:rsid w:val="69CF5407"/>
    <w:rsid w:val="69E12102"/>
    <w:rsid w:val="69E15B12"/>
    <w:rsid w:val="6A7F011B"/>
    <w:rsid w:val="6A9C0D44"/>
    <w:rsid w:val="6AE129F2"/>
    <w:rsid w:val="6AF80865"/>
    <w:rsid w:val="6AF84C9C"/>
    <w:rsid w:val="6B6B0FAF"/>
    <w:rsid w:val="6B780D2F"/>
    <w:rsid w:val="6B9C1813"/>
    <w:rsid w:val="6C356BD4"/>
    <w:rsid w:val="6CB14A3E"/>
    <w:rsid w:val="6CD6514E"/>
    <w:rsid w:val="6D0B269D"/>
    <w:rsid w:val="6D3D6670"/>
    <w:rsid w:val="6D3F28C1"/>
    <w:rsid w:val="6D4516AF"/>
    <w:rsid w:val="6E1D4ED5"/>
    <w:rsid w:val="6E240780"/>
    <w:rsid w:val="6F273251"/>
    <w:rsid w:val="6F9772CE"/>
    <w:rsid w:val="6FBB46ED"/>
    <w:rsid w:val="703A3F85"/>
    <w:rsid w:val="70555B9D"/>
    <w:rsid w:val="71AF32A6"/>
    <w:rsid w:val="72157655"/>
    <w:rsid w:val="724C24BE"/>
    <w:rsid w:val="724C636E"/>
    <w:rsid w:val="729C22B0"/>
    <w:rsid w:val="743B0D75"/>
    <w:rsid w:val="746147D0"/>
    <w:rsid w:val="75A13826"/>
    <w:rsid w:val="75A96F9D"/>
    <w:rsid w:val="75D20B44"/>
    <w:rsid w:val="761A1F87"/>
    <w:rsid w:val="76262166"/>
    <w:rsid w:val="77C17FC5"/>
    <w:rsid w:val="77EF1225"/>
    <w:rsid w:val="78494FAA"/>
    <w:rsid w:val="787B718E"/>
    <w:rsid w:val="78A465FF"/>
    <w:rsid w:val="78C569F8"/>
    <w:rsid w:val="79052F5E"/>
    <w:rsid w:val="797304FB"/>
    <w:rsid w:val="79C8592F"/>
    <w:rsid w:val="7A3754E3"/>
    <w:rsid w:val="7A4D30ED"/>
    <w:rsid w:val="7AD940D8"/>
    <w:rsid w:val="7AE668A5"/>
    <w:rsid w:val="7AE927AE"/>
    <w:rsid w:val="7AFB0A43"/>
    <w:rsid w:val="7B1623D5"/>
    <w:rsid w:val="7B2F40E0"/>
    <w:rsid w:val="7B4927AB"/>
    <w:rsid w:val="7B806F5F"/>
    <w:rsid w:val="7B982198"/>
    <w:rsid w:val="7BD77A4B"/>
    <w:rsid w:val="7BEF1040"/>
    <w:rsid w:val="7BF94D5C"/>
    <w:rsid w:val="7C2461C6"/>
    <w:rsid w:val="7C6437A3"/>
    <w:rsid w:val="7C74731A"/>
    <w:rsid w:val="7C861295"/>
    <w:rsid w:val="7CF36D8A"/>
    <w:rsid w:val="7D1666BD"/>
    <w:rsid w:val="7D1B3CD3"/>
    <w:rsid w:val="7D564FB1"/>
    <w:rsid w:val="7D887CFF"/>
    <w:rsid w:val="7DB1624A"/>
    <w:rsid w:val="7DD80158"/>
    <w:rsid w:val="7E211608"/>
    <w:rsid w:val="7E5678FD"/>
    <w:rsid w:val="7EE12A82"/>
    <w:rsid w:val="7F0A72D2"/>
    <w:rsid w:val="7FC35E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link w:val="81"/>
    <w:qFormat/>
    <w:uiPriority w:val="0"/>
    <w:pPr>
      <w:keepNext/>
      <w:keepLines/>
      <w:spacing w:before="340" w:after="330" w:line="578" w:lineRule="auto"/>
      <w:jc w:val="center"/>
      <w:outlineLvl w:val="0"/>
    </w:pPr>
    <w:rPr>
      <w:rFonts w:ascii="Times New Roman" w:hAnsi="Times New Roman" w:eastAsia="宋体"/>
      <w:b/>
      <w:bCs/>
      <w:kern w:val="44"/>
      <w:sz w:val="30"/>
      <w:szCs w:val="44"/>
    </w:rPr>
  </w:style>
  <w:style w:type="paragraph" w:styleId="4">
    <w:name w:val="heading 2"/>
    <w:basedOn w:val="1"/>
    <w:next w:val="1"/>
    <w:link w:val="82"/>
    <w:qFormat/>
    <w:uiPriority w:val="9"/>
    <w:pPr>
      <w:keepNext/>
      <w:keepLines/>
      <w:spacing w:before="260" w:after="260" w:line="416" w:lineRule="auto"/>
      <w:ind w:firstLine="628"/>
      <w:jc w:val="center"/>
      <w:outlineLvl w:val="1"/>
    </w:pPr>
    <w:rPr>
      <w:rFonts w:ascii="Arial" w:eastAsia="黑体"/>
      <w:b/>
      <w:bCs/>
      <w:sz w:val="32"/>
      <w:szCs w:val="32"/>
    </w:rPr>
  </w:style>
  <w:style w:type="paragraph" w:styleId="5">
    <w:name w:val="heading 3"/>
    <w:basedOn w:val="1"/>
    <w:next w:val="1"/>
    <w:link w:val="83"/>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8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outlineLvl w:val="4"/>
    </w:pPr>
    <w:rPr>
      <w:rFonts w:ascii="宋体" w:hAnsi="Arial"/>
      <w:bCs/>
      <w:sz w:val="28"/>
    </w:rPr>
  </w:style>
  <w:style w:type="paragraph" w:styleId="8">
    <w:name w:val="heading 6"/>
    <w:basedOn w:val="1"/>
    <w:next w:val="1"/>
    <w:link w:val="86"/>
    <w:qFormat/>
    <w:uiPriority w:val="0"/>
    <w:pPr>
      <w:keepNext/>
      <w:autoSpaceDE w:val="0"/>
      <w:autoSpaceDN w:val="0"/>
      <w:adjustRightInd w:val="0"/>
      <w:spacing w:before="156" w:beforeLines="50" w:after="156" w:afterLines="50" w:line="300" w:lineRule="exact"/>
      <w:jc w:val="center"/>
      <w:outlineLvl w:val="5"/>
    </w:pPr>
    <w:rPr>
      <w:rFonts w:ascii="宋体" w:hAnsi="宋体"/>
      <w:kern w:val="0"/>
      <w:sz w:val="28"/>
    </w:rPr>
  </w:style>
  <w:style w:type="paragraph" w:styleId="9">
    <w:name w:val="heading 7"/>
    <w:basedOn w:val="1"/>
    <w:next w:val="1"/>
    <w:link w:val="87"/>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88"/>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1">
    <w:name w:val="heading 9"/>
    <w:basedOn w:val="1"/>
    <w:next w:val="1"/>
    <w:link w:val="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semiHidden/>
    <w:uiPriority w:val="0"/>
  </w:style>
  <w:style w:type="table" w:default="1" w:styleId="71">
    <w:name w:val="Normal Table"/>
    <w:semiHidden/>
    <w:uiPriority w:val="0"/>
    <w:tblPr>
      <w:tblStyle w:val="71"/>
      <w:tblCellMar>
        <w:top w:w="0" w:type="dxa"/>
        <w:left w:w="108" w:type="dxa"/>
        <w:bottom w:w="0" w:type="dxa"/>
        <w:right w:w="108" w:type="dxa"/>
      </w:tblCellMar>
    </w:tblPr>
  </w:style>
  <w:style w:type="paragraph" w:styleId="2">
    <w:name w:val="Body Text"/>
    <w:basedOn w:val="1"/>
    <w:next w:val="1"/>
    <w:link w:val="80"/>
    <w:uiPriority w:val="0"/>
    <w:rPr>
      <w:rFonts w:ascii="宋体" w:hAnsi="Arial"/>
      <w:sz w:val="28"/>
    </w:rPr>
  </w:style>
  <w:style w:type="paragraph" w:styleId="12">
    <w:name w:val="List 3"/>
    <w:basedOn w:val="1"/>
    <w:uiPriority w:val="0"/>
    <w:pPr>
      <w:ind w:left="600" w:leftChars="400" w:hanging="200" w:hangingChars="200"/>
    </w:pPr>
    <w:rPr>
      <w:rFonts w:cs="Droid Sans"/>
      <w:sz w:val="18"/>
    </w:rPr>
  </w:style>
  <w:style w:type="paragraph" w:styleId="13">
    <w:name w:val="toc 7"/>
    <w:basedOn w:val="1"/>
    <w:next w:val="1"/>
    <w:uiPriority w:val="39"/>
    <w:pPr>
      <w:ind w:left="1260"/>
      <w:jc w:val="left"/>
    </w:pPr>
    <w:rPr>
      <w:szCs w:val="21"/>
    </w:rPr>
  </w:style>
  <w:style w:type="paragraph" w:styleId="14">
    <w:name w:val="table of authorities"/>
    <w:basedOn w:val="1"/>
    <w:next w:val="1"/>
    <w:uiPriority w:val="0"/>
    <w:pPr>
      <w:ind w:left="420" w:leftChars="200"/>
    </w:pPr>
  </w:style>
  <w:style w:type="paragraph" w:styleId="15">
    <w:name w:val="index 8"/>
    <w:basedOn w:val="1"/>
    <w:next w:val="1"/>
    <w:uiPriority w:val="0"/>
    <w:pPr>
      <w:ind w:left="1400" w:leftChars="1400"/>
    </w:pPr>
  </w:style>
  <w:style w:type="paragraph" w:styleId="16">
    <w:name w:val="Normal Indent"/>
    <w:basedOn w:val="1"/>
    <w:link w:val="90"/>
    <w:uiPriority w:val="0"/>
    <w:pPr>
      <w:autoSpaceDE w:val="0"/>
      <w:autoSpaceDN w:val="0"/>
      <w:adjustRightInd w:val="0"/>
      <w:ind w:firstLine="420"/>
      <w:jc w:val="left"/>
    </w:pPr>
    <w:rPr>
      <w:rFonts w:ascii="宋体"/>
      <w:kern w:val="0"/>
      <w:sz w:val="24"/>
    </w:rPr>
  </w:style>
  <w:style w:type="paragraph" w:styleId="17">
    <w:name w:val="caption"/>
    <w:basedOn w:val="1"/>
    <w:next w:val="1"/>
    <w:link w:val="91"/>
    <w:qFormat/>
    <w:uiPriority w:val="0"/>
    <w:rPr>
      <w:rFonts w:ascii="Cambria" w:hAnsi="Cambria" w:eastAsia="黑体"/>
      <w:sz w:val="20"/>
    </w:rPr>
  </w:style>
  <w:style w:type="paragraph" w:styleId="18">
    <w:name w:val="index 5"/>
    <w:basedOn w:val="1"/>
    <w:next w:val="1"/>
    <w:uiPriority w:val="0"/>
    <w:pPr>
      <w:ind w:left="800" w:leftChars="800"/>
    </w:pPr>
  </w:style>
  <w:style w:type="paragraph" w:styleId="19">
    <w:name w:val="List Bullet"/>
    <w:basedOn w:val="16"/>
    <w:uiPriority w:val="0"/>
    <w:pPr>
      <w:widowControl/>
      <w:numPr>
        <w:ilvl w:val="1"/>
        <w:numId w:val="1"/>
      </w:numPr>
      <w:tabs>
        <w:tab w:val="left" w:pos="1440"/>
      </w:tabs>
      <w:autoSpaceDE/>
      <w:autoSpaceDN/>
      <w:adjustRightInd/>
      <w:spacing w:after="120"/>
    </w:pPr>
    <w:rPr>
      <w:rFonts w:ascii="Calibri" w:hAnsi="Calibri" w:cs="Droid Sans"/>
      <w:kern w:val="2"/>
    </w:rPr>
  </w:style>
  <w:style w:type="paragraph" w:styleId="20">
    <w:name w:val="Document Map"/>
    <w:basedOn w:val="1"/>
    <w:link w:val="92"/>
    <w:uiPriority w:val="0"/>
    <w:pPr>
      <w:shd w:val="clear" w:color="auto" w:fill="000080"/>
    </w:pPr>
  </w:style>
  <w:style w:type="paragraph" w:styleId="21">
    <w:name w:val="toa heading"/>
    <w:basedOn w:val="1"/>
    <w:next w:val="1"/>
    <w:uiPriority w:val="0"/>
    <w:pPr>
      <w:spacing w:before="120"/>
    </w:pPr>
    <w:rPr>
      <w:rFonts w:ascii="Arial" w:hAnsi="Arial"/>
      <w:b/>
      <w:bCs/>
      <w:szCs w:val="24"/>
    </w:rPr>
  </w:style>
  <w:style w:type="paragraph" w:styleId="22">
    <w:name w:val="annotation text"/>
    <w:basedOn w:val="1"/>
    <w:link w:val="93"/>
    <w:uiPriority w:val="0"/>
    <w:pPr>
      <w:jc w:val="left"/>
    </w:pPr>
  </w:style>
  <w:style w:type="paragraph" w:styleId="23">
    <w:name w:val="index 6"/>
    <w:basedOn w:val="1"/>
    <w:next w:val="1"/>
    <w:uiPriority w:val="0"/>
    <w:pPr>
      <w:ind w:left="1000" w:leftChars="1000"/>
    </w:pPr>
  </w:style>
  <w:style w:type="paragraph" w:styleId="24">
    <w:name w:val="Body Text 3"/>
    <w:basedOn w:val="1"/>
    <w:link w:val="94"/>
    <w:uiPriority w:val="0"/>
    <w:rPr>
      <w:rFonts w:ascii="黑体" w:hAnsi="Arial" w:eastAsia="黑体"/>
      <w:b/>
      <w:sz w:val="28"/>
    </w:rPr>
  </w:style>
  <w:style w:type="paragraph" w:styleId="25">
    <w:name w:val="List Bullet 3"/>
    <w:basedOn w:val="1"/>
    <w:uiPriority w:val="0"/>
    <w:pPr>
      <w:numPr>
        <w:ilvl w:val="0"/>
        <w:numId w:val="2"/>
      </w:numPr>
      <w:spacing w:line="360" w:lineRule="auto"/>
      <w:ind w:leftChars="400" w:hangingChars="200"/>
      <w:contextualSpacing/>
    </w:pPr>
    <w:rPr>
      <w:rFonts w:ascii="Arial" w:hAnsi="Arial" w:cs="宋体"/>
      <w:sz w:val="24"/>
    </w:rPr>
  </w:style>
  <w:style w:type="paragraph" w:styleId="26">
    <w:name w:val="Body Text Indent"/>
    <w:basedOn w:val="1"/>
    <w:next w:val="27"/>
    <w:link w:val="95"/>
    <w:uiPriority w:val="0"/>
    <w:pPr>
      <w:ind w:firstLine="645"/>
    </w:pPr>
    <w:rPr>
      <w:rFonts w:ascii="楷体_GB2312" w:eastAsia="楷体_GB2312"/>
      <w:sz w:val="32"/>
    </w:rPr>
  </w:style>
  <w:style w:type="paragraph" w:styleId="27">
    <w:name w:val="envelope return"/>
    <w:basedOn w:val="1"/>
    <w:qFormat/>
    <w:uiPriority w:val="99"/>
    <w:pPr>
      <w:snapToGrid w:val="0"/>
    </w:pPr>
    <w:rPr>
      <w:rFonts w:ascii="Arial" w:hAnsi="Arial"/>
    </w:rPr>
  </w:style>
  <w:style w:type="paragraph" w:styleId="28">
    <w:name w:val="List 2"/>
    <w:basedOn w:val="1"/>
    <w:uiPriority w:val="0"/>
    <w:pPr>
      <w:ind w:left="400" w:leftChars="200" w:hanging="200" w:hangingChars="200"/>
    </w:pPr>
    <w:rPr>
      <w:rFonts w:cs="Droid Sans"/>
      <w:sz w:val="18"/>
    </w:rPr>
  </w:style>
  <w:style w:type="paragraph" w:styleId="29">
    <w:name w:val="List Continue"/>
    <w:basedOn w:val="1"/>
    <w:uiPriority w:val="0"/>
    <w:pPr>
      <w:spacing w:after="120"/>
      <w:ind w:left="420"/>
    </w:pPr>
    <w:rPr>
      <w:szCs w:val="24"/>
    </w:rPr>
  </w:style>
  <w:style w:type="paragraph" w:styleId="30">
    <w:name w:val="Block Text"/>
    <w:basedOn w:val="1"/>
    <w:uiPriority w:val="0"/>
    <w:pPr>
      <w:adjustRightInd w:val="0"/>
      <w:snapToGrid w:val="0"/>
      <w:spacing w:line="352" w:lineRule="auto"/>
      <w:ind w:left="342" w:leftChars="342" w:right="-38" w:rightChars="-38" w:firstLine="200" w:firstLineChars="200"/>
    </w:pPr>
    <w:rPr>
      <w:rFonts w:ascii="Calibri" w:hAnsi="Calibri" w:cs="Droid Sans"/>
      <w:sz w:val="24"/>
    </w:rPr>
  </w:style>
  <w:style w:type="paragraph" w:styleId="31">
    <w:name w:val="List Bullet 2"/>
    <w:basedOn w:val="1"/>
    <w:uiPriority w:val="0"/>
    <w:pPr>
      <w:numPr>
        <w:ilvl w:val="0"/>
        <w:numId w:val="3"/>
      </w:numPr>
      <w:spacing w:line="312" w:lineRule="auto"/>
    </w:pPr>
    <w:rPr>
      <w:szCs w:val="21"/>
    </w:rPr>
  </w:style>
  <w:style w:type="paragraph" w:styleId="32">
    <w:name w:val="index 4"/>
    <w:basedOn w:val="1"/>
    <w:next w:val="1"/>
    <w:uiPriority w:val="0"/>
    <w:pPr>
      <w:ind w:left="600" w:leftChars="600"/>
    </w:pPr>
  </w:style>
  <w:style w:type="paragraph" w:styleId="33">
    <w:name w:val="toc 5"/>
    <w:basedOn w:val="1"/>
    <w:next w:val="1"/>
    <w:uiPriority w:val="39"/>
    <w:pPr>
      <w:ind w:left="840"/>
      <w:jc w:val="left"/>
    </w:pPr>
    <w:rPr>
      <w:szCs w:val="21"/>
    </w:rPr>
  </w:style>
  <w:style w:type="paragraph" w:styleId="34">
    <w:name w:val="toc 3"/>
    <w:basedOn w:val="1"/>
    <w:next w:val="1"/>
    <w:link w:val="96"/>
    <w:qFormat/>
    <w:uiPriority w:val="0"/>
    <w:pPr>
      <w:ind w:left="420"/>
      <w:jc w:val="left"/>
    </w:pPr>
    <w:rPr>
      <w:i/>
      <w:iCs/>
      <w:szCs w:val="24"/>
    </w:rPr>
  </w:style>
  <w:style w:type="paragraph" w:styleId="35">
    <w:name w:val="Plain Text"/>
    <w:basedOn w:val="1"/>
    <w:link w:val="97"/>
    <w:qFormat/>
    <w:uiPriority w:val="0"/>
    <w:rPr>
      <w:rFonts w:ascii="宋体" w:hAnsi="Courier New"/>
    </w:rPr>
  </w:style>
  <w:style w:type="paragraph" w:styleId="36">
    <w:name w:val="toc 8"/>
    <w:basedOn w:val="1"/>
    <w:next w:val="1"/>
    <w:uiPriority w:val="39"/>
    <w:pPr>
      <w:ind w:left="1470"/>
      <w:jc w:val="left"/>
    </w:pPr>
    <w:rPr>
      <w:szCs w:val="21"/>
    </w:rPr>
  </w:style>
  <w:style w:type="paragraph" w:styleId="37">
    <w:name w:val="index 3"/>
    <w:basedOn w:val="1"/>
    <w:next w:val="1"/>
    <w:uiPriority w:val="0"/>
    <w:pPr>
      <w:ind w:left="400" w:leftChars="400"/>
    </w:pPr>
  </w:style>
  <w:style w:type="paragraph" w:styleId="38">
    <w:name w:val="Date"/>
    <w:basedOn w:val="1"/>
    <w:next w:val="1"/>
    <w:link w:val="98"/>
    <w:uiPriority w:val="0"/>
    <w:rPr>
      <w:b/>
      <w:sz w:val="28"/>
    </w:rPr>
  </w:style>
  <w:style w:type="paragraph" w:styleId="39">
    <w:name w:val="Body Text Indent 2"/>
    <w:basedOn w:val="1"/>
    <w:link w:val="99"/>
    <w:uiPriority w:val="0"/>
    <w:pPr>
      <w:ind w:left="630" w:firstLine="645"/>
    </w:pPr>
    <w:rPr>
      <w:rFonts w:ascii="Arial" w:hAnsi="Arial" w:eastAsia="仿宋_GB2312"/>
      <w:sz w:val="32"/>
    </w:rPr>
  </w:style>
  <w:style w:type="paragraph" w:styleId="40">
    <w:name w:val="Balloon Text"/>
    <w:basedOn w:val="1"/>
    <w:link w:val="100"/>
    <w:uiPriority w:val="0"/>
    <w:rPr>
      <w:sz w:val="18"/>
      <w:szCs w:val="18"/>
    </w:rPr>
  </w:style>
  <w:style w:type="paragraph" w:styleId="41">
    <w:name w:val="footer"/>
    <w:basedOn w:val="1"/>
    <w:link w:val="101"/>
    <w:uiPriority w:val="0"/>
    <w:pPr>
      <w:tabs>
        <w:tab w:val="center" w:pos="4153"/>
        <w:tab w:val="right" w:pos="8306"/>
      </w:tabs>
      <w:snapToGrid w:val="0"/>
      <w:jc w:val="left"/>
    </w:pPr>
    <w:rPr>
      <w:sz w:val="18"/>
    </w:rPr>
  </w:style>
  <w:style w:type="paragraph" w:styleId="42">
    <w:name w:val="header"/>
    <w:basedOn w:val="1"/>
    <w:link w:val="102"/>
    <w:uiPriority w:val="0"/>
    <w:pPr>
      <w:pBdr>
        <w:bottom w:val="single" w:color="auto" w:sz="6" w:space="1"/>
      </w:pBdr>
      <w:tabs>
        <w:tab w:val="center" w:pos="4153"/>
        <w:tab w:val="right" w:pos="8306"/>
      </w:tabs>
      <w:snapToGrid w:val="0"/>
      <w:jc w:val="center"/>
    </w:pPr>
    <w:rPr>
      <w:sz w:val="18"/>
    </w:rPr>
  </w:style>
  <w:style w:type="paragraph" w:styleId="43">
    <w:name w:val="Signature"/>
    <w:basedOn w:val="1"/>
    <w:link w:val="103"/>
    <w:uiPriority w:val="0"/>
    <w:pPr>
      <w:ind w:left="2100" w:leftChars="2100"/>
    </w:pPr>
    <w:rPr>
      <w:sz w:val="18"/>
    </w:rPr>
  </w:style>
  <w:style w:type="paragraph" w:styleId="44">
    <w:name w:val="toc 1"/>
    <w:basedOn w:val="1"/>
    <w:next w:val="1"/>
    <w:qFormat/>
    <w:uiPriority w:val="39"/>
    <w:pPr>
      <w:spacing w:before="120" w:after="120"/>
      <w:jc w:val="left"/>
    </w:pPr>
    <w:rPr>
      <w:caps/>
      <w:szCs w:val="24"/>
    </w:rPr>
  </w:style>
  <w:style w:type="paragraph" w:styleId="45">
    <w:name w:val="toc 4"/>
    <w:basedOn w:val="1"/>
    <w:next w:val="1"/>
    <w:uiPriority w:val="39"/>
    <w:pPr>
      <w:ind w:left="630"/>
      <w:jc w:val="left"/>
    </w:pPr>
    <w:rPr>
      <w:szCs w:val="21"/>
    </w:rPr>
  </w:style>
  <w:style w:type="paragraph" w:styleId="46">
    <w:name w:val="index heading"/>
    <w:basedOn w:val="1"/>
    <w:next w:val="47"/>
    <w:uiPriority w:val="0"/>
  </w:style>
  <w:style w:type="paragraph" w:styleId="47">
    <w:name w:val="index 1"/>
    <w:basedOn w:val="1"/>
    <w:next w:val="1"/>
    <w:uiPriority w:val="0"/>
    <w:pPr>
      <w:jc w:val="center"/>
    </w:pPr>
    <w:rPr>
      <w:rFonts w:ascii="仿宋_GB2312" w:eastAsia="仿宋_GB2312"/>
      <w:b/>
      <w:bCs/>
      <w:sz w:val="28"/>
    </w:rPr>
  </w:style>
  <w:style w:type="paragraph" w:styleId="48">
    <w:name w:val="Subtitle"/>
    <w:basedOn w:val="1"/>
    <w:next w:val="1"/>
    <w:link w:val="104"/>
    <w:qFormat/>
    <w:uiPriority w:val="99"/>
    <w:pPr>
      <w:spacing w:before="240" w:after="60" w:line="312" w:lineRule="auto"/>
      <w:jc w:val="center"/>
      <w:outlineLvl w:val="1"/>
    </w:pPr>
    <w:rPr>
      <w:rFonts w:ascii="Cambria" w:hAnsi="Cambria"/>
      <w:b/>
      <w:bCs/>
      <w:kern w:val="28"/>
      <w:sz w:val="32"/>
      <w:szCs w:val="32"/>
    </w:rPr>
  </w:style>
  <w:style w:type="paragraph" w:styleId="49">
    <w:name w:val="List"/>
    <w:basedOn w:val="1"/>
    <w:uiPriority w:val="0"/>
    <w:pPr>
      <w:ind w:left="200" w:hanging="200" w:hangingChars="200"/>
      <w:contextualSpacing/>
    </w:pPr>
    <w:rPr>
      <w:szCs w:val="24"/>
    </w:rPr>
  </w:style>
  <w:style w:type="paragraph" w:styleId="50">
    <w:name w:val="footnote text"/>
    <w:basedOn w:val="1"/>
    <w:link w:val="105"/>
    <w:uiPriority w:val="99"/>
    <w:pPr>
      <w:snapToGrid w:val="0"/>
      <w:jc w:val="left"/>
    </w:pPr>
    <w:rPr>
      <w:sz w:val="18"/>
      <w:szCs w:val="18"/>
    </w:rPr>
  </w:style>
  <w:style w:type="paragraph" w:styleId="51">
    <w:name w:val="toc 6"/>
    <w:basedOn w:val="1"/>
    <w:next w:val="1"/>
    <w:uiPriority w:val="39"/>
    <w:pPr>
      <w:ind w:left="1050"/>
      <w:jc w:val="left"/>
    </w:pPr>
    <w:rPr>
      <w:szCs w:val="21"/>
    </w:rPr>
  </w:style>
  <w:style w:type="paragraph" w:styleId="52">
    <w:name w:val="List 5"/>
    <w:basedOn w:val="1"/>
    <w:uiPriority w:val="0"/>
    <w:pPr>
      <w:ind w:left="2100" w:hanging="420"/>
    </w:pPr>
    <w:rPr>
      <w:szCs w:val="24"/>
    </w:rPr>
  </w:style>
  <w:style w:type="paragraph" w:styleId="53">
    <w:name w:val="Body Text Indent 3"/>
    <w:basedOn w:val="1"/>
    <w:link w:val="106"/>
    <w:uiPriority w:val="0"/>
    <w:pPr>
      <w:ind w:firstLine="645"/>
    </w:pPr>
    <w:rPr>
      <w:rFonts w:ascii="仿宋_GB2312" w:hAnsi="Arial" w:eastAsia="仿宋_GB2312"/>
      <w:color w:val="000000"/>
      <w:sz w:val="30"/>
    </w:rPr>
  </w:style>
  <w:style w:type="paragraph" w:styleId="54">
    <w:name w:val="index 7"/>
    <w:basedOn w:val="1"/>
    <w:next w:val="1"/>
    <w:uiPriority w:val="0"/>
    <w:pPr>
      <w:ind w:left="1200" w:leftChars="1200"/>
    </w:pPr>
  </w:style>
  <w:style w:type="paragraph" w:styleId="55">
    <w:name w:val="index 9"/>
    <w:basedOn w:val="1"/>
    <w:next w:val="1"/>
    <w:uiPriority w:val="0"/>
    <w:pPr>
      <w:ind w:left="1600" w:leftChars="1600"/>
    </w:pPr>
  </w:style>
  <w:style w:type="paragraph" w:styleId="56">
    <w:name w:val="table of figures"/>
    <w:basedOn w:val="1"/>
    <w:next w:val="1"/>
    <w:uiPriority w:val="0"/>
    <w:pPr>
      <w:spacing w:line="360" w:lineRule="auto"/>
      <w:ind w:left="840" w:leftChars="200" w:hanging="420" w:hangingChars="200"/>
    </w:pPr>
    <w:rPr>
      <w:rFonts w:ascii="Arial" w:hAnsi="Arial" w:cs="宋体"/>
      <w:sz w:val="24"/>
    </w:rPr>
  </w:style>
  <w:style w:type="paragraph" w:styleId="57">
    <w:name w:val="toc 2"/>
    <w:basedOn w:val="1"/>
    <w:next w:val="1"/>
    <w:qFormat/>
    <w:uiPriority w:val="39"/>
    <w:pPr>
      <w:ind w:left="210"/>
      <w:jc w:val="left"/>
    </w:pPr>
    <w:rPr>
      <w:smallCaps/>
      <w:sz w:val="28"/>
      <w:szCs w:val="24"/>
    </w:rPr>
  </w:style>
  <w:style w:type="paragraph" w:styleId="58">
    <w:name w:val="toc 9"/>
    <w:basedOn w:val="1"/>
    <w:next w:val="1"/>
    <w:uiPriority w:val="39"/>
    <w:pPr>
      <w:ind w:left="1680"/>
      <w:jc w:val="left"/>
    </w:pPr>
    <w:rPr>
      <w:szCs w:val="21"/>
    </w:rPr>
  </w:style>
  <w:style w:type="paragraph" w:styleId="59">
    <w:name w:val="Body Text 2"/>
    <w:basedOn w:val="1"/>
    <w:link w:val="107"/>
    <w:uiPriority w:val="0"/>
    <w:rPr>
      <w:rFonts w:ascii="仿宋_GB2312" w:eastAsia="仿宋_GB2312"/>
      <w:b/>
      <w:sz w:val="24"/>
    </w:rPr>
  </w:style>
  <w:style w:type="paragraph" w:styleId="60">
    <w:name w:val="List 4"/>
    <w:basedOn w:val="1"/>
    <w:uiPriority w:val="0"/>
    <w:pPr>
      <w:ind w:left="1680" w:hanging="420"/>
    </w:pPr>
    <w:rPr>
      <w:szCs w:val="24"/>
    </w:rPr>
  </w:style>
  <w:style w:type="paragraph" w:styleId="61">
    <w:name w:val="List Continue 2"/>
    <w:basedOn w:val="1"/>
    <w:uiPriority w:val="0"/>
    <w:pPr>
      <w:spacing w:after="120"/>
      <w:ind w:left="400" w:leftChars="400"/>
    </w:pPr>
    <w:rPr>
      <w:rFonts w:cs="Droid Sans"/>
      <w:sz w:val="18"/>
    </w:rPr>
  </w:style>
  <w:style w:type="paragraph" w:styleId="62">
    <w:name w:val="Message Header"/>
    <w:basedOn w:val="1"/>
    <w:link w:val="108"/>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63">
    <w:name w:val="HTML Preformatted"/>
    <w:basedOn w:val="1"/>
    <w:link w:val="109"/>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65">
    <w:name w:val="List Continue 3"/>
    <w:basedOn w:val="1"/>
    <w:uiPriority w:val="0"/>
    <w:pPr>
      <w:spacing w:after="120"/>
      <w:ind w:left="600" w:leftChars="600"/>
    </w:pPr>
    <w:rPr>
      <w:rFonts w:cs="Droid Sans"/>
      <w:sz w:val="18"/>
    </w:rPr>
  </w:style>
  <w:style w:type="paragraph" w:styleId="66">
    <w:name w:val="index 2"/>
    <w:basedOn w:val="1"/>
    <w:next w:val="1"/>
    <w:uiPriority w:val="0"/>
    <w:pPr>
      <w:ind w:left="200" w:leftChars="200"/>
    </w:pPr>
  </w:style>
  <w:style w:type="paragraph" w:styleId="67">
    <w:name w:val="Title"/>
    <w:basedOn w:val="3"/>
    <w:link w:val="110"/>
    <w:qFormat/>
    <w:uiPriority w:val="0"/>
    <w:pPr>
      <w:spacing w:before="120" w:after="120" w:line="360" w:lineRule="auto"/>
      <w:jc w:val="center"/>
    </w:pPr>
    <w:rPr>
      <w:rFonts w:ascii="宋体" w:hAnsi="宋体"/>
      <w:bCs w:val="0"/>
      <w:sz w:val="32"/>
      <w:szCs w:val="20"/>
    </w:rPr>
  </w:style>
  <w:style w:type="paragraph" w:styleId="68">
    <w:name w:val="annotation subject"/>
    <w:basedOn w:val="22"/>
    <w:next w:val="22"/>
    <w:link w:val="111"/>
    <w:uiPriority w:val="99"/>
    <w:rPr>
      <w:b/>
      <w:bCs/>
      <w:szCs w:val="24"/>
    </w:rPr>
  </w:style>
  <w:style w:type="paragraph" w:styleId="69">
    <w:name w:val="Body Text First Indent"/>
    <w:basedOn w:val="2"/>
    <w:link w:val="112"/>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70">
    <w:name w:val="Body Text First Indent 2"/>
    <w:basedOn w:val="26"/>
    <w:link w:val="113"/>
    <w:qFormat/>
    <w:uiPriority w:val="0"/>
    <w:pPr>
      <w:spacing w:after="120"/>
      <w:ind w:left="420" w:firstLine="210"/>
    </w:pPr>
    <w:rPr>
      <w:rFonts w:ascii="Times New Roman"/>
    </w:rPr>
  </w:style>
  <w:style w:type="table" w:styleId="72">
    <w:name w:val="Table Grid"/>
    <w:basedOn w:val="71"/>
    <w:qFormat/>
    <w:uiPriority w:val="0"/>
    <w:pPr>
      <w:widowControl w:val="0"/>
      <w:jc w:val="both"/>
    </w:pPr>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4">
    <w:name w:val="Strong"/>
    <w:qFormat/>
    <w:uiPriority w:val="22"/>
    <w:rPr>
      <w:b/>
      <w:bCs/>
    </w:rPr>
  </w:style>
  <w:style w:type="character" w:styleId="75">
    <w:name w:val="page number"/>
    <w:uiPriority w:val="0"/>
  </w:style>
  <w:style w:type="character" w:styleId="76">
    <w:name w:val="FollowedHyperlink"/>
    <w:uiPriority w:val="0"/>
    <w:rPr>
      <w:color w:val="333333"/>
      <w:u w:val="none"/>
    </w:rPr>
  </w:style>
  <w:style w:type="character" w:styleId="77">
    <w:name w:val="Emphasis"/>
    <w:qFormat/>
    <w:uiPriority w:val="20"/>
    <w:rPr>
      <w:color w:val="CC0033"/>
    </w:rPr>
  </w:style>
  <w:style w:type="character" w:styleId="78">
    <w:name w:val="Hyperlink"/>
    <w:uiPriority w:val="99"/>
    <w:rPr>
      <w:color w:val="333333"/>
      <w:u w:val="none"/>
    </w:rPr>
  </w:style>
  <w:style w:type="character" w:styleId="79">
    <w:name w:val="annotation reference"/>
    <w:uiPriority w:val="99"/>
    <w:rPr>
      <w:sz w:val="21"/>
    </w:rPr>
  </w:style>
  <w:style w:type="character" w:customStyle="1" w:styleId="80">
    <w:name w:val="正文文本 Char4"/>
    <w:link w:val="2"/>
    <w:uiPriority w:val="0"/>
    <w:rPr>
      <w:rFonts w:ascii="宋体" w:hAnsi="Arial"/>
      <w:kern w:val="2"/>
      <w:sz w:val="28"/>
    </w:rPr>
  </w:style>
  <w:style w:type="character" w:customStyle="1" w:styleId="81">
    <w:name w:val="标题 1 Char"/>
    <w:link w:val="3"/>
    <w:uiPriority w:val="0"/>
    <w:rPr>
      <w:rFonts w:ascii="Times New Roman" w:hAnsi="Times New Roman" w:eastAsia="宋体"/>
      <w:b/>
      <w:bCs/>
      <w:kern w:val="44"/>
      <w:sz w:val="30"/>
      <w:szCs w:val="44"/>
    </w:rPr>
  </w:style>
  <w:style w:type="character" w:customStyle="1" w:styleId="82">
    <w:name w:val="标题 2 Char"/>
    <w:link w:val="4"/>
    <w:qFormat/>
    <w:uiPriority w:val="9"/>
    <w:rPr>
      <w:rFonts w:ascii="Arial" w:hAnsi="Arial" w:eastAsia="黑体"/>
      <w:b/>
      <w:bCs/>
      <w:kern w:val="2"/>
      <w:sz w:val="32"/>
      <w:szCs w:val="32"/>
    </w:rPr>
  </w:style>
  <w:style w:type="character" w:customStyle="1" w:styleId="83">
    <w:name w:val="标题 3 Char1"/>
    <w:link w:val="5"/>
    <w:uiPriority w:val="0"/>
    <w:rPr>
      <w:rFonts w:ascii="宋体"/>
      <w:b/>
      <w:bCs/>
      <w:kern w:val="2"/>
      <w:sz w:val="32"/>
      <w:szCs w:val="32"/>
    </w:rPr>
  </w:style>
  <w:style w:type="character" w:customStyle="1" w:styleId="84">
    <w:name w:val="标题 4 Char"/>
    <w:link w:val="6"/>
    <w:uiPriority w:val="0"/>
    <w:rPr>
      <w:rFonts w:ascii="Arial" w:hAnsi="Arial" w:eastAsia="黑体"/>
      <w:b/>
      <w:bCs/>
      <w:kern w:val="2"/>
      <w:sz w:val="28"/>
      <w:szCs w:val="28"/>
    </w:rPr>
  </w:style>
  <w:style w:type="character" w:customStyle="1" w:styleId="85">
    <w:name w:val="标题 5 Char"/>
    <w:link w:val="7"/>
    <w:uiPriority w:val="0"/>
    <w:rPr>
      <w:rFonts w:ascii="宋体" w:hAnsi="Arial"/>
      <w:bCs/>
      <w:kern w:val="2"/>
      <w:sz w:val="28"/>
    </w:rPr>
  </w:style>
  <w:style w:type="character" w:customStyle="1" w:styleId="86">
    <w:name w:val="标题 6 Char"/>
    <w:link w:val="8"/>
    <w:uiPriority w:val="0"/>
    <w:rPr>
      <w:rFonts w:ascii="宋体" w:hAnsi="宋体"/>
      <w:sz w:val="28"/>
    </w:rPr>
  </w:style>
  <w:style w:type="character" w:customStyle="1" w:styleId="87">
    <w:name w:val="标题 7 Char"/>
    <w:link w:val="9"/>
    <w:uiPriority w:val="0"/>
    <w:rPr>
      <w:rFonts w:ascii="Arial" w:hAnsi="Arial" w:eastAsia="仿宋_GB2312" w:cs="Arial"/>
      <w:b/>
      <w:bCs/>
      <w:spacing w:val="-4"/>
      <w:kern w:val="2"/>
      <w:sz w:val="24"/>
      <w:szCs w:val="24"/>
    </w:rPr>
  </w:style>
  <w:style w:type="character" w:customStyle="1" w:styleId="88">
    <w:name w:val="标题 8 Char"/>
    <w:link w:val="10"/>
    <w:uiPriority w:val="0"/>
    <w:rPr>
      <w:rFonts w:ascii="Arial" w:hAnsi="Arial" w:eastAsia="黑体"/>
      <w:kern w:val="2"/>
      <w:sz w:val="24"/>
      <w:szCs w:val="24"/>
    </w:rPr>
  </w:style>
  <w:style w:type="character" w:customStyle="1" w:styleId="89">
    <w:name w:val="标题 9 Char"/>
    <w:link w:val="11"/>
    <w:uiPriority w:val="0"/>
    <w:rPr>
      <w:rFonts w:ascii="Arial" w:hAnsi="Arial" w:eastAsia="黑体"/>
      <w:kern w:val="2"/>
      <w:sz w:val="21"/>
      <w:szCs w:val="21"/>
    </w:rPr>
  </w:style>
  <w:style w:type="character" w:customStyle="1" w:styleId="90">
    <w:name w:val="正文缩进 Char"/>
    <w:link w:val="16"/>
    <w:uiPriority w:val="0"/>
    <w:rPr>
      <w:rFonts w:ascii="宋体"/>
      <w:sz w:val="24"/>
    </w:rPr>
  </w:style>
  <w:style w:type="character" w:customStyle="1" w:styleId="91">
    <w:name w:val="题注 Char"/>
    <w:link w:val="17"/>
    <w:locked/>
    <w:uiPriority w:val="0"/>
    <w:rPr>
      <w:rFonts w:ascii="Cambria" w:hAnsi="Cambria" w:eastAsia="黑体"/>
      <w:kern w:val="2"/>
      <w:lang w:val="en-US" w:eastAsia="zh-CN" w:bidi="ar-SA"/>
    </w:rPr>
  </w:style>
  <w:style w:type="character" w:customStyle="1" w:styleId="92">
    <w:name w:val="文档结构图 Char"/>
    <w:link w:val="20"/>
    <w:uiPriority w:val="0"/>
    <w:rPr>
      <w:kern w:val="2"/>
      <w:sz w:val="21"/>
      <w:shd w:val="clear" w:color="auto" w:fill="000080"/>
    </w:rPr>
  </w:style>
  <w:style w:type="character" w:customStyle="1" w:styleId="93">
    <w:name w:val="批注文字 Char"/>
    <w:link w:val="22"/>
    <w:uiPriority w:val="0"/>
    <w:rPr>
      <w:kern w:val="2"/>
      <w:sz w:val="21"/>
    </w:rPr>
  </w:style>
  <w:style w:type="character" w:customStyle="1" w:styleId="94">
    <w:name w:val="正文文本 3 Char"/>
    <w:link w:val="24"/>
    <w:uiPriority w:val="0"/>
    <w:rPr>
      <w:rFonts w:ascii="黑体" w:hAnsi="Arial" w:eastAsia="黑体"/>
      <w:b/>
      <w:kern w:val="2"/>
      <w:sz w:val="28"/>
      <w:lang w:val="en-US" w:eastAsia="zh-CN" w:bidi="ar-SA"/>
    </w:rPr>
  </w:style>
  <w:style w:type="character" w:customStyle="1" w:styleId="95">
    <w:name w:val="正文文本缩进 Char3"/>
    <w:link w:val="26"/>
    <w:uiPriority w:val="0"/>
    <w:rPr>
      <w:rFonts w:ascii="楷体_GB2312" w:eastAsia="楷体_GB2312"/>
      <w:kern w:val="2"/>
      <w:sz w:val="32"/>
    </w:rPr>
  </w:style>
  <w:style w:type="character" w:customStyle="1" w:styleId="96">
    <w:name w:val="目录 3 Char"/>
    <w:link w:val="34"/>
    <w:locked/>
    <w:uiPriority w:val="0"/>
    <w:rPr>
      <w:rFonts w:eastAsia="宋体"/>
      <w:i/>
      <w:iCs/>
      <w:kern w:val="2"/>
      <w:sz w:val="21"/>
      <w:szCs w:val="24"/>
      <w:lang w:val="en-US" w:eastAsia="zh-CN" w:bidi="ar-SA"/>
    </w:rPr>
  </w:style>
  <w:style w:type="character" w:customStyle="1" w:styleId="97">
    <w:name w:val="纯文本 Char4"/>
    <w:link w:val="35"/>
    <w:uiPriority w:val="0"/>
    <w:rPr>
      <w:rFonts w:ascii="宋体" w:hAnsi="Courier New"/>
      <w:kern w:val="2"/>
      <w:sz w:val="21"/>
    </w:rPr>
  </w:style>
  <w:style w:type="character" w:customStyle="1" w:styleId="98">
    <w:name w:val="日期 Char"/>
    <w:link w:val="38"/>
    <w:uiPriority w:val="0"/>
    <w:rPr>
      <w:b/>
      <w:kern w:val="2"/>
      <w:sz w:val="28"/>
    </w:rPr>
  </w:style>
  <w:style w:type="character" w:customStyle="1" w:styleId="99">
    <w:name w:val="正文文本缩进 2 Char"/>
    <w:link w:val="39"/>
    <w:uiPriority w:val="0"/>
    <w:rPr>
      <w:rFonts w:ascii="Arial" w:hAnsi="Arial" w:eastAsia="仿宋_GB2312"/>
      <w:kern w:val="2"/>
      <w:sz w:val="32"/>
    </w:rPr>
  </w:style>
  <w:style w:type="character" w:customStyle="1" w:styleId="100">
    <w:name w:val="批注框文本 Char4"/>
    <w:link w:val="40"/>
    <w:uiPriority w:val="0"/>
    <w:rPr>
      <w:kern w:val="2"/>
      <w:sz w:val="18"/>
      <w:szCs w:val="18"/>
    </w:rPr>
  </w:style>
  <w:style w:type="character" w:customStyle="1" w:styleId="101">
    <w:name w:val="页脚 Char2"/>
    <w:link w:val="41"/>
    <w:uiPriority w:val="0"/>
    <w:rPr>
      <w:kern w:val="2"/>
      <w:sz w:val="18"/>
    </w:rPr>
  </w:style>
  <w:style w:type="character" w:customStyle="1" w:styleId="102">
    <w:name w:val="页眉 Char2"/>
    <w:link w:val="42"/>
    <w:uiPriority w:val="0"/>
    <w:rPr>
      <w:kern w:val="2"/>
      <w:sz w:val="18"/>
    </w:rPr>
  </w:style>
  <w:style w:type="character" w:customStyle="1" w:styleId="103">
    <w:name w:val="签名 Char"/>
    <w:link w:val="43"/>
    <w:uiPriority w:val="0"/>
    <w:rPr>
      <w:rFonts w:cs="Droid Sans"/>
      <w:kern w:val="2"/>
      <w:sz w:val="18"/>
    </w:rPr>
  </w:style>
  <w:style w:type="character" w:customStyle="1" w:styleId="104">
    <w:name w:val="副标题 Char"/>
    <w:link w:val="48"/>
    <w:uiPriority w:val="99"/>
    <w:rPr>
      <w:rFonts w:ascii="Cambria" w:hAnsi="Cambria"/>
      <w:b/>
      <w:bCs/>
      <w:kern w:val="28"/>
      <w:sz w:val="32"/>
      <w:szCs w:val="32"/>
    </w:rPr>
  </w:style>
  <w:style w:type="character" w:customStyle="1" w:styleId="105">
    <w:name w:val="脚注文本 Char"/>
    <w:link w:val="50"/>
    <w:uiPriority w:val="99"/>
    <w:rPr>
      <w:kern w:val="2"/>
      <w:sz w:val="18"/>
      <w:szCs w:val="18"/>
    </w:rPr>
  </w:style>
  <w:style w:type="character" w:customStyle="1" w:styleId="106">
    <w:name w:val="正文文本缩进 3 Char"/>
    <w:link w:val="53"/>
    <w:uiPriority w:val="0"/>
    <w:rPr>
      <w:rFonts w:ascii="仿宋_GB2312" w:hAnsi="Arial" w:eastAsia="仿宋_GB2312"/>
      <w:color w:val="000000"/>
      <w:kern w:val="2"/>
      <w:sz w:val="30"/>
      <w:lang w:val="en-US" w:eastAsia="zh-CN" w:bidi="ar-SA"/>
    </w:rPr>
  </w:style>
  <w:style w:type="character" w:customStyle="1" w:styleId="107">
    <w:name w:val="正文文本 2 Char"/>
    <w:link w:val="59"/>
    <w:uiPriority w:val="0"/>
    <w:rPr>
      <w:rFonts w:ascii="仿宋_GB2312" w:eastAsia="仿宋_GB2312"/>
      <w:b/>
      <w:kern w:val="2"/>
      <w:sz w:val="24"/>
      <w:lang w:val="en-US" w:eastAsia="zh-CN" w:bidi="ar-SA"/>
    </w:rPr>
  </w:style>
  <w:style w:type="character" w:customStyle="1" w:styleId="108">
    <w:name w:val="信息标题 Char"/>
    <w:link w:val="62"/>
    <w:qFormat/>
    <w:uiPriority w:val="99"/>
    <w:rPr>
      <w:rFonts w:ascii="Cambria" w:hAnsi="Cambria" w:cs="Cambria"/>
      <w:kern w:val="2"/>
      <w:sz w:val="24"/>
      <w:szCs w:val="24"/>
      <w:shd w:val="pct20" w:color="auto" w:fill="auto"/>
    </w:rPr>
  </w:style>
  <w:style w:type="character" w:customStyle="1" w:styleId="109">
    <w:name w:val="HTML 预设格式 Char"/>
    <w:link w:val="63"/>
    <w:uiPriority w:val="0"/>
    <w:rPr>
      <w:rFonts w:ascii="宋体" w:hAnsi="宋体" w:cs="宋体"/>
      <w:sz w:val="24"/>
      <w:szCs w:val="24"/>
    </w:rPr>
  </w:style>
  <w:style w:type="character" w:customStyle="1" w:styleId="110">
    <w:name w:val="标题 Char"/>
    <w:link w:val="67"/>
    <w:uiPriority w:val="0"/>
    <w:rPr>
      <w:rFonts w:ascii="宋体" w:hAnsi="宋体"/>
      <w:b/>
      <w:kern w:val="44"/>
      <w:sz w:val="32"/>
    </w:rPr>
  </w:style>
  <w:style w:type="character" w:customStyle="1" w:styleId="111">
    <w:name w:val="批注主题 Char"/>
    <w:link w:val="68"/>
    <w:uiPriority w:val="99"/>
    <w:rPr>
      <w:b/>
      <w:bCs/>
      <w:kern w:val="2"/>
      <w:sz w:val="21"/>
      <w:szCs w:val="24"/>
    </w:rPr>
  </w:style>
  <w:style w:type="character" w:customStyle="1" w:styleId="112">
    <w:name w:val="正文首行缩进 Char2"/>
    <w:link w:val="69"/>
    <w:uiPriority w:val="0"/>
    <w:rPr>
      <w:rFonts w:ascii="Arial" w:hAnsi="Arial" w:eastAsia="仿宋_GB2312" w:cs="Arial"/>
      <w:sz w:val="24"/>
      <w:szCs w:val="32"/>
    </w:rPr>
  </w:style>
  <w:style w:type="character" w:customStyle="1" w:styleId="113">
    <w:name w:val="正文首行缩进 2 Char2"/>
    <w:link w:val="70"/>
    <w:uiPriority w:val="0"/>
  </w:style>
  <w:style w:type="paragraph" w:customStyle="1" w:styleId="114">
    <w:name w:val="无间隔1"/>
    <w:next w:val="17"/>
    <w:uiPriority w:val="0"/>
    <w:pPr>
      <w:widowControl w:val="0"/>
      <w:jc w:val="both"/>
    </w:pPr>
    <w:rPr>
      <w:kern w:val="2"/>
      <w:sz w:val="21"/>
      <w:szCs w:val="22"/>
      <w:lang w:val="en-US" w:eastAsia="zh-CN" w:bidi="ar-SA"/>
    </w:rPr>
  </w:style>
  <w:style w:type="paragraph" w:customStyle="1" w:styleId="115">
    <w:name w:val="Default"/>
    <w:link w:val="116"/>
    <w:qFormat/>
    <w:uiPriority w:val="99"/>
    <w:pPr>
      <w:widowControl w:val="0"/>
      <w:autoSpaceDE w:val="0"/>
      <w:autoSpaceDN w:val="0"/>
      <w:adjustRightInd w:val="0"/>
    </w:pPr>
    <w:rPr>
      <w:rFonts w:ascii="宋体" w:cs="宋体"/>
      <w:color w:val="000000"/>
      <w:sz w:val="24"/>
      <w:szCs w:val="24"/>
      <w:lang w:val="en-US" w:eastAsia="zh-CN" w:bidi="ar-SA"/>
    </w:rPr>
  </w:style>
  <w:style w:type="character" w:customStyle="1" w:styleId="116">
    <w:name w:val="Default Char"/>
    <w:link w:val="115"/>
    <w:locked/>
    <w:uiPriority w:val="99"/>
    <w:rPr>
      <w:rFonts w:ascii="宋体" w:cs="宋体"/>
      <w:color w:val="000000"/>
      <w:sz w:val="24"/>
      <w:szCs w:val="24"/>
      <w:lang w:val="en-US" w:eastAsia="zh-CN" w:bidi="ar-SA"/>
    </w:rPr>
  </w:style>
  <w:style w:type="paragraph" w:customStyle="1" w:styleId="117">
    <w:name w:val="BodyText1I"/>
    <w:basedOn w:val="118"/>
    <w:qFormat/>
    <w:uiPriority w:val="99"/>
    <w:pPr>
      <w:ind w:firstLine="420" w:firstLineChars="100"/>
    </w:pPr>
  </w:style>
  <w:style w:type="paragraph" w:customStyle="1" w:styleId="118">
    <w:name w:val="BodyText"/>
    <w:basedOn w:val="1"/>
    <w:qFormat/>
    <w:uiPriority w:val="99"/>
    <w:pPr>
      <w:spacing w:after="120"/>
    </w:pPr>
  </w:style>
  <w:style w:type="character" w:customStyle="1" w:styleId="119">
    <w:name w:val="blue1"/>
    <w:uiPriority w:val="0"/>
    <w:rPr>
      <w:color w:val="06487A"/>
      <w:sz w:val="19"/>
      <w:szCs w:val="19"/>
    </w:rPr>
  </w:style>
  <w:style w:type="character" w:customStyle="1" w:styleId="120">
    <w:name w:val="明显引用 Char2"/>
    <w:uiPriority w:val="0"/>
    <w:rPr>
      <w:b/>
      <w:bCs/>
      <w:i/>
      <w:iCs/>
      <w:color w:val="4F81BD"/>
      <w:kern w:val="2"/>
      <w:sz w:val="21"/>
      <w:szCs w:val="24"/>
    </w:rPr>
  </w:style>
  <w:style w:type="character" w:customStyle="1" w:styleId="121">
    <w:name w:val="style231"/>
    <w:uiPriority w:val="0"/>
    <w:rPr>
      <w:b/>
      <w:bCs/>
      <w:color w:val="FF0000"/>
      <w:sz w:val="16"/>
      <w:szCs w:val="16"/>
    </w:rPr>
  </w:style>
  <w:style w:type="character" w:customStyle="1" w:styleId="122">
    <w:name w:val="Heading 2 Char"/>
    <w:locked/>
    <w:uiPriority w:val="0"/>
    <w:rPr>
      <w:rFonts w:ascii="Cambria" w:hAnsi="Cambria" w:eastAsia="宋体" w:cs="Times New Roman"/>
      <w:b/>
      <w:bCs/>
      <w:sz w:val="32"/>
      <w:szCs w:val="32"/>
    </w:rPr>
  </w:style>
  <w:style w:type="character" w:customStyle="1" w:styleId="123">
    <w:name w:val="op-map-singlepoint-info-right1"/>
    <w:uiPriority w:val="0"/>
  </w:style>
  <w:style w:type="character" w:customStyle="1" w:styleId="124">
    <w:name w:val="Table Text Char1"/>
    <w:link w:val="125"/>
    <w:uiPriority w:val="0"/>
    <w:rPr>
      <w:rFonts w:ascii="Arial" w:hAnsi="Arial"/>
      <w:kern w:val="2"/>
      <w:sz w:val="18"/>
      <w:szCs w:val="18"/>
      <w:lang w:val="en-US" w:eastAsia="zh-CN" w:bidi="ar-SA"/>
    </w:rPr>
  </w:style>
  <w:style w:type="paragraph" w:customStyle="1" w:styleId="125">
    <w:name w:val="Table Text"/>
    <w:link w:val="124"/>
    <w:qFormat/>
    <w:uiPriority w:val="0"/>
    <w:pPr>
      <w:snapToGrid w:val="0"/>
      <w:spacing w:before="80" w:after="80"/>
    </w:pPr>
    <w:rPr>
      <w:rFonts w:ascii="Arial" w:hAnsi="Arial"/>
      <w:kern w:val="2"/>
      <w:sz w:val="18"/>
      <w:szCs w:val="18"/>
      <w:lang w:val="en-US" w:eastAsia="zh-CN" w:bidi="ar-SA"/>
    </w:rPr>
  </w:style>
  <w:style w:type="character" w:customStyle="1" w:styleId="126">
    <w:name w:val="Title Char1"/>
    <w:locked/>
    <w:uiPriority w:val="0"/>
    <w:rPr>
      <w:rFonts w:ascii="Cambria" w:hAnsi="Cambria" w:cs="Times New Roman"/>
      <w:b/>
      <w:bCs/>
      <w:sz w:val="32"/>
      <w:szCs w:val="32"/>
    </w:rPr>
  </w:style>
  <w:style w:type="character" w:customStyle="1" w:styleId="127">
    <w:name w:val="para"/>
    <w:uiPriority w:val="0"/>
  </w:style>
  <w:style w:type="character" w:customStyle="1" w:styleId="128">
    <w:name w:val="页眉 Char"/>
    <w:uiPriority w:val="0"/>
    <w:rPr>
      <w:kern w:val="2"/>
      <w:sz w:val="18"/>
      <w:szCs w:val="18"/>
    </w:rPr>
  </w:style>
  <w:style w:type="character" w:customStyle="1" w:styleId="129">
    <w:name w:val="正文文本 Char2"/>
    <w:uiPriority w:val="0"/>
    <w:rPr>
      <w:kern w:val="2"/>
      <w:sz w:val="21"/>
      <w:szCs w:val="24"/>
    </w:rPr>
  </w:style>
  <w:style w:type="character" w:customStyle="1" w:styleId="130">
    <w:name w:val="正文文本 Char3"/>
    <w:uiPriority w:val="0"/>
    <w:rPr>
      <w:kern w:val="2"/>
      <w:sz w:val="21"/>
    </w:rPr>
  </w:style>
  <w:style w:type="character" w:customStyle="1" w:styleId="131">
    <w:name w:val="副标题 Char3"/>
    <w:uiPriority w:val="11"/>
    <w:rPr>
      <w:rFonts w:ascii="Cambria" w:hAnsi="Cambria" w:cs="Times New Roman"/>
      <w:b/>
      <w:bCs/>
      <w:kern w:val="28"/>
      <w:sz w:val="32"/>
      <w:szCs w:val="32"/>
    </w:rPr>
  </w:style>
  <w:style w:type="character" w:customStyle="1" w:styleId="132">
    <w:name w:val="正文文本缩进 Char2"/>
    <w:semiHidden/>
    <w:uiPriority w:val="99"/>
    <w:rPr>
      <w:kern w:val="2"/>
      <w:sz w:val="21"/>
      <w:szCs w:val="24"/>
    </w:rPr>
  </w:style>
  <w:style w:type="character" w:styleId="133">
    <w:name w:val=""/>
    <w:qFormat/>
    <w:uiPriority w:val="0"/>
    <w:rPr>
      <w:b/>
      <w:bCs/>
      <w:smallCaps/>
      <w:spacing w:val="5"/>
    </w:rPr>
  </w:style>
  <w:style w:type="character" w:customStyle="1" w:styleId="134">
    <w:name w:val="Comment Subject Char"/>
    <w:locked/>
    <w:uiPriority w:val="0"/>
    <w:rPr>
      <w:rFonts w:ascii="宋体" w:hAnsi="Times New Roman"/>
      <w:b/>
      <w:sz w:val="28"/>
    </w:rPr>
  </w:style>
  <w:style w:type="character" w:customStyle="1" w:styleId="135">
    <w:name w:val="s011"/>
    <w:uiPriority w:val="0"/>
    <w:rPr>
      <w:rFonts w:hint="eastAsia" w:ascii="宋体" w:hAnsi="宋体" w:eastAsia="宋体"/>
      <w:color w:val="000000"/>
      <w:sz w:val="20"/>
      <w:szCs w:val="20"/>
      <w:u w:val="none"/>
    </w:rPr>
  </w:style>
  <w:style w:type="character" w:customStyle="1" w:styleId="136">
    <w:name w:val="批注框文本 Char1"/>
    <w:uiPriority w:val="0"/>
    <w:rPr>
      <w:kern w:val="2"/>
      <w:sz w:val="18"/>
      <w:szCs w:val="18"/>
    </w:rPr>
  </w:style>
  <w:style w:type="character" w:customStyle="1" w:styleId="137">
    <w:name w:val="HTML 预设格式 Char1"/>
    <w:semiHidden/>
    <w:uiPriority w:val="99"/>
    <w:rPr>
      <w:rFonts w:ascii="Courier New" w:hAnsi="Courier New" w:cs="Courier New"/>
      <w:kern w:val="2"/>
    </w:rPr>
  </w:style>
  <w:style w:type="character" w:customStyle="1" w:styleId="138">
    <w:name w:val="列出段落 Char"/>
    <w:locked/>
    <w:uiPriority w:val="34"/>
    <w:rPr>
      <w:rFonts w:ascii="Calibri" w:hAnsi="Calibri"/>
      <w:sz w:val="22"/>
      <w:szCs w:val="22"/>
    </w:rPr>
  </w:style>
  <w:style w:type="character" w:customStyle="1" w:styleId="139">
    <w:name w:val="shouchang1"/>
    <w:uiPriority w:val="0"/>
    <w:rPr>
      <w:color w:val="000000"/>
      <w:sz w:val="11"/>
      <w:szCs w:val="11"/>
      <w:u w:val="none"/>
    </w:rPr>
  </w:style>
  <w:style w:type="character" w:customStyle="1" w:styleId="140">
    <w:name w:val="普通文字 Char Char Char"/>
    <w:uiPriority w:val="0"/>
    <w:rPr>
      <w:rFonts w:ascii="宋体" w:hAnsi="Courier New" w:eastAsia="宋体" w:cs="Courier New"/>
      <w:kern w:val="2"/>
      <w:sz w:val="21"/>
      <w:szCs w:val="21"/>
      <w:lang w:val="en-US" w:eastAsia="zh-CN" w:bidi="ar-SA"/>
    </w:rPr>
  </w:style>
  <w:style w:type="character" w:customStyle="1" w:styleId="141">
    <w:name w:val="Quote Char1"/>
    <w:locked/>
    <w:uiPriority w:val="0"/>
    <w:rPr>
      <w:rFonts w:cs="Times New Roman"/>
      <w:i/>
      <w:iCs/>
      <w:color w:val="000000"/>
    </w:rPr>
  </w:style>
  <w:style w:type="character" w:customStyle="1" w:styleId="142">
    <w:name w:val="纯文本 Char"/>
    <w:qFormat/>
    <w:uiPriority w:val="99"/>
    <w:rPr>
      <w:rFonts w:ascii="宋体" w:hAnsi="Courier New" w:eastAsia="宋体" w:cs="Courier New"/>
      <w:sz w:val="21"/>
      <w:szCs w:val="21"/>
    </w:rPr>
  </w:style>
  <w:style w:type="character" w:customStyle="1" w:styleId="143">
    <w:name w:val="标题4 Char"/>
    <w:locked/>
    <w:uiPriority w:val="0"/>
    <w:rPr>
      <w:rFonts w:ascii="Times New Roman" w:hAnsi="Times New Roman" w:eastAsia="宋体" w:cs="Times New Roman"/>
      <w:b/>
      <w:sz w:val="24"/>
      <w:szCs w:val="24"/>
    </w:rPr>
  </w:style>
  <w:style w:type="character" w:customStyle="1" w:styleId="144">
    <w:name w:val="纯文本 Char2"/>
    <w:uiPriority w:val="0"/>
    <w:rPr>
      <w:rFonts w:ascii="宋体" w:hAnsi="Courier New" w:cs="Courier New"/>
      <w:kern w:val="2"/>
      <w:sz w:val="21"/>
      <w:szCs w:val="21"/>
    </w:rPr>
  </w:style>
  <w:style w:type="character" w:customStyle="1" w:styleId="145">
    <w:name w:val="font1"/>
    <w:uiPriority w:val="0"/>
    <w:rPr>
      <w:sz w:val="18"/>
      <w:szCs w:val="18"/>
    </w:rPr>
  </w:style>
  <w:style w:type="character" w:customStyle="1" w:styleId="146">
    <w:name w:val="标题1级 Char"/>
    <w:link w:val="147"/>
    <w:locked/>
    <w:uiPriority w:val="0"/>
    <w:rPr>
      <w:rFonts w:ascii="Arial" w:hAnsi="Arial" w:eastAsia="宋体" w:cs="宋体"/>
      <w:b/>
      <w:kern w:val="2"/>
      <w:sz w:val="30"/>
      <w:szCs w:val="30"/>
    </w:rPr>
  </w:style>
  <w:style w:type="paragraph" w:customStyle="1" w:styleId="147">
    <w:name w:val="标题1级"/>
    <w:basedOn w:val="148"/>
    <w:link w:val="146"/>
    <w:uiPriority w:val="0"/>
    <w:pPr>
      <w:numPr>
        <w:ilvl w:val="0"/>
        <w:numId w:val="4"/>
      </w:numPr>
      <w:ind w:firstLine="0" w:firstLineChars="0"/>
      <w:outlineLvl w:val="0"/>
    </w:pPr>
    <w:rPr>
      <w:rFonts w:ascii="Arial" w:hAnsi="Arial"/>
      <w:b/>
      <w:sz w:val="30"/>
      <w:szCs w:val="30"/>
    </w:rPr>
  </w:style>
  <w:style w:type="paragraph" w:customStyle="1" w:styleId="148">
    <w:name w:val="列出段落1"/>
    <w:basedOn w:val="1"/>
    <w:qFormat/>
    <w:uiPriority w:val="34"/>
    <w:pPr>
      <w:ind w:firstLine="200" w:firstLineChars="200"/>
    </w:pPr>
  </w:style>
  <w:style w:type="character" w:customStyle="1" w:styleId="149">
    <w:name w:val="批注文字 Char Char"/>
    <w:uiPriority w:val="0"/>
    <w:rPr>
      <w:rFonts w:ascii="宋体" w:hAnsi="Times New Roman" w:eastAsia="宋体" w:cs="Times New Roman"/>
      <w:sz w:val="28"/>
      <w:szCs w:val="20"/>
    </w:rPr>
  </w:style>
  <w:style w:type="character" w:customStyle="1" w:styleId="150">
    <w:name w:val=" Char Char3"/>
    <w:uiPriority w:val="0"/>
    <w:rPr>
      <w:rFonts w:ascii="宋体" w:hAnsi="Courier New" w:eastAsia="幼圆"/>
      <w:kern w:val="2"/>
      <w:sz w:val="21"/>
    </w:rPr>
  </w:style>
  <w:style w:type="character" w:customStyle="1" w:styleId="151">
    <w:name w:val="批注框文本 Char2"/>
    <w:uiPriority w:val="0"/>
    <w:rPr>
      <w:kern w:val="2"/>
      <w:sz w:val="18"/>
      <w:szCs w:val="18"/>
    </w:rPr>
  </w:style>
  <w:style w:type="character" w:customStyle="1" w:styleId="152">
    <w:name w:val="huei12b1"/>
    <w:uiPriority w:val="0"/>
    <w:rPr>
      <w:b/>
      <w:bCs/>
      <w:color w:val="333333"/>
      <w:sz w:val="18"/>
      <w:szCs w:val="18"/>
    </w:rPr>
  </w:style>
  <w:style w:type="character" w:customStyle="1" w:styleId="153">
    <w:name w:val="纯文本 Char3"/>
    <w:semiHidden/>
    <w:uiPriority w:val="99"/>
    <w:rPr>
      <w:rFonts w:ascii="宋体" w:hAnsi="Courier New" w:cs="Courier New"/>
      <w:kern w:val="2"/>
      <w:sz w:val="21"/>
      <w:szCs w:val="21"/>
    </w:rPr>
  </w:style>
  <w:style w:type="character" w:customStyle="1" w:styleId="154">
    <w:name w:val="标题 2 Char Char Char Char"/>
    <w:uiPriority w:val="0"/>
    <w:rPr>
      <w:rFonts w:ascii="Arial" w:hAnsi="Arial" w:eastAsia="黑体"/>
      <w:b/>
      <w:bCs/>
      <w:kern w:val="2"/>
      <w:sz w:val="32"/>
      <w:szCs w:val="32"/>
      <w:lang w:val="en-US" w:eastAsia="zh-CN" w:bidi="ar-SA"/>
    </w:rPr>
  </w:style>
  <w:style w:type="character" w:customStyle="1" w:styleId="155">
    <w:name w:val="hei16b1"/>
    <w:uiPriority w:val="0"/>
    <w:rPr>
      <w:rFonts w:hint="default" w:ascii="Arial" w:hAnsi="Arial" w:cs="Arial"/>
      <w:b/>
      <w:bCs/>
      <w:color w:val="000000"/>
      <w:sz w:val="23"/>
      <w:szCs w:val="23"/>
    </w:rPr>
  </w:style>
  <w:style w:type="character" w:customStyle="1" w:styleId="156">
    <w:name w:val="正文文本缩进 Char"/>
    <w:uiPriority w:val="0"/>
    <w:rPr>
      <w:kern w:val="2"/>
      <w:sz w:val="21"/>
      <w:szCs w:val="24"/>
    </w:rPr>
  </w:style>
  <w:style w:type="character" w:customStyle="1" w:styleId="157">
    <w:name w:val="4级标题 Char"/>
    <w:link w:val="158"/>
    <w:locked/>
    <w:uiPriority w:val="0"/>
  </w:style>
  <w:style w:type="paragraph" w:customStyle="1" w:styleId="158">
    <w:name w:val="4级标题"/>
    <w:basedOn w:val="159"/>
    <w:link w:val="157"/>
    <w:uiPriority w:val="0"/>
    <w:pPr>
      <w:numPr>
        <w:ilvl w:val="3"/>
        <w:numId w:val="4"/>
      </w:numPr>
      <w:ind w:left="1680" w:hanging="420"/>
      <w:outlineLvl w:val="3"/>
    </w:pPr>
  </w:style>
  <w:style w:type="paragraph" w:customStyle="1" w:styleId="159">
    <w:name w:val="3级标题"/>
    <w:basedOn w:val="148"/>
    <w:link w:val="160"/>
    <w:uiPriority w:val="0"/>
    <w:pPr>
      <w:numPr>
        <w:ilvl w:val="2"/>
        <w:numId w:val="4"/>
      </w:numPr>
      <w:ind w:firstLine="0" w:firstLineChars="0"/>
      <w:outlineLvl w:val="2"/>
    </w:pPr>
    <w:rPr>
      <w:rFonts w:ascii="Arial" w:hAnsi="Arial"/>
      <w:b/>
      <w:sz w:val="32"/>
      <w:szCs w:val="32"/>
    </w:rPr>
  </w:style>
  <w:style w:type="character" w:customStyle="1" w:styleId="160">
    <w:name w:val="3级标题 Char"/>
    <w:link w:val="159"/>
    <w:locked/>
    <w:uiPriority w:val="0"/>
    <w:rPr>
      <w:rFonts w:ascii="Arial" w:hAnsi="Arial" w:eastAsia="宋体" w:cs="宋体"/>
      <w:b/>
      <w:kern w:val="2"/>
      <w:sz w:val="32"/>
      <w:szCs w:val="32"/>
    </w:rPr>
  </w:style>
  <w:style w:type="character" w:customStyle="1" w:styleId="161">
    <w:name w:val="Heading 4 Char"/>
    <w:locked/>
    <w:uiPriority w:val="0"/>
    <w:rPr>
      <w:rFonts w:ascii="Cambria" w:hAnsi="Cambria" w:eastAsia="宋体" w:cs="Times New Roman"/>
      <w:b/>
      <w:bCs/>
      <w:sz w:val="28"/>
      <w:szCs w:val="28"/>
    </w:rPr>
  </w:style>
  <w:style w:type="character" w:customStyle="1" w:styleId="162">
    <w:name w:val="p121"/>
    <w:uiPriority w:val="0"/>
    <w:rPr>
      <w:sz w:val="18"/>
      <w:szCs w:val="18"/>
      <w:u w:val="none"/>
    </w:rPr>
  </w:style>
  <w:style w:type="character" w:customStyle="1" w:styleId="163">
    <w:name w:val="正文首行缩进 2 Char"/>
    <w:uiPriority w:val="0"/>
    <w:rPr>
      <w:rFonts w:ascii="等线" w:hAnsi="等线" w:eastAsia="等线"/>
      <w:kern w:val="2"/>
      <w:sz w:val="21"/>
      <w:szCs w:val="24"/>
    </w:rPr>
  </w:style>
  <w:style w:type="character" w:customStyle="1" w:styleId="164">
    <w:name w:val="Intense Quote Char2"/>
    <w:link w:val="165"/>
    <w:locked/>
    <w:uiPriority w:val="0"/>
    <w:rPr>
      <w:rFonts w:ascii="Calibri" w:hAnsi="Calibri"/>
      <w:b/>
      <w:i/>
      <w:color w:val="4F81BD"/>
    </w:rPr>
  </w:style>
  <w:style w:type="paragraph" w:customStyle="1" w:styleId="165">
    <w:name w:val="Intense Quote"/>
    <w:basedOn w:val="1"/>
    <w:next w:val="1"/>
    <w:link w:val="164"/>
    <w:uiPriority w:val="0"/>
    <w:pPr>
      <w:pBdr>
        <w:bottom w:val="single" w:color="4F81BD" w:sz="4" w:space="4"/>
      </w:pBdr>
      <w:spacing w:before="200" w:after="280"/>
      <w:ind w:left="936" w:right="936"/>
    </w:pPr>
    <w:rPr>
      <w:rFonts w:ascii="Calibri" w:hAnsi="Calibri"/>
      <w:b/>
      <w:i/>
      <w:color w:val="4F81BD"/>
      <w:kern w:val="0"/>
      <w:sz w:val="20"/>
    </w:rPr>
  </w:style>
  <w:style w:type="character" w:customStyle="1" w:styleId="166">
    <w:name w:val="contentlabel"/>
    <w:uiPriority w:val="0"/>
  </w:style>
  <w:style w:type="character" w:customStyle="1" w:styleId="167">
    <w:name w:val="textcontents"/>
    <w:uiPriority w:val="0"/>
    <w:rPr>
      <w:rFonts w:cs="Times New Roman"/>
    </w:rPr>
  </w:style>
  <w:style w:type="character" w:customStyle="1" w:styleId="168">
    <w:name w:val="15"/>
    <w:qFormat/>
    <w:uiPriority w:val="0"/>
    <w:rPr>
      <w:rFonts w:hint="default" w:ascii="Times New Roman" w:hAnsi="Times New Roman" w:eastAsia="宋体" w:cs="Times New Roman"/>
      <w:kern w:val="2"/>
      <w:sz w:val="21"/>
      <w:szCs w:val="21"/>
    </w:rPr>
  </w:style>
  <w:style w:type="character" w:customStyle="1" w:styleId="169">
    <w:name w:val="z-窗体顶端 Char1"/>
    <w:uiPriority w:val="0"/>
    <w:rPr>
      <w:rFonts w:ascii="Arial" w:hAnsi="Arial" w:cs="Arial"/>
      <w:vanish/>
      <w:kern w:val="2"/>
      <w:sz w:val="16"/>
      <w:szCs w:val="16"/>
    </w:rPr>
  </w:style>
  <w:style w:type="character" w:customStyle="1" w:styleId="170">
    <w:name w:val="Heading 7 Char"/>
    <w:locked/>
    <w:uiPriority w:val="0"/>
    <w:rPr>
      <w:rFonts w:ascii="Calibri" w:hAnsi="Calibri" w:eastAsia="宋体" w:cs="Times New Roman"/>
      <w:b/>
      <w:bCs/>
      <w:sz w:val="24"/>
      <w:szCs w:val="24"/>
    </w:rPr>
  </w:style>
  <w:style w:type="character" w:customStyle="1" w:styleId="171">
    <w:name w:val="leftdt1"/>
    <w:uiPriority w:val="0"/>
    <w:rPr>
      <w:b/>
      <w:bCs/>
      <w:color w:val="474747"/>
    </w:rPr>
  </w:style>
  <w:style w:type="character" w:customStyle="1" w:styleId="172">
    <w:name w:val="point_normal"/>
    <w:uiPriority w:val="0"/>
  </w:style>
  <w:style w:type="character" w:customStyle="1" w:styleId="173">
    <w:name w:val="标准正文 Char"/>
    <w:link w:val="174"/>
    <w:locked/>
    <w:uiPriority w:val="0"/>
    <w:rPr>
      <w:rFonts w:eastAsia="宋体"/>
      <w:lang w:val="en-US" w:eastAsia="zh-CN" w:bidi="ar-SA"/>
    </w:rPr>
  </w:style>
  <w:style w:type="paragraph" w:customStyle="1" w:styleId="174">
    <w:name w:val="标准正文"/>
    <w:basedOn w:val="1"/>
    <w:link w:val="173"/>
    <w:uiPriority w:val="0"/>
    <w:pPr>
      <w:spacing w:before="156" w:after="156" w:line="360" w:lineRule="auto"/>
      <w:ind w:firstLine="480" w:firstLineChars="200"/>
    </w:pPr>
    <w:rPr>
      <w:kern w:val="0"/>
      <w:sz w:val="20"/>
    </w:rPr>
  </w:style>
  <w:style w:type="character" w:customStyle="1" w:styleId="175">
    <w:name w:val="Plain Text Char"/>
    <w:locked/>
    <w:uiPriority w:val="0"/>
    <w:rPr>
      <w:rFonts w:ascii="宋体" w:hAnsi="Courier New" w:eastAsia="宋体" w:cs="宋体"/>
      <w:kern w:val="0"/>
      <w:sz w:val="20"/>
      <w:szCs w:val="20"/>
    </w:rPr>
  </w:style>
  <w:style w:type="character" w:customStyle="1" w:styleId="176">
    <w:name w:val=" Char Char30"/>
    <w:uiPriority w:val="0"/>
    <w:rPr>
      <w:b/>
      <w:bCs/>
      <w:kern w:val="44"/>
      <w:sz w:val="44"/>
      <w:szCs w:val="44"/>
    </w:rPr>
  </w:style>
  <w:style w:type="character" w:customStyle="1" w:styleId="177">
    <w:name w:val="Intense Reference"/>
    <w:uiPriority w:val="0"/>
    <w:rPr>
      <w:rFonts w:cs="Times New Roman"/>
      <w:b/>
      <w:smallCaps/>
      <w:color w:val="C0504D"/>
      <w:spacing w:val="5"/>
      <w:u w:val="single"/>
    </w:rPr>
  </w:style>
  <w:style w:type="character" w:customStyle="1" w:styleId="178">
    <w:name w:val="p21"/>
    <w:uiPriority w:val="0"/>
    <w:rPr>
      <w:color w:val="000000"/>
      <w:sz w:val="24"/>
      <w:szCs w:val="24"/>
    </w:rPr>
  </w:style>
  <w:style w:type="character" w:customStyle="1" w:styleId="179">
    <w:name w:val="font81"/>
    <w:qFormat/>
    <w:uiPriority w:val="0"/>
    <w:rPr>
      <w:rFonts w:hint="eastAsia" w:ascii="宋体" w:hAnsi="宋体" w:eastAsia="宋体" w:cs="宋体"/>
      <w:color w:val="000000"/>
      <w:sz w:val="18"/>
      <w:szCs w:val="18"/>
      <w:u w:val="none"/>
    </w:rPr>
  </w:style>
  <w:style w:type="character" w:customStyle="1" w:styleId="180">
    <w:name w:val="符号样式 Char"/>
    <w:link w:val="181"/>
    <w:locked/>
    <w:uiPriority w:val="0"/>
    <w:rPr>
      <w:rFonts w:ascii="Arial" w:hAnsi="Arial" w:cs="宋体"/>
      <w:kern w:val="2"/>
      <w:sz w:val="24"/>
    </w:rPr>
  </w:style>
  <w:style w:type="paragraph" w:customStyle="1" w:styleId="181">
    <w:name w:val="符号样式"/>
    <w:basedOn w:val="182"/>
    <w:link w:val="180"/>
    <w:uiPriority w:val="0"/>
    <w:pPr>
      <w:numPr>
        <w:ilvl w:val="0"/>
        <w:numId w:val="0"/>
      </w:numPr>
      <w:ind w:left="840" w:firstLine="288" w:firstLineChars="200"/>
      <w:jc w:val="left"/>
    </w:pPr>
    <w:rPr>
      <w:rFonts w:cs="Times New Roman"/>
    </w:rPr>
  </w:style>
  <w:style w:type="paragraph" w:customStyle="1" w:styleId="182">
    <w:name w:val="编号，小四"/>
    <w:basedOn w:val="1"/>
    <w:uiPriority w:val="0"/>
    <w:pPr>
      <w:numPr>
        <w:ilvl w:val="0"/>
        <w:numId w:val="5"/>
      </w:numPr>
      <w:spacing w:line="360" w:lineRule="auto"/>
      <w:ind w:left="0" w:firstLine="200" w:firstLineChars="200"/>
    </w:pPr>
    <w:rPr>
      <w:rFonts w:ascii="Arial" w:hAnsi="Arial" w:cs="宋体"/>
      <w:sz w:val="24"/>
    </w:rPr>
  </w:style>
  <w:style w:type="character" w:customStyle="1" w:styleId="183">
    <w:name w:val="param-value1"/>
    <w:uiPriority w:val="0"/>
    <w:rPr>
      <w:color w:val="333333"/>
    </w:rPr>
  </w:style>
  <w:style w:type="character" w:customStyle="1" w:styleId="184">
    <w:name w:val="z-窗体底端 Char2"/>
    <w:uiPriority w:val="99"/>
    <w:rPr>
      <w:rFonts w:ascii="Arial" w:hAnsi="Arial" w:cs="Arial"/>
      <w:vanish/>
      <w:kern w:val="2"/>
      <w:sz w:val="16"/>
      <w:szCs w:val="16"/>
    </w:rPr>
  </w:style>
  <w:style w:type="character" w:customStyle="1" w:styleId="185">
    <w:name w:val="1级标题 Char"/>
    <w:link w:val="186"/>
    <w:locked/>
    <w:uiPriority w:val="0"/>
  </w:style>
  <w:style w:type="paragraph" w:customStyle="1" w:styleId="186">
    <w:name w:val="1级标题"/>
    <w:basedOn w:val="147"/>
    <w:link w:val="185"/>
    <w:uiPriority w:val="0"/>
  </w:style>
  <w:style w:type="character" w:customStyle="1" w:styleId="187">
    <w:name w:val="Subtitle Char"/>
    <w:locked/>
    <w:uiPriority w:val="0"/>
    <w:rPr>
      <w:rFonts w:ascii="Cambria" w:hAnsi="Cambria"/>
      <w:b/>
      <w:kern w:val="28"/>
      <w:sz w:val="32"/>
    </w:rPr>
  </w:style>
  <w:style w:type="character" w:customStyle="1" w:styleId="188">
    <w:name w:val="Body Text Char"/>
    <w:locked/>
    <w:uiPriority w:val="0"/>
    <w:rPr>
      <w:rFonts w:ascii="Times New Roman" w:hAnsi="Times New Roman"/>
    </w:rPr>
  </w:style>
  <w:style w:type="character" w:customStyle="1" w:styleId="189">
    <w:name w:val="标题5 Char"/>
    <w:locked/>
    <w:uiPriority w:val="0"/>
    <w:rPr>
      <w:rFonts w:eastAsia="宋体"/>
      <w:kern w:val="2"/>
      <w:sz w:val="24"/>
      <w:szCs w:val="24"/>
      <w:lang w:val="en-US" w:eastAsia="zh-CN" w:bidi="ar-SA"/>
    </w:rPr>
  </w:style>
  <w:style w:type="character" w:customStyle="1" w:styleId="190">
    <w:name w:val="main"/>
    <w:uiPriority w:val="0"/>
  </w:style>
  <w:style w:type="character" w:customStyle="1" w:styleId="191">
    <w:name w:val="grame"/>
    <w:uiPriority w:val="0"/>
  </w:style>
  <w:style w:type="character" w:customStyle="1" w:styleId="192">
    <w:name w:val="t141"/>
    <w:uiPriority w:val="0"/>
    <w:rPr>
      <w:color w:val="000000"/>
      <w:w w:val="0"/>
      <w:sz w:val="21"/>
      <w:szCs w:val="21"/>
    </w:rPr>
  </w:style>
  <w:style w:type="character" w:customStyle="1" w:styleId="193">
    <w:name w:val="Heading 9 Char"/>
    <w:locked/>
    <w:uiPriority w:val="0"/>
    <w:rPr>
      <w:rFonts w:ascii="Cambria" w:hAnsi="Cambria" w:eastAsia="宋体" w:cs="Times New Roman"/>
      <w:sz w:val="21"/>
      <w:szCs w:val="21"/>
    </w:rPr>
  </w:style>
  <w:style w:type="character" w:customStyle="1" w:styleId="194">
    <w:name w:val="mainfield"/>
    <w:uiPriority w:val="0"/>
    <w:rPr>
      <w:b/>
    </w:rPr>
  </w:style>
  <w:style w:type="character" w:customStyle="1" w:styleId="195">
    <w:name w:val="彩色列表 - 强调文字颜色 1 Char"/>
    <w:aliases w:val="lp1 Char,List Paragraph1 Char,符号1.1（天云科技） Char,符号列表 Char,Bullet List Char,FooterText Char,numbered Char,Paragraphe de liste1 Char,List Char,List1 Char,列出段落11 Char,列出段落111 Char,列出段落12 Char,正文段落1 Char,一级列表(1) Char,·ûºÅÁÐ±í Char,? Char"/>
    <w:link w:val="196"/>
    <w:qFormat/>
    <w:uiPriority w:val="34"/>
    <w:rPr>
      <w:rFonts w:ascii="Calibri" w:hAnsi="Calibri"/>
      <w:kern w:val="2"/>
      <w:sz w:val="21"/>
      <w:szCs w:val="22"/>
    </w:rPr>
  </w:style>
  <w:style w:type="paragraph" w:customStyle="1" w:styleId="196">
    <w:name w:val="彩色列表 - 强调文字颜色 11"/>
    <w:basedOn w:val="1"/>
    <w:link w:val="195"/>
    <w:qFormat/>
    <w:uiPriority w:val="34"/>
    <w:pPr>
      <w:ind w:firstLine="420" w:firstLineChars="200"/>
    </w:pPr>
    <w:rPr>
      <w:rFonts w:ascii="Calibri" w:hAnsi="Calibri"/>
      <w:szCs w:val="22"/>
    </w:rPr>
  </w:style>
  <w:style w:type="character" w:customStyle="1" w:styleId="197">
    <w:name w:val="Heading 5 Char"/>
    <w:locked/>
    <w:uiPriority w:val="0"/>
    <w:rPr>
      <w:rFonts w:ascii="Calibri" w:hAnsi="Calibri" w:eastAsia="宋体" w:cs="Times New Roman"/>
      <w:b/>
      <w:bCs/>
      <w:sz w:val="28"/>
      <w:szCs w:val="28"/>
    </w:rPr>
  </w:style>
  <w:style w:type="character" w:customStyle="1" w:styleId="198">
    <w:name w:val="正文文本 2 Char2"/>
    <w:semiHidden/>
    <w:uiPriority w:val="99"/>
    <w:rPr>
      <w:kern w:val="2"/>
      <w:sz w:val="21"/>
      <w:szCs w:val="24"/>
    </w:rPr>
  </w:style>
  <w:style w:type="character" w:customStyle="1" w:styleId="199">
    <w:name w:val="xkr1"/>
    <w:uiPriority w:val="0"/>
    <w:rPr>
      <w:rFonts w:ascii="楷体_GB2312" w:hAnsi="楷体_GB2312"/>
      <w:color w:val="000000"/>
      <w:sz w:val="29"/>
    </w:rPr>
  </w:style>
  <w:style w:type="character" w:customStyle="1" w:styleId="200">
    <w:name w:val="正文缩进 Char Char"/>
    <w:uiPriority w:val="0"/>
    <w:rPr>
      <w:rFonts w:eastAsia="宋体"/>
      <w:kern w:val="2"/>
      <w:sz w:val="21"/>
      <w:lang w:val="en-US" w:eastAsia="zh-CN" w:bidi="ar-SA"/>
    </w:rPr>
  </w:style>
  <w:style w:type="character" w:customStyle="1" w:styleId="201">
    <w:name w:val="副标题 Char2"/>
    <w:uiPriority w:val="0"/>
    <w:rPr>
      <w:rFonts w:ascii="Cambria" w:hAnsi="Cambria" w:cs="Times New Roman"/>
      <w:b/>
      <w:bCs/>
      <w:kern w:val="28"/>
      <w:sz w:val="32"/>
      <w:szCs w:val="32"/>
    </w:rPr>
  </w:style>
  <w:style w:type="character" w:customStyle="1" w:styleId="202">
    <w:name w:val="普通文字1 Char"/>
    <w:aliases w:val="普通文字2 Char,普通文字3 Char,普通文字4 Char,普通文字5 Char,普通文字6 Char,普通文字11 Char,普通文字21 Char,普通文字31 Char,普通文字41 Char,普通文字7 Char,纯文本 Char Char Char"/>
    <w:uiPriority w:val="0"/>
    <w:rPr>
      <w:rFonts w:ascii="宋体" w:hAnsi="Courier New" w:eastAsia="宋体" w:cs="Courier New"/>
      <w:kern w:val="2"/>
      <w:sz w:val="21"/>
      <w:szCs w:val="21"/>
      <w:lang w:val="en-US" w:eastAsia="zh-CN" w:bidi="ar-SA"/>
    </w:rPr>
  </w:style>
  <w:style w:type="character" w:customStyle="1" w:styleId="203">
    <w:name w:val="style101"/>
    <w:uiPriority w:val="0"/>
    <w:rPr>
      <w:b/>
      <w:bCs/>
      <w:color w:val="0000FF"/>
    </w:rPr>
  </w:style>
  <w:style w:type="character" w:customStyle="1" w:styleId="204">
    <w:name w:val="Book Title"/>
    <w:uiPriority w:val="0"/>
    <w:rPr>
      <w:rFonts w:cs="Times New Roman"/>
      <w:b/>
      <w:smallCaps/>
      <w:spacing w:val="5"/>
    </w:rPr>
  </w:style>
  <w:style w:type="character" w:customStyle="1" w:styleId="205">
    <w:name w:val="Heading 6 Char"/>
    <w:locked/>
    <w:uiPriority w:val="0"/>
    <w:rPr>
      <w:rFonts w:ascii="Cambria" w:hAnsi="Cambria" w:eastAsia="宋体" w:cs="Times New Roman"/>
      <w:b/>
      <w:bCs/>
      <w:sz w:val="24"/>
      <w:szCs w:val="24"/>
    </w:rPr>
  </w:style>
  <w:style w:type="character" w:customStyle="1" w:styleId="206">
    <w:name w:val="main11"/>
    <w:uiPriority w:val="0"/>
    <w:rPr>
      <w:rFonts w:hint="default" w:ascii="Arial" w:hAnsi="Arial"/>
      <w:color w:val="000000"/>
      <w:sz w:val="18"/>
      <w:u w:val="none"/>
    </w:rPr>
  </w:style>
  <w:style w:type="character" w:customStyle="1" w:styleId="207">
    <w:name w:val="正文文本缩进 Char1"/>
    <w:uiPriority w:val="99"/>
    <w:rPr>
      <w:kern w:val="2"/>
      <w:sz w:val="21"/>
      <w:szCs w:val="24"/>
    </w:rPr>
  </w:style>
  <w:style w:type="character" w:customStyle="1" w:styleId="208">
    <w:name w:val="彩色网格 - 强调文字颜色 1 Char"/>
    <w:link w:val="209"/>
    <w:uiPriority w:val="0"/>
    <w:rPr>
      <w:i/>
      <w:iCs/>
      <w:color w:val="000000"/>
      <w:kern w:val="2"/>
      <w:sz w:val="21"/>
      <w:szCs w:val="22"/>
    </w:rPr>
  </w:style>
  <w:style w:type="paragraph" w:customStyle="1" w:styleId="209">
    <w:name w:val="彩色网格 - 强调文字颜色 11"/>
    <w:basedOn w:val="1"/>
    <w:next w:val="1"/>
    <w:link w:val="208"/>
    <w:qFormat/>
    <w:uiPriority w:val="0"/>
    <w:rPr>
      <w:i/>
      <w:iCs/>
      <w:color w:val="000000"/>
      <w:szCs w:val="22"/>
    </w:rPr>
  </w:style>
  <w:style w:type="character" w:customStyle="1" w:styleId="210">
    <w:name w:val="标题 Char2"/>
    <w:uiPriority w:val="10"/>
    <w:rPr>
      <w:rFonts w:ascii="Cambria" w:hAnsi="Cambria" w:cs="Times New Roman"/>
      <w:b/>
      <w:bCs/>
      <w:kern w:val="2"/>
      <w:sz w:val="32"/>
      <w:szCs w:val="32"/>
    </w:rPr>
  </w:style>
  <w:style w:type="character" w:customStyle="1" w:styleId="211">
    <w:name w:val="apple-converted-space"/>
    <w:uiPriority w:val="0"/>
  </w:style>
  <w:style w:type="character" w:customStyle="1" w:styleId="212">
    <w:name w:val="标准正文 Char Char"/>
    <w:uiPriority w:val="0"/>
    <w:rPr>
      <w:kern w:val="2"/>
      <w:sz w:val="24"/>
    </w:rPr>
  </w:style>
  <w:style w:type="character" w:styleId="213">
    <w:name w:val=""/>
    <w:qFormat/>
    <w:uiPriority w:val="0"/>
    <w:rPr>
      <w:b/>
      <w:bCs/>
      <w:smallCaps/>
      <w:color w:val="C0504D"/>
      <w:spacing w:val="5"/>
      <w:u w:val="single"/>
    </w:rPr>
  </w:style>
  <w:style w:type="character" w:customStyle="1" w:styleId="214">
    <w:name w:val="font2"/>
    <w:uiPriority w:val="0"/>
    <w:rPr>
      <w:color w:val="0033CC"/>
    </w:rPr>
  </w:style>
  <w:style w:type="character" w:customStyle="1" w:styleId="215">
    <w:name w:val="param-value"/>
    <w:uiPriority w:val="0"/>
  </w:style>
  <w:style w:type="character" w:customStyle="1" w:styleId="216">
    <w:name w:val="chanpinfont"/>
    <w:uiPriority w:val="0"/>
  </w:style>
  <w:style w:type="character" w:customStyle="1" w:styleId="217">
    <w:name w:val="Title Char"/>
    <w:locked/>
    <w:uiPriority w:val="0"/>
    <w:rPr>
      <w:rFonts w:ascii="Cambria" w:hAnsi="Cambria"/>
      <w:b/>
      <w:sz w:val="32"/>
    </w:rPr>
  </w:style>
  <w:style w:type="character" w:customStyle="1" w:styleId="218">
    <w:name w:val="引用 Char1"/>
    <w:uiPriority w:val="0"/>
    <w:rPr>
      <w:i/>
      <w:iCs/>
      <w:color w:val="000000"/>
      <w:kern w:val="2"/>
      <w:sz w:val="21"/>
    </w:rPr>
  </w:style>
  <w:style w:type="character" w:customStyle="1" w:styleId="219">
    <w:name w:val="正文首行缩进 2 Char1"/>
    <w:semiHidden/>
    <w:uiPriority w:val="99"/>
    <w:rPr>
      <w:rFonts w:ascii="Times New Roman" w:hAnsi="Times New Roman" w:eastAsia="宋体" w:cs="Times New Roman"/>
      <w:kern w:val="2"/>
      <w:sz w:val="21"/>
      <w:szCs w:val="21"/>
    </w:rPr>
  </w:style>
  <w:style w:type="character" w:customStyle="1" w:styleId="220">
    <w:name w:val="Footer Char"/>
    <w:locked/>
    <w:uiPriority w:val="0"/>
    <w:rPr>
      <w:sz w:val="18"/>
    </w:rPr>
  </w:style>
  <w:style w:type="character" w:customStyle="1" w:styleId="221">
    <w:name w:val="v151"/>
    <w:uiPriority w:val="0"/>
    <w:rPr>
      <w:spacing w:val="280"/>
      <w:sz w:val="18"/>
      <w:szCs w:val="18"/>
    </w:rPr>
  </w:style>
  <w:style w:type="character" w:customStyle="1" w:styleId="222">
    <w:name w:val="maintitle1"/>
    <w:uiPriority w:val="0"/>
    <w:rPr>
      <w:b/>
      <w:color w:val="0066CC"/>
      <w:sz w:val="30"/>
      <w:u w:val="none"/>
    </w:rPr>
  </w:style>
  <w:style w:type="character" w:customStyle="1" w:styleId="223">
    <w:name w:val="副标题 Char1"/>
    <w:uiPriority w:val="0"/>
    <w:rPr>
      <w:rFonts w:ascii="Cambria" w:hAnsi="Cambria" w:cs="Times New Roman"/>
      <w:b/>
      <w:bCs/>
      <w:kern w:val="28"/>
      <w:sz w:val="32"/>
      <w:szCs w:val="32"/>
    </w:rPr>
  </w:style>
  <w:style w:type="character" w:customStyle="1" w:styleId="224">
    <w:name w:val="bodyfont1"/>
    <w:uiPriority w:val="0"/>
    <w:rPr>
      <w:spacing w:val="300"/>
      <w:sz w:val="18"/>
      <w:szCs w:val="18"/>
    </w:rPr>
  </w:style>
  <w:style w:type="character" w:customStyle="1" w:styleId="225">
    <w:name w:val="正文文本 2 Char1"/>
    <w:uiPriority w:val="0"/>
    <w:rPr>
      <w:kern w:val="2"/>
      <w:sz w:val="21"/>
      <w:szCs w:val="24"/>
    </w:rPr>
  </w:style>
  <w:style w:type="character" w:customStyle="1" w:styleId="226">
    <w:name w:val="列出段落 Char1"/>
    <w:link w:val="227"/>
    <w:locked/>
    <w:uiPriority w:val="34"/>
    <w:rPr>
      <w:rFonts w:ascii="Calibri" w:hAnsi="Calibri"/>
      <w:sz w:val="22"/>
      <w:szCs w:val="22"/>
    </w:rPr>
  </w:style>
  <w:style w:type="paragraph" w:styleId="227">
    <w:name w:val="List Paragraph"/>
    <w:basedOn w:val="1"/>
    <w:link w:val="226"/>
    <w:qFormat/>
    <w:uiPriority w:val="34"/>
    <w:pPr>
      <w:widowControl/>
      <w:spacing w:after="200" w:line="276" w:lineRule="auto"/>
      <w:ind w:left="720"/>
      <w:contextualSpacing/>
      <w:jc w:val="left"/>
    </w:pPr>
    <w:rPr>
      <w:rFonts w:ascii="Calibri" w:hAnsi="Calibri"/>
      <w:kern w:val="0"/>
      <w:sz w:val="22"/>
      <w:szCs w:val="22"/>
    </w:rPr>
  </w:style>
  <w:style w:type="character" w:customStyle="1" w:styleId="228">
    <w:name w:val="Subtle Reference"/>
    <w:uiPriority w:val="0"/>
    <w:rPr>
      <w:rFonts w:cs="Times New Roman"/>
      <w:smallCaps/>
      <w:color w:val="C0504D"/>
      <w:u w:val="single"/>
    </w:rPr>
  </w:style>
  <w:style w:type="character" w:customStyle="1" w:styleId="229">
    <w:name w:val="Blockquote Char Char"/>
    <w:link w:val="230"/>
    <w:uiPriority w:val="0"/>
    <w:rPr>
      <w:sz w:val="24"/>
    </w:rPr>
  </w:style>
  <w:style w:type="paragraph" w:customStyle="1" w:styleId="230">
    <w:name w:val="Blockquote"/>
    <w:basedOn w:val="1"/>
    <w:link w:val="229"/>
    <w:uiPriority w:val="0"/>
    <w:pPr>
      <w:autoSpaceDE w:val="0"/>
      <w:autoSpaceDN w:val="0"/>
      <w:adjustRightInd w:val="0"/>
      <w:spacing w:before="100" w:after="100"/>
      <w:ind w:left="360" w:right="360"/>
      <w:jc w:val="left"/>
    </w:pPr>
    <w:rPr>
      <w:kern w:val="0"/>
      <w:sz w:val="24"/>
    </w:rPr>
  </w:style>
  <w:style w:type="character" w:customStyle="1" w:styleId="231">
    <w:name w:val="引用 Char"/>
    <w:uiPriority w:val="0"/>
    <w:rPr>
      <w:i/>
      <w:iCs/>
      <w:color w:val="000000"/>
      <w:kern w:val="2"/>
      <w:sz w:val="21"/>
      <w:szCs w:val="22"/>
    </w:rPr>
  </w:style>
  <w:style w:type="character" w:customStyle="1" w:styleId="232">
    <w:name w:val=" Char Char17"/>
    <w:uiPriority w:val="0"/>
    <w:rPr>
      <w:rFonts w:ascii="Arial" w:hAnsi="Arial" w:eastAsia="黑体"/>
      <w:b/>
      <w:bCs/>
      <w:kern w:val="2"/>
      <w:sz w:val="32"/>
      <w:szCs w:val="32"/>
      <w:lang w:val="en-US" w:eastAsia="zh-CN" w:bidi="ar-SA"/>
    </w:rPr>
  </w:style>
  <w:style w:type="character" w:customStyle="1" w:styleId="233">
    <w:name w:val="正文文本 3 Char1"/>
    <w:semiHidden/>
    <w:uiPriority w:val="99"/>
    <w:rPr>
      <w:kern w:val="2"/>
      <w:sz w:val="16"/>
      <w:szCs w:val="16"/>
    </w:rPr>
  </w:style>
  <w:style w:type="character" w:customStyle="1" w:styleId="234">
    <w:name w:val="签名 Char1"/>
    <w:uiPriority w:val="99"/>
    <w:rPr>
      <w:kern w:val="2"/>
      <w:sz w:val="21"/>
    </w:rPr>
  </w:style>
  <w:style w:type="character" w:customStyle="1" w:styleId="235">
    <w:name w:val="z-窗体底端 Char1"/>
    <w:uiPriority w:val="0"/>
    <w:rPr>
      <w:rFonts w:ascii="Arial" w:hAnsi="Arial" w:cs="Arial"/>
      <w:vanish/>
      <w:kern w:val="2"/>
      <w:sz w:val="16"/>
      <w:szCs w:val="16"/>
    </w:rPr>
  </w:style>
  <w:style w:type="character" w:customStyle="1" w:styleId="236">
    <w:name w:val="Intense Quote Char1"/>
    <w:locked/>
    <w:uiPriority w:val="0"/>
    <w:rPr>
      <w:rFonts w:cs="Times New Roman"/>
      <w:b/>
      <w:bCs/>
      <w:i/>
      <w:iCs/>
      <w:color w:val="4F81BD"/>
    </w:rPr>
  </w:style>
  <w:style w:type="character" w:customStyle="1" w:styleId="237">
    <w:name w:val="文档结构图 Char2"/>
    <w:semiHidden/>
    <w:uiPriority w:val="99"/>
    <w:rPr>
      <w:rFonts w:ascii="宋体"/>
      <w:kern w:val="2"/>
      <w:sz w:val="18"/>
      <w:szCs w:val="18"/>
    </w:rPr>
  </w:style>
  <w:style w:type="character" w:customStyle="1" w:styleId="238">
    <w:name w:val="明显引用 Char1"/>
    <w:uiPriority w:val="0"/>
    <w:rPr>
      <w:b/>
      <w:bCs/>
      <w:i/>
      <w:iCs/>
      <w:color w:val="4F81BD"/>
      <w:kern w:val="2"/>
      <w:sz w:val="21"/>
    </w:rPr>
  </w:style>
  <w:style w:type="character" w:customStyle="1" w:styleId="239">
    <w:name w:val="z-窗体底端 Char"/>
    <w:link w:val="240"/>
    <w:uiPriority w:val="0"/>
    <w:rPr>
      <w:rFonts w:ascii="Arial" w:hAnsi="Arial"/>
      <w:vanish/>
      <w:sz w:val="16"/>
      <w:szCs w:val="16"/>
    </w:rPr>
  </w:style>
  <w:style w:type="paragraph" w:styleId="240">
    <w:name w:val=""/>
    <w:basedOn w:val="1"/>
    <w:next w:val="1"/>
    <w:link w:val="239"/>
    <w:uiPriority w:val="0"/>
    <w:pPr>
      <w:widowControl/>
      <w:pBdr>
        <w:top w:val="single" w:color="auto" w:sz="6" w:space="1"/>
      </w:pBdr>
      <w:jc w:val="center"/>
    </w:pPr>
    <w:rPr>
      <w:rFonts w:ascii="Arial" w:hAnsi="Arial"/>
      <w:vanish/>
      <w:kern w:val="0"/>
      <w:sz w:val="16"/>
      <w:szCs w:val="16"/>
    </w:rPr>
  </w:style>
  <w:style w:type="character" w:customStyle="1" w:styleId="241">
    <w:name w:val=" Char Char15"/>
    <w:uiPriority w:val="0"/>
    <w:rPr>
      <w:rFonts w:ascii="宋体" w:hAnsi="Courier New"/>
      <w:kern w:val="2"/>
      <w:sz w:val="21"/>
    </w:rPr>
  </w:style>
  <w:style w:type="character" w:customStyle="1" w:styleId="242">
    <w:name w:val="param-explain"/>
    <w:uiPriority w:val="0"/>
  </w:style>
  <w:style w:type="character" w:customStyle="1" w:styleId="243">
    <w:name w:val="Date Char"/>
    <w:locked/>
    <w:uiPriority w:val="0"/>
    <w:rPr>
      <w:rFonts w:ascii="宋体" w:hAnsi="Times New Roman"/>
      <w:sz w:val="28"/>
    </w:rPr>
  </w:style>
  <w:style w:type="character" w:customStyle="1" w:styleId="244">
    <w:name w:val="z-窗体顶端 Char"/>
    <w:link w:val="245"/>
    <w:uiPriority w:val="0"/>
    <w:rPr>
      <w:rFonts w:ascii="Arial" w:hAnsi="Arial"/>
      <w:vanish/>
      <w:sz w:val="16"/>
      <w:szCs w:val="16"/>
    </w:rPr>
  </w:style>
  <w:style w:type="paragraph" w:styleId="245">
    <w:name w:val=""/>
    <w:basedOn w:val="1"/>
    <w:next w:val="1"/>
    <w:link w:val="244"/>
    <w:uiPriority w:val="0"/>
    <w:pPr>
      <w:widowControl/>
      <w:pBdr>
        <w:bottom w:val="single" w:color="auto" w:sz="6" w:space="1"/>
      </w:pBdr>
      <w:jc w:val="center"/>
    </w:pPr>
    <w:rPr>
      <w:rFonts w:ascii="Arial" w:hAnsi="Arial"/>
      <w:vanish/>
      <w:kern w:val="0"/>
      <w:sz w:val="16"/>
      <w:szCs w:val="16"/>
    </w:rPr>
  </w:style>
  <w:style w:type="character" w:customStyle="1" w:styleId="246">
    <w:name w:val="标题 Char1"/>
    <w:uiPriority w:val="0"/>
    <w:rPr>
      <w:rFonts w:ascii="Cambria" w:hAnsi="Cambria" w:cs="Times New Roman"/>
      <w:b/>
      <w:bCs/>
      <w:kern w:val="2"/>
      <w:sz w:val="32"/>
      <w:szCs w:val="32"/>
    </w:rPr>
  </w:style>
  <w:style w:type="character" w:customStyle="1" w:styleId="247">
    <w:name w:val="ft331"/>
    <w:uiPriority w:val="0"/>
    <w:rPr>
      <w:rFonts w:hint="default" w:ascii="Times" w:hAnsi="Times"/>
      <w:color w:val="000000"/>
      <w:spacing w:val="16"/>
      <w:sz w:val="15"/>
      <w:szCs w:val="15"/>
    </w:rPr>
  </w:style>
  <w:style w:type="character" w:customStyle="1" w:styleId="248">
    <w:name w:val="标题 3 Char"/>
    <w:uiPriority w:val="9"/>
    <w:rPr>
      <w:rFonts w:ascii="宋体" w:hAnsi="宋体" w:cs="宋体"/>
      <w:b/>
      <w:bCs/>
      <w:sz w:val="27"/>
      <w:szCs w:val="27"/>
    </w:rPr>
  </w:style>
  <w:style w:type="character" w:customStyle="1" w:styleId="249">
    <w:name w:val="Balloon Text Char"/>
    <w:locked/>
    <w:uiPriority w:val="0"/>
    <w:rPr>
      <w:rFonts w:ascii="宋体" w:hAnsi="Times New Roman"/>
      <w:sz w:val="18"/>
    </w:rPr>
  </w:style>
  <w:style w:type="character" w:customStyle="1" w:styleId="250">
    <w:name w:val="浅色底纹 - 强调文字颜色 2 Char"/>
    <w:link w:val="251"/>
    <w:uiPriority w:val="0"/>
    <w:rPr>
      <w:b/>
      <w:bCs/>
      <w:i/>
      <w:iCs/>
      <w:color w:val="4F81BD"/>
      <w:kern w:val="2"/>
      <w:sz w:val="21"/>
      <w:szCs w:val="22"/>
    </w:rPr>
  </w:style>
  <w:style w:type="paragraph" w:customStyle="1" w:styleId="251">
    <w:name w:val="浅色底纹 - 强调文字颜色 21"/>
    <w:basedOn w:val="1"/>
    <w:next w:val="1"/>
    <w:link w:val="250"/>
    <w:qFormat/>
    <w:uiPriority w:val="0"/>
    <w:pPr>
      <w:pBdr>
        <w:bottom w:val="single" w:color="4F81BD" w:sz="4" w:space="4"/>
      </w:pBdr>
      <w:spacing w:before="200" w:after="280"/>
      <w:ind w:left="936" w:right="936"/>
    </w:pPr>
    <w:rPr>
      <w:b/>
      <w:bCs/>
      <w:i/>
      <w:iCs/>
      <w:color w:val="4F81BD"/>
      <w:szCs w:val="22"/>
    </w:rPr>
  </w:style>
  <w:style w:type="character" w:customStyle="1" w:styleId="252">
    <w:name w:val="Subtle Emphasis"/>
    <w:uiPriority w:val="0"/>
    <w:rPr>
      <w:rFonts w:cs="Times New Roman"/>
      <w:i/>
      <w:color w:val="808080"/>
    </w:rPr>
  </w:style>
  <w:style w:type="character" w:customStyle="1" w:styleId="253">
    <w:name w:val="*正文 Char"/>
    <w:link w:val="254"/>
    <w:locked/>
    <w:uiPriority w:val="0"/>
    <w:rPr>
      <w:rFonts w:ascii="宋体" w:hAnsi="宋体" w:eastAsia="宋体"/>
      <w:sz w:val="24"/>
      <w:lang w:val="en-US" w:eastAsia="zh-CN" w:bidi="ar-SA"/>
    </w:rPr>
  </w:style>
  <w:style w:type="paragraph" w:customStyle="1" w:styleId="254">
    <w:name w:val="*正文"/>
    <w:basedOn w:val="1"/>
    <w:link w:val="253"/>
    <w:uiPriority w:val="0"/>
    <w:pPr>
      <w:spacing w:line="360" w:lineRule="auto"/>
    </w:pPr>
    <w:rPr>
      <w:rFonts w:ascii="宋体" w:hAnsi="宋体"/>
      <w:kern w:val="0"/>
      <w:sz w:val="24"/>
    </w:rPr>
  </w:style>
  <w:style w:type="character" w:customStyle="1" w:styleId="255">
    <w:name w:val="Intense Emphasis"/>
    <w:uiPriority w:val="0"/>
    <w:rPr>
      <w:rFonts w:cs="Times New Roman"/>
      <w:b/>
      <w:i/>
      <w:color w:val="4F81BD"/>
    </w:rPr>
  </w:style>
  <w:style w:type="character" w:customStyle="1" w:styleId="256">
    <w:name w:val="Subtitle Char1"/>
    <w:locked/>
    <w:uiPriority w:val="0"/>
    <w:rPr>
      <w:rFonts w:ascii="Cambria" w:hAnsi="Cambria" w:cs="Times New Roman"/>
      <w:b/>
      <w:bCs/>
      <w:kern w:val="28"/>
      <w:sz w:val="32"/>
      <w:szCs w:val="32"/>
    </w:rPr>
  </w:style>
  <w:style w:type="character" w:customStyle="1" w:styleId="257">
    <w:name w:val="6.1正文 Char"/>
    <w:link w:val="258"/>
    <w:locked/>
    <w:uiPriority w:val="0"/>
    <w:rPr>
      <w:rFonts w:ascii="Calibri" w:hAnsi="Calibri" w:eastAsia="宋体"/>
      <w:sz w:val="21"/>
      <w:lang w:val="en-US" w:eastAsia="zh-CN" w:bidi="ar-SA"/>
    </w:rPr>
  </w:style>
  <w:style w:type="paragraph" w:customStyle="1" w:styleId="258">
    <w:name w:val="6.1正文"/>
    <w:basedOn w:val="1"/>
    <w:link w:val="257"/>
    <w:uiPriority w:val="0"/>
    <w:pPr>
      <w:spacing w:before="120" w:after="120" w:line="360" w:lineRule="auto"/>
      <w:ind w:firstLine="420" w:firstLineChars="200"/>
    </w:pPr>
    <w:rPr>
      <w:rFonts w:ascii="Calibri" w:hAnsi="Calibri"/>
      <w:kern w:val="0"/>
    </w:rPr>
  </w:style>
  <w:style w:type="character" w:customStyle="1" w:styleId="259">
    <w:name w:val="style6"/>
    <w:uiPriority w:val="0"/>
  </w:style>
  <w:style w:type="character" w:customStyle="1" w:styleId="260">
    <w:name w:val="中等深浅网格 11"/>
    <w:semiHidden/>
    <w:uiPriority w:val="99"/>
    <w:rPr>
      <w:color w:val="808080"/>
    </w:rPr>
  </w:style>
  <w:style w:type="character" w:customStyle="1" w:styleId="261">
    <w:name w:val="Quote Char2"/>
    <w:link w:val="262"/>
    <w:locked/>
    <w:uiPriority w:val="0"/>
    <w:rPr>
      <w:rFonts w:ascii="Calibri" w:hAnsi="Calibri"/>
      <w:i/>
      <w:color w:val="000000"/>
    </w:rPr>
  </w:style>
  <w:style w:type="paragraph" w:customStyle="1" w:styleId="262">
    <w:name w:val="Quote"/>
    <w:basedOn w:val="1"/>
    <w:next w:val="1"/>
    <w:link w:val="261"/>
    <w:uiPriority w:val="0"/>
    <w:rPr>
      <w:rFonts w:ascii="Calibri" w:hAnsi="Calibri"/>
      <w:i/>
      <w:color w:val="000000"/>
      <w:kern w:val="0"/>
      <w:sz w:val="20"/>
    </w:rPr>
  </w:style>
  <w:style w:type="character" w:customStyle="1" w:styleId="263">
    <w:name w:val="font01"/>
    <w:uiPriority w:val="0"/>
    <w:rPr>
      <w:rFonts w:hint="eastAsia" w:ascii="宋体" w:hAnsi="宋体" w:eastAsia="宋体"/>
      <w:color w:val="000000"/>
      <w:sz w:val="24"/>
      <w:szCs w:val="24"/>
      <w:u w:val="none"/>
    </w:rPr>
  </w:style>
  <w:style w:type="character" w:customStyle="1" w:styleId="264">
    <w:name w:val="正文首行缩进 Char1"/>
    <w:semiHidden/>
    <w:uiPriority w:val="0"/>
  </w:style>
  <w:style w:type="character" w:customStyle="1" w:styleId="265">
    <w:name w:val="Heading 8 Char"/>
    <w:locked/>
    <w:uiPriority w:val="0"/>
    <w:rPr>
      <w:rFonts w:ascii="Cambria" w:hAnsi="Cambria" w:eastAsia="宋体" w:cs="Times New Roman"/>
      <w:sz w:val="24"/>
      <w:szCs w:val="24"/>
    </w:rPr>
  </w:style>
  <w:style w:type="character" w:styleId="266">
    <w:name w:val=""/>
    <w:qFormat/>
    <w:uiPriority w:val="0"/>
    <w:rPr>
      <w:smallCaps/>
      <w:color w:val="C0504D"/>
      <w:u w:val="single"/>
    </w:rPr>
  </w:style>
  <w:style w:type="character" w:customStyle="1" w:styleId="267">
    <w:name w:val="Intense Quote Char"/>
    <w:locked/>
    <w:uiPriority w:val="0"/>
    <w:rPr>
      <w:b/>
      <w:i/>
      <w:color w:val="4F81BD"/>
    </w:rPr>
  </w:style>
  <w:style w:type="character" w:customStyle="1" w:styleId="268">
    <w:name w:val="页脚 Char"/>
    <w:uiPriority w:val="0"/>
    <w:rPr>
      <w:kern w:val="2"/>
      <w:sz w:val="18"/>
      <w:szCs w:val="18"/>
    </w:rPr>
  </w:style>
  <w:style w:type="character" w:customStyle="1" w:styleId="269">
    <w:name w:val="页眉 Char1"/>
    <w:semiHidden/>
    <w:uiPriority w:val="99"/>
    <w:rPr>
      <w:kern w:val="2"/>
      <w:sz w:val="18"/>
      <w:szCs w:val="18"/>
    </w:rPr>
  </w:style>
  <w:style w:type="character" w:customStyle="1" w:styleId="270">
    <w:name w:val="样式 标书正文 + 下划线 Char"/>
    <w:uiPriority w:val="0"/>
    <w:rPr>
      <w:rFonts w:eastAsia="楷体_GB2312"/>
      <w:kern w:val="2"/>
      <w:sz w:val="28"/>
      <w:u w:val="single"/>
      <w:lang w:val="en-US" w:eastAsia="zh-CN"/>
    </w:rPr>
  </w:style>
  <w:style w:type="character" w:customStyle="1" w:styleId="271">
    <w:name w:val="pagetext1"/>
    <w:uiPriority w:val="0"/>
    <w:rPr>
      <w:rFonts w:hint="eastAsia" w:ascii="宋体" w:hAnsi="宋体" w:eastAsia="宋体"/>
      <w:sz w:val="20"/>
      <w:szCs w:val="20"/>
    </w:rPr>
  </w:style>
  <w:style w:type="character" w:customStyle="1" w:styleId="272">
    <w:name w:val="批注框文本 Char3"/>
    <w:semiHidden/>
    <w:uiPriority w:val="99"/>
    <w:rPr>
      <w:kern w:val="2"/>
      <w:sz w:val="18"/>
      <w:szCs w:val="18"/>
    </w:rPr>
  </w:style>
  <w:style w:type="character" w:customStyle="1" w:styleId="273">
    <w:name w:val="redfont1"/>
    <w:uiPriority w:val="0"/>
    <w:rPr>
      <w:color w:val="FF0000"/>
    </w:rPr>
  </w:style>
  <w:style w:type="character" w:customStyle="1" w:styleId="274">
    <w:name w:val="日期 Char2"/>
    <w:semiHidden/>
    <w:uiPriority w:val="99"/>
    <w:rPr>
      <w:kern w:val="2"/>
      <w:sz w:val="21"/>
      <w:szCs w:val="24"/>
    </w:rPr>
  </w:style>
  <w:style w:type="character" w:customStyle="1" w:styleId="275">
    <w:name w:val="small1"/>
    <w:uiPriority w:val="0"/>
    <w:rPr>
      <w:rFonts w:ascii="Verdana" w:hAnsi="Verdana" w:cs="Verdana"/>
      <w:sz w:val="18"/>
      <w:szCs w:val="18"/>
    </w:rPr>
  </w:style>
  <w:style w:type="character" w:customStyle="1" w:styleId="276">
    <w:name w:val="标题5 Char Char"/>
    <w:link w:val="277"/>
    <w:uiPriority w:val="0"/>
    <w:rPr>
      <w:rFonts w:ascii="Arial" w:hAnsi="Arial"/>
      <w:b/>
      <w:bCs/>
      <w:sz w:val="24"/>
      <w:szCs w:val="32"/>
    </w:rPr>
  </w:style>
  <w:style w:type="paragraph" w:customStyle="1" w:styleId="277">
    <w:name w:val="标题5"/>
    <w:basedOn w:val="5"/>
    <w:link w:val="276"/>
    <w:uiPriority w:val="0"/>
    <w:pPr>
      <w:spacing w:line="413" w:lineRule="auto"/>
      <w:jc w:val="both"/>
    </w:pPr>
    <w:rPr>
      <w:rFonts w:ascii="Arial" w:hAnsi="Arial"/>
      <w:kern w:val="0"/>
      <w:sz w:val="24"/>
    </w:rPr>
  </w:style>
  <w:style w:type="character" w:customStyle="1" w:styleId="278">
    <w:name w:val="Document Map Char"/>
    <w:locked/>
    <w:uiPriority w:val="0"/>
    <w:rPr>
      <w:rFonts w:ascii="Times New Roman" w:hAnsi="Times New Roman"/>
      <w:sz w:val="24"/>
      <w:shd w:val="clear" w:color="auto" w:fill="000080"/>
    </w:rPr>
  </w:style>
  <w:style w:type="character" w:customStyle="1" w:styleId="279">
    <w:name w:val="textfont1"/>
    <w:uiPriority w:val="0"/>
    <w:rPr>
      <w:spacing w:val="240"/>
      <w:sz w:val="22"/>
      <w:szCs w:val="22"/>
    </w:rPr>
  </w:style>
  <w:style w:type="character" w:customStyle="1" w:styleId="280">
    <w:name w:val="超链接1"/>
    <w:uiPriority w:val="0"/>
    <w:rPr>
      <w:color w:val="0000FF"/>
      <w:u w:val="none"/>
    </w:rPr>
  </w:style>
  <w:style w:type="character" w:customStyle="1" w:styleId="281">
    <w:name w:val="正文文本 (2)_"/>
    <w:link w:val="282"/>
    <w:uiPriority w:val="99"/>
    <w:rPr>
      <w:rFonts w:ascii="Franklin Gothic Heavy" w:eastAsia="Franklin Gothic Heavy" w:cs="Franklin Gothic Heavy"/>
      <w:sz w:val="18"/>
      <w:szCs w:val="18"/>
      <w:shd w:val="clear" w:color="auto" w:fill="FFFFFF"/>
    </w:rPr>
  </w:style>
  <w:style w:type="paragraph" w:customStyle="1" w:styleId="282">
    <w:name w:val="正文文本 (2)"/>
    <w:basedOn w:val="1"/>
    <w:link w:val="281"/>
    <w:uiPriority w:val="99"/>
    <w:pPr>
      <w:shd w:val="clear" w:color="auto" w:fill="FFFFFF"/>
      <w:spacing w:line="240" w:lineRule="atLeast"/>
      <w:jc w:val="left"/>
    </w:pPr>
    <w:rPr>
      <w:rFonts w:ascii="Franklin Gothic Heavy" w:eastAsia="Franklin Gothic Heavy"/>
      <w:kern w:val="0"/>
      <w:sz w:val="18"/>
      <w:szCs w:val="18"/>
    </w:rPr>
  </w:style>
  <w:style w:type="character" w:customStyle="1" w:styleId="283">
    <w:name w:val="尖角符号样式 Char"/>
    <w:link w:val="284"/>
    <w:locked/>
    <w:uiPriority w:val="0"/>
  </w:style>
  <w:style w:type="paragraph" w:customStyle="1" w:styleId="284">
    <w:name w:val="尖角符号样式"/>
    <w:basedOn w:val="181"/>
    <w:link w:val="283"/>
    <w:uiPriority w:val="0"/>
    <w:pPr>
      <w:ind w:firstLine="480"/>
    </w:pPr>
  </w:style>
  <w:style w:type="character" w:customStyle="1" w:styleId="285">
    <w:name w:val="style221"/>
    <w:uiPriority w:val="0"/>
    <w:rPr>
      <w:sz w:val="18"/>
      <w:szCs w:val="18"/>
    </w:rPr>
  </w:style>
  <w:style w:type="character" w:customStyle="1" w:styleId="286">
    <w:name w:val="font11"/>
    <w:uiPriority w:val="0"/>
    <w:rPr>
      <w:rFonts w:hint="eastAsia" w:ascii="宋体" w:hAnsi="宋体" w:eastAsia="宋体" w:cs="宋体"/>
      <w:color w:val="000000"/>
      <w:sz w:val="22"/>
      <w:szCs w:val="22"/>
      <w:u w:val="none"/>
    </w:rPr>
  </w:style>
  <w:style w:type="character" w:customStyle="1" w:styleId="287">
    <w:name w:val="Comment Text Char"/>
    <w:locked/>
    <w:uiPriority w:val="0"/>
    <w:rPr>
      <w:rFonts w:ascii="Arial" w:hAnsi="Arial" w:eastAsia="宋体" w:cs="宋体"/>
      <w:sz w:val="20"/>
      <w:szCs w:val="20"/>
    </w:rPr>
  </w:style>
  <w:style w:type="character" w:customStyle="1" w:styleId="288">
    <w:name w:val="Quote Char"/>
    <w:locked/>
    <w:uiPriority w:val="0"/>
    <w:rPr>
      <w:i/>
      <w:color w:val="000000"/>
    </w:rPr>
  </w:style>
  <w:style w:type="character" w:customStyle="1" w:styleId="289">
    <w:name w:val="unnamed5 style4"/>
    <w:uiPriority w:val="0"/>
    <w:rPr>
      <w:rFonts w:cs="Times New Roman"/>
    </w:rPr>
  </w:style>
  <w:style w:type="character" w:customStyle="1" w:styleId="290">
    <w:name w:val="unnamed1"/>
    <w:uiPriority w:val="0"/>
  </w:style>
  <w:style w:type="character" w:styleId="291">
    <w:name w:val=""/>
    <w:qFormat/>
    <w:uiPriority w:val="0"/>
    <w:rPr>
      <w:b/>
      <w:bCs/>
      <w:i/>
      <w:iCs/>
      <w:color w:val="4F81BD"/>
    </w:rPr>
  </w:style>
  <w:style w:type="character" w:customStyle="1" w:styleId="292">
    <w:name w:val="hei12b1"/>
    <w:uiPriority w:val="0"/>
    <w:rPr>
      <w:b/>
      <w:bCs/>
      <w:color w:val="000000"/>
      <w:sz w:val="21"/>
      <w:szCs w:val="21"/>
    </w:rPr>
  </w:style>
  <w:style w:type="character" w:customStyle="1" w:styleId="293">
    <w:name w:val="z-窗体顶端 Char2"/>
    <w:uiPriority w:val="99"/>
    <w:rPr>
      <w:rFonts w:ascii="Arial" w:hAnsi="Arial" w:cs="Arial"/>
      <w:vanish/>
      <w:kern w:val="2"/>
      <w:sz w:val="16"/>
      <w:szCs w:val="16"/>
    </w:rPr>
  </w:style>
  <w:style w:type="character" w:customStyle="1" w:styleId="294">
    <w:name w:val="书籍标题1"/>
    <w:uiPriority w:val="0"/>
    <w:rPr>
      <w:b/>
      <w:smallCaps/>
      <w:spacing w:val="5"/>
    </w:rPr>
  </w:style>
  <w:style w:type="character" w:customStyle="1" w:styleId="295">
    <w:name w:val="Heading 1 Char"/>
    <w:locked/>
    <w:uiPriority w:val="0"/>
    <w:rPr>
      <w:rFonts w:ascii="Calibri" w:hAnsi="Calibri" w:eastAsia="宋体" w:cs="Times New Roman"/>
      <w:b/>
      <w:bCs/>
      <w:kern w:val="44"/>
      <w:sz w:val="44"/>
      <w:szCs w:val="44"/>
    </w:rPr>
  </w:style>
  <w:style w:type="character" w:customStyle="1" w:styleId="296">
    <w:name w:val="text11"/>
    <w:uiPriority w:val="0"/>
    <w:rPr>
      <w:color w:val="666666"/>
      <w:sz w:val="21"/>
      <w:szCs w:val="21"/>
    </w:rPr>
  </w:style>
  <w:style w:type="character" w:customStyle="1" w:styleId="297">
    <w:name w:val="批注框文本 Char"/>
    <w:uiPriority w:val="0"/>
    <w:rPr>
      <w:kern w:val="2"/>
      <w:sz w:val="18"/>
      <w:szCs w:val="18"/>
    </w:rPr>
  </w:style>
  <w:style w:type="character" w:customStyle="1" w:styleId="298">
    <w:name w:val="页脚 Char1"/>
    <w:semiHidden/>
    <w:uiPriority w:val="99"/>
    <w:rPr>
      <w:kern w:val="2"/>
      <w:sz w:val="18"/>
      <w:szCs w:val="18"/>
    </w:rPr>
  </w:style>
  <w:style w:type="character" w:customStyle="1" w:styleId="299">
    <w:name w:val="明显引用 Char"/>
    <w:uiPriority w:val="0"/>
    <w:rPr>
      <w:b/>
      <w:bCs/>
      <w:i/>
      <w:iCs/>
      <w:color w:val="4F81BD"/>
      <w:kern w:val="2"/>
      <w:sz w:val="21"/>
      <w:szCs w:val="22"/>
    </w:rPr>
  </w:style>
  <w:style w:type="character" w:customStyle="1" w:styleId="300">
    <w:name w:val="hui3"/>
    <w:uiPriority w:val="0"/>
    <w:rPr>
      <w:color w:val="333333"/>
    </w:rPr>
  </w:style>
  <w:style w:type="character" w:customStyle="1" w:styleId="301">
    <w:name w:val="批注文字 Char2"/>
    <w:semiHidden/>
    <w:uiPriority w:val="99"/>
    <w:rPr>
      <w:kern w:val="2"/>
      <w:sz w:val="21"/>
      <w:szCs w:val="24"/>
    </w:rPr>
  </w:style>
  <w:style w:type="character" w:customStyle="1" w:styleId="302">
    <w:name w:val="标题4 Char Char"/>
    <w:link w:val="303"/>
    <w:uiPriority w:val="0"/>
    <w:rPr>
      <w:rFonts w:ascii="Arial" w:hAnsi="Arial"/>
      <w:b/>
      <w:bCs/>
      <w:sz w:val="24"/>
      <w:szCs w:val="32"/>
    </w:rPr>
  </w:style>
  <w:style w:type="paragraph" w:customStyle="1" w:styleId="303">
    <w:name w:val="标题4"/>
    <w:basedOn w:val="4"/>
    <w:next w:val="32"/>
    <w:link w:val="302"/>
    <w:uiPriority w:val="0"/>
    <w:pPr>
      <w:spacing w:line="413" w:lineRule="auto"/>
      <w:ind w:firstLine="0"/>
      <w:jc w:val="both"/>
    </w:pPr>
    <w:rPr>
      <w:rFonts w:eastAsia="宋体"/>
      <w:kern w:val="0"/>
      <w:sz w:val="24"/>
    </w:rPr>
  </w:style>
  <w:style w:type="character" w:customStyle="1" w:styleId="304">
    <w:name w:val="正文文本 Char1"/>
    <w:uiPriority w:val="99"/>
    <w:rPr>
      <w:kern w:val="2"/>
      <w:sz w:val="21"/>
      <w:szCs w:val="22"/>
    </w:rPr>
  </w:style>
  <w:style w:type="character" w:customStyle="1" w:styleId="305">
    <w:name w:val=" Char Char8"/>
    <w:uiPriority w:val="0"/>
    <w:rPr>
      <w:rFonts w:eastAsia="宋体"/>
      <w:kern w:val="2"/>
      <w:sz w:val="21"/>
      <w:lang w:val="en-US" w:eastAsia="zh-CN" w:bidi="ar-SA"/>
    </w:rPr>
  </w:style>
  <w:style w:type="character" w:customStyle="1" w:styleId="306">
    <w:name w:val="apple-style-span"/>
    <w:uiPriority w:val="0"/>
  </w:style>
  <w:style w:type="character" w:customStyle="1" w:styleId="307">
    <w:name w:val="p12"/>
    <w:uiPriority w:val="0"/>
  </w:style>
  <w:style w:type="character" w:customStyle="1" w:styleId="308">
    <w:name w:val="Title Char2"/>
    <w:locked/>
    <w:uiPriority w:val="0"/>
    <w:rPr>
      <w:rFonts w:ascii="Cambria" w:hAnsi="Cambria" w:eastAsia="宋体" w:cs="Times New Roman"/>
      <w:b/>
      <w:bCs/>
      <w:sz w:val="32"/>
      <w:szCs w:val="32"/>
    </w:rPr>
  </w:style>
  <w:style w:type="character" w:customStyle="1" w:styleId="309">
    <w:name w:val="List Paragraph Char"/>
    <w:link w:val="310"/>
    <w:locked/>
    <w:uiPriority w:val="0"/>
    <w:rPr>
      <w:rFonts w:ascii="Arial" w:hAnsi="Arial" w:cs="宋体"/>
      <w:kern w:val="2"/>
      <w:sz w:val="24"/>
    </w:rPr>
  </w:style>
  <w:style w:type="paragraph" w:customStyle="1" w:styleId="310">
    <w:name w:val="列出段落2"/>
    <w:basedOn w:val="1"/>
    <w:link w:val="309"/>
    <w:uiPriority w:val="0"/>
    <w:pPr>
      <w:spacing w:line="360" w:lineRule="auto"/>
      <w:ind w:firstLine="420" w:firstLineChars="200"/>
    </w:pPr>
    <w:rPr>
      <w:rFonts w:ascii="Arial" w:hAnsi="Arial"/>
      <w:sz w:val="24"/>
    </w:rPr>
  </w:style>
  <w:style w:type="character" w:customStyle="1" w:styleId="311">
    <w:name w:val="纯文本 Char1"/>
    <w:uiPriority w:val="0"/>
    <w:rPr>
      <w:rFonts w:ascii="宋体" w:hAnsi="Courier New"/>
      <w:kern w:val="2"/>
      <w:sz w:val="21"/>
    </w:rPr>
  </w:style>
  <w:style w:type="character" w:customStyle="1" w:styleId="312">
    <w:name w:val="style211"/>
    <w:uiPriority w:val="0"/>
    <w:rPr>
      <w:color w:val="000000"/>
    </w:rPr>
  </w:style>
  <w:style w:type="character" w:customStyle="1" w:styleId="313">
    <w:name w:val="Normal Indent Char"/>
    <w:locked/>
    <w:uiPriority w:val="0"/>
    <w:rPr>
      <w:rFonts w:ascii="Times New Roman" w:hAnsi="Times New Roman" w:eastAsia="宋体"/>
      <w:sz w:val="20"/>
    </w:rPr>
  </w:style>
  <w:style w:type="character" w:customStyle="1" w:styleId="314">
    <w:name w:val="title_emph"/>
    <w:uiPriority w:val="0"/>
  </w:style>
  <w:style w:type="character" w:customStyle="1" w:styleId="315">
    <w:name w:val="ft621"/>
    <w:uiPriority w:val="0"/>
    <w:rPr>
      <w:rFonts w:hint="default" w:ascii="Times" w:hAnsi="Times"/>
      <w:color w:val="000000"/>
      <w:spacing w:val="14"/>
      <w:sz w:val="15"/>
      <w:szCs w:val="15"/>
    </w:rPr>
  </w:style>
  <w:style w:type="character" w:customStyle="1" w:styleId="316">
    <w:name w:val="paramname3"/>
    <w:uiPriority w:val="0"/>
    <w:rPr>
      <w:color w:val="999999"/>
    </w:rPr>
  </w:style>
  <w:style w:type="character" w:customStyle="1" w:styleId="317">
    <w:name w:val="正文首行缩进 Char"/>
    <w:uiPriority w:val="0"/>
    <w:rPr>
      <w:rFonts w:ascii="宋体" w:hAnsi="宋体"/>
      <w:kern w:val="2"/>
      <w:sz w:val="21"/>
      <w:szCs w:val="24"/>
    </w:rPr>
  </w:style>
  <w:style w:type="character" w:customStyle="1" w:styleId="318">
    <w:name w:val="批注主题 Char2"/>
    <w:semiHidden/>
    <w:uiPriority w:val="99"/>
    <w:rPr>
      <w:b/>
      <w:bCs/>
      <w:kern w:val="2"/>
      <w:sz w:val="21"/>
      <w:szCs w:val="24"/>
    </w:rPr>
  </w:style>
  <w:style w:type="character" w:customStyle="1" w:styleId="319">
    <w:name w:val="font41"/>
    <w:uiPriority w:val="0"/>
    <w:rPr>
      <w:rFonts w:ascii="微软雅黑" w:hAnsi="微软雅黑" w:eastAsia="微软雅黑" w:cs="微软雅黑"/>
      <w:b/>
      <w:color w:val="FFFFFF"/>
      <w:sz w:val="20"/>
      <w:szCs w:val="20"/>
      <w:u w:val="none"/>
    </w:rPr>
  </w:style>
  <w:style w:type="character" w:customStyle="1" w:styleId="320">
    <w:name w:val="style3"/>
    <w:uiPriority w:val="0"/>
  </w:style>
  <w:style w:type="character" w:customStyle="1" w:styleId="321">
    <w:name w:val="Heading 3 Char"/>
    <w:locked/>
    <w:uiPriority w:val="0"/>
    <w:rPr>
      <w:rFonts w:ascii="Calibri" w:hAnsi="Calibri" w:eastAsia="宋体" w:cs="Times New Roman"/>
      <w:b/>
      <w:bCs/>
      <w:sz w:val="32"/>
      <w:szCs w:val="32"/>
    </w:rPr>
  </w:style>
  <w:style w:type="character" w:customStyle="1" w:styleId="322">
    <w:name w:val=" Char Char6"/>
    <w:uiPriority w:val="0"/>
    <w:rPr>
      <w:kern w:val="2"/>
      <w:sz w:val="18"/>
      <w:szCs w:val="18"/>
    </w:rPr>
  </w:style>
  <w:style w:type="character" w:customStyle="1" w:styleId="323">
    <w:name w:val="批注主题 Char1"/>
    <w:uiPriority w:val="0"/>
    <w:rPr>
      <w:b/>
      <w:bCs/>
      <w:kern w:val="2"/>
      <w:sz w:val="21"/>
      <w:szCs w:val="22"/>
    </w:rPr>
  </w:style>
  <w:style w:type="character" w:customStyle="1" w:styleId="324">
    <w:name w:val="font161"/>
    <w:uiPriority w:val="0"/>
    <w:rPr>
      <w:b/>
      <w:sz w:val="32"/>
    </w:rPr>
  </w:style>
  <w:style w:type="character" w:customStyle="1" w:styleId="325">
    <w:name w:val="ca-13"/>
    <w:uiPriority w:val="0"/>
    <w:rPr>
      <w:rFonts w:hint="eastAsia" w:ascii="宋体" w:hAnsi="宋体" w:eastAsia="宋体"/>
      <w:color w:val="000000"/>
      <w:sz w:val="21"/>
      <w:szCs w:val="21"/>
    </w:rPr>
  </w:style>
  <w:style w:type="character" w:customStyle="1" w:styleId="326">
    <w:name w:val="批注文字 Char1"/>
    <w:uiPriority w:val="99"/>
    <w:rPr>
      <w:rFonts w:eastAsia="宋体"/>
      <w:kern w:val="2"/>
      <w:sz w:val="21"/>
      <w:lang w:val="en-US" w:eastAsia="zh-CN" w:bidi="ar-SA"/>
    </w:rPr>
  </w:style>
  <w:style w:type="character" w:customStyle="1" w:styleId="327">
    <w:name w:val="Header Char"/>
    <w:locked/>
    <w:uiPriority w:val="0"/>
    <w:rPr>
      <w:sz w:val="18"/>
    </w:rPr>
  </w:style>
  <w:style w:type="character" w:customStyle="1" w:styleId="328">
    <w:name w:val="列出段落 Char2"/>
    <w:qFormat/>
    <w:uiPriority w:val="34"/>
    <w:rPr>
      <w:kern w:val="2"/>
      <w:sz w:val="21"/>
      <w:szCs w:val="22"/>
    </w:rPr>
  </w:style>
  <w:style w:type="character" w:customStyle="1" w:styleId="329">
    <w:name w:val="2级标题 Char"/>
    <w:link w:val="330"/>
    <w:locked/>
    <w:uiPriority w:val="0"/>
    <w:rPr>
      <w:rFonts w:ascii="Arial" w:hAnsi="Arial" w:eastAsia="宋体" w:cs="宋体"/>
      <w:b/>
      <w:kern w:val="2"/>
      <w:sz w:val="32"/>
      <w:szCs w:val="32"/>
    </w:rPr>
  </w:style>
  <w:style w:type="paragraph" w:customStyle="1" w:styleId="330">
    <w:name w:val="2级标题"/>
    <w:basedOn w:val="148"/>
    <w:link w:val="329"/>
    <w:uiPriority w:val="0"/>
    <w:pPr>
      <w:numPr>
        <w:ilvl w:val="1"/>
        <w:numId w:val="4"/>
      </w:numPr>
      <w:ind w:firstLine="0" w:firstLineChars="0"/>
      <w:outlineLvl w:val="1"/>
    </w:pPr>
    <w:rPr>
      <w:rFonts w:ascii="Arial" w:hAnsi="Arial"/>
      <w:b/>
      <w:sz w:val="32"/>
      <w:szCs w:val="32"/>
    </w:rPr>
  </w:style>
  <w:style w:type="character" w:customStyle="1" w:styleId="331">
    <w:name w:val="日期 Char1"/>
    <w:uiPriority w:val="0"/>
    <w:rPr>
      <w:kern w:val="2"/>
      <w:sz w:val="21"/>
      <w:szCs w:val="22"/>
    </w:rPr>
  </w:style>
  <w:style w:type="character" w:customStyle="1" w:styleId="332">
    <w:name w:val="文档结构图 Char1"/>
    <w:uiPriority w:val="0"/>
    <w:rPr>
      <w:rFonts w:ascii="宋体"/>
      <w:kern w:val="2"/>
      <w:sz w:val="18"/>
      <w:szCs w:val="18"/>
    </w:rPr>
  </w:style>
  <w:style w:type="character" w:styleId="333">
    <w:name w:val=""/>
    <w:qFormat/>
    <w:uiPriority w:val="0"/>
    <w:rPr>
      <w:i/>
      <w:iCs/>
      <w:color w:val="808080"/>
    </w:rPr>
  </w:style>
  <w:style w:type="character" w:customStyle="1" w:styleId="334">
    <w:name w:val="font51"/>
    <w:qFormat/>
    <w:uiPriority w:val="0"/>
    <w:rPr>
      <w:rFonts w:hint="eastAsia" w:ascii="宋体" w:hAnsi="宋体" w:eastAsia="宋体" w:cs="宋体"/>
      <w:color w:val="000000"/>
      <w:sz w:val="22"/>
      <w:szCs w:val="22"/>
      <w:u w:val="none"/>
    </w:rPr>
  </w:style>
  <w:style w:type="character" w:customStyle="1" w:styleId="335">
    <w:name w:val="标题6 Char"/>
    <w:link w:val="336"/>
    <w:locked/>
    <w:uiPriority w:val="0"/>
    <w:rPr>
      <w:rFonts w:ascii="Arial" w:hAnsi="Arial" w:eastAsia="黑体" w:cs="宋体"/>
      <w:b/>
      <w:bCs/>
      <w:kern w:val="2"/>
      <w:sz w:val="24"/>
      <w:lang w:val="en-US" w:eastAsia="zh-CN" w:bidi="ar-SA"/>
    </w:rPr>
  </w:style>
  <w:style w:type="paragraph" w:customStyle="1" w:styleId="336">
    <w:name w:val="标题6"/>
    <w:basedOn w:val="8"/>
    <w:next w:val="1"/>
    <w:link w:val="335"/>
    <w:uiPriority w:val="0"/>
    <w:pPr>
      <w:keepLines/>
      <w:numPr>
        <w:ilvl w:val="5"/>
        <w:numId w:val="0"/>
      </w:numPr>
      <w:autoSpaceDE/>
      <w:autoSpaceDN/>
      <w:adjustRightInd/>
      <w:spacing w:before="240" w:beforeLines="0" w:after="64" w:afterLines="0" w:line="320" w:lineRule="auto"/>
      <w:jc w:val="both"/>
    </w:pPr>
    <w:rPr>
      <w:rFonts w:ascii="Arial" w:hAnsi="Arial" w:eastAsia="黑体" w:cs="宋体"/>
      <w:b/>
      <w:bCs/>
      <w:kern w:val="2"/>
      <w:sz w:val="24"/>
      <w:lang w:val="en-US" w:eastAsia="zh-CN"/>
    </w:rPr>
  </w:style>
  <w:style w:type="character" w:customStyle="1" w:styleId="337">
    <w:name w:val="标题 2 Char1"/>
    <w:uiPriority w:val="9"/>
    <w:rPr>
      <w:rFonts w:ascii="Arial" w:hAnsi="Arial"/>
      <w:b/>
      <w:kern w:val="2"/>
      <w:sz w:val="28"/>
    </w:rPr>
  </w:style>
  <w:style w:type="character" w:customStyle="1" w:styleId="338">
    <w:name w:val="h31"/>
    <w:uiPriority w:val="0"/>
    <w:rPr>
      <w:spacing w:val="314"/>
      <w:sz w:val="20"/>
      <w:szCs w:val="20"/>
    </w:rPr>
  </w:style>
  <w:style w:type="character" w:customStyle="1" w:styleId="339">
    <w:name w:val="样式1 Char Char"/>
    <w:link w:val="340"/>
    <w:locked/>
    <w:uiPriority w:val="0"/>
    <w:rPr>
      <w:rFonts w:ascii="宋体" w:hAnsi="宋体"/>
      <w:sz w:val="21"/>
    </w:rPr>
  </w:style>
  <w:style w:type="paragraph" w:customStyle="1" w:styleId="340">
    <w:name w:val="样式1"/>
    <w:basedOn w:val="1"/>
    <w:link w:val="339"/>
    <w:qFormat/>
    <w:uiPriority w:val="0"/>
    <w:pPr>
      <w:tabs>
        <w:tab w:val="left" w:pos="709"/>
      </w:tabs>
      <w:adjustRightInd w:val="0"/>
      <w:ind w:left="709" w:hanging="709"/>
      <w:textAlignment w:val="baseline"/>
    </w:pPr>
    <w:rPr>
      <w:rFonts w:ascii="宋体" w:hAnsi="宋体"/>
      <w:kern w:val="0"/>
    </w:rPr>
  </w:style>
  <w:style w:type="character" w:customStyle="1" w:styleId="341">
    <w:name w:val="Subtitle Char2"/>
    <w:locked/>
    <w:uiPriority w:val="0"/>
    <w:rPr>
      <w:rFonts w:ascii="Cambria" w:hAnsi="Cambria" w:eastAsia="宋体" w:cs="Times New Roman"/>
      <w:b/>
      <w:bCs/>
      <w:kern w:val="28"/>
      <w:sz w:val="32"/>
      <w:szCs w:val="32"/>
    </w:rPr>
  </w:style>
  <w:style w:type="character" w:customStyle="1" w:styleId="342">
    <w:name w:val=" Char Char16"/>
    <w:uiPriority w:val="0"/>
    <w:rPr>
      <w:rFonts w:ascii="Arial" w:hAnsi="Arial" w:eastAsia="黑体"/>
      <w:b/>
      <w:bCs/>
      <w:kern w:val="2"/>
      <w:sz w:val="32"/>
      <w:szCs w:val="32"/>
      <w:lang w:val="en-US" w:eastAsia="zh-CN" w:bidi="ar-SA"/>
    </w:rPr>
  </w:style>
  <w:style w:type="character" w:customStyle="1" w:styleId="343">
    <w:name w:val="style"/>
    <w:uiPriority w:val="0"/>
  </w:style>
  <w:style w:type="character" w:customStyle="1" w:styleId="344">
    <w:name w:val="style111"/>
    <w:uiPriority w:val="0"/>
    <w:rPr>
      <w:color w:val="0000FF"/>
    </w:rPr>
  </w:style>
  <w:style w:type="character" w:customStyle="1" w:styleId="345">
    <w:name w:val="font011"/>
    <w:uiPriority w:val="0"/>
    <w:rPr>
      <w:b/>
      <w:bCs/>
      <w:color w:val="0C5697"/>
    </w:rPr>
  </w:style>
  <w:style w:type="character" w:customStyle="1" w:styleId="346">
    <w:name w:val="正文文本 Char"/>
    <w:uiPriority w:val="0"/>
    <w:rPr>
      <w:kern w:val="2"/>
      <w:sz w:val="21"/>
      <w:szCs w:val="24"/>
    </w:rPr>
  </w:style>
  <w:style w:type="paragraph" w:customStyle="1" w:styleId="347">
    <w:name w:val="xl90"/>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348">
    <w:name w:val="xl2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49">
    <w:name w:val="表格文字"/>
    <w:basedOn w:val="1"/>
    <w:uiPriority w:val="0"/>
    <w:pPr>
      <w:adjustRightInd w:val="0"/>
      <w:spacing w:line="420" w:lineRule="atLeast"/>
      <w:jc w:val="left"/>
      <w:textAlignment w:val="baseline"/>
    </w:pPr>
    <w:rPr>
      <w:kern w:val="0"/>
    </w:rPr>
  </w:style>
  <w:style w:type="paragraph" w:customStyle="1" w:styleId="350">
    <w:name w:val="eng"/>
    <w:basedOn w:val="1"/>
    <w:uiPriority w:val="0"/>
    <w:pPr>
      <w:widowControl/>
      <w:spacing w:before="100" w:beforeAutospacing="1" w:after="100" w:afterAutospacing="1"/>
      <w:jc w:val="left"/>
    </w:pPr>
    <w:rPr>
      <w:rFonts w:ascii="Verdana" w:hAnsi="Verdana"/>
      <w:color w:val="FFFFFF"/>
      <w:kern w:val="0"/>
      <w:sz w:val="18"/>
    </w:rPr>
  </w:style>
  <w:style w:type="paragraph" w:customStyle="1" w:styleId="351">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352">
    <w:name w:val="Char12"/>
    <w:basedOn w:val="1"/>
    <w:uiPriority w:val="0"/>
    <w:rPr>
      <w:rFonts w:ascii="Tahoma" w:hAnsi="Tahoma"/>
      <w:sz w:val="24"/>
    </w:rPr>
  </w:style>
  <w:style w:type="paragraph" w:customStyle="1" w:styleId="353">
    <w:name w:val="SUR-需求定义-第4级"/>
    <w:basedOn w:val="6"/>
    <w:next w:val="1"/>
    <w:uiPriority w:val="0"/>
    <w:pPr>
      <w:numPr>
        <w:ilvl w:val="3"/>
        <w:numId w:val="1"/>
      </w:numPr>
      <w:tabs>
        <w:tab w:val="left" w:pos="1080"/>
        <w:tab w:val="clear" w:pos="2934"/>
      </w:tabs>
      <w:spacing w:before="0" w:after="0"/>
      <w:ind w:left="-283" w:firstLine="283"/>
      <w:jc w:val="left"/>
    </w:pPr>
    <w:rPr>
      <w:rFonts w:cs="Arial"/>
      <w:b w:val="0"/>
      <w:color w:val="0000FF"/>
      <w:sz w:val="24"/>
      <w:szCs w:val="24"/>
    </w:rPr>
  </w:style>
  <w:style w:type="paragraph" w:customStyle="1" w:styleId="354">
    <w:name w:val="Char Char Char Char Char Char1 Char Char"/>
    <w:basedOn w:val="1"/>
    <w:uiPriority w:val="0"/>
    <w:pPr>
      <w:widowControl/>
      <w:spacing w:after="160" w:line="240" w:lineRule="exact"/>
      <w:ind w:left="264" w:firstLine="280"/>
      <w:jc w:val="left"/>
    </w:pPr>
    <w:rPr>
      <w:rFonts w:ascii="Calibri" w:hAnsi="Calibri" w:cs="Droid Sans"/>
      <w:b/>
      <w:kern w:val="0"/>
      <w:sz w:val="24"/>
      <w:lang w:eastAsia="en-US"/>
    </w:rPr>
  </w:style>
  <w:style w:type="paragraph" w:customStyle="1" w:styleId="355">
    <w:name w:val="p22"/>
    <w:basedOn w:val="1"/>
    <w:uiPriority w:val="0"/>
    <w:pPr>
      <w:widowControl/>
      <w:spacing w:before="240" w:after="60"/>
      <w:jc w:val="center"/>
    </w:pPr>
    <w:rPr>
      <w:rFonts w:ascii="Cambria" w:hAnsi="Cambria" w:cs="宋体"/>
      <w:b/>
      <w:bCs/>
      <w:kern w:val="0"/>
      <w:sz w:val="32"/>
      <w:szCs w:val="32"/>
    </w:rPr>
  </w:style>
  <w:style w:type="paragraph" w:customStyle="1" w:styleId="356">
    <w:name w:val="Normal (Web)"/>
    <w:basedOn w:val="1"/>
    <w:uiPriority w:val="0"/>
    <w:pPr>
      <w:widowControl/>
      <w:spacing w:before="75" w:after="75" w:line="432" w:lineRule="auto"/>
    </w:pPr>
    <w:rPr>
      <w:rFonts w:eastAsia="Times New Roman"/>
      <w:kern w:val="0"/>
      <w:sz w:val="24"/>
      <w:szCs w:val="24"/>
    </w:rPr>
  </w:style>
  <w:style w:type="paragraph" w:customStyle="1" w:styleId="357">
    <w:name w:val="about_main1"/>
    <w:basedOn w:val="1"/>
    <w:uiPriority w:val="0"/>
    <w:pPr>
      <w:widowControl/>
      <w:spacing w:before="24" w:after="100" w:afterAutospacing="1"/>
      <w:jc w:val="left"/>
    </w:pPr>
    <w:rPr>
      <w:rFonts w:ascii="宋体" w:hAnsi="宋体" w:eastAsia="宋体" w:cs="宋体"/>
      <w:kern w:val="0"/>
      <w:sz w:val="24"/>
      <w:szCs w:val="24"/>
    </w:rPr>
  </w:style>
  <w:style w:type="paragraph" w:customStyle="1" w:styleId="358">
    <w:name w:val=" Char Char Char Char Char Char Char Char Char Char Char Char Char Char Char Char"/>
    <w:basedOn w:val="1"/>
    <w:uiPriority w:val="0"/>
    <w:pPr>
      <w:tabs>
        <w:tab w:val="left" w:pos="360"/>
      </w:tabs>
      <w:spacing w:line="360" w:lineRule="auto"/>
      <w:ind w:left="482" w:firstLine="200" w:firstLineChars="200"/>
    </w:pPr>
    <w:rPr>
      <w:rFonts w:ascii="宋体"/>
      <w:sz w:val="24"/>
      <w:szCs w:val="24"/>
    </w:rPr>
  </w:style>
  <w:style w:type="paragraph" w:customStyle="1" w:styleId="359">
    <w:name w:val="xl2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360">
    <w:name w:val="Char Char1 Char Char Char Char Char Char"/>
    <w:basedOn w:val="1"/>
    <w:uiPriority w:val="0"/>
    <w:pPr>
      <w:widowControl/>
      <w:adjustRightInd w:val="0"/>
      <w:snapToGrid w:val="0"/>
      <w:spacing w:line="360" w:lineRule="auto"/>
      <w:ind w:firstLine="601"/>
    </w:pPr>
    <w:rPr>
      <w:rFonts w:ascii="宋体" w:hAnsi="宋体"/>
      <w:color w:val="000000"/>
      <w:kern w:val="0"/>
      <w:sz w:val="24"/>
    </w:rPr>
  </w:style>
  <w:style w:type="paragraph" w:customStyle="1" w:styleId="361">
    <w:name w:val="条1"/>
    <w:basedOn w:val="1"/>
    <w:next w:val="362"/>
    <w:uiPriority w:val="0"/>
    <w:pPr>
      <w:numPr>
        <w:ilvl w:val="1"/>
        <w:numId w:val="6"/>
      </w:numPr>
      <w:tabs>
        <w:tab w:val="left" w:pos="810"/>
      </w:tabs>
      <w:outlineLvl w:val="1"/>
    </w:pPr>
    <w:rPr>
      <w:rFonts w:ascii="黑体" w:eastAsia="黑体"/>
      <w:kern w:val="21"/>
    </w:rPr>
  </w:style>
  <w:style w:type="paragraph" w:customStyle="1" w:styleId="362">
    <w:name w:val="段"/>
    <w:uiPriority w:val="0"/>
    <w:pPr>
      <w:autoSpaceDE w:val="0"/>
      <w:autoSpaceDN w:val="0"/>
      <w:ind w:firstLine="200" w:firstLineChars="200"/>
      <w:jc w:val="both"/>
    </w:pPr>
    <w:rPr>
      <w:rFonts w:ascii="宋体"/>
      <w:sz w:val="21"/>
      <w:lang w:val="en-US" w:eastAsia="zh-CN" w:bidi="ar-SA"/>
    </w:rPr>
  </w:style>
  <w:style w:type="paragraph" w:customStyle="1" w:styleId="363">
    <w:name w:val="Table Heading"/>
    <w:basedOn w:val="364"/>
    <w:uiPriority w:val="0"/>
    <w:pPr>
      <w:jc w:val="center"/>
    </w:pPr>
    <w:rPr>
      <w:b/>
      <w:bCs/>
      <w:i/>
      <w:iCs/>
    </w:rPr>
  </w:style>
  <w:style w:type="paragraph" w:customStyle="1" w:styleId="364">
    <w:name w:val="Table Contents"/>
    <w:basedOn w:val="2"/>
    <w:uiPriority w:val="0"/>
    <w:pPr>
      <w:suppressLineNumbers/>
      <w:suppressAutoHyphens/>
      <w:spacing w:after="120"/>
      <w:jc w:val="left"/>
    </w:pPr>
    <w:rPr>
      <w:rFonts w:ascii="Times New Roman" w:hAnsi="Times New Roman" w:eastAsia="PMingLiU"/>
      <w:kern w:val="0"/>
      <w:sz w:val="24"/>
      <w:szCs w:val="24"/>
    </w:rPr>
  </w:style>
  <w:style w:type="paragraph" w:customStyle="1" w:styleId="36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2"/>
      <w:szCs w:val="22"/>
    </w:rPr>
  </w:style>
  <w:style w:type="paragraph" w:customStyle="1" w:styleId="366">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367">
    <w:name w:val="xl93"/>
    <w:basedOn w:val="1"/>
    <w:uiPriority w:val="0"/>
    <w:pPr>
      <w:widowControl/>
      <w:pBdr>
        <w:bottom w:val="single" w:color="auto" w:sz="4" w:space="0"/>
      </w:pBdr>
      <w:shd w:val="clear" w:color="auto" w:fill="FFFFFF"/>
      <w:spacing w:before="100" w:beforeAutospacing="1" w:after="100" w:afterAutospacing="1"/>
      <w:jc w:val="center"/>
    </w:pPr>
    <w:rPr>
      <w:rFonts w:ascii="宋体" w:hAnsi="宋体" w:cs="宋体"/>
      <w:b/>
      <w:bCs/>
      <w:color w:val="000000"/>
      <w:kern w:val="0"/>
      <w:sz w:val="28"/>
      <w:szCs w:val="28"/>
    </w:rPr>
  </w:style>
  <w:style w:type="paragraph" w:customStyle="1" w:styleId="368">
    <w:name w:val="标题9"/>
    <w:basedOn w:val="11"/>
    <w:next w:val="1"/>
    <w:uiPriority w:val="0"/>
    <w:pPr>
      <w:numPr>
        <w:ilvl w:val="8"/>
        <w:numId w:val="0"/>
      </w:numPr>
      <w:tabs>
        <w:tab w:val="clear" w:pos="1584"/>
      </w:tabs>
    </w:pPr>
    <w:rPr>
      <w:rFonts w:ascii="Cambria" w:hAnsi="Cambria" w:eastAsia="宋体"/>
      <w:lang w:eastAsia="en-US"/>
    </w:rPr>
  </w:style>
  <w:style w:type="paragraph" w:customStyle="1" w:styleId="369">
    <w:name w:val=" Char Char Char Char Char Char Char"/>
    <w:basedOn w:val="1"/>
    <w:uiPriority w:val="0"/>
    <w:rPr>
      <w:szCs w:val="24"/>
    </w:rPr>
  </w:style>
  <w:style w:type="paragraph" w:customStyle="1" w:styleId="370">
    <w:name w:val="D标2"/>
    <w:basedOn w:val="4"/>
    <w:uiPriority w:val="0"/>
    <w:pPr>
      <w:keepLines w:val="0"/>
      <w:widowControl/>
      <w:tabs>
        <w:tab w:val="left" w:pos="425"/>
        <w:tab w:val="left" w:pos="810"/>
        <w:tab w:val="left" w:pos="1140"/>
      </w:tabs>
      <w:autoSpaceDE w:val="0"/>
      <w:autoSpaceDN w:val="0"/>
      <w:adjustRightInd w:val="0"/>
      <w:spacing w:before="360" w:after="0" w:line="480" w:lineRule="exact"/>
      <w:ind w:left="810" w:hanging="810"/>
      <w:jc w:val="left"/>
    </w:pPr>
    <w:rPr>
      <w:rFonts w:eastAsia="宋体" w:cs="Droid Sans"/>
      <w:bCs w:val="0"/>
      <w:kern w:val="0"/>
      <w:sz w:val="28"/>
      <w:szCs w:val="20"/>
    </w:rPr>
  </w:style>
  <w:style w:type="paragraph" w:customStyle="1" w:styleId="37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372">
    <w:name w:val="Char Char Char Char1"/>
    <w:basedOn w:val="1"/>
    <w:uiPriority w:val="0"/>
    <w:rPr>
      <w:rFonts w:ascii="Tahoma" w:hAnsi="Tahoma"/>
      <w:sz w:val="24"/>
    </w:rPr>
  </w:style>
  <w:style w:type="paragraph" w:customStyle="1" w:styleId="373">
    <w:name w:val="样式 首行缩进:  2 字符"/>
    <w:basedOn w:val="1"/>
    <w:uiPriority w:val="0"/>
    <w:pPr>
      <w:spacing w:line="400" w:lineRule="exact"/>
      <w:ind w:firstLine="200" w:firstLineChars="200"/>
    </w:pPr>
    <w:rPr>
      <w:rFonts w:cs="宋体"/>
      <w:sz w:val="24"/>
      <w:szCs w:val="24"/>
    </w:rPr>
  </w:style>
  <w:style w:type="paragraph" w:customStyle="1" w:styleId="374">
    <w:name w:val="Char Char Char Char Char Char Char"/>
    <w:basedOn w:val="1"/>
    <w:uiPriority w:val="0"/>
    <w:pPr>
      <w:spacing w:line="380" w:lineRule="exact"/>
      <w:ind w:firstLine="200" w:firstLineChars="200"/>
    </w:pPr>
    <w:rPr>
      <w:szCs w:val="24"/>
    </w:rPr>
  </w:style>
  <w:style w:type="paragraph" w:customStyle="1" w:styleId="375">
    <w:name w:val="CM51"/>
    <w:basedOn w:val="115"/>
    <w:next w:val="115"/>
    <w:uiPriority w:val="0"/>
    <w:pPr>
      <w:spacing w:after="103"/>
    </w:pPr>
    <w:rPr>
      <w:rFonts w:ascii="黑体" w:hAnsi="Calibri" w:eastAsia="黑体" w:cs="Times New Roman"/>
      <w:color w:val="auto"/>
      <w:szCs w:val="22"/>
    </w:rPr>
  </w:style>
  <w:style w:type="paragraph" w:customStyle="1" w:styleId="376">
    <w:name w:val="xl84"/>
    <w:basedOn w:val="1"/>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377">
    <w:name w:val="Date"/>
    <w:basedOn w:val="1"/>
    <w:next w:val="1"/>
    <w:uiPriority w:val="0"/>
    <w:pPr>
      <w:ind w:left="100" w:leftChars="2500"/>
    </w:pPr>
    <w:rPr>
      <w:sz w:val="24"/>
    </w:rPr>
  </w:style>
  <w:style w:type="paragraph" w:customStyle="1" w:styleId="378">
    <w:name w:val="xl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4"/>
      <w:szCs w:val="24"/>
    </w:rPr>
  </w:style>
  <w:style w:type="paragraph" w:customStyle="1" w:styleId="379">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80">
    <w:name w:val=" Char2"/>
    <w:basedOn w:val="1"/>
    <w:uiPriority w:val="0"/>
    <w:pPr>
      <w:widowControl/>
      <w:spacing w:after="160" w:line="240" w:lineRule="exact"/>
      <w:jc w:val="left"/>
    </w:pPr>
    <w:rPr>
      <w:rFonts w:ascii="Calibri" w:hAnsi="Calibri" w:eastAsia="Verdana" w:cs="Droid Sans"/>
      <w:kern w:val="0"/>
      <w:sz w:val="20"/>
      <w:lang w:eastAsia="en-US"/>
    </w:rPr>
  </w:style>
  <w:style w:type="paragraph" w:customStyle="1" w:styleId="381">
    <w:name w:val="规范"/>
    <w:basedOn w:val="1"/>
    <w:next w:val="1"/>
    <w:uiPriority w:val="0"/>
    <w:pPr>
      <w:numPr>
        <w:ilvl w:val="0"/>
        <w:numId w:val="7"/>
      </w:numPr>
      <w:spacing w:line="288" w:lineRule="auto"/>
      <w:ind w:firstLine="0"/>
      <w:jc w:val="left"/>
    </w:pPr>
    <w:rPr>
      <w:sz w:val="24"/>
      <w:szCs w:val="24"/>
    </w:rPr>
  </w:style>
  <w:style w:type="paragraph" w:customStyle="1" w:styleId="382">
    <w:name w:val="xl246"/>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83">
    <w:name w:val="章标题"/>
    <w:next w:val="362"/>
    <w:uiPriority w:val="0"/>
    <w:pPr>
      <w:spacing w:before="50" w:after="50"/>
      <w:jc w:val="both"/>
      <w:outlineLvl w:val="1"/>
    </w:pPr>
    <w:rPr>
      <w:rFonts w:ascii="黑体" w:eastAsia="黑体"/>
      <w:sz w:val="21"/>
      <w:lang w:val="en-US" w:eastAsia="zh-CN" w:bidi="ar-SA"/>
    </w:rPr>
  </w:style>
  <w:style w:type="paragraph" w:customStyle="1" w:styleId="384">
    <w:name w:val="1.1.1"/>
    <w:basedOn w:val="1"/>
    <w:uiPriority w:val="0"/>
    <w:pPr>
      <w:tabs>
        <w:tab w:val="left" w:pos="0"/>
        <w:tab w:val="left" w:pos="1134"/>
        <w:tab w:val="left" w:pos="8505"/>
      </w:tabs>
      <w:autoSpaceDE w:val="0"/>
      <w:autoSpaceDN w:val="0"/>
      <w:adjustRightInd w:val="0"/>
      <w:spacing w:before="240" w:after="60" w:line="360" w:lineRule="atLeast"/>
    </w:pPr>
    <w:rPr>
      <w:rFonts w:ascii="宋体"/>
      <w:b/>
      <w:kern w:val="0"/>
      <w:sz w:val="24"/>
    </w:rPr>
  </w:style>
  <w:style w:type="paragraph" w:customStyle="1" w:styleId="385">
    <w:name w:val="TOC Heading"/>
    <w:basedOn w:val="3"/>
    <w:next w:val="1"/>
    <w:uiPriority w:val="0"/>
    <w:pPr>
      <w:spacing w:after="260" w:line="360" w:lineRule="auto"/>
      <w:outlineLvl w:val="9"/>
    </w:pPr>
    <w:rPr>
      <w:rFonts w:ascii="Calibri" w:hAnsi="Calibri"/>
      <w:sz w:val="32"/>
    </w:rPr>
  </w:style>
  <w:style w:type="paragraph" w:customStyle="1" w:styleId="386">
    <w:name w:val="标题2级"/>
    <w:basedOn w:val="148"/>
    <w:uiPriority w:val="0"/>
    <w:pPr>
      <w:ind w:left="360" w:firstLine="0" w:firstLineChars="0"/>
      <w:outlineLvl w:val="0"/>
    </w:pPr>
    <w:rPr>
      <w:rFonts w:ascii="Calibri" w:hAnsi="Calibri"/>
      <w:b/>
      <w:sz w:val="30"/>
      <w:szCs w:val="30"/>
    </w:rPr>
  </w:style>
  <w:style w:type="paragraph" w:customStyle="1" w:styleId="387">
    <w:name w:val="元正正文标题2"/>
    <w:basedOn w:val="6"/>
    <w:uiPriority w:val="0"/>
    <w:pPr>
      <w:keepNext w:val="0"/>
      <w:keepLines w:val="0"/>
      <w:adjustRightInd w:val="0"/>
      <w:snapToGrid w:val="0"/>
      <w:spacing w:before="0" w:after="0" w:line="360" w:lineRule="auto"/>
      <w:jc w:val="center"/>
      <w:outlineLvl w:val="9"/>
    </w:pPr>
    <w:rPr>
      <w:rFonts w:ascii="Calibri" w:hAnsi="Calibri" w:eastAsia="宋体" w:cs="Droid Sans"/>
      <w:bCs w:val="0"/>
      <w:sz w:val="32"/>
      <w:szCs w:val="20"/>
    </w:rPr>
  </w:style>
  <w:style w:type="paragraph" w:customStyle="1" w:styleId="388">
    <w:name w:val="无间距"/>
    <w:basedOn w:val="1"/>
    <w:uiPriority w:val="0"/>
    <w:rPr>
      <w:szCs w:val="22"/>
    </w:rPr>
  </w:style>
  <w:style w:type="paragraph" w:customStyle="1" w:styleId="389">
    <w:name w:val=" Char1"/>
    <w:basedOn w:val="1"/>
    <w:uiPriority w:val="0"/>
    <w:rPr>
      <w:rFonts w:ascii="MS Mincho" w:hAnsi="MS Mincho" w:cs="Droid Sans"/>
      <w:sz w:val="24"/>
    </w:rPr>
  </w:style>
  <w:style w:type="paragraph" w:customStyle="1" w:styleId="390">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391">
    <w:name w:val="xl262"/>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92">
    <w:name w:val="GP正文(首行缩进)"/>
    <w:basedOn w:val="1"/>
    <w:uiPriority w:val="0"/>
    <w:pPr>
      <w:spacing w:line="360" w:lineRule="auto"/>
      <w:ind w:firstLine="480" w:firstLineChars="200"/>
      <w:jc w:val="left"/>
    </w:pPr>
    <w:rPr>
      <w:rFonts w:hAnsi="宋体"/>
      <w:sz w:val="24"/>
      <w:szCs w:val="24"/>
    </w:rPr>
  </w:style>
  <w:style w:type="paragraph" w:customStyle="1" w:styleId="393">
    <w:name w:val="普通(Web)2"/>
    <w:basedOn w:val="1"/>
    <w:uiPriority w:val="0"/>
    <w:pPr>
      <w:widowControl/>
      <w:spacing w:before="88" w:after="100" w:afterAutospacing="1" w:line="316" w:lineRule="atLeast"/>
      <w:jc w:val="left"/>
    </w:pPr>
    <w:rPr>
      <w:rFonts w:ascii="宋体" w:hAnsi="宋体" w:cs="宋体"/>
      <w:kern w:val="0"/>
      <w:sz w:val="23"/>
      <w:szCs w:val="23"/>
    </w:rPr>
  </w:style>
  <w:style w:type="paragraph" w:customStyle="1" w:styleId="394">
    <w:name w:val="Default Paragraph Char Char Char Char"/>
    <w:basedOn w:val="1"/>
    <w:next w:val="1"/>
    <w:uiPriority w:val="0"/>
    <w:pPr>
      <w:widowControl/>
      <w:spacing w:line="360" w:lineRule="auto"/>
      <w:jc w:val="left"/>
    </w:pPr>
    <w:rPr>
      <w:kern w:val="0"/>
      <w:lang w:eastAsia="en-US"/>
    </w:rPr>
  </w:style>
  <w:style w:type="paragraph" w:customStyle="1" w:styleId="395">
    <w:name w:val="样式 标题 7 +"/>
    <w:basedOn w:val="9"/>
    <w:uiPriority w:val="0"/>
    <w:pPr>
      <w:numPr>
        <w:ilvl w:val="6"/>
        <w:numId w:val="0"/>
      </w:numPr>
      <w:spacing w:before="120" w:line="360" w:lineRule="auto"/>
      <w:ind w:right="0" w:rightChars="0"/>
      <w:jc w:val="center"/>
    </w:pPr>
    <w:rPr>
      <w:rFonts w:eastAsia="宋体" w:cs="宋体"/>
      <w:spacing w:val="0"/>
      <w:lang w:eastAsia="en-US"/>
    </w:rPr>
  </w:style>
  <w:style w:type="paragraph" w:customStyle="1" w:styleId="396">
    <w:name w:val="文章正文"/>
    <w:basedOn w:val="1"/>
    <w:uiPriority w:val="0"/>
    <w:pPr>
      <w:numPr>
        <w:ilvl w:val="1"/>
        <w:numId w:val="8"/>
      </w:numPr>
      <w:spacing w:before="156" w:beforeLines="50" w:after="156" w:afterLines="50" w:line="320" w:lineRule="exact"/>
      <w:ind w:left="0" w:firstLine="200" w:firstLineChars="200"/>
    </w:pPr>
    <w:rPr>
      <w:rFonts w:ascii="仿宋_GB2312" w:eastAsia="仿宋_GB2312"/>
      <w:sz w:val="28"/>
      <w:szCs w:val="24"/>
    </w:rPr>
  </w:style>
  <w:style w:type="paragraph" w:customStyle="1" w:styleId="397">
    <w:name w:val="xl24"/>
    <w:basedOn w:val="1"/>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398">
    <w:name w:val="Char Char Char Char Char Char Char Char Char Char Char Char Char Char Char Char"/>
    <w:basedOn w:val="1"/>
    <w:uiPriority w:val="0"/>
    <w:pPr>
      <w:snapToGrid w:val="0"/>
      <w:spacing w:line="360" w:lineRule="auto"/>
      <w:ind w:firstLine="200" w:firstLineChars="200"/>
    </w:pPr>
    <w:rPr>
      <w:rFonts w:ascii="Tahoma" w:hAnsi="Tahoma" w:cs="宋体"/>
      <w:sz w:val="28"/>
      <w:szCs w:val="28"/>
    </w:rPr>
  </w:style>
  <w:style w:type="paragraph" w:customStyle="1" w:styleId="399">
    <w:name w:val="cjk"/>
    <w:basedOn w:val="1"/>
    <w:uiPriority w:val="99"/>
    <w:pPr>
      <w:widowControl/>
      <w:spacing w:before="100" w:beforeAutospacing="1" w:after="100" w:afterAutospacing="1"/>
      <w:jc w:val="left"/>
    </w:pPr>
    <w:rPr>
      <w:rFonts w:ascii="宋体" w:hAnsi="宋体" w:cs="宋体"/>
      <w:kern w:val="0"/>
      <w:sz w:val="18"/>
      <w:szCs w:val="18"/>
      <w:u w:val="none" w:color="000000"/>
    </w:rPr>
  </w:style>
  <w:style w:type="paragraph" w:customStyle="1" w:styleId="400">
    <w:name w:val="D标3"/>
    <w:basedOn w:val="5"/>
    <w:uiPriority w:val="0"/>
    <w:pPr>
      <w:keepNext w:val="0"/>
      <w:keepLines w:val="0"/>
      <w:tabs>
        <w:tab w:val="left" w:pos="1140"/>
      </w:tabs>
      <w:autoSpaceDE w:val="0"/>
      <w:autoSpaceDN w:val="0"/>
      <w:adjustRightInd w:val="0"/>
      <w:snapToGrid w:val="0"/>
      <w:spacing w:before="120" w:after="0" w:line="480" w:lineRule="atLeast"/>
      <w:jc w:val="both"/>
    </w:pPr>
    <w:rPr>
      <w:rFonts w:ascii="Calibri" w:hAnsi="Calibri" w:cs="Droid Sans"/>
      <w:b w:val="0"/>
      <w:bCs w:val="0"/>
      <w:kern w:val="0"/>
      <w:sz w:val="24"/>
      <w:szCs w:val="20"/>
    </w:rPr>
  </w:style>
  <w:style w:type="paragraph" w:customStyle="1" w:styleId="401">
    <w:name w:val="xl25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02">
    <w:name w:val="文档正文"/>
    <w:basedOn w:val="1"/>
    <w:uiPriority w:val="0"/>
    <w:pPr>
      <w:adjustRightInd w:val="0"/>
      <w:spacing w:line="480" w:lineRule="atLeast"/>
      <w:ind w:firstLine="567"/>
      <w:textAlignment w:val="baseline"/>
    </w:pPr>
    <w:rPr>
      <w:rFonts w:ascii="仿宋_GB2312" w:eastAsia="仿宋_GB2312"/>
      <w:kern w:val="0"/>
      <w:sz w:val="28"/>
    </w:rPr>
  </w:style>
  <w:style w:type="paragraph" w:customStyle="1" w:styleId="403">
    <w:name w:val="文字"/>
    <w:basedOn w:val="1"/>
    <w:uiPriority w:val="0"/>
    <w:pPr>
      <w:tabs>
        <w:tab w:val="left" w:pos="8520"/>
      </w:tabs>
      <w:spacing w:line="312" w:lineRule="auto"/>
      <w:ind w:right="-210" w:firstLine="556"/>
    </w:pPr>
    <w:rPr>
      <w:rFonts w:ascii="Calibri" w:hAnsi="Calibri" w:eastAsia="Calibri" w:cs="Droid Sans"/>
      <w:sz w:val="28"/>
    </w:rPr>
  </w:style>
  <w:style w:type="paragraph" w:customStyle="1" w:styleId="404">
    <w:name w:val="6'"/>
    <w:basedOn w:val="1"/>
    <w:uiPriority w:val="0"/>
    <w:pPr>
      <w:autoSpaceDE w:val="0"/>
      <w:autoSpaceDN w:val="0"/>
      <w:adjustRightInd w:val="0"/>
      <w:snapToGrid w:val="0"/>
      <w:spacing w:line="320" w:lineRule="exact"/>
      <w:jc w:val="center"/>
      <w:textAlignment w:val="baseline"/>
    </w:pPr>
    <w:rPr>
      <w:spacing w:val="20"/>
      <w:kern w:val="28"/>
    </w:rPr>
  </w:style>
  <w:style w:type="paragraph" w:customStyle="1" w:styleId="405">
    <w:name w:val="p1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6">
    <w:name w:val="一级标题"/>
    <w:basedOn w:val="1"/>
    <w:next w:val="407"/>
    <w:uiPriority w:val="0"/>
    <w:pPr>
      <w:numPr>
        <w:ilvl w:val="2"/>
        <w:numId w:val="8"/>
      </w:numPr>
      <w:tabs>
        <w:tab w:val="left" w:pos="425"/>
      </w:tabs>
      <w:spacing w:after="312" w:afterLines="100"/>
      <w:ind w:left="850" w:hanging="425"/>
      <w:outlineLvl w:val="0"/>
    </w:pPr>
    <w:rPr>
      <w:rFonts w:ascii="黑体" w:eastAsia="黑体"/>
      <w:sz w:val="30"/>
      <w:szCs w:val="28"/>
    </w:rPr>
  </w:style>
  <w:style w:type="paragraph" w:customStyle="1" w:styleId="407">
    <w:name w:val="二级标题"/>
    <w:basedOn w:val="1"/>
    <w:next w:val="396"/>
    <w:uiPriority w:val="0"/>
    <w:pPr>
      <w:tabs>
        <w:tab w:val="left" w:pos="992"/>
      </w:tabs>
      <w:ind w:left="992" w:hanging="567"/>
      <w:outlineLvl w:val="1"/>
    </w:pPr>
    <w:rPr>
      <w:rFonts w:ascii="黑体" w:eastAsia="黑体"/>
      <w:sz w:val="28"/>
      <w:szCs w:val="24"/>
    </w:rPr>
  </w:style>
  <w:style w:type="paragraph" w:customStyle="1" w:styleId="408">
    <w:name w:val="正文标准样式ty"/>
    <w:basedOn w:val="1"/>
    <w:uiPriority w:val="0"/>
    <w:pPr>
      <w:spacing w:line="360" w:lineRule="auto"/>
      <w:ind w:firstLine="480" w:firstLineChars="200"/>
    </w:pPr>
    <w:rPr>
      <w:rFonts w:cs="宋体"/>
      <w:sz w:val="24"/>
    </w:rPr>
  </w:style>
  <w:style w:type="paragraph" w:customStyle="1" w:styleId="409">
    <w:name w:val="xl261"/>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10">
    <w:name w:val="TOC 标题1"/>
    <w:basedOn w:val="3"/>
    <w:next w:val="1"/>
    <w:unhideWhenUsed/>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11">
    <w:name w:val="样式 标题 2 + Times New Roman 四号 非加粗 段前: 5 磅 段后: 0 磅 行距: 固定值 20..."/>
    <w:basedOn w:val="4"/>
    <w:uiPriority w:val="0"/>
    <w:pPr>
      <w:spacing w:before="100" w:after="0" w:line="400" w:lineRule="exact"/>
      <w:ind w:firstLine="0"/>
      <w:jc w:val="both"/>
    </w:pPr>
    <w:rPr>
      <w:rFonts w:ascii="Times New Roman" w:hAnsi="Times New Roman" w:eastAsia="宋体"/>
      <w:b w:val="0"/>
      <w:bCs w:val="0"/>
      <w:sz w:val="28"/>
      <w:szCs w:val="20"/>
    </w:rPr>
  </w:style>
  <w:style w:type="paragraph" w:customStyle="1" w:styleId="412">
    <w:name w:val=" Char Char10 Char"/>
    <w:basedOn w:val="1"/>
    <w:uiPriority w:val="0"/>
    <w:rPr>
      <w:szCs w:val="24"/>
    </w:rPr>
  </w:style>
  <w:style w:type="paragraph" w:customStyle="1" w:styleId="413">
    <w:name w:val="xl2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14">
    <w:name w:val="top1"/>
    <w:basedOn w:val="1"/>
    <w:uiPriority w:val="0"/>
    <w:pPr>
      <w:widowControl/>
      <w:spacing w:before="100" w:beforeAutospacing="1" w:after="100" w:afterAutospacing="1"/>
      <w:jc w:val="left"/>
    </w:pPr>
    <w:rPr>
      <w:rFonts w:ascii="ˎ̥" w:hAnsi="ˎ̥"/>
      <w:color w:val="000066"/>
      <w:kern w:val="0"/>
      <w:sz w:val="18"/>
    </w:rPr>
  </w:style>
  <w:style w:type="paragraph" w:customStyle="1" w:styleId="415">
    <w:name w:val="xl3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416">
    <w:name w:val="Pa6"/>
    <w:basedOn w:val="1"/>
    <w:next w:val="1"/>
    <w:uiPriority w:val="0"/>
    <w:pPr>
      <w:autoSpaceDE w:val="0"/>
      <w:autoSpaceDN w:val="0"/>
      <w:adjustRightInd w:val="0"/>
      <w:spacing w:line="221" w:lineRule="atLeast"/>
      <w:jc w:val="left"/>
    </w:pPr>
    <w:rPr>
      <w:rFonts w:hint="eastAsia" w:ascii="幼圆" w:hAnsi="幼圆" w:eastAsia="幼圆" w:cs="幼圆"/>
      <w:kern w:val="0"/>
      <w:sz w:val="24"/>
      <w:szCs w:val="28"/>
    </w:rPr>
  </w:style>
  <w:style w:type="paragraph" w:customStyle="1" w:styleId="417">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418">
    <w:name w:val="style22"/>
    <w:basedOn w:val="1"/>
    <w:uiPriority w:val="0"/>
    <w:pPr>
      <w:widowControl/>
      <w:spacing w:before="100" w:beforeAutospacing="1" w:after="100" w:afterAutospacing="1"/>
      <w:jc w:val="left"/>
    </w:pPr>
    <w:rPr>
      <w:rFonts w:ascii="宋体" w:hAnsi="宋体" w:eastAsia="宋体" w:cs="宋体"/>
      <w:b/>
      <w:bCs/>
      <w:color w:val="FF00FF"/>
      <w:kern w:val="0"/>
      <w:sz w:val="18"/>
      <w:szCs w:val="18"/>
    </w:rPr>
  </w:style>
  <w:style w:type="paragraph" w:customStyle="1" w:styleId="419">
    <w:name w:val="xl25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20">
    <w:name w:val="r_title"/>
    <w:basedOn w:val="1"/>
    <w:uiPriority w:val="0"/>
    <w:pPr>
      <w:widowControl/>
      <w:spacing w:before="100" w:beforeAutospacing="1" w:after="100" w:afterAutospacing="1"/>
      <w:jc w:val="left"/>
    </w:pPr>
    <w:rPr>
      <w:rFonts w:ascii="ˎ̥" w:hAnsi="ˎ̥"/>
      <w:color w:val="000000"/>
      <w:kern w:val="0"/>
      <w:sz w:val="18"/>
    </w:rPr>
  </w:style>
  <w:style w:type="paragraph" w:customStyle="1" w:styleId="421">
    <w:name w:val="默认段落字体 Para Char Char Char Char Char Char Char"/>
    <w:basedOn w:val="1"/>
    <w:uiPriority w:val="0"/>
    <w:rPr>
      <w:rFonts w:ascii="MS Mincho" w:hAnsi="MS Mincho" w:cs="Droid Sans"/>
      <w:sz w:val="24"/>
    </w:rPr>
  </w:style>
  <w:style w:type="paragraph" w:customStyle="1" w:styleId="422">
    <w:name w:val="样式 标题 5 + 宋体"/>
    <w:basedOn w:val="7"/>
    <w:uiPriority w:val="0"/>
    <w:pPr>
      <w:keepLines/>
      <w:spacing w:before="100" w:line="372" w:lineRule="auto"/>
    </w:pPr>
    <w:rPr>
      <w:rFonts w:ascii="楷体_GB2312" w:hAnsi="楷体_GB2312" w:cs="Droid Sans"/>
      <w:b/>
      <w:bCs w:val="0"/>
      <w:sz w:val="24"/>
      <w:szCs w:val="24"/>
    </w:rPr>
  </w:style>
  <w:style w:type="paragraph" w:customStyle="1" w:styleId="423">
    <w:name w:val="样式 标题 1 + 黑体 三号 非加粗 居中 段前: 6 磅 段后: 6 磅 行距: 固定值 20 磅"/>
    <w:basedOn w:val="3"/>
    <w:uiPriority w:val="0"/>
    <w:pPr>
      <w:spacing w:before="120" w:after="120" w:line="400" w:lineRule="exact"/>
      <w:jc w:val="center"/>
    </w:pPr>
    <w:rPr>
      <w:rFonts w:ascii="黑体" w:hAnsi="黑体" w:eastAsia="黑体"/>
      <w:b w:val="0"/>
      <w:bCs w:val="0"/>
      <w:sz w:val="32"/>
      <w:szCs w:val="20"/>
    </w:rPr>
  </w:style>
  <w:style w:type="paragraph" w:customStyle="1" w:styleId="424">
    <w:name w:val="xl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eastAsia="Arial Unicode MS"/>
      <w:kern w:val="0"/>
      <w:sz w:val="22"/>
      <w:szCs w:val="22"/>
    </w:rPr>
  </w:style>
  <w:style w:type="paragraph" w:customStyle="1" w:styleId="425">
    <w:name w:val="NNN Char Char Char1 Char Char Char Char Char Char"/>
    <w:basedOn w:val="1"/>
    <w:uiPriority w:val="0"/>
    <w:pPr>
      <w:tabs>
        <w:tab w:val="left" w:pos="360"/>
      </w:tabs>
    </w:pPr>
    <w:rPr>
      <w:sz w:val="24"/>
      <w:szCs w:val="24"/>
    </w:rPr>
  </w:style>
  <w:style w:type="paragraph" w:customStyle="1" w:styleId="426">
    <w:name w:val="xl31"/>
    <w:basedOn w:val="1"/>
    <w:uiPriority w:val="0"/>
    <w:pPr>
      <w:widowControl/>
      <w:spacing w:before="100" w:beforeAutospacing="1" w:after="100" w:afterAutospacing="1"/>
      <w:jc w:val="center"/>
    </w:pPr>
    <w:rPr>
      <w:rFonts w:ascii="宋体" w:hAnsi="宋体"/>
      <w:b/>
      <w:bCs/>
      <w:kern w:val="0"/>
      <w:sz w:val="28"/>
      <w:szCs w:val="28"/>
    </w:rPr>
  </w:style>
  <w:style w:type="paragraph" w:customStyle="1" w:styleId="427">
    <w:name w:val="Char2"/>
    <w:basedOn w:val="1"/>
    <w:uiPriority w:val="0"/>
    <w:rPr>
      <w:rFonts w:ascii="Tahoma" w:hAnsi="Tahoma"/>
      <w:sz w:val="24"/>
    </w:rPr>
  </w:style>
  <w:style w:type="paragraph" w:customStyle="1" w:styleId="428">
    <w:name w:val="xl8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429">
    <w:name w:val="ZHENWEN"/>
    <w:basedOn w:val="2"/>
    <w:uiPriority w:val="0"/>
    <w:pPr>
      <w:spacing w:before="120" w:after="120"/>
      <w:ind w:firstLine="200" w:firstLineChars="200"/>
      <w:jc w:val="left"/>
    </w:pPr>
    <w:rPr>
      <w:rFonts w:ascii="Wingdings" w:hAnsi="Wingdings" w:eastAsia="Calibri" w:cs="Droid Sans"/>
      <w:sz w:val="24"/>
    </w:rPr>
  </w:style>
  <w:style w:type="paragraph" w:customStyle="1" w:styleId="430">
    <w:name w:val="Char Char Char Char Char Char Char Char Char Char Char Char1"/>
    <w:basedOn w:val="1"/>
    <w:uiPriority w:val="0"/>
    <w:pPr>
      <w:spacing w:line="300" w:lineRule="auto"/>
    </w:pPr>
    <w:rPr>
      <w:rFonts w:ascii="宋体" w:hAnsi="宋体"/>
      <w:b/>
      <w:bCs/>
      <w:color w:val="000000"/>
      <w:spacing w:val="8"/>
      <w:kern w:val="0"/>
      <w:sz w:val="24"/>
      <w:szCs w:val="24"/>
    </w:rPr>
  </w:style>
  <w:style w:type="paragraph" w:customStyle="1" w:styleId="431">
    <w:name w:val="五级条标题"/>
    <w:basedOn w:val="432"/>
    <w:next w:val="362"/>
    <w:uiPriority w:val="0"/>
    <w:pPr>
      <w:outlineLvl w:val="6"/>
    </w:pPr>
  </w:style>
  <w:style w:type="paragraph" w:customStyle="1" w:styleId="432">
    <w:name w:val="四级条标题"/>
    <w:basedOn w:val="433"/>
    <w:next w:val="362"/>
    <w:uiPriority w:val="0"/>
    <w:pPr>
      <w:outlineLvl w:val="5"/>
    </w:pPr>
  </w:style>
  <w:style w:type="paragraph" w:customStyle="1" w:styleId="433">
    <w:name w:val="三级条标题"/>
    <w:basedOn w:val="434"/>
    <w:next w:val="362"/>
    <w:uiPriority w:val="0"/>
    <w:pPr>
      <w:outlineLvl w:val="4"/>
    </w:pPr>
  </w:style>
  <w:style w:type="paragraph" w:customStyle="1" w:styleId="434">
    <w:name w:val="二级条标题"/>
    <w:basedOn w:val="435"/>
    <w:next w:val="362"/>
    <w:uiPriority w:val="0"/>
    <w:pPr>
      <w:outlineLvl w:val="3"/>
    </w:pPr>
  </w:style>
  <w:style w:type="paragraph" w:customStyle="1" w:styleId="435">
    <w:name w:val="一级条标题"/>
    <w:basedOn w:val="383"/>
    <w:next w:val="362"/>
    <w:uiPriority w:val="0"/>
    <w:pPr>
      <w:spacing w:before="0" w:after="0"/>
      <w:outlineLvl w:val="2"/>
    </w:pPr>
    <w:rPr>
      <w:rFonts w:ascii="宋体" w:eastAsia="宋体"/>
    </w:rPr>
  </w:style>
  <w:style w:type="paragraph" w:customStyle="1" w:styleId="436">
    <w:name w:val="默认段落字体 Para Char Char Char Char Char Char Char Char Char Char"/>
    <w:basedOn w:val="20"/>
    <w:uiPriority w:val="0"/>
    <w:pPr>
      <w:shd w:val="clear" w:color="auto" w:fill="auto"/>
    </w:pPr>
    <w:rPr>
      <w:rFonts w:ascii="宋体"/>
      <w:sz w:val="18"/>
      <w:szCs w:val="18"/>
    </w:rPr>
  </w:style>
  <w:style w:type="paragraph" w:customStyle="1" w:styleId="437">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438">
    <w:name w:val="1 Char"/>
    <w:basedOn w:val="1"/>
    <w:uiPriority w:val="0"/>
    <w:rPr>
      <w:rFonts w:ascii="Tahoma" w:hAnsi="Tahoma"/>
      <w:sz w:val="24"/>
    </w:rPr>
  </w:style>
  <w:style w:type="paragraph" w:customStyle="1" w:styleId="439">
    <w:name w:val="lift_top"/>
    <w:basedOn w:val="1"/>
    <w:uiPriority w:val="0"/>
    <w:pPr>
      <w:widowControl/>
      <w:spacing w:before="100" w:beforeAutospacing="1" w:after="100" w:afterAutospacing="1"/>
      <w:jc w:val="left"/>
    </w:pPr>
    <w:rPr>
      <w:rFonts w:ascii="ˎ̥" w:hAnsi="ˎ̥"/>
      <w:color w:val="000099"/>
      <w:kern w:val="0"/>
      <w:sz w:val="9"/>
    </w:rPr>
  </w:style>
  <w:style w:type="paragraph" w:customStyle="1" w:styleId="440">
    <w:name w:val="xl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2"/>
      <w:szCs w:val="22"/>
    </w:rPr>
  </w:style>
  <w:style w:type="paragraph" w:customStyle="1" w:styleId="441">
    <w:name w:val="_Style 13"/>
    <w:basedOn w:val="1"/>
    <w:uiPriority w:val="0"/>
    <w:pPr>
      <w:tabs>
        <w:tab w:val="left" w:pos="425"/>
      </w:tabs>
      <w:ind w:left="425" w:hanging="425"/>
    </w:pPr>
    <w:rPr>
      <w:rFonts w:cs="Droid Sans"/>
      <w:sz w:val="18"/>
    </w:rPr>
  </w:style>
  <w:style w:type="paragraph" w:customStyle="1" w:styleId="442">
    <w:name w:val="标书正文"/>
    <w:basedOn w:val="1"/>
    <w:uiPriority w:val="0"/>
    <w:pPr>
      <w:snapToGrid w:val="0"/>
      <w:spacing w:line="360" w:lineRule="auto"/>
      <w:ind w:firstLine="560" w:firstLineChars="200"/>
    </w:pPr>
    <w:rPr>
      <w:rFonts w:ascii="宋体" w:hAnsi="宋体"/>
      <w:color w:val="000000"/>
      <w:sz w:val="24"/>
    </w:rPr>
  </w:style>
  <w:style w:type="paragraph" w:customStyle="1" w:styleId="443">
    <w:name w:val="样式 标题 8 + 左"/>
    <w:basedOn w:val="10"/>
    <w:uiPriority w:val="0"/>
    <w:pPr>
      <w:numPr>
        <w:ilvl w:val="7"/>
        <w:numId w:val="0"/>
      </w:numPr>
      <w:tabs>
        <w:tab w:val="clear" w:pos="1440"/>
      </w:tabs>
      <w:spacing w:line="319" w:lineRule="auto"/>
      <w:jc w:val="left"/>
    </w:pPr>
    <w:rPr>
      <w:rFonts w:ascii="Cambria" w:hAnsi="Cambria" w:eastAsia="宋体" w:cs="宋体"/>
      <w:szCs w:val="20"/>
      <w:lang w:eastAsia="en-US"/>
    </w:rPr>
  </w:style>
  <w:style w:type="paragraph" w:customStyle="1" w:styleId="444">
    <w:name w:val="样式 小四 段前: 5 磅 段后: 5 磅 首行缩进:  2 字符"/>
    <w:basedOn w:val="1"/>
    <w:uiPriority w:val="0"/>
    <w:pPr>
      <w:spacing w:before="100" w:after="50" w:afterLines="50" w:line="360" w:lineRule="auto"/>
    </w:pPr>
    <w:rPr>
      <w:rFonts w:ascii="Calibri" w:hAnsi="Calibri" w:cs="Droid Sans"/>
      <w:kern w:val="0"/>
      <w:sz w:val="24"/>
    </w:rPr>
  </w:style>
  <w:style w:type="paragraph" w:customStyle="1" w:styleId="445">
    <w:name w:val="font7"/>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446">
    <w:name w:val="top"/>
    <w:basedOn w:val="1"/>
    <w:uiPriority w:val="0"/>
    <w:pPr>
      <w:widowControl/>
      <w:spacing w:before="100" w:beforeAutospacing="1" w:after="100" w:afterAutospacing="1"/>
      <w:jc w:val="left"/>
    </w:pPr>
    <w:rPr>
      <w:rFonts w:ascii="ˎ̥" w:hAnsi="ˎ̥"/>
      <w:color w:val="FFFFFF"/>
      <w:kern w:val="0"/>
      <w:sz w:val="18"/>
    </w:rPr>
  </w:style>
  <w:style w:type="paragraph" w:customStyle="1" w:styleId="447">
    <w:name w:val="xl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8">
    <w:name w:val="xl2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9">
    <w:name w:val="D&amp;L"/>
    <w:basedOn w:val="42"/>
    <w:uiPriority w:val="0"/>
    <w:pPr>
      <w:pBdr>
        <w:bottom w:val="thinThickSmallGap" w:color="auto" w:sz="18" w:space="1"/>
      </w:pBdr>
      <w:adjustRightInd w:val="0"/>
      <w:snapToGrid/>
      <w:spacing w:line="240" w:lineRule="atLeast"/>
      <w:textAlignment w:val="baseline"/>
    </w:pPr>
    <w:rPr>
      <w:kern w:val="0"/>
      <w:sz w:val="24"/>
    </w:rPr>
  </w:style>
  <w:style w:type="paragraph" w:customStyle="1" w:styleId="450">
    <w:name w:val="1 Char Char Char Char"/>
    <w:basedOn w:val="1"/>
    <w:uiPriority w:val="0"/>
    <w:rPr>
      <w:rFonts w:ascii="Tahoma" w:hAnsi="Tahoma"/>
      <w:sz w:val="24"/>
    </w:rPr>
  </w:style>
  <w:style w:type="paragraph" w:customStyle="1" w:styleId="451">
    <w:name w:val="样式 标题 8 +"/>
    <w:basedOn w:val="10"/>
    <w:uiPriority w:val="0"/>
    <w:pPr>
      <w:numPr>
        <w:ilvl w:val="7"/>
        <w:numId w:val="0"/>
      </w:numPr>
      <w:tabs>
        <w:tab w:val="clear" w:pos="1440"/>
      </w:tabs>
      <w:spacing w:line="319" w:lineRule="auto"/>
      <w:jc w:val="left"/>
    </w:pPr>
    <w:rPr>
      <w:rFonts w:ascii="Cambria" w:hAnsi="Cambria" w:eastAsia="宋体"/>
      <w:lang w:eastAsia="en-US"/>
    </w:rPr>
  </w:style>
  <w:style w:type="paragraph" w:customStyle="1" w:styleId="452">
    <w:name w:val="图"/>
    <w:basedOn w:val="1"/>
    <w:uiPriority w:val="0"/>
    <w:pPr>
      <w:keepNext/>
      <w:adjustRightInd w:val="0"/>
      <w:spacing w:before="60" w:after="60" w:line="300" w:lineRule="auto"/>
      <w:jc w:val="center"/>
      <w:textAlignment w:val="center"/>
    </w:pPr>
    <w:rPr>
      <w:snapToGrid w:val="0"/>
      <w:spacing w:val="20"/>
      <w:kern w:val="0"/>
      <w:sz w:val="24"/>
      <w:lang/>
    </w:rPr>
  </w:style>
  <w:style w:type="paragraph" w:customStyle="1" w:styleId="453">
    <w:name w:val="xl2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54">
    <w:name w:val="_Style 2"/>
    <w:basedOn w:val="1"/>
    <w:qFormat/>
    <w:uiPriority w:val="0"/>
    <w:pPr>
      <w:ind w:firstLine="420" w:firstLineChars="200"/>
    </w:pPr>
    <w:rPr>
      <w:rFonts w:cs="Droid Sans"/>
    </w:rPr>
  </w:style>
  <w:style w:type="paragraph" w:customStyle="1" w:styleId="455">
    <w:name w:val="xl92"/>
    <w:basedOn w:val="1"/>
    <w:uiPriority w:val="0"/>
    <w:pPr>
      <w:widowControl/>
      <w:spacing w:before="100" w:beforeAutospacing="1" w:after="100" w:afterAutospacing="1"/>
      <w:jc w:val="center"/>
    </w:pPr>
    <w:rPr>
      <w:rFonts w:ascii="宋体" w:hAnsi="宋体" w:cs="宋体"/>
      <w:b/>
      <w:bCs/>
      <w:color w:val="000000"/>
      <w:kern w:val="0"/>
      <w:sz w:val="28"/>
      <w:szCs w:val="28"/>
    </w:rPr>
  </w:style>
  <w:style w:type="paragraph" w:customStyle="1" w:styleId="456">
    <w:name w:val="Char Char Char Char Char Char Char1 Char"/>
    <w:basedOn w:val="1"/>
    <w:uiPriority w:val="0"/>
    <w:rPr>
      <w:rFonts w:ascii="Tahoma" w:hAnsi="Tahoma"/>
      <w:sz w:val="24"/>
    </w:rPr>
  </w:style>
  <w:style w:type="paragraph" w:customStyle="1" w:styleId="457">
    <w:name w:val="style11"/>
    <w:basedOn w:val="1"/>
    <w:uiPriority w:val="0"/>
    <w:pPr>
      <w:widowControl/>
      <w:spacing w:before="100" w:beforeAutospacing="1" w:after="100" w:afterAutospacing="1"/>
      <w:jc w:val="left"/>
    </w:pPr>
    <w:rPr>
      <w:rFonts w:ascii="宋体" w:hAnsi="宋体" w:eastAsia="宋体" w:cs="宋体"/>
      <w:color w:val="0000FF"/>
      <w:kern w:val="0"/>
      <w:sz w:val="18"/>
      <w:szCs w:val="18"/>
    </w:rPr>
  </w:style>
  <w:style w:type="paragraph" w:customStyle="1" w:styleId="458">
    <w:name w:val="ZW"/>
    <w:basedOn w:val="1"/>
    <w:uiPriority w:val="0"/>
    <w:pPr>
      <w:widowControl/>
      <w:topLinePunct/>
      <w:spacing w:line="360" w:lineRule="auto"/>
      <w:ind w:firstLine="425" w:firstLineChars="200"/>
    </w:pPr>
    <w:rPr>
      <w:rFonts w:eastAsia="仿宋_GB2312"/>
      <w:spacing w:val="8"/>
      <w:sz w:val="24"/>
    </w:rPr>
  </w:style>
  <w:style w:type="paragraph" w:customStyle="1" w:styleId="459">
    <w:name w:val="D标4"/>
    <w:basedOn w:val="1"/>
    <w:next w:val="460"/>
    <w:uiPriority w:val="0"/>
    <w:pPr>
      <w:numPr>
        <w:ilvl w:val="0"/>
        <w:numId w:val="9"/>
      </w:numPr>
      <w:tabs>
        <w:tab w:val="left" w:pos="1140"/>
        <w:tab w:val="left" w:pos="2700"/>
      </w:tabs>
      <w:autoSpaceDE w:val="0"/>
      <w:autoSpaceDN w:val="0"/>
      <w:adjustRightInd w:val="0"/>
      <w:spacing w:before="120" w:line="480" w:lineRule="atLeast"/>
    </w:pPr>
    <w:rPr>
      <w:rFonts w:ascii="Calibri" w:hAnsi="Calibri" w:cs="Droid Sans"/>
      <w:kern w:val="0"/>
      <w:sz w:val="24"/>
    </w:rPr>
  </w:style>
  <w:style w:type="paragraph" w:customStyle="1" w:styleId="460">
    <w:name w:val="D文1"/>
    <w:basedOn w:val="1"/>
    <w:uiPriority w:val="0"/>
    <w:pPr>
      <w:tabs>
        <w:tab w:val="left" w:pos="720"/>
      </w:tabs>
      <w:autoSpaceDE w:val="0"/>
      <w:autoSpaceDN w:val="0"/>
      <w:adjustRightInd w:val="0"/>
      <w:spacing w:after="120" w:line="480" w:lineRule="atLeast"/>
      <w:ind w:left="680" w:firstLine="510"/>
    </w:pPr>
    <w:rPr>
      <w:rFonts w:ascii="Calibri" w:hAnsi="Calibri" w:cs="Droid Sans"/>
      <w:kern w:val="0"/>
      <w:sz w:val="24"/>
    </w:rPr>
  </w:style>
  <w:style w:type="paragraph" w:customStyle="1" w:styleId="461">
    <w:name w:val=" Char3"/>
    <w:basedOn w:val="1"/>
    <w:uiPriority w:val="0"/>
    <w:rPr>
      <w:rFonts w:ascii="MS Mincho" w:hAnsi="MS Mincho" w:cs="Droid Sans"/>
      <w:sz w:val="24"/>
    </w:rPr>
  </w:style>
  <w:style w:type="paragraph" w:customStyle="1" w:styleId="462">
    <w:name w:val="xl2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463">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464">
    <w:name w:val="标题3"/>
    <w:basedOn w:val="44"/>
    <w:uiPriority w:val="0"/>
    <w:pPr>
      <w:spacing w:before="0" w:after="0" w:line="360" w:lineRule="auto"/>
      <w:jc w:val="both"/>
    </w:pPr>
    <w:rPr>
      <w:rFonts w:ascii="Tahoma" w:hAnsi="Tahoma" w:eastAsia="黑体"/>
      <w:b/>
      <w:caps w:val="0"/>
      <w:sz w:val="24"/>
    </w:rPr>
  </w:style>
  <w:style w:type="paragraph" w:customStyle="1" w:styleId="465">
    <w:name w:val="xl54"/>
    <w:basedOn w:val="1"/>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466">
    <w:name w:val="技术方案正文样式"/>
    <w:basedOn w:val="1"/>
    <w:uiPriority w:val="0"/>
    <w:pPr>
      <w:autoSpaceDE w:val="0"/>
      <w:autoSpaceDN w:val="0"/>
      <w:adjustRightInd w:val="0"/>
      <w:spacing w:line="400" w:lineRule="exact"/>
      <w:ind w:firstLine="480" w:firstLineChars="200"/>
    </w:pPr>
    <w:rPr>
      <w:rFonts w:ascii="宋体" w:hAnsi="宋体" w:cs="宋体"/>
      <w:sz w:val="24"/>
      <w:szCs w:val="21"/>
    </w:rPr>
  </w:style>
  <w:style w:type="paragraph" w:customStyle="1" w:styleId="467">
    <w:name w:val="xl249"/>
    <w:basedOn w:val="1"/>
    <w:uiPriority w:val="0"/>
    <w:pPr>
      <w:widowControl/>
      <w:spacing w:before="100" w:beforeAutospacing="1" w:after="100" w:afterAutospacing="1"/>
      <w:jc w:val="left"/>
      <w:textAlignment w:val="center"/>
    </w:pPr>
    <w:rPr>
      <w:rFonts w:ascii="宋体" w:hAnsi="宋体" w:cs="宋体"/>
      <w:kern w:val="0"/>
      <w:sz w:val="20"/>
    </w:rPr>
  </w:style>
  <w:style w:type="paragraph" w:customStyle="1" w:styleId="468">
    <w:name w:val="前言、引言标题"/>
    <w:next w:val="1"/>
    <w:uiPriority w:val="0"/>
    <w:pPr>
      <w:shd w:val="clear" w:color="FFFFFF" w:fill="FFFFFF"/>
      <w:spacing w:before="640" w:after="560"/>
      <w:jc w:val="center"/>
      <w:outlineLvl w:val="0"/>
    </w:pPr>
    <w:rPr>
      <w:rFonts w:ascii="黑体" w:eastAsia="黑体"/>
      <w:sz w:val="32"/>
      <w:lang w:val="en-US" w:eastAsia="zh-CN" w:bidi="ar-SA"/>
    </w:rPr>
  </w:style>
  <w:style w:type="paragraph" w:customStyle="1" w:styleId="469">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470">
    <w:name w:val="Char Char Char Char Char"/>
    <w:basedOn w:val="1"/>
    <w:uiPriority w:val="0"/>
    <w:rPr>
      <w:rFonts w:ascii="Tahoma" w:hAnsi="Tahoma"/>
      <w:sz w:val="24"/>
    </w:rPr>
  </w:style>
  <w:style w:type="paragraph" w:customStyle="1" w:styleId="471">
    <w:name w:val="reader-word-layer reader-word-s1-13"/>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72">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73">
    <w:name w:val="black"/>
    <w:basedOn w:val="1"/>
    <w:uiPriority w:val="0"/>
    <w:pPr>
      <w:widowControl/>
      <w:spacing w:before="100" w:beforeAutospacing="1" w:after="100" w:afterAutospacing="1"/>
      <w:jc w:val="left"/>
    </w:pPr>
    <w:rPr>
      <w:rFonts w:ascii="ˎ̥" w:hAnsi="ˎ̥"/>
      <w:color w:val="000066"/>
      <w:kern w:val="0"/>
      <w:sz w:val="18"/>
    </w:rPr>
  </w:style>
  <w:style w:type="paragraph" w:customStyle="1" w:styleId="474">
    <w:name w:val="xl76"/>
    <w:basedOn w:val="1"/>
    <w:uiPriority w:val="0"/>
    <w:pPr>
      <w:widowControl/>
      <w:spacing w:before="100" w:beforeAutospacing="1" w:after="100" w:afterAutospacing="1"/>
      <w:jc w:val="center"/>
      <w:textAlignment w:val="center"/>
    </w:pPr>
    <w:rPr>
      <w:rFonts w:ascii="宋体" w:hAnsi="宋体" w:cs="宋体"/>
      <w:kern w:val="0"/>
      <w:sz w:val="22"/>
      <w:szCs w:val="22"/>
    </w:rPr>
  </w:style>
  <w:style w:type="paragraph" w:customStyle="1" w:styleId="475">
    <w:name w:val="style20"/>
    <w:basedOn w:val="1"/>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476">
    <w:name w:val="link"/>
    <w:basedOn w:val="1"/>
    <w:uiPriority w:val="0"/>
    <w:pPr>
      <w:widowControl/>
      <w:spacing w:before="100" w:beforeAutospacing="1" w:after="100" w:afterAutospacing="1"/>
      <w:jc w:val="left"/>
    </w:pPr>
    <w:rPr>
      <w:rFonts w:ascii="ˎ̥" w:hAnsi="ˎ̥"/>
      <w:color w:val="336699"/>
      <w:kern w:val="0"/>
      <w:sz w:val="18"/>
    </w:rPr>
  </w:style>
  <w:style w:type="paragraph" w:customStyle="1" w:styleId="477">
    <w:name w:val=" Char Char Char Char"/>
    <w:basedOn w:val="1"/>
    <w:uiPriority w:val="0"/>
    <w:rPr>
      <w:rFonts w:ascii="Tahoma" w:hAnsi="Tahoma"/>
      <w:sz w:val="24"/>
    </w:rPr>
  </w:style>
  <w:style w:type="paragraph" w:customStyle="1" w:styleId="478">
    <w:name w:val="xl47"/>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szCs w:val="24"/>
    </w:rPr>
  </w:style>
  <w:style w:type="paragraph" w:customStyle="1" w:styleId="479">
    <w:name w:val="正文（缩进）"/>
    <w:basedOn w:val="1"/>
    <w:uiPriority w:val="0"/>
    <w:pPr>
      <w:widowControl/>
      <w:spacing w:before="156" w:after="156"/>
      <w:ind w:firstLine="480" w:firstLineChars="200"/>
      <w:jc w:val="left"/>
    </w:pPr>
    <w:rPr>
      <w:rFonts w:ascii="仿宋_GB2312" w:eastAsia="仿宋_GB2312"/>
      <w:kern w:val="0"/>
      <w:sz w:val="24"/>
      <w:szCs w:val="24"/>
    </w:rPr>
  </w:style>
  <w:style w:type="paragraph" w:customStyle="1" w:styleId="480">
    <w:name w:val="right"/>
    <w:basedOn w:val="1"/>
    <w:uiPriority w:val="0"/>
    <w:pPr>
      <w:widowControl/>
      <w:spacing w:before="100" w:beforeAutospacing="1" w:after="100" w:afterAutospacing="1"/>
      <w:jc w:val="left"/>
    </w:pPr>
    <w:rPr>
      <w:rFonts w:ascii="ˎ̥" w:hAnsi="ˎ̥"/>
      <w:color w:val="000099"/>
      <w:kern w:val="0"/>
      <w:sz w:val="18"/>
    </w:rPr>
  </w:style>
  <w:style w:type="paragraph" w:customStyle="1" w:styleId="481">
    <w:name w:val="rightbg"/>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82">
    <w:name w:val="xl27"/>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483">
    <w:name w:val="样式 小四"/>
    <w:basedOn w:val="1"/>
    <w:uiPriority w:val="0"/>
    <w:pPr>
      <w:ind w:firstLine="480" w:firstLineChars="200"/>
    </w:pPr>
    <w:rPr>
      <w:sz w:val="24"/>
    </w:rPr>
  </w:style>
  <w:style w:type="paragraph" w:customStyle="1" w:styleId="484">
    <w:name w:val="中等深浅网格 21"/>
    <w:qFormat/>
    <w:uiPriority w:val="1"/>
    <w:pPr>
      <w:widowControl w:val="0"/>
      <w:jc w:val="both"/>
    </w:pPr>
    <w:rPr>
      <w:kern w:val="2"/>
      <w:sz w:val="21"/>
      <w:szCs w:val="22"/>
      <w:lang w:val="en-US" w:eastAsia="zh-CN" w:bidi="ar-SA"/>
    </w:rPr>
  </w:style>
  <w:style w:type="paragraph" w:customStyle="1" w:styleId="485">
    <w:name w:val="No Spacing"/>
    <w:uiPriority w:val="0"/>
    <w:pPr>
      <w:widowControl w:val="0"/>
      <w:jc w:val="both"/>
    </w:pPr>
    <w:rPr>
      <w:kern w:val="2"/>
      <w:sz w:val="21"/>
      <w:szCs w:val="22"/>
      <w:lang w:val="en-US" w:eastAsia="zh-CN" w:bidi="ar-SA"/>
    </w:rPr>
  </w:style>
  <w:style w:type="paragraph" w:styleId="486">
    <w:name w:val=""/>
    <w:basedOn w:val="3"/>
    <w:next w:val="1"/>
    <w:qFormat/>
    <w:uiPriority w:val="39"/>
    <w:pPr>
      <w:spacing w:after="260" w:line="360" w:lineRule="auto"/>
      <w:outlineLvl w:val="9"/>
    </w:pPr>
    <w:rPr>
      <w:rFonts w:ascii="Calibri" w:hAnsi="Calibri"/>
      <w:sz w:val="32"/>
    </w:rPr>
  </w:style>
  <w:style w:type="paragraph" w:customStyle="1" w:styleId="487">
    <w:name w:val="图注1"/>
    <w:basedOn w:val="1"/>
    <w:qFormat/>
    <w:uiPriority w:val="99"/>
    <w:pPr>
      <w:widowControl/>
      <w:spacing w:before="5" w:line="300" w:lineRule="auto"/>
      <w:ind w:firstLine="200" w:firstLineChars="200"/>
      <w:jc w:val="center"/>
    </w:pPr>
    <w:rPr>
      <w:rFonts w:ascii="Calibri" w:hAnsi="Calibri"/>
      <w:sz w:val="24"/>
      <w:szCs w:val="21"/>
    </w:rPr>
  </w:style>
  <w:style w:type="paragraph" w:customStyle="1" w:styleId="488">
    <w:name w:val="样式4"/>
    <w:basedOn w:val="1"/>
    <w:uiPriority w:val="0"/>
    <w:pPr>
      <w:spacing w:after="50" w:afterLines="50" w:line="360" w:lineRule="auto"/>
      <w:ind w:left="839" w:right="227"/>
      <w:textAlignment w:val="center"/>
    </w:pPr>
    <w:rPr>
      <w:rFonts w:ascii="Arial" w:hAnsi="Arial" w:eastAsia="Arial" w:cs="Droid Sans"/>
      <w:spacing w:val="20"/>
      <w:sz w:val="24"/>
      <w:lang/>
    </w:rPr>
  </w:style>
  <w:style w:type="paragraph" w:customStyle="1" w:styleId="489">
    <w:name w:val="样式 首行缩进:  0 字符"/>
    <w:basedOn w:val="1"/>
    <w:uiPriority w:val="0"/>
    <w:pPr>
      <w:spacing w:line="360" w:lineRule="auto"/>
      <w:ind w:firstLine="200" w:firstLineChars="200"/>
    </w:pPr>
    <w:rPr>
      <w:rFonts w:cs="宋体"/>
      <w:sz w:val="24"/>
    </w:rPr>
  </w:style>
  <w:style w:type="paragraph" w:customStyle="1" w:styleId="490">
    <w:name w:val="样式 标题6 + 左"/>
    <w:basedOn w:val="336"/>
    <w:uiPriority w:val="0"/>
    <w:pPr>
      <w:spacing w:line="319" w:lineRule="auto"/>
      <w:jc w:val="left"/>
    </w:pPr>
  </w:style>
  <w:style w:type="paragraph" w:customStyle="1" w:styleId="491">
    <w:name w:val="attr-list-hd1"/>
    <w:basedOn w:val="1"/>
    <w:uiPriority w:val="0"/>
    <w:pPr>
      <w:widowControl/>
      <w:spacing w:before="100" w:beforeAutospacing="1" w:after="100" w:afterAutospacing="1" w:line="330" w:lineRule="atLeast"/>
      <w:jc w:val="left"/>
    </w:pPr>
    <w:rPr>
      <w:rFonts w:ascii="宋体" w:hAnsi="宋体" w:eastAsia="宋体" w:cs="宋体"/>
      <w:color w:val="999999"/>
      <w:kern w:val="0"/>
      <w:sz w:val="24"/>
      <w:szCs w:val="24"/>
    </w:rPr>
  </w:style>
  <w:style w:type="paragraph" w:customStyle="1" w:styleId="492">
    <w:name w:val="xl2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93">
    <w:name w:val="标题7"/>
    <w:basedOn w:val="9"/>
    <w:next w:val="1"/>
    <w:uiPriority w:val="0"/>
    <w:pPr>
      <w:numPr>
        <w:ilvl w:val="6"/>
        <w:numId w:val="10"/>
      </w:numPr>
      <w:spacing w:before="120" w:beforeLines="50" w:afterLines="50" w:line="360" w:lineRule="auto"/>
      <w:ind w:right="0" w:rightChars="0" w:firstLineChars="0"/>
    </w:pPr>
    <w:rPr>
      <w:rFonts w:eastAsia="黑体" w:cs="宋体"/>
      <w:spacing w:val="0"/>
      <w:szCs w:val="20"/>
    </w:rPr>
  </w:style>
  <w:style w:type="paragraph" w:customStyle="1" w:styleId="494">
    <w:name w:val="默认段落字体 Para Char Char Char Char"/>
    <w:basedOn w:val="1"/>
    <w:uiPriority w:val="0"/>
    <w:pPr>
      <w:snapToGrid w:val="0"/>
      <w:spacing w:line="360" w:lineRule="auto"/>
      <w:ind w:firstLine="200" w:firstLineChars="200"/>
    </w:pPr>
    <w:rPr>
      <w:rFonts w:ascii="Calibri" w:hAnsi="Calibri"/>
    </w:rPr>
  </w:style>
  <w:style w:type="paragraph" w:customStyle="1" w:styleId="495">
    <w:name w:val="font8"/>
    <w:basedOn w:val="1"/>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496">
    <w:name w:val="默认段落字体 Para Char"/>
    <w:basedOn w:val="1"/>
    <w:uiPriority w:val="0"/>
  </w:style>
  <w:style w:type="paragraph" w:customStyle="1" w:styleId="497">
    <w:name w:val="List Paragraph"/>
    <w:basedOn w:val="1"/>
    <w:qFormat/>
    <w:uiPriority w:val="0"/>
    <w:pPr>
      <w:ind w:firstLine="420" w:firstLineChars="200"/>
    </w:pPr>
  </w:style>
  <w:style w:type="paragraph" w:customStyle="1" w:styleId="498">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499">
    <w:name w:val="样式2"/>
    <w:basedOn w:val="1"/>
    <w:uiPriority w:val="0"/>
    <w:pPr>
      <w:ind w:firstLine="540" w:firstLineChars="225"/>
    </w:pPr>
    <w:rPr>
      <w:sz w:val="24"/>
    </w:rPr>
  </w:style>
  <w:style w:type="paragraph" w:customStyle="1" w:styleId="500">
    <w:name w:val="xl2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501">
    <w:name w:val="middle"/>
    <w:basedOn w:val="1"/>
    <w:uiPriority w:val="0"/>
    <w:pPr>
      <w:widowControl/>
      <w:spacing w:before="100" w:beforeAutospacing="1" w:after="100" w:afterAutospacing="1"/>
      <w:jc w:val="left"/>
    </w:pPr>
    <w:rPr>
      <w:rFonts w:ascii="ˎ̥" w:hAnsi="ˎ̥"/>
      <w:color w:val="666666"/>
      <w:kern w:val="0"/>
      <w:sz w:val="18"/>
    </w:rPr>
  </w:style>
  <w:style w:type="paragraph" w:customStyle="1" w:styleId="502">
    <w:name w:val="xl3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50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04">
    <w:name w:val="List Paragraph1"/>
    <w:basedOn w:val="1"/>
    <w:uiPriority w:val="0"/>
    <w:pPr>
      <w:ind w:firstLine="420" w:firstLineChars="200"/>
    </w:pPr>
    <w:rPr>
      <w:szCs w:val="22"/>
    </w:rPr>
  </w:style>
  <w:style w:type="paragraph" w:customStyle="1" w:styleId="50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styleId="506">
    <w:name w:val="No Spacing"/>
    <w:qFormat/>
    <w:uiPriority w:val="0"/>
    <w:pPr>
      <w:adjustRightInd w:val="0"/>
      <w:snapToGrid w:val="0"/>
    </w:pPr>
    <w:rPr>
      <w:rFonts w:ascii="Tahoma" w:hAnsi="Tahoma" w:eastAsia="微软雅黑"/>
      <w:sz w:val="22"/>
      <w:szCs w:val="22"/>
      <w:lang w:val="en-US" w:eastAsia="zh-CN" w:bidi="ar-SA"/>
    </w:rPr>
  </w:style>
  <w:style w:type="paragraph" w:customStyle="1" w:styleId="507">
    <w:name w:val="标题 31"/>
    <w:basedOn w:val="1"/>
    <w:next w:val="1"/>
    <w:unhideWhenUsed/>
    <w:qFormat/>
    <w:uiPriority w:val="9"/>
    <w:pPr>
      <w:keepNext/>
      <w:keepLines/>
      <w:numPr>
        <w:ilvl w:val="0"/>
        <w:numId w:val="11"/>
      </w:numPr>
      <w:spacing w:before="260" w:after="260" w:line="416" w:lineRule="auto"/>
      <w:ind w:left="780" w:hanging="360"/>
      <w:outlineLvl w:val="2"/>
    </w:pPr>
    <w:rPr>
      <w:rFonts w:ascii="Calibri" w:hAnsi="Calibri"/>
      <w:b/>
      <w:bCs/>
      <w:sz w:val="28"/>
      <w:szCs w:val="32"/>
    </w:rPr>
  </w:style>
  <w:style w:type="paragraph" w:customStyle="1" w:styleId="508">
    <w:name w:val="样式 Arial 左侧:  2 字符 行距: 固定值 29 磅"/>
    <w:basedOn w:val="1"/>
    <w:uiPriority w:val="0"/>
    <w:pPr>
      <w:adjustRightInd w:val="0"/>
      <w:spacing w:line="580" w:lineRule="exact"/>
      <w:textAlignment w:val="baseline"/>
    </w:pPr>
    <w:rPr>
      <w:rFonts w:ascii="Arial" w:hAnsi="Arial"/>
      <w:kern w:val="0"/>
      <w:sz w:val="24"/>
    </w:rPr>
  </w:style>
  <w:style w:type="paragraph" w:customStyle="1" w:styleId="509">
    <w:name w:val="flNote"/>
    <w:basedOn w:val="1"/>
    <w:uiPriority w:val="0"/>
    <w:pPr>
      <w:adjustRightInd w:val="0"/>
      <w:spacing w:before="320" w:after="160" w:line="360" w:lineRule="atLeast"/>
      <w:jc w:val="center"/>
      <w:textAlignment w:val="baseline"/>
    </w:pPr>
    <w:rPr>
      <w:rFonts w:ascii="Arial" w:eastAsia="黑体"/>
      <w:kern w:val="0"/>
      <w:sz w:val="30"/>
    </w:rPr>
  </w:style>
  <w:style w:type="paragraph" w:customStyle="1" w:styleId="510">
    <w:name w:val="xl3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511">
    <w:name w:val="news"/>
    <w:basedOn w:val="1"/>
    <w:uiPriority w:val="0"/>
    <w:pPr>
      <w:widowControl/>
      <w:spacing w:before="100" w:beforeAutospacing="1" w:after="100" w:afterAutospacing="1" w:line="165" w:lineRule="atLeast"/>
      <w:jc w:val="left"/>
    </w:pPr>
    <w:rPr>
      <w:rFonts w:ascii="ˎ̥" w:hAnsi="ˎ̥"/>
      <w:color w:val="000000"/>
      <w:kern w:val="0"/>
      <w:sz w:val="11"/>
    </w:rPr>
  </w:style>
  <w:style w:type="paragraph" w:customStyle="1" w:styleId="512">
    <w:name w:val="正文序号 2"/>
    <w:basedOn w:val="1"/>
    <w:uiPriority w:val="0"/>
    <w:pPr>
      <w:numPr>
        <w:ilvl w:val="1"/>
        <w:numId w:val="2"/>
      </w:numPr>
      <w:tabs>
        <w:tab w:val="left" w:pos="744"/>
        <w:tab w:val="left" w:pos="1049"/>
      </w:tabs>
      <w:spacing w:before="60"/>
    </w:pPr>
    <w:rPr>
      <w:rFonts w:cs="Droid Sans"/>
      <w:sz w:val="18"/>
    </w:rPr>
  </w:style>
  <w:style w:type="paragraph" w:customStyle="1" w:styleId="513">
    <w:name w:val="xl5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514">
    <w:name w:val="xl26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515">
    <w:name w:val="xl9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516">
    <w:name w:val=" Char Char Char"/>
    <w:basedOn w:val="1"/>
    <w:uiPriority w:val="0"/>
    <w:rPr>
      <w:rFonts w:ascii="Tahoma" w:hAnsi="Tahoma"/>
      <w:sz w:val="24"/>
    </w:rPr>
  </w:style>
  <w:style w:type="paragraph" w:customStyle="1" w:styleId="517">
    <w:name w:val="itemlist"/>
    <w:uiPriority w:val="0"/>
    <w:pPr>
      <w:numPr>
        <w:ilvl w:val="0"/>
        <w:numId w:val="12"/>
      </w:numPr>
      <w:spacing w:before="200" w:after="200" w:line="20" w:lineRule="atLeast"/>
      <w:jc w:val="both"/>
    </w:pPr>
    <w:rPr>
      <w:kern w:val="2"/>
      <w:sz w:val="21"/>
      <w:szCs w:val="24"/>
      <w:lang w:val="en-US" w:eastAsia="zh-CN" w:bidi="ar-SA"/>
    </w:rPr>
  </w:style>
  <w:style w:type="paragraph" w:customStyle="1" w:styleId="518">
    <w:name w:val="tytytyty"/>
    <w:basedOn w:val="1"/>
    <w:uiPriority w:val="0"/>
    <w:pPr>
      <w:suppressAutoHyphens/>
      <w:spacing w:line="360" w:lineRule="auto"/>
      <w:ind w:left="359" w:leftChars="171" w:firstLine="480" w:firstLineChars="200"/>
    </w:pPr>
    <w:rPr>
      <w:kern w:val="1"/>
      <w:sz w:val="24"/>
      <w:szCs w:val="24"/>
      <w:lang w:eastAsia="ar-SA"/>
    </w:rPr>
  </w:style>
  <w:style w:type="paragraph" w:customStyle="1" w:styleId="519">
    <w:name w:val="正文黑体"/>
    <w:basedOn w:val="489"/>
    <w:uiPriority w:val="0"/>
    <w:pPr>
      <w:ind w:firstLine="480"/>
    </w:pPr>
    <w:rPr>
      <w:rFonts w:ascii="黑体" w:hAnsi="黑体" w:eastAsia="黑体"/>
    </w:rPr>
  </w:style>
  <w:style w:type="paragraph" w:customStyle="1" w:styleId="52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521">
    <w:name w:val="条2"/>
    <w:basedOn w:val="1"/>
    <w:next w:val="362"/>
    <w:uiPriority w:val="0"/>
    <w:pPr>
      <w:numPr>
        <w:ilvl w:val="2"/>
        <w:numId w:val="6"/>
      </w:numPr>
      <w:tabs>
        <w:tab w:val="left" w:pos="810"/>
      </w:tabs>
      <w:outlineLvl w:val="1"/>
    </w:pPr>
    <w:rPr>
      <w:rFonts w:ascii="黑体" w:eastAsia="黑体"/>
      <w:kern w:val="21"/>
    </w:rPr>
  </w:style>
  <w:style w:type="paragraph" w:customStyle="1" w:styleId="522">
    <w:name w:val="正文文本缩进1"/>
    <w:basedOn w:val="1"/>
    <w:uiPriority w:val="0"/>
    <w:pPr>
      <w:ind w:firstLine="645"/>
    </w:pPr>
    <w:rPr>
      <w:rFonts w:ascii="楷体_GB2312" w:hAnsi="Times New Roman" w:eastAsia="楷体_GB2312"/>
      <w:sz w:val="32"/>
    </w:rPr>
  </w:style>
  <w:style w:type="paragraph" w:customStyle="1" w:styleId="523">
    <w:name w:val="font6"/>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524">
    <w:name w:val="xl25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25">
    <w:name w:val="图形符号"/>
    <w:basedOn w:val="1"/>
    <w:uiPriority w:val="0"/>
    <w:rPr>
      <w:sz w:val="24"/>
    </w:rPr>
  </w:style>
  <w:style w:type="paragraph" w:customStyle="1" w:styleId="52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楷体_GB2312"/>
      <w:kern w:val="0"/>
      <w:sz w:val="22"/>
      <w:szCs w:val="22"/>
    </w:rPr>
  </w:style>
  <w:style w:type="paragraph" w:customStyle="1" w:styleId="527">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28">
    <w:name w:val="p15"/>
    <w:basedOn w:val="1"/>
    <w:uiPriority w:val="0"/>
    <w:pPr>
      <w:widowControl/>
      <w:spacing w:line="360" w:lineRule="auto"/>
      <w:ind w:firstLine="420"/>
      <w:jc w:val="left"/>
    </w:pPr>
    <w:rPr>
      <w:kern w:val="0"/>
      <w:sz w:val="24"/>
      <w:szCs w:val="24"/>
    </w:rPr>
  </w:style>
  <w:style w:type="paragraph" w:customStyle="1" w:styleId="529">
    <w:name w:val="Char Char1"/>
    <w:basedOn w:val="1"/>
    <w:uiPriority w:val="0"/>
    <w:rPr>
      <w:rFonts w:ascii="Tahoma" w:hAnsi="Tahoma"/>
      <w:sz w:val="24"/>
    </w:rPr>
  </w:style>
  <w:style w:type="paragraph" w:customStyle="1" w:styleId="53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531">
    <w:name w:val="表1"/>
    <w:basedOn w:val="1"/>
    <w:uiPriority w:val="0"/>
    <w:pPr>
      <w:spacing w:before="20" w:after="20" w:line="200" w:lineRule="exact"/>
      <w:jc w:val="left"/>
      <w:textAlignment w:val="center"/>
    </w:pPr>
    <w:rPr>
      <w:rFonts w:cs="Droid Sans"/>
      <w:snapToGrid w:val="0"/>
      <w:spacing w:val="20"/>
      <w:kern w:val="0"/>
      <w:sz w:val="18"/>
    </w:rPr>
  </w:style>
  <w:style w:type="paragraph" w:customStyle="1" w:styleId="532">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533">
    <w:name w:val="class"/>
    <w:basedOn w:val="1"/>
    <w:uiPriority w:val="0"/>
    <w:pPr>
      <w:widowControl/>
      <w:spacing w:before="100" w:beforeAutospacing="1" w:after="100" w:afterAutospacing="1"/>
      <w:jc w:val="left"/>
    </w:pPr>
    <w:rPr>
      <w:rFonts w:ascii="ˎ̥" w:hAnsi="ˎ̥"/>
      <w:color w:val="000099"/>
      <w:kern w:val="0"/>
      <w:sz w:val="18"/>
    </w:rPr>
  </w:style>
  <w:style w:type="paragraph" w:customStyle="1" w:styleId="53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5">
    <w:name w:val="bijschrift"/>
    <w:basedOn w:val="1"/>
    <w:uiPriority w:val="0"/>
    <w:pPr>
      <w:widowControl/>
      <w:overflowPunct w:val="0"/>
      <w:autoSpaceDE w:val="0"/>
      <w:autoSpaceDN w:val="0"/>
      <w:adjustRightInd w:val="0"/>
      <w:jc w:val="left"/>
      <w:textAlignment w:val="baseline"/>
    </w:pPr>
    <w:rPr>
      <w:rFonts w:ascii="CG Times" w:hAnsi="CG Times"/>
      <w:kern w:val="0"/>
      <w:sz w:val="24"/>
      <w:lang w:val="nl-NL"/>
    </w:rPr>
  </w:style>
  <w:style w:type="paragraph" w:customStyle="1" w:styleId="536">
    <w:name w:val="font0"/>
    <w:basedOn w:val="1"/>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xl8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kern w:val="0"/>
      <w:sz w:val="18"/>
      <w:szCs w:val="18"/>
    </w:rPr>
  </w:style>
  <w:style w:type="paragraph" w:customStyle="1" w:styleId="538">
    <w:name w:val=" Char Char Char Char Char Char Char Char Char Char"/>
    <w:basedOn w:val="1"/>
    <w:uiPriority w:val="0"/>
    <w:pPr>
      <w:widowControl/>
      <w:spacing w:after="160" w:line="240" w:lineRule="exact"/>
      <w:jc w:val="left"/>
    </w:pPr>
  </w:style>
  <w:style w:type="paragraph" w:customStyle="1" w:styleId="539">
    <w:name w:val="空半行"/>
    <w:basedOn w:val="1"/>
    <w:uiPriority w:val="0"/>
    <w:pPr>
      <w:adjustRightInd w:val="0"/>
      <w:spacing w:line="120" w:lineRule="exact"/>
      <w:textAlignment w:val="baseline"/>
    </w:pPr>
    <w:rPr>
      <w:rFonts w:eastAsia="仿宋_GB2312"/>
      <w:color w:val="FFFFFF"/>
      <w:kern w:val="0"/>
      <w:sz w:val="30"/>
    </w:rPr>
  </w:style>
  <w:style w:type="paragraph" w:customStyle="1" w:styleId="540">
    <w:name w:val="Revision"/>
    <w:uiPriority w:val="0"/>
    <w:rPr>
      <w:kern w:val="2"/>
      <w:sz w:val="21"/>
      <w:szCs w:val="24"/>
      <w:lang w:val="en-US" w:eastAsia="zh-CN" w:bidi="ar-SA"/>
    </w:rPr>
  </w:style>
  <w:style w:type="paragraph" w:customStyle="1" w:styleId="541">
    <w:name w:val="基本文字 Char"/>
    <w:basedOn w:val="1"/>
    <w:uiPriority w:val="0"/>
    <w:pPr>
      <w:spacing w:before="156" w:line="400" w:lineRule="atLeast"/>
      <w:ind w:firstLine="540" w:firstLineChars="225"/>
    </w:pPr>
    <w:rPr>
      <w:sz w:val="24"/>
    </w:rPr>
  </w:style>
  <w:style w:type="paragraph" w:customStyle="1" w:styleId="542">
    <w:name w:val="PP 行"/>
    <w:basedOn w:val="43"/>
    <w:uiPriority w:val="0"/>
  </w:style>
  <w:style w:type="paragraph" w:customStyle="1" w:styleId="543">
    <w:name w:val="p0"/>
    <w:basedOn w:val="1"/>
    <w:uiPriority w:val="0"/>
    <w:pPr>
      <w:widowControl/>
    </w:pPr>
    <w:rPr>
      <w:kern w:val="0"/>
      <w:szCs w:val="21"/>
    </w:rPr>
  </w:style>
  <w:style w:type="paragraph" w:customStyle="1" w:styleId="544">
    <w:name w:val="xl4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2"/>
      <w:szCs w:val="22"/>
    </w:rPr>
  </w:style>
  <w:style w:type="paragraph" w:customStyle="1" w:styleId="545">
    <w:name w:val="0"/>
    <w:basedOn w:val="1"/>
    <w:uiPriority w:val="0"/>
    <w:pPr>
      <w:widowControl/>
      <w:snapToGrid w:val="0"/>
      <w:spacing w:line="365" w:lineRule="atLeast"/>
      <w:ind w:left="1"/>
      <w:textAlignment w:val="bottom"/>
    </w:pPr>
    <w:rPr>
      <w:rFonts w:ascii="Times New Roman" w:hAnsi="Times New Roman"/>
      <w:kern w:val="0"/>
      <w:sz w:val="20"/>
    </w:rPr>
  </w:style>
  <w:style w:type="paragraph" w:customStyle="1" w:styleId="546">
    <w:name w:val=" Char"/>
    <w:basedOn w:val="1"/>
    <w:uiPriority w:val="0"/>
    <w:pPr>
      <w:widowControl/>
      <w:spacing w:after="160" w:line="240" w:lineRule="exact"/>
      <w:jc w:val="left"/>
    </w:pPr>
    <w:rPr>
      <w:rFonts w:ascii="Verdana" w:hAnsi="Verdana"/>
      <w:kern w:val="0"/>
      <w:sz w:val="20"/>
      <w:lang w:eastAsia="en-US"/>
    </w:rPr>
  </w:style>
  <w:style w:type="paragraph" w:customStyle="1" w:styleId="547">
    <w:name w:val="c1"/>
    <w:basedOn w:val="1"/>
    <w:uiPriority w:val="0"/>
    <w:pPr>
      <w:widowControl/>
      <w:spacing w:before="100" w:beforeAutospacing="1" w:after="100" w:afterAutospacing="1" w:line="270" w:lineRule="atLeast"/>
      <w:jc w:val="left"/>
    </w:pPr>
    <w:rPr>
      <w:rFonts w:ascii="宋体" w:hAnsi="宋体"/>
      <w:color w:val="333333"/>
      <w:kern w:val="0"/>
      <w:sz w:val="18"/>
      <w:szCs w:val="18"/>
    </w:rPr>
  </w:style>
  <w:style w:type="paragraph" w:customStyle="1" w:styleId="54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49">
    <w:name w:val="Char1"/>
    <w:basedOn w:val="1"/>
    <w:uiPriority w:val="0"/>
    <w:rPr>
      <w:rFonts w:ascii="Tahoma" w:hAnsi="Tahoma"/>
      <w:sz w:val="24"/>
    </w:rPr>
  </w:style>
  <w:style w:type="paragraph" w:customStyle="1" w:styleId="550">
    <w:name w:val="xl241"/>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51">
    <w:name w:val="样式 标题8 + 段前: 0.5 行 段后: 0.5 行"/>
    <w:basedOn w:val="552"/>
    <w:next w:val="1"/>
    <w:uiPriority w:val="0"/>
    <w:pPr>
      <w:ind w:left="0" w:firstLine="0"/>
    </w:pPr>
    <w:rPr>
      <w:rFonts w:cs="宋体"/>
    </w:rPr>
  </w:style>
  <w:style w:type="paragraph" w:customStyle="1" w:styleId="552">
    <w:name w:val="标题8"/>
    <w:basedOn w:val="10"/>
    <w:next w:val="1"/>
    <w:uiPriority w:val="0"/>
    <w:pPr>
      <w:numPr>
        <w:ilvl w:val="7"/>
        <w:numId w:val="13"/>
      </w:numPr>
      <w:tabs>
        <w:tab w:val="clear" w:pos="1440"/>
      </w:tabs>
      <w:spacing w:beforeLines="50" w:afterLines="50" w:line="360" w:lineRule="auto"/>
      <w:jc w:val="left"/>
    </w:pPr>
    <w:rPr>
      <w:sz w:val="21"/>
      <w:szCs w:val="20"/>
    </w:rPr>
  </w:style>
  <w:style w:type="paragraph" w:customStyle="1" w:styleId="553">
    <w:name w:val="项目编号A"/>
    <w:basedOn w:val="1"/>
    <w:qFormat/>
    <w:uiPriority w:val="0"/>
    <w:pPr>
      <w:numPr>
        <w:ilvl w:val="0"/>
        <w:numId w:val="14"/>
      </w:numPr>
      <w:ind w:left="480" w:firstLine="0"/>
    </w:pPr>
    <w:rPr>
      <w:rFonts w:ascii="Arial" w:hAnsi="Arial"/>
      <w:kern w:val="0"/>
    </w:rPr>
  </w:style>
  <w:style w:type="paragraph" w:customStyle="1" w:styleId="554">
    <w:name w:val="表格表头"/>
    <w:basedOn w:val="1"/>
    <w:uiPriority w:val="0"/>
    <w:pPr>
      <w:spacing w:line="360" w:lineRule="auto"/>
      <w:jc w:val="center"/>
      <w:outlineLvl w:val="0"/>
    </w:pPr>
    <w:rPr>
      <w:rFonts w:ascii="宋体" w:hAnsi="宋体" w:eastAsia="黑体" w:cs="宋体"/>
      <w:sz w:val="24"/>
      <w:szCs w:val="21"/>
    </w:rPr>
  </w:style>
  <w:style w:type="paragraph" w:customStyle="1" w:styleId="555">
    <w:name w:val="font9"/>
    <w:basedOn w:val="1"/>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556">
    <w:name w:val="WPSOffice手动目录 2"/>
    <w:uiPriority w:val="0"/>
    <w:pPr>
      <w:ind w:leftChars="200"/>
    </w:pPr>
    <w:rPr>
      <w:lang w:val="en-US" w:eastAsia="zh-CN" w:bidi="ar-SA"/>
    </w:rPr>
  </w:style>
  <w:style w:type="paragraph" w:customStyle="1" w:styleId="557">
    <w:name w:val="1"/>
    <w:basedOn w:val="1"/>
    <w:next w:val="1"/>
    <w:uiPriority w:val="0"/>
  </w:style>
  <w:style w:type="paragraph" w:customStyle="1" w:styleId="558">
    <w:name w:val="Char1 Char Char Char"/>
    <w:basedOn w:val="1"/>
    <w:uiPriority w:val="0"/>
    <w:rPr>
      <w:rFonts w:ascii="Tahoma" w:hAnsi="Tahoma"/>
      <w:sz w:val="24"/>
    </w:rPr>
  </w:style>
  <w:style w:type="paragraph" w:customStyle="1" w:styleId="559">
    <w:name w:val="Char11"/>
    <w:basedOn w:val="1"/>
    <w:uiPriority w:val="0"/>
    <w:rPr>
      <w:rFonts w:ascii="Tahoma" w:hAnsi="Tahoma"/>
      <w:sz w:val="24"/>
    </w:rPr>
  </w:style>
  <w:style w:type="paragraph" w:customStyle="1" w:styleId="560">
    <w:name w:val="简单回函地址"/>
    <w:basedOn w:val="1"/>
    <w:uiPriority w:val="0"/>
    <w:rPr>
      <w:szCs w:val="24"/>
    </w:rPr>
  </w:style>
  <w:style w:type="paragraph" w:customStyle="1" w:styleId="561">
    <w:name w:val=" Char1 Char Char Char"/>
    <w:basedOn w:val="1"/>
    <w:uiPriority w:val="0"/>
  </w:style>
  <w:style w:type="paragraph" w:customStyle="1" w:styleId="562">
    <w:name w:val="Style List + Left:  0 cm Hanging:  0.8 ch1"/>
    <w:basedOn w:val="49"/>
    <w:uiPriority w:val="0"/>
    <w:pPr>
      <w:spacing w:line="360" w:lineRule="auto"/>
      <w:ind w:left="0" w:firstLine="0" w:firstLineChars="0"/>
      <w:jc w:val="left"/>
    </w:pPr>
    <w:rPr>
      <w:rFonts w:ascii="Tahoma" w:hAnsi="Tahoma"/>
      <w:szCs w:val="20"/>
    </w:rPr>
  </w:style>
  <w:style w:type="paragraph" w:customStyle="1" w:styleId="563">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2"/>
      <w:szCs w:val="22"/>
    </w:rPr>
  </w:style>
  <w:style w:type="paragraph" w:customStyle="1" w:styleId="564">
    <w:name w:val=" Char Char Char Char Char Char Char Char Char Char Char Char"/>
    <w:basedOn w:val="20"/>
    <w:uiPriority w:val="0"/>
    <w:pPr>
      <w:shd w:val="clear" w:color="auto" w:fill="auto"/>
    </w:pPr>
    <w:rPr>
      <w:rFonts w:ascii="宋体"/>
      <w:sz w:val="18"/>
      <w:szCs w:val="18"/>
    </w:rPr>
  </w:style>
  <w:style w:type="paragraph" w:customStyle="1" w:styleId="565">
    <w:name w:val="l_title"/>
    <w:basedOn w:val="1"/>
    <w:uiPriority w:val="0"/>
    <w:pPr>
      <w:widowControl/>
      <w:spacing w:before="100" w:beforeAutospacing="1" w:after="100" w:afterAutospacing="1"/>
      <w:jc w:val="left"/>
    </w:pPr>
    <w:rPr>
      <w:rFonts w:ascii="ˎ̥" w:hAnsi="ˎ̥"/>
      <w:color w:val="000000"/>
      <w:kern w:val="0"/>
      <w:sz w:val="18"/>
    </w:rPr>
  </w:style>
  <w:style w:type="paragraph" w:customStyle="1" w:styleId="566">
    <w:name w:val=" Char1 Char Char Char Char Char Char"/>
    <w:basedOn w:val="1"/>
    <w:uiPriority w:val="0"/>
    <w:rPr>
      <w:rFonts w:ascii="Tahoma" w:hAnsi="Tahoma"/>
      <w:sz w:val="24"/>
    </w:rPr>
  </w:style>
  <w:style w:type="paragraph" w:customStyle="1" w:styleId="567">
    <w:name w:val="xl7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68">
    <w:name w:val="默认段落字体 Para Char Char Char Char Char Char Char Char Char"/>
    <w:basedOn w:val="1"/>
    <w:uiPriority w:val="0"/>
    <w:rPr>
      <w:rFonts w:ascii="Tahoma" w:hAnsi="Tahoma" w:cs="Arial"/>
      <w:sz w:val="24"/>
    </w:rPr>
  </w:style>
  <w:style w:type="paragraph" w:customStyle="1" w:styleId="569">
    <w:name w:val="Char Char Char"/>
    <w:basedOn w:val="1"/>
    <w:uiPriority w:val="0"/>
    <w:rPr>
      <w:rFonts w:ascii="Tahoma" w:hAnsi="Tahoma"/>
      <w:sz w:val="24"/>
    </w:rPr>
  </w:style>
  <w:style w:type="paragraph" w:customStyle="1" w:styleId="570">
    <w:name w:val="bottom"/>
    <w:basedOn w:val="1"/>
    <w:uiPriority w:val="0"/>
    <w:pPr>
      <w:widowControl/>
      <w:spacing w:before="100" w:beforeAutospacing="1" w:after="100" w:afterAutospacing="1"/>
      <w:jc w:val="left"/>
    </w:pPr>
    <w:rPr>
      <w:rFonts w:ascii="ˎ̥" w:hAnsi="ˎ̥"/>
      <w:color w:val="333333"/>
      <w:kern w:val="0"/>
      <w:sz w:val="18"/>
    </w:rPr>
  </w:style>
  <w:style w:type="paragraph" w:customStyle="1" w:styleId="571">
    <w:name w:val="xl25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72">
    <w:name w:val="正文 New New New New"/>
    <w:qFormat/>
    <w:uiPriority w:val="0"/>
    <w:pPr>
      <w:widowControl w:val="0"/>
      <w:jc w:val="both"/>
    </w:pPr>
    <w:rPr>
      <w:szCs w:val="24"/>
      <w:lang w:val="en-US" w:eastAsia="zh-CN" w:bidi="ar-SA"/>
    </w:rPr>
  </w:style>
  <w:style w:type="paragraph" w:customStyle="1" w:styleId="573">
    <w:name w:val="样式3"/>
    <w:basedOn w:val="35"/>
    <w:uiPriority w:val="0"/>
    <w:pPr>
      <w:spacing w:line="240" w:lineRule="atLeast"/>
      <w:outlineLvl w:val="0"/>
    </w:pPr>
    <w:rPr>
      <w:rFonts w:hAnsi="Calibri" w:cs="Droid Sans"/>
      <w:sz w:val="28"/>
    </w:rPr>
  </w:style>
  <w:style w:type="paragraph" w:customStyle="1" w:styleId="574">
    <w:name w:val="xl251"/>
    <w:basedOn w:val="1"/>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575">
    <w:name w:val="正文1"/>
    <w:basedOn w:val="1"/>
    <w:uiPriority w:val="0"/>
    <w:pPr>
      <w:widowControl/>
      <w:topLinePunct/>
      <w:spacing w:before="156" w:beforeLines="50" w:after="156" w:afterLines="50" w:line="300" w:lineRule="auto"/>
      <w:ind w:left="420"/>
    </w:pPr>
    <w:rPr>
      <w:szCs w:val="24"/>
    </w:rPr>
  </w:style>
  <w:style w:type="paragraph" w:customStyle="1" w:styleId="576">
    <w:name w:val="xl2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7">
    <w:name w:val="noline"/>
    <w:basedOn w:val="1"/>
    <w:uiPriority w:val="0"/>
    <w:pPr>
      <w:widowControl/>
      <w:spacing w:before="100" w:beforeAutospacing="1" w:after="100" w:afterAutospacing="1"/>
      <w:jc w:val="left"/>
    </w:pPr>
    <w:rPr>
      <w:rFonts w:ascii="ˎ̥" w:hAnsi="ˎ̥"/>
      <w:color w:val="000000"/>
      <w:kern w:val="0"/>
      <w:sz w:val="18"/>
    </w:rPr>
  </w:style>
  <w:style w:type="paragraph" w:customStyle="1" w:styleId="578">
    <w:name w:val="_Style 3"/>
    <w:basedOn w:val="1"/>
    <w:qFormat/>
    <w:uiPriority w:val="0"/>
    <w:pPr>
      <w:ind w:firstLine="420" w:firstLineChars="200"/>
    </w:pPr>
    <w:rPr>
      <w:rFonts w:ascii="Calibri" w:hAnsi="Calibri"/>
      <w:szCs w:val="24"/>
    </w:rPr>
  </w:style>
  <w:style w:type="paragraph" w:customStyle="1" w:styleId="579">
    <w:name w:val="样式 标题 3 + (中文) 黑体 小四 非加粗 段前: 7.8 磅 段后: 0 磅 行距: 固定值 20 磅"/>
    <w:basedOn w:val="5"/>
    <w:uiPriority w:val="0"/>
    <w:pPr>
      <w:spacing w:before="0" w:after="0" w:line="400" w:lineRule="exact"/>
      <w:jc w:val="both"/>
    </w:pPr>
    <w:rPr>
      <w:rFonts w:ascii="Times New Roman" w:eastAsia="黑体"/>
      <w:b w:val="0"/>
      <w:bCs w:val="0"/>
      <w:sz w:val="24"/>
      <w:szCs w:val="20"/>
    </w:rPr>
  </w:style>
  <w:style w:type="paragraph" w:customStyle="1" w:styleId="580">
    <w:name w:val="p1"/>
    <w:basedOn w:val="1"/>
    <w:qFormat/>
    <w:uiPriority w:val="0"/>
    <w:pPr>
      <w:widowControl/>
      <w:jc w:val="left"/>
    </w:pPr>
    <w:rPr>
      <w:kern w:val="0"/>
      <w:sz w:val="22"/>
      <w:szCs w:val="22"/>
    </w:rPr>
  </w:style>
  <w:style w:type="paragraph" w:customStyle="1" w:styleId="581">
    <w:name w:val="文字 Char Char Char"/>
    <w:basedOn w:val="1"/>
    <w:uiPriority w:val="0"/>
    <w:pPr>
      <w:tabs>
        <w:tab w:val="left" w:pos="8520"/>
      </w:tabs>
      <w:spacing w:line="312" w:lineRule="auto"/>
      <w:ind w:right="-210" w:firstLine="556"/>
    </w:pPr>
    <w:rPr>
      <w:rFonts w:ascii="Calibri" w:hAnsi="Calibri" w:eastAsia="Calibri" w:cs="Droid Sans"/>
      <w:sz w:val="28"/>
    </w:rPr>
  </w:style>
  <w:style w:type="paragraph" w:customStyle="1" w:styleId="582">
    <w:name w:val="xl53"/>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楷体_GB2312"/>
      <w:kern w:val="0"/>
      <w:sz w:val="24"/>
      <w:szCs w:val="24"/>
    </w:rPr>
  </w:style>
  <w:style w:type="paragraph" w:customStyle="1" w:styleId="583">
    <w:name w:val="aa"/>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584">
    <w:name w:val="彩色底纹 - 强调文字颜色 11"/>
    <w:uiPriority w:val="0"/>
    <w:rPr>
      <w:kern w:val="2"/>
      <w:sz w:val="21"/>
      <w:szCs w:val="24"/>
      <w:lang w:val="en-US" w:eastAsia="zh-CN" w:bidi="ar-SA"/>
    </w:rPr>
  </w:style>
  <w:style w:type="paragraph" w:customStyle="1" w:styleId="585">
    <w:name w:val="P标3"/>
    <w:basedOn w:val="5"/>
    <w:uiPriority w:val="0"/>
    <w:pPr>
      <w:keepNext w:val="0"/>
      <w:keepLines w:val="0"/>
      <w:numPr>
        <w:ilvl w:val="0"/>
        <w:numId w:val="8"/>
      </w:numPr>
      <w:tabs>
        <w:tab w:val="left" w:pos="570"/>
      </w:tabs>
      <w:autoSpaceDE w:val="0"/>
      <w:autoSpaceDN w:val="0"/>
      <w:adjustRightInd w:val="0"/>
      <w:snapToGrid w:val="0"/>
      <w:spacing w:before="120" w:after="120" w:line="480" w:lineRule="atLeast"/>
      <w:jc w:val="both"/>
    </w:pPr>
    <w:rPr>
      <w:rFonts w:ascii="Calibri" w:hAnsi="Calibri" w:cs="Droid Sans"/>
      <w:b w:val="0"/>
      <w:bCs w:val="0"/>
      <w:kern w:val="0"/>
      <w:sz w:val="24"/>
      <w:szCs w:val="20"/>
    </w:rPr>
  </w:style>
  <w:style w:type="paragraph" w:customStyle="1" w:styleId="586">
    <w:name w:val="xl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szCs w:val="24"/>
    </w:rPr>
  </w:style>
  <w:style w:type="paragraph" w:customStyle="1" w:styleId="587">
    <w:name w:val="样式 标题 9 +"/>
    <w:basedOn w:val="368"/>
    <w:uiPriority w:val="0"/>
    <w:pPr/>
  </w:style>
  <w:style w:type="paragraph" w:customStyle="1" w:styleId="588">
    <w:name w:val="(符号)三标题1.1"/>
    <w:basedOn w:val="1"/>
    <w:uiPriority w:val="0"/>
    <w:pPr>
      <w:tabs>
        <w:tab w:val="left" w:pos="420"/>
        <w:tab w:val="left" w:pos="744"/>
      </w:tabs>
      <w:spacing w:before="140" w:after="140" w:line="500" w:lineRule="exact"/>
      <w:ind w:left="744" w:hanging="744"/>
      <w:outlineLvl w:val="2"/>
    </w:pPr>
    <w:rPr>
      <w:rFonts w:ascii="楷体_GB2312" w:hAnsi="宋体" w:eastAsia="楷体_GB2312" w:cs="宋体"/>
      <w:b/>
      <w:bCs/>
      <w:sz w:val="28"/>
    </w:rPr>
  </w:style>
  <w:style w:type="paragraph" w:customStyle="1" w:styleId="589">
    <w:name w:val="彩色列表 - 着色 11"/>
    <w:basedOn w:val="1"/>
    <w:qFormat/>
    <w:uiPriority w:val="0"/>
    <w:pPr>
      <w:ind w:firstLine="420" w:firstLineChars="200"/>
    </w:pPr>
    <w:rPr>
      <w:szCs w:val="24"/>
    </w:rPr>
  </w:style>
  <w:style w:type="paragraph" w:customStyle="1" w:styleId="590">
    <w:name w:val="xl2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591">
    <w:name w:val="编号，四号"/>
    <w:basedOn w:val="182"/>
    <w:uiPriority w:val="0"/>
    <w:pPr>
      <w:numPr>
        <w:ilvl w:val="0"/>
        <w:numId w:val="15"/>
      </w:numPr>
    </w:pPr>
    <w:rPr>
      <w:rFonts w:ascii="Times New Roman" w:hAnsi="Times New Roman"/>
      <w:sz w:val="28"/>
    </w:rPr>
  </w:style>
  <w:style w:type="paragraph" w:customStyle="1" w:styleId="592">
    <w:name w:val="xl81"/>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93">
    <w:name w:val="Char Char2"/>
    <w:basedOn w:val="1"/>
    <w:uiPriority w:val="0"/>
    <w:rPr>
      <w:rFonts w:ascii="Tahoma" w:hAnsi="Tahoma"/>
      <w:sz w:val="24"/>
    </w:rPr>
  </w:style>
  <w:style w:type="paragraph" w:customStyle="1" w:styleId="594">
    <w:name w:val="表格"/>
    <w:basedOn w:val="1"/>
    <w:uiPriority w:val="0"/>
    <w:pPr>
      <w:snapToGrid w:val="0"/>
      <w:ind w:firstLine="42" w:firstLineChars="21"/>
    </w:pPr>
    <w:rPr>
      <w:rFonts w:ascii="宋体" w:hAnsi="宋体"/>
      <w:kern w:val="0"/>
      <w:sz w:val="20"/>
    </w:rPr>
  </w:style>
  <w:style w:type="paragraph" w:customStyle="1" w:styleId="595">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2"/>
      <w:szCs w:val="22"/>
    </w:rPr>
  </w:style>
  <w:style w:type="paragraph" w:customStyle="1" w:styleId="596">
    <w:name w:val="编号"/>
    <w:basedOn w:val="1"/>
    <w:uiPriority w:val="0"/>
    <w:pPr>
      <w:ind w:left="736" w:hanging="312"/>
      <w:jc w:val="center"/>
      <w:textAlignment w:val="center"/>
    </w:pPr>
    <w:rPr>
      <w:rFonts w:ascii="楷体_GB2312" w:hAnsi="楷体_GB2312" w:cs="Droid Sans"/>
      <w:b/>
      <w:snapToGrid w:val="0"/>
      <w:kern w:val="0"/>
      <w:sz w:val="24"/>
    </w:rPr>
  </w:style>
  <w:style w:type="paragraph" w:customStyle="1" w:styleId="597">
    <w:name w:val="xl26"/>
    <w:basedOn w:val="1"/>
    <w:uiPriority w:val="0"/>
    <w:pPr>
      <w:widowControl/>
      <w:pBdr>
        <w:left w:val="single" w:color="auto" w:sz="4" w:space="0"/>
        <w:bottom w:val="single" w:color="auto" w:sz="4" w:space="0"/>
      </w:pBdr>
      <w:spacing w:before="100" w:beforeAutospacing="1" w:after="100" w:afterAutospacing="1"/>
      <w:jc w:val="center"/>
    </w:pPr>
    <w:rPr>
      <w:rFonts w:ascii="Arial Unicode MS" w:hAnsi="Arial Unicode MS" w:eastAsia="Arial Unicode MS" w:cs="楷体_GB2312"/>
      <w:kern w:val="0"/>
      <w:sz w:val="22"/>
      <w:szCs w:val="22"/>
    </w:rPr>
  </w:style>
  <w:style w:type="paragraph" w:customStyle="1" w:styleId="598">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2"/>
      <w:szCs w:val="22"/>
    </w:rPr>
  </w:style>
  <w:style w:type="paragraph" w:customStyle="1" w:styleId="599">
    <w:name w:val="Char Char Char1"/>
    <w:basedOn w:val="1"/>
    <w:uiPriority w:val="0"/>
    <w:rPr>
      <w:rFonts w:ascii="Tahoma" w:hAnsi="Tahoma"/>
      <w:sz w:val="24"/>
    </w:rPr>
  </w:style>
  <w:style w:type="paragraph" w:customStyle="1" w:styleId="600">
    <w:name w:val="正文序号 1"/>
    <w:basedOn w:val="1"/>
    <w:uiPriority w:val="0"/>
    <w:pPr>
      <w:tabs>
        <w:tab w:val="left" w:pos="744"/>
        <w:tab w:val="left" w:pos="839"/>
      </w:tabs>
      <w:spacing w:before="60"/>
      <w:ind w:left="744" w:hanging="744"/>
    </w:pPr>
    <w:rPr>
      <w:rFonts w:cs="Droid Sans"/>
      <w:sz w:val="18"/>
    </w:rPr>
  </w:style>
  <w:style w:type="paragraph" w:customStyle="1" w:styleId="601">
    <w:name w:val="GP无序编号"/>
    <w:basedOn w:val="602"/>
    <w:uiPriority w:val="0"/>
    <w:pPr>
      <w:tabs>
        <w:tab w:val="left" w:pos="903"/>
        <w:tab w:val="left" w:pos="1140"/>
      </w:tabs>
      <w:ind w:left="1140" w:firstLine="0" w:firstLineChars="0"/>
      <w:jc w:val="left"/>
    </w:pPr>
    <w:rPr>
      <w:rFonts w:hAnsi="Times New Roman"/>
    </w:rPr>
  </w:style>
  <w:style w:type="paragraph" w:customStyle="1" w:styleId="602">
    <w:name w:val="GP正文(无首行缩进)"/>
    <w:basedOn w:val="392"/>
    <w:uiPriority w:val="0"/>
    <w:pPr>
      <w:jc w:val="both"/>
    </w:pPr>
  </w:style>
  <w:style w:type="paragraph" w:customStyle="1" w:styleId="603">
    <w:name w:val="表格正文"/>
    <w:basedOn w:val="1"/>
    <w:uiPriority w:val="0"/>
    <w:pPr>
      <w:ind w:right="45"/>
    </w:pPr>
    <w:rPr>
      <w:rFonts w:ascii="Arial" w:hAnsi="Arial" w:cs="Droid Sans"/>
      <w:sz w:val="24"/>
    </w:rPr>
  </w:style>
  <w:style w:type="paragraph" w:customStyle="1" w:styleId="604">
    <w:name w:val="xl25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05">
    <w:name w:val="正文序号 3"/>
    <w:basedOn w:val="1"/>
    <w:uiPriority w:val="0"/>
    <w:pPr>
      <w:numPr>
        <w:ilvl w:val="2"/>
        <w:numId w:val="2"/>
      </w:numPr>
      <w:tabs>
        <w:tab w:val="left" w:pos="744"/>
        <w:tab w:val="left" w:pos="1259"/>
      </w:tabs>
      <w:spacing w:before="60"/>
    </w:pPr>
    <w:rPr>
      <w:rFonts w:cs="Droid Sans"/>
      <w:sz w:val="18"/>
    </w:rPr>
  </w:style>
  <w:style w:type="paragraph" w:customStyle="1" w:styleId="606">
    <w:name w:val="WPSOffice手动目录 1"/>
    <w:uiPriority w:val="0"/>
    <w:rPr>
      <w:lang w:val="en-US" w:eastAsia="zh-CN" w:bidi="ar-SA"/>
    </w:rPr>
  </w:style>
  <w:style w:type="paragraph" w:customStyle="1" w:styleId="607">
    <w:name w:val="Char Char Char Char"/>
    <w:basedOn w:val="1"/>
    <w:uiPriority w:val="0"/>
    <w:rPr>
      <w:rFonts w:ascii="Tahoma" w:hAnsi="Tahoma"/>
      <w:sz w:val="24"/>
    </w:rPr>
  </w:style>
  <w:style w:type="paragraph" w:customStyle="1" w:styleId="608">
    <w:name w:val="xl89"/>
    <w:basedOn w:val="1"/>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ˎ̥" w:hAnsi="ˎ̥" w:cs="宋体"/>
      <w:color w:val="000000"/>
      <w:kern w:val="0"/>
      <w:sz w:val="18"/>
      <w:szCs w:val="18"/>
    </w:rPr>
  </w:style>
  <w:style w:type="paragraph" w:customStyle="1" w:styleId="609">
    <w:name w:val="TOC Heading1"/>
    <w:basedOn w:val="3"/>
    <w:next w:val="1"/>
    <w:uiPriority w:val="99"/>
    <w:pPr>
      <w:widowControl/>
      <w:spacing w:before="480" w:after="0" w:line="276" w:lineRule="auto"/>
      <w:jc w:val="left"/>
      <w:outlineLvl w:val="9"/>
    </w:pPr>
    <w:rPr>
      <w:rFonts w:ascii="Cambria" w:hAnsi="Cambria" w:cs="Cambria"/>
      <w:color w:val="365F91"/>
      <w:kern w:val="0"/>
      <w:sz w:val="28"/>
      <w:szCs w:val="28"/>
      <w:u w:val="none" w:color="000000"/>
    </w:rPr>
  </w:style>
  <w:style w:type="paragraph" w:customStyle="1" w:styleId="610">
    <w:name w:val="lift"/>
    <w:basedOn w:val="1"/>
    <w:uiPriority w:val="0"/>
    <w:pPr>
      <w:widowControl/>
      <w:spacing w:before="100" w:beforeAutospacing="1" w:after="100" w:afterAutospacing="1"/>
      <w:jc w:val="left"/>
    </w:pPr>
    <w:rPr>
      <w:rFonts w:ascii="ˎ̥" w:hAnsi="ˎ̥"/>
      <w:color w:val="000099"/>
      <w:kern w:val="0"/>
      <w:sz w:val="9"/>
    </w:rPr>
  </w:style>
  <w:style w:type="paragraph" w:customStyle="1" w:styleId="611">
    <w:name w:val="xl7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1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楷体_GB2312"/>
      <w:kern w:val="0"/>
      <w:sz w:val="22"/>
      <w:szCs w:val="22"/>
    </w:rPr>
  </w:style>
  <w:style w:type="paragraph" w:customStyle="1" w:styleId="61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614">
    <w:name w:val="pa-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15">
    <w:name w:val="xl85"/>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616">
    <w:name w:val="Char Char Char1 Char Char Char Char"/>
    <w:basedOn w:val="1"/>
    <w:uiPriority w:val="0"/>
    <w:pPr>
      <w:widowControl/>
      <w:snapToGrid w:val="0"/>
      <w:spacing w:after="160" w:line="300" w:lineRule="auto"/>
      <w:jc w:val="left"/>
    </w:pPr>
    <w:rPr>
      <w:rFonts w:ascii="仿宋_GB2312" w:hAnsi="Verdana" w:eastAsia="仿宋_GB2312"/>
      <w:b/>
      <w:kern w:val="0"/>
      <w:sz w:val="28"/>
      <w:szCs w:val="28"/>
      <w:lang w:eastAsia="en-US"/>
    </w:rPr>
  </w:style>
  <w:style w:type="paragraph" w:customStyle="1" w:styleId="617">
    <w:name w:val="No Spacing1"/>
    <w:qFormat/>
    <w:uiPriority w:val="0"/>
    <w:pPr>
      <w:widowControl w:val="0"/>
      <w:jc w:val="both"/>
    </w:pPr>
    <w:rPr>
      <w:rFonts w:cs="Calibri"/>
      <w:kern w:val="2"/>
      <w:sz w:val="21"/>
      <w:szCs w:val="21"/>
      <w:lang w:val="en-US" w:eastAsia="zh-CN" w:bidi="ar-SA"/>
    </w:rPr>
  </w:style>
  <w:style w:type="paragraph" w:customStyle="1" w:styleId="618">
    <w:name w:val="_Style 191"/>
    <w:next w:val="1"/>
    <w:uiPriority w:val="99"/>
    <w:pPr>
      <w:widowControl w:val="0"/>
      <w:jc w:val="both"/>
    </w:pPr>
    <w:rPr>
      <w:kern w:val="2"/>
      <w:sz w:val="21"/>
      <w:lang w:val="en-US" w:eastAsia="zh-CN" w:bidi="ar-SA"/>
    </w:rPr>
  </w:style>
  <w:style w:type="paragraph" w:customStyle="1" w:styleId="619">
    <w:name w:val="xl25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0">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21">
    <w:name w:val="List Paragraph_9b970762-14a9-43ab-b627-ab24dd866b2c"/>
    <w:basedOn w:val="1"/>
    <w:qFormat/>
    <w:uiPriority w:val="34"/>
    <w:pPr>
      <w:ind w:firstLine="420" w:firstLineChars="200"/>
    </w:pPr>
    <w:rPr>
      <w:rFonts w:ascii="Calibri" w:hAnsi="Calibri"/>
      <w:szCs w:val="22"/>
    </w:rPr>
  </w:style>
  <w:style w:type="paragraph" w:customStyle="1" w:styleId="622">
    <w:name w:val="xl4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楷体_GB2312"/>
      <w:kern w:val="0"/>
      <w:sz w:val="22"/>
      <w:szCs w:val="22"/>
    </w:rPr>
  </w:style>
  <w:style w:type="paragraph" w:customStyle="1" w:styleId="623">
    <w:name w:val="Char Char"/>
    <w:basedOn w:val="1"/>
    <w:uiPriority w:val="0"/>
    <w:rPr>
      <w:rFonts w:ascii="Tahoma" w:hAnsi="Tahoma"/>
      <w:sz w:val="24"/>
    </w:rPr>
  </w:style>
  <w:style w:type="paragraph" w:customStyle="1" w:styleId="624">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楷体_GB2312"/>
      <w:kern w:val="0"/>
      <w:sz w:val="22"/>
      <w:szCs w:val="22"/>
    </w:rPr>
  </w:style>
  <w:style w:type="paragraph" w:customStyle="1" w:styleId="625">
    <w:name w:val="首行缩进"/>
    <w:basedOn w:val="1"/>
    <w:uiPriority w:val="0"/>
    <w:pPr>
      <w:spacing w:line="360" w:lineRule="auto"/>
      <w:ind w:firstLine="420" w:firstLineChars="200"/>
    </w:pPr>
    <w:rPr>
      <w:rFonts w:ascii="宋体" w:hAnsi="宋体"/>
      <w:szCs w:val="24"/>
    </w:rPr>
  </w:style>
  <w:style w:type="paragraph" w:customStyle="1" w:styleId="626">
    <w:name w:val="m_title"/>
    <w:basedOn w:val="1"/>
    <w:uiPriority w:val="0"/>
    <w:pPr>
      <w:widowControl/>
      <w:spacing w:before="100" w:beforeAutospacing="1" w:after="100" w:afterAutospacing="1"/>
      <w:jc w:val="left"/>
    </w:pPr>
    <w:rPr>
      <w:rFonts w:ascii="ˎ̥" w:hAnsi="ˎ̥"/>
      <w:color w:val="FFFFFF"/>
      <w:kern w:val="0"/>
      <w:sz w:val="18"/>
    </w:rPr>
  </w:style>
  <w:style w:type="paragraph" w:customStyle="1" w:styleId="627">
    <w:name w:val="Char"/>
    <w:basedOn w:val="1"/>
    <w:uiPriority w:val="0"/>
    <w:rPr>
      <w:rFonts w:ascii="Tahoma" w:hAnsi="Tahoma"/>
      <w:sz w:val="24"/>
    </w:rPr>
  </w:style>
  <w:style w:type="paragraph" w:customStyle="1" w:styleId="628">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29">
    <w:name w:val="xl2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30">
    <w:name w:val=" Char Char1"/>
    <w:basedOn w:val="1"/>
    <w:uiPriority w:val="0"/>
    <w:rPr>
      <w:rFonts w:ascii="Tahoma" w:hAnsi="Tahoma"/>
      <w:sz w:val="24"/>
    </w:rPr>
  </w:style>
  <w:style w:type="paragraph" w:customStyle="1" w:styleId="631">
    <w:name w:val="xl42"/>
    <w:basedOn w:val="1"/>
    <w:uiPriority w:val="0"/>
    <w:pPr>
      <w:widowControl/>
      <w:pBdr>
        <w:top w:val="single" w:color="auto" w:sz="4" w:space="0"/>
        <w:left w:val="single" w:color="auto" w:sz="4" w:space="31"/>
        <w:bottom w:val="single" w:color="auto" w:sz="4" w:space="0"/>
        <w:right w:val="single" w:color="auto" w:sz="4" w:space="0"/>
      </w:pBdr>
      <w:spacing w:before="100" w:beforeAutospacing="1" w:after="100" w:afterAutospacing="1"/>
      <w:ind w:firstLine="300" w:firstLineChars="300"/>
      <w:jc w:val="left"/>
      <w:textAlignment w:val="center"/>
    </w:pPr>
    <w:rPr>
      <w:rFonts w:eastAsia="Arial Unicode MS"/>
      <w:kern w:val="0"/>
      <w:sz w:val="22"/>
      <w:szCs w:val="22"/>
    </w:rPr>
  </w:style>
  <w:style w:type="paragraph" w:customStyle="1" w:styleId="632">
    <w:name w:val="xl2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33">
    <w:name w:val="正文序号 4"/>
    <w:basedOn w:val="1"/>
    <w:uiPriority w:val="0"/>
    <w:pPr>
      <w:numPr>
        <w:ilvl w:val="3"/>
        <w:numId w:val="2"/>
      </w:numPr>
      <w:tabs>
        <w:tab w:val="left" w:pos="744"/>
        <w:tab w:val="left" w:pos="1469"/>
      </w:tabs>
      <w:spacing w:before="60"/>
    </w:pPr>
    <w:rPr>
      <w:rFonts w:cs="Droid Sans"/>
      <w:sz w:val="18"/>
    </w:rPr>
  </w:style>
  <w:style w:type="paragraph" w:customStyle="1" w:styleId="634">
    <w:name w:val="xl24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35">
    <w:name w:val="D标1"/>
    <w:basedOn w:val="3"/>
    <w:next w:val="1"/>
    <w:uiPriority w:val="0"/>
    <w:pPr>
      <w:keepLines w:val="0"/>
      <w:pageBreakBefore/>
      <w:widowControl/>
      <w:numPr>
        <w:ilvl w:val="0"/>
        <w:numId w:val="16"/>
      </w:numPr>
      <w:tabs>
        <w:tab w:val="left" w:pos="425"/>
      </w:tabs>
      <w:autoSpaceDE w:val="0"/>
      <w:autoSpaceDN w:val="0"/>
      <w:adjustRightInd w:val="0"/>
      <w:spacing w:before="360" w:after="240" w:line="315" w:lineRule="atLeast"/>
      <w:jc w:val="center"/>
    </w:pPr>
    <w:rPr>
      <w:rFonts w:ascii="Arial" w:hAnsi="Arial" w:eastAsia="Arial" w:cs="Droid Sans"/>
      <w:b w:val="0"/>
      <w:bCs w:val="0"/>
      <w:kern w:val="0"/>
      <w:sz w:val="36"/>
      <w:szCs w:val="20"/>
    </w:rPr>
  </w:style>
  <w:style w:type="paragraph" w:customStyle="1" w:styleId="636">
    <w:name w:val="xl25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37">
    <w:name w:val="xl25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638">
    <w:name w:val="Char Char Char Char Char Char Char Char Char Char Char Char"/>
    <w:basedOn w:val="1"/>
    <w:uiPriority w:val="0"/>
    <w:pPr>
      <w:spacing w:line="300" w:lineRule="auto"/>
    </w:pPr>
    <w:rPr>
      <w:rFonts w:ascii="宋体" w:hAnsi="宋体"/>
      <w:b/>
      <w:bCs/>
      <w:color w:val="000000"/>
      <w:spacing w:val="8"/>
      <w:kern w:val="0"/>
      <w:sz w:val="24"/>
      <w:szCs w:val="24"/>
    </w:rPr>
  </w:style>
  <w:style w:type="paragraph" w:customStyle="1" w:styleId="639">
    <w:name w:val="¤º¤å"/>
    <w:uiPriority w:val="0"/>
    <w:pPr>
      <w:widowControl w:val="0"/>
      <w:overflowPunct w:val="0"/>
      <w:autoSpaceDE w:val="0"/>
      <w:autoSpaceDN w:val="0"/>
      <w:adjustRightInd w:val="0"/>
      <w:spacing w:line="360" w:lineRule="atLeast"/>
      <w:textAlignment w:val="baseline"/>
    </w:pPr>
    <w:rPr>
      <w:rFonts w:ascii="Wingdings" w:hAnsi="Wingdings" w:eastAsia="Arial Unicode MS" w:cs="Droid Sans"/>
      <w:sz w:val="24"/>
      <w:lang w:val="en-US" w:eastAsia="zh-TW" w:bidi="ar-SA"/>
    </w:rPr>
  </w:style>
  <w:style w:type="table" w:customStyle="1" w:styleId="640">
    <w:name w:val="网格型1"/>
    <w:basedOn w:val="71"/>
    <w:uiPriority w:val="0"/>
    <w:pPr>
      <w:widowControl w:val="0"/>
      <w:jc w:val="both"/>
    </w:pPr>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网格型5"/>
    <w:basedOn w:val="71"/>
    <w:uiPriority w:val="0"/>
    <w:rPr>
      <w:rFonts w:ascii="Calibri" w:hAnsi="Calibri" w:cs="Calibri"/>
    </w:rPr>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leGrid"/>
    <w:uiPriority w:val="0"/>
    <w:rPr>
      <w:kern w:val="2"/>
      <w:sz w:val="21"/>
      <w:szCs w:val="22"/>
      <w:lang w:val="en-US" w:eastAsia="zh-CN" w:bidi="ar-SA"/>
    </w:rPr>
    <w:tblPr>
      <w:tblStyle w:val="71"/>
      <w:tblCellMar>
        <w:top w:w="0" w:type="dxa"/>
        <w:left w:w="0" w:type="dxa"/>
        <w:bottom w:w="0" w:type="dxa"/>
        <w:right w:w="0" w:type="dxa"/>
      </w:tblCellMar>
    </w:tblPr>
  </w:style>
  <w:style w:type="table" w:customStyle="1" w:styleId="643">
    <w:name w:val="网格型4"/>
    <w:basedOn w:val="71"/>
    <w:uiPriority w:val="59"/>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网格型6"/>
    <w:basedOn w:val="71"/>
    <w:qFormat/>
    <w:uiPriority w:val="0"/>
    <w:pPr>
      <w:widowControl w:val="0"/>
      <w:jc w:val="both"/>
    </w:pPr>
    <w:rPr>
      <w:rFonts w:ascii="Calibri" w:hAnsi="Calibri" w:cs="Arial"/>
    </w:rPr>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网格型2"/>
    <w:basedOn w:val="71"/>
    <w:uiPriority w:val="59"/>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网格型3"/>
    <w:basedOn w:val="71"/>
    <w:uiPriority w:val="59"/>
    <w:tblPr>
      <w:tblStyle w:val="7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7">
    <w:name w:val="hover17"/>
    <w:uiPriority w:val="0"/>
  </w:style>
  <w:style w:type="character" w:customStyle="1" w:styleId="648">
    <w:name w:val="fr"/>
    <w:uiPriority w:val="0"/>
  </w:style>
  <w:style w:type="character" w:customStyle="1" w:styleId="649">
    <w:name w:val="first-child"/>
    <w:uiPriority w:val="0"/>
    <w:rPr>
      <w:color w:val="1F3149"/>
      <w:sz w:val="24"/>
      <w:szCs w:val="24"/>
    </w:rPr>
  </w:style>
  <w:style w:type="character" w:customStyle="1" w:styleId="650">
    <w:name w:val="first-child1"/>
    <w:uiPriority w:val="0"/>
    <w:rPr>
      <w:color w:val="1F3149"/>
      <w:sz w:val="24"/>
      <w:szCs w:val="24"/>
    </w:rPr>
  </w:style>
  <w:style w:type="character" w:customStyle="1" w:styleId="651">
    <w:name w:val="icon_gys"/>
    <w:uiPriority w:val="0"/>
    <w:rPr>
      <w:sz w:val="21"/>
      <w:szCs w:val="21"/>
    </w:rPr>
  </w:style>
  <w:style w:type="character" w:customStyle="1" w:styleId="652">
    <w:name w:val="xiadan"/>
    <w:uiPriority w:val="0"/>
    <w:rPr>
      <w:shd w:val="clear" w:color="auto" w:fill="E4393C"/>
    </w:rPr>
  </w:style>
  <w:style w:type="character" w:customStyle="1" w:styleId="653">
    <w:name w:val="icon_ds"/>
    <w:uiPriority w:val="0"/>
  </w:style>
  <w:style w:type="character" w:customStyle="1" w:styleId="654">
    <w:name w:val="icon_ds1"/>
    <w:uiPriority w:val="0"/>
    <w:rPr>
      <w:sz w:val="21"/>
      <w:szCs w:val="21"/>
    </w:rPr>
  </w:style>
  <w:style w:type="paragraph" w:customStyle="1" w:styleId="65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58</Pages>
  <Words>5388</Words>
  <Characters>30718</Characters>
  <Lines>255</Lines>
  <Paragraphs>72</Paragraphs>
  <TotalTime>1</TotalTime>
  <ScaleCrop>false</ScaleCrop>
  <LinksUpToDate>false</LinksUpToDate>
  <CharactersWithSpaces>36034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2023-10-11T01:39:00Z</dcterms:created>
  <dc:creator>Administrator</dc:creator>
  <cp:lastModifiedBy>NTKO</cp:lastModifiedBy>
  <cp:lastPrinted>2020-08-05T10:26:00Z</cp:lastPrinted>
  <dcterms:modified xsi:type="dcterms:W3CDTF">2023-10-13T07:02:04Z</dcterms:modified>
  <dc:title>周口市公共资源交易中心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83F506B0A11347CFA839B882C8EEA041_13</vt:lpwstr>
  </property>
</Properties>
</file>