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cs="宋体"/>
          <w:b/>
          <w:color w:val="000000"/>
          <w:spacing w:val="36"/>
          <w:sz w:val="72"/>
          <w:szCs w:val="72"/>
          <w14:shadow w14:blurRad="50800" w14:dist="38100" w14:dir="2700000" w14:sx="100000" w14:sy="100000" w14:kx="0" w14:ky="0" w14:algn="tl">
            <w14:srgbClr w14:val="000000">
              <w14:alpha w14:val="60000"/>
            </w14:srgbClr>
          </w14:shadow>
        </w:rPr>
      </w:pPr>
      <w:r>
        <w:rPr>
          <w:rFonts w:hint="eastAsia" w:ascii="宋体" w:hAnsi="宋体" w:cs="宋体"/>
          <w:b/>
          <w:bCs/>
          <w:color w:val="000000"/>
          <w:kern w:val="0"/>
          <w:sz w:val="72"/>
          <w:szCs w:val="72"/>
          <w14:shadow w14:blurRad="50800" w14:dist="38100" w14:dir="2700000" w14:sx="100000" w14:sy="100000" w14:kx="0" w14:ky="0" w14:algn="tl">
            <w14:srgbClr w14:val="000000">
              <w14:alpha w14:val="60000"/>
            </w14:srgbClr>
          </w14:shadow>
        </w:rPr>
        <w:t>周口市公共资源交易中心</w:t>
      </w: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48"/>
        </w:rPr>
      </w:pPr>
    </w:p>
    <w:p>
      <w:pPr>
        <w:tabs>
          <w:tab w:val="left" w:pos="315"/>
          <w:tab w:val="left" w:pos="8820"/>
        </w:tabs>
        <w:spacing w:line="500" w:lineRule="exact"/>
        <w:ind w:right="267" w:rightChars="127"/>
        <w:jc w:val="center"/>
        <w:rPr>
          <w:rFonts w:ascii="宋体" w:hAnsi="宋体" w:cs="宋体"/>
          <w:b/>
          <w:bCs/>
          <w:color w:val="000000"/>
          <w:sz w:val="52"/>
        </w:rPr>
      </w:pPr>
      <w:r>
        <w:rPr>
          <w:rFonts w:hint="eastAsia" w:ascii="宋体" w:hAnsi="宋体" w:cs="宋体"/>
          <w:b/>
          <w:bCs/>
          <w:color w:val="000000"/>
          <w:sz w:val="52"/>
        </w:rPr>
        <w:t>政 府 采 购 招 标 文 件</w:t>
      </w:r>
    </w:p>
    <w:p>
      <w:pPr>
        <w:tabs>
          <w:tab w:val="left" w:pos="315"/>
          <w:tab w:val="left" w:pos="8820"/>
        </w:tabs>
        <w:spacing w:line="500" w:lineRule="exact"/>
        <w:ind w:right="267" w:rightChars="127"/>
        <w:jc w:val="center"/>
        <w:rPr>
          <w:rFonts w:ascii="宋体" w:hAnsi="宋体" w:cs="宋体"/>
          <w:color w:val="000000"/>
          <w:sz w:val="44"/>
        </w:rPr>
      </w:pPr>
    </w:p>
    <w:p>
      <w:pPr>
        <w:tabs>
          <w:tab w:val="left" w:pos="315"/>
          <w:tab w:val="left" w:pos="8820"/>
        </w:tabs>
        <w:ind w:right="267" w:rightChars="127"/>
        <w:rPr>
          <w:rFonts w:ascii="宋体" w:hAnsi="宋体" w:cs="宋体"/>
          <w:color w:val="000000"/>
          <w:sz w:val="44"/>
        </w:rPr>
      </w:pPr>
    </w:p>
    <w:p>
      <w:pPr>
        <w:tabs>
          <w:tab w:val="left" w:pos="315"/>
          <w:tab w:val="left" w:pos="8820"/>
        </w:tabs>
        <w:ind w:right="267" w:rightChars="127"/>
        <w:rPr>
          <w:rFonts w:ascii="宋体" w:hAnsi="宋体" w:cs="宋体"/>
          <w:color w:val="000000"/>
          <w:sz w:val="44"/>
        </w:rPr>
      </w:pPr>
    </w:p>
    <w:p>
      <w:pPr>
        <w:tabs>
          <w:tab w:val="left" w:pos="315"/>
          <w:tab w:val="left" w:pos="8820"/>
        </w:tabs>
        <w:ind w:right="267" w:rightChars="127"/>
        <w:rPr>
          <w:rFonts w:ascii="宋体" w:hAnsi="宋体" w:cs="宋体"/>
          <w:color w:val="000000"/>
          <w:sz w:val="44"/>
        </w:rPr>
      </w:pPr>
    </w:p>
    <w:p>
      <w:pPr>
        <w:tabs>
          <w:tab w:val="left" w:pos="315"/>
          <w:tab w:val="left" w:pos="8820"/>
        </w:tabs>
        <w:ind w:right="267" w:rightChars="127"/>
        <w:rPr>
          <w:rFonts w:ascii="宋体" w:hAnsi="宋体" w:cs="宋体"/>
          <w:color w:val="000000"/>
          <w:sz w:val="44"/>
        </w:rPr>
      </w:pPr>
    </w:p>
    <w:p>
      <w:pPr>
        <w:tabs>
          <w:tab w:val="left" w:pos="315"/>
          <w:tab w:val="left" w:pos="8820"/>
        </w:tabs>
        <w:spacing w:line="500" w:lineRule="exact"/>
        <w:ind w:right="267" w:rightChars="127"/>
        <w:rPr>
          <w:rFonts w:ascii="宋体" w:hAnsi="宋体" w:cs="宋体"/>
          <w:sz w:val="36"/>
        </w:rPr>
      </w:pP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left"/>
        <w:textAlignment w:val="auto"/>
        <w:rPr>
          <w:rFonts w:ascii="宋体" w:hAnsi="宋体" w:eastAsia="宋体" w:cs="宋体"/>
          <w:sz w:val="32"/>
        </w:rPr>
      </w:pPr>
      <w:r>
        <w:rPr>
          <w:rFonts w:hint="eastAsia" w:ascii="宋体" w:hAnsi="宋体" w:cs="宋体"/>
          <w:sz w:val="32"/>
          <w:szCs w:val="32"/>
        </w:rPr>
        <w:t>项目名称</w:t>
      </w:r>
      <w:r>
        <w:rPr>
          <w:rFonts w:hint="eastAsia" w:ascii="宋体" w:hAnsi="宋体" w:cs="宋体"/>
          <w:szCs w:val="28"/>
        </w:rPr>
        <w:t>：</w:t>
      </w:r>
      <w:r>
        <w:rPr>
          <w:rFonts w:hint="eastAsia" w:ascii="宋体" w:hAnsi="宋体" w:cs="宋体"/>
          <w:sz w:val="32"/>
          <w:szCs w:val="32"/>
        </w:rPr>
        <w:t>河南省周口市中医院周口市公立医院改革与高质量发展示范项目信息化建设筑基工程智慧医院项目</w:t>
      </w:r>
    </w:p>
    <w:p>
      <w:pPr>
        <w:pStyle w:val="28"/>
        <w:spacing w:line="360" w:lineRule="auto"/>
        <w:rPr>
          <w:rFonts w:hint="eastAsia" w:ascii="宋体" w:hAnsi="宋体" w:eastAsia="宋体" w:cs="宋体"/>
          <w:b w:val="0"/>
          <w:sz w:val="32"/>
        </w:rPr>
      </w:pPr>
    </w:p>
    <w:p>
      <w:pPr>
        <w:pStyle w:val="28"/>
        <w:spacing w:line="360" w:lineRule="auto"/>
        <w:rPr>
          <w:rFonts w:ascii="宋体" w:hAnsi="宋体" w:eastAsia="宋体" w:cs="宋体"/>
          <w:b w:val="0"/>
          <w:sz w:val="32"/>
        </w:rPr>
      </w:pPr>
      <w:r>
        <w:rPr>
          <w:rFonts w:hint="eastAsia" w:ascii="宋体" w:hAnsi="宋体" w:eastAsia="宋体" w:cs="宋体"/>
          <w:b w:val="0"/>
          <w:sz w:val="32"/>
        </w:rPr>
        <w:t>项目编号：2023-09-138</w:t>
      </w:r>
    </w:p>
    <w:p>
      <w:pPr>
        <w:pStyle w:val="28"/>
        <w:rPr>
          <w:rFonts w:ascii="宋体" w:hAnsi="宋体" w:eastAsia="宋体" w:cs="宋体"/>
          <w:sz w:val="32"/>
        </w:rPr>
      </w:pPr>
    </w:p>
    <w:p>
      <w:pPr>
        <w:spacing w:line="360" w:lineRule="auto"/>
        <w:jc w:val="center"/>
        <w:rPr>
          <w:rFonts w:hint="eastAsia" w:ascii="宋体" w:hAnsi="宋体"/>
          <w:b/>
          <w:color w:val="000000"/>
          <w:spacing w:val="-4"/>
          <w:sz w:val="32"/>
          <w:szCs w:val="32"/>
        </w:rPr>
      </w:pPr>
    </w:p>
    <w:p>
      <w:pPr>
        <w:spacing w:line="360" w:lineRule="auto"/>
        <w:jc w:val="center"/>
        <w:rPr>
          <w:rFonts w:hint="eastAsia" w:ascii="宋体" w:hAnsi="宋体"/>
          <w:b/>
          <w:color w:val="000000"/>
          <w:spacing w:val="-4"/>
          <w:sz w:val="32"/>
          <w:szCs w:val="32"/>
        </w:rPr>
      </w:pPr>
    </w:p>
    <w:p>
      <w:pPr>
        <w:spacing w:line="360" w:lineRule="auto"/>
        <w:ind w:firstLine="3446" w:firstLineChars="1100"/>
        <w:jc w:val="both"/>
        <w:rPr>
          <w:rFonts w:ascii="宋体" w:hAnsi="宋体"/>
          <w:b/>
          <w:color w:val="000000"/>
          <w:spacing w:val="-4"/>
          <w:sz w:val="32"/>
          <w:szCs w:val="32"/>
        </w:rPr>
      </w:pPr>
      <w:r>
        <w:rPr>
          <w:rFonts w:hint="eastAsia" w:ascii="宋体" w:hAnsi="宋体"/>
          <w:b/>
          <w:color w:val="000000"/>
          <w:spacing w:val="-4"/>
          <w:sz w:val="32"/>
          <w:szCs w:val="32"/>
        </w:rPr>
        <w:t>2023年</w:t>
      </w:r>
      <w:r>
        <w:rPr>
          <w:rFonts w:hint="eastAsia" w:ascii="宋体" w:hAnsi="宋体"/>
          <w:b/>
          <w:color w:val="000000"/>
          <w:spacing w:val="-4"/>
          <w:sz w:val="32"/>
          <w:szCs w:val="32"/>
          <w:lang w:val="en-US" w:eastAsia="zh-CN"/>
        </w:rPr>
        <w:t>9</w:t>
      </w:r>
      <w:r>
        <w:rPr>
          <w:rFonts w:hint="eastAsia" w:ascii="宋体" w:hAnsi="宋体"/>
          <w:b/>
          <w:color w:val="000000"/>
          <w:spacing w:val="-4"/>
          <w:sz w:val="32"/>
          <w:szCs w:val="32"/>
        </w:rPr>
        <w:t>月</w:t>
      </w:r>
    </w:p>
    <w:p>
      <w:pPr>
        <w:pStyle w:val="28"/>
        <w:jc w:val="center"/>
        <w:rPr>
          <w:rFonts w:ascii="宋体" w:hAnsi="宋体" w:eastAsia="宋体" w:cs="宋体"/>
        </w:rPr>
      </w:pPr>
    </w:p>
    <w:p>
      <w:pPr>
        <w:tabs>
          <w:tab w:val="left" w:pos="4620"/>
        </w:tabs>
        <w:spacing w:line="500" w:lineRule="exact"/>
        <w:jc w:val="center"/>
        <w:rPr>
          <w:rFonts w:ascii="宋体" w:hAnsi="宋体" w:cs="宋体"/>
          <w:b/>
          <w:sz w:val="32"/>
        </w:rPr>
      </w:pPr>
      <w:r>
        <w:rPr>
          <w:rFonts w:hint="eastAsia" w:ascii="宋体" w:hAnsi="宋体" w:cs="宋体"/>
          <w:b/>
          <w:sz w:val="32"/>
        </w:rPr>
        <w:t>目  录</w:t>
      </w:r>
    </w:p>
    <w:p>
      <w:pPr>
        <w:pStyle w:val="59"/>
        <w:tabs>
          <w:tab w:val="right" w:leader="dot" w:pos="8380"/>
        </w:tabs>
        <w:spacing w:line="360" w:lineRule="auto"/>
        <w:rPr>
          <w:b/>
          <w:sz w:val="24"/>
          <w:szCs w:val="22"/>
        </w:rPr>
      </w:pPr>
      <w:bookmarkStart w:id="0" w:name="_Hlt526418134"/>
      <w:bookmarkEnd w:id="0"/>
      <w:bookmarkStart w:id="1" w:name="_Hlt533241375"/>
      <w:bookmarkEnd w:id="1"/>
      <w:bookmarkStart w:id="2" w:name="_Hlt519045295"/>
      <w:bookmarkEnd w:id="2"/>
      <w:r>
        <w:rPr>
          <w:rFonts w:hint="eastAsia"/>
          <w:b/>
          <w:sz w:val="24"/>
          <w:szCs w:val="22"/>
        </w:rPr>
        <w:fldChar w:fldCharType="begin"/>
      </w:r>
      <w:r>
        <w:rPr>
          <w:rFonts w:hint="eastAsia"/>
          <w:b/>
          <w:sz w:val="24"/>
          <w:szCs w:val="22"/>
        </w:rPr>
        <w:instrText xml:space="preserve"> TOC \o "1-3" \h \z </w:instrText>
      </w:r>
      <w:r>
        <w:rPr>
          <w:rFonts w:hint="eastAsia"/>
          <w:b/>
          <w:sz w:val="24"/>
          <w:szCs w:val="22"/>
        </w:rPr>
        <w:fldChar w:fldCharType="separate"/>
      </w:r>
      <w:r>
        <w:fldChar w:fldCharType="begin"/>
      </w:r>
      <w:r>
        <w:instrText xml:space="preserve"> HYPERLINK \l "_Toc40975436" </w:instrText>
      </w:r>
      <w:r>
        <w:fldChar w:fldCharType="separate"/>
      </w:r>
      <w:r>
        <w:rPr>
          <w:rFonts w:hint="eastAsia"/>
          <w:b/>
          <w:sz w:val="24"/>
          <w:szCs w:val="22"/>
        </w:rPr>
        <w:t>第一章</w:t>
      </w:r>
      <w:r>
        <w:rPr>
          <w:b/>
          <w:sz w:val="24"/>
          <w:szCs w:val="22"/>
        </w:rPr>
        <w:t xml:space="preserve">  </w:t>
      </w:r>
      <w:r>
        <w:rPr>
          <w:rFonts w:hint="eastAsia"/>
          <w:b/>
          <w:sz w:val="24"/>
          <w:szCs w:val="22"/>
        </w:rPr>
        <w:t>招标公告</w:t>
      </w:r>
      <w:r>
        <w:rPr>
          <w:b/>
          <w:sz w:val="24"/>
          <w:szCs w:val="22"/>
        </w:rPr>
        <w:tab/>
      </w:r>
      <w:r>
        <w:rPr>
          <w:b/>
          <w:sz w:val="24"/>
          <w:szCs w:val="22"/>
        </w:rPr>
        <w:fldChar w:fldCharType="begin"/>
      </w:r>
      <w:r>
        <w:rPr>
          <w:b/>
          <w:sz w:val="24"/>
          <w:szCs w:val="22"/>
        </w:rPr>
        <w:instrText xml:space="preserve"> PAGEREF _Toc40975436 \h </w:instrText>
      </w:r>
      <w:r>
        <w:rPr>
          <w:b/>
          <w:sz w:val="24"/>
          <w:szCs w:val="22"/>
        </w:rPr>
        <w:fldChar w:fldCharType="separate"/>
      </w:r>
      <w:r>
        <w:rPr>
          <w:b/>
          <w:sz w:val="24"/>
          <w:szCs w:val="22"/>
        </w:rPr>
        <w:t>3</w:t>
      </w:r>
      <w:r>
        <w:rPr>
          <w:b/>
          <w:sz w:val="24"/>
          <w:szCs w:val="22"/>
        </w:rPr>
        <w:fldChar w:fldCharType="end"/>
      </w:r>
      <w:r>
        <w:rPr>
          <w:b/>
          <w:sz w:val="24"/>
          <w:szCs w:val="22"/>
        </w:rPr>
        <w:fldChar w:fldCharType="end"/>
      </w:r>
    </w:p>
    <w:p>
      <w:pPr>
        <w:pStyle w:val="59"/>
        <w:tabs>
          <w:tab w:val="right" w:leader="dot" w:pos="8380"/>
        </w:tabs>
        <w:spacing w:line="360" w:lineRule="auto"/>
        <w:rPr>
          <w:b/>
          <w:sz w:val="24"/>
          <w:szCs w:val="22"/>
        </w:rPr>
      </w:pPr>
      <w:r>
        <w:fldChar w:fldCharType="begin"/>
      </w:r>
      <w:r>
        <w:instrText xml:space="preserve"> HYPERLINK \l "_Toc40975437" </w:instrText>
      </w:r>
      <w:r>
        <w:fldChar w:fldCharType="separate"/>
      </w:r>
      <w:r>
        <w:rPr>
          <w:rFonts w:hint="eastAsia"/>
          <w:b/>
          <w:sz w:val="24"/>
          <w:szCs w:val="22"/>
        </w:rPr>
        <w:t>第二章</w:t>
      </w:r>
      <w:r>
        <w:rPr>
          <w:b/>
          <w:sz w:val="24"/>
          <w:szCs w:val="22"/>
        </w:rPr>
        <w:t xml:space="preserve"> </w:t>
      </w:r>
      <w:r>
        <w:rPr>
          <w:rFonts w:hint="eastAsia"/>
          <w:b/>
          <w:sz w:val="24"/>
          <w:szCs w:val="22"/>
        </w:rPr>
        <w:t>投标人须知前附表</w:t>
      </w:r>
      <w:r>
        <w:rPr>
          <w:b/>
          <w:sz w:val="24"/>
          <w:szCs w:val="22"/>
        </w:rPr>
        <w:tab/>
      </w:r>
      <w:r>
        <w:rPr>
          <w:rFonts w:hint="eastAsia"/>
          <w:b/>
          <w:sz w:val="24"/>
          <w:szCs w:val="22"/>
        </w:rPr>
        <w:t>6</w:t>
      </w:r>
      <w:r>
        <w:rPr>
          <w:rFonts w:hint="eastAsia"/>
          <w:b/>
          <w:sz w:val="24"/>
          <w:szCs w:val="22"/>
        </w:rPr>
        <w:fldChar w:fldCharType="end"/>
      </w:r>
    </w:p>
    <w:p>
      <w:pPr>
        <w:pStyle w:val="59"/>
        <w:tabs>
          <w:tab w:val="right" w:leader="dot" w:pos="8380"/>
        </w:tabs>
        <w:spacing w:line="360" w:lineRule="auto"/>
        <w:rPr>
          <w:b/>
          <w:sz w:val="24"/>
          <w:szCs w:val="22"/>
        </w:rPr>
      </w:pPr>
      <w:r>
        <w:fldChar w:fldCharType="begin"/>
      </w:r>
      <w:r>
        <w:instrText xml:space="preserve"> HYPERLINK \l "_Toc40975438" </w:instrText>
      </w:r>
      <w:r>
        <w:fldChar w:fldCharType="separate"/>
      </w:r>
      <w:r>
        <w:rPr>
          <w:rFonts w:hint="eastAsia"/>
          <w:b/>
          <w:sz w:val="24"/>
          <w:szCs w:val="22"/>
        </w:rPr>
        <w:t>第三章</w:t>
      </w:r>
      <w:r>
        <w:rPr>
          <w:b/>
          <w:sz w:val="24"/>
          <w:szCs w:val="22"/>
        </w:rPr>
        <w:t xml:space="preserve"> </w:t>
      </w:r>
      <w:r>
        <w:rPr>
          <w:rFonts w:hint="eastAsia"/>
          <w:b/>
          <w:sz w:val="24"/>
          <w:szCs w:val="22"/>
        </w:rPr>
        <w:t>货物需求一览表</w:t>
      </w:r>
      <w:r>
        <w:rPr>
          <w:b/>
          <w:sz w:val="24"/>
          <w:szCs w:val="22"/>
        </w:rPr>
        <w:tab/>
      </w:r>
      <w:r>
        <w:rPr>
          <w:rFonts w:hint="eastAsia"/>
          <w:b/>
          <w:sz w:val="24"/>
          <w:szCs w:val="22"/>
        </w:rPr>
        <w:t>8</w:t>
      </w:r>
      <w:r>
        <w:rPr>
          <w:rFonts w:hint="eastAsia"/>
          <w:b/>
          <w:sz w:val="24"/>
          <w:szCs w:val="22"/>
        </w:rPr>
        <w:fldChar w:fldCharType="end"/>
      </w:r>
    </w:p>
    <w:p>
      <w:pPr>
        <w:pStyle w:val="59"/>
        <w:tabs>
          <w:tab w:val="right" w:leader="dot" w:pos="8380"/>
        </w:tabs>
        <w:spacing w:line="360" w:lineRule="auto"/>
        <w:rPr>
          <w:b/>
          <w:sz w:val="24"/>
          <w:szCs w:val="22"/>
        </w:rPr>
      </w:pPr>
      <w:r>
        <w:fldChar w:fldCharType="begin"/>
      </w:r>
      <w:r>
        <w:instrText xml:space="preserve"> HYPERLINK \l "_Toc40975439" </w:instrText>
      </w:r>
      <w:r>
        <w:fldChar w:fldCharType="separate"/>
      </w:r>
      <w:r>
        <w:rPr>
          <w:rFonts w:hint="eastAsia"/>
          <w:b/>
          <w:sz w:val="24"/>
          <w:szCs w:val="22"/>
        </w:rPr>
        <w:t>第四章</w:t>
      </w:r>
      <w:r>
        <w:rPr>
          <w:b/>
          <w:sz w:val="24"/>
          <w:szCs w:val="22"/>
        </w:rPr>
        <w:t xml:space="preserve"> </w:t>
      </w:r>
      <w:r>
        <w:rPr>
          <w:rFonts w:hint="eastAsia"/>
          <w:b/>
          <w:sz w:val="24"/>
          <w:szCs w:val="22"/>
        </w:rPr>
        <w:t>评标</w:t>
      </w:r>
      <w:bookmarkStart w:id="3" w:name="_Hlt47544340"/>
      <w:bookmarkStart w:id="4" w:name="_Hlt47544341"/>
      <w:r>
        <w:rPr>
          <w:rFonts w:hint="eastAsia"/>
          <w:b/>
          <w:sz w:val="24"/>
          <w:szCs w:val="22"/>
        </w:rPr>
        <w:t>办</w:t>
      </w:r>
      <w:bookmarkEnd w:id="3"/>
      <w:bookmarkEnd w:id="4"/>
      <w:r>
        <w:rPr>
          <w:rFonts w:hint="eastAsia"/>
          <w:b/>
          <w:sz w:val="24"/>
          <w:szCs w:val="22"/>
        </w:rPr>
        <w:t>法</w:t>
      </w:r>
      <w:r>
        <w:rPr>
          <w:b/>
          <w:sz w:val="24"/>
          <w:szCs w:val="22"/>
        </w:rPr>
        <w:tab/>
      </w:r>
      <w:r>
        <w:rPr>
          <w:rFonts w:hint="eastAsia"/>
          <w:b/>
          <w:sz w:val="24"/>
          <w:szCs w:val="22"/>
        </w:rPr>
        <w:t>1</w:t>
      </w:r>
      <w:r>
        <w:rPr>
          <w:rFonts w:hint="eastAsia"/>
          <w:b/>
          <w:sz w:val="24"/>
          <w:szCs w:val="22"/>
        </w:rPr>
        <w:fldChar w:fldCharType="end"/>
      </w:r>
      <w:r>
        <w:rPr>
          <w:rFonts w:hint="eastAsia"/>
          <w:b/>
          <w:sz w:val="24"/>
          <w:szCs w:val="22"/>
        </w:rPr>
        <w:t>1</w:t>
      </w:r>
    </w:p>
    <w:p>
      <w:pPr>
        <w:pStyle w:val="59"/>
        <w:tabs>
          <w:tab w:val="right" w:leader="dot" w:pos="8380"/>
        </w:tabs>
        <w:spacing w:line="360" w:lineRule="auto"/>
        <w:rPr>
          <w:b/>
          <w:sz w:val="24"/>
          <w:szCs w:val="22"/>
        </w:rPr>
      </w:pPr>
      <w:r>
        <w:fldChar w:fldCharType="begin"/>
      </w:r>
      <w:r>
        <w:instrText xml:space="preserve"> HYPERLINK \l "_Toc40975441" </w:instrText>
      </w:r>
      <w:r>
        <w:fldChar w:fldCharType="separate"/>
      </w:r>
      <w:r>
        <w:rPr>
          <w:rFonts w:hint="eastAsia"/>
          <w:b/>
          <w:sz w:val="24"/>
          <w:szCs w:val="22"/>
        </w:rPr>
        <w:t>第五章</w:t>
      </w:r>
      <w:r>
        <w:rPr>
          <w:b/>
          <w:sz w:val="24"/>
          <w:szCs w:val="22"/>
        </w:rPr>
        <w:t xml:space="preserve"> </w:t>
      </w:r>
      <w:r>
        <w:rPr>
          <w:rFonts w:hint="eastAsia"/>
          <w:b/>
          <w:sz w:val="24"/>
          <w:szCs w:val="22"/>
        </w:rPr>
        <w:t>投标人须知</w:t>
      </w:r>
      <w:r>
        <w:rPr>
          <w:b/>
          <w:sz w:val="24"/>
          <w:szCs w:val="22"/>
        </w:rPr>
        <w:tab/>
      </w:r>
      <w:r>
        <w:rPr>
          <w:rFonts w:hint="eastAsia"/>
          <w:b/>
          <w:sz w:val="24"/>
          <w:szCs w:val="22"/>
        </w:rPr>
        <w:t>1</w:t>
      </w:r>
      <w:r>
        <w:rPr>
          <w:rFonts w:hint="eastAsia"/>
          <w:b/>
          <w:sz w:val="24"/>
          <w:szCs w:val="22"/>
        </w:rPr>
        <w:fldChar w:fldCharType="end"/>
      </w:r>
      <w:r>
        <w:rPr>
          <w:rFonts w:hint="eastAsia"/>
          <w:b/>
          <w:sz w:val="24"/>
          <w:szCs w:val="22"/>
        </w:rPr>
        <w:t>6</w:t>
      </w:r>
    </w:p>
    <w:p>
      <w:pPr>
        <w:pStyle w:val="59"/>
        <w:tabs>
          <w:tab w:val="right" w:leader="dot" w:pos="8380"/>
        </w:tabs>
        <w:spacing w:line="360" w:lineRule="auto"/>
        <w:rPr>
          <w:b/>
          <w:sz w:val="24"/>
          <w:szCs w:val="22"/>
        </w:rPr>
      </w:pPr>
      <w:r>
        <w:fldChar w:fldCharType="begin"/>
      </w:r>
      <w:r>
        <w:instrText xml:space="preserve"> HYPERLINK \l "_Toc40975448" </w:instrText>
      </w:r>
      <w:r>
        <w:fldChar w:fldCharType="separate"/>
      </w:r>
      <w:r>
        <w:rPr>
          <w:rFonts w:hint="eastAsia"/>
          <w:b/>
          <w:sz w:val="24"/>
          <w:szCs w:val="22"/>
        </w:rPr>
        <w:t>第六章</w:t>
      </w:r>
      <w:r>
        <w:rPr>
          <w:b/>
          <w:sz w:val="24"/>
          <w:szCs w:val="22"/>
        </w:rPr>
        <w:t xml:space="preserve"> </w:t>
      </w:r>
      <w:r>
        <w:rPr>
          <w:rFonts w:hint="eastAsia"/>
          <w:b/>
          <w:sz w:val="24"/>
          <w:szCs w:val="22"/>
        </w:rPr>
        <w:t>周口市政府采购合同（货物类）标准文本、合同签订指引、供应商履约验收指引</w:t>
      </w:r>
      <w:r>
        <w:rPr>
          <w:b/>
          <w:sz w:val="24"/>
          <w:szCs w:val="22"/>
        </w:rPr>
        <w:tab/>
      </w:r>
      <w:r>
        <w:rPr>
          <w:rFonts w:hint="eastAsia"/>
          <w:b/>
          <w:sz w:val="24"/>
          <w:szCs w:val="22"/>
        </w:rPr>
        <w:t>2</w:t>
      </w:r>
      <w:r>
        <w:rPr>
          <w:rFonts w:hint="eastAsia"/>
          <w:b/>
          <w:sz w:val="24"/>
          <w:szCs w:val="22"/>
        </w:rPr>
        <w:fldChar w:fldCharType="end"/>
      </w:r>
      <w:r>
        <w:rPr>
          <w:rFonts w:hint="eastAsia"/>
          <w:b/>
          <w:sz w:val="24"/>
          <w:szCs w:val="22"/>
        </w:rPr>
        <w:t>9</w:t>
      </w:r>
    </w:p>
    <w:p>
      <w:pPr>
        <w:pStyle w:val="59"/>
        <w:tabs>
          <w:tab w:val="right" w:leader="dot" w:pos="8380"/>
        </w:tabs>
        <w:spacing w:line="360" w:lineRule="auto"/>
        <w:rPr>
          <w:b/>
          <w:sz w:val="24"/>
          <w:szCs w:val="22"/>
        </w:rPr>
      </w:pPr>
      <w:r>
        <w:rPr>
          <w:rFonts w:hint="eastAsia"/>
          <w:b/>
          <w:sz w:val="24"/>
          <w:szCs w:val="22"/>
        </w:rPr>
        <w:t>第七章 投标文件格式</w:t>
      </w:r>
      <w:r>
        <w:rPr>
          <w:rFonts w:hint="eastAsia"/>
          <w:b/>
          <w:sz w:val="24"/>
          <w:szCs w:val="22"/>
        </w:rPr>
        <w:tab/>
      </w:r>
      <w:r>
        <w:rPr>
          <w:rFonts w:hint="eastAsia"/>
          <w:b/>
          <w:sz w:val="24"/>
          <w:szCs w:val="22"/>
        </w:rPr>
        <w:t>36</w:t>
      </w:r>
    </w:p>
    <w:p>
      <w:pPr>
        <w:pStyle w:val="59"/>
        <w:tabs>
          <w:tab w:val="right" w:leader="dot" w:pos="8380"/>
        </w:tabs>
        <w:spacing w:line="360" w:lineRule="auto"/>
        <w:rPr>
          <w:b/>
          <w:sz w:val="24"/>
          <w:szCs w:val="22"/>
        </w:rPr>
      </w:pPr>
      <w:r>
        <w:rPr>
          <w:rFonts w:hint="eastAsia"/>
          <w:b/>
          <w:sz w:val="24"/>
          <w:szCs w:val="22"/>
        </w:rPr>
        <w:t>周口市政府采购合同融资政策告知函</w:t>
      </w:r>
      <w:r>
        <w:rPr>
          <w:rFonts w:hint="eastAsia"/>
          <w:b/>
          <w:sz w:val="24"/>
          <w:szCs w:val="22"/>
        </w:rPr>
        <w:tab/>
      </w:r>
      <w:r>
        <w:rPr>
          <w:rFonts w:hint="eastAsia"/>
          <w:b/>
          <w:sz w:val="24"/>
          <w:szCs w:val="22"/>
        </w:rPr>
        <w:t>48</w:t>
      </w:r>
    </w:p>
    <w:p>
      <w:pPr>
        <w:pStyle w:val="59"/>
        <w:tabs>
          <w:tab w:val="right" w:leader="dot" w:pos="8380"/>
        </w:tabs>
        <w:spacing w:line="360" w:lineRule="auto"/>
        <w:rPr>
          <w:b/>
          <w:sz w:val="24"/>
          <w:szCs w:val="22"/>
        </w:rPr>
      </w:pPr>
    </w:p>
    <w:p/>
    <w:p/>
    <w:p>
      <w:pPr>
        <w:pStyle w:val="59"/>
        <w:tabs>
          <w:tab w:val="right" w:leader="dot" w:pos="8380"/>
        </w:tabs>
        <w:spacing w:line="360" w:lineRule="auto"/>
        <w:rPr>
          <w:b/>
          <w:sz w:val="24"/>
          <w:szCs w:val="22"/>
        </w:rPr>
      </w:pPr>
    </w:p>
    <w:p>
      <w:pPr>
        <w:pStyle w:val="59"/>
        <w:tabs>
          <w:tab w:val="right" w:leader="dot" w:pos="8380"/>
        </w:tabs>
        <w:spacing w:line="360" w:lineRule="auto"/>
        <w:rPr>
          <w:b/>
          <w:sz w:val="24"/>
          <w:szCs w:val="22"/>
        </w:rPr>
      </w:pPr>
      <w:r>
        <w:rPr>
          <w:rFonts w:hint="eastAsia"/>
          <w:b/>
          <w:sz w:val="24"/>
          <w:szCs w:val="22"/>
        </w:rPr>
        <w:fldChar w:fldCharType="end"/>
      </w: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rPr>
          <w:rFonts w:ascii="宋体" w:hAnsi="宋体" w:cs="宋体"/>
          <w:b/>
          <w:bCs/>
          <w:caps/>
          <w:sz w:val="24"/>
          <w:szCs w:val="24"/>
        </w:rPr>
      </w:pPr>
    </w:p>
    <w:p>
      <w:pPr>
        <w:jc w:val="center"/>
        <w:rPr>
          <w:rFonts w:ascii="宋体" w:hAnsi="宋体" w:cs="宋体"/>
          <w:b/>
          <w:bCs/>
          <w:caps/>
          <w:sz w:val="24"/>
          <w:szCs w:val="24"/>
        </w:rPr>
      </w:pPr>
      <w:r>
        <w:rPr>
          <w:rFonts w:ascii="宋体" w:hAnsi="宋体" w:cs="宋体"/>
          <w:b/>
          <w:bCs/>
          <w:caps/>
          <w:sz w:val="24"/>
          <w:szCs w:val="24"/>
        </w:rPr>
        <w:br w:type="page"/>
      </w:r>
    </w:p>
    <w:p>
      <w:pPr>
        <w:pStyle w:val="8"/>
        <w:spacing w:before="0" w:after="0" w:line="240" w:lineRule="auto"/>
        <w:ind w:firstLine="0"/>
        <w:rPr>
          <w:rFonts w:ascii="宋体" w:hAnsi="宋体" w:eastAsia="宋体" w:cs="宋体"/>
        </w:rPr>
      </w:pPr>
      <w:bookmarkStart w:id="5" w:name="_Toc28426_WPSOffice_Level1"/>
      <w:bookmarkStart w:id="6" w:name="_Toc40975436"/>
      <w:r>
        <w:rPr>
          <w:rFonts w:hint="eastAsia" w:ascii="宋体" w:hAnsi="宋体" w:eastAsia="宋体" w:cs="宋体"/>
        </w:rPr>
        <w:t>第一章  招标公告</w:t>
      </w:r>
      <w:bookmarkEnd w:id="5"/>
      <w:bookmarkEnd w:id="6"/>
    </w:p>
    <w:p>
      <w:pPr>
        <w:pStyle w:val="66"/>
        <w:shd w:val="clear" w:color="auto" w:fill="FFFFFF"/>
        <w:snapToGrid w:val="0"/>
        <w:spacing w:before="0" w:beforeAutospacing="0" w:after="0" w:afterAutospacing="0" w:line="360" w:lineRule="auto"/>
        <w:ind w:firstLine="480"/>
        <w:jc w:val="both"/>
        <w:rPr>
          <w:rFonts w:cs="宋体"/>
          <w:color w:val="000000"/>
          <w:shd w:val="clear" w:color="auto" w:fill="FFFFFF"/>
        </w:rPr>
      </w:pPr>
    </w:p>
    <w:p>
      <w:pPr>
        <w:adjustRightInd w:val="0"/>
        <w:snapToGrid w:val="0"/>
        <w:spacing w:line="360" w:lineRule="auto"/>
        <w:ind w:firstLine="480" w:firstLineChars="200"/>
        <w:jc w:val="left"/>
        <w:rPr>
          <w:rFonts w:ascii="宋体" w:hAnsi="宋体" w:cs="宋体"/>
          <w:sz w:val="24"/>
          <w:szCs w:val="24"/>
        </w:rPr>
      </w:pPr>
      <w:bookmarkStart w:id="7" w:name="_Hlt510343011"/>
      <w:bookmarkStart w:id="8" w:name="_Hlt510342998"/>
      <w:bookmarkStart w:id="9" w:name="_Toc7329_WPSOffice_Level1"/>
      <w:r>
        <w:rPr>
          <w:rFonts w:hint="eastAsia" w:ascii="宋体" w:hAnsi="宋体" w:cs="宋体"/>
          <w:sz w:val="24"/>
          <w:szCs w:val="24"/>
        </w:rPr>
        <w:t>项目概况</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河南省周口市中医院周口市公立医院改革与高质量发展示范项目信息化建设筑基工程智慧医院项目的潜在投标人应在周口市公共资源交易中心网（http://jyzx.zhoukou.gov.cn）获取招标文件，并于</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 xml:space="preserve"> 10</w:t>
      </w:r>
      <w:r>
        <w:rPr>
          <w:rFonts w:hint="eastAsia" w:ascii="宋体" w:hAnsi="宋体" w:cs="宋体"/>
          <w:sz w:val="24"/>
          <w:szCs w:val="24"/>
        </w:rPr>
        <w:t>点</w:t>
      </w:r>
      <w:r>
        <w:rPr>
          <w:rFonts w:hint="eastAsia" w:ascii="宋体" w:hAnsi="宋体" w:cs="宋体"/>
          <w:sz w:val="24"/>
          <w:szCs w:val="24"/>
          <w:lang w:val="en-US" w:eastAsia="zh-CN"/>
        </w:rPr>
        <w:t>00</w:t>
      </w:r>
      <w:r>
        <w:rPr>
          <w:rFonts w:hint="eastAsia" w:ascii="宋体" w:hAnsi="宋体" w:cs="宋体"/>
          <w:sz w:val="24"/>
          <w:szCs w:val="24"/>
        </w:rPr>
        <w:t>分（北京时间）递交投标文件。</w:t>
      </w:r>
    </w:p>
    <w:p>
      <w:pPr>
        <w:adjustRightInd w:val="0"/>
        <w:snapToGrid w:val="0"/>
        <w:spacing w:line="360" w:lineRule="auto"/>
        <w:ind w:firstLine="480" w:firstLineChars="200"/>
        <w:jc w:val="left"/>
        <w:rPr>
          <w:rFonts w:ascii="宋体" w:hAnsi="宋体" w:cs="宋体"/>
          <w:sz w:val="24"/>
          <w:szCs w:val="24"/>
        </w:rPr>
      </w:pPr>
      <w:bookmarkStart w:id="10" w:name="_Toc35393621"/>
      <w:bookmarkStart w:id="11" w:name="_Toc35393790"/>
      <w:bookmarkStart w:id="12" w:name="_Toc28359079"/>
      <w:bookmarkStart w:id="13" w:name="_Toc28359002"/>
      <w:bookmarkStart w:id="14" w:name="_Hlk24379207"/>
      <w:r>
        <w:rPr>
          <w:rFonts w:hint="eastAsia" w:ascii="宋体" w:hAnsi="宋体" w:cs="宋体"/>
          <w:sz w:val="24"/>
          <w:szCs w:val="24"/>
        </w:rPr>
        <w:t>一、项目基本情况</w:t>
      </w:r>
      <w:bookmarkEnd w:id="10"/>
      <w:bookmarkEnd w:id="11"/>
      <w:bookmarkEnd w:id="12"/>
      <w:bookmarkEnd w:id="13"/>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项目编号：2023-09-138</w:t>
      </w:r>
    </w:p>
    <w:p>
      <w:pPr>
        <w:keepNext w:val="0"/>
        <w:keepLines w:val="0"/>
        <w:pageBreakBefore w:val="0"/>
        <w:widowControl w:val="0"/>
        <w:kinsoku/>
        <w:wordWrap/>
        <w:overflowPunct/>
        <w:topLinePunct w:val="0"/>
        <w:autoSpaceDE/>
        <w:autoSpaceDN/>
        <w:bidi w:val="0"/>
        <w:adjustRightInd w:val="0"/>
        <w:snapToGrid w:val="0"/>
        <w:spacing w:line="360" w:lineRule="auto"/>
        <w:ind w:left="479" w:leftChars="228" w:firstLine="0" w:firstLineChars="0"/>
        <w:jc w:val="left"/>
        <w:textAlignment w:val="auto"/>
        <w:rPr>
          <w:rFonts w:hint="eastAsia" w:ascii="宋体" w:hAnsi="宋体" w:cs="宋体"/>
          <w:sz w:val="24"/>
          <w:szCs w:val="24"/>
        </w:rPr>
      </w:pPr>
      <w:r>
        <w:rPr>
          <w:rFonts w:hint="eastAsia" w:ascii="宋体" w:hAnsi="宋体" w:cs="宋体"/>
          <w:sz w:val="24"/>
          <w:szCs w:val="24"/>
        </w:rPr>
        <w:t>项目名称：周口市中医院河南省周口市中医院周口市公立医院改革与高质量发展示范项目信息化建设筑基工程智慧医院项目</w:t>
      </w:r>
    </w:p>
    <w:bookmarkEnd w:id="14"/>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535</w:t>
      </w:r>
      <w:r>
        <w:rPr>
          <w:rFonts w:hint="eastAsia" w:ascii="宋体" w:hAnsi="宋体" w:cs="宋体"/>
          <w:sz w:val="24"/>
          <w:szCs w:val="24"/>
        </w:rPr>
        <w:t>万元</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535</w:t>
      </w:r>
      <w:r>
        <w:rPr>
          <w:rFonts w:hint="eastAsia" w:ascii="宋体" w:hAnsi="宋体" w:cs="宋体"/>
          <w:color w:val="000000" w:themeColor="text1"/>
          <w:sz w:val="24"/>
          <w:szCs w:val="24"/>
          <w14:textFill>
            <w14:solidFill>
              <w14:schemeClr w14:val="tx1"/>
            </w14:solidFill>
          </w14:textFill>
        </w:rPr>
        <w:t>万元</w:t>
      </w:r>
    </w:p>
    <w:p>
      <w:pPr>
        <w:pStyle w:val="3"/>
        <w:adjustRightInd w:val="0"/>
        <w:snapToGrid w:val="0"/>
        <w:spacing w:line="360" w:lineRule="auto"/>
        <w:ind w:firstLine="480" w:firstLineChars="200"/>
      </w:pPr>
      <w:r>
        <w:rPr>
          <w:rFonts w:hint="eastAsia" w:hAnsi="宋体" w:cs="宋体"/>
          <w:kern w:val="0"/>
          <w:sz w:val="24"/>
          <w:szCs w:val="24"/>
        </w:rPr>
        <w:t>采购方式：公开招标</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包别划分：</w:t>
      </w:r>
      <w:r>
        <w:rPr>
          <w:rFonts w:hint="eastAsia" w:ascii="宋体" w:hAnsi="宋体" w:cs="宋体"/>
          <w:sz w:val="24"/>
          <w:szCs w:val="24"/>
          <w:u w:val="single"/>
        </w:rPr>
        <w:t xml:space="preserve"> 1 </w:t>
      </w:r>
      <w:r>
        <w:rPr>
          <w:rFonts w:hint="eastAsia" w:ascii="宋体" w:hAnsi="宋体" w:cs="宋体"/>
          <w:sz w:val="24"/>
          <w:szCs w:val="24"/>
        </w:rPr>
        <w:t>个包</w:t>
      </w:r>
    </w:p>
    <w:tbl>
      <w:tblPr>
        <w:tblStyle w:val="71"/>
        <w:tblpPr w:leftFromText="180" w:rightFromText="180" w:vertAnchor="text" w:horzAnchor="margin" w:tblpXSpec="center" w:tblpY="15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532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8" w:type="dxa"/>
            <w:vAlign w:val="center"/>
          </w:tcPr>
          <w:p>
            <w:pPr>
              <w:adjustRightInd w:val="0"/>
              <w:snapToGrid w:val="0"/>
              <w:spacing w:line="360" w:lineRule="auto"/>
              <w:ind w:firstLine="200"/>
              <w:jc w:val="left"/>
              <w:rPr>
                <w:rFonts w:ascii="宋体" w:hAnsi="宋体" w:cs="宋体"/>
                <w:sz w:val="24"/>
                <w:szCs w:val="24"/>
              </w:rPr>
            </w:pPr>
            <w:r>
              <w:rPr>
                <w:rFonts w:hint="eastAsia" w:ascii="宋体" w:hAnsi="宋体" w:cs="宋体"/>
                <w:sz w:val="24"/>
                <w:szCs w:val="24"/>
              </w:rPr>
              <w:t>包号</w:t>
            </w:r>
          </w:p>
        </w:tc>
        <w:tc>
          <w:tcPr>
            <w:tcW w:w="5322" w:type="dxa"/>
            <w:vAlign w:val="center"/>
          </w:tcPr>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包名称</w:t>
            </w:r>
          </w:p>
        </w:tc>
        <w:tc>
          <w:tcPr>
            <w:tcW w:w="2207" w:type="dxa"/>
            <w:vAlign w:val="center"/>
          </w:tcPr>
          <w:p>
            <w:pPr>
              <w:adjustRightInd w:val="0"/>
              <w:snapToGrid w:val="0"/>
              <w:spacing w:line="360" w:lineRule="auto"/>
              <w:jc w:val="center"/>
              <w:rPr>
                <w:rFonts w:ascii="宋体" w:hAnsi="宋体" w:cs="宋体"/>
                <w:sz w:val="24"/>
                <w:szCs w:val="24"/>
              </w:rPr>
            </w:pPr>
            <w:r>
              <w:rPr>
                <w:rFonts w:hint="eastAsia" w:ascii="宋体" w:hAnsi="宋体" w:cs="宋体"/>
                <w:sz w:val="24"/>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48" w:type="dxa"/>
            <w:vAlign w:val="center"/>
          </w:tcPr>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w:t>
            </w:r>
          </w:p>
        </w:tc>
        <w:tc>
          <w:tcPr>
            <w:tcW w:w="5322" w:type="dxa"/>
            <w:vAlign w:val="center"/>
          </w:tcPr>
          <w:p>
            <w:pPr>
              <w:adjustRightInd w:val="0"/>
              <w:snapToGrid w:val="0"/>
              <w:spacing w:line="360" w:lineRule="auto"/>
              <w:ind w:firstLine="200"/>
              <w:rPr>
                <w:szCs w:val="22"/>
              </w:rPr>
            </w:pPr>
            <w:r>
              <w:rPr>
                <w:rFonts w:hint="eastAsia"/>
                <w:sz w:val="24"/>
                <w:szCs w:val="24"/>
              </w:rPr>
              <w:t>信息化建设筑基工程智慧医院</w:t>
            </w:r>
          </w:p>
        </w:tc>
        <w:tc>
          <w:tcPr>
            <w:tcW w:w="2207" w:type="dxa"/>
            <w:vAlign w:val="center"/>
          </w:tcPr>
          <w:p>
            <w:pPr>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535</w:t>
            </w:r>
          </w:p>
        </w:tc>
      </w:tr>
    </w:tbl>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采购需求：详见采购文件（包括但不限于标的的名称、数量、简要技术需求或服务要求等）</w:t>
      </w:r>
    </w:p>
    <w:p>
      <w:pPr>
        <w:adjustRightInd w:val="0"/>
        <w:snapToGrid w:val="0"/>
        <w:spacing w:line="360" w:lineRule="auto"/>
        <w:ind w:firstLine="439" w:firstLineChars="183"/>
        <w:rPr>
          <w:rFonts w:ascii="宋体" w:hAnsi="宋体" w:cs="宋体"/>
          <w:color w:val="000000" w:themeColor="text1"/>
          <w:sz w:val="24"/>
          <w:szCs w:val="22"/>
          <w14:textFill>
            <w14:solidFill>
              <w14:schemeClr w14:val="tx1"/>
            </w14:solidFill>
          </w14:textFill>
        </w:rPr>
      </w:pPr>
      <w:bookmarkStart w:id="15" w:name="_Toc28359080"/>
      <w:bookmarkStart w:id="16" w:name="_Toc28359003"/>
      <w:bookmarkStart w:id="17" w:name="_Toc35393791"/>
      <w:bookmarkStart w:id="18" w:name="_Toc35393622"/>
      <w:r>
        <w:rPr>
          <w:rFonts w:ascii="宋体" w:hAnsi="宋体" w:cs="宋体"/>
          <w:color w:val="000000" w:themeColor="text1"/>
          <w:sz w:val="24"/>
          <w14:textFill>
            <w14:solidFill>
              <w14:schemeClr w14:val="tx1"/>
            </w14:solidFill>
          </w14:textFill>
        </w:rPr>
        <w:t>合同履行期限：</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0</w:t>
      </w:r>
      <w:r>
        <w:rPr>
          <w:rFonts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历天，验收合格后</w:t>
      </w:r>
      <w:r>
        <w:rPr>
          <w:rFonts w:hint="eastAsia" w:ascii="宋体" w:hAnsi="宋体" w:cs="宋体"/>
          <w:color w:val="000000" w:themeColor="text1"/>
          <w:sz w:val="24"/>
          <w:szCs w:val="22"/>
          <w14:textFill>
            <w14:solidFill>
              <w14:schemeClr w14:val="tx1"/>
            </w14:solidFill>
          </w14:textFill>
        </w:rPr>
        <w:t>免费维护期3年。</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是否接受进口产品：否</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本项目是否接受联合体投标：否</w:t>
      </w:r>
    </w:p>
    <w:p>
      <w:pPr>
        <w:adjustRightInd w:val="0"/>
        <w:snapToGrid w:val="0"/>
        <w:spacing w:line="36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本项目是否为只面向中小企业采购：</w:t>
      </w:r>
      <w:r>
        <w:rPr>
          <w:rFonts w:hint="eastAsia" w:ascii="宋体" w:hAnsi="宋体" w:cs="宋体"/>
          <w:color w:val="000000" w:themeColor="text1"/>
          <w:sz w:val="24"/>
          <w:szCs w:val="24"/>
          <w:lang w:val="en-US" w:eastAsia="zh-CN"/>
          <w14:textFill>
            <w14:solidFill>
              <w14:schemeClr w14:val="tx1"/>
            </w14:solidFill>
          </w14:textFill>
        </w:rPr>
        <w:t>是</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二、申请人的资格要求：</w:t>
      </w:r>
      <w:bookmarkEnd w:id="15"/>
      <w:bookmarkEnd w:id="16"/>
      <w:bookmarkEnd w:id="17"/>
      <w:bookmarkEnd w:id="18"/>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1.满足《中华人民共和国政府采购法》第二十二条规定；</w:t>
      </w:r>
    </w:p>
    <w:p>
      <w:pPr>
        <w:pStyle w:val="3"/>
        <w:adjustRightInd w:val="0"/>
        <w:snapToGrid w:val="0"/>
        <w:spacing w:line="360" w:lineRule="auto"/>
        <w:ind w:firstLine="480" w:firstLineChars="200"/>
        <w:rPr>
          <w:rFonts w:hAnsi="宋体" w:cs="宋体"/>
          <w:sz w:val="24"/>
          <w:szCs w:val="24"/>
        </w:rPr>
      </w:pPr>
      <w:r>
        <w:rPr>
          <w:rFonts w:hint="eastAsia" w:hAnsi="宋体" w:cs="宋体"/>
          <w:sz w:val="24"/>
          <w:szCs w:val="24"/>
        </w:rPr>
        <w:t>（1）具有独立承担民事责任的能力（企业营业执照等证明文件）；</w:t>
      </w:r>
    </w:p>
    <w:p>
      <w:pPr>
        <w:pStyle w:val="3"/>
        <w:adjustRightInd w:val="0"/>
        <w:snapToGrid w:val="0"/>
        <w:spacing w:line="360" w:lineRule="auto"/>
        <w:ind w:firstLine="480" w:firstLineChars="200"/>
        <w:rPr>
          <w:rFonts w:hAnsi="宋体" w:cs="宋体"/>
          <w:sz w:val="24"/>
          <w:szCs w:val="24"/>
        </w:rPr>
      </w:pPr>
      <w:r>
        <w:rPr>
          <w:rFonts w:hint="eastAsia" w:hAnsi="宋体" w:cs="宋体"/>
          <w:sz w:val="24"/>
          <w:szCs w:val="24"/>
        </w:rPr>
        <w:t>（2）具有良好的商业信誉和健全的财务会计制度；</w:t>
      </w:r>
    </w:p>
    <w:p>
      <w:pPr>
        <w:pStyle w:val="3"/>
        <w:adjustRightInd w:val="0"/>
        <w:snapToGrid w:val="0"/>
        <w:spacing w:line="360" w:lineRule="auto"/>
        <w:ind w:firstLine="480" w:firstLineChars="200"/>
        <w:rPr>
          <w:rFonts w:hAnsi="宋体" w:cs="宋体"/>
          <w:sz w:val="24"/>
          <w:szCs w:val="24"/>
        </w:rPr>
      </w:pPr>
      <w:r>
        <w:rPr>
          <w:rFonts w:hint="eastAsia" w:hAnsi="宋体" w:cs="宋体"/>
          <w:sz w:val="24"/>
          <w:szCs w:val="24"/>
        </w:rPr>
        <w:t>（3）具有履行合同所必需的设备和专业技术能力；</w:t>
      </w:r>
    </w:p>
    <w:p>
      <w:pPr>
        <w:pStyle w:val="3"/>
        <w:adjustRightInd w:val="0"/>
        <w:snapToGrid w:val="0"/>
        <w:spacing w:line="360" w:lineRule="auto"/>
        <w:ind w:firstLine="480" w:firstLineChars="200"/>
        <w:rPr>
          <w:rFonts w:hAnsi="宋体" w:cs="宋体"/>
          <w:sz w:val="24"/>
          <w:szCs w:val="24"/>
        </w:rPr>
      </w:pPr>
      <w:r>
        <w:rPr>
          <w:rFonts w:hint="eastAsia" w:hAnsi="宋体" w:cs="宋体"/>
          <w:sz w:val="24"/>
          <w:szCs w:val="24"/>
        </w:rPr>
        <w:t>（4）有依法缴纳税收和社会保障资金的良好记录（缴纳的税收凭据、社会保险凭据，依法免税或不需要缴纳社会保障资金的供应商应提供相应的证明文件）；</w:t>
      </w:r>
    </w:p>
    <w:p>
      <w:pPr>
        <w:pStyle w:val="3"/>
        <w:adjustRightInd w:val="0"/>
        <w:snapToGrid w:val="0"/>
        <w:spacing w:line="360" w:lineRule="auto"/>
        <w:ind w:firstLine="480" w:firstLineChars="200"/>
      </w:pPr>
      <w:r>
        <w:rPr>
          <w:rFonts w:hint="eastAsia" w:hAnsi="宋体" w:cs="宋体"/>
          <w:sz w:val="24"/>
          <w:szCs w:val="24"/>
        </w:rPr>
        <w:t>（5）参加政府采购活动前三年内，在经营活动中没有重大违法记录（提供没有重大违法记录的书面声明函，格式自拟）；</w:t>
      </w:r>
    </w:p>
    <w:p>
      <w:pPr>
        <w:adjustRightInd w:val="0"/>
        <w:snapToGrid w:val="0"/>
        <w:spacing w:line="360" w:lineRule="auto"/>
        <w:ind w:firstLine="480" w:firstLineChars="200"/>
        <w:jc w:val="left"/>
        <w:rPr>
          <w:rFonts w:ascii="宋体" w:hAnsi="宋体" w:cs="宋体"/>
          <w:sz w:val="24"/>
          <w:szCs w:val="24"/>
        </w:rPr>
      </w:pPr>
      <w:bookmarkStart w:id="19" w:name="_Toc28359081"/>
      <w:bookmarkStart w:id="20" w:name="_Toc28359004"/>
      <w:r>
        <w:rPr>
          <w:rFonts w:hint="eastAsia" w:ascii="宋体" w:hAnsi="宋体" w:cs="宋体"/>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3.本项目的特定资格要求：（1）根据《关于在政府采购活动中查询及使用信用记录有关问题的通知》(财库[2016]125号)和豫财购【2016】15号的规定，对列入“信用中国”网站（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）的“失信被执行人”、“重大税收违法案件当事人名单（重大税收违法失信主体）”和“中国政府采购”网站(</w:t>
      </w:r>
      <w:r>
        <w:fldChar w:fldCharType="begin"/>
      </w:r>
      <w:r>
        <w:instrText xml:space="preserve"> HYPERLINK "http://www.ccgp.gov.cn/"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)的“政府采购严重违法失信行为记录名单”的供应商，将拒绝其参加政府采购活动；在标书中附加盖公章的</w:t>
      </w:r>
      <w:r>
        <w:rPr>
          <w:rFonts w:hint="eastAsia" w:ascii="宋体" w:hAnsi="宋体" w:cs="宋体"/>
          <w:color w:val="auto"/>
          <w:sz w:val="24"/>
          <w:szCs w:val="24"/>
          <w:lang w:val="en-US" w:eastAsia="zh-CN"/>
        </w:rPr>
        <w:t>供应商及法定代表人</w:t>
      </w:r>
      <w:r>
        <w:rPr>
          <w:rFonts w:hint="eastAsia" w:ascii="宋体" w:hAnsi="宋体" w:cs="宋体"/>
          <w:sz w:val="24"/>
          <w:szCs w:val="24"/>
        </w:rPr>
        <w:t>网页查询扫描件，查询日期为公告发布之日起至投标截止之日止。</w:t>
      </w:r>
    </w:p>
    <w:p>
      <w:pPr>
        <w:adjustRightInd w:val="0"/>
        <w:snapToGrid w:val="0"/>
        <w:spacing w:line="360" w:lineRule="auto"/>
        <w:ind w:firstLine="480" w:firstLineChars="200"/>
        <w:jc w:val="left"/>
        <w:rPr>
          <w:rFonts w:ascii="宋体" w:hAnsi="宋体" w:cs="宋体"/>
          <w:sz w:val="24"/>
          <w:szCs w:val="24"/>
        </w:rPr>
      </w:pPr>
      <w:bookmarkStart w:id="21" w:name="_Toc35393792"/>
      <w:bookmarkStart w:id="22" w:name="_Toc35393623"/>
      <w:r>
        <w:rPr>
          <w:rFonts w:hint="eastAsia" w:ascii="宋体" w:hAnsi="宋体" w:cs="宋体"/>
          <w:sz w:val="24"/>
          <w:szCs w:val="24"/>
        </w:rPr>
        <w:t>三、获取招标文件</w:t>
      </w:r>
      <w:bookmarkEnd w:id="19"/>
      <w:bookmarkEnd w:id="20"/>
      <w:bookmarkEnd w:id="21"/>
      <w:bookmarkEnd w:id="22"/>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日至</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日（北京时间，法定节假日除外）</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地点：周口市公共资源交易中心网（http://jyzx.zhoukou.gov.cn）</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方式：供应商请在网站自主注册后下载采购文件（zkzf格式）及资料，需办理CA数字证书后方可提交响应文件，具体办理事宜请查阅周口市公共资源交易中心网站。</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售价：0</w:t>
      </w:r>
    </w:p>
    <w:p>
      <w:pPr>
        <w:adjustRightInd w:val="0"/>
        <w:snapToGrid w:val="0"/>
        <w:spacing w:line="360" w:lineRule="auto"/>
        <w:ind w:firstLine="480" w:firstLineChars="200"/>
        <w:jc w:val="left"/>
        <w:rPr>
          <w:rFonts w:ascii="宋体" w:hAnsi="宋体" w:cs="宋体"/>
          <w:sz w:val="24"/>
          <w:szCs w:val="24"/>
        </w:rPr>
      </w:pPr>
      <w:bookmarkStart w:id="23" w:name="_Toc28359005"/>
      <w:bookmarkStart w:id="24" w:name="_Toc28359082"/>
      <w:bookmarkStart w:id="25" w:name="_Toc35393793"/>
      <w:bookmarkStart w:id="26" w:name="_Toc35393624"/>
      <w:r>
        <w:rPr>
          <w:rFonts w:hint="eastAsia" w:ascii="宋体" w:hAnsi="宋体" w:cs="宋体"/>
          <w:sz w:val="24"/>
          <w:szCs w:val="24"/>
        </w:rPr>
        <w:t>四、提交投标文件</w:t>
      </w:r>
      <w:bookmarkEnd w:id="23"/>
      <w:bookmarkEnd w:id="24"/>
      <w:r>
        <w:rPr>
          <w:rFonts w:hint="eastAsia" w:ascii="宋体" w:hAnsi="宋体" w:cs="宋体"/>
          <w:sz w:val="24"/>
          <w:szCs w:val="24"/>
        </w:rPr>
        <w:t>截止时间、开标时间和地点</w:t>
      </w:r>
      <w:bookmarkEnd w:id="25"/>
      <w:bookmarkEnd w:id="26"/>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 xml:space="preserve"> 10</w:t>
      </w:r>
      <w:r>
        <w:rPr>
          <w:rFonts w:hint="eastAsia" w:ascii="宋体" w:hAnsi="宋体" w:cs="宋体"/>
          <w:sz w:val="24"/>
          <w:szCs w:val="24"/>
        </w:rPr>
        <w:t>点</w:t>
      </w:r>
      <w:r>
        <w:rPr>
          <w:rFonts w:hint="eastAsia" w:ascii="宋体" w:hAnsi="宋体" w:cs="宋体"/>
          <w:sz w:val="24"/>
          <w:szCs w:val="24"/>
          <w:lang w:val="en-US" w:eastAsia="zh-CN"/>
        </w:rPr>
        <w:t>00</w:t>
      </w:r>
      <w:r>
        <w:rPr>
          <w:rFonts w:hint="eastAsia" w:ascii="宋体" w:hAnsi="宋体" w:cs="宋体"/>
          <w:sz w:val="24"/>
          <w:szCs w:val="24"/>
        </w:rPr>
        <w:t>分（北京时间）</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地点：周口市公共资源交易中心开标室</w:t>
      </w:r>
    </w:p>
    <w:p>
      <w:pPr>
        <w:adjustRightInd w:val="0"/>
        <w:snapToGrid w:val="0"/>
        <w:spacing w:line="360" w:lineRule="auto"/>
        <w:ind w:firstLine="480" w:firstLineChars="200"/>
        <w:jc w:val="left"/>
        <w:rPr>
          <w:rFonts w:ascii="宋体" w:hAnsi="宋体" w:cs="宋体"/>
          <w:sz w:val="24"/>
          <w:szCs w:val="24"/>
        </w:rPr>
      </w:pPr>
      <w:bookmarkStart w:id="27" w:name="_Toc28359007"/>
      <w:bookmarkStart w:id="28" w:name="_Toc35393625"/>
      <w:bookmarkStart w:id="29" w:name="_Toc28359084"/>
      <w:bookmarkStart w:id="30" w:name="_Toc35393794"/>
      <w:r>
        <w:rPr>
          <w:rFonts w:hint="eastAsia" w:ascii="宋体" w:hAnsi="宋体" w:cs="宋体"/>
          <w:sz w:val="24"/>
          <w:szCs w:val="24"/>
        </w:rPr>
        <w:t>五、公告期限</w:t>
      </w:r>
      <w:bookmarkEnd w:id="27"/>
      <w:bookmarkEnd w:id="28"/>
      <w:bookmarkEnd w:id="29"/>
      <w:bookmarkEnd w:id="30"/>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自本公告发布之日起5个工作日。</w:t>
      </w:r>
    </w:p>
    <w:p>
      <w:pPr>
        <w:adjustRightInd w:val="0"/>
        <w:snapToGrid w:val="0"/>
        <w:spacing w:line="360" w:lineRule="auto"/>
        <w:ind w:firstLine="480" w:firstLineChars="200"/>
        <w:jc w:val="left"/>
        <w:rPr>
          <w:rFonts w:ascii="宋体" w:hAnsi="宋体" w:cs="宋体"/>
          <w:sz w:val="24"/>
          <w:szCs w:val="24"/>
        </w:rPr>
      </w:pPr>
      <w:bookmarkStart w:id="31" w:name="_Toc35393795"/>
      <w:bookmarkStart w:id="32" w:name="_Toc35393626"/>
      <w:r>
        <w:rPr>
          <w:rFonts w:hint="eastAsia" w:ascii="宋体" w:hAnsi="宋体" w:cs="宋体"/>
          <w:sz w:val="24"/>
          <w:szCs w:val="24"/>
        </w:rPr>
        <w:t>六、其他补充事宜</w:t>
      </w:r>
      <w:bookmarkEnd w:id="31"/>
      <w:bookmarkEnd w:id="32"/>
    </w:p>
    <w:p>
      <w:pPr>
        <w:adjustRightInd w:val="0"/>
        <w:snapToGrid w:val="0"/>
        <w:spacing w:line="360" w:lineRule="auto"/>
        <w:ind w:firstLine="480" w:firstLineChars="200"/>
        <w:jc w:val="left"/>
        <w:rPr>
          <w:rFonts w:ascii="宋体" w:hAnsi="宋体" w:cs="宋体"/>
          <w:sz w:val="24"/>
          <w:szCs w:val="24"/>
        </w:rPr>
      </w:pPr>
      <w:bookmarkStart w:id="33" w:name="_Toc35393796"/>
      <w:bookmarkStart w:id="34" w:name="_Toc35393627"/>
      <w:bookmarkStart w:id="35" w:name="_Toc28359008"/>
      <w:bookmarkStart w:id="36" w:name="_Toc28359085"/>
      <w:r>
        <w:rPr>
          <w:rFonts w:hint="eastAsia" w:ascii="宋体" w:hAnsi="宋体" w:cs="宋体"/>
          <w:sz w:val="24"/>
          <w:szCs w:val="24"/>
        </w:rPr>
        <w:t>无</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七、对本次招标提出询问，请按以下方式联系。</w:t>
      </w:r>
      <w:bookmarkEnd w:id="33"/>
      <w:bookmarkEnd w:id="34"/>
      <w:bookmarkEnd w:id="35"/>
      <w:bookmarkEnd w:id="36"/>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1.采购人信息</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称：周口市</w:t>
      </w:r>
      <w:r>
        <w:rPr>
          <w:rFonts w:hint="eastAsia" w:ascii="宋体" w:hAnsi="宋体" w:cs="宋体"/>
          <w:sz w:val="24"/>
          <w:szCs w:val="24"/>
          <w:lang w:val="en-US" w:eastAsia="zh-CN"/>
        </w:rPr>
        <w:t>中医院</w:t>
      </w:r>
      <w:r>
        <w:rPr>
          <w:rFonts w:hint="eastAsia" w:ascii="宋体" w:hAnsi="宋体" w:cs="宋体"/>
          <w:sz w:val="24"/>
          <w:szCs w:val="24"/>
        </w:rPr>
        <w:t>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lang w:val="en-US" w:eastAsia="zh-CN"/>
        </w:rPr>
        <w:t>周口市川汇区七一西路33号</w:t>
      </w:r>
      <w:r>
        <w:rPr>
          <w:rFonts w:hint="eastAsia" w:ascii="宋体" w:hAnsi="宋体" w:cs="宋体"/>
          <w:sz w:val="24"/>
          <w:szCs w:val="24"/>
        </w:rPr>
        <w:t>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徐锐</w:t>
      </w:r>
      <w:r>
        <w:rPr>
          <w:rFonts w:hint="eastAsia" w:ascii="宋体" w:hAnsi="宋体" w:cs="宋体"/>
          <w:sz w:val="24"/>
          <w:szCs w:val="24"/>
        </w:rPr>
        <w:t xml:space="preserve">    联系方式：</w:t>
      </w:r>
      <w:r>
        <w:rPr>
          <w:rFonts w:hint="eastAsia" w:ascii="宋体" w:hAnsi="宋体" w:cs="宋体"/>
          <w:sz w:val="24"/>
          <w:szCs w:val="24"/>
          <w:lang w:val="en-US" w:eastAsia="zh-CN"/>
        </w:rPr>
        <w:t>0394-8282792</w:t>
      </w:r>
      <w:r>
        <w:rPr>
          <w:rFonts w:hint="eastAsia" w:ascii="宋体" w:hAnsi="宋体" w:cs="宋体"/>
          <w:sz w:val="24"/>
          <w:szCs w:val="24"/>
        </w:rPr>
        <w:t xml:space="preserve">　　　　　　　　　　　 </w:t>
      </w:r>
      <w:bookmarkStart w:id="37" w:name="_Toc28359086"/>
      <w:bookmarkStart w:id="38" w:name="_Toc28359009"/>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2.采购代理机构信息</w:t>
      </w:r>
      <w:bookmarkEnd w:id="37"/>
      <w:bookmarkEnd w:id="38"/>
    </w:p>
    <w:p>
      <w:pPr>
        <w:pStyle w:val="3"/>
        <w:adjustRightInd w:val="0"/>
        <w:snapToGrid w:val="0"/>
        <w:spacing w:line="360" w:lineRule="auto"/>
        <w:ind w:firstLine="480" w:firstLineChars="200"/>
        <w:rPr>
          <w:rFonts w:hAnsi="宋体" w:cs="宋体"/>
          <w:sz w:val="24"/>
          <w:szCs w:val="24"/>
        </w:rPr>
      </w:pPr>
      <w:r>
        <w:rPr>
          <w:rFonts w:hint="eastAsia" w:hAnsi="宋体" w:cs="宋体"/>
          <w:sz w:val="24"/>
          <w:szCs w:val="24"/>
        </w:rPr>
        <w:t>名 称：周口市公共资源交易中心政府采购中心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址：周口市光明路与政通路交叉口向北100米路东</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闫浩宇</w:t>
      </w:r>
      <w:r>
        <w:rPr>
          <w:rFonts w:hint="eastAsia" w:ascii="宋体" w:hAnsi="宋体" w:cs="宋体"/>
          <w:sz w:val="24"/>
          <w:szCs w:val="24"/>
        </w:rPr>
        <w:t xml:space="preserve">    联系方式：</w:t>
      </w:r>
      <w:bookmarkStart w:id="39" w:name="_Toc28359087"/>
      <w:bookmarkStart w:id="40" w:name="_Toc28359010"/>
      <w:r>
        <w:rPr>
          <w:rFonts w:hint="eastAsia" w:ascii="宋体" w:hAnsi="宋体" w:cs="宋体"/>
          <w:sz w:val="24"/>
          <w:szCs w:val="24"/>
          <w:lang w:val="en-US" w:eastAsia="zh-CN"/>
        </w:rPr>
        <w:t>0394-8106517</w:t>
      </w:r>
      <w:r>
        <w:rPr>
          <w:rFonts w:hint="eastAsia" w:ascii="宋体" w:hAnsi="宋体" w:cs="宋体"/>
          <w:sz w:val="24"/>
          <w:szCs w:val="24"/>
        </w:rPr>
        <w:t>　　　　　　</w:t>
      </w:r>
    </w:p>
    <w:bookmarkEnd w:id="39"/>
    <w:bookmarkEnd w:id="40"/>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3.监督单位：周口市财政局政府采购监督管理科</w:t>
      </w:r>
    </w:p>
    <w:p>
      <w:pPr>
        <w:adjustRightInd w:val="0"/>
        <w:snapToGrid w:val="0"/>
        <w:spacing w:line="360" w:lineRule="auto"/>
        <w:ind w:firstLine="480" w:firstLineChars="200"/>
        <w:jc w:val="left"/>
      </w:pPr>
      <w:r>
        <w:rPr>
          <w:rFonts w:hint="eastAsia" w:ascii="宋体" w:hAnsi="宋体" w:cs="宋体"/>
          <w:sz w:val="24"/>
          <w:szCs w:val="24"/>
        </w:rPr>
        <w:t xml:space="preserve">联系方式： 0394-8106976  </w:t>
      </w:r>
    </w:p>
    <w:p>
      <w:pPr>
        <w:pStyle w:val="80"/>
        <w:adjustRightInd w:val="0"/>
        <w:snapToGrid w:val="0"/>
        <w:spacing w:after="0" w:line="360" w:lineRule="auto"/>
        <w:ind w:firstLine="200" w:firstLineChars="0"/>
      </w:pPr>
    </w:p>
    <w:p>
      <w:pPr>
        <w:pStyle w:val="3"/>
        <w:adjustRightInd w:val="0"/>
        <w:snapToGrid w:val="0"/>
        <w:spacing w:line="360" w:lineRule="auto"/>
        <w:ind w:firstLine="2040" w:firstLineChars="850"/>
        <w:rPr>
          <w:rFonts w:hAnsi="宋体" w:cs="宋体"/>
          <w:sz w:val="24"/>
          <w:szCs w:val="24"/>
        </w:rPr>
      </w:pPr>
      <w:r>
        <w:rPr>
          <w:rFonts w:hint="eastAsia" w:hAnsi="宋体" w:cs="宋体"/>
          <w:sz w:val="24"/>
          <w:szCs w:val="24"/>
        </w:rPr>
        <w:t>周口市公共资源交易中心政府采购中心</w:t>
      </w:r>
    </w:p>
    <w:p>
      <w:pPr>
        <w:pStyle w:val="52"/>
        <w:adjustRightInd w:val="0"/>
        <w:spacing w:line="360" w:lineRule="auto"/>
        <w:ind w:firstLine="3600" w:firstLineChars="1500"/>
        <w:rPr>
          <w:rFonts w:ascii="宋体" w:hAnsi="宋体" w:cs="宋体"/>
        </w:rPr>
      </w:pPr>
      <w:r>
        <w:rPr>
          <w:rFonts w:hint="eastAsia" w:ascii="宋体" w:hAnsi="宋体" w:cs="宋体"/>
          <w:sz w:val="24"/>
          <w:szCs w:val="24"/>
          <w:lang w:val="en-US" w:eastAsia="zh-CN"/>
        </w:rPr>
        <w:t>2023</w:t>
      </w:r>
      <w:r>
        <w:rPr>
          <w:rFonts w:hint="eastAsia" w:ascii="宋体" w:hAnsi="宋体" w:cs="宋体"/>
          <w:sz w:val="24"/>
          <w:szCs w:val="24"/>
        </w:rPr>
        <w:t xml:space="preserve">年 </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21</w:t>
      </w:r>
      <w:bookmarkStart w:id="180" w:name="_GoBack"/>
      <w:bookmarkEnd w:id="180"/>
      <w:r>
        <w:rPr>
          <w:rFonts w:hint="eastAsia" w:ascii="宋体" w:hAnsi="宋体" w:cs="宋体"/>
          <w:sz w:val="24"/>
          <w:szCs w:val="24"/>
        </w:rPr>
        <w:t>日　　</w:t>
      </w:r>
    </w:p>
    <w:p>
      <w:pPr>
        <w:pStyle w:val="52"/>
        <w:adjustRightInd w:val="0"/>
        <w:spacing w:line="360" w:lineRule="auto"/>
        <w:ind w:firstLine="200"/>
      </w:pPr>
    </w:p>
    <w:p>
      <w:pPr>
        <w:pStyle w:val="52"/>
        <w:adjustRightInd w:val="0"/>
        <w:spacing w:line="360" w:lineRule="auto"/>
        <w:ind w:firstLine="200"/>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pPr>
    </w:p>
    <w:p>
      <w:pPr>
        <w:pStyle w:val="52"/>
        <w:adjustRightInd w:val="0"/>
        <w:spacing w:line="360" w:lineRule="auto"/>
        <w:rPr>
          <w:rFonts w:hint="eastAsia"/>
        </w:rPr>
      </w:pPr>
    </w:p>
    <w:p>
      <w:pPr>
        <w:pStyle w:val="52"/>
        <w:adjustRightInd w:val="0"/>
        <w:spacing w:line="360" w:lineRule="auto"/>
        <w:rPr>
          <w:rFonts w:hint="eastAsia"/>
        </w:rPr>
      </w:pPr>
    </w:p>
    <w:p>
      <w:pPr>
        <w:pStyle w:val="52"/>
        <w:adjustRightInd w:val="0"/>
        <w:spacing w:line="360" w:lineRule="auto"/>
      </w:pPr>
    </w:p>
    <w:p>
      <w:pPr>
        <w:pStyle w:val="8"/>
        <w:ind w:firstLine="0"/>
        <w:rPr>
          <w:rFonts w:ascii="宋体" w:hAnsi="宋体" w:eastAsia="宋体" w:cs="宋体"/>
        </w:rPr>
      </w:pPr>
      <w:bookmarkStart w:id="41" w:name="_Toc40975437"/>
      <w:r>
        <w:rPr>
          <w:rFonts w:hint="eastAsia" w:ascii="宋体" w:hAnsi="宋体" w:eastAsia="宋体" w:cs="宋体"/>
        </w:rPr>
        <w:t>第二章 投标人须</w:t>
      </w:r>
      <w:bookmarkEnd w:id="7"/>
      <w:r>
        <w:rPr>
          <w:rFonts w:hint="eastAsia" w:ascii="宋体" w:hAnsi="宋体" w:eastAsia="宋体" w:cs="宋体"/>
        </w:rPr>
        <w:t>知前</w:t>
      </w:r>
      <w:bookmarkEnd w:id="8"/>
      <w:r>
        <w:rPr>
          <w:rFonts w:hint="eastAsia" w:ascii="宋体" w:hAnsi="宋体" w:eastAsia="宋体" w:cs="宋体"/>
        </w:rPr>
        <w:t>附表</w:t>
      </w:r>
      <w:bookmarkEnd w:id="9"/>
      <w:bookmarkEnd w:id="41"/>
    </w:p>
    <w:tbl>
      <w:tblPr>
        <w:tblStyle w:val="71"/>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084"/>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9" w:type="dxa"/>
            <w:vAlign w:val="center"/>
          </w:tcPr>
          <w:p>
            <w:pPr>
              <w:rPr>
                <w:rFonts w:ascii="宋体" w:hAnsi="宋体"/>
                <w:sz w:val="24"/>
                <w:szCs w:val="24"/>
              </w:rPr>
            </w:pPr>
            <w:bookmarkStart w:id="42" w:name="_Hlt516969057"/>
            <w:bookmarkEnd w:id="42"/>
            <w:bookmarkStart w:id="43" w:name="_Hlt509650027"/>
            <w:bookmarkEnd w:id="43"/>
            <w:bookmarkStart w:id="44" w:name="_Hlt509650351"/>
            <w:bookmarkEnd w:id="44"/>
            <w:bookmarkStart w:id="45" w:name="_Hlt519045778"/>
            <w:bookmarkEnd w:id="45"/>
            <w:bookmarkStart w:id="46" w:name="_Toc450_WPSOffice_Level1"/>
            <w:bookmarkStart w:id="47" w:name="_Toc220232390"/>
            <w:r>
              <w:rPr>
                <w:rFonts w:hint="eastAsia" w:ascii="宋体" w:hAnsi="宋体"/>
                <w:sz w:val="24"/>
                <w:szCs w:val="24"/>
              </w:rPr>
              <w:t>序号</w:t>
            </w:r>
          </w:p>
        </w:tc>
        <w:tc>
          <w:tcPr>
            <w:tcW w:w="2084" w:type="dxa"/>
            <w:vAlign w:val="center"/>
          </w:tcPr>
          <w:p>
            <w:pPr>
              <w:rPr>
                <w:rFonts w:ascii="宋体" w:hAnsi="宋体"/>
                <w:sz w:val="24"/>
                <w:szCs w:val="24"/>
              </w:rPr>
            </w:pPr>
            <w:r>
              <w:rPr>
                <w:rFonts w:hint="eastAsia" w:ascii="宋体" w:hAnsi="宋体"/>
                <w:sz w:val="24"/>
                <w:szCs w:val="24"/>
              </w:rPr>
              <w:t>内容</w:t>
            </w:r>
          </w:p>
        </w:tc>
        <w:tc>
          <w:tcPr>
            <w:tcW w:w="5723" w:type="dxa"/>
            <w:vAlign w:val="center"/>
          </w:tcPr>
          <w:p>
            <w:pPr>
              <w:rPr>
                <w:rFonts w:ascii="宋体" w:hAnsi="宋体"/>
                <w:sz w:val="24"/>
                <w:szCs w:val="24"/>
              </w:rPr>
            </w:pPr>
            <w:r>
              <w:rPr>
                <w:rFonts w:hint="eastAsia" w:ascii="宋体" w:hAnsi="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9" w:type="dxa"/>
            <w:vAlign w:val="center"/>
          </w:tcPr>
          <w:p>
            <w:pPr>
              <w:rPr>
                <w:rFonts w:ascii="宋体" w:hAnsi="宋体"/>
                <w:sz w:val="24"/>
                <w:szCs w:val="24"/>
              </w:rPr>
            </w:pPr>
            <w:r>
              <w:rPr>
                <w:rFonts w:hint="eastAsia" w:ascii="宋体" w:hAnsi="宋体"/>
                <w:sz w:val="24"/>
                <w:szCs w:val="24"/>
              </w:rPr>
              <w:t>1</w:t>
            </w:r>
          </w:p>
        </w:tc>
        <w:tc>
          <w:tcPr>
            <w:tcW w:w="2084" w:type="dxa"/>
            <w:vAlign w:val="center"/>
          </w:tcPr>
          <w:p>
            <w:pPr>
              <w:rPr>
                <w:rFonts w:ascii="宋体" w:hAnsi="宋体"/>
                <w:sz w:val="24"/>
                <w:szCs w:val="24"/>
              </w:rPr>
            </w:pPr>
            <w:r>
              <w:rPr>
                <w:rFonts w:hint="eastAsia" w:ascii="宋体" w:hAnsi="宋体"/>
                <w:sz w:val="24"/>
                <w:szCs w:val="24"/>
              </w:rPr>
              <w:t>采购人</w:t>
            </w:r>
          </w:p>
        </w:tc>
        <w:tc>
          <w:tcPr>
            <w:tcW w:w="5723" w:type="dxa"/>
            <w:vAlign w:val="center"/>
          </w:tcPr>
          <w:p>
            <w:pPr>
              <w:rPr>
                <w:rFonts w:ascii="宋体" w:hAnsi="宋体"/>
                <w:sz w:val="24"/>
                <w:szCs w:val="24"/>
              </w:rPr>
            </w:pPr>
            <w:r>
              <w:rPr>
                <w:rFonts w:hint="eastAsia" w:ascii="宋体" w:hAnsi="宋体"/>
                <w:sz w:val="24"/>
                <w:szCs w:val="24"/>
              </w:rPr>
              <w:t>周口市</w:t>
            </w:r>
            <w:r>
              <w:rPr>
                <w:rFonts w:hint="eastAsia" w:ascii="宋体" w:hAnsi="宋体"/>
                <w:sz w:val="24"/>
                <w:szCs w:val="24"/>
                <w:lang w:val="en-US" w:eastAsia="zh-CN"/>
              </w:rPr>
              <w:t>中</w:t>
            </w:r>
            <w:r>
              <w:rPr>
                <w:rFonts w:hint="eastAsia" w:ascii="宋体" w:hAnsi="宋体"/>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9" w:type="dxa"/>
            <w:vAlign w:val="center"/>
          </w:tcPr>
          <w:p>
            <w:pPr>
              <w:rPr>
                <w:rFonts w:ascii="宋体" w:hAnsi="宋体"/>
                <w:sz w:val="24"/>
                <w:szCs w:val="24"/>
              </w:rPr>
            </w:pPr>
            <w:r>
              <w:rPr>
                <w:rFonts w:hint="eastAsia" w:ascii="宋体" w:hAnsi="宋体"/>
                <w:sz w:val="24"/>
                <w:szCs w:val="24"/>
              </w:rPr>
              <w:t>2</w:t>
            </w:r>
          </w:p>
        </w:tc>
        <w:tc>
          <w:tcPr>
            <w:tcW w:w="2084" w:type="dxa"/>
            <w:vAlign w:val="center"/>
          </w:tcPr>
          <w:p>
            <w:pPr>
              <w:rPr>
                <w:rFonts w:ascii="宋体" w:hAnsi="宋体"/>
                <w:sz w:val="24"/>
                <w:szCs w:val="24"/>
              </w:rPr>
            </w:pPr>
            <w:r>
              <w:rPr>
                <w:rFonts w:hint="eastAsia" w:ascii="宋体" w:hAnsi="宋体"/>
                <w:sz w:val="24"/>
                <w:szCs w:val="24"/>
              </w:rPr>
              <w:t>委托人</w:t>
            </w:r>
          </w:p>
        </w:tc>
        <w:tc>
          <w:tcPr>
            <w:tcW w:w="5723" w:type="dxa"/>
            <w:vAlign w:val="center"/>
          </w:tcPr>
          <w:p>
            <w:pPr>
              <w:rPr>
                <w:rFonts w:ascii="宋体" w:hAnsi="宋体"/>
                <w:sz w:val="24"/>
                <w:szCs w:val="24"/>
              </w:rPr>
            </w:pPr>
            <w:r>
              <w:rPr>
                <w:rFonts w:hint="eastAsia" w:ascii="宋体" w:hAnsi="宋体"/>
                <w:sz w:val="24"/>
                <w:szCs w:val="24"/>
              </w:rPr>
              <w:t>周口市</w:t>
            </w:r>
            <w:r>
              <w:rPr>
                <w:rFonts w:hint="eastAsia" w:ascii="宋体" w:hAnsi="宋体"/>
                <w:sz w:val="24"/>
                <w:szCs w:val="24"/>
                <w:lang w:val="en-US" w:eastAsia="zh-CN"/>
              </w:rPr>
              <w:t>中</w:t>
            </w:r>
            <w:r>
              <w:rPr>
                <w:rFonts w:hint="eastAsia" w:ascii="宋体" w:hAnsi="宋体"/>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9" w:type="dxa"/>
            <w:vAlign w:val="center"/>
          </w:tcPr>
          <w:p>
            <w:pPr>
              <w:rPr>
                <w:rFonts w:ascii="宋体" w:hAnsi="宋体"/>
                <w:sz w:val="24"/>
                <w:szCs w:val="24"/>
              </w:rPr>
            </w:pPr>
            <w:r>
              <w:rPr>
                <w:rFonts w:hint="eastAsia" w:ascii="宋体" w:hAnsi="宋体"/>
                <w:sz w:val="24"/>
                <w:szCs w:val="24"/>
              </w:rPr>
              <w:t>3</w:t>
            </w:r>
          </w:p>
        </w:tc>
        <w:tc>
          <w:tcPr>
            <w:tcW w:w="2084" w:type="dxa"/>
            <w:vAlign w:val="center"/>
          </w:tcPr>
          <w:p>
            <w:pPr>
              <w:rPr>
                <w:rFonts w:ascii="宋体" w:hAnsi="宋体"/>
                <w:sz w:val="24"/>
                <w:szCs w:val="24"/>
              </w:rPr>
            </w:pPr>
            <w:r>
              <w:rPr>
                <w:rFonts w:hint="eastAsia" w:ascii="宋体" w:hAnsi="宋体"/>
                <w:sz w:val="24"/>
                <w:szCs w:val="24"/>
              </w:rPr>
              <w:t>采购代理机构</w:t>
            </w:r>
          </w:p>
        </w:tc>
        <w:tc>
          <w:tcPr>
            <w:tcW w:w="5723" w:type="dxa"/>
            <w:vAlign w:val="center"/>
          </w:tcPr>
          <w:p>
            <w:pPr>
              <w:rPr>
                <w:rFonts w:ascii="宋体" w:hAnsi="宋体"/>
                <w:sz w:val="24"/>
                <w:szCs w:val="24"/>
              </w:rPr>
            </w:pPr>
            <w:r>
              <w:rPr>
                <w:rFonts w:hint="eastAsia" w:ascii="宋体" w:hAnsi="宋体"/>
                <w:sz w:val="24"/>
                <w:szCs w:val="24"/>
              </w:rPr>
              <w:t>名  称：周口市公共资源交易中心政府采购中心</w:t>
            </w:r>
          </w:p>
          <w:p>
            <w:pPr>
              <w:spacing w:line="360" w:lineRule="auto"/>
              <w:jc w:val="left"/>
              <w:rPr>
                <w:rFonts w:ascii="宋体" w:hAnsi="宋体"/>
                <w:sz w:val="24"/>
                <w:szCs w:val="24"/>
              </w:rPr>
            </w:pPr>
            <w:r>
              <w:rPr>
                <w:rFonts w:hint="eastAsia" w:ascii="宋体" w:hAnsi="宋体"/>
                <w:sz w:val="24"/>
                <w:szCs w:val="24"/>
              </w:rPr>
              <w:t>地  址：</w:t>
            </w:r>
            <w:r>
              <w:rPr>
                <w:rFonts w:hint="eastAsia" w:ascii="宋体" w:hAnsi="宋体" w:cs="宋体"/>
                <w:sz w:val="24"/>
                <w:szCs w:val="24"/>
              </w:rPr>
              <w:t>周口市光明路与政通路交叉口向北100米路东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ascii="宋体" w:hAnsi="宋体"/>
                <w:sz w:val="24"/>
                <w:szCs w:val="24"/>
              </w:rPr>
            </w:pPr>
            <w:r>
              <w:rPr>
                <w:rFonts w:hint="eastAsia" w:ascii="宋体" w:hAnsi="宋体"/>
                <w:sz w:val="24"/>
                <w:szCs w:val="24"/>
              </w:rPr>
              <w:t>4</w:t>
            </w:r>
          </w:p>
        </w:tc>
        <w:tc>
          <w:tcPr>
            <w:tcW w:w="2084" w:type="dxa"/>
            <w:vAlign w:val="center"/>
          </w:tcPr>
          <w:p>
            <w:pPr>
              <w:rPr>
                <w:rFonts w:ascii="宋体" w:hAnsi="宋体"/>
                <w:sz w:val="24"/>
                <w:szCs w:val="24"/>
              </w:rPr>
            </w:pPr>
            <w:r>
              <w:rPr>
                <w:rFonts w:hint="eastAsia" w:ascii="宋体" w:hAnsi="宋体"/>
                <w:sz w:val="24"/>
                <w:szCs w:val="24"/>
              </w:rPr>
              <w:t>项目名称</w:t>
            </w:r>
          </w:p>
        </w:tc>
        <w:tc>
          <w:tcPr>
            <w:tcW w:w="5723" w:type="dxa"/>
            <w:vAlign w:val="center"/>
          </w:tcPr>
          <w:p>
            <w:pPr>
              <w:spacing w:line="360" w:lineRule="auto"/>
              <w:jc w:val="left"/>
              <w:rPr>
                <w:rFonts w:ascii="宋体" w:hAnsi="宋体"/>
                <w:sz w:val="24"/>
                <w:szCs w:val="24"/>
              </w:rPr>
            </w:pPr>
            <w:r>
              <w:rPr>
                <w:rFonts w:hint="eastAsia" w:ascii="宋体" w:hAnsi="宋体"/>
                <w:sz w:val="24"/>
                <w:szCs w:val="24"/>
              </w:rPr>
              <w:t>河南省周口市中医院周口市公立医院改革与高质量发展示范项目信息化建设筑基工程智慧医院项目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9" w:type="dxa"/>
            <w:vAlign w:val="center"/>
          </w:tcPr>
          <w:p>
            <w:pPr>
              <w:rPr>
                <w:rFonts w:ascii="宋体" w:hAnsi="宋体"/>
                <w:sz w:val="24"/>
                <w:szCs w:val="24"/>
              </w:rPr>
            </w:pPr>
            <w:r>
              <w:rPr>
                <w:rFonts w:hint="eastAsia" w:ascii="宋体" w:hAnsi="宋体"/>
                <w:sz w:val="24"/>
                <w:szCs w:val="24"/>
              </w:rPr>
              <w:t>5</w:t>
            </w:r>
          </w:p>
        </w:tc>
        <w:tc>
          <w:tcPr>
            <w:tcW w:w="2084" w:type="dxa"/>
            <w:vAlign w:val="center"/>
          </w:tcPr>
          <w:p>
            <w:pPr>
              <w:rPr>
                <w:rFonts w:ascii="宋体" w:hAnsi="宋体"/>
                <w:sz w:val="24"/>
                <w:szCs w:val="24"/>
              </w:rPr>
            </w:pPr>
            <w:r>
              <w:rPr>
                <w:rFonts w:hint="eastAsia" w:ascii="宋体" w:hAnsi="宋体"/>
                <w:sz w:val="24"/>
                <w:szCs w:val="24"/>
              </w:rPr>
              <w:t>项目编号</w:t>
            </w:r>
          </w:p>
        </w:tc>
        <w:tc>
          <w:tcPr>
            <w:tcW w:w="5723" w:type="dxa"/>
            <w:vAlign w:val="center"/>
          </w:tcPr>
          <w:p>
            <w:pPr>
              <w:rPr>
                <w:rFonts w:ascii="宋体" w:hAnsi="宋体"/>
                <w:sz w:val="24"/>
                <w:szCs w:val="24"/>
              </w:rPr>
            </w:pPr>
            <w:r>
              <w:rPr>
                <w:rFonts w:hint="eastAsia" w:ascii="宋体" w:hAnsi="宋体"/>
                <w:sz w:val="24"/>
                <w:szCs w:val="24"/>
              </w:rPr>
              <w:t>2023-09-138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9" w:type="dxa"/>
            <w:vAlign w:val="center"/>
          </w:tcPr>
          <w:p>
            <w:pPr>
              <w:rPr>
                <w:rFonts w:ascii="宋体" w:hAnsi="宋体"/>
                <w:sz w:val="24"/>
                <w:szCs w:val="24"/>
              </w:rPr>
            </w:pPr>
            <w:r>
              <w:rPr>
                <w:rFonts w:hint="eastAsia" w:ascii="宋体" w:hAnsi="宋体"/>
                <w:sz w:val="24"/>
                <w:szCs w:val="24"/>
              </w:rPr>
              <w:t>6</w:t>
            </w:r>
          </w:p>
        </w:tc>
        <w:tc>
          <w:tcPr>
            <w:tcW w:w="2084" w:type="dxa"/>
            <w:vAlign w:val="center"/>
          </w:tcPr>
          <w:p>
            <w:pPr>
              <w:rPr>
                <w:rFonts w:ascii="宋体" w:hAnsi="宋体"/>
                <w:sz w:val="24"/>
                <w:szCs w:val="24"/>
              </w:rPr>
            </w:pPr>
            <w:r>
              <w:rPr>
                <w:rFonts w:hint="eastAsia" w:ascii="宋体" w:hAnsi="宋体"/>
                <w:sz w:val="24"/>
                <w:szCs w:val="24"/>
              </w:rPr>
              <w:t>项目性质</w:t>
            </w:r>
          </w:p>
        </w:tc>
        <w:tc>
          <w:tcPr>
            <w:tcW w:w="5723" w:type="dxa"/>
            <w:vAlign w:val="center"/>
          </w:tcPr>
          <w:p>
            <w:pPr>
              <w:rPr>
                <w:rFonts w:ascii="宋体" w:hAnsi="宋体"/>
                <w:sz w:val="24"/>
                <w:szCs w:val="24"/>
              </w:rPr>
            </w:pPr>
            <w:r>
              <w:rPr>
                <w:rFonts w:hint="eastAsia" w:ascii="宋体" w:hAnsi="宋体"/>
                <w:sz w:val="24"/>
                <w:szCs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ascii="宋体" w:hAnsi="宋体"/>
                <w:sz w:val="24"/>
                <w:szCs w:val="24"/>
              </w:rPr>
            </w:pPr>
            <w:r>
              <w:rPr>
                <w:rFonts w:hint="eastAsia" w:ascii="宋体" w:hAnsi="宋体"/>
                <w:sz w:val="24"/>
                <w:szCs w:val="24"/>
              </w:rPr>
              <w:t>7</w:t>
            </w:r>
          </w:p>
        </w:tc>
        <w:tc>
          <w:tcPr>
            <w:tcW w:w="2084" w:type="dxa"/>
            <w:vAlign w:val="center"/>
          </w:tcPr>
          <w:p>
            <w:pPr>
              <w:rPr>
                <w:rFonts w:ascii="宋体" w:hAnsi="宋体"/>
                <w:sz w:val="24"/>
                <w:szCs w:val="24"/>
              </w:rPr>
            </w:pPr>
            <w:r>
              <w:rPr>
                <w:rFonts w:hint="eastAsia" w:ascii="宋体" w:hAnsi="宋体"/>
                <w:sz w:val="24"/>
                <w:szCs w:val="24"/>
              </w:rPr>
              <w:t>资金来源</w:t>
            </w:r>
          </w:p>
        </w:tc>
        <w:tc>
          <w:tcPr>
            <w:tcW w:w="5723" w:type="dxa"/>
            <w:vAlign w:val="center"/>
          </w:tcPr>
          <w:p>
            <w:pPr>
              <w:rPr>
                <w:rFonts w:ascii="宋体" w:hAnsi="宋体"/>
                <w:sz w:val="24"/>
                <w:szCs w:val="24"/>
              </w:rPr>
            </w:pPr>
            <w:r>
              <w:rPr>
                <w:rFonts w:hint="eastAsia" w:ascii="宋体" w:hAnsi="宋体"/>
                <w:sz w:val="24"/>
                <w:szCs w:val="24"/>
                <w:lang w:val="en-US" w:eastAsia="zh-CN"/>
              </w:rPr>
              <w:t>自筹</w:t>
            </w:r>
            <w:r>
              <w:rPr>
                <w:rFonts w:hint="eastAsia" w:ascii="宋体" w:hAnsi="宋体"/>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2084" w:type="dxa"/>
            <w:vAlign w:val="center"/>
          </w:tcPr>
          <w:p>
            <w:pPr>
              <w:rPr>
                <w:rFonts w:hint="eastAsia" w:ascii="宋体" w:hAnsi="宋体" w:eastAsia="宋体"/>
                <w:sz w:val="24"/>
                <w:szCs w:val="24"/>
                <w:lang w:val="en-US" w:eastAsia="zh-CN"/>
              </w:rPr>
            </w:pPr>
            <w:r>
              <w:rPr>
                <w:rFonts w:ascii="宋体" w:hAnsi="宋体" w:eastAsia="宋体" w:cs="宋体"/>
                <w:sz w:val="24"/>
              </w:rPr>
              <w:t>报价</w:t>
            </w:r>
            <w:r>
              <w:rPr>
                <w:rFonts w:hint="eastAsia" w:ascii="宋体" w:hAnsi="宋体" w:eastAsia="宋体" w:cs="宋体"/>
                <w:sz w:val="24"/>
                <w:lang w:val="en-US" w:eastAsia="zh-CN"/>
              </w:rPr>
              <w:t>费用</w:t>
            </w:r>
          </w:p>
        </w:tc>
        <w:tc>
          <w:tcPr>
            <w:tcW w:w="5723" w:type="dxa"/>
            <w:vAlign w:val="center"/>
          </w:tcPr>
          <w:p>
            <w:pPr>
              <w:rPr>
                <w:rFonts w:hint="eastAsia" w:ascii="宋体" w:hAnsi="宋体"/>
                <w:sz w:val="24"/>
                <w:szCs w:val="24"/>
              </w:rPr>
            </w:pPr>
            <w:r>
              <w:rPr>
                <w:rFonts w:ascii="宋体" w:hAnsi="宋体" w:eastAsia="宋体" w:cs="宋体"/>
                <w:color w:val="auto"/>
                <w:sz w:val="24"/>
              </w:rPr>
              <w:t>供应商自行承担所有与参加报价及有关活动的全部费用。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2084" w:type="dxa"/>
            <w:vAlign w:val="center"/>
          </w:tcPr>
          <w:p>
            <w:pPr>
              <w:rPr>
                <w:rFonts w:hint="default" w:ascii="宋体" w:hAnsi="宋体" w:eastAsia="宋体" w:cs="宋体"/>
                <w:sz w:val="24"/>
                <w:lang w:val="en-US" w:eastAsia="zh-CN"/>
              </w:rPr>
            </w:pPr>
            <w:r>
              <w:rPr>
                <w:rFonts w:ascii="宋体" w:hAnsi="宋体" w:eastAsia="宋体" w:cs="宋体"/>
                <w:color w:val="000000"/>
                <w:sz w:val="24"/>
              </w:rPr>
              <w:t>报价</w:t>
            </w:r>
            <w:r>
              <w:rPr>
                <w:rFonts w:hint="eastAsia" w:ascii="宋体" w:hAnsi="宋体" w:eastAsia="宋体" w:cs="宋体"/>
                <w:color w:val="000000"/>
                <w:sz w:val="24"/>
                <w:lang w:val="en-US" w:eastAsia="zh-CN"/>
              </w:rPr>
              <w:t>范围及说明</w:t>
            </w:r>
          </w:p>
        </w:tc>
        <w:tc>
          <w:tcPr>
            <w:tcW w:w="5723" w:type="dxa"/>
            <w:vAlign w:val="center"/>
          </w:tcPr>
          <w:p>
            <w:pPr>
              <w:rPr>
                <w:rFonts w:ascii="宋体" w:hAnsi="宋体" w:eastAsia="宋体" w:cs="宋体"/>
                <w:sz w:val="24"/>
              </w:rPr>
            </w:pPr>
            <w:r>
              <w:rPr>
                <w:rFonts w:ascii="宋体" w:hAnsi="宋体" w:eastAsia="宋体" w:cs="宋体"/>
                <w:color w:val="000000"/>
                <w:sz w:val="24"/>
              </w:rPr>
              <w:t>报价包括本项目所招标的货物</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软硬件及附件等</w:t>
            </w:r>
            <w:r>
              <w:rPr>
                <w:rFonts w:hint="eastAsia" w:ascii="宋体" w:hAnsi="宋体" w:eastAsia="宋体" w:cs="宋体"/>
                <w:color w:val="000000"/>
                <w:sz w:val="24"/>
                <w:lang w:eastAsia="zh-CN"/>
              </w:rPr>
              <w:t>）</w:t>
            </w:r>
            <w:r>
              <w:rPr>
                <w:rFonts w:ascii="宋体" w:hAnsi="宋体" w:eastAsia="宋体" w:cs="宋体"/>
                <w:color w:val="000000"/>
                <w:sz w:val="24"/>
              </w:rPr>
              <w:t>、保险、税费、包装、</w:t>
            </w:r>
            <w:r>
              <w:rPr>
                <w:rFonts w:hint="eastAsia" w:ascii="宋体" w:hAnsi="宋体" w:eastAsia="宋体" w:cs="宋体"/>
                <w:color w:val="000000"/>
                <w:sz w:val="24"/>
                <w:lang w:val="en-US" w:eastAsia="zh-CN"/>
              </w:rPr>
              <w:t>施</w:t>
            </w:r>
            <w:r>
              <w:rPr>
                <w:rFonts w:ascii="宋体" w:hAnsi="宋体" w:eastAsia="宋体" w:cs="宋体"/>
                <w:color w:val="000000"/>
                <w:sz w:val="24"/>
              </w:rPr>
              <w:t>工及</w:t>
            </w:r>
            <w:r>
              <w:rPr>
                <w:rFonts w:hint="eastAsia" w:ascii="宋体" w:hAnsi="宋体" w:eastAsia="宋体" w:cs="宋体"/>
                <w:color w:val="000000"/>
                <w:sz w:val="24"/>
                <w:lang w:val="en-US" w:eastAsia="zh-CN"/>
              </w:rPr>
              <w:t>施</w:t>
            </w:r>
            <w:r>
              <w:rPr>
                <w:rFonts w:ascii="宋体" w:hAnsi="宋体" w:eastAsia="宋体" w:cs="宋体"/>
                <w:color w:val="000000"/>
                <w:sz w:val="24"/>
              </w:rPr>
              <w:t>工损耗、运输、现场落地、安装、验收</w:t>
            </w:r>
            <w:r>
              <w:rPr>
                <w:rFonts w:ascii="宋体" w:hAnsi="宋体" w:eastAsia="宋体" w:cs="宋体"/>
                <w:sz w:val="24"/>
              </w:rPr>
              <w:t>等（采购项目技术规格、参数及要求）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084" w:type="dxa"/>
          </w:tcPr>
          <w:p>
            <w:pPr>
              <w:rPr>
                <w:rFonts w:ascii="宋体" w:hAnsi="宋体"/>
                <w:sz w:val="24"/>
                <w:szCs w:val="24"/>
              </w:rPr>
            </w:pPr>
            <w:r>
              <w:rPr>
                <w:rFonts w:hint="eastAsia" w:ascii="宋体" w:hAnsi="宋体"/>
                <w:sz w:val="24"/>
                <w:szCs w:val="24"/>
              </w:rPr>
              <w:t>包别划分</w:t>
            </w:r>
          </w:p>
        </w:tc>
        <w:tc>
          <w:tcPr>
            <w:tcW w:w="5723" w:type="dxa"/>
            <w:vAlign w:val="center"/>
          </w:tcPr>
          <w:p>
            <w:pPr>
              <w:rPr>
                <w:rFonts w:ascii="宋体" w:hAnsi="宋体"/>
                <w:sz w:val="24"/>
                <w:szCs w:val="24"/>
              </w:rPr>
            </w:pPr>
            <w:r>
              <w:rPr>
                <w:rFonts w:hint="eastAsia" w:ascii="宋体" w:hAnsi="宋体"/>
                <w:sz w:val="24"/>
                <w:szCs w:val="24"/>
              </w:rPr>
              <w:t>本次招标为</w:t>
            </w:r>
            <w:r>
              <w:rPr>
                <w:rFonts w:hint="eastAsia" w:ascii="宋体" w:hAnsi="宋体" w:cs="宋体"/>
                <w:sz w:val="24"/>
                <w:szCs w:val="24"/>
              </w:rPr>
              <w:t>1</w:t>
            </w:r>
            <w:r>
              <w:rPr>
                <w:rFonts w:hint="eastAsia" w:ascii="宋体" w:hAnsi="宋体"/>
                <w:sz w:val="24"/>
                <w:szCs w:val="24"/>
              </w:rPr>
              <w:t>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w:t>
            </w:r>
          </w:p>
        </w:tc>
        <w:tc>
          <w:tcPr>
            <w:tcW w:w="2084"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572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合同签订后</w:t>
            </w:r>
            <w:r>
              <w:rPr>
                <w:rFonts w:hint="eastAsia" w:ascii="宋体" w:hAnsi="宋体" w:eastAsia="宋体" w:cs="Times New Roman"/>
                <w:color w:val="auto"/>
                <w:sz w:val="24"/>
                <w:szCs w:val="24"/>
                <w:lang w:eastAsia="zh-CN"/>
              </w:rPr>
              <w:t>，</w:t>
            </w:r>
            <w:r>
              <w:rPr>
                <w:rFonts w:hint="eastAsia" w:ascii="宋体" w:hAnsi="宋体" w:cs="Times New Roman"/>
                <w:color w:val="auto"/>
                <w:sz w:val="24"/>
                <w:szCs w:val="24"/>
                <w:lang w:val="en-US" w:eastAsia="zh-CN"/>
              </w:rPr>
              <w:t>材料、人员</w:t>
            </w:r>
            <w:r>
              <w:rPr>
                <w:rFonts w:hint="eastAsia" w:ascii="宋体" w:hAnsi="宋体" w:eastAsia="宋体" w:cs="Times New Roman"/>
                <w:color w:val="auto"/>
                <w:sz w:val="24"/>
                <w:szCs w:val="24"/>
                <w:lang w:eastAsia="zh-CN"/>
              </w:rPr>
              <w:t>进场实施</w:t>
            </w:r>
            <w:r>
              <w:rPr>
                <w:rFonts w:hint="eastAsia" w:ascii="宋体" w:hAnsi="宋体" w:eastAsia="宋体" w:cs="Times New Roman"/>
                <w:color w:val="auto"/>
                <w:sz w:val="24"/>
                <w:szCs w:val="24"/>
                <w:lang w:val="en-US" w:eastAsia="zh-CN"/>
              </w:rPr>
              <w:t>10日</w:t>
            </w:r>
            <w:r>
              <w:rPr>
                <w:rFonts w:hint="eastAsia" w:ascii="宋体" w:hAnsi="宋体" w:cs="Times New Roman"/>
                <w:color w:val="auto"/>
                <w:sz w:val="24"/>
                <w:szCs w:val="24"/>
                <w:lang w:val="en-US" w:eastAsia="zh-CN"/>
              </w:rPr>
              <w:t>后，</w:t>
            </w:r>
            <w:r>
              <w:rPr>
                <w:rFonts w:hint="eastAsia" w:ascii="宋体" w:hAnsi="宋体" w:eastAsia="宋体" w:cs="Times New Roman"/>
                <w:color w:val="auto"/>
                <w:sz w:val="24"/>
                <w:szCs w:val="24"/>
              </w:rPr>
              <w:t>支付合同额的30%，项目实施完成经甲方组织验收合格支付合同金额的65%，质保期满，提交完备资料后支付合同金额的5%。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2</w:t>
            </w:r>
          </w:p>
        </w:tc>
        <w:tc>
          <w:tcPr>
            <w:tcW w:w="2084" w:type="dxa"/>
            <w:vAlign w:val="center"/>
          </w:tcPr>
          <w:p>
            <w:pPr>
              <w:rPr>
                <w:rFonts w:ascii="宋体" w:hAnsi="宋体"/>
                <w:sz w:val="24"/>
                <w:szCs w:val="24"/>
              </w:rPr>
            </w:pPr>
            <w:r>
              <w:rPr>
                <w:rFonts w:hint="eastAsia" w:ascii="宋体" w:hAnsi="宋体"/>
                <w:sz w:val="24"/>
                <w:szCs w:val="24"/>
              </w:rPr>
              <w:t>联合体投标</w:t>
            </w:r>
          </w:p>
        </w:tc>
        <w:tc>
          <w:tcPr>
            <w:tcW w:w="5723" w:type="dxa"/>
            <w:vAlign w:val="center"/>
          </w:tcPr>
          <w:p>
            <w:pPr>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3</w:t>
            </w:r>
          </w:p>
        </w:tc>
        <w:tc>
          <w:tcPr>
            <w:tcW w:w="2084" w:type="dxa"/>
            <w:vAlign w:val="center"/>
          </w:tcPr>
          <w:p>
            <w:pPr>
              <w:rPr>
                <w:rFonts w:ascii="宋体" w:hAnsi="宋体"/>
                <w:sz w:val="24"/>
                <w:szCs w:val="24"/>
              </w:rPr>
            </w:pPr>
            <w:r>
              <w:rPr>
                <w:rFonts w:hint="eastAsia" w:ascii="宋体" w:hAnsi="宋体"/>
                <w:sz w:val="24"/>
                <w:szCs w:val="24"/>
              </w:rPr>
              <w:t>投标有效期</w:t>
            </w:r>
          </w:p>
        </w:tc>
        <w:tc>
          <w:tcPr>
            <w:tcW w:w="5723" w:type="dxa"/>
            <w:vAlign w:val="center"/>
          </w:tcPr>
          <w:p>
            <w:pPr>
              <w:rPr>
                <w:rFonts w:ascii="宋体" w:hAnsi="宋体"/>
                <w:sz w:val="24"/>
                <w:szCs w:val="24"/>
              </w:rPr>
            </w:pPr>
            <w:r>
              <w:rPr>
                <w:rFonts w:hint="eastAsia" w:ascii="宋体" w:hAnsi="宋体"/>
                <w:sz w:val="24"/>
                <w:szCs w:val="24"/>
              </w:rPr>
              <w:t>开标后60天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4</w:t>
            </w:r>
          </w:p>
        </w:tc>
        <w:tc>
          <w:tcPr>
            <w:tcW w:w="2084" w:type="dxa"/>
            <w:vAlign w:val="center"/>
          </w:tcPr>
          <w:p>
            <w:pPr>
              <w:rPr>
                <w:rFonts w:ascii="宋体" w:hAnsi="宋体"/>
                <w:sz w:val="24"/>
                <w:szCs w:val="24"/>
              </w:rPr>
            </w:pPr>
            <w:r>
              <w:rPr>
                <w:rFonts w:hint="eastAsia" w:ascii="宋体" w:hAnsi="宋体"/>
                <w:sz w:val="24"/>
                <w:szCs w:val="24"/>
              </w:rPr>
              <w:t>供货地点</w:t>
            </w:r>
          </w:p>
        </w:tc>
        <w:tc>
          <w:tcPr>
            <w:tcW w:w="5723" w:type="dxa"/>
            <w:vAlign w:val="center"/>
          </w:tcPr>
          <w:p>
            <w:pPr>
              <w:rPr>
                <w:rFonts w:ascii="宋体" w:hAnsi="宋体"/>
                <w:sz w:val="24"/>
                <w:szCs w:val="24"/>
              </w:rPr>
            </w:pPr>
            <w:r>
              <w:rPr>
                <w:rFonts w:hint="eastAsia" w:ascii="宋体" w:hAnsi="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5</w:t>
            </w:r>
          </w:p>
        </w:tc>
        <w:tc>
          <w:tcPr>
            <w:tcW w:w="2084"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供货期限</w:t>
            </w:r>
          </w:p>
        </w:tc>
        <w:tc>
          <w:tcPr>
            <w:tcW w:w="5723"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日历天，验收合格后免费维护期3年。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6</w:t>
            </w:r>
          </w:p>
        </w:tc>
        <w:tc>
          <w:tcPr>
            <w:tcW w:w="2084" w:type="dxa"/>
            <w:vAlign w:val="center"/>
          </w:tcPr>
          <w:p>
            <w:pPr>
              <w:rPr>
                <w:rFonts w:ascii="宋体" w:hAnsi="宋体"/>
                <w:sz w:val="24"/>
                <w:szCs w:val="24"/>
              </w:rPr>
            </w:pPr>
            <w:r>
              <w:rPr>
                <w:rFonts w:hint="eastAsia" w:ascii="宋体" w:hAnsi="宋体"/>
                <w:sz w:val="24"/>
                <w:szCs w:val="24"/>
              </w:rPr>
              <w:t>免费质保期</w:t>
            </w:r>
          </w:p>
        </w:tc>
        <w:tc>
          <w:tcPr>
            <w:tcW w:w="5723" w:type="dxa"/>
            <w:vAlign w:val="center"/>
          </w:tcPr>
          <w:p>
            <w:pPr>
              <w:rPr>
                <w:rFonts w:ascii="宋体" w:hAnsi="宋体"/>
                <w:sz w:val="24"/>
                <w:szCs w:val="24"/>
              </w:rPr>
            </w:pPr>
            <w:r>
              <w:rPr>
                <w:rFonts w:hint="eastAsia" w:ascii="宋体" w:hAnsi="宋体"/>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69" w:type="dxa"/>
            <w:vAlign w:val="center"/>
          </w:tcPr>
          <w:p>
            <w:pPr>
              <w:rPr>
                <w:rFonts w:hint="eastAsia"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7</w:t>
            </w:r>
          </w:p>
        </w:tc>
        <w:tc>
          <w:tcPr>
            <w:tcW w:w="2084" w:type="dxa"/>
            <w:vAlign w:val="center"/>
          </w:tcPr>
          <w:p>
            <w:pPr>
              <w:rPr>
                <w:rFonts w:ascii="宋体" w:hAnsi="宋体"/>
                <w:sz w:val="24"/>
                <w:szCs w:val="24"/>
              </w:rPr>
            </w:pPr>
            <w:r>
              <w:rPr>
                <w:rFonts w:hint="eastAsia" w:ascii="宋体" w:hAnsi="宋体"/>
                <w:sz w:val="24"/>
                <w:szCs w:val="24"/>
              </w:rPr>
              <w:t>投标保证金金额</w:t>
            </w:r>
          </w:p>
        </w:tc>
        <w:tc>
          <w:tcPr>
            <w:tcW w:w="5723" w:type="dxa"/>
            <w:vAlign w:val="center"/>
          </w:tcPr>
          <w:p>
            <w:pPr>
              <w:rPr>
                <w:rFonts w:ascii="宋体" w:hAnsi="宋体"/>
                <w:sz w:val="24"/>
                <w:szCs w:val="24"/>
              </w:rPr>
            </w:pPr>
            <w:r>
              <w:rPr>
                <w:rFonts w:hint="eastAsia" w:ascii="宋体" w:hAnsi="宋体"/>
                <w:sz w:val="24"/>
                <w:szCs w:val="24"/>
              </w:rPr>
              <w:t>不需要缴纳投标保证金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084" w:type="dxa"/>
            <w:vAlign w:val="center"/>
          </w:tcPr>
          <w:p>
            <w:pPr>
              <w:rPr>
                <w:rFonts w:ascii="宋体" w:hAnsi="宋体"/>
                <w:sz w:val="24"/>
                <w:szCs w:val="24"/>
              </w:rPr>
            </w:pPr>
            <w:r>
              <w:rPr>
                <w:rFonts w:hint="eastAsia" w:ascii="宋体" w:hAnsi="宋体"/>
                <w:sz w:val="24"/>
                <w:szCs w:val="24"/>
              </w:rPr>
              <w:t>答疑</w:t>
            </w:r>
          </w:p>
        </w:tc>
        <w:tc>
          <w:tcPr>
            <w:tcW w:w="5723" w:type="dxa"/>
            <w:vAlign w:val="center"/>
          </w:tcPr>
          <w:p>
            <w:pPr>
              <w:rPr>
                <w:rFonts w:ascii="宋体" w:hAnsi="宋体"/>
                <w:sz w:val="24"/>
                <w:szCs w:val="24"/>
              </w:rPr>
            </w:pPr>
            <w:r>
              <w:rPr>
                <w:rFonts w:hint="eastAsia" w:ascii="宋体" w:hAnsi="宋体"/>
                <w:sz w:val="24"/>
                <w:szCs w:val="24"/>
              </w:rPr>
              <w:t>疑问的提出与答疑获取详见招标文件第二部分第五章投标人须知第36条。</w:t>
            </w:r>
          </w:p>
          <w:p>
            <w:pPr>
              <w:rPr>
                <w:rFonts w:ascii="宋体" w:hAnsi="宋体"/>
                <w:sz w:val="24"/>
                <w:szCs w:val="24"/>
              </w:rPr>
            </w:pPr>
            <w:r>
              <w:rPr>
                <w:rFonts w:hint="eastAsia" w:ascii="宋体" w:hAnsi="宋体"/>
                <w:sz w:val="24"/>
                <w:szCs w:val="24"/>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084" w:type="dxa"/>
            <w:vAlign w:val="center"/>
          </w:tcPr>
          <w:p>
            <w:pPr>
              <w:rPr>
                <w:rFonts w:ascii="宋体" w:hAnsi="宋体"/>
                <w:sz w:val="24"/>
                <w:szCs w:val="24"/>
              </w:rPr>
            </w:pPr>
            <w:r>
              <w:rPr>
                <w:rFonts w:hint="eastAsia" w:ascii="宋体" w:hAnsi="宋体"/>
                <w:sz w:val="24"/>
                <w:szCs w:val="24"/>
              </w:rPr>
              <w:t>勘察现场</w:t>
            </w:r>
          </w:p>
        </w:tc>
        <w:tc>
          <w:tcPr>
            <w:tcW w:w="5723"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不组织</w:t>
            </w:r>
            <w:r>
              <w:rPr>
                <w:rFonts w:hint="eastAsia" w:ascii="宋体" w:hAnsi="宋体"/>
                <w:sz w:val="24"/>
                <w:szCs w:val="24"/>
              </w:rPr>
              <w:t>现场勘察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20</w:t>
            </w:r>
          </w:p>
        </w:tc>
        <w:tc>
          <w:tcPr>
            <w:tcW w:w="2084" w:type="dxa"/>
            <w:vAlign w:val="center"/>
          </w:tcPr>
          <w:p>
            <w:pPr>
              <w:rPr>
                <w:rFonts w:ascii="宋体" w:hAnsi="宋体"/>
                <w:sz w:val="24"/>
                <w:szCs w:val="24"/>
              </w:rPr>
            </w:pPr>
            <w:r>
              <w:rPr>
                <w:rFonts w:hint="eastAsia" w:ascii="宋体" w:hAnsi="宋体"/>
                <w:sz w:val="24"/>
                <w:szCs w:val="24"/>
              </w:rPr>
              <w:t>投标文件</w:t>
            </w:r>
          </w:p>
        </w:tc>
        <w:tc>
          <w:tcPr>
            <w:tcW w:w="5723" w:type="dxa"/>
            <w:vAlign w:val="center"/>
          </w:tcPr>
          <w:p>
            <w:pPr>
              <w:rPr>
                <w:rFonts w:ascii="宋体" w:hAnsi="宋体"/>
                <w:sz w:val="24"/>
                <w:szCs w:val="24"/>
              </w:rPr>
            </w:pPr>
            <w:r>
              <w:rPr>
                <w:rFonts w:hint="eastAsia" w:ascii="宋体" w:hAnsi="宋体"/>
                <w:sz w:val="24"/>
                <w:szCs w:val="24"/>
              </w:rPr>
              <w:t>1、投标文件为使用周口市公共资源交易中心提供的电子标书制作工具软件（</w:t>
            </w:r>
            <w:r>
              <w:rPr>
                <w:rFonts w:hint="eastAsia" w:ascii="宋体" w:hAnsi="宋体"/>
                <w:color w:val="000000"/>
              </w:rPr>
              <w:t>http://jyzx.zhoukou.gov.cn</w:t>
            </w:r>
            <w:r>
              <w:rPr>
                <w:rFonts w:hint="eastAsia" w:ascii="宋体" w:hAnsi="宋体"/>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pStyle w:val="52"/>
            </w:pPr>
            <w:r>
              <w:rPr>
                <w:rFonts w:hint="eastAsia" w:ascii="宋体" w:hAnsi="宋体"/>
                <w:sz w:val="24"/>
                <w:szCs w:val="24"/>
              </w:rPr>
              <w:t>2、本项目实行网上远程开标无须到现场提交响应文件，未加密的电子投标文件和纸质文件不再提交。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084" w:type="dxa"/>
            <w:vAlign w:val="center"/>
          </w:tcPr>
          <w:p>
            <w:pPr>
              <w:rPr>
                <w:rFonts w:ascii="宋体" w:hAnsi="宋体"/>
                <w:sz w:val="24"/>
                <w:szCs w:val="24"/>
              </w:rPr>
            </w:pPr>
            <w:r>
              <w:rPr>
                <w:rFonts w:hint="eastAsia" w:ascii="宋体" w:hAnsi="宋体"/>
                <w:sz w:val="24"/>
                <w:szCs w:val="24"/>
              </w:rPr>
              <w:t>投标时间及地点</w:t>
            </w:r>
          </w:p>
        </w:tc>
        <w:tc>
          <w:tcPr>
            <w:tcW w:w="5723" w:type="dxa"/>
            <w:vAlign w:val="center"/>
          </w:tcPr>
          <w:p>
            <w:pPr>
              <w:rPr>
                <w:rFonts w:ascii="宋体" w:hAnsi="宋体"/>
                <w:sz w:val="24"/>
                <w:szCs w:val="24"/>
              </w:rPr>
            </w:pPr>
            <w:r>
              <w:rPr>
                <w:rFonts w:hint="eastAsia" w:ascii="宋体" w:hAnsi="宋体"/>
                <w:sz w:val="24"/>
                <w:szCs w:val="24"/>
              </w:rPr>
              <w:t>投标截止时间：</w:t>
            </w:r>
            <w:r>
              <w:rPr>
                <w:rFonts w:hint="eastAsia" w:ascii="宋体" w:hAnsi="宋体" w:cs="宋体"/>
                <w:color w:val="000000"/>
                <w:sz w:val="24"/>
                <w:szCs w:val="24"/>
              </w:rPr>
              <w:t>***</w:t>
            </w:r>
            <w:r>
              <w:rPr>
                <w:rFonts w:hint="eastAsia" w:ascii="宋体" w:hAnsi="宋体"/>
                <w:sz w:val="24"/>
                <w:szCs w:val="24"/>
              </w:rPr>
              <w:t>年</w:t>
            </w:r>
            <w:r>
              <w:rPr>
                <w:rFonts w:hint="eastAsia" w:ascii="宋体" w:hAnsi="宋体" w:cs="宋体"/>
                <w:color w:val="000000"/>
                <w:sz w:val="24"/>
                <w:szCs w:val="24"/>
              </w:rPr>
              <w:t>***</w:t>
            </w:r>
            <w:r>
              <w:rPr>
                <w:rFonts w:hint="eastAsia" w:ascii="宋体" w:hAnsi="宋体"/>
                <w:sz w:val="24"/>
                <w:szCs w:val="24"/>
              </w:rPr>
              <w:t>月  日</w:t>
            </w:r>
            <w:r>
              <w:rPr>
                <w:rFonts w:hint="eastAsia" w:ascii="宋体" w:hAnsi="宋体" w:cs="宋体"/>
                <w:color w:val="000000"/>
                <w:sz w:val="24"/>
                <w:szCs w:val="24"/>
              </w:rPr>
              <w:t>***</w:t>
            </w:r>
            <w:r>
              <w:rPr>
                <w:rFonts w:hint="eastAsia" w:ascii="宋体" w:hAnsi="宋体"/>
                <w:sz w:val="24"/>
                <w:szCs w:val="24"/>
              </w:rPr>
              <w:t xml:space="preserve">（见招标公告）      </w:t>
            </w:r>
          </w:p>
          <w:p>
            <w:pPr>
              <w:rPr>
                <w:rFonts w:ascii="宋体" w:hAnsi="宋体"/>
                <w:sz w:val="24"/>
              </w:rPr>
            </w:pPr>
            <w:r>
              <w:rPr>
                <w:rFonts w:hint="eastAsia" w:ascii="宋体" w:hAnsi="宋体"/>
                <w:sz w:val="24"/>
                <w:szCs w:val="24"/>
              </w:rPr>
              <w:t>标书递交地点：</w:t>
            </w:r>
            <w:r>
              <w:rPr>
                <w:rFonts w:hint="eastAsia" w:ascii="宋体" w:hAnsi="宋体"/>
                <w:sz w:val="24"/>
              </w:rPr>
              <w:t>周口市公共资源交易中心网</w:t>
            </w:r>
          </w:p>
          <w:p>
            <w:pPr>
              <w:rPr>
                <w:rFonts w:ascii="宋体" w:hAnsi="宋体" w:cs="宋体"/>
                <w:sz w:val="24"/>
                <w:szCs w:val="24"/>
              </w:rPr>
            </w:pPr>
            <w:r>
              <w:rPr>
                <w:rFonts w:hint="eastAsia" w:ascii="宋体" w:hAnsi="宋体"/>
                <w:sz w:val="24"/>
              </w:rPr>
              <w:t>网址：周口市公共资源电子交易服务平台会员系统（网址</w:t>
            </w:r>
            <w:r>
              <w:rPr>
                <w:rFonts w:hint="eastAsia" w:ascii="宋体" w:hAnsi="宋体"/>
                <w:color w:val="000000"/>
              </w:rPr>
              <w:t>http://jyzx.zhoukou.gov.cn）</w:t>
            </w:r>
          </w:p>
          <w:p>
            <w:pPr>
              <w:rPr>
                <w:rFonts w:ascii="宋体" w:hAnsi="宋体"/>
                <w:sz w:val="24"/>
                <w:szCs w:val="24"/>
              </w:rPr>
            </w:pPr>
            <w:r>
              <w:rPr>
                <w:rFonts w:hint="eastAsia" w:ascii="宋体" w:hAnsi="宋体" w:cs="宋体"/>
                <w:sz w:val="24"/>
                <w:szCs w:val="24"/>
              </w:rPr>
              <w:t>（本项目实行网上远程开标无须到现场提交响应文件）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084" w:type="dxa"/>
            <w:vAlign w:val="center"/>
          </w:tcPr>
          <w:p>
            <w:pPr>
              <w:rPr>
                <w:rFonts w:ascii="宋体" w:hAnsi="宋体"/>
                <w:sz w:val="24"/>
                <w:szCs w:val="24"/>
              </w:rPr>
            </w:pPr>
            <w:r>
              <w:rPr>
                <w:rFonts w:hint="eastAsia" w:ascii="宋体" w:hAnsi="宋体"/>
                <w:sz w:val="24"/>
                <w:szCs w:val="24"/>
              </w:rPr>
              <w:t>开标时间及地点</w:t>
            </w:r>
          </w:p>
        </w:tc>
        <w:tc>
          <w:tcPr>
            <w:tcW w:w="5723" w:type="dxa"/>
            <w:vAlign w:val="center"/>
          </w:tcPr>
          <w:p>
            <w:pPr>
              <w:rPr>
                <w:rFonts w:ascii="宋体" w:hAnsi="宋体"/>
                <w:sz w:val="24"/>
                <w:szCs w:val="24"/>
              </w:rPr>
            </w:pPr>
            <w:r>
              <w:rPr>
                <w:rFonts w:hint="eastAsia" w:ascii="宋体" w:hAnsi="宋体"/>
                <w:sz w:val="24"/>
                <w:szCs w:val="24"/>
              </w:rPr>
              <w:t>开标时间：</w:t>
            </w:r>
            <w:r>
              <w:rPr>
                <w:rFonts w:hint="eastAsia" w:ascii="宋体" w:hAnsi="宋体" w:cs="宋体"/>
                <w:color w:val="000000"/>
                <w:sz w:val="24"/>
                <w:szCs w:val="24"/>
              </w:rPr>
              <w:t>***</w:t>
            </w:r>
            <w:r>
              <w:rPr>
                <w:rFonts w:hint="eastAsia" w:ascii="宋体" w:hAnsi="宋体"/>
                <w:sz w:val="24"/>
                <w:szCs w:val="24"/>
              </w:rPr>
              <w:t>年</w:t>
            </w:r>
            <w:r>
              <w:rPr>
                <w:rFonts w:hint="eastAsia" w:ascii="宋体" w:hAnsi="宋体" w:cs="宋体"/>
                <w:color w:val="000000"/>
                <w:sz w:val="24"/>
                <w:szCs w:val="24"/>
              </w:rPr>
              <w:t>***</w:t>
            </w:r>
            <w:r>
              <w:rPr>
                <w:rFonts w:hint="eastAsia" w:ascii="宋体" w:hAnsi="宋体"/>
                <w:sz w:val="24"/>
                <w:szCs w:val="24"/>
              </w:rPr>
              <w:t>月   日</w:t>
            </w:r>
            <w:r>
              <w:rPr>
                <w:rFonts w:hint="eastAsia" w:ascii="宋体" w:hAnsi="宋体" w:cs="宋体"/>
                <w:color w:val="000000"/>
                <w:sz w:val="24"/>
                <w:szCs w:val="24"/>
              </w:rPr>
              <w:t>***</w:t>
            </w:r>
            <w:r>
              <w:rPr>
                <w:rFonts w:hint="eastAsia" w:ascii="宋体" w:hAnsi="宋体"/>
                <w:sz w:val="24"/>
                <w:szCs w:val="24"/>
              </w:rPr>
              <w:t xml:space="preserve">（见招标公告）      </w:t>
            </w:r>
          </w:p>
          <w:p>
            <w:pPr>
              <w:ind w:left="360" w:hanging="360" w:hangingChars="150"/>
              <w:rPr>
                <w:rFonts w:ascii="宋体" w:hAnsi="宋体"/>
                <w:sz w:val="24"/>
                <w:szCs w:val="24"/>
              </w:rPr>
            </w:pPr>
            <w:r>
              <w:rPr>
                <w:rFonts w:hint="eastAsia" w:ascii="宋体" w:hAnsi="宋体"/>
                <w:sz w:val="24"/>
                <w:szCs w:val="24"/>
              </w:rPr>
              <w:t>开标地点：周口市东新区光明路市行政中心西侧南楼房间（本项目实行网上远程开标无须到现场提交响应文件）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9" w:type="dxa"/>
            <w:vAlign w:val="center"/>
          </w:tcPr>
          <w:p>
            <w:pP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084" w:type="dxa"/>
            <w:vAlign w:val="center"/>
          </w:tcPr>
          <w:p>
            <w:pPr>
              <w:rPr>
                <w:rFonts w:ascii="宋体" w:hAnsi="宋体"/>
                <w:sz w:val="24"/>
                <w:szCs w:val="24"/>
              </w:rPr>
            </w:pPr>
            <w:r>
              <w:rPr>
                <w:rFonts w:hint="eastAsia" w:ascii="宋体" w:hAnsi="宋体"/>
                <w:sz w:val="24"/>
                <w:szCs w:val="24"/>
              </w:rPr>
              <w:t>评标办法</w:t>
            </w:r>
          </w:p>
        </w:tc>
        <w:tc>
          <w:tcPr>
            <w:tcW w:w="5723" w:type="dxa"/>
            <w:vAlign w:val="center"/>
          </w:tcPr>
          <w:p>
            <w:pPr>
              <w:rPr>
                <w:rFonts w:ascii="宋体" w:hAnsi="宋体"/>
                <w:sz w:val="24"/>
                <w:szCs w:val="24"/>
              </w:rPr>
            </w:pPr>
            <w:r>
              <w:rPr>
                <w:rFonts w:hint="eastAsia" w:ascii="宋体" w:hAnsi="宋体"/>
                <w:sz w:val="24"/>
                <w:szCs w:val="24"/>
              </w:rPr>
              <w:t>综合评分法 详见招标文件第一部分第四章评标办法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69" w:type="dxa"/>
            <w:vAlign w:val="center"/>
          </w:tcPr>
          <w:p>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084" w:type="dxa"/>
            <w:vAlign w:val="center"/>
          </w:tcPr>
          <w:p>
            <w:pPr>
              <w:rPr>
                <w:rFonts w:ascii="宋体" w:hAnsi="宋体"/>
                <w:sz w:val="24"/>
                <w:szCs w:val="24"/>
              </w:rPr>
            </w:pPr>
            <w:r>
              <w:rPr>
                <w:rFonts w:hint="eastAsia" w:ascii="宋体" w:hAnsi="宋体"/>
                <w:sz w:val="24"/>
                <w:szCs w:val="24"/>
              </w:rPr>
              <w:t>其它</w:t>
            </w:r>
          </w:p>
        </w:tc>
        <w:tc>
          <w:tcPr>
            <w:tcW w:w="5723" w:type="dxa"/>
            <w:vAlign w:val="center"/>
          </w:tcPr>
          <w:p>
            <w:pPr>
              <w:rPr>
                <w:rFonts w:ascii="宋体" w:hAnsi="宋体"/>
                <w:sz w:val="24"/>
                <w:szCs w:val="24"/>
              </w:rPr>
            </w:pPr>
            <w:r>
              <w:rPr>
                <w:rFonts w:hint="eastAsia" w:ascii="宋体" w:hAnsi="宋体"/>
                <w:sz w:val="24"/>
                <w:szCs w:val="24"/>
              </w:rPr>
              <w:t>采购人验收如需第三方质检部门介入，第三方质检验收所需费用由中标人负担。</w:t>
            </w:r>
          </w:p>
        </w:tc>
      </w:tr>
    </w:tbl>
    <w:p>
      <w:pPr>
        <w:pStyle w:val="8"/>
        <w:ind w:firstLine="0"/>
        <w:rPr>
          <w:rFonts w:ascii="宋体" w:hAnsi="宋体" w:eastAsia="宋体" w:cs="宋体"/>
        </w:rPr>
      </w:pPr>
      <w:bookmarkStart w:id="48" w:name="_Toc40975438"/>
    </w:p>
    <w:p>
      <w:pPr>
        <w:rPr>
          <w:rFonts w:ascii="宋体" w:hAnsi="宋体" w:cs="宋体"/>
        </w:rPr>
      </w:pPr>
    </w:p>
    <w:p>
      <w:pPr>
        <w:pStyle w:val="80"/>
        <w:ind w:firstLine="210"/>
        <w:rPr>
          <w:rFonts w:ascii="宋体" w:hAnsi="宋体" w:cs="宋体"/>
        </w:rPr>
      </w:pPr>
    </w:p>
    <w:p>
      <w:pPr>
        <w:pStyle w:val="80"/>
        <w:ind w:firstLine="210"/>
        <w:rPr>
          <w:rFonts w:ascii="宋体" w:hAnsi="宋体" w:cs="宋体"/>
        </w:rPr>
      </w:pPr>
    </w:p>
    <w:p/>
    <w:p>
      <w:pPr>
        <w:pStyle w:val="8"/>
        <w:ind w:firstLine="0"/>
        <w:rPr>
          <w:rFonts w:ascii="宋体" w:hAnsi="宋体" w:eastAsia="宋体" w:cs="宋体"/>
        </w:rPr>
      </w:pPr>
      <w:r>
        <w:rPr>
          <w:rFonts w:hint="eastAsia" w:ascii="宋体" w:hAnsi="宋体" w:eastAsia="宋体" w:cs="宋体"/>
        </w:rPr>
        <w:t>第三章 货物需求一览表</w:t>
      </w:r>
      <w:bookmarkEnd w:id="46"/>
      <w:bookmarkEnd w:id="47"/>
      <w:bookmarkEnd w:id="48"/>
    </w:p>
    <w:p>
      <w:pPr>
        <w:spacing w:line="360" w:lineRule="auto"/>
        <w:ind w:firstLine="480" w:firstLineChars="200"/>
        <w:rPr>
          <w:rFonts w:ascii="宋体" w:hAnsi="宋体" w:cs="宋体"/>
          <w:sz w:val="24"/>
          <w:szCs w:val="28"/>
        </w:rPr>
      </w:pPr>
      <w:bookmarkStart w:id="49" w:name="_Hlt509716920"/>
      <w:bookmarkEnd w:id="49"/>
      <w:r>
        <w:rPr>
          <w:rFonts w:hint="eastAsia" w:ascii="宋体" w:hAnsi="宋体" w:cs="宋体"/>
          <w:sz w:val="24"/>
          <w:szCs w:val="28"/>
        </w:rPr>
        <w:t>前注：1） 本需求中提出的技术方案仅为参考，如无明确限制，投标人可以进行优化，提供满足用户实际需要的更优（或者性能实质上不低于的）</w:t>
      </w:r>
      <w:r>
        <w:rPr>
          <w:rFonts w:hint="eastAsia" w:ascii="宋体" w:hAnsi="宋体" w:cs="宋体"/>
          <w:sz w:val="24"/>
          <w:szCs w:val="24"/>
        </w:rPr>
        <w:t>技术方案或者设备配置，且此方案或配置须经评委会审核认可；</w:t>
      </w:r>
      <w:r>
        <w:rPr>
          <w:rFonts w:hint="eastAsia" w:ascii="宋体" w:hAnsi="宋体" w:cs="宋体"/>
          <w:sz w:val="24"/>
          <w:szCs w:val="24"/>
        </w:rPr>
        <w:cr/>
      </w:r>
      <w:r>
        <w:rPr>
          <w:rFonts w:hint="eastAsia" w:ascii="宋体" w:hAnsi="宋体" w:cs="宋体"/>
          <w:sz w:val="24"/>
          <w:szCs w:val="24"/>
        </w:rPr>
        <w:t xml:space="preserve">    2） 为鼓励不同品牌的充分竞争，如某设备的某技术参数或要求属于个别品牌专有，则该技术参数及要求不具有限制性，投标人可对该参数或要求进行适当调整，并应当说明调整的理由，且此调整须经评委会审核认可；</w:t>
      </w:r>
    </w:p>
    <w:p>
      <w:pPr>
        <w:spacing w:line="360" w:lineRule="auto"/>
        <w:ind w:firstLine="480" w:firstLineChars="200"/>
        <w:rPr>
          <w:rFonts w:ascii="宋体" w:hAnsi="宋体" w:cs="宋体"/>
          <w:sz w:val="24"/>
          <w:szCs w:val="28"/>
        </w:rPr>
      </w:pPr>
      <w:r>
        <w:rPr>
          <w:rFonts w:hint="eastAsia" w:ascii="宋体" w:hAnsi="宋体" w:cs="宋体"/>
          <w:sz w:val="24"/>
          <w:szCs w:val="28"/>
        </w:rPr>
        <w:t>3） 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cs="宋体"/>
          <w:sz w:val="24"/>
          <w:szCs w:val="28"/>
        </w:rPr>
        <w:cr/>
      </w:r>
      <w:r>
        <w:rPr>
          <w:rFonts w:hint="eastAsia" w:ascii="宋体" w:hAnsi="宋体" w:cs="宋体"/>
          <w:sz w:val="24"/>
          <w:szCs w:val="28"/>
        </w:rPr>
        <w:t xml:space="preserve">    4） 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hint="eastAsia" w:ascii="宋体" w:hAnsi="宋体" w:cs="宋体"/>
          <w:sz w:val="24"/>
          <w:szCs w:val="28"/>
        </w:rPr>
        <w:cr/>
      </w:r>
      <w:r>
        <w:rPr>
          <w:rFonts w:hint="eastAsia" w:ascii="宋体" w:hAnsi="宋体" w:cs="宋体"/>
          <w:sz w:val="24"/>
          <w:szCs w:val="28"/>
        </w:rPr>
        <w:t xml:space="preserve">    5）如对本招标文件有任何疑问或澄清要求，请按本招标文件“投标人须知前附表”中约定联系周口市公共交资源交易中心政府采购中心，或接受答疑截止时间前联系采购人。否则视同理解和接受。</w:t>
      </w:r>
      <w:bookmarkStart w:id="50" w:name="_Toc6821_WPSOffice_Level2"/>
    </w:p>
    <w:p>
      <w:pPr>
        <w:spacing w:line="360" w:lineRule="auto"/>
        <w:ind w:firstLine="643" w:firstLineChars="200"/>
        <w:rPr>
          <w:rFonts w:ascii="宋体" w:hAnsi="宋体" w:cs="宋体"/>
          <w:b/>
          <w:sz w:val="32"/>
          <w:szCs w:val="32"/>
        </w:rPr>
      </w:pPr>
    </w:p>
    <w:p>
      <w:pPr>
        <w:spacing w:line="360" w:lineRule="auto"/>
        <w:ind w:firstLine="643" w:firstLineChars="200"/>
        <w:rPr>
          <w:rFonts w:ascii="宋体" w:hAnsi="宋体" w:cs="宋体"/>
          <w:b/>
          <w:sz w:val="32"/>
          <w:szCs w:val="32"/>
        </w:rPr>
      </w:pPr>
    </w:p>
    <w:p>
      <w:pPr>
        <w:spacing w:line="360" w:lineRule="auto"/>
        <w:ind w:firstLine="643" w:firstLineChars="200"/>
        <w:rPr>
          <w:rFonts w:ascii="宋体" w:hAnsi="宋体" w:cs="宋体"/>
          <w:b/>
          <w:sz w:val="32"/>
          <w:szCs w:val="32"/>
        </w:rPr>
      </w:pPr>
    </w:p>
    <w:bookmarkEnd w:id="50"/>
    <w:p>
      <w:pPr>
        <w:jc w:val="left"/>
        <w:rPr>
          <w:rFonts w:ascii="宋体" w:hAnsi="宋体" w:cs="宋体"/>
        </w:rPr>
        <w:sectPr>
          <w:footerReference r:id="rId3" w:type="default"/>
          <w:pgSz w:w="11906" w:h="16838"/>
          <w:pgMar w:top="1440" w:right="1758" w:bottom="1440" w:left="1758" w:header="851" w:footer="992" w:gutter="0"/>
          <w:cols w:space="720" w:num="1"/>
          <w:docGrid w:linePitch="312" w:charSpace="0"/>
        </w:sectPr>
      </w:pPr>
    </w:p>
    <w:p>
      <w:pPr>
        <w:keepNext w:val="0"/>
        <w:keepLines w:val="0"/>
        <w:pageBreakBefore w:val="0"/>
        <w:widowControl w:val="0"/>
        <w:pBdr>
          <w:bottom w:val="dotted" w:color="auto" w:sz="24" w:space="1"/>
        </w:pBdr>
        <w:kinsoku/>
        <w:wordWrap/>
        <w:overflowPunct/>
        <w:topLinePunct w:val="0"/>
        <w:autoSpaceDE/>
        <w:autoSpaceDN/>
        <w:bidi w:val="0"/>
        <w:adjustRightInd/>
        <w:snapToGrid/>
        <w:spacing w:line="420" w:lineRule="exact"/>
        <w:jc w:val="center"/>
        <w:textAlignment w:val="auto"/>
        <w:rPr>
          <w:rFonts w:ascii="宋体" w:hAnsi="宋体" w:cs="宋体"/>
          <w:b/>
          <w:sz w:val="32"/>
          <w:szCs w:val="32"/>
        </w:rPr>
      </w:pPr>
      <w:r>
        <w:rPr>
          <w:rFonts w:hint="eastAsia" w:ascii="宋体" w:hAnsi="宋体" w:cs="宋体"/>
          <w:b/>
          <w:sz w:val="32"/>
          <w:szCs w:val="32"/>
        </w:rPr>
        <w:t>货物需求</w:t>
      </w:r>
      <w:bookmarkStart w:id="51" w:name="_Toc14806_WPSOffice_Level2"/>
      <w:r>
        <w:rPr>
          <w:rFonts w:hint="eastAsia" w:ascii="宋体" w:hAnsi="宋体" w:cs="宋体"/>
          <w:b/>
          <w:sz w:val="32"/>
          <w:szCs w:val="32"/>
        </w:rPr>
        <w:t>及技术规格参数</w:t>
      </w:r>
    </w:p>
    <w:p>
      <w:pPr>
        <w:keepNext w:val="0"/>
        <w:keepLines w:val="0"/>
        <w:pageBreakBefore w:val="0"/>
        <w:widowControl w:val="0"/>
        <w:pBdr>
          <w:bottom w:val="dotted" w:color="auto" w:sz="24" w:space="1"/>
        </w:pBdr>
        <w:kinsoku/>
        <w:wordWrap/>
        <w:overflowPunct/>
        <w:topLinePunct w:val="0"/>
        <w:autoSpaceDE/>
        <w:autoSpaceDN/>
        <w:bidi w:val="0"/>
        <w:adjustRightInd/>
        <w:snapToGrid/>
        <w:spacing w:line="420" w:lineRule="exact"/>
        <w:jc w:val="center"/>
        <w:textAlignment w:val="auto"/>
        <w:rPr>
          <w:rFonts w:ascii="宋体" w:hAnsi="宋体" w:cs="宋体"/>
          <w:b/>
          <w:sz w:val="32"/>
          <w:szCs w:val="32"/>
        </w:rPr>
      </w:pPr>
      <w:r>
        <w:rPr>
          <w:rFonts w:hint="eastAsia" w:ascii="宋体" w:hAnsi="宋体" w:cs="宋体"/>
          <w:b/>
          <w:sz w:val="32"/>
          <w:szCs w:val="32"/>
        </w:rPr>
        <w:t>（采购人根据项目情况设定）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52" w:name="_Toc11739_WPSOffice_Level1"/>
      <w:bookmarkStart w:id="53" w:name="_Toc40975439"/>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一、项目背景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按照国家卫生健康委发布的按照国家卫生健康委发布的《电子病历系统应用水平分级评价标准（试行）》、《医院智慧服务分级评估标准体系（试行）》、《医院智慧管理分级评估标准体系（试行）》文件要求，以及互联互通成熟度测评、河南省数字化医院评审标准要求，和周口市公立医院改革与高质量发展示范项目2022年总体设计方案要求，结合我院当前信息化建设的实际情况，对我院的智慧医疗、智慧服务和智慧管理进行提升改造。以流程便捷、精细化管理、精准医疗、高效协同、资源共享为原则，通过互联网、物联网、人工智能、大数据、云计算等技术手段，最终实现智慧服务、智慧医疗、智慧管理三个领域的智能化建设和应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2.项目要求：达到国家智慧医院建设要求，满足电子病历应用水平五级、智慧服务三级、智慧管理二级、互联互通四甲以及医疗行业相关标准要求。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二、清单</w:t>
      </w:r>
    </w:p>
    <w:tbl>
      <w:tblPr>
        <w:tblStyle w:val="71"/>
        <w:tblW w:w="9967"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7750"/>
        <w:gridCol w:w="767"/>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序号</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设备名称</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单位</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病案统计管理系统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康复数字化管理系统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健康宣教系统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日间手术麻醉临床信息系统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重症监护临床信息系统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重症移动护理推车</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台</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移动电子签名系统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便民服务小程序</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9</w:t>
            </w:r>
          </w:p>
        </w:tc>
        <w:tc>
          <w:tcPr>
            <w:tcW w:w="7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医务管理系统</w:t>
            </w: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套</w:t>
            </w:r>
          </w:p>
        </w:tc>
        <w:tc>
          <w:tcPr>
            <w:tcW w:w="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注：</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重症监护临床信息系统</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为核心产品。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三、参数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病案统计管理系统</w:t>
      </w:r>
    </w:p>
    <w:tbl>
      <w:tblPr>
        <w:tblStyle w:val="71"/>
        <w:tblW w:w="10000"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250"/>
        <w:gridCol w:w="7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模块名称</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功能名称</w:t>
            </w:r>
          </w:p>
        </w:tc>
        <w:tc>
          <w:tcPr>
            <w:tcW w:w="753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描述说明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病案管理</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病案首页录入</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1.病案首页信息主要包含：基本信息、出院诊断信息、手术信息、费用信息、其他信息。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2.可根据不同的医院类型设置首页录入页面，支持综合医院、妇幼保健院、儿童医院、康复医院、精神类医院和中医院等使用，也可根据地方政策不同扩展相应的区域附页。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3.录入病案首页数据界面支持调取第三方B/S 或C/S的已出院病人的电子病历首页，方便录入人员查看病历首页数据，对比和修改数据。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4.具备完善的首页数据限制的设置功能。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5.具备首页字段的设置功能，如对病案号、住院号、首页打印等进行设置，符合医院实际使用需求。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6.具有诊断类型、病人来源、二级来源、临床路径、是否疑难、是否单病种、是否危重、医疗小组，抗生素使用、使用目的、使用方案等项目的录入，同时兼容老版病案首页，所有录入信息可以进行自定义维护。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7.首页输入框支持F5快捷键或双击查询功能。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8.首页数据保存时要具有病案信息校验功能，并能对错误信息进行提示和定位。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9.支持门诊医师诊断、医生病理诊断、多次转科记录、重症监护的多条数据录入。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10.支持对照查看医保版疾病诊断、手术操作编码。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11.支持勾选ICD-10诊断编码和ICD-9手术编码中需进行医保上报的数据，展示在本系统内医保结算清单中。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12.支持查看和打印医保结算清单，支持补录医保结算清单相关数据。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13.支持调整和保存医保版的诊断和手术编码的顺序。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14.支持按条件分配未录入病案。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15.支持对已录入的病案进行批注功能，可按条件查看和处理被批注病案。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首页质量审核</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1.具有病案质量审核功能，审核类型分为强制、合理和逻辑性。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2.按照HQMS、卫统、卫统(中医)、绩效考核首页上报等校验标准进行自动审核，提示错误病案及错误信息，支持查看、错误定位和修改。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3.支持根据错误提示直接定位到需要修改的病案首页页面进行数据修改，支持勾选/取消勾选错误项。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4.自动保存错误信息，根据错误信息查询窗口对审核的错误进行归类，显示归类错误总例数。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5.支持将错误信息按照科室、审核类型等分类条件，查看校验后的首页情况。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病案查询及修改</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1.支持按基本查询条件，查询已完成录入的病案。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2.支持双击任一条已录入的病案，展示病案首页信息并进行修改和保存。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接口费用重导入</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自动清空某一时间段的费用数据并重新导入费用信息，支持新版费用合入老版费用。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收回管理</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收回处理</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1.按条件查询未回收的病案，并进行收回操作。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2.记录病案回收的日期和人员等信息，方便清楚掌握病案的回收情况。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收回情况统计</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1.统计回收病案的收回情况，并支持统计结果打印。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2.查询已录入未回收病案的情况。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3.查询逾期回收病案的情况。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条码号打印</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按病案号打印条码。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借阅管理</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病案借出</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1.对已录入病案的借阅。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2.对历史病案的借阅。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3.查询和修改历史借阅单，并可查询修改记录。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病案还入</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归还借阅的病案。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借阅查询</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1.查询已借阅未归还的病案。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2.查询逾期未归还的病案。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借阅信息维护与设置</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对借阅人员、部门、事由、还入状态等项目维护。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统计管理</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工作量录入</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为统计报表提供数据来源，并且为一些综合报表提供某些数据入口，可以录入门诊、住院工作量。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工作量修改</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对于已存在的工作量数据，提供数据逻辑审核校验和修改功能。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数据查询</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查看门诊、住院、病区出入院的数据。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统计设置</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1.设置统计录入日期与当前日期的差额、设置报表中的“0”是否显示等信息。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2.自定义取数方式、设置统计期间、医疗小组、术前住院天数计算等功能。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检索查询</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快速、简单检索</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按查询条件对已录入的病案进行查询，查询出病案首页上的一些基本信息。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复合检索</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1.针对病案中的任意字段进行组合，排列，取阶段范围进行模糊查询。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2.保存自定义的查询条件，下一次可使用。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3.查看符合查询条件的病案的详细信息。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数据运算分析</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1.提供数据运算分析小工具功能，如统计记录、分组记录、求和、平均值、最大值、最小值等。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2.提供对查询结果的任意列进行正序、倒序排列，并支持分屏显示。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其他信息检索</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1.针对病案首页中的产妇、婴儿、中医等信息提供单独检索功能。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2.提供按疾病、手术病例的查询功能。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3.提供按门诊、住院病区工作量的查询功能。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统计与病案出院人数对比</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1.统计与病案出院人数进行查询和逻辑对比分析。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2.查询详细科室的逐日数据对比功能。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3.查看对比数据中出院患者列表及具体病案首页信息。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卫统上报</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数据审核</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1.根据卫统的数据标准进行数据审核，展示详细错误信息和错误归类。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2.修改并保存有错误的病案，直至审核通过。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3.管理上报规则。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数据导出</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1.支持综合医院、中医院的卫统上报。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2.自动生成国家卫统4所需的上报文件，支持卫计委最新版上报的格式需求，并且支持三年以上的历史数据导出。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3.首页录入的数据标准按照卫统平台要求在后台自动对应转换，不影响医院原始录入的数据标准和规则。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4.支持设置定时任务导出数据。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报表管理</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1.包含常用报表、病案报表、统计报表、卫统报表、手术报表、指标报表、中医报表、妇幼报表、管理报表、定制报表等，所有报表具有导出EXCEL\TXT\PSR\DBF\SQL功能。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2.报表具有自定义功能，能够灵活进行报表的功能设计，可以自行增加文本域、计算域、排列对齐方式、针对某一域可以自定义函数，取值SQL ,以适应统计报表的复杂性。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3.维护报表信息，包含卫统疾病分类代码、卫统病伤死亡原因类目、三十病种基本情况取值、医院报表取值、地方报表汇总科室、门诊及病区同期比项目、月份显示格式、损伤与中毒外部原因代码等。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数据处理</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1.拥有完善的分院数据处理机制，人员权限区分明确。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2.数据查询、报表汇总、数据上报支持分院单独处理、总院数据汇总。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3.拥有丰富的接口标准，可直接连接oracle、sqlserver等数据库，支持使用webservice通用接口服务直接采集webservice数据。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4.支持多线程取数功能。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接口处理</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1.具有外部接口程序处理功能，分为通用接口、扩展接口。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2.数据连接设置能够支持同时连接多个数据库。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3.通用接口支持表名、字段的填写、费用信息调取，门诊、住院工作量取数，支持过程处理，能够显示HIS或EMR中入院、出院、转入、转出名单。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4.扩展接口支持单列、多列、扩展脚本取数方式，并且设置同时连接不同数据库。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数据规范</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1.病案首页按照全国统一病案首页2012年1月1日（卫医政发﹝2011﹞84号）下发的标准研发，各项目的数据标准预设和标准首页一致。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2.支持医院自定义增加部分信息，支持病案首页扩展，能够提供首页项目外的其他项目录入。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3.根据2016年国卫办医发（2016）24号文件内容，制定病案首页数据质量管理审核标准。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4.能提供最新的疾病编码和手术编码库，包括国家和地方发布的编码标准，用户可根据实际需要自行选择。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5.提供ICD10电子词典功能，对类目、亚目、临床常用疾病具有详细描述。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6.提供中医疾病代码的维护，可以查看和修改。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系统维护</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1.包括标准编码、病案基础、卫统基础、科室、人员、医疗小组、节假日，肿瘤专科、报表设置定义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2.职业、关系、组织机构分类代码、出生地、国别、民族等基础维护严格采用国家卫计委颁布的标准字典。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3.自定义节假日、工作日、门诊休息类型。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其他功能</w:t>
            </w: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1.采用病案与统计合二为一的设计模式，减少医院病案、统计管理人员的重复性、交叉性工作，提升病案与统计管理工作的质量。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2.窗口具有自动识别不同分辨率的功能。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3.系统管理功能包括站点管理、系统参数设置、数据备份、其中系统日志能够记载所有用户操作时间、操作应用名称、操作描述，站点等信息。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4.具有界面化数据库自动备份管理页面，可设置备份时间和频率。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5.具有自动生成病案号功能，可按统一流水号、住院号、科室打头流水号、统计码、自定义标识等进行设置。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6.具有再次住院的检查功能，在调用首页数据后检查是否是再次住院情况。检查方式可以按照、姓名、性别、出生日期等进行设置。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7.可以设置病案号长度、当前年度，入出院日期与当前日期的误差范围。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8.支持某一时间段病案首页数据锁定功能，可以设置自动锁定。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7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9.自定义打印首页的应用编号，打印不同首页模板。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00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三级公立医院绩效考核病案首页数据上报系统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模块名称</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数据对接</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与医院现用的病案管理系统无缝对接，实现数据的读取和使用。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编码对照</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编码自动对照：支持将病案首页中的编码智能生成与疾病编码国家临床版2.0的映射关系。支持北京临床版V5.0、北京临床版V6.0、国家临床版V1.1和国家标准版等多种版本编码的自动转码。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人工比对编码：针对不匹配的编码给出匹配度推荐，给人工核对提供辅助支持。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编码对照的分工处理：通过选择范围与查询功能的组合使用，可按区段过滤编码。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更新编码：针对异常的编码可进行编辑，提供模糊查询功能，通过更新编码，更新对照信息，再进行导出上报。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扫描更新：检查多次上报区间内使用的编码有无变更情况。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导入外部文件读取编码，减少对数据库的直接操作。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数据审核</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对时间范围内的病案首页数据进行批量检查，根据绩效考核的数据要求，给出详细错误类型和错误信息。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调用病案系统修改错误首页数据。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数据校验及导出</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编码映射表校验及导出，包含：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疾病诊断编码与国家临床版2.0疾病诊断编码(ICD-10)映射表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手术操作编码与国家临床版3.0手术操作编码(ICD-9-CM3)映射表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肿瘤形态学编码与国家临床版2.0肿瘤形态学编码映射表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中医主病主证编码与中医病症分类代码国标版95(TCM95)映射表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首页数据导出，包含：三级公立医院绩效考核西医首页、三级公立医院绩效考核中医首页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784" w:type="dxa"/>
            <w:gridSpan w:val="2"/>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数据上报</w:t>
            </w:r>
          </w:p>
        </w:tc>
        <w:tc>
          <w:tcPr>
            <w:tcW w:w="87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将导出后的首页数据上报：预览首页数据无误后即可导出上报要求的格式文件。</w:t>
            </w:r>
          </w:p>
        </w:tc>
      </w:tr>
    </w:tbl>
    <w:p>
      <w:pPr>
        <w:pStyle w:val="8"/>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2.康复数字化管理系统</w:t>
      </w:r>
    </w:p>
    <w:tbl>
      <w:tblPr>
        <w:tblStyle w:val="71"/>
        <w:tblW w:w="10000"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1250"/>
        <w:gridCol w:w="8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项目模块</w:t>
            </w:r>
          </w:p>
        </w:tc>
        <w:tc>
          <w:tcPr>
            <w:tcW w:w="8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基础数据管理</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1.1支持对系统运行所需要的基础数据进行管理、维护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1.2可分别配置评定报告、治疗文书、团队会议文书等报告个性化多级审核流程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系统设置</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2.1支持角色对应权限管理功能，并能将分配的权限应用到相应员工个人权限中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2.2支持核心业务参数配置功能以满足不同需求管理流程需要包含收费模式设置、评估报告展示分组模式设置、评估完成自动推送消息等功能。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★2.3可支持三种评估收费模式、评估报告展示分组模式、评估完成自动推送消息模式等业务配置（需提供产品整屏功能截图证明材料）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2.4支持医生工作站业务的参数控制，包含已停用或临时医嘱有效时限设置、治疗医嘱的安排限制设置、医嘱与项目对应的设置等功能。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★2.5支持治疗文书业务的参数控制，包含是否允许同治疗区用户编辑文书设置、文书前后编辑设置、文书书写提醒等功能（需提供产品整屏功能截图证明材料）。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2.6支持全局业务的参数控制，包含是否启用CA签名、是否展示中医诊断、治疗团队更新条件设置、今日排班查询范围设置等功能。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2.7支持对系统操作界面颜色进行统一更换功能。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接口模块</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3.1提供系统运行所需的基础接口及电子病历过级所需的业务接口。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3.2提供20种康复核心业务开展所需的必备接口以满足数据交换和共享。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消息中心</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4.1提供灵活的消息提示机制，可通过多种通讯方式获取系统发送的提示信息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★4.2支持根据角色对应权限业务有针对性获取系统中的提示消息（需提供产品整屏功能截图证明材料）。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4.3可根据院方需要针对性的选择科室、病区、人员接受消息并处理。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4.4支持消息数字展示、速览展示、强制展示等展示方式功能,根据关键字、消息状态、搜索消息列表功能。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4.5支持根据医院需求进行配置消息确认方式，如密码/手动/无需确认，消息查看后会进入相关任务功能。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4.6支持超时提醒，在规定时间内用户未处理消息，登录系统后会提醒并引导用户处理消息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★4.7支持多提醒方式（强/中/弱）,确保重要的消息实时通知到用户，可根据医院实际需求规则，配置不同消息接收模式（需提供产品整屏功能截图证明材料）。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4.8支持消息颜色自定义，用户通过颜色可区分出不同种类的消息，快速锁定同一类型消息。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★4.9支持自定义消息强制提示，某类型消息用户必须查看，用户会收到该消息并处理，否则用户可以在个人中心自由选择是否需要查看消息（需提供产品整屏功能截图证明材料）。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4.10支持自定义消息接收人，可根据医院需要选择科室/治疗区下的用户接收并处理消息,或者选择具体的接收人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4.11支持快捷选择治疗团队，服务协调人，治疗区负责人下的用户接收并处理消息，各消息模板可选择存在差异，这由消息模板的性质决定。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★4.12支持配置消息优先级，分高/中两种级别，高级别消息优先发送，确保重要消息即时通知到位（需提供产品整屏功能截图证明材料）。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4.13支持消息中心存储功能，可记录并查看治疗团队之间沟通的全部消息。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4.14支持消息中心存储功能，可记录并查看治疗团队之间沟通的全部消息。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任务中心</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5.1支持针对个人工作信息进行系统化的跟踪,提供每日工作情况总览功能及任务追踪路径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5.2提供自动化响应编排能力，将未在规定时间内完成的工作任务逐次编排进行警示。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★5.3提供自动化甄别编排能力，将收费失败的治疗任务编排进行处理（需提供产品整屏功能截图证明材料）。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5.4支持任务启动机制，默认不启用任务首页将不会展示相关任务信息。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5.5支持任务负责人自定义，可选择治疗区/科室下的用户或具体的用户负责并处理任务，相关人员会在任务首页查看到与自己相关的任务。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5.6支持快捷自定义科室，我负责的相关用户负责并处理，各任务有差异，由任务的具体业务决定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5.7支持启用任务质控机制，开启后对于未在规定时间内完成的任务将会警示（需提供产品整屏功能截图证明材料）。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★5.8支持任务管理人自定义，可设置用户查看超时任务，无操作的任务会直接展示（需提供产品整屏功能截图证明材料）。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5.9支持任务质控时间自定义，任务质控设定时间可根据院方情况调整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个人中心</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6.1支持对当前账户信息进行编辑维护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6.2支持多病区联合办公，可根据需要切换不同科室/病区进行业务处理，且能实现数据隔离（需提供产品整屏功能截图证明材料）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★6.3支持登录用户修改密码、头像、锁定与注销账号功能（需提供产品整屏功能截图证明材料）。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6.4支持查看或发起相关会话功能。默认接收消息，参与会话者可配置消息免打扰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患者管理</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7.1提供患者管理功能，支持以名片、列表两种方式进行管理；且能同步HIS患者信息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7.2支持监管患者诊疗进度，收录患者从入院到出院各阶段的诊疗数据集中展示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★7.3支持名片方式进行管理，名片上需包含患者来源、患者标记、患者身份、费用余额、就诊信息、功能障碍等信息（需提供产品整屏功能截图证明材料）。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7.4支持列表方式进行管理，集成治疗团队管理、患者标记、康复病历夹、康复看板、康复目标、康复评估、治疗执行、评估建议、治疗建议、康复文书、家庭训练、家庭随访等相关功能。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★7.5具备业务流程定位功能，支持定位患者当前诊疗的流程阶段（需提供产品整屏功能截图证明材料）。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★7.6具备流程时间监管功能，支持在流程节点上呈现各诊疗业务开展的具体日期（需提供产品整屏功能截图证明材料）。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7.7支持编辑患者康复信息功能，增加患者康复信息功能，提高治疗执行治疗精度及评估准确度。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7.8支持编辑患者治疗团队信息功能，提高对患者针对性医疗服务准确性，同时提高治疗团队成员对患者关注度。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7.9支持患者可扩展编辑信息功能，附加患者其他信息功能，提高治疗师或护士日常工作便捷性。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★7.10具备患者风险标记功能，提高评估或治疗风险控制</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7.11支持同步HIS患者信息功能，保证患者信息与院内其他系统的信息一致。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康复医生工作站</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8.1支持以患者为中心进行康复业务功能，满足康复医嘱下达、康复医嘱处理、康复医嘱发送的业务要求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8.2具备康复医嘱回传的业务模式，提供五种治疗医嘱推荐方式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8.3具备调整医嘱执行治疗区功能，支持指定治疗区/治疗师，提高治疗分配精度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★8.4具备HIS医嘱识别功能，支持两种（1：n；n：1）模式自动生成治疗方案</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★8.5自动获取HIS医嘱后，支持再编辑，并可一键生成治疗方案（需提供产品整屏功能截图证明材料）。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8.6具备可根据临床医生开具治疗医嘱，HIS可自动读取治疗医嘱功能，显示治疗项目对应医嘱嘱托内容；根据患者病种，推荐预设病种方案进行引用添加。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8.7具备建议医嘱下达指定治建议治疗区、建议治疗师、建议治疗设备等信息功能；由患者责任治疗师或责任评估师发送建议医嘱后，发送同步到HIS下达治疗医嘱；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8.8针对批量治疗，具备每条执行信息可不相同，也可一键应用执行信息，治疗时可查看操作指导功能，具有治疗列表中限定次数提醒、执行截止提醒、医嘱停止提醒功能；支持治疗中模式功能，可精准管理治疗时长（可根据需求进行参数配置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8.9具备治疗执行时可根据实际情况调整费用情况再次治疗执行时在治疗备注中填写治疗结论功能，利用填写治疗备注，形成治疗记录单功能。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★8.10支持以治疗项目和医嘱两种方式进行治疗登记功能，且在以医嘱方式进行登记时支持根据需要写入治疗次数，简化治疗执行操作同时提升执行准确性（需提供产品整屏功能截图证明材料）。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8.11具备治疗记录进行视频上传功能，以便核准对比；可调用HIS接口完成计费，可集成HIS接口完成执行计费，也可绑定收费医嘱功能。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8.12支持对治疗中的记录进行直接执行和批量完成两种方式，可进行查看、编辑、移除康复患者的责任治疗师功能，可打印执行清单功能；配置治疗排班方式可选，可分别根据治疗区、治疗师、治疗设备排班方式选择；具有患者异常情况提示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8.13具备随时查看治疗师治疗执行情况及收费情况功能，对于已执行的项目，可进行项目撤销执行及批量撤销功能，可根据治疗师来统计治疗工作量功能。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★8.14支持查询待排班列表功能模块，提供完整及丰富的查询条件，可根据医嘱查询，对开嘱日期、治疗区、治疗师、治疗项目、患者等进行条件查询;且对治疗区和治疗师提供权限控制和记忆功能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8.15治疗排班具备精细化排班和点位排班功能模块，可以根据不同医院不同场景自由选择精细排班或点位排班，排班模式支持日排班模式和周排班模式，周排班模式完全可由用户自定义一周内的某天排班工作或非排班工作</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8.16治疗排班可自动生成万年历日历控件功能，方便治疗师自由寻找排位空缺，达到便捷快速排班;需要修改排班时，具备可否弹窗提示功能，可自由配置选择是否提示，确保无误操作错误（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★8.17排班功能模块可自定义节假日，自由设置节假日和调休日，排班数据会根据设置数据自由跳过自动生成；并支持占位功能，占住点位防止其他人抢占，其中占位类型由用户自定义</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8.18治疗排班功能模块具备根据治疗项目打包统一安排功能，以节省治疗师排班时间；并且支持单个排班修改和批量排班修改，单个删除和批量删除功能；根据实际排班情况灵活配置打印模板，选择性打印排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8.19支持排班任务交接功能，治疗师可以将任务转交接至其他治疗师，且支持治疗执行功能，完成治疗后有特殊标记，便于辨识;精细化排班支持调整排班项时长，治疗师可以根据患者实际情况任意调整治疗时长（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8.20治疗记录查询提供了医保剩余次数、执行剩余次数、次数到期提醒、患者余额、排班信息；待治疗记录提供叫号和批量执行功能，查询表格表头可自定义和排序，查询条件可根据操作习惯具有记忆功能（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8.21具备预出院功能，并支持按预设的时间自动收费和停嘱。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康复评估工作站</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9.1支持评估所需要的基础功能,满足创建评估方案-&gt;调整评估量表-&gt;执行评估-&gt;书写评估报告-&gt;完成评估-&gt;评估查看-&gt;评估对比的业务要求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9.2具备对接HIS，根据HIS评估医嘱自动创建评估方案，可支持再编辑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9.3具有查询条件记忆功能，在查询评估方案时提供8种查询方式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★9.4具备疗效评估的三种对比分析方式，过程数据对比分析可支持数值和图形化两种呈现方式</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9.5支持评估量表和评估报告的4种签名方式，并可生成PDF文件及打印。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★9.6《脊髓损伤神经功能评估》满足2019版【脊髓损伤神经学分类国际标准(ISNCSCD)】，支持键盘与触屏（平板）输入分数，自主选择向下复制值功能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★9.7《脊髓损伤神经功能评估》满足2019版【脊髓损伤神经学分类国际标准(ISNCSCD)】，根据感觉和运动评分实时在检查图上以不同颜色区分，可视化显示损伤水平</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9.8同步对接HIS系统收费，提供评估方案绑定收费功能，可根据清单或医嘱同步收费。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9.9具备支持历次评估数据进行对比分析（包含量表/报告数值、量表视频对比）、可自定义选择历史住院初期方案、中期方案并进行对比分析，并可将对比分析结果进行导出、打印。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9.10具备对接HIS系统同步评估医嘱功能；提供建议医嘱功能，评估师可根据患者情况发送建议医嘱，供医生引用。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康复治疗工作站</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10.1支持治疗所需要的基础功能，具备待治疗项目查询、治疗登记、治疗记录、收（补）退费等功能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10.2具备治疗项目登记功能，支持2种查看模式及12种组合查询条件进行精确筛选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10.3具备治疗记录权限管理功能，通过权限设置支持查看各治疗师任务执行情况、收费情况、工作量情况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★10.4具有治疗结果登记辅助输入功能，支持一键应用治疗登记信息（需提供产品整屏功能截图证明材料）。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★10.5具备以医嘱模式进行登记功能，支持输入治疗次数来保证治疗执行的精准性（需提供产品整屏功能截图证明材料）。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10.6具备治疗执行收费功能，支持对接HIS同步收费；提供三种计费模式（按部/穴位收费、按治疗项目费用清单收费、按HIS医嘱费用清单收费）。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10.7具备分角色展示本人、本科室和会诊患者及以患者为中心进行康复业务功能。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★10.8支持引用预设方案、历史方案、推荐方案、建议方案、绑定收费医嘱、支持指定治疗区、指定治疗师、录入操作指导、打印治疗单功能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10.9支持执行患者康复评估方案，支持查看操作指导、填写量表、录制音频、上传设备报告、量表签名，支持查看评估报告，进行评估对比功能。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10.10支持查看、编辑患者康复随访方案功能。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10.11支持发起、确认、在线参加康复团队会议及填写相关意见及会议报告功能。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★10.12具备医嘱自动生成治疗功能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★10.13支持医嘱手动转换治疗功能（需提供产品整屏功能截图证明材料）。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10.14具备调整治疗医嘱执行治疗区功能，提高治疗分配精度。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10.15具备治疗医嘱关联收费功能。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★10.16具备治疗医嘱关联收费清单功能，提高治疗执行费用精确度（需提供产品整屏功能截图证明材料）。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10.17具备治疗医嘱任务合并功能。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10.18具备治疗方式可编辑功能，指引治疗师合理操作。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10.19具备治疗设备参数可设置功能，减少治疗设备执行时参数调整。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★10.20具备治疗医嘱自动合并生成功能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10.21支持参考使用及修改预设治疗方案、历史治疗方案、知识库治疗方案功能。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10.22具备设置治疗执行操作指导功能，辅助治疗执行提高治疗精准度。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10.23具备治疗医嘱产生时自动关联患者现有的医保信息，保证治*疗医保控制（需提供产品整屏功能截图证明材料）。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10.24具备排队治疗执行功能，支持按医嘱模式和频次两种模式进行治疗登记（需提供产品整屏功能截图证明材料）。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10.25提供治疗执行自动排查功能，支持在治疗登记时提醒显示未执行医嘱。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10.26具备治疗方式查看功能，支持在治疗时调阅生理图，并提供批量查看、移动和缩放等功能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10.27具备治疗登记过程中调阅生理图功能，调阅时可同步获取频次、部位数、嘱托等信息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★10.28具备语音播报功能，在新医嘱下达时支持进行语音播报</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10.29具备退费权限管控功能，可设置精细化退费权限，支持通过设置实现仅限本人操作退费的功能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家庭训练管理</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11.1可以自由选择是否强制限制患者评定未完成能否进行下步治疗操作功能；可进行满意度选择和患者未治疗原因选择等选项;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11.2支持快速创建家庭训练方案模板，模板可设置数据共享范围（通用，科室，个人）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11.3支持将给患者开具的训练方案另存为预设模板功能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★11.4具备通过预设模板快速制定训练方案，支持自由调整搭配新增项目完成方案创建</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★11.5支持在创建患者家庭训练方案时，可依据预设训练方案模板进行新训练方案建立，预设方案可自由搭配训练动作（需提供产品整屏功能截图证明材料）。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11.6支持已有的训练方案可保存为模板，方便以后使用，可将训练方案详细信息、动作描述说明进行打印，方便患者带回观看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11.7支持对家庭训练动作分类管理，训练动作具有图文描述说明，有明确的训练目标和注意事项说明（需提供产品整屏功能截图证明材料）。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11.8支持预设家庭训练方案模板(训练动作组合)，模板可设置共享范围如(通用，科室，个人)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报表中心</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12.1治疗执行时支持医保控费验证，保障了治疗费用的准确性；治疗执行医嘱折叠和按频次展开显示，治疗师可以按个人需要自由切换;可精确记录开始--执行中--结束执行全流程过程（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12.2治疗执行时可批量操作一键应用，便捷快速填写治疗信息;执行填写备注时，支持词条自动检索功能，方便治疗师快速填写备注信息。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12.3支持统计科室的所有项目，设备使用率、治疗人次、治疗费用、工作量统计、量表统计、绩效统计，患者治疗情况统计功能，报表可集中展示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12.4支持依据管理的需要可形成日报、周报、月报等功能且可打印和查询报表。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12.5统计康复评定率、住院患者评估完成情况、住院患者评估超时完成情况等质控分析，并支持以图文形式展现功能。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建议医嘱</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13.1治疗排班功能模块具备根据治疗项目打包统一安排功能，以节省治疗师排班时间；并且支持单个排班修改和批量排班修改，单个删除和批量删除功能；根据实际排班情况灵活配置打印模板，选择性打印排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★13.2支持排班任务交接功能，治疗师可以将任务转交接至其他治疗师，且支持治疗执行功能，完成治疗后有特殊标记，便于辨识;精细化排班支持调整排班项时长，治疗师可以根据患者实际情况任意调整治疗时长</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13.3治疗记录查询提供了医保剩余次数、执行剩余次数、次数到期提醒、患者余额、排班信息；待治疗记录提供叫号和批量执行功能，查询表格表头可自定义和排序，查询条件可根据操作习惯具有记忆功能。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康复看板</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14.1支持患者一览卡功能，满足患者信息整合需要，可实时显示患者最新的各类康复医疗信息。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14.2支持快速调取患者康复病历信息、HIS病历信息（需HIS接口支持），查看患者病历信息。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14.3具备医嘱状态监管功能，支持实时查询患者每日医嘱（评估、治疗、临床）执行状态。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★14.4具备排班情况监管功能，支持在同一界面集中展示多种排班模式的排班结果</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14.5具备交班留言功能，支持留言紧急发送，快速通知到治疗团队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康复质控管理</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15.1支持统计质控数据统计，可统计以下内容：个人超时任务清单明细，个人超时任务统计，治疗组超时任务清单明细，治疗组超时任务统计功能。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15.2支持环节质控，质控点自定义编辑，可设置以下内容：是否入院评估，是否组建治疗团队，是否开具建议医嘱，是否召开康复评价会，是否书写康复文书，是否安排责任治疗师，是否排班，是否完成治疗，是否完成计费功能。（需提供产品截图证明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★15.3支持在一个界面呈现所有质控内容，同时具备质控分析的功能，也图形化展示</w:t>
            </w:r>
            <w:r>
              <w:rPr>
                <w:rFonts w:hint="eastAsia" w:asciiTheme="minorEastAsia" w:hAnsiTheme="minorEastAsia" w:eastAsiaTheme="minorEastAsia" w:cstheme="minorEastAsia"/>
                <w:b w:val="0"/>
                <w:bCs w:val="0"/>
                <w:i w:val="0"/>
                <w:iCs w:val="0"/>
                <w:color w:val="000000" w:themeColor="text1"/>
                <w:kern w:val="0"/>
                <w:sz w:val="24"/>
                <w:szCs w:val="24"/>
                <w:highlight w:val="yellow"/>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15.4支持用户质控任务超时提醒，任务超过规定时间会有图标提醒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15.5支持质控管理任务在质控管理中心直接操作，点击完成会引导到具备质控任务对应的模块进行处理。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15.6支持任务负责人自定义，可选择治疗区/科室下的用户或具体的用户负责并处理任务，相关人员会在任务首页查看到与自己相关的任务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15.7支持快捷自定义科室任务质控，根据每个疗区的任务差异开展，由责任人负责并处理，以实际开展的具体业务决定。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15.8支持任务管理人自定义，可设置用户查看无操作的任务情况。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15.9支持时间质控，任务质控时间自定义编辑，可根据院方要求进行超时提醒。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康复病历夹</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16.1支持病历管理所需的基础功能，归档患者治疗全过程康复医疗信息（评估、团队会议、文书）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16.2支持同一界面集成患者本次就诊与历史就诊信息快速查看功能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16.3支持以时间轴和病历类别两种模式的浏览方式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16.4具备文件上传功能，可上传管理附加的康复医疗文件资料。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16.5具备数据结构化存储功能，支持与全院电子病历系统对接（结构化数据方式）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16.6支持手工上传、管理外部文件功能，用于集中归档。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16.7提供上传接口，用于其它系统对接，实现各系统文件自动上传、集中归档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★16.8支持与EMR或360视图对接（pdf和结构化数据），实现患者病历的集中归档、集中调阅功能（需提供产品整屏功能截图证明材料）。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16.9支持调阅院内电子病历信息功能，实现数据院内可控性地流转。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康复文书</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17.1支持电子病历书写功能，提供各类康复文书的编辑与存储功能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★17.2具备康复数据电子病历结构化存储功能，支持文书内容结构化编辑与存</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储功能（提供证明资料）。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★17.3具备多种文书书写功能，支持轻量版与专业版两种电子文书撰写模式，并能实现数据无缝衔接（需提供产品整屏功能截图证明材料）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17.4具备文书签名功能，提供多种文书签名方式：CA电脑端签名、CA扫码签名、移动APP手写签名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17.5支持治疗师的书写首次治疗记录、上级治疗师查房记录、评定报告等提供结构化编写功能，便于治疗师快速准确的完成文书编辑功能，并实现文书查重功能，避免造成多文档覆盖。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★17.6支持文书内容以结构化存储的方式进行保存，采用独立控件达到结构化存储；并可实现文书查阅和纠错修改，提高治疗文书的完整度，为后续康复治疗研究提供检索及研究提供便利功能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★17.7支持对康复电子文书进行时间质控管理功能。可对文书的填写内容进行时间节点调整，建设康复文书的数据书写错漏（需提供产品整屏功能截图证明材料）。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17.8支持根据治疗执行备注书写人，支持多种签名模式，可在多种场景下对康复文书进行签名保存，优化治疗文书书写的简洁性。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17.9支持提供不同治疗文书模板，康复文书可以文档、PDF和图片的方式存储，提高康复文书归档的可靠性并增强康复文书查阅的便捷性;提高文书书写效率。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17.10支持电子文书审核流程功能。对于康复文书的结果的复用性可监控，减少模板的维护成本，提高文书模板的复用率以及增加用户对自身常用文档的积累;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★17.11具有专业软件测评机构出具的康复电子文书系统相关测试报告（提供测试报告证明材料，测试报告原件复件加盖公章)。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17.12提供康复结构化书文的模板复用功能，减少模板的维护成本，同时提高了模板的复用率以及增加用户对自身常用文档的积累;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★17.13具备专业电子病历功能，在进行文书书写时支持查看并引用患者历史文书内容 （提供测试报告证明材料）。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智能排班排队</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18.1支持对患者进行治疗安排，结合医院资源情况，提供排班、排队等方式进行患者日程安排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18.2具备智能化排班排队功能，提供一键智能排班、智能排队两种方式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18.3具备多种排班方式：以患者为主的排班方式、以项目为主的排班方式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★18.4具备多种组合模式进行治疗安排，提供多级任务分配+精细化排班、患者分配+患者排队、排队等组合方式供医院选择；并且这些模式可单独使用、也可并存使用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★18.5具备多级任务分配功能，支持对未排班项目优先进行任务责任划分，可实现多级责任分配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★18.6具备精细化排班模式功能，系统可根据患者、治疗项目、项目频次、治疗时长、项目开展区域、科室资源（治疗师、设备）等7个要素进行计算匹配对应排班表（治疗师排班表、设备排班表）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18.7具备精细化排班模式功能，支持以时刻和时段两种方式进行精细化治疗安排（时刻：根据治疗时长自动组合以划分时刻实现治疗安排；时段：根据设置时段匹配治疗项目实现治疗安排）（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18.8为满足科室资源合理分配的原则，支持针对多个项目同时进行同一排班资源分配。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19</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电子病历等级评审</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19.1需符合电子病历评级5级医院的建设要求；提供：电子病历评级现场查验，提供现场支持保障，文档材料制作和数据治疗制作的要求，并为电子病历评级查验其它第三方系统满足电子病历评级要求提供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康复智能辅助诊断与治疗系统（RCDSS)</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20.1康复智能辅助诊断与治疗系统（RCDSS)支持PC端使用（需提供产品整屏功能截图证明材料）。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20.2康复智能辅助诊断与治疗系统（RCDSS)支持移动端使用（需提供产品整屏功能截图证明材料）。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20.3支持肩关节康复评估记录，并基于评估结果进行计算机辅助诊断运算，在肱二头肌长头肌腱炎、SLAP损伤、冈上肌损伤、三角肌下滑囊炎、肩关节不稳定、冻结肩、肩峰撞击等32种临床诊断进行鉴别与计算。并依据最后选择诊断推荐治疗方案与具体的治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20.4支持颈椎、头面康复评估记录，并基于评估结果进行计算机辅助诊断运算，在偏头痛、从集性头痛、张力性头痛（胸锁乳突肌、夹肌）、神经根型颈椎病、胸廓出口综合征（斜角肌、胸小肌、锁骨下）、椎体活动度过小、上交叉、上斜方肌综合征等30种临床问题进行鉴别与计算，并依据最后选择诊断推荐相应治疗方案与具体的治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20.5支持踝关节术后康复路径评估记录，并基于评估记录对跟腱修复术、外侧副韧带修复术、足底筋膜断裂修复术、踝关节镜等6种踝足术后康复阶段进行判定与计算，并按照所属阶段推荐相关治疗方案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20.6支持卒中康复治疗评估记录，并基于评估记录在前动脉综合征、后动脉综合征周围型、后动脉综合征中央型、中动脉综合征等14种卒中诊断分型上进行计算与判别，并能对25种卒中常见功能障碍进行计算与判断，选择诊断结果后会基于诊断推荐相关治疗方案与项目</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20.7支持扫码查看RCDSS治疗指导内容（包含：文字，图片，视频）。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20.8涵盖颈椎、肩关节、腰椎、髋关节、膝关节、踝关节等104种慢性肌骨问题的康复治疗方案推荐，包括且不限于SLAP损伤、冈上肌损伤、三角肌下滑囊炎、肩关节不稳定、冻结肩、肩峰撞击、张力性头痛（胸锁乳突肌、夹肌）、神经根型颈椎病、胸廓出口综合征（斜角肌、胸小肌、锁骨下）、椎体活动度过小、上交叉、上斜方肌综合征、椎间盘突出、椎间孔狭窄、梨状肌综合征、小面关节紊乱、腰椎不稳定、髂腰肌功能异常、竖臀大肌功能异常</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20.9涵盖47种术后康复路径各阶段治疗方案推荐，包括且不限于肩袖不同程度损伤修补、肩关节不稳定关节镜或开放式术后、肩关节置换、SLAP修补术、全髋关节置换（后外侧入路、前侧入路）、关节镜下髋关节盂唇修补、髋关节表面置换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20.10涵盖卒中PT各类功能障碍治疗方案推荐。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★20.11包括86种颈椎各类治疗项目说明（图片、文字、视频），内容涵盖颈椎关节松动术、颈椎关节稳定性训练、颈椎力量训练、颈椎肌肉能量技术、颈椎肌内效贴、颈椎牵伸等常见治疗手段</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★20.12包括98种腰椎各类治疗项目说明（图片、文字、视频），内容涵盖腰椎关节松动术、腰椎稳定性训练、腰椎力量训练、腰椎肌肉能量技术、腰椎肌内效贴、腰椎牵伸等常见治疗手段。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康复移动评估系统</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21.1支持移动端任务中心功能，使用者可通过任务中心查看当前需要处理的评估任务与延期评估任务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21.2支持任务分类统计及进入相关任务功能。并通过报表管理功能，查看日常所需要的报表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21.3支持查看患者就诊信息功能，可快速定位患者；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21.4支持移动端查看康复看板功能。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21.5支持编辑、查看、修改患者标志，提示患者特殊情况功能。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21.6支持刷卡、扫描、输入ID号等方式进行患者查询功能（需提供产品截图证明材料，需提供现场演示）。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★21.7支持在移动端使用复杂多样的量表，执行评估方案，填写量表、录制音视频文件、量表可以内嵌手绘图形</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21.8支持在移动端提供治疗团队留言及会话功能，增进康复团队对患者的治疗节点整体把控性。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21.9支持在线开展参加康复团队会议及查看会议报告功能，便于康复团队人员进行院内交互。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21.10支持患者康复文书查看功能。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21.11支持在移动端新建评估方案时，支持引用历史方案、预设方案和建议方案，便于快速新建方案功能。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21.12支持在移动端编辑评估方案指定治疗区、指定评估师功能。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★21.13支持新建建议方案功能，便于医生在PC端引用功能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21.14支持评估后量表可以绑定多媒体文件和录制的视频及拍摄的照片功能。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康复移动治疗系统</w:t>
            </w: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22.1支持在移动端查看本人当前治疗任务与延期治疗任务功能。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22.2支持任务分类统计及治疗师一天的治疗统计功能。可查看每日简报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22.3支持查看患者就诊信息、患者日程安排、排班查询功能。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22.4支持查看康复看板功能。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22.5支持编辑、查看、修改患者标志，提示患者特殊情况功能。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22.6支持支持确认、在线参加康复团队会议及查看会议报告功能。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22.7支持在移动端给治疗团队留言功能。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22.8支持现拍照照片和视频上传；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★22.9支持时间段内治疗人数、治疗项目、治疗费用查询功能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22.10支持与HIS计费接口集成，支持执行计费功能。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22.11支持治疗项目根据待执行、已执行、执行中状态查询功能。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★22.12支持治疗执行查询，执行补费操作及补往期治疗记录、撤销治疗记录、修改治疗记录功能（需提供产品截图证明材料证明）。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22.13支持患者康复文书查看功能。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★22.14支持按照医嘱、频次、单项目治疗执行和批量项目执行功能</w:t>
            </w:r>
            <w:r>
              <w:rPr>
                <w:rFonts w:hint="eastAsia" w:asciiTheme="minorEastAsia" w:hAnsiTheme="minorEastAsia" w:eastAsiaTheme="minorEastAsia" w:cstheme="minorEastAsia"/>
                <w:b w:val="0"/>
                <w:bCs w:val="0"/>
                <w:i w:val="0"/>
                <w:iCs w:val="0"/>
                <w:color w:val="000000" w:themeColor="text1"/>
                <w:kern w:val="0"/>
                <w:sz w:val="24"/>
                <w:szCs w:val="24"/>
                <w:highlight w:val="none"/>
                <w:u w:val="none"/>
                <w:lang w:val="en-US" w:eastAsia="zh-CN" w:bidi="ar"/>
                <w14:textFill>
                  <w14:solidFill>
                    <w14:schemeClr w14:val="tx1"/>
                  </w14:solidFill>
                </w14:textFill>
              </w:rPr>
              <w:t>（提供产品演示证明材料并加盖公章）。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803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22.15支持建议治疗医嘱息动推送至康复医生功能。</w:t>
            </w:r>
          </w:p>
        </w:tc>
      </w:tr>
    </w:tbl>
    <w:p>
      <w:pPr>
        <w:pStyle w:val="8"/>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3、健康宣教系统</w:t>
      </w:r>
    </w:p>
    <w:tbl>
      <w:tblPr>
        <w:tblStyle w:val="71"/>
        <w:tblW w:w="9984"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9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9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0" w:hRule="atLeast"/>
        </w:trPr>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9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可分内容、分科室、按楼层进行健康宣教内容发布，宣教内容包括具体科室宣教、病区宣教、各类相关疾病及治疗方案宣教。</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健康宣教的点播数据情况，支持后台导出及图表化统计分析显示。可实现健康宣教内容的智能化应用及管理。</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门诊患者健康教育视频服务功能，支持患者移动端设备如手机访问及使用，可访问云端服务器实现宣教内容的交互式点播查看。系统可单独运行或与医院互联网医院系统进行对接后供患者使用。系统后台的管理端以B/S架构的方式呈现，医院局域网内的任何一台PC机均通过IE浏览器进行访问，通过不同用户的管理权限，可对系统后台进行管理操作。系统后台的操作内容主要包括：视频编辑、视频管理、分类管理、科室管理、播放量统计等相关功能。（供应商应提供相关截图证明）</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投标方具有无版权争议的健康宣教视频不少于1000部，覆盖不少于15个科室，每部时长不少于3-5分钟，同时需包含病症、病因、诊断、预防等内容。(并为医院提供播映版权,提供由中国人民共和国国家版权局统一监制的作品登记证书),投标人须在投标方案中提供健康宣教节目名录列表并于中标后三日内将全部视频提供给院方进行筛查挑选。</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每个液晶屏幕上可播放不同的节目，每个液晶屏幕上可自由分割出多画面同时播放，支持各种高清格式文件播放。</w:t>
            </w:r>
          </w:p>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投标人向采购人提供具有无版权争议的健康宣教视频，需包含病症、病因、诊断、预防等内容。</w:t>
            </w:r>
          </w:p>
        </w:tc>
      </w:tr>
    </w:tbl>
    <w:p>
      <w:pPr>
        <w:pStyle w:val="8"/>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4.日间手术麻醉临床信息系统</w:t>
      </w:r>
    </w:p>
    <w:tbl>
      <w:tblPr>
        <w:tblStyle w:val="71"/>
        <w:tblW w:w="10017"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9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9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9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概述：</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与麻醉临床信息管理子系统是用于医院手术、麻醉科室对手术病人的手术和麻醉信息的记录和管理的计算机软件系统。本系统对整个手术及麻醉流程实现信息化管理，能促进医院手术、麻醉管理合理、有效、安全地运行，并留下完整的手术记录、全程跟踪、记录手术的申请（预约）、审批、手术室和麻醉科对手术进行安排等相关信息。完成手术涉及的所有记录。为了更好、更准确地记录和管理手术和麻醉临床信息，提高医生和麻醉师的工作效率，特别是精确记录和追踪手术病人在手术过程中的生命体征数据，如心率、血压、血氧饱和度等，必须实时采集和记录监护仪、呼吸机等连续输出的海量数据。</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实现从“下达手术通知书→实施手术人员配置→术前麻醉评估→术中参数设置→术中信息采集→添加麻醉药品、手术事件、补液→术后麻醉总结→手术记录单→查看麻醉记录→统计分析”的整个流程的自动化和信息化。实现手术及麻醉过程监护设备信息采集自动化，提高手术准备与实施的效率，达到实时跟踪手术过程，海量存储手术中麻醉及用药信息的目的，并使得所有资源高度共享。系统存储监护仪和呼吸机等输出的数据，提供自动报警和趋势分析，这些资料对于客观准确评估病人麻醉深度具有重大临床意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通过本系统的实施，能够规范麻醉科和手术室的工作流程、实现麻醉、手术过程中的信息数字化和网络化、自动生成麻醉手术中的各种医疗文书、完整共享HIS、LIS和PACS等手术患者信息，实现对麻醉过程管理，从而提高整个麻醉、手术管理工作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w:t>
            </w:r>
          </w:p>
        </w:tc>
        <w:tc>
          <w:tcPr>
            <w:tcW w:w="9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系统功能需求：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1.手术申请和安排</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病区手术预约申请接收：通过HIS系统的信息接口，自动接收临床科室的手术申请及手术病人的基本信息，传送到麻醉系统的应用数据库中。</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智能排班：手术室对已接收的手术通知单进行手术台编排，并协调安排急症手术：根据每个手术间的占用情况，确定每台手术的手术时间、手术房间、台次，上台麻醉医生、手术护士、麻醉方式、手术体位，列出手术器材、一次性用品准备清单数。智能排班算法允许用户自定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预览打印手术通知单: 根据已安排的手术预约记录，自动生成手术通知单。手术通知单可按照手术科室、是否污染和是否急症手术进行分类排列，手术通知单上醒目警示确诊或可疑的传染病。</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2.术前访视、病情评估与准备</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包括手术前基本信息采集、手术排班、术前准备和诊断、拟行手术、既往手术史查询、麻醉前病情评估、麻醉方式确定等功能。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 xml:space="preserve">既往手术史查询：可以查询患者历次手术与治疗的情况，提供患者现病史、既往疾病、麻醉史、过敏史信息，提供患者过去史记录，提供以往治疗用药史、检验单及医学影像资料。 </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知情同意书：提供患者住院号模糊查询功能，自动生成患者基本信息。提供对术前并发症及异常情况、麻醉方式作详细列举功能。提供对术中可能发生的并发症及异常情况逐项详细列举功能。提供对术中可能发生的并发症及异常情况逐项详细列举功能。提供对术中可能发生的并发症及异常情况逐项详细列举功能。提供病人家属意见及签名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术前访视：用于填写麻醉计划内容。提供患者住院号模糊查询功能，自动生成患者基本信息。提供输入的内容有患者术前检查、ASA分级、手术室安排、麻醉方法、计划用药等，提供模板功能，方便填写，提高输入速度。能够查询病人以往历次麻醉计划。病人相关信息自动从HIS系统中获取。记录术前检验参考条件，自动从LIS系统提取最近一次临验检验结果。</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术前诱导室信息管理：支持进行诱导用药记录、诱导期间事件记录、诱导室体征记录，完成了麻醉记录单的前段，系统同时支持诱导用药统计等一些辅助功能。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3.手术过程及麻醉记录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满足术前、术中、术后工作流管理。对手术过程全程跟踪，自动生成麻醉记录单，记录用药方式（单次或多次），用药量，补液量，补液时间等手术中全部麻醉用药及麻醉事件等相关信息，系统同时提供术中意外情况处理记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提供术中事件的记录功能，能够自动填写记录时间，也可手工修改记录时间。提供持续用药、单次用药、输血补液的记录功能，能够自动填写记录时间，也可手工修改记录时间。</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提供病人术中出量和入量自动合计功能。提供术中事件、持续用药、单次用药、输血补液的详细显示功能。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支持麻醉临床路径事件套餐。</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提供麻醉记录单打印、预览及存档功能，麻醉记录单样式可根据当地麻醉病历规定进行定制。</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4.PACU信息管理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记录用药方式（单次或多次），用药量，补液量，补液时间等麻醉术后复苏期间全部麻醉用药及麻醉事件等相关信息。对术后复苏过程全程跟踪，自动生成麻醉术后复苏记录单。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提供麻醉复苏事件的记录功能，能够自动填写记录时间，也可手工修改记录时间。提供持续用药、单次用药、输血补液的记录功能，能够自动填写记录时间，也可手工修改记录时间。</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提供病人术后复苏期间出量和入量自动合计功能。提供复苏事件、持续用药、单次用药、输血补液的详细显示功能。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提供麻醉术后复苏记录单打印、预览及存档功能，样式可根据当地麻醉病历规定进行定制。</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5.术后分析总结、随访</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麻醉总结：根据术中麻醉纪录，进行术后麻醉总结，提供临床质量评估。提供多项术后麻醉评估标准供选择，采用模板方式输入。</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术后随访：记录术后麻醉随访情况。</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手术登记：提供手术信息登记功能。已登记的手术信息将归入手术统计报表。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6.科室事务管理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科室人员排班：提供对麻醉科医生及手术室护士上班时间进行排班功能。能够查阅和打印当前排班时间表及前后各周的排班时间表。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科主任、护士长及相关需要人员能够随时查阅各手术室的使用情况。能够随时监控各手术室当前手术的手术、麻醉情况，查阅各手术室当前麻醉记录，患者资料、麻醉手术小结等。包括术中体征参数趋势图、术中参数列表、术中事件、用药情况、输血补液情况。但只能查阅，不能录入和修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工作量统计：统计查询麻醉医生、手术医生、手术室护士指定时间段内参与实施手术或麻醉的例数及手术时长，再根据科室工作量绩效核算，进一步统计出科室工作人员的工作量。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可根据本院麻醉科、手术室具体情况，由用户完成麻醉用药、麻醉事件、麻醉方式等数据字典的记录、维护功能。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7.手术护理模块</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支持各类护理文书的录入、查询和打印。</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器械准备：可录入病人手术器械准备的情况。</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手术护理记录：可录入的病人术前、术中、术后的护理情况，并与麻醉记录单共享病人手术信息。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器械清点：通过术前病人的器械清单和实际术中的器械的添减数，在病人结束手术后进行逐一清点，并自动核实器械数据是否相符。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8.数据查询、科研统计</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根据采集病人床边设备海量临床信息，建立病情趋势分析数据仓库。</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要求系统支持模糊万能查询。支持用户自定义查询方法。支持数据输出为DBF、EXCEL、TXT等格式供第三方软件分析。能进行各种分类分项统计，以支持前瞻、后顾研究。提供各种统计报表样张。</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提供多种统计报表：手术例数统计、科室工作量统计报表、手术用药统计报表、手术日报、手术月报、全院麻醉方式统计等，可按多种统计条件进行各种报表的统计。各种统计报表的格式可随时根据医院的具体情况进行调整。</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提供各种统计报表样张，样张上有数据。</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9.设备数据采集平台</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可以根据医院环境和设备情况，设计不同的设备采集连接方案。</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可以自定义体征数据采样频率，数据采样频率最小是1秒钟；可以支持审计和修正受干扰数据，自动记录数据修正痕迹。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可以接入主流厂商的床边监护设备，比如：Philips、GE、Marquette、Datex_Ohmeda、SpaceLabs、Drager、Mindray等，提供医院盖章的设备接口采集证明材料。</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可以采集多种生命体征参数，包括：心率、呼吸、血氧、脉搏、无创血压、有创血压、体温、ETCO2、肺动脉楔压、中心静脉平均压、潮气、心排量、气道压峰值Pma、x气道压Pplat、Pmean、Pmin、吸呼比…………等。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支持对血流动力学数据参数的采集，并对其数据进行演算及保存。</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10.信息系统集成平台</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系统集成方式采用Web Service方式，与现有信息系统HIS、LIS、PACS、RIS、EMR等完整集成，达到系统间信息共享融合的目的。</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提供医院盖章的信息系统接口证明材料。</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11.系统维护、数据安全、用户安全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锁定系统：可以锁定当前用户的系统操作界面,防止他人随意修改。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修改口令：用户可通过该功能定期修改口令，来确保数据的安全性。</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病历归档后系统便不再允许修改。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支持数据修正，显示数据的审计、修改的痕迹。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支持数据离线保存、恢复。支持单机版运行，保证网络异常情况下的数据恢复。</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提供集中的用户及权限管理程序，通过系统管理员为用户授权，不同权限管理不同的内容。提供用户分组、权限角色组管理机制，大大简化用户授权。</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按照每个用户所在的岗位和所需完成的业务，由系统管理员分配权限，每个用户只能看到本人所允许和应该看到的信息。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12.手术安排公告模块</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在手术准备区安装液晶大屏，用于显示手术安排情况，包括手术间、病人基本信息、手术医生、麻醉医生、手术护士等。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13.家属等候区公告模块</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在洁净部家属等待区安装液晶大屏，并运行公告系统，可以实时、动态显示手术进程信息；医生可以通过语音播报以及大屏幕提示来方便的召唤家属谈话；家属可以通过大屏幕播放的内容了解手术麻醉基本知识。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要求提供不低于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6个手术间</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的信息采集及管理。</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客户端计算机</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5台</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显示器：≥19寸(16:9)液晶屏</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CPU:≥inteli5</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内存:≥</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G</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硬盘:≥500G</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串口:≥4个</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USB口:≥6个</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网口:2个</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（其中</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无线网卡:1个支持2.4和5.8两个网段</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并口：1个</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支架</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5套</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立体式支架，主体材质由铝合金/白色ABS/钢组成</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放置≤24″的LCD，承重≤2-8kg，LCD倾斜-5〜35°，旋转：360°VESA标准接口；键盘倾斜0-90°，键盘托：承重≤2.5kg；支臂摆动+ 65°/ - 30°；显示器可以单独升降</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键盘可折叠</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符合人体工程学,整体可升降，同时可向左或向右移动，键鼠托架可调整角度</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银白相间设计，适合医用环境；通过隐蔽的理线电缆管理，方便清洁；</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数据采集套件(6套):采集监护仪、麻醉机、呼吸机、血气分析仪、输液泵等床边监护设备的专用线缆、光电隔离器、编解码器等硬件。</w:t>
            </w:r>
          </w:p>
        </w:tc>
      </w:tr>
    </w:tbl>
    <w:p>
      <w:pPr>
        <w:pStyle w:val="8"/>
        <w:keepNext/>
        <w:keepLines/>
        <w:pageBreakBefore w:val="0"/>
        <w:widowControl w:val="0"/>
        <w:kinsoku/>
        <w:wordWrap/>
        <w:overflowPunct/>
        <w:topLinePunct w:val="0"/>
        <w:autoSpaceDE/>
        <w:autoSpaceDN/>
        <w:bidi w:val="0"/>
        <w:adjustRightInd/>
        <w:snapToGrid/>
        <w:spacing w:before="0" w:after="0" w:line="240" w:lineRule="auto"/>
        <w:ind w:firstLine="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5.重症监护临床信息系统</w:t>
      </w:r>
    </w:p>
    <w:tbl>
      <w:tblPr>
        <w:tblStyle w:val="71"/>
        <w:tblW w:w="1005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9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9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9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★系统可自动采集床边仪器上的数据，服务器同步数据存储，数据可记录在特护单上，无需护士再次抄写，并具有以下功能：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系统需可以采集监护仪、呼吸机等仪器。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允许护理人员手动设置每个床位的仪器采集信息。根据患者病情可设置默认采集频率,实际采集频率，采集次数；允许用户手动取消监护仪、呼吸机的绑定并终止其参数数据自动采集。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★出现异常数据，需提供报警；对异常数据可以进行二次修改。</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采集到的体征需要提供数字、曲线图等多种方式展现。</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需与我院现有的ＨIS、EMR、LIS、PACS系统接口，其他系统的信息需同时共享到本系统内，方便用户工作。</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对于观察类数据，需提供点选、填写等多种方式；观察类的具体内容可自定义。</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系统需支持以下床头卡功能：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★能够以电子床头卡片的形式显示当前科室所有床位的状况以及患者基本信息，方便管理者查看床位使用的情况。</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★可以在床头卡上快速进行患者基本信息维护、患者入科、出科、换床、设备采集绑定操作，快速切换到护理文书；床头卡片可打印。</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系统提供操作帮助提示，引导新用户操作系统。</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系统需支持快捷键操作功能：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★系统界面配置灵活，能够有效提高文书书写效率；方便护理人员一键打开常用的系统功能模块。</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★快捷键可以根据操作人员的需要灵活配置，并具有模板功能。</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系统需支持以下床位管理功能：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能够通过接口程序从医院信息系统中同步在院病人信息到ICU程序中。</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可提供灵活的床位调整（换床）功能，调整的同时患者信息自动跟随，患者与床位与设备的快速准确匹配的功能。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已经治愈或其他原因出科患者转出，选择需要出科的患者进行操作。</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同步HIS患者基本信息，并显示入院时间、入科日期、出科日期、转入科室、转出科室、手术名称、手术日期、身高、体重、血型、换床信息、生日、诊断信息、生命体征信息、医生、护理等级、病情、主管护士等，提供异常数据报警和数据修正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根据患者病情可设置默认采集频率,实际采集频率，采集次数；允许用户手动取消监护仪绑定并终止监护仪体征数据自动采集。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为不同患者不同病情提供多种采集参数设置，以及监护仪报警个性化定义对不同患者可设置多种报警阀值，避免误报警。</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系统需支持医院所有格式的护理文书，包括特别护理记录单、体温单、护理措施记录单、各类评分类文书、护理评估单等。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特别护理记录单：需要能够自动生成特别护理记录单，按照我院临床科室需求合理展现生命体征数据、生命体征趋势折线图、呼吸机相关参数、观察信息、出入量信息、护理措施信息等，减少护士文字书写时间。</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措施：基础护理措施模板，可自定义模板内容；模板内容符合《病历书写规范》要求。专科护理措施模板，模板内容满足专科护理需要，并符合《病历书写规范》要求。护士可手动录入护理措施。可拼音或关键字检索护理措施模板，勾选后直接记录到护理记录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出入量：显示每班及全天的出量、入量信息；每班及全天的出入量平衡情况。可根据临床的具体需要设置统计类型，如晶体入量、胶体入量等。可根据临床的具体需要设置统计途径，如补液量、鼻饲量等。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评估单：需提供ICU常用的各类评估单，包括：入院评估单、跌倒评估单、诺顿评估单、出院评估单、导管滑脱风险评估单、疼痛评估单、留置导尿管感染评估单等。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所有文书均可打印，并需提供：未满页打印提醒、打印当前页、打印设置、打印预览等功能。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所有文书均可根据具体需要查询；例如：根据时间查询、根据诊断查询等。</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为方便护士执行医嘱，系统需具有以下医嘱执行功能：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★能够同步电子医嘱中的医嘱信息，并将医嘱进行分类，如长期医嘱、临时医嘱、治疗类医嘱、护理类医嘱等，方便医护人员核对、执行医嘱。</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★需显示医嘱的具体名称、剂量、单位、途径、用法等内容；执行后的医嘱可自动记录到特护单中。对于特殊药物医嘱可以设置单位转换。</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护理类的医嘱，执行时可提供护理措施模板，在模板中勾选后可直接记录到特护单中。</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对于补液类医嘱，具体补液滴数、泵入速度等，需有计算器类工具，方便护士工作，执行后计入入量中，并可单独统计补液量。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★对于本班未完成的医嘱，系统中可以交班，方便下个班次的人员了解本班医嘱执行的情况。系统中可以对交班的医嘱与接班的医嘱进行特殊标示。</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★系统能够通过提供多种方式进行医嘱的快速定位，并自动计算并提示执行医嘱的余量，方便护士快速查找并录入数据。</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根据我院临床工作需要，系统需要有护理交班功能，具体包括以下信息：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具有护理交接班单，提供给责任护士进行交班记录。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★对于特殊需要注意的事项，有单独的交班模块，用特殊颜色提醒，护士确认后特殊颜色方可消失。</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根据我院临床工作需要，系统需要有统计查询功能，具体包括以下信息：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基础数据查询：对患者数据、科室数据的基本条件查询，如患者入科人数、出科人数、患者生命体征以及异常体征等。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系统可直接查询电子病历、检验、检查等相关信息、无需切换系统。</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系统可直接查询患者的历史病历。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系统需要提供备注功能，方便医护人员根据备注查询需要的信息。</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根据ICU的工作特点，系统需要提供重症相关评分，包括TISS评分、APACHE II评分、MODS多器官功能障碍评分、MODS多器官功能失常评分，RASS镇静评分、误吸/窒息评分、VTE风险评分、GlasGow评分、CPOT评分、NRS评分、营养风险评分、跌倒风险评分、泌尿系统感染评分、成人Braden评分、儿童Braden评分、成人跌倒坠床评分、儿童跌倒评分等，对患者状况进行全面评估。并将相关评分分类，将自动采集数据和填写、点选数据相结合，方便医护人员使用；系统可记录每次评分的结果，并形成相应的统计图。</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★系统可对不同患者的情况，可以自定义各种标签，方便后期统计查询，以及为后期科研提供样本数据。</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★系统支持多科室功能，并可以灵活切换科室，查看不同科室患者的信息。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系统需要根据医院使用者的不同，设置使用权限，保证系统数据信息安全。</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数据采集套件(3套):采集监护仪、麻醉机、呼吸机、血气分析仪、输液泵等床边监护设备的专用线缆、光电隔离器、编解码器等硬件。</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要求提供不低于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0张监护床的信息采集及管理。</w:t>
            </w:r>
          </w:p>
        </w:tc>
      </w:tr>
    </w:tbl>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6.重症移动护理推车</w:t>
      </w:r>
    </w:p>
    <w:tbl>
      <w:tblPr>
        <w:tblStyle w:val="71"/>
        <w:tblpPr w:leftFromText="180" w:rightFromText="180" w:vertAnchor="text" w:horzAnchor="page" w:tblpX="1004" w:tblpY="654"/>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50"/>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序号</w:t>
            </w:r>
          </w:p>
        </w:tc>
        <w:tc>
          <w:tcPr>
            <w:tcW w:w="1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子项</w:t>
            </w:r>
          </w:p>
        </w:tc>
        <w:tc>
          <w:tcPr>
            <w:tcW w:w="7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一体化设计</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含电池的一体化结构设计，主机采用内嵌式设计保护在一体化工作台面内，电池固定在车体底座内保障车体平衡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台面设计</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显示器支架后移，不占用台面面积，保证台面使用部分为完整方形，提高台面空间利用率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整车材质</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整车采用航空铝合金抗菌材料和ABS工程塑料抗菌材质；通过抗菌测试，抗菌率99.9%，抗菌耐腐蚀,持久耐用；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台面把手材质及设计</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采用ABS工程塑料材质，抗菌抗压、耐腐蚀，与台面一体成型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台面把手一体化</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台面及把手为塑料无缝一体成型，把手与台面之间无螺丝固定，颜色及材质一致，把手两端直接与台面相连为闭环式设计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★电量显示</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键盘托配置电池电量LED显示灯，可实时显示电池状态及电量（提供键盘托抽出时，电池电量LED显示灯位于键盘托真机实物照片，渲染图片无效）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立柱结构</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配置高强度铝合金升降立柱，预留扩展位置，便于安装抽屉和配件。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车体升降</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采用上宽下窄电动升降方式，承重耐久性能良好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抽屉</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配置≥2层抽屉，抽屉把手为圆弧形闭环设计，抽拉方便，柜体表面采用抗菌ABS材质覆盖，内框架采用铝合金支撑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抽屉尺寸</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抽屉规格≥2种，小抽屉≤310mm *310 mm *100mm），大抽屉≤310mm *310 mm *200mm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配件</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配备多功能置物盒*1，鼠标盒*1，≥4L垃圾桶*2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脚轮</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医用静音轮，超静音、防静电、防缠绕，其中2个带刹车锁定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显示终端</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LED IPS屏，尺寸≥21.5”，最佳分辨率≥1920x1080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系统配置</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CPU：酷睿I5及以上</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内存：≥4GB 内存</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固态硬盘：容量≥128GB</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操作系统：支持windows 7专业版及以上</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Intel系列网卡：支持2.4G/5G Hz Wifi网络，支持802.11 b/g/n/ac以上标准，接口：≥4个USB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智能开关</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具备智能开关功能，可一键开启用电设备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★电路保护</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配置直流马达转动控制模块，防止过压、过流、欠压、过充、过放，保护电路安全（提供国家有关部门颁发的马达转动控制硬件结构设计的证书，申请人为整车厂商，提供软件著作权或测试报告无效）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电池性能</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磷酸铁锂材质，安全稳定，有效循环寿命≥2000次，续航时间≥8小时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电池认证</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电池通过CE、FCC、ROHS认证；（提供认证证书复印件，须为单独电池认证非整车，同时申请人为整车厂商）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★医疗电源</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配置医疗电源控制模板，确保输出电压、电流可调节，提高电源使用效率，避免能源浪费（提供国家相关部门颁发的医疗电源硬件结构设计的证书，申请人为整车厂商，提供软件著作权或测试报告无效）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电源线</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采用螺旋弹簧电源线，方便不同距离充电，固定在车体上，防盗失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噪音测试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整车通过噪音测试，符合GB/T 18313-2001测试标准；（提供第三方检测机构出具的测试报告复印件，同时申请人为整车厂商）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斜坡测试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整车通过斜坡测试，斜坡操作时不会发生倾倒。（提供第三方检测机构出具的测试报告复印件，同时申请人为整车厂商）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耐酒精、耐酸碱测试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整车通过耐酒精摩擦测试，耐酸碱测试，抗菌耐腐蚀。（提供第三方检测机构出具的测试报告复印件，同时申请人为整车厂商）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防水防尘测试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整车通过IP43防水防尘测试；（提供第三方检测机构出具的测试报告复印件，同时申请人为整车厂商）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抗冲击测试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整车通过抗冲击测试，符合IEC 60601-1:2005标准；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EMC测试</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整车通过EMC电磁兼容性测试；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安全认证</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整车通过3C认证；（提供认证证书及检测报告复印件，检测报告中的主车体实物图片需与投标产品一致）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抗菌感控</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整车使用的粉体涂料抑菌处理，抗菌耐腐蚀，抗菌率≥99%，符合GB/T</w:t>
            </w:r>
          </w:p>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21866-2008标准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3"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tc>
        <w:tc>
          <w:tcPr>
            <w:tcW w:w="1850"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安规管理体系</w:t>
            </w:r>
          </w:p>
        </w:tc>
        <w:tc>
          <w:tcPr>
            <w:tcW w:w="7467" w:type="dxa"/>
            <w:noWrap w:val="0"/>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整车厂商具备完善的安全生产管理体系，并同时通过ISO9001、ISO14001、ISO45001、ISO13485认证（提供整车厂商认证证书复印件）</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7.移动电子签名系统</w:t>
      </w:r>
    </w:p>
    <w:tbl>
      <w:tblPr>
        <w:tblStyle w:val="71"/>
        <w:tblW w:w="10083" w:type="dxa"/>
        <w:tblInd w:w="-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234"/>
        <w:gridCol w:w="583"/>
        <w:gridCol w:w="550"/>
        <w:gridCol w:w="6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设备及软件名称</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数量</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移动协同签名系统（含服务器）</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1.支持连接第三方CA，为用户申请签发数字证书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2.可提供认证服务接口，支持基于数字证书的身份认证方式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3.可提供数据签名服务接口，支持业务系统发起签名请求，服务器与用户手机完成协同签名</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4.基于标准PKI验证过程，支持验证PKCS1/PKCS7标准格式的电子签名，包括验证签名及证书有效性等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5.可对PDF文档进行电子签章，并在电子文档上显示签章图片</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6.可验证PDF签名文档有效性、完整性</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7.管理接入的业务应用，支持对业务应用的添加、编辑、冻结、解冻、注销等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8.管理证书用户，支持用户变更手机号、冻结、解冻、注销等操作</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9.支持用户在多个移动终端设备上使用同一个用户身份，支持对用户终端设备的绑定、解绑等</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10.可提供密钥生成、存储、销毁、归档、统计产销等功能，支持密钥由移动终端和服务器协商产生，采用密钥分割技术保存密钥</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11.支持对系统配置及对系统管理员进行管理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12.可提供对数据签名、PDF签章等数据的统计查询功能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13.可提供业务操作日志、管理员操作日志等审计功能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14.基于手机端可提供SDK开发包</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15.支持用户在移动端下载个人证书；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16.支持用户在移动端签署业务数据；支持用户在移动端签署PDF文档</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17.支持手机扫描二维码登陆认证功能；支持用户在移动端批量签署业务数据</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18.支持用户在移动端设置手写签名图片；支持用户在移动端使用指纹代替证书口令进行签名</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19.可提供手机端证书下载、数据签名、文档签章、扫码签名等接口；支持Android4.4、iOS9及以上版本</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20.设备：2U机架式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21.网络接口：≥2个千兆网口</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22.电源：双电源</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23.★国家密码管理局颁发的《商用密码产品认证证书》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24.★具备移动智能终端安全密码模块（二级）商用密码产品认证证书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25.具备《公安部检测报告》</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26.产品须具有《计算机软件著作权登记证书》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27.产品须具备《计算机信息系统安全专用产品销售许可证》</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28.★具备中国质量认证中心颁发的《中国国家强制性产品认证证书》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29.★产品须具备IPv6 Ready Logo认证证书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30.★产品使用的密钥分割技术技术有专利支撑或第三方检测报告</w:t>
            </w:r>
          </w:p>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31.软硬一体机，部署在院内，提供面向手机的身份认证、电子签名等服务 备注：即可满足互联网医院签名也可满足日常医护技手机、手持终端等签名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协同签名服务SDK</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1.供客户微信小程序集成和集成业务 app 接口服务，实现医护技签名时，需要移动端 APP 先调用“SDK 开发包”，并与服务端配合，实现医生通过手机证书实现证书下载、身份认证登录、电子签名等功能</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2.提供手机端开发包，开发包带有界面，界面封装所需接口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7"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电子病历移动签署系统</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1.为医疗服务对象提供可靠的电子签名方案，保证其签署的电子医疗文书合法、安全；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2.建立新型的大众用户（患者、家属）证书服务模式，CA 中心基于电子病历等系统用户的实名信息，为其颁发数字证书；</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3.患者或患者家属使用数字证书对医疗文书签名，此过程中无需为患者颁发密码设备，降低应用成本；</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4.满足医院复杂的业务场景，尤其是手术室或住院患者无法下床等场景。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5.无缝对接电子病历账户系统、实现访问权限控制</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6.实现电子病历存储、索引、查询、下载功能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7.提供电子病历签署状态控制</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8.无缝对接手写信息数字签名系统进行数字签名，支持数据、PDF 双签名模式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9.支持系统配置管理和日志审计</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10.移动签署 APP，支持患者、家属两种角色的签名，支持 PDF 签名和数据签名，支持拍照证据采集、绑定，支持批注功能，支持网络不稳定情况下的缓存功能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11.能够无缝对接手写数字签名服务系统兼容</w:t>
            </w:r>
          </w:p>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12.无缝对接电子病历账户系统、实现访问权限控制，实现电子病历存储、索引、查询、下载功能，提供电子病历签署状态控制，无缝对接手写信息数字签名系统进行数字签名，支持数据、PDF 双签名模式，支持系统配置管理和日志审计。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患者扫码服务SDK</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提供患者微信扫码 SDK 接口服务:</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供患者微信扫码 SDK 接口服务，绑定患者信息，生成待签文书二维码，调用电子病历移动签署系统， 完成患者扫码签名服务。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患者移动签名证书年服务</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万次</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面向患者或家属用户，通过手写数字签名服务器实现事件型证书的签名、签章服务。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设备证书</w:t>
            </w:r>
          </w:p>
        </w:tc>
        <w:tc>
          <w:tcPr>
            <w:tcW w:w="5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w:t>
            </w:r>
          </w:p>
        </w:tc>
        <w:tc>
          <w:tcPr>
            <w:tcW w:w="6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标识各类设备的网上身份：</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1.标识设备网络身份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2.符合卫生部《卫生系统数字证书格式规范（试行）》</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3.符合卫生部《卫生系统电子认证服务规范（试行）》</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4.证书格式标准遵循x．509v3标准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5.支持存放介质：智能USBKey</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6.支持自定义证书扩展域管理</w:t>
            </w:r>
          </w:p>
        </w:tc>
      </w:tr>
    </w:tbl>
    <w:p>
      <w:pPr>
        <w:pStyle w:val="8"/>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8.便民服务小程序</w:t>
      </w:r>
    </w:p>
    <w:tbl>
      <w:tblPr>
        <w:tblStyle w:val="71"/>
        <w:tblW w:w="10117"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
        <w:gridCol w:w="9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序号</w:t>
            </w:r>
          </w:p>
        </w:tc>
        <w:tc>
          <w:tcPr>
            <w:tcW w:w="93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24"/>
                <w:szCs w:val="24"/>
                <w:u w:val="none"/>
                <w:lang w:val="en-US" w:eastAsia="zh-CN"/>
                <w14:textFill>
                  <w14:solidFill>
                    <w14:schemeClr w14:val="tx1"/>
                  </w14:solidFill>
                </w14:textFill>
              </w:rPr>
              <w:t>1</w:t>
            </w:r>
          </w:p>
        </w:tc>
        <w:tc>
          <w:tcPr>
            <w:tcW w:w="93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总体技术要求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1.满足国家卫健委发布相关标准，满足等保评测2.0版本中对于软件安全相关要求；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系统需基于医院原有公众号的基础上进行新的开发建设，要求将原有公众号上的功能全部转移至微信小程序，且实现原有功能与新建功能之间的无缝融合以及操作的平滑过渡，贴合患者的使用习惯，让患者使用起来更加顺畅；（提供承诺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★3.小程序需整合原有用户数据，要求原本已在公众号上产生数据的患者无需重新进行注册绑定，且一切与之相关的业务数据能够最大限度的保留使用。（提供承诺函）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（二）架构要求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1.支持私有化本地部署和云计算模式部署。</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★2.基于K8s 容器化技术实现，容器编排，资源调度，弹性伸缩，部署管理。（提供承诺函）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3.使用微服务体系开发，满足系统健壮性、稳定性和后续升级可持续性的相关要求。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4.提供完善的安全设计，在大规模请求的冲击下，提供限流、熔断策略来保证后端服务的可用性，并提供调用日志进行业务追踪。</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5.线上业务与线下业务一体化连通且无缝对接。</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6.与国家智慧服务分级评估三级要求无缝对接。要求数据传输，存储基于国密算法，保障系统安全。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（三）技术标准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1.移动端小程序开发基于原生框架标准开发；</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2.使用Kubernetes容器化技术部署应用程序；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3.支持TCP/IP协议、HTTP、HTTPS；</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4.支持XML、JSON等数据处理标准；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5.支持Web Service、restful形式的接口传输方式；</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6.支持OAuth2.0协议；</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7.支持 SM2-SM4国密算法。</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（四）安全要求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1.等保三级：应按照不低于网络安全三级等保的要求，协助医院做好网络安全等级保护备案和网络安全防护工作，对本项目的网络安全和数据安全负保密责任。</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2.源数据脱敏：源数据从医院传出时，针对姓名、电话、医生等隐私信息应做好脱敏处理，仅保留必要的年龄、药物等信息。</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3.患者授权：患者在使用过程中，获取用户知情授权。</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4.数据加密：应使用国密算法加密机制，对传输数据加密，同时应采用加密技术对存储在数据库的数据进行加密。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5.网络隔离：应采用前置机双层转发机制，保证网络传输的安全。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6.用户授权：提供应用软件功能使用的分级授权管理模式，在系统内部建立统一全面的用户权限管理。</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（五）接口要求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★1.小程序需对接院内各类信息系统，包括HIS、PACS、LIS系统，对接费用由投标人承担，且承诺不再收取任何与之相关的接口对接费用；（提供承诺函）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★2.投标人需承诺新建的小程序能够对接院内其他系统实现链接跳转能力，并且不再额外收取与之相关的对接费用，对接的所需的费用由投标人自行承担。（提供承诺函）</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（六）性能要求</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 xml:space="preserve">1.要求系统具有良好的扩展能力，可以满足未来应用的需求。 </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 xml:space="preserve">2.系统保证 7×24 小时不间断持续运行。 </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3.系统架构有扩展能力。可动态调整集群规模和负载均衡策略，保证系统正常使用的性能。</w:t>
            </w:r>
          </w:p>
          <w:p>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功能要求</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1.门诊服务</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1.1核酸在线开单：实现核酸检查在线申请？</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1.2医生排班：可通过科室列表，手动搜索，历史就诊医生，等多种方式进行本次预约医生的确认。</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1.3号源展示：以医生号源、职称号源、科室号源或混合模式来确定号源类别，并可根据具体号序或时间段号源模式来展示号源信息。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1.4历史医生：查看之前的挂号医生并可进行预约挂号</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1.5医生信息：患者可查看医生简介及擅长信息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1.6预约就诊人：预约时可切换就诊人或者添加新的就诊人</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1.7当日挂号：实现当日来院挂号</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1.8预约挂号：实现提前预约挂号</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1.9待缴费费用：患者可查询门诊处方等待缴费信息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1.10门诊缴费：实现门诊缴费</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1.11门诊清单：查询门诊就诊记录</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1.12门诊指南：门诊操作指引</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1.13预问诊：以AI问答方式，患者可先预先将病情，既往病史提交，让医生先了解患者的病情。</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1.14智能导诊：以人体模型展示人体部位，支持患者点击部位，选择简单症状，进行就诊科室引导推荐</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1.15药品服务：在线查询药品价格、药品价格在线公示</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1.16报告查询:实现检验报告单查询,实现检查报告单查询</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1.17住院清单:查询某天的住院记录及消费记录</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1.18住院指南:住院操作指引</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2.便民服务</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2.1来院导航：通过百度地图指引患者到医院就诊</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2.2价格查询：在线查询收费项目价格、药品及器械价格查询</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2.3停诊通知：医生停诊在线推送消息给挂号患者</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3.医院宣传</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3.1医院概述：医院简介信息</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3.2健康宣教：健康指导类文章</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3.3医院公告：消息公告</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4.服务记录</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4.1预约记录：预约挂号记录信息</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4.2就诊记录：预约挂号记录</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4.3结算记录：结算记录预约挂号缴费记录，处方缴费记录，住院充值记录等</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5.就医管理</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5.1就诊卡管理：管理后台可查看、解除/绑定就诊卡信息</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5.2在线建档：用户可通过小程序进行在线建档</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5.3问卷调查：对已就诊患者进行问卷调查</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b w:val="0"/>
                <w:bCs w:val="0"/>
                <w:i w:val="0"/>
                <w:iCs w:val="0"/>
                <w:color w:val="000000" w:themeColor="text1"/>
                <w:sz w:val="24"/>
                <w:szCs w:val="24"/>
                <w:u w:val="none"/>
                <w14:textFill>
                  <w14:solidFill>
                    <w14:schemeClr w14:val="tx1"/>
                  </w14:solidFill>
                </w14:textFill>
              </w:rPr>
            </w:pPr>
          </w:p>
        </w:tc>
      </w:tr>
    </w:tbl>
    <w:p>
      <w:pPr>
        <w:pStyle w:val="8"/>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9.医务管理系统功能</w:t>
      </w:r>
    </w:p>
    <w:tbl>
      <w:tblPr>
        <w:tblStyle w:val="71"/>
        <w:tblW w:w="5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9"/>
        <w:gridCol w:w="592"/>
        <w:gridCol w:w="870"/>
        <w:gridCol w:w="763"/>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功能模块</w:t>
            </w:r>
          </w:p>
        </w:tc>
        <w:tc>
          <w:tcPr>
            <w:tcW w:w="1100" w:type="pct"/>
            <w:gridSpan w:val="3"/>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功能点</w:t>
            </w:r>
          </w:p>
        </w:tc>
        <w:tc>
          <w:tcPr>
            <w:tcW w:w="3310"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医疗质量管理</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专业质量控制指标</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产科专业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对产科重要专业指标进行数据分析、统计，进行质控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病理专业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对病理重要专业指标进行数据分析、统计，进行质控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呼吸内科专业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对呼吸内科重要专业指标进行数据分析、统计，进行质控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对护理内容重要专业指标进行数据分析、统计，进行质控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急诊专业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对急诊科重要专业指标进行数据分析、统计，进行质控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临床检验专业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对临床检验重要专业指标进行数据分析、统计，进行质控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临床用血</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对临床用血重要专业指标进行数据分析、统计，进行质控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对麻醉科重要专业指标进行数据分析、统计，进行质控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神经系统疾病</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对神经内/外科重要专业指标进行数据分析、统计，进行质控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肾病专业</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对肾脏内分泌科重要专业指标进行数据分析、统计，进行质控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药事管理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对药品用药重要专业指标进行数据分析、统计，进行质控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医院感染质控</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对院感重要专业指标进行数据分析、统计，进行质控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重症医学</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对重症医学科重要专业指标进行数据分析、统计，进行质控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100" w:type="pct"/>
            <w:gridSpan w:val="3"/>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★控制指标管理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可对系统的所有的质量控制指标维护、管理、新增、修改、删除等操作，可以系统自定义配置每个指标的计算公式，支持手工填报数据进行核算；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医疗技术质量控制指标</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肺脏移植</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可对肺脏移植绝对适应证占比、、热缺血时间≤ 1 分钟（min）比例、冷缺血时间≤ 12 小时（h）比例等10个指标项进行填写核算、查看、统计、分析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肝脏移植</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可对肝癌肝脏移植指标、肝脏移植手术指标、术后主要并发症指标等5个指标项进行填写、查看、核算、统计、分析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肾脏移植</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冷热缺血时间、、亲属间活体捐献者重大并发症发生率、术后 30 天内死亡率等9个指标项进行填写、查看、核算、统计、分析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心脏移植</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伦理委员会决议通过率、术前有创肺动脉压监测率、术前心肺运动试验检查率等10个指标项目进行填写、查看、核算、统计、分析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异基因造血干细胞移植技术临床应用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异基因造血干细胞移植适应证符合率、异基因造血干细胞移植植入率、、重度（Ⅲ - Ⅳ度）急性移植物抗宿主病发生率等10个指标项进行填写、查看、核算、统计、分析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同种胰岛移植技术临床应用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胰岛纯度、总胰岛当量、胰岛活率等8个指标项进行填写、查看、核算、统计、分析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同种异体运动系统结构性组织移植技术临床应用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符合规定的来源移植物比例、术中移植物微生物培养阳性率、围手术期并发症发生率等5个指标项目进行填写、查看、核算、统计、分析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同种异体角膜移植技术临床应用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成分供体使用率、同种异体角膜移植成功率、角膜原发疾病控制率等9个指标项目进行填写、查看、核算、统计、分析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性别重置技术临床应用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术中输血率、术后输血率、术中自体血输注率等11个指标项进行填写、查看、核算、统计、分析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质子和重离子加速器放射治疗技术临床应用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病理诊断率、临床 TNM 分期比例、MDT 执行率等7个指标项目进行填写、查看、核算、统计、分析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放射性粒子植入治疗技术临床应用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植入指征正确率、术前制订治疗计划率、术后放射剂量验证率等8项指标进行填写、查看、核算、统计、分析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肿瘤消融治疗技术临床应用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肿瘤消融治疗指征正确率、肿瘤消融治疗完成率、肿瘤消融治疗后局部病灶有效控制率等7个指标项目进行填写、查看、核算、统计、分析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心室辅助技术临床应用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心室辅助技术应用适应证选择正确率、心室辅助装置有效撤除率、术后 30 天死亡率等7个指标项目进行填写、查看、核算、统计、分析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人工智能辅助治疗技术临床应用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平均术前准备时间、平均手术时间、重大并发症发生率等8个指标项进行填写、查看、核算、统计、分析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体外膜肺氧合（ECMO）技术临床应用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ECMO 有效撤除率、30 天全因死亡率、一年生存率等5个指标项进行填写、查看、核算、统计、分析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自体器官移植技术临床应用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自体器官移植手术指标、自体器官移植术成功率、术后主要严重并发症指标等7个指标项进行填写、查看、核算、统计、分析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消化内镜诊疗技术医疗</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消化内镜中心医师年均工作量、四级消化内镜诊疗技术占比、、三级消化内镜诊疗技术占比等18项指标进行填写、查看、核算、统计、分析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医师人力资源管理</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医师档案管理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★360视图</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可查看全院医师分类统计、职称统计、职务统计、岗位状态统计以及审核记录统计，以图表形式展现；</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支持医师备忘录的新增、查询；全院医师档案以工号、医师姓名、性别、科室、职称、状态列表集中展示；</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支持选择日期、科室查看不同时间不同科室的医师档案情况以及医师相关汇总数据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★我的档案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支持我的患者统计、我的申请记录（处方权限申请、医师资料修改申请、手术申请）消息提醒，我的审批提醒、我的文档管理</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基本资料管理：可对医生个人奖惩记录、医疗活动记录、考核情况、科研/新技术、住院医师考核、住院医师培训、临床类人员知识及技能培训考核、政府指令性等信息进行添加、修改、删除等操作；</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专业资料管理：支持不同条件检索人员。可根据提供的模板，批量导入人员信息；可对医生个人工作经历、其他资格证书、技术职称晋升、医生学分管理、院内调动、发表论文专著教育学统计、手术历史记录、处方历史记录等信息；进行添加、修改、删除等操作；</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支持动态记录管理，医师申请记录、操作记录留痕记录，可溯源；支持医师档案更新、申请、审批提醒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综合查询</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支持对医师档案的查询管理，可根据科室、医师姓名、医师工号、联系方式、医师状态检索医生，查询包括医师基本信息、专业信息、技术资料等信息；支持快捷检索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★档案审批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医师档案有更新变动时，支持科主任、医务处查看医师变动的信息并且支持审批、处理操作；支持根据医师工号、姓名、职称等多个检索条件查询医师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文件管理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支持上传相关政府指令性文件和操作指南等文件，供院内人员进行下载查看；同时支持科主任、医务处等权限编辑文件、修订文件、制定文件，医师账号可登录查看学习文件内容；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医师诊疗活动管理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★医师诊疗活动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包括医生的义诊、会议、支援等各类医疗与非医疗活动都可进行系统登记、追溯。可对正在进行中、已完成、已废除的医疗活动进行管理。支持个人录入，科室录入，管理员录入，批量录入，支持各类医疗活动的自定义配置包括但不限于外出进修，培训 学习等类别信息管理及各类医疗活动时间地点形式情况的记录管理，并关联实现学分授予及统计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医疗活动管理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考核结束后，对考核结果进行统计及导出，并对医师写下相对应的评语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重点专科管理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重点专科能力统计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专科能力服务指南数据统计：按专科重点疾病统计占比（数据展示）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重点技术服务统计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重点专科技术统计、质量指标统计等：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专科建设规划</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可以填写三年科室规划、五年科室规划、年度计划总结、半年度计划总结、年度持续改进案例进行保存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重点专科评价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可新增相关省、市级评价表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科室医疗管理记录审核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科室工作人员基本情况一览表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科室主要设备一览表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科室医疗质量与安全管理方案制订要求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科室医疗质量与安全管理方案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科室年度医疗工作计划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科室各类会议/文件/通知传达学习记录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科室质量与安全教育记录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科室业务学习登记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科室医疗质量与安全自查记录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科室三基培训考核记录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临床科室主要质量、效率、安全管理指标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单病种质量及费用指标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麻醉主要质量、效率、安全管理指标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影像、病理、心电主要质量、效率、安全管理指标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检验、输血主要质量、效率、安全管理指标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药剂、营养主要质量、效率、安全管理指标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血液透析主要质量、效率、安全管理指标(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科室质量与安全管理月度工作总结分析评价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科室病例讨论汇总记录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科室开展一般/重点专科技术项目记录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科室收治疑难、复杂、危重病例记录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科室已审批开展的一、二类、限制性医疗技术目录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科室开展新技术情况登记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科室医疗不良事件和安全隐患登记、分析记录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科室对口支援、医疗保障、卫生应急工作记录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科室内部奖惩评定记录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年度科室工作总结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科室大事记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★质控活动管理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让科室按照多种类型进行登记填写，填写完后进行分类管理，最后提交至医务处汇总查看，医务处可以对每一个科室的质控活动登记进行打评、整改或填写建议，医务处重新打回后，需要科室重新填写并查重新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新业务新技术管理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★技术申报</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可进行新业务新技术的申报，包括现新技术基本情况、可行性论证等，实现完成状态完成情况的建档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可对申报的新业务新技术进行审批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技术应用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可查询新业务新技术的应用情况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技术追踪</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可对新业务新技术进行追踪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可查询新业务新技术的统计情况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医疗准入管理</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手术权限管理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手术质量管理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可对手术开展情况进行汇总统计，对重点需要关注的手术情况进行数据管理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★普通手术授权</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支持医生线上申请普通手术开展授权，医务管理部门可进行手术授权审批，支持查看手术授权的总览情况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高风险手术授权</w:t>
            </w:r>
          </w:p>
        </w:tc>
        <w:tc>
          <w:tcPr>
            <w:tcW w:w="3310" w:type="pct"/>
            <w:noWrap w:val="0"/>
            <w:vAlign w:val="top"/>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支持医生线上申请高风险手术开展授权，医务管理部门可进行手术授权审批，支持查看手术授权的总览情况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限制类手术授权</w:t>
            </w:r>
          </w:p>
        </w:tc>
        <w:tc>
          <w:tcPr>
            <w:tcW w:w="3310" w:type="pct"/>
            <w:noWrap w:val="0"/>
            <w:vAlign w:val="top"/>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支持医生线上申请限制类手术开展授权，医务管理部门可进行手术授权审批，支持查看手术授权的总览情况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手术开单管理</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开单申请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医生可在线申请手术开单，医务处进行审批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可查看一段时间内的手术开展情况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手术授权管理</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★操作申请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对于科室医生提出的未经授予的手术操作权限，在特定情况下紧急手术需要进行手术操作申请。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操作审批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对于科室医生提出的未经授予的手术操作权限，科主任或医务人员在后台予以审批或不予通过的原因，及定期统计，数据导出。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授权列表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对于申请进行的手术，管理员可在系统内查看授权手术的列表，可按照科室、医生进行统计。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手术目录库</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国家目录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可自行批量导入国家标准手术目录库，在后续需要添加手术名称和编码时可新增手术。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院内目录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行批量导入医院的手术目录库，在后续需要添加手术名称和编码时可新增手术，可对适用本院手术名称及对照省目录、国家目录进行新增手术。支持技术目录库管理，根据医院实际情况进行调整；属性包括：ICD编码、ICD名称、技术名称、专业、手术等级、手术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高风险手术目录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可自行批量导入高风险手术目录库，在后续需要添加手术名称和编码时可新增手术。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国家临时手术目录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可自行批量导入国家临时手术目录库，在后续需要添加手术名称和编码时可新增手术。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限制级手术目录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可自行批量导入限制级手术目录库，在后续需要添加手术名称和编码时可新增手术。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负面清单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对于手术不符合本级医院违规开展的手术列入负面清单，予以警示，当有违规开展负面清单内的手术时，系统将自动进行判别，并追踪到责任人。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处方权限管理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处方题库列表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支持维护各类处方考试题库，支持浏览题库内容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处方考试列表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支持设置各类处方权限考试，可设置题目数量、分值以及考试开始和结束时间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处方申请列表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医生在无处方权限情况下是不能开具相关处方的，系统支持医生申请赋予相关处方权限，在线填写申请。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★处方申请审批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建立处方积分管理功能，对于违规开具不符合实际用药情况的处方，对该医生进行处方积分扣分，在达到一定扣分时，系统将自动关闭医生该处方权限，医生需重新学习后申请处方权限，方可继续执业。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处方授权总览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对于具有处方权限的医生进行年审，结合本年度的处方开具及处方点评情况，是否符合继续执行权限内的处方，在年审制度下，将进一步规范医生的处方权限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临床诊疗权限管理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临床诊疗申请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对于医生申请进行的临床诊疗活动，管理员可在系统内查看授权临床诊疗活动的列表，可按照科室、医生进行统计。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★临床诊疗审批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可对临床医生诊疗权限进行年审，规范医生的临床活动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临床诊疗总览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可进行技术的申报，包括该技术现阶段的研究现状及意义。实现技术研究的建档。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年审制度</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可对申报的技术进行审批，是否符合医院的预期要求，是否需要开展技术研究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限制性技术管理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★技术申报</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管理员可进行技术的申报，包括限制性技术基本情况、医疗机构基本情况、相关学科基本情况、相关科室和人员与设施情况、开展该项技术的目的、意义和实施方案、该项目的主要风险、质量控制措施与应急预案等，实现完成状态完成情况的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可对申报的技术进行审核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技术应用人员列表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可以通过时间、技术名称、技术水平对相关技术应用人员进行查询。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技术应用人员审核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可以通过时间、技术名称、技术水平对技术应用人员申请进行审核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POCT授权</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POCT授权申请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可以支持根据院内的POCT权限申请单进行申请，支持</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根据自定义时间、状态、检验系统名称进行筛选；</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支持导出POCT申请单、支持批量导出；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POCT授权审批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1.支持按不同的医院进行设定审批流程，支持查看并审批</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POCT权限申请单，支持批量导出审批列表；</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2.支持统计审批数据；支持按自定义时间、类型、状态进行筛选；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POCT授权总览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1.支持查看全院医师的POCT权限总览、支持按医师姓名进行查看、也可以按POCT权限名称进行查看拥有该权限的</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医师；医师也可以查看自己已拥有的全部权限；</w:t>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2.支持新增、删除、作废（启用）、暂停某医师的POCT权限，也可以进行批量暂停POCT权限；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POCT权限目录</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可以对POCT权限进行维护管理，可以根据检验系统名称进行查询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会诊管理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外出会诊</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管理人员可以查看外出会诊数据总览情况，包括外出科室、外出人员、全部会诊、被邀请科室数量、外出科室排名、外出医院级别、外出医生名单、被邀科室名称、会诊类型等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★住院会诊</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管理人员可以查看住院会诊数据总览情况，包括全部住院会诊、被邀请科室、申请医生、会诊医师数量、被邀科室名称、会诊申请医师名单、会诊类型等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全院讨论管理</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全院讨论会诊申请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医生填写全院讨论会诊申请单向科主任申请全院讨论会诊，可以查看审批状态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全院讨论会诊审批</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科主任对申请进行审批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全院讨论会诊反馈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医生可对全院讨论会诊提交讨论反馈。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全院讨论会诊统计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管理人员可以查看全院讨论会诊的总体情况，包括会诊汇总、邀请科室、受邀科室、重点病人数、会诊申请医师、受邀会诊医师、医患沟通效果等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全院讨论会诊分派</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可以查询全院讨论会诊分派情况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外出会诊登记</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申请外出会诊医师进行登记，填写受邀医院的基本情况表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外请会诊管理</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外请会诊申请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医生申请外请会诊时填写病人基本情况、会诊信息、邀请专家等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外请会诊审核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科主任对外请会诊申请进行审核才做，可以查看审核状态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和谐医患关系</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交接班管理</w:t>
            </w: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临床交接班</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临床交接班</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可查看病区交接班情况及病区患者情况，如：转入转出患者、手术人次、病危患者等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临床交接班统计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可直接查看病区交接班数据统计情况，可按照病区、全院等方式进行查询，方便科室及医务科老师查看统计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护理交接班</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护理交接班</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病区护理工作人员可查看交接班情况，包括我的患者、病区患者、 交接患者等，可进行患者的交接以及查看患者的住院治疗主要情况等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护理交接班统计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可直接查看病区交接班数据统计情况，可按照病区、全院等方式进行查询，方便科室及医务科老师查看统计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医疗审批管理</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药品临时采购管理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采购</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医生可进行紧急药品临时采购申请。支持按照申请日期、药品名称、申请科室、申请人、审核状态进行查询，支持数据的导出。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医生可进行紧急药品临时采购申请。支持按照申请日期、药品名称、申请科室、申请人、审核状态进行查询，支持数据的导出。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支持医务科或管理科室查看数据统计，支持按科室、按药品等进行分类统计，支持数据的导出。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耗材临时采购</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采购</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医生可进行紧急耗材临时采购申请。支持按照申请日期、药品名称、申请科室、申请人、审核状态进行查询，支持数据的导出。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各级审批人员可对临时申请进行审核。支持按照申请日期、耗材名称、申请科室、申请人、审核状态进行查询，支持数据的导出。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大量输血申请</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医生在进行患者治疗时，需进行临床大量输血时，可在系统内进行输血申请，申请权限关联医生处方权限信息。支持按照申请日期、申请科室、申请人、审核状态进行查询，支持数据的导出。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各级审批人员可对临时申请进行审核。支持按照申请日期、申请科室、申请人、审核状态进行查询，支持数据的导出。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抗肿瘤药品临时采购</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医生可进行抗肿瘤药品临时采购申请。支持按照申请日期、药品名称、申请科室、申请人、审核状态进行查询，支持数据的导出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各级审批人员可对临时申请进行审核。支持按照申请日期、药品名称、申请科室、申请人、审核状态进行查询，支持数据的导出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药品采购反馈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医生可对抗肿瘤药品提交采购反馈。支持按照申请日期、药品名称、申请科室、申请人、审核状态进行查询，支持数据的导出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药品采购反馈审核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各级审批人员可采购反馈进行审核。支持按照申请日期、药品名称、申请科室、申请人、审核状态进行查询，支持数据的导出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支持医务科或管理科室查看数据统计，支持按科室、按药品等进行分类统计，支持数据的导出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抗菌药品临时采购</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医生可进行抗菌药品临时采购申请。支持按照申请日期、药品名称、申请科室、申请人、审核状态进行查询，支持数据的导出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药品采购审核</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各级审批人员可对临时申请进行审核。支持按照申请日期、药品名称、申请科室、申请人、审核状态进行查询，支持数据的导出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药品采购总览</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支持医务科或管理科室查看数据统计，支持按科室、按药品等进行分类统计，支持数据的导出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应急人员外出申请</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★应急人员外出申请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临时应急外出人员可在系统内进行外出申请，支持填写外出时间、返院时间、外出原因等。支持按照申请日期、医生姓名、申请科室等进行查询，支持数据的导出。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医护排班</w:t>
            </w:r>
          </w:p>
        </w:tc>
        <w:tc>
          <w:tcPr>
            <w:tcW w:w="1100" w:type="pct"/>
            <w:gridSpan w:val="3"/>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★我的排班</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医生可查看自己排班信息及考勤信息，支持在线打印、导出数据。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100" w:type="pct"/>
            <w:gridSpan w:val="3"/>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★班次管理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可在系统内进行人员排班设置，设置排班模板，系统可自动根据人数、班次等信息进行自动排班，也可手动调整。实现自定义设置、实现查询导出功能。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100" w:type="pct"/>
            <w:gridSpan w:val="3"/>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排班列表</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可查看科室医生的的排班信息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100" w:type="pct"/>
            <w:gridSpan w:val="3"/>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排班视图</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排班视图包括科室排班视图和人员排班视图，可从科室、医生角度查看排班情况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restar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系统设置</w:t>
            </w: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系统管理</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用户管理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提供用户管理功能，可以在此界面添加删除用户信息，可对用户权限进行编辑，创建系统用户、编辑、删除用户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角色管理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管理人员通过此功能进行角色配置，可对每种角色的响应菜单进行配置，根据不同用户分配不同角色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菜单管理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可自由配置人员权限菜单，包括主菜单、下级菜单等，方便使用人员区分不同权限。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部门管理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可自定义新增/删除科室信息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岗位管理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可自定义岗位角色，关联菜单权限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字典管理</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可对系统内数据字典进行管理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参数设置</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可对系统内参数进行设置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通知公告</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可对系统内发布通知公告，进行系统推送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日志管理</w:t>
            </w: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操作日志</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系统支持操作日志留痕，以便查找操作内容。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430"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377" w:type="pc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登录日志</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系统支持登录日志留痕，管理员可看到具体登录IP、时间等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系统工具</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表单构成</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可通过手机号查询表单构成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代码生成</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可编辑、生成代码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系统接口</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可以查看系统接口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restart"/>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系统监控</w:t>
            </w: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在线用户</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可查看在线用户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定时任务</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可查询到定时任务，并可新增任务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数据监控</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可以查看数据监控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服务监控</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可以查看服务监控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588" w:type="pct"/>
            <w:vMerge w:val="continue"/>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292" w:type="pct"/>
            <w:vMerge w:val="continue"/>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808" w:type="pct"/>
            <w:gridSpan w:val="2"/>
            <w:noWrap w:val="0"/>
            <w:vAlign w:val="center"/>
          </w:tcPr>
          <w:p>
            <w:pPr>
              <w:keepNext w:val="0"/>
              <w:keepLines w:val="0"/>
              <w:widowControl/>
              <w:numPr>
                <w:ilvl w:val="0"/>
                <w:numId w:val="0"/>
              </w:numPr>
              <w:suppressLineNumbers w:val="0"/>
              <w:ind w:leftChars="0"/>
              <w:jc w:val="center"/>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缓存监控</w:t>
            </w:r>
          </w:p>
        </w:tc>
        <w:tc>
          <w:tcPr>
            <w:tcW w:w="3310" w:type="pct"/>
            <w:noWrap w:val="0"/>
            <w:vAlign w:val="center"/>
          </w:tcPr>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t>可以查看缓存监控</w:t>
            </w:r>
          </w:p>
        </w:tc>
      </w:tr>
    </w:tbl>
    <w:p>
      <w:pPr>
        <w:pStyle w:val="8"/>
        <w:pageBreakBefore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4" w:name="_Toc59437838"/>
      <w:bookmarkStart w:id="55" w:name="_Toc66693116"/>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售后服务要求</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(一)实施基本要求</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鉴于软件系统实施的复杂性,中标人必须逐条予以明确承诺:</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在集成过程中,当中标系统与其它实施系统(含硬件、网络或其他软件系统等),发生任何矛盾(如协作冲突)、技术分歧(如功能缺失或划分不明)等,均应服从招标方的协调或裁决。</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中标人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需 </w:t>
      </w:r>
      <w:r>
        <w:rPr>
          <w:rFonts w:hint="eastAsia" w:asciiTheme="minorEastAsia" w:hAnsiTheme="minorEastAsia" w:eastAsiaTheme="minorEastAsia" w:cstheme="minorEastAsia"/>
          <w:color w:val="000000" w:themeColor="text1"/>
          <w:sz w:val="24"/>
          <w:szCs w:val="24"/>
          <w14:textFill>
            <w14:solidFill>
              <w14:schemeClr w14:val="tx1"/>
            </w14:solidFill>
          </w14:textFill>
        </w:rPr>
        <w:t>实行项目总负责人制,在项目验收前,不得随意更换,如更换,须事先征得招标人同意。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项目实施中,由招标方经常性的召集现场协调会,中标人项目总负责人、各子系统技术负责人必须到场,进行沟通、协调及裁决,并形成书面备忘,项目总负责人签章并执行,不得以任何理由推诿。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4.软件功能及版本和升级要求：所提供的软件为在售或在用最新版本，满足电子病历五级、智慧服务三级、智慧管理二级、互联互通四甲要求，</w:t>
      </w:r>
      <w:r>
        <w:rPr>
          <w:rFonts w:hint="eastAsia" w:asciiTheme="minorEastAsia" w:hAnsiTheme="minorEastAsia" w:eastAsiaTheme="minorEastAsia" w:cstheme="minorEastAsia"/>
          <w:b w:val="0"/>
          <w:bCs w:val="0"/>
          <w:color w:val="auto"/>
          <w:sz w:val="24"/>
          <w:szCs w:val="24"/>
          <w:lang w:val="en-US" w:eastAsia="zh-CN"/>
        </w:rPr>
        <w:t>并提供终身免费软件升级服务</w:t>
      </w:r>
      <w:r>
        <w:rPr>
          <w:rFonts w:hint="eastAsia" w:asciiTheme="minorEastAsia" w:hAnsiTheme="minorEastAsia" w:eastAsiaTheme="minorEastAsia" w:cstheme="minorEastAsia"/>
          <w:b w:val="0"/>
          <w:bCs w:val="0"/>
          <w:color w:val="000000" w:themeColor="text1"/>
          <w:sz w:val="24"/>
          <w:szCs w:val="24"/>
          <w:lang w:val="en-US" w:eastAsia="zh-CN"/>
          <w14:textFill>
            <w14:gradFill>
              <w14:gsLst>
                <w14:gs w14:pos="0">
                  <w14:srgbClr w14:val="007BD3"/>
                </w14:gs>
                <w14:gs w14:pos="100000">
                  <w14:srgbClr w14:val="034373"/>
                </w14:gs>
              </w14:gsLst>
              <w14:lin w14:scaled="0"/>
            </w14:gradFill>
          </w14:textFill>
        </w:rPr>
        <w:t>。</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)售后服务</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免费维修时间</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本项目所包含软件和硬件</w:t>
      </w:r>
      <w:r>
        <w:rPr>
          <w:rFonts w:hint="eastAsia" w:asciiTheme="minorEastAsia" w:hAnsiTheme="minorEastAsia" w:eastAsiaTheme="minorEastAsia" w:cstheme="minorEastAsia"/>
          <w:color w:val="000000" w:themeColor="text1"/>
          <w:sz w:val="24"/>
          <w:szCs w:val="24"/>
          <w14:textFill>
            <w14:solidFill>
              <w14:schemeClr w14:val="tx1"/>
            </w14:solidFill>
          </w14:textFill>
        </w:rPr>
        <w:t>自最终验收之日起,免费质保时间三年</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Chars="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2.系统接口：所投软件产品及系统均不再收取与任何第三方系统接口费用。</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服务响应时间</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软件部分:要求投标人对软件系统提供5×8小时服务支持和受理,4小时内服务响应。</w:t>
      </w:r>
    </w:p>
    <w:p>
      <w:pPr>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硬件部分:要求投标人对硬件设备提供7×24小时服务支持和受理,4小时内服务响应。</w:t>
      </w:r>
    </w:p>
    <w:p>
      <w:pPr>
        <w:pStyle w:val="8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中标人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自行承</w:t>
      </w:r>
      <w:r>
        <w:rPr>
          <w:rFonts w:hint="eastAsia" w:asciiTheme="minorEastAsia" w:hAnsiTheme="minorEastAsia" w:eastAsiaTheme="minorEastAsia" w:cstheme="minorEastAsia"/>
          <w:color w:val="000000" w:themeColor="text1"/>
          <w:sz w:val="24"/>
          <w:szCs w:val="24"/>
          <w14:textFill>
            <w14:solidFill>
              <w14:schemeClr w14:val="tx1"/>
            </w14:solidFill>
          </w14:textFill>
        </w:rPr>
        <w:t>担本项目投标软件系统与医院现有信息系统间的所有接口费用,包括所投软件系统投标人自身的接口开发、以及现有软件系统的第三方接口开发配合费用,招标人不再单独支付本项目招标软件系统的任何接口费用。</w:t>
      </w:r>
    </w:p>
    <w:p>
      <w:pPr>
        <w:pStyle w:val="8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供货完毕,具备验收条件后,由医院组织项目验收小组,按照本招标文件的规定验收并移交相关备份资料等。</w:t>
      </w:r>
    </w:p>
    <w:bookmarkEnd w:id="54"/>
    <w:bookmarkEnd w:id="55"/>
    <w:p>
      <w:pPr>
        <w:pStyle w:val="80"/>
        <w:ind w:right="-21" w:firstLine="0" w:firstLineChars="0"/>
        <w:rPr>
          <w:color w:val="000000" w:themeColor="text1"/>
          <w14:textFill>
            <w14:solidFill>
              <w14:schemeClr w14:val="tx1"/>
            </w14:solidFill>
          </w14:textFill>
        </w:rPr>
      </w:pPr>
      <w:r>
        <w:rPr>
          <w:rFonts w:hint="eastAsia" w:ascii="宋体" w:hAnsi="宋体"/>
          <w:color w:val="000000" w:themeColor="text1"/>
          <w:sz w:val="28"/>
          <w:szCs w:val="24"/>
          <w:lang w:val="en-US" w:eastAsia="zh-CN"/>
          <w14:textFill>
            <w14:solidFill>
              <w14:schemeClr w14:val="tx1"/>
            </w14:solidFill>
          </w14:textFill>
        </w:rPr>
        <w:t xml:space="preserve"> </w:t>
      </w:r>
    </w:p>
    <w:p>
      <w:pPr>
        <w:pStyle w:val="80"/>
        <w:ind w:right="-21" w:firstLine="0" w:firstLineChars="0"/>
        <w:rPr>
          <w:color w:val="000000" w:themeColor="text1"/>
          <w14:textFill>
            <w14:solidFill>
              <w14:schemeClr w14:val="tx1"/>
            </w14:solidFill>
          </w14:textFill>
        </w:rPr>
      </w:pPr>
    </w:p>
    <w:p>
      <w:pPr>
        <w:pStyle w:val="80"/>
        <w:ind w:right="-21" w:firstLine="0" w:firstLineChars="0"/>
        <w:rPr>
          <w:color w:val="000000" w:themeColor="text1"/>
          <w14:textFill>
            <w14:solidFill>
              <w14:schemeClr w14:val="tx1"/>
            </w14:solidFill>
          </w14:textFill>
        </w:rPr>
      </w:pPr>
    </w:p>
    <w:p>
      <w:pPr>
        <w:pStyle w:val="8"/>
        <w:ind w:firstLine="0"/>
        <w:jc w:val="both"/>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pStyle w:val="8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8"/>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bookmarkStart w:id="56" w:name="_Hlt240110027"/>
      <w:bookmarkEnd w:id="56"/>
      <w:r>
        <w:rPr>
          <w:rFonts w:hint="eastAsia" w:ascii="宋体" w:hAnsi="宋体" w:eastAsia="宋体" w:cs="宋体"/>
          <w:color w:val="000000" w:themeColor="text1"/>
          <w14:textFill>
            <w14:solidFill>
              <w14:schemeClr w14:val="tx1"/>
            </w14:solidFill>
          </w14:textFill>
        </w:rPr>
        <w:t>四章 评标办法</w:t>
      </w:r>
      <w:bookmarkEnd w:id="52"/>
      <w:bookmarkEnd w:id="53"/>
    </w:p>
    <w:p>
      <w:pPr>
        <w:tabs>
          <w:tab w:val="left" w:pos="360"/>
          <w:tab w:val="left" w:pos="540"/>
          <w:tab w:val="left" w:pos="3600"/>
          <w:tab w:val="left" w:pos="3780"/>
          <w:tab w:val="left" w:pos="8460"/>
          <w:tab w:val="left" w:pos="9180"/>
        </w:tabs>
        <w:adjustRightInd w:val="0"/>
        <w:snapToGrid w:val="0"/>
        <w:spacing w:line="360" w:lineRule="auto"/>
        <w:jc w:val="center"/>
        <w:rPr>
          <w:rFonts w:ascii="宋体" w:hAnsi="宋体" w:cs="宋体"/>
          <w:b/>
          <w:color w:val="000000" w:themeColor="text1"/>
          <w:sz w:val="24"/>
          <w14:textFill>
            <w14:solidFill>
              <w14:schemeClr w14:val="tx1"/>
            </w14:solidFill>
          </w14:textFill>
        </w:rPr>
      </w:pPr>
      <w:bookmarkStart w:id="57" w:name="_Toc10750_WPSOffice_Level2"/>
      <w:r>
        <w:rPr>
          <w:rFonts w:hint="eastAsia" w:ascii="宋体" w:hAnsi="宋体" w:cs="宋体"/>
          <w:b/>
          <w:color w:val="000000" w:themeColor="text1"/>
          <w:sz w:val="24"/>
          <w14:textFill>
            <w14:solidFill>
              <w14:schemeClr w14:val="tx1"/>
            </w14:solidFill>
          </w14:textFill>
        </w:rPr>
        <w:t>一．总  则</w:t>
      </w:r>
      <w:bookmarkEnd w:id="57"/>
    </w:p>
    <w:p>
      <w:pPr>
        <w:adjustRightInd w:val="0"/>
        <w:snapToGrid w:val="0"/>
        <w:spacing w:line="360" w:lineRule="auto"/>
        <w:ind w:right="-10" w:firstLine="422" w:firstLineChars="175"/>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第一条 </w:t>
      </w:r>
      <w:r>
        <w:rPr>
          <w:rFonts w:hint="eastAsia" w:ascii="宋体" w:hAnsi="宋体" w:cs="宋体"/>
          <w:color w:val="000000" w:themeColor="text1"/>
          <w:sz w:val="24"/>
          <w14:textFill>
            <w14:solidFill>
              <w14:schemeClr w14:val="tx1"/>
            </w14:solidFill>
          </w14:textFill>
        </w:rPr>
        <w:t>为了做好本项目（项目编号: 2023-09-138号）的招标评标工作，保证项目评审工作的正常有序进行，维护采购人、投标人的合法权益，依据《中华人民共和国政府采购法》及其它相关法律法规，本着公开、公平、公正的原则，制定评标办法。</w:t>
      </w:r>
    </w:p>
    <w:p>
      <w:pPr>
        <w:adjustRightInd w:val="0"/>
        <w:snapToGrid w:val="0"/>
        <w:spacing w:line="360" w:lineRule="auto"/>
        <w:ind w:right="-10" w:firstLine="422" w:firstLineChars="175"/>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第二条 </w:t>
      </w:r>
      <w:r>
        <w:rPr>
          <w:rFonts w:hint="eastAsia" w:ascii="宋体" w:hAnsi="宋体" w:cs="宋体"/>
          <w:color w:val="000000" w:themeColor="text1"/>
          <w:sz w:val="24"/>
          <w14:textFill>
            <w14:solidFill>
              <w14:schemeClr w14:val="tx1"/>
            </w14:solidFill>
          </w14:textFill>
        </w:rPr>
        <w:t>本次项目评标采用综合评分法作为对投标人标书的比较方法。</w:t>
      </w:r>
    </w:p>
    <w:p>
      <w:pPr>
        <w:adjustRightInd w:val="0"/>
        <w:snapToGrid w:val="0"/>
        <w:spacing w:line="360" w:lineRule="auto"/>
        <w:ind w:left="-61" w:leftChars="-29"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第三条 </w:t>
      </w:r>
      <w:r>
        <w:rPr>
          <w:rFonts w:hint="eastAsia" w:ascii="宋体" w:hAnsi="宋体" w:cs="宋体"/>
          <w:color w:val="000000" w:themeColor="text1"/>
          <w:sz w:val="24"/>
          <w14:textFill>
            <w14:solidFill>
              <w14:schemeClr w14:val="tx1"/>
            </w14:solidFill>
          </w14:textFill>
        </w:rPr>
        <w:t>按照《中华人民共和国政府采购法》及其相关规定组成评标委员会负责本项目的评审工作。评标委员会</w:t>
      </w:r>
      <w:r>
        <w:rPr>
          <w:rFonts w:hint="eastAsia" w:ascii="宋体" w:hAnsi="宋体" w:cs="宋体"/>
          <w:color w:val="000000" w:themeColor="text1"/>
          <w:sz w:val="24"/>
          <w:szCs w:val="22"/>
          <w14:textFill>
            <w14:solidFill>
              <w14:schemeClr w14:val="tx1"/>
            </w14:solidFill>
          </w14:textFill>
        </w:rPr>
        <w:t>在政府采购专家库中随机抽取。</w:t>
      </w:r>
    </w:p>
    <w:p>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第四条 </w:t>
      </w:r>
      <w:r>
        <w:rPr>
          <w:rFonts w:hint="eastAsia" w:ascii="宋体" w:hAnsi="宋体" w:cs="宋体"/>
          <w:color w:val="000000" w:themeColor="text1"/>
          <w:sz w:val="24"/>
          <w14:textFill>
            <w14:solidFill>
              <w14:schemeClr w14:val="tx1"/>
            </w14:solidFill>
          </w14:textFill>
        </w:rPr>
        <w:t>评委会按照“客观公正，实事求是”的原则，评价参加本次招标的投标人所提供的产品价格、性能、质量、服务及对招标文件的符合性及响应性。</w:t>
      </w:r>
    </w:p>
    <w:p>
      <w:pPr>
        <w:adjustRightInd w:val="0"/>
        <w:snapToGrid w:val="0"/>
        <w:spacing w:line="360" w:lineRule="auto"/>
        <w:jc w:val="center"/>
        <w:rPr>
          <w:rFonts w:ascii="宋体" w:hAnsi="宋体" w:cs="宋体"/>
          <w:color w:val="000000" w:themeColor="text1"/>
          <w:sz w:val="24"/>
          <w14:textFill>
            <w14:solidFill>
              <w14:schemeClr w14:val="tx1"/>
            </w14:solidFill>
          </w14:textFill>
        </w:rPr>
      </w:pPr>
      <w:bookmarkStart w:id="58" w:name="_Toc31922_WPSOffice_Level2"/>
      <w:r>
        <w:rPr>
          <w:rFonts w:hint="eastAsia" w:ascii="宋体" w:hAnsi="宋体" w:cs="宋体"/>
          <w:b/>
          <w:color w:val="000000" w:themeColor="text1"/>
          <w:sz w:val="24"/>
          <w14:textFill>
            <w14:solidFill>
              <w14:schemeClr w14:val="tx1"/>
            </w14:solidFill>
          </w14:textFill>
        </w:rPr>
        <w:t>二．评标程序及评审细则</w:t>
      </w:r>
      <w:bookmarkEnd w:id="58"/>
    </w:p>
    <w:p>
      <w:pPr>
        <w:adjustRightInd w:val="0"/>
        <w:snapToGrid w:val="0"/>
        <w:spacing w:line="360" w:lineRule="auto"/>
        <w:ind w:right="-10" w:firstLine="422" w:firstLineChars="175"/>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w:t>
      </w:r>
      <w:r>
        <w:rPr>
          <w:rFonts w:hint="eastAsia" w:ascii="宋体" w:hAnsi="宋体" w:cs="宋体"/>
          <w:bCs/>
          <w:color w:val="000000" w:themeColor="text1"/>
          <w:sz w:val="24"/>
          <w14:textFill>
            <w14:solidFill>
              <w14:schemeClr w14:val="tx1"/>
            </w14:solidFill>
          </w14:textFill>
        </w:rPr>
        <w:t xml:space="preserve"> 评标工作于开标后进行。评委会应认真研究招标文件，至少应了解和熟悉以下内容：</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（一）招标的目标；</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（二）招标项目的范围和性质；</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（三）招标文件中规定的主要技术要求、标准和商务条款；</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（四）招标文件规定的评标标准、评标方法和在评标过程中考虑的相关因素。</w:t>
      </w:r>
    </w:p>
    <w:p>
      <w:pPr>
        <w:adjustRightInd w:val="0"/>
        <w:snapToGrid w:val="0"/>
        <w:spacing w:line="360" w:lineRule="auto"/>
        <w:ind w:right="-10" w:firstLine="422" w:firstLineChars="175"/>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w:t>
      </w:r>
      <w:r>
        <w:rPr>
          <w:rFonts w:hint="eastAsia" w:ascii="宋体" w:hAnsi="宋体" w:cs="宋体"/>
          <w:bCs/>
          <w:color w:val="000000" w:themeColor="text1"/>
          <w:sz w:val="24"/>
          <w14:textFill>
            <w14:solidFill>
              <w14:schemeClr w14:val="tx1"/>
            </w14:solidFill>
          </w14:textFill>
        </w:rPr>
        <w:t xml:space="preserve"> 有效投标应符合以下原则：</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（一）满足招标文件的实质性要求；</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（二）无重大偏离、保留或采购人不能接受的附加条件；</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（三）通过投标符合性审查；</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（四）评委会依据招标文件认定的其他原则；</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（五）商务偏差表或技术偏差表数据不存在弄虚作假现象；</w:t>
      </w:r>
    </w:p>
    <w:p>
      <w:pPr>
        <w:adjustRightInd w:val="0"/>
        <w:snapToGrid w:val="0"/>
        <w:spacing w:line="360" w:lineRule="auto"/>
        <w:ind w:right="-10" w:firstLine="420" w:firstLineChars="175"/>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（六）投标人报价未超过采购人的采购预算；</w:t>
      </w:r>
    </w:p>
    <w:p>
      <w:pPr>
        <w:adjustRightInd w:val="0"/>
        <w:snapToGrid w:val="0"/>
        <w:spacing w:line="360" w:lineRule="auto"/>
        <w:ind w:right="-10" w:firstLine="482"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第七条 </w:t>
      </w:r>
      <w:r>
        <w:rPr>
          <w:rFonts w:hint="eastAsia" w:ascii="宋体" w:hAnsi="宋体" w:cs="宋体"/>
          <w:color w:val="000000" w:themeColor="text1"/>
          <w:sz w:val="24"/>
          <w14:textFill>
            <w14:solidFill>
              <w14:schemeClr w14:val="tx1"/>
            </w14:solidFill>
          </w14:textFill>
        </w:rPr>
        <w:t>评委会从每个投标人的投标文件开始独立评审，对开标后投标人所提出的优惠条件不予以考虑。按</w:t>
      </w:r>
      <w:r>
        <w:rPr>
          <w:rFonts w:hint="eastAsia" w:ascii="宋体" w:hAnsi="宋体" w:cs="宋体"/>
          <w:bCs/>
          <w:color w:val="000000" w:themeColor="text1"/>
          <w:sz w:val="24"/>
          <w:szCs w:val="22"/>
          <w14:textFill>
            <w14:solidFill>
              <w14:schemeClr w14:val="tx1"/>
            </w14:solidFill>
          </w14:textFill>
        </w:rPr>
        <w:t>综合得分从高到低的顺序评出中标候选人。</w:t>
      </w:r>
    </w:p>
    <w:p>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第八条 </w:t>
      </w:r>
      <w:r>
        <w:rPr>
          <w:rFonts w:hint="eastAsia" w:ascii="宋体" w:hAnsi="宋体" w:cs="宋体"/>
          <w:color w:val="000000" w:themeColor="text1"/>
          <w:sz w:val="24"/>
          <w14:textFill>
            <w14:solidFill>
              <w14:schemeClr w14:val="tx1"/>
            </w14:solidFill>
          </w14:textFill>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w:t>
      </w:r>
      <w:r>
        <w:rPr>
          <w:rFonts w:hint="eastAsia" w:ascii="宋体" w:hAnsi="宋体" w:cs="宋体"/>
          <w:color w:val="000000" w:themeColor="text1"/>
          <w:sz w:val="24"/>
          <w14:textFill>
            <w14:solidFill>
              <w14:schemeClr w14:val="tx1"/>
            </w14:solidFill>
          </w14:textFill>
        </w:rPr>
        <w:t xml:space="preserve"> 评委会首先对各投标人进行符合性审查，通过符合性审查的投标人为有效投标人，有效投标人进入综合评分环节，按招标文件约定由评委会推荐中标候选人；没有通过符合性审查的投标人为无效投标。</w:t>
      </w:r>
    </w:p>
    <w:p>
      <w:pPr>
        <w:rPr>
          <w:rFonts w:ascii="宋体" w:hAnsi="宋体" w:cs="宋体"/>
          <w:color w:val="000000" w:themeColor="text1"/>
          <w:sz w:val="24"/>
          <w14:textFill>
            <w14:solidFill>
              <w14:schemeClr w14:val="tx1"/>
            </w14:solidFill>
          </w14:textFill>
        </w:rPr>
      </w:pPr>
    </w:p>
    <w:p>
      <w:pPr>
        <w:pStyle w:val="52"/>
        <w:ind w:firstLine="480" w:firstLineChars="200"/>
        <w:rPr>
          <w:rFonts w:ascii="宋体" w:hAnsi="宋体" w:cs="宋体"/>
          <w:color w:val="000000" w:themeColor="text1"/>
          <w:sz w:val="24"/>
          <w:szCs w:val="20"/>
          <w14:textFill>
            <w14:solidFill>
              <w14:schemeClr w14:val="tx1"/>
            </w14:solidFill>
          </w14:textFill>
        </w:rPr>
      </w:pPr>
    </w:p>
    <w:p>
      <w:pPr>
        <w:pStyle w:val="52"/>
        <w:rPr>
          <w:color w:val="000000" w:themeColor="text1"/>
          <w14:textFill>
            <w14:solidFill>
              <w14:schemeClr w14:val="tx1"/>
            </w14:solidFill>
          </w14:textFill>
        </w:rPr>
      </w:pPr>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30"/>
        <w:gridCol w:w="2618"/>
        <w:gridCol w:w="80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9304" w:type="dxa"/>
            <w:gridSpan w:val="5"/>
            <w:vAlign w:val="center"/>
          </w:tcPr>
          <w:p>
            <w:pPr>
              <w:pStyle w:val="508"/>
              <w:pBdr>
                <w:bottom w:val="none" w:color="auto" w:sz="0" w:space="0"/>
              </w:pBdr>
              <w:tabs>
                <w:tab w:val="clear" w:pos="4153"/>
                <w:tab w:val="clear" w:pos="8306"/>
              </w:tabs>
              <w:snapToGrid w:val="0"/>
              <w:spacing w:line="360" w:lineRule="auto"/>
              <w:ind w:right="-10"/>
              <w:textAlignment w:val="auto"/>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230" w:type="dxa"/>
            <w:tcBorders>
              <w:bottom w:val="single" w:color="auto" w:sz="4" w:space="0"/>
            </w:tcBorders>
            <w:vAlign w:val="center"/>
          </w:tcPr>
          <w:p>
            <w:pPr>
              <w:pStyle w:val="508"/>
              <w:pBdr>
                <w:bottom w:val="none" w:color="auto" w:sz="0" w:space="0"/>
              </w:pBdr>
              <w:tabs>
                <w:tab w:val="clear" w:pos="4153"/>
                <w:tab w:val="clear" w:pos="8306"/>
              </w:tabs>
              <w:snapToGrid w:val="0"/>
              <w:spacing w:line="360" w:lineRule="auto"/>
              <w:ind w:right="-10"/>
              <w:textAlignment w:val="auto"/>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指标名称</w:t>
            </w:r>
          </w:p>
        </w:tc>
        <w:tc>
          <w:tcPr>
            <w:tcW w:w="2618"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指标要求</w:t>
            </w:r>
          </w:p>
        </w:tc>
        <w:tc>
          <w:tcPr>
            <w:tcW w:w="807"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投标文件格式及</w:t>
            </w:r>
          </w:p>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92"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230"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投标人资格</w:t>
            </w:r>
          </w:p>
        </w:tc>
        <w:tc>
          <w:tcPr>
            <w:tcW w:w="2618"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见招标文件</w:t>
            </w:r>
          </w:p>
        </w:tc>
        <w:tc>
          <w:tcPr>
            <w:tcW w:w="807"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92"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230"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货物技术要求</w:t>
            </w:r>
          </w:p>
        </w:tc>
        <w:tc>
          <w:tcPr>
            <w:tcW w:w="2618"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按评标办法</w:t>
            </w:r>
          </w:p>
        </w:tc>
        <w:tc>
          <w:tcPr>
            <w:tcW w:w="807"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2"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230"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质保及售后等</w:t>
            </w:r>
          </w:p>
        </w:tc>
        <w:tc>
          <w:tcPr>
            <w:tcW w:w="2618" w:type="dxa"/>
            <w:vAlign w:val="center"/>
          </w:tcPr>
          <w:p>
            <w:pPr>
              <w:spacing w:after="50" w:line="360" w:lineRule="auto"/>
              <w:ind w:right="-10"/>
              <w:jc w:val="center"/>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见招标文件</w:t>
            </w:r>
          </w:p>
        </w:tc>
        <w:tc>
          <w:tcPr>
            <w:tcW w:w="807" w:type="dxa"/>
            <w:vAlign w:val="center"/>
          </w:tcPr>
          <w:p>
            <w:pPr>
              <w:adjustRightInd w:val="0"/>
              <w:snapToGrid w:val="0"/>
              <w:spacing w:line="360" w:lineRule="auto"/>
              <w:ind w:right="-10"/>
              <w:rPr>
                <w:rFonts w:ascii="宋体" w:hAnsi="宋体" w:cs="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tc>
      </w:tr>
    </w:tbl>
    <w:p>
      <w:pPr>
        <w:spacing w:line="360" w:lineRule="auto"/>
        <w:ind w:firstLine="482" w:firstLineChars="200"/>
        <w:rPr>
          <w:rFonts w:ascii="宋体" w:hAnsi="宋体" w:cs="Arial"/>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评分标准（满分为100分）</w:t>
      </w:r>
      <w:r>
        <w:rPr>
          <w:rFonts w:hint="eastAsia" w:ascii="宋体" w:hAnsi="宋体"/>
          <w:color w:val="000000" w:themeColor="text1"/>
          <w:sz w:val="24"/>
          <w14:textFill>
            <w14:solidFill>
              <w14:schemeClr w14:val="tx1"/>
            </w14:solidFill>
          </w14:textFill>
        </w:rPr>
        <w:t>说明:</w:t>
      </w:r>
      <w:r>
        <w:rPr>
          <w:rFonts w:hint="eastAsia" w:ascii="宋体" w:hAnsi="宋体" w:cs="Arial"/>
          <w:color w:val="000000" w:themeColor="text1"/>
          <w:sz w:val="24"/>
          <w:szCs w:val="24"/>
          <w14:textFill>
            <w14:solidFill>
              <w14:schemeClr w14:val="tx1"/>
            </w14:solidFill>
          </w14:textFill>
        </w:rPr>
        <w:t>各投标人的最终得分为各评委得分的算术平均值；评分分值计算保留小数点后两位，小数点后第三位“四舍五入”。</w:t>
      </w:r>
    </w:p>
    <w:p>
      <w:pPr>
        <w:pStyle w:val="66"/>
        <w:spacing w:before="0" w:beforeAutospacing="0" w:after="0" w:afterAutospacing="0"/>
        <w:contextualSpacing/>
        <w:jc w:val="center"/>
        <w:rPr>
          <w:rFonts w:hint="eastAsia"/>
          <w:color w:val="000000" w:themeColor="text1"/>
          <w:sz w:val="32"/>
          <w:szCs w:val="32"/>
          <w14:textFill>
            <w14:solidFill>
              <w14:schemeClr w14:val="tx1"/>
            </w14:solidFill>
          </w14:textFill>
        </w:rPr>
      </w:pPr>
      <w:r>
        <w:rPr>
          <w:rFonts w:hint="eastAsia"/>
          <w:color w:val="000000" w:themeColor="text1"/>
          <w:sz w:val="32"/>
          <w:szCs w:val="32"/>
          <w:highlight w:val="yellow"/>
          <w14:textFill>
            <w14:solidFill>
              <w14:schemeClr w14:val="tx1"/>
            </w14:solidFill>
          </w14:textFill>
        </w:rPr>
        <w:br w:type="page"/>
      </w:r>
      <w:r>
        <w:rPr>
          <w:rFonts w:hint="eastAsia"/>
          <w:color w:val="000000" w:themeColor="text1"/>
          <w:sz w:val="32"/>
          <w:szCs w:val="32"/>
          <w14:textFill>
            <w14:solidFill>
              <w14:schemeClr w14:val="tx1"/>
            </w14:solidFill>
          </w14:textFill>
        </w:rPr>
        <w:t>评</w:t>
      </w:r>
      <w:r>
        <w:rPr>
          <w:rFonts w:hint="eastAsia"/>
          <w:color w:val="000000" w:themeColor="text1"/>
          <w:sz w:val="32"/>
          <w:szCs w:val="32"/>
          <w:lang w:val="en-US" w:eastAsia="zh-CN"/>
          <w14:textFill>
            <w14:solidFill>
              <w14:schemeClr w14:val="tx1"/>
            </w14:solidFill>
          </w14:textFill>
        </w:rPr>
        <w:t>标</w:t>
      </w:r>
      <w:r>
        <w:rPr>
          <w:rFonts w:hint="eastAsia"/>
          <w:color w:val="000000" w:themeColor="text1"/>
          <w:sz w:val="32"/>
          <w:szCs w:val="32"/>
          <w14:textFill>
            <w14:solidFill>
              <w14:schemeClr w14:val="tx1"/>
            </w14:solidFill>
          </w14:textFill>
        </w:rPr>
        <w:t>办法</w:t>
      </w:r>
    </w:p>
    <w:tbl>
      <w:tblPr>
        <w:tblStyle w:val="72"/>
        <w:tblpPr w:leftFromText="180" w:rightFromText="180" w:vertAnchor="text" w:tblpX="133" w:tblpY="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905"/>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2" w:hRule="atLeast"/>
        </w:trPr>
        <w:tc>
          <w:tcPr>
            <w:tcW w:w="1200" w:type="dxa"/>
            <w:vAlign w:val="center"/>
          </w:tcPr>
          <w:p>
            <w:pPr>
              <w:pStyle w:val="66"/>
              <w:spacing w:before="0" w:beforeAutospacing="0" w:after="0" w:afterAutospacing="0"/>
              <w:contextualSpacing/>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投标报价</w:t>
            </w:r>
          </w:p>
          <w:p>
            <w:pPr>
              <w:pStyle w:val="66"/>
              <w:spacing w:before="0" w:beforeAutospacing="0" w:after="0" w:afterAutospacing="0"/>
              <w:contextualSpacing/>
              <w:jc w:val="center"/>
              <w:rPr>
                <w:rFonts w:hint="default"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（30分）</w:t>
            </w:r>
          </w:p>
        </w:tc>
        <w:tc>
          <w:tcPr>
            <w:tcW w:w="1905" w:type="dxa"/>
            <w:vAlign w:val="center"/>
          </w:tcPr>
          <w:p>
            <w:pPr>
              <w:pStyle w:val="66"/>
              <w:spacing w:before="0" w:beforeAutospacing="0" w:after="0" w:afterAutospacing="0"/>
              <w:contextualSpacing/>
              <w:jc w:val="center"/>
              <w:rPr>
                <w:rFonts w:hint="default" w:eastAsia="宋体"/>
                <w:color w:val="000000" w:themeColor="text1"/>
                <w:sz w:val="32"/>
                <w:szCs w:val="32"/>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30分</w:t>
            </w:r>
          </w:p>
        </w:tc>
        <w:tc>
          <w:tcPr>
            <w:tcW w:w="6210" w:type="dxa"/>
            <w:vAlign w:val="center"/>
          </w:tcPr>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投标报价得分=(评标基准价／投标报价)×30</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注：价格分计算保留小数点后二位。</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根据财政部、工信部关于印发《政府采购促进中小企业发展管理办法》的通知（财库〔2020〕46号 ）文件规定：</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（1）对小微企业报价给予10%扣除，请按照《政府采购促进中小企业发展管理办法》要求提供中小企业声明函。</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pPr>
              <w:pStyle w:val="66"/>
              <w:spacing w:before="0" w:beforeAutospacing="0" w:after="0" w:afterAutospacing="0"/>
              <w:contextualSpacing/>
              <w:jc w:val="both"/>
              <w:rPr>
                <w:rFonts w:hint="eastAsia"/>
                <w:color w:val="000000" w:themeColor="text1"/>
                <w:sz w:val="32"/>
                <w:szCs w:val="32"/>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200" w:type="dxa"/>
            <w:vMerge w:val="restart"/>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技术部分</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（45分）</w:t>
            </w:r>
          </w:p>
        </w:tc>
        <w:tc>
          <w:tcPr>
            <w:tcW w:w="1905" w:type="dxa"/>
            <w:vAlign w:val="center"/>
          </w:tcPr>
          <w:p>
            <w:pPr>
              <w:pStyle w:val="66"/>
              <w:spacing w:before="0" w:beforeAutospacing="0" w:after="0" w:afterAutospacing="0"/>
              <w:contextualSpacing/>
              <w:jc w:val="center"/>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参数响应</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（35分）</w:t>
            </w:r>
          </w:p>
        </w:tc>
        <w:tc>
          <w:tcPr>
            <w:tcW w:w="6210" w:type="dxa"/>
            <w:vAlign w:val="center"/>
          </w:tcPr>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olor w:val="000000" w:themeColor="text1"/>
                <w:sz w:val="24"/>
                <w:szCs w:val="24"/>
                <w:vertAlign w:val="baseline"/>
                <w14:textFill>
                  <w14:solidFill>
                    <w14:schemeClr w14:val="tx1"/>
                  </w14:solidFill>
                </w14:textFill>
              </w:rPr>
              <w:t>技术参数完全满足招标文件要求的，得基本分</w:t>
            </w:r>
            <w:r>
              <w:rPr>
                <w:rFonts w:hint="eastAsia"/>
                <w:color w:val="000000" w:themeColor="text1"/>
                <w:sz w:val="24"/>
                <w:szCs w:val="24"/>
                <w:vertAlign w:val="baseline"/>
                <w:lang w:val="en-US" w:eastAsia="zh-CN"/>
                <w14:textFill>
                  <w14:solidFill>
                    <w14:schemeClr w14:val="tx1"/>
                  </w14:solidFill>
                </w14:textFill>
              </w:rPr>
              <w:t>3</w:t>
            </w:r>
            <w:r>
              <w:rPr>
                <w:rFonts w:hint="eastAsia"/>
                <w:color w:val="000000" w:themeColor="text1"/>
                <w:sz w:val="24"/>
                <w:szCs w:val="24"/>
                <w:vertAlign w:val="baseline"/>
                <w14:textFill>
                  <w14:solidFill>
                    <w14:schemeClr w14:val="tx1"/>
                  </w14:solidFill>
                </w14:textFill>
              </w:rPr>
              <w:t>5分；每有一项加★参数负偏离，扣5分，其他一般性技术指标，每一项负偏离，扣3分，扣完为止。加★项技术参数须附证明材料（检验报告/官方彩页/技术白皮书/产品功能截图等），并详细逐项标明在标书中的页码位置。证明材料与标书中的页码位置不符、不能提供证明材料、或提供证明材料无效的或找不到技术证明材料的一律按负偏离处理。（注:提供虚假材料的，将被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200" w:type="dxa"/>
            <w:vMerge w:val="continue"/>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p>
        </w:tc>
        <w:tc>
          <w:tcPr>
            <w:tcW w:w="1905" w:type="dxa"/>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技术方案</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（3分）</w:t>
            </w:r>
          </w:p>
        </w:tc>
        <w:tc>
          <w:tcPr>
            <w:tcW w:w="6210" w:type="dxa"/>
            <w:vAlign w:val="center"/>
          </w:tcPr>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系统设计方案，从项目背景、建设目标、建设内容、功能设计、安全方案、</w:t>
            </w:r>
            <w:r>
              <w:rPr>
                <w:rFonts w:hint="eastAsia" w:ascii="宋体" w:hAnsi="宋体" w:eastAsia="宋体" w:cs="宋体"/>
                <w:color w:val="000000" w:themeColor="text1"/>
                <w:sz w:val="24"/>
                <w:szCs w:val="24"/>
                <w:lang w:val="en-US" w:eastAsia="zh-CN"/>
                <w14:textFill>
                  <w14:solidFill>
                    <w14:schemeClr w14:val="tx1"/>
                  </w14:solidFill>
                </w14:textFill>
              </w:rPr>
              <w:t>是否有详细</w:t>
            </w:r>
            <w:r>
              <w:rPr>
                <w:rFonts w:hint="eastAsia" w:ascii="宋体" w:hAnsi="宋体" w:eastAsia="宋体" w:cs="宋体"/>
                <w:color w:val="000000" w:themeColor="text1"/>
                <w:sz w:val="24"/>
                <w:szCs w:val="24"/>
                <w14:textFill>
                  <w14:solidFill>
                    <w14:schemeClr w14:val="tx1"/>
                  </w14:solidFill>
                </w14:textFill>
              </w:rPr>
              <w:t>配置</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功能说明、并能提供拟供产品证明材料（例如检测报告、系统功能截图、彩页、承诺函等相关资料其中任意一种）等方面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提供得3分，不提供不得分</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00" w:type="dxa"/>
            <w:vMerge w:val="continue"/>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p>
        </w:tc>
        <w:tc>
          <w:tcPr>
            <w:tcW w:w="1905" w:type="dxa"/>
            <w:vAlign w:val="center"/>
          </w:tcPr>
          <w:p>
            <w:pPr>
              <w:pStyle w:val="66"/>
              <w:spacing w:before="0" w:beforeAutospacing="0" w:after="0" w:afterAutospacing="0"/>
              <w:contextualSpacing/>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实施方案</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6210" w:type="dxa"/>
            <w:vAlign w:val="center"/>
          </w:tcPr>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需要提供完备的项目实施方案，从项目实施计划（建设周期、实施内容、培训计划），项目组织设计（人员组成及职责、保障能力），项目控制（质量控制、进度控制、风险控制），项目质量保证体系及安全保障措施等方面进行综合评分： </w:t>
            </w:r>
            <w:r>
              <w:rPr>
                <w:rFonts w:hint="eastAsia" w:ascii="宋体" w:hAnsi="宋体" w:eastAsia="宋体" w:cs="宋体"/>
                <w:color w:val="000000" w:themeColor="text1"/>
                <w:sz w:val="24"/>
                <w:szCs w:val="24"/>
                <w:lang w:val="en-US" w:eastAsia="zh-CN"/>
                <w14:textFill>
                  <w14:solidFill>
                    <w14:schemeClr w14:val="tx1"/>
                  </w14:solidFill>
                </w14:textFill>
              </w:rPr>
              <w:t>提供得3分，不提供不得分。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00" w:type="dxa"/>
            <w:vMerge w:val="continue"/>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p>
        </w:tc>
        <w:tc>
          <w:tcPr>
            <w:tcW w:w="1905" w:type="dxa"/>
            <w:vAlign w:val="center"/>
          </w:tcPr>
          <w:p>
            <w:pPr>
              <w:pStyle w:val="66"/>
              <w:spacing w:before="0" w:beforeAutospacing="0" w:after="0" w:afterAutospacing="0"/>
              <w:contextualSpacing/>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培训方案</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2分</w:t>
            </w:r>
            <w:r>
              <w:rPr>
                <w:rFonts w:hint="eastAsia" w:cs="宋体"/>
                <w:color w:val="000000" w:themeColor="text1"/>
                <w:sz w:val="24"/>
                <w:szCs w:val="24"/>
                <w:lang w:val="en-US" w:eastAsia="zh-CN"/>
                <w14:textFill>
                  <w14:solidFill>
                    <w14:schemeClr w14:val="tx1"/>
                  </w14:solidFill>
                </w14:textFill>
              </w:rPr>
              <w:t>）</w:t>
            </w:r>
          </w:p>
        </w:tc>
        <w:tc>
          <w:tcPr>
            <w:tcW w:w="6210" w:type="dxa"/>
            <w:vAlign w:val="center"/>
          </w:tcPr>
          <w:p>
            <w:pPr>
              <w:pStyle w:val="66"/>
              <w:spacing w:before="0" w:beforeAutospacing="0" w:after="0" w:afterAutospacing="0"/>
              <w:contextualSpacing/>
              <w:jc w:val="both"/>
              <w:rPr>
                <w:rFonts w:hint="eastAsia"/>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投标人须提供完整的人员培训方案，方案中需说明培训方式、培训内容、培训计划、培训方法等内容，</w:t>
            </w:r>
            <w:r>
              <w:rPr>
                <w:rFonts w:hint="eastAsia" w:ascii="宋体" w:hAnsi="宋体" w:eastAsia="宋体" w:cs="宋体"/>
                <w:color w:val="000000" w:themeColor="text1"/>
                <w:sz w:val="24"/>
                <w:szCs w:val="24"/>
                <w:lang w:val="en-US" w:eastAsia="zh-CN"/>
                <w14:textFill>
                  <w14:solidFill>
                    <w14:schemeClr w14:val="tx1"/>
                  </w14:solidFill>
                </w14:textFill>
              </w:rPr>
              <w:t>提供得2分，不提供不得分。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200" w:type="dxa"/>
            <w:vMerge w:val="continue"/>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p>
        </w:tc>
        <w:tc>
          <w:tcPr>
            <w:tcW w:w="1905" w:type="dxa"/>
            <w:vAlign w:val="center"/>
          </w:tcPr>
          <w:p>
            <w:pPr>
              <w:pStyle w:val="66"/>
              <w:spacing w:before="0" w:beforeAutospacing="0" w:after="0" w:afterAutospacing="0"/>
              <w:contextualSpacing/>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p>
            <w:pPr>
              <w:pStyle w:val="66"/>
              <w:spacing w:before="0" w:beforeAutospacing="0" w:after="0" w:afterAutospacing="0"/>
              <w:contextualSpacing/>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6210" w:type="dxa"/>
            <w:vAlign w:val="center"/>
          </w:tcPr>
          <w:p>
            <w:pPr>
              <w:pStyle w:val="66"/>
              <w:spacing w:before="0" w:beforeAutospacing="0" w:after="0" w:afterAutospacing="0"/>
              <w:contextualSpacing/>
              <w:jc w:val="both"/>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根据投标人提供的售后服务方案（包括但不限于以下内容：售后服务承诺、售后服务内容、售后服务团队、巡检服务、应急预案等）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提供得2分，不提供不得分。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200" w:type="dxa"/>
            <w:vMerge w:val="restart"/>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商务部分</w:t>
            </w:r>
          </w:p>
          <w:p>
            <w:pPr>
              <w:pStyle w:val="66"/>
              <w:spacing w:before="0" w:beforeAutospacing="0" w:after="0" w:afterAutospacing="0"/>
              <w:contextualSpacing/>
              <w:jc w:val="center"/>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（25分）</w:t>
            </w:r>
          </w:p>
        </w:tc>
        <w:tc>
          <w:tcPr>
            <w:tcW w:w="1905" w:type="dxa"/>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企业实力</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（21分）</w:t>
            </w:r>
          </w:p>
        </w:tc>
        <w:tc>
          <w:tcPr>
            <w:tcW w:w="6210" w:type="dxa"/>
            <w:vAlign w:val="center"/>
          </w:tcPr>
          <w:p>
            <w:pPr>
              <w:keepNext w:val="0"/>
              <w:keepLines w:val="0"/>
              <w:widowControl/>
              <w:numPr>
                <w:ilvl w:val="0"/>
                <w:numId w:val="0"/>
              </w:numPr>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pPr>
              <w:keepNext w:val="0"/>
              <w:keepLines w:val="0"/>
              <w:widowControl/>
              <w:numPr>
                <w:ilvl w:val="0"/>
                <w:numId w:val="0"/>
              </w:numPr>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具有质量管理体系认证证书（ISO 9001）的得1分；（提供证书复印件，加盖投标人单位公章，否则不予计分。）</w:t>
            </w:r>
          </w:p>
          <w:p>
            <w:pPr>
              <w:keepNext w:val="0"/>
              <w:keepLines w:val="0"/>
              <w:widowControl/>
              <w:numPr>
                <w:ilvl w:val="0"/>
                <w:numId w:val="0"/>
              </w:numPr>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具有信息技术服务管理体系认证证书（ISO 20000）的得1分；（提供证书复印件，加盖投标人单位公章，否则不予计分。）</w:t>
            </w:r>
          </w:p>
          <w:p>
            <w:pPr>
              <w:keepNext w:val="0"/>
              <w:keepLines w:val="0"/>
              <w:widowControl/>
              <w:numPr>
                <w:ilvl w:val="0"/>
                <w:numId w:val="0"/>
              </w:numPr>
              <w:suppressLineNumbers w:val="0"/>
              <w:spacing w:before="0" w:beforeAutospacing="0" w:after="0" w:afterAutospacing="0" w:line="240" w:lineRule="auto"/>
              <w:ind w:right="0" w:right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具有信息安全管理体系认证证书（ISO 27001）的得1分；（提供证书复印件，加盖投标人单位公章，否则不予计分。）</w:t>
            </w:r>
          </w:p>
          <w:p>
            <w:pPr>
              <w:keepNext w:val="0"/>
              <w:keepLines w:val="0"/>
              <w:numPr>
                <w:ilvl w:val="0"/>
                <w:numId w:val="0"/>
              </w:numPr>
              <w:suppressLineNumbers w:val="0"/>
              <w:spacing w:before="0" w:beforeAutospacing="0" w:after="0" w:afterAutospacing="0" w:line="240" w:lineRule="auto"/>
              <w:ind w:leftChars="0" w:right="0" w:righ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具有高新技术企业证书的得1分；（提供证书复印件，加盖投标人单位公章，否则不予计分。）</w:t>
            </w:r>
          </w:p>
          <w:p>
            <w:pPr>
              <w:pStyle w:val="406"/>
              <w:spacing w:before="51" w:line="240" w:lineRule="auto"/>
              <w:ind w:right="9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通过信息系统安全等级三级测评（须提供证明材料复印件或扫描件，</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加盖投标人单位公章</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）。提供得1分，不提供不得分；</w:t>
            </w:r>
          </w:p>
          <w:p>
            <w:pPr>
              <w:pStyle w:val="406"/>
              <w:spacing w:before="51" w:line="240" w:lineRule="auto"/>
              <w:ind w:right="95"/>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时间戳服务器具有国家授时中心检测证书，提供复印件，</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加盖投标人单位公章</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。提供得1分，不提供不得分；</w:t>
            </w:r>
          </w:p>
          <w:p>
            <w:pPr>
              <w:pStyle w:val="80"/>
              <w:numPr>
                <w:ilvl w:val="0"/>
                <w:numId w:val="0"/>
              </w:numPr>
              <w:spacing w:line="240" w:lineRule="auto"/>
              <w:ind w:leftChars="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或核心产品生产厂家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具备 CMMI 5级证书得5分，4级证书得3分,3级证书得2分，3级以下得1分（须提供认证证书复印件或扫描件，</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加盖投标人单位公章</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p>
            <w:pPr>
              <w:pStyle w:val="80"/>
              <w:numPr>
                <w:ilvl w:val="0"/>
                <w:numId w:val="0"/>
              </w:numPr>
              <w:spacing w:line="240" w:lineRule="auto"/>
              <w:ind w:leftChars="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提供信息系统集成及服务资质的资质证书，一级得5分，二级得3分，三级得1分，四级得1分，不提供不得分；（提供系统集成证书复印件并且加盖投标人单位公章）</w:t>
            </w:r>
          </w:p>
          <w:p>
            <w:pPr>
              <w:spacing w:line="24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具有软件企业认定证书、软件产品认定证书，得1分，不提供不得分；（提供相关证书复印件并且加盖投标人单位公章）</w:t>
            </w:r>
          </w:p>
          <w:p>
            <w:pPr>
              <w:spacing w:line="24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具有信息技术服务运行维护标准符合性证书（ITSS）三级及以上的,得1分 ,未提供不得分；（提供相关证书复印件并且加盖投标人单位公章）</w:t>
            </w:r>
          </w:p>
          <w:p>
            <w:pPr>
              <w:spacing w:line="24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具有麻醉信息管理系统医疗器械注册证的，得1分，不提供不得分；（提供相关证书复印件并且加盖投标人单位公章）</w:t>
            </w:r>
          </w:p>
          <w:p>
            <w:pPr>
              <w:spacing w:line="240" w:lineRule="auto"/>
              <w:rPr>
                <w:rFonts w:hint="eastAsia" w:eastAsia="宋体"/>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或生产厂家</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提供省级及以上质控平台建设单位证明文件，每提供1份得1分，最高得2分，不提供不得分；（提供相关材料复印件并且加盖投标人单位公章）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200" w:type="dxa"/>
            <w:vMerge w:val="continue"/>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p>
        </w:tc>
        <w:tc>
          <w:tcPr>
            <w:tcW w:w="1905" w:type="dxa"/>
            <w:vAlign w:val="center"/>
          </w:tcPr>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业绩</w:t>
            </w:r>
          </w:p>
          <w:p>
            <w:pPr>
              <w:pStyle w:val="66"/>
              <w:spacing w:before="0" w:beforeAutospacing="0" w:after="0" w:afterAutospacing="0"/>
              <w:contextualSpacing/>
              <w:jc w:val="center"/>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（4分）</w:t>
            </w:r>
          </w:p>
        </w:tc>
        <w:tc>
          <w:tcPr>
            <w:tcW w:w="6210" w:type="dxa"/>
            <w:vAlign w:val="center"/>
          </w:tcPr>
          <w:p>
            <w:pPr>
              <w:pStyle w:val="66"/>
              <w:spacing w:before="0" w:beforeAutospacing="0" w:after="0" w:afterAutospacing="0"/>
              <w:contextualSpacing/>
              <w:jc w:val="left"/>
              <w:rPr>
                <w:rFonts w:hint="eastAsia"/>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投标人提供202</w:t>
            </w:r>
            <w:r>
              <w:rPr>
                <w:rFonts w:hint="eastAsia"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年1月1日至今建设的相关项目案例，每提供一份得</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分，最高得</w:t>
            </w: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分。（提供合同复印件</w:t>
            </w:r>
            <w:r>
              <w:rPr>
                <w:rFonts w:hint="eastAsia" w:cs="宋体"/>
                <w:color w:val="000000" w:themeColor="text1"/>
                <w:kern w:val="0"/>
                <w:sz w:val="24"/>
                <w:szCs w:val="24"/>
                <w:lang w:val="en-US" w:eastAsia="zh-CN"/>
                <w14:textFill>
                  <w14:solidFill>
                    <w14:schemeClr w14:val="tx1"/>
                  </w14:solidFill>
                </w14:textFill>
              </w:rPr>
              <w:t>和</w:t>
            </w:r>
            <w:r>
              <w:rPr>
                <w:rFonts w:hint="eastAsia" w:ascii="宋体" w:hAnsi="宋体" w:eastAsia="宋体" w:cs="宋体"/>
                <w:color w:val="000000" w:themeColor="text1"/>
                <w:kern w:val="0"/>
                <w:sz w:val="24"/>
                <w:szCs w:val="24"/>
                <w14:textFill>
                  <w14:solidFill>
                    <w14:schemeClr w14:val="tx1"/>
                  </w14:solidFill>
                </w14:textFill>
              </w:rPr>
              <w:t>中标通知书等证明文件，不提供不得分。）</w:t>
            </w:r>
            <w:r>
              <w:rPr>
                <w:rFonts w:hint="eastAsia"/>
                <w:color w:val="000000" w:themeColor="text1"/>
                <w:sz w:val="24"/>
                <w:szCs w:val="24"/>
                <w:vertAlign w:val="baseline"/>
                <w14:textFill>
                  <w14:solidFill>
                    <w14:schemeClr w14:val="tx1"/>
                  </w14:solidFill>
                </w14:textFill>
              </w:rPr>
              <w:t xml:space="preserve">                                    </w:t>
            </w:r>
          </w:p>
        </w:tc>
      </w:tr>
      <w:bookmarkEnd w:id="51"/>
    </w:tbl>
    <w:p>
      <w:pPr>
        <w:pStyle w:val="5"/>
        <w:spacing w:line="360" w:lineRule="auto"/>
        <w:ind w:right="-10" w:firstLine="0"/>
        <w:rPr>
          <w:rFonts w:ascii="宋体" w:hAnsi="宋体" w:eastAsia="宋体" w:cs="宋体"/>
          <w:color w:val="000000" w:themeColor="text1"/>
          <w:sz w:val="20"/>
          <w:szCs w:val="21"/>
          <w14:textFill>
            <w14:solidFill>
              <w14:schemeClr w14:val="tx1"/>
            </w14:solidFill>
          </w14:textFill>
        </w:rPr>
      </w:pPr>
    </w:p>
    <w:p>
      <w:pPr>
        <w:pStyle w:val="5"/>
        <w:spacing w:line="360" w:lineRule="auto"/>
        <w:ind w:right="-10" w:firstLine="482" w:firstLineChars="200"/>
        <w:rPr>
          <w:rFonts w:ascii="宋体" w:hAnsi="宋体" w:eastAsia="宋体" w:cs="宋体"/>
          <w:b/>
          <w:color w:val="000000" w:themeColor="text1"/>
          <w:kern w:val="1"/>
          <w:sz w:val="24"/>
          <w14:textFill>
            <w14:solidFill>
              <w14:schemeClr w14:val="tx1"/>
            </w14:solidFill>
          </w14:textFill>
        </w:rPr>
      </w:pPr>
      <w:r>
        <w:rPr>
          <w:rFonts w:hint="eastAsia" w:ascii="宋体" w:hAnsi="宋体" w:eastAsia="宋体" w:cs="宋体"/>
          <w:b/>
          <w:color w:val="000000" w:themeColor="text1"/>
          <w:kern w:val="1"/>
          <w:sz w:val="24"/>
          <w14:textFill>
            <w14:solidFill>
              <w14:schemeClr w14:val="tx1"/>
            </w14:solidFill>
          </w14:textFill>
        </w:rPr>
        <w:t>注：评标结束后，由采购人对评审结果及响应文件等进行复核，并在法定的时间内确定中标人。</w:t>
      </w:r>
    </w:p>
    <w:p>
      <w:pPr>
        <w:adjustRightInd w:val="0"/>
        <w:snapToGrid w:val="0"/>
        <w:spacing w:line="360" w:lineRule="auto"/>
        <w:ind w:right="-1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依据中华人民共和国财政部令第87号令《政府采购货物和服务招标投标管理办法》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p>
    <w:p>
      <w:pPr>
        <w:adjustRightInd w:val="0"/>
        <w:snapToGrid w:val="0"/>
        <w:spacing w:line="360" w:lineRule="auto"/>
        <w:ind w:right="-1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2、按照周口市交易中心规定，本项目投标人所需提供原件在评标时无需提供，仅作为采购单位核实时使用，评审委员会评审时仅以投标人投标文件中扫描件为准。</w:t>
      </w:r>
    </w:p>
    <w:p>
      <w:pPr>
        <w:pStyle w:val="5"/>
        <w:spacing w:line="360" w:lineRule="auto"/>
        <w:ind w:right="-10" w:firstLine="482"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第十条</w:t>
      </w:r>
      <w:r>
        <w:rPr>
          <w:rFonts w:hint="eastAsia" w:ascii="宋体" w:hAnsi="宋体" w:eastAsia="宋体" w:cs="宋体"/>
          <w:bCs/>
          <w:color w:val="000000" w:themeColor="text1"/>
          <w:sz w:val="24"/>
          <w14:textFill>
            <w14:solidFill>
              <w14:schemeClr w14:val="tx1"/>
            </w14:solidFill>
          </w14:textFill>
        </w:rPr>
        <w:t xml:space="preserve"> 评委独立评审后，评委会对投标人某项指标如有不同意见，按照少数服从多数的原则，确定该项指标是否通过。</w:t>
      </w:r>
    </w:p>
    <w:p>
      <w:pPr>
        <w:spacing w:line="360" w:lineRule="auto"/>
        <w:ind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w:t>
      </w:r>
      <w:r>
        <w:rPr>
          <w:rFonts w:hint="eastAsia" w:ascii="宋体" w:hAnsi="宋体" w:cs="宋体"/>
          <w:bCs/>
          <w:color w:val="000000" w:themeColor="text1"/>
          <w:sz w:val="24"/>
          <w14:textFill>
            <w14:solidFill>
              <w14:schemeClr w14:val="tx1"/>
            </w14:solidFill>
          </w14:textFill>
        </w:rPr>
        <w:t xml:space="preserve"> 商务、技术满足招标文件要求，综合得分最高的投标人将作为中标候选人。如果综合得分中出现两家或两家以上相同者，投标报价较低者优先中标，报价也相同的，由采购人自行确定。</w:t>
      </w:r>
    </w:p>
    <w:p>
      <w:pPr>
        <w:pStyle w:val="5"/>
        <w:spacing w:line="360" w:lineRule="auto"/>
        <w:ind w:right="-10" w:firstLine="482"/>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w:t>
      </w:r>
      <w:r>
        <w:rPr>
          <w:rFonts w:hint="eastAsia" w:ascii="宋体" w:hAnsi="宋体" w:eastAsia="宋体" w:cs="宋体"/>
          <w:bCs/>
          <w:color w:val="000000" w:themeColor="text1"/>
          <w:sz w:val="24"/>
          <w14:textFill>
            <w14:solidFill>
              <w14:schemeClr w14:val="tx1"/>
            </w14:solidFill>
          </w14:textFill>
        </w:rPr>
        <w:t xml:space="preserve"> 评委会在评标过程中发现的问题，应当及时作出处理或者向采购人提出处理建议，并作书面记录。</w:t>
      </w:r>
    </w:p>
    <w:p>
      <w:pPr>
        <w:adjustRightInd w:val="0"/>
        <w:snapToGrid w:val="0"/>
        <w:spacing w:line="360" w:lineRule="auto"/>
        <w:ind w:right="-10"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w:t>
      </w:r>
      <w:r>
        <w:rPr>
          <w:rFonts w:hint="eastAsia" w:ascii="宋体" w:hAnsi="宋体" w:cs="宋体"/>
          <w:bCs/>
          <w:color w:val="000000" w:themeColor="text1"/>
          <w:sz w:val="24"/>
          <w14:textFill>
            <w14:solidFill>
              <w14:schemeClr w14:val="tx1"/>
            </w14:solidFill>
          </w14:textFill>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pPr>
        <w:rPr>
          <w:rFonts w:ascii="宋体" w:hAnsi="宋体" w:cs="宋体"/>
          <w:color w:val="000000" w:themeColor="text1"/>
          <w14:textFill>
            <w14:solidFill>
              <w14:schemeClr w14:val="tx1"/>
            </w14:solidFill>
          </w14:textFill>
        </w:rPr>
      </w:pPr>
    </w:p>
    <w:p>
      <w:pPr>
        <w:adjustRightInd w:val="0"/>
        <w:snapToGrid w:val="0"/>
        <w:spacing w:line="360" w:lineRule="auto"/>
        <w:jc w:val="center"/>
        <w:rPr>
          <w:rFonts w:ascii="宋体" w:hAnsi="宋体" w:cs="宋体"/>
          <w:b/>
          <w:bCs/>
          <w:color w:val="000000" w:themeColor="text1"/>
          <w:sz w:val="24"/>
          <w14:textFill>
            <w14:solidFill>
              <w14:schemeClr w14:val="tx1"/>
            </w14:solidFill>
          </w14:textFill>
        </w:rPr>
      </w:pPr>
      <w:bookmarkStart w:id="59" w:name="_Toc40_WPSOffice_Level2"/>
      <w:r>
        <w:rPr>
          <w:rFonts w:hint="eastAsia" w:ascii="宋体" w:hAnsi="宋体" w:cs="宋体"/>
          <w:b/>
          <w:bCs/>
          <w:color w:val="000000" w:themeColor="text1"/>
          <w:sz w:val="24"/>
          <w14:textFill>
            <w14:solidFill>
              <w14:schemeClr w14:val="tx1"/>
            </w14:solidFill>
          </w14:textFill>
        </w:rPr>
        <w:t>三．评标纪律</w:t>
      </w:r>
      <w:bookmarkEnd w:id="59"/>
    </w:p>
    <w:p>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w:t>
      </w:r>
      <w:r>
        <w:rPr>
          <w:rFonts w:hint="eastAsia" w:ascii="宋体" w:hAnsi="宋体" w:cs="宋体"/>
          <w:bCs/>
          <w:color w:val="000000" w:themeColor="text1"/>
          <w:sz w:val="24"/>
          <w14:textFill>
            <w14:solidFill>
              <w14:schemeClr w14:val="tx1"/>
            </w14:solidFill>
          </w14:textFill>
        </w:rPr>
        <w:t xml:space="preserve"> 评委会和评标工作人员应严格遵守国家的法律、法规和规章制度；</w:t>
      </w:r>
      <w:r>
        <w:rPr>
          <w:rFonts w:hint="eastAsia" w:ascii="宋体" w:hAnsi="宋体" w:cs="宋体"/>
          <w:color w:val="000000" w:themeColor="text1"/>
          <w:sz w:val="24"/>
          <w14:textFill>
            <w14:solidFill>
              <w14:schemeClr w14:val="tx1"/>
            </w14:solidFill>
          </w14:textFill>
        </w:rPr>
        <w:t>严格按照本次招标文件进行评标；公正廉洁、不徇私情，不得损害国家利益；保护招、投标人的合法权益。</w:t>
      </w:r>
    </w:p>
    <w:p>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第十五条 </w:t>
      </w:r>
      <w:r>
        <w:rPr>
          <w:rFonts w:hint="eastAsia" w:ascii="宋体" w:hAnsi="宋体" w:cs="宋体"/>
          <w:color w:val="000000" w:themeColor="text1"/>
          <w:sz w:val="24"/>
          <w14:textFill>
            <w14:solidFill>
              <w14:schemeClr w14:val="tx1"/>
            </w14:solidFill>
          </w14:textFill>
        </w:rPr>
        <w:t>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pPr>
        <w:spacing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第十六条</w:t>
      </w:r>
      <w:r>
        <w:rPr>
          <w:rFonts w:hint="eastAsia" w:ascii="宋体" w:hAnsi="宋体" w:cs="宋体"/>
          <w:color w:val="000000" w:themeColor="text1"/>
          <w:sz w:val="24"/>
          <w14:textFill>
            <w14:solidFill>
              <w14:schemeClr w14:val="tx1"/>
            </w14:solidFill>
          </w14:textFill>
        </w:rPr>
        <w:t xml:space="preserve"> 在招标采购中，出现下列情形之一的，应予废标：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1.出现影响采购公正的违法、违规行为的。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2.投标时有弄虚作假的行为。</w:t>
      </w:r>
    </w:p>
    <w:p>
      <w:pPr>
        <w:spacing w:line="360" w:lineRule="auto"/>
        <w:ind w:firstLine="475" w:firstLineChars="197"/>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第十七条 </w:t>
      </w:r>
      <w:r>
        <w:rPr>
          <w:rFonts w:hint="eastAsia" w:ascii="宋体" w:hAnsi="宋体" w:cs="宋体"/>
          <w:color w:val="000000" w:themeColor="text1"/>
          <w:sz w:val="24"/>
          <w14:textFill>
            <w14:solidFill>
              <w14:schemeClr w14:val="tx1"/>
            </w14:solidFill>
          </w14:textFill>
        </w:rPr>
        <w:t>在投标过程中，出现下列情况之一的，按照无效投标处理：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1.未按照招标文件规定要求签署、签章的</w:t>
      </w:r>
      <w:r>
        <w:rPr>
          <w:rFonts w:hint="eastAsia" w:ascii="宋体" w:hAnsi="宋体" w:cs="宋体"/>
          <w:b/>
          <w:color w:val="000000" w:themeColor="text1"/>
          <w:sz w:val="24"/>
          <w14:textFill>
            <w14:solidFill>
              <w14:schemeClr w14:val="tx1"/>
            </w14:solidFill>
          </w14:textFill>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2.不具备招标文件中规定资格要求的；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3.不符合法律、法规和招标文件中规定的其他实质性要求的。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4.投标人的报价超过了采购预算，采购人不能支付的；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5.投标文件附有招标人不能接受的条件；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6.投标文件中对同一货物或标段提供选择性报价的；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7.商务偏差表或技术偏差表存在弄虚作假的；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8.不同供应商的电子投标（响应）文件上传计算机的网卡 MAC 地址、CPU 序列号和硬盘序列号等硬件信息相同的;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9.不同供应商的投标（响应）文件由同一电子设备编制，打印、复印、加密或者上传的；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11.不同供应商的投标（响应）文件的内容存在两处以上细节错误一致；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12.不同供应商的法定代表人、委托代理人、项目经理、项目负责人等由同一个单位缴纳社会保险或者领取报酬的；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13.不同供应商投标（响应）文件中法定代表人或者负责人签字出自同一人之手。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ascii="宋体" w:hAnsi="宋体" w:cs="宋体"/>
          <w:color w:val="000000" w:themeColor="text1"/>
          <w:sz w:val="24"/>
          <w14:textFill>
            <w14:solidFill>
              <w14:schemeClr w14:val="tx1"/>
            </w14:solidFill>
          </w14:textFill>
        </w:rPr>
        <w:t xml:space="preserve"> 所有</w:t>
      </w:r>
      <w:r>
        <w:rPr>
          <w:rFonts w:hint="eastAsia" w:ascii="宋体" w:hAnsi="宋体" w:cs="宋体"/>
          <w:color w:val="000000" w:themeColor="text1"/>
          <w:sz w:val="24"/>
          <w14:textFill>
            <w14:solidFill>
              <w14:schemeClr w14:val="tx1"/>
            </w14:solidFill>
          </w14:textFill>
        </w:rPr>
        <w:t>资料均需按要求</w:t>
      </w:r>
      <w:r>
        <w:rPr>
          <w:rFonts w:ascii="宋体" w:hAnsi="宋体" w:cs="宋体"/>
          <w:color w:val="000000" w:themeColor="text1"/>
          <w:sz w:val="24"/>
          <w14:textFill>
            <w14:solidFill>
              <w14:schemeClr w14:val="tx1"/>
            </w14:solidFill>
          </w14:textFill>
        </w:rPr>
        <w:t>加盖投标人公章，身份证原件复印件须由法定代表人或授权代表人签字</w:t>
      </w:r>
      <w:r>
        <w:rPr>
          <w:rFonts w:hint="eastAsia" w:ascii="宋体" w:hAnsi="宋体" w:cs="宋体"/>
          <w:color w:val="000000" w:themeColor="text1"/>
          <w:sz w:val="24"/>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八</w:t>
      </w:r>
      <w:r>
        <w:rPr>
          <w:rFonts w:hint="eastAsia" w:ascii="宋体" w:hAnsi="宋体" w:cs="宋体"/>
          <w:b/>
          <w:color w:val="000000" w:themeColor="text1"/>
          <w:sz w:val="24"/>
          <w14:textFill>
            <w14:solidFill>
              <w14:schemeClr w14:val="tx1"/>
            </w14:solidFill>
          </w14:textFill>
        </w:rPr>
        <w:t xml:space="preserve">条 </w:t>
      </w:r>
      <w:r>
        <w:rPr>
          <w:rFonts w:hint="eastAsia" w:ascii="宋体" w:hAnsi="宋体" w:cs="宋体"/>
          <w:color w:val="000000" w:themeColor="text1"/>
          <w:sz w:val="24"/>
          <w14:textFill>
            <w14:solidFill>
              <w14:schemeClr w14:val="tx1"/>
            </w14:solidFill>
          </w14:textFill>
        </w:rPr>
        <w:t>在投标文件中，出现下列情形之一的，其投标有可能被拒绝：</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1.交货完工期不确切、不肯定的投标；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2.对售后服务、付款方式不满足招标文件要求的；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3.投标人没有实质性响应招标文件的要求和条件的；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委员会认为投标人的报价明显低于其他通过符合性审查投标人的报价，有可能影响产品质量或者不能诚信履约的；且提供的书面说明和相关证明材料；投标人不能证明其报价合理性的，评标委员会应当将其作为无效投标处理。</w:t>
      </w:r>
    </w:p>
    <w:p>
      <w:pPr>
        <w:tabs>
          <w:tab w:val="left" w:pos="273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5.投标文件中所提供的证明材料未标注</w:t>
      </w:r>
      <w:r>
        <w:rPr>
          <w:rFonts w:hint="eastAsia" w:ascii="宋体" w:hAnsi="宋体" w:cs="宋体"/>
          <w:strike w:val="0"/>
          <w:dstrike w:val="0"/>
          <w:color w:val="auto"/>
          <w:sz w:val="24"/>
        </w:rPr>
        <w:t>与原件一致</w:t>
      </w:r>
      <w:r>
        <w:rPr>
          <w:rFonts w:hint="eastAsia" w:ascii="宋体" w:hAnsi="宋体" w:cs="宋体"/>
          <w:color w:val="000000" w:themeColor="text1"/>
          <w:sz w:val="24"/>
          <w14:textFill>
            <w14:solidFill>
              <w14:schemeClr w14:val="tx1"/>
            </w14:solidFill>
          </w14:textFill>
        </w:rPr>
        <w:t>的投标文件按照无效投标处理。</w:t>
      </w:r>
    </w:p>
    <w:p>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第十九条</w:t>
      </w:r>
      <w:r>
        <w:rPr>
          <w:rFonts w:hint="eastAsia" w:ascii="宋体" w:hAnsi="宋体" w:cs="宋体"/>
          <w:color w:val="000000" w:themeColor="text1"/>
          <w:sz w:val="24"/>
          <w14:textFill>
            <w14:solidFill>
              <w14:schemeClr w14:val="tx1"/>
            </w14:solidFill>
          </w14:textFill>
        </w:rPr>
        <w:t xml:space="preserve"> 本评标办法的解释权属于采购人。</w:t>
      </w:r>
    </w:p>
    <w:p>
      <w:pPr>
        <w:pStyle w:val="7"/>
        <w:spacing w:before="0" w:after="0" w:line="400" w:lineRule="exact"/>
        <w:rPr>
          <w:rFonts w:ascii="宋体" w:hAnsi="宋体" w:cs="宋体"/>
          <w:color w:val="000000" w:themeColor="text1"/>
          <w:sz w:val="32"/>
          <w14:textFill>
            <w14:solidFill>
              <w14:schemeClr w14:val="tx1"/>
            </w14:solidFill>
          </w14:textFill>
        </w:rPr>
      </w:pPr>
      <w:bookmarkStart w:id="60" w:name="_Toc527725920"/>
      <w:r>
        <w:rPr>
          <w:rFonts w:ascii="宋体" w:hAnsi="宋体" w:cs="宋体"/>
          <w:color w:val="000000" w:themeColor="text1"/>
          <w:sz w:val="32"/>
          <w14:textFill>
            <w14:solidFill>
              <w14:schemeClr w14:val="tx1"/>
            </w14:solidFill>
          </w14:textFill>
        </w:rPr>
        <w:br w:type="page"/>
      </w:r>
      <w:bookmarkStart w:id="61" w:name="_Toc40975440"/>
      <w:r>
        <w:rPr>
          <w:rFonts w:hint="eastAsia" w:ascii="宋体" w:hAnsi="宋体" w:cs="宋体"/>
          <w:color w:val="000000" w:themeColor="text1"/>
          <w:sz w:val="32"/>
          <w14:textFill>
            <w14:solidFill>
              <w14:schemeClr w14:val="tx1"/>
            </w14:solidFill>
          </w14:textFill>
        </w:rPr>
        <w:t>招标文件第二部分</w:t>
      </w:r>
      <w:bookmarkEnd w:id="60"/>
      <w:bookmarkEnd w:id="61"/>
    </w:p>
    <w:p>
      <w:pPr>
        <w:pStyle w:val="8"/>
        <w:spacing w:line="500" w:lineRule="exact"/>
        <w:ind w:firstLine="0"/>
        <w:rPr>
          <w:rFonts w:ascii="宋体" w:hAnsi="宋体" w:eastAsia="宋体" w:cs="宋体"/>
          <w:color w:val="000000" w:themeColor="text1"/>
          <w14:textFill>
            <w14:solidFill>
              <w14:schemeClr w14:val="tx1"/>
            </w14:solidFill>
          </w14:textFill>
        </w:rPr>
      </w:pPr>
      <w:bookmarkStart w:id="62" w:name="_Toc527725921"/>
      <w:bookmarkStart w:id="63" w:name="_Toc40975441"/>
    </w:p>
    <w:p>
      <w:pPr>
        <w:pStyle w:val="8"/>
        <w:spacing w:line="50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投标人须知</w:t>
      </w:r>
      <w:bookmarkEnd w:id="62"/>
      <w:bookmarkEnd w:id="63"/>
    </w:p>
    <w:p>
      <w:pPr>
        <w:pStyle w:val="9"/>
        <w:spacing w:line="500" w:lineRule="exact"/>
        <w:rPr>
          <w:rFonts w:hAnsi="宋体" w:cs="宋体"/>
          <w:color w:val="000000" w:themeColor="text1"/>
          <w:sz w:val="28"/>
          <w14:textFill>
            <w14:solidFill>
              <w14:schemeClr w14:val="tx1"/>
            </w14:solidFill>
          </w14:textFill>
        </w:rPr>
      </w:pPr>
      <w:bookmarkStart w:id="64" w:name="_Hlt509649722"/>
      <w:bookmarkEnd w:id="64"/>
      <w:bookmarkStart w:id="65" w:name="_Hlt509650686"/>
      <w:bookmarkEnd w:id="65"/>
      <w:bookmarkStart w:id="66" w:name="_Hlt509650955"/>
      <w:bookmarkEnd w:id="66"/>
      <w:bookmarkStart w:id="67" w:name="_Hlt509650126"/>
      <w:bookmarkEnd w:id="67"/>
      <w:bookmarkStart w:id="68" w:name="_Hlt509649998"/>
      <w:bookmarkEnd w:id="68"/>
      <w:bookmarkStart w:id="69" w:name="_Hlt526418143"/>
      <w:bookmarkEnd w:id="69"/>
      <w:bookmarkStart w:id="70" w:name="_Toc40975442"/>
      <w:bookmarkStart w:id="71" w:name="_Toc527725922"/>
      <w:r>
        <w:rPr>
          <w:rFonts w:hint="eastAsia" w:hAnsi="宋体" w:cs="宋体"/>
          <w:color w:val="000000" w:themeColor="text1"/>
          <w:sz w:val="28"/>
          <w14:textFill>
            <w14:solidFill>
              <w14:schemeClr w14:val="tx1"/>
            </w14:solidFill>
          </w14:textFill>
        </w:rPr>
        <w:t>一．总    则</w:t>
      </w:r>
      <w:bookmarkEnd w:id="70"/>
      <w:bookmarkEnd w:id="71"/>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1.适用范围</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1.1本招标文件仅适用于本次公开招标所述的货物项目采购。</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2.有关定义</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2.1招标人（采购人）：</w:t>
      </w:r>
      <w:r>
        <w:rPr>
          <w:rFonts w:hint="eastAsia" w:ascii="宋体" w:hAnsi="宋体" w:cs="宋体"/>
          <w:color w:val="000000" w:themeColor="text1"/>
          <w:sz w:val="24"/>
          <w:szCs w:val="24"/>
          <w14:textFill>
            <w14:solidFill>
              <w14:schemeClr w14:val="tx1"/>
            </w14:solidFill>
          </w14:textFill>
        </w:rPr>
        <w:t>周口市</w:t>
      </w:r>
      <w:r>
        <w:rPr>
          <w:rFonts w:hint="eastAsia" w:ascii="宋体" w:hAnsi="宋体" w:cs="宋体"/>
          <w:color w:val="000000" w:themeColor="text1"/>
          <w:sz w:val="24"/>
          <w:szCs w:val="24"/>
          <w:lang w:val="en-US" w:eastAsia="zh-CN"/>
          <w14:textFill>
            <w14:solidFill>
              <w14:schemeClr w14:val="tx1"/>
            </w14:solidFill>
          </w14:textFill>
        </w:rPr>
        <w:t>中医院</w:t>
      </w:r>
      <w:r>
        <w:rPr>
          <w:rFonts w:hint="eastAsia" w:ascii="宋体" w:hAnsi="宋体" w:cs="宋体"/>
          <w:color w:val="000000" w:themeColor="text1"/>
          <w:sz w:val="24"/>
          <w14:textFill>
            <w14:solidFill>
              <w14:schemeClr w14:val="tx1"/>
            </w14:solidFill>
          </w14:textFill>
        </w:rPr>
        <w:t>。</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2.2招标代理机构（集中采购机构）：系指周口市公共资源交易中心政府采购中心，以下简称“采购中心”。</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2.3政府采购监督管理部门：系指周口市财政局政府采购监督管理科。</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2.4投标人：系指已经在周口市公共资源交易中心网上报名，且已经提交或准备提交本次投标文件的制造商、供应商或服务商。</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2.5货物：系指各种形态和种类的物品，包括原材料、燃料、设备、产品等，包括与之相关的备品备件、工具、手册及安装、调试、技术协助、校准、培训、售后服务等。</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2.6业绩：系指符合本招标文件规定且已供货（安装）完毕的合同及相关证明。</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2.7投标人公章：在电子投标文件中系指投标人电子签章。</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3.投标费用</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3.1无论投标结果如何，投标人应自行承担其编制与递交投标文件所涉及的一切费用。</w:t>
      </w:r>
      <w:r>
        <w:rPr>
          <w:rFonts w:hint="eastAsia" w:ascii="宋体" w:hAnsi="宋体" w:cs="宋体"/>
          <w:b w:val="0"/>
          <w:bCs/>
          <w:color w:val="000000" w:themeColor="text1"/>
          <w:sz w:val="24"/>
          <w14:textFill>
            <w14:solidFill>
              <w14:schemeClr w14:val="tx1"/>
            </w14:solidFill>
          </w14:textFill>
        </w:rPr>
        <w:t>评标费用由采购人自行解决。</w:t>
      </w:r>
    </w:p>
    <w:p>
      <w:pPr>
        <w:spacing w:line="360" w:lineRule="auto"/>
        <w:ind w:firstLine="5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4.合格的投标人</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4.1合格的投标人应符合招标文件载明的投标资格。</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4.2投标人之间如果存在下列情形之一的，不得同时参加同一标段（包别）或者不分标段（包别）的同一项目投标：</w:t>
      </w:r>
    </w:p>
    <w:p>
      <w:pPr>
        <w:spacing w:line="360" w:lineRule="auto"/>
        <w:ind w:left="420" w:leftChars="200" w:firstLine="88" w:firstLineChars="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4.2.1法定代表人为同一个人的两个及两个以上法人；</w:t>
      </w:r>
    </w:p>
    <w:p>
      <w:pPr>
        <w:spacing w:line="360" w:lineRule="auto"/>
        <w:ind w:left="420" w:leftChars="200" w:firstLine="88" w:firstLineChars="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4.2.2母公司、全资子公司及其控股公司；</w:t>
      </w:r>
    </w:p>
    <w:p>
      <w:pPr>
        <w:pStyle w:val="26"/>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4.2.3参加投标的其他组织之间存在特殊的利害关系的；</w:t>
      </w:r>
    </w:p>
    <w:p>
      <w:pPr>
        <w:spacing w:line="360" w:lineRule="auto"/>
        <w:ind w:left="420" w:leftChars="200" w:firstLine="88" w:firstLineChars="3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4.2.4法律和行政法规规定的其他情形。</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5.勘察现场</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5.1投标人应自行对供货现场和周围环境进行勘察，以获取编制投标文件和签署合同所需的资料。勘察现场的方式、地址及联系方式见投标人须知前附表。</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5.3除非有特殊要求，招标文件不单独提供供货使用地的自然环境、气候条件、公用设施等情况，投标人被视为熟悉上述与履行合同有关的一切情况。</w:t>
      </w:r>
    </w:p>
    <w:p>
      <w:pPr>
        <w:spacing w:line="360" w:lineRule="auto"/>
        <w:ind w:firstLine="55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6.知识产权</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w:t>
      </w:r>
      <w:r>
        <w:rPr>
          <w:rFonts w:hint="eastAsia" w:ascii="宋体" w:hAnsi="宋体" w:cs="宋体"/>
          <w:bCs/>
          <w:color w:val="000000" w:themeColor="text1"/>
          <w:sz w:val="24"/>
          <w14:textFill>
            <w14:solidFill>
              <w14:schemeClr w14:val="tx1"/>
            </w14:solidFill>
          </w14:textFill>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s="宋体"/>
          <w:color w:val="000000" w:themeColor="text1"/>
          <w:sz w:val="24"/>
          <w14:textFill>
            <w14:solidFill>
              <w14:schemeClr w14:val="tx1"/>
            </w14:solidFill>
          </w14:textFill>
        </w:rPr>
        <w:t>如因此导致采购人损失的，投标人须承担全部赔偿责任。</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6.2投标人如欲在项目实施过程中采用自有知识成果，须在投标文件中声明，并提供相关知识产权证明文件。使用该知识成果后，投标人须提供开发接口和开发手册等技术文档。</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7.纪律与保密</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7.1投标人的投标行为应遵守中国的有关法律、法规和规章。</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7.2投标人不得相互串通投标报价，不得妨碍其他投标人的公平竞争，不得损害采购人或其他投标人的合法权益，投标人不得以向采购人、评委会成员行贿或者采取其他不正当手段谋取中标。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7.2.1有下列情形之一的，属于投标人相互串通投标：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7.2.1.1投标人之间协商投标报价等投标文件的实质性内容；</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7.2.1.2投标人之间约定中标人；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7.2.1.3投标人之间约定部分投标人放弃投标或者中标；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7.2.1.4属于同一集团、协会、商会等组织成员的投标人按照该组织要求协同投标；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7.2.1.5投标人之间为谋取中标或者排斥特定投标人而采取的其他联合行动。</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 有下列情形之一的，视为投标人相互串通投标：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7.2.2.1不同投标人的投标文件由同一单位或者个人编制；</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7.2.2.2不同投标人委托同一单位或者个人办理投标事宜，或提交电子投标文件的网卡地址一致；</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7.2.2.3不同投标人的投标文件载明的项目管理成员为同一人；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7.2.2.4不同投标人的投标文件异常一致或者投标报价呈规律性差异；</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7.2.2.5不同投标人的投标文件相互混装；</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7.2.2.6不同投标人的投标保证金从同一单位或者个人的账户转出。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7.3在确定中标人之前，投标人不得与采购人就投标价格、投标方案等实质性内容进行谈判，也不得私下接触评委会成员。</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7.4在确定中标人之前，投标人试图在投标文件审查、澄清、比较和评价时对评委会、采购人和采购中心施加任何影响都可能导致其投标无效。</w:t>
      </w:r>
    </w:p>
    <w:p>
      <w:pPr>
        <w:spacing w:line="360" w:lineRule="auto"/>
        <w:ind w:firstLine="549"/>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8.联合体投标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不接受联合体投标</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9.投标品牌</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招标文件中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pPr>
        <w:spacing w:line="360" w:lineRule="auto"/>
        <w:ind w:firstLine="525"/>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10.投标专用章的效力</w:t>
      </w:r>
    </w:p>
    <w:p>
      <w:pPr>
        <w:spacing w:line="360" w:lineRule="auto"/>
        <w:ind w:firstLine="52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10.1招标文件中明确要求加盖电子签章的，投标人必须加盖投标人电子签章。</w:t>
      </w:r>
    </w:p>
    <w:p>
      <w:pPr>
        <w:spacing w:line="360" w:lineRule="auto"/>
        <w:ind w:firstLine="5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11.合同标的转让</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11.1合同未约定或者未经采购人同意，中标人不得向他人转让中标项目，也不得将中标项目肢解后分别向他人转让。 </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11.3中标人应当就分包项目向采购人负责，接受分包的人就分包项目承担连带责任。</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11.4未经政府采购管理部门批准，进口设备不得转包。</w:t>
      </w:r>
    </w:p>
    <w:p>
      <w:pPr>
        <w:spacing w:line="360" w:lineRule="auto"/>
        <w:ind w:firstLine="525" w:firstLineChars="218"/>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12.会员信息库</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为进一步规范招投标行为，提高招投标工作效率，降低投标成本，加强对投标人诚信信息的管理，加快周口市招投标工作电子化、信息化建设，为周口市公共资源交易中心实行网上招投标奠定基础，经周口市公共资源交易管理办公室研究决定，周口市公共资源交易中心实行投标人会员信息库制度，并面向全国免费征集注册投标企业会员。</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为确保投标文件通过评审，投标人应及时对入库资料进行补充、更新。</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如因前款原因未通过本项目评委会评审，由投标人承担全部责任。</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12.3网上会员库中文字资料与扫描件资料不一致时，以扫描件资料为准。</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12.4有关会员库的更多信息，请登陆周口市公共资源交易中心网查询。</w:t>
      </w:r>
    </w:p>
    <w:p>
      <w:pPr>
        <w:spacing w:line="360" w:lineRule="auto"/>
        <w:ind w:firstLine="5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13.采购信息的发布</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13.1与本次采购活动相关的信息，将发布在周口市公共资源交易中心网(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"http://jyzx.zhoukou.gov.cn"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http://jyzx.zhoukou.gov.cn</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)及河南省政府采购网（www.hngp.gov.cn），以下简称“网站”。</w:t>
      </w:r>
    </w:p>
    <w:p>
      <w:pPr>
        <w:pStyle w:val="9"/>
        <w:spacing w:line="360" w:lineRule="auto"/>
        <w:ind w:firstLine="3418" w:firstLineChars="1216"/>
        <w:jc w:val="both"/>
        <w:rPr>
          <w:rFonts w:hAnsi="宋体" w:cs="宋体"/>
          <w:color w:val="000000" w:themeColor="text1"/>
          <w:sz w:val="28"/>
          <w14:textFill>
            <w14:solidFill>
              <w14:schemeClr w14:val="tx1"/>
            </w14:solidFill>
          </w14:textFill>
        </w:rPr>
      </w:pPr>
      <w:bookmarkStart w:id="72" w:name="_Hlt509649330"/>
      <w:bookmarkEnd w:id="72"/>
      <w:bookmarkStart w:id="73" w:name="_Hlt509650116"/>
      <w:bookmarkEnd w:id="73"/>
      <w:bookmarkStart w:id="74" w:name="_Hlt509650961"/>
      <w:bookmarkEnd w:id="74"/>
      <w:bookmarkStart w:id="75" w:name="_Hlt509649678"/>
      <w:bookmarkEnd w:id="75"/>
      <w:bookmarkStart w:id="76" w:name="_Hlt509649669"/>
      <w:bookmarkEnd w:id="76"/>
      <w:bookmarkStart w:id="77" w:name="_Hlt526418153"/>
      <w:bookmarkEnd w:id="77"/>
      <w:bookmarkStart w:id="78" w:name="_Hlt509650690"/>
      <w:bookmarkEnd w:id="78"/>
      <w:bookmarkStart w:id="79" w:name="_Hlt509650103"/>
      <w:bookmarkEnd w:id="79"/>
      <w:bookmarkStart w:id="80" w:name="_Hlt509650929"/>
      <w:bookmarkEnd w:id="80"/>
      <w:bookmarkStart w:id="81" w:name="_Hlt509649645"/>
      <w:bookmarkEnd w:id="81"/>
      <w:bookmarkStart w:id="82" w:name="_Hlt509650333"/>
      <w:bookmarkEnd w:id="82"/>
      <w:bookmarkStart w:id="83" w:name="_Hlt509650932"/>
      <w:bookmarkEnd w:id="83"/>
      <w:bookmarkStart w:id="84" w:name="_Hlt509650936"/>
      <w:bookmarkEnd w:id="84"/>
      <w:bookmarkStart w:id="85" w:name="_Hlt509649795"/>
      <w:bookmarkEnd w:id="85"/>
      <w:bookmarkStart w:id="86" w:name="_Toc527725923"/>
      <w:bookmarkStart w:id="87" w:name="_Toc40975443"/>
      <w:r>
        <w:rPr>
          <w:rFonts w:hint="eastAsia" w:hAnsi="宋体" w:cs="宋体"/>
          <w:color w:val="000000" w:themeColor="text1"/>
          <w:sz w:val="28"/>
          <w14:textFill>
            <w14:solidFill>
              <w14:schemeClr w14:val="tx1"/>
            </w14:solidFill>
          </w14:textFill>
        </w:rPr>
        <w:t>二．招标文件</w:t>
      </w:r>
      <w:bookmarkEnd w:id="86"/>
      <w:bookmarkEnd w:id="87"/>
      <w:bookmarkStart w:id="88" w:name="_Hlt509649791"/>
      <w:bookmarkEnd w:id="88"/>
      <w:bookmarkStart w:id="89" w:name="_Hlt509649930"/>
      <w:bookmarkEnd w:id="89"/>
      <w:bookmarkStart w:id="90" w:name="_Hlt509650361"/>
      <w:bookmarkEnd w:id="90"/>
    </w:p>
    <w:p>
      <w:pPr>
        <w:spacing w:line="360" w:lineRule="auto"/>
        <w:ind w:firstLine="549"/>
        <w:rPr>
          <w:rFonts w:ascii="宋体" w:hAnsi="宋体" w:cs="宋体"/>
          <w:b/>
          <w:color w:val="000000" w:themeColor="text1"/>
          <w:sz w:val="24"/>
          <w14:textFill>
            <w14:solidFill>
              <w14:schemeClr w14:val="tx1"/>
            </w14:solidFill>
          </w14:textFill>
        </w:rPr>
      </w:pPr>
      <w:bookmarkStart w:id="91" w:name="_Hlt509650734"/>
      <w:bookmarkEnd w:id="91"/>
      <w:r>
        <w:rPr>
          <w:rFonts w:hint="eastAsia" w:ascii="宋体" w:hAnsi="宋体" w:cs="宋体"/>
          <w:b/>
          <w:color w:val="000000" w:themeColor="text1"/>
          <w:sz w:val="24"/>
          <w14:textFill>
            <w14:solidFill>
              <w14:schemeClr w14:val="tx1"/>
            </w14:solidFill>
          </w14:textFill>
        </w:rPr>
        <w:t>14.招标文件构成</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14.1招标文件包括以下部分：</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14.1.1第一章：</w:t>
      </w:r>
      <w:r>
        <w:rPr>
          <w:rFonts w:hint="eastAsia" w:ascii="宋体" w:hAnsi="宋体" w:cs="宋体"/>
          <w:bCs/>
          <w:color w:val="000000" w:themeColor="text1"/>
          <w:sz w:val="24"/>
          <w14:textFill>
            <w14:solidFill>
              <w14:schemeClr w14:val="tx1"/>
            </w14:solidFill>
          </w14:textFill>
        </w:rPr>
        <w:t>投标邀请（招标公告）；</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14.1.2第二章：</w:t>
      </w:r>
      <w:bookmarkStart w:id="92" w:name="_Hlt509650925"/>
      <w:bookmarkEnd w:id="92"/>
      <w:r>
        <w:rPr>
          <w:rFonts w:hint="eastAsia" w:ascii="宋体" w:hAnsi="宋体" w:cs="宋体"/>
          <w:bCs/>
          <w:color w:val="000000" w:themeColor="text1"/>
          <w:sz w:val="24"/>
          <w14:textFill>
            <w14:solidFill>
              <w14:schemeClr w14:val="tx1"/>
            </w14:solidFill>
          </w14:textFill>
        </w:rPr>
        <w:t>投标人须知前附表；</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14.1.3第三章：</w:t>
      </w:r>
      <w:r>
        <w:rPr>
          <w:rFonts w:hint="eastAsia" w:ascii="宋体" w:hAnsi="宋体" w:cs="宋体"/>
          <w:bCs/>
          <w:color w:val="000000" w:themeColor="text1"/>
          <w:sz w:val="24"/>
          <w14:textFill>
            <w14:solidFill>
              <w14:schemeClr w14:val="tx1"/>
            </w14:solidFill>
          </w14:textFill>
        </w:rPr>
        <w:t>货物需求一览表；</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14.1.4第四章：</w:t>
      </w:r>
      <w:r>
        <w:rPr>
          <w:rFonts w:hint="eastAsia" w:ascii="宋体" w:hAnsi="宋体" w:cs="宋体"/>
          <w:bCs/>
          <w:color w:val="000000" w:themeColor="text1"/>
          <w:sz w:val="24"/>
          <w14:textFill>
            <w14:solidFill>
              <w14:schemeClr w14:val="tx1"/>
            </w14:solidFill>
          </w14:textFill>
        </w:rPr>
        <w:t>评标办法；</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14.1.5第五章：</w:t>
      </w:r>
      <w:r>
        <w:rPr>
          <w:rFonts w:hint="eastAsia" w:ascii="宋体" w:hAnsi="宋体" w:cs="宋体"/>
          <w:bCs/>
          <w:color w:val="000000" w:themeColor="text1"/>
          <w:sz w:val="24"/>
          <w14:textFill>
            <w14:solidFill>
              <w14:schemeClr w14:val="tx1"/>
            </w14:solidFill>
          </w14:textFill>
        </w:rPr>
        <w:t>投标人须知；</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14.1.6第六章：</w:t>
      </w:r>
      <w:r>
        <w:rPr>
          <w:rFonts w:hint="eastAsia" w:ascii="宋体" w:hAnsi="宋体" w:cs="宋体"/>
          <w:bCs/>
          <w:color w:val="000000" w:themeColor="text1"/>
          <w:sz w:val="24"/>
          <w14:textFill>
            <w14:solidFill>
              <w14:schemeClr w14:val="tx1"/>
            </w14:solidFill>
          </w14:textFill>
        </w:rPr>
        <w:t>采购合同；</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14.1.7第七章：</w:t>
      </w:r>
      <w:r>
        <w:rPr>
          <w:rFonts w:hint="eastAsia" w:ascii="宋体" w:hAnsi="宋体" w:cs="宋体"/>
          <w:bCs/>
          <w:color w:val="000000" w:themeColor="text1"/>
          <w:sz w:val="24"/>
          <w14:textFill>
            <w14:solidFill>
              <w14:schemeClr w14:val="tx1"/>
            </w14:solidFill>
          </w14:textFill>
        </w:rPr>
        <w:t>投标文件格式；</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14.1.8周口市公共资源交易中心政府采购中心发布的</w:t>
      </w:r>
      <w:r>
        <w:rPr>
          <w:rFonts w:hint="eastAsia" w:ascii="宋体" w:hAnsi="宋体" w:cs="宋体"/>
          <w:color w:val="000000" w:themeColor="text1"/>
          <w:sz w:val="24"/>
          <w14:textFill>
            <w14:solidFill>
              <w14:schemeClr w14:val="tx1"/>
            </w14:solidFill>
          </w14:textFill>
        </w:rPr>
        <w:t>图纸、答疑、补遗、补充通知等。</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投标人应认真阅读招标文件中所有的事项、格式、条件、条款和规范等要求。</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14.3投标人应当按照招标文件的要求编制投标文件。投标文件应对招标文件提出的要求和条件作出实质性响应。</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14.4投标人获取招标文件后，应仔细检查招标文件的所有内容，如有残缺等问题应在获得招标文件3日内向</w:t>
      </w:r>
      <w:r>
        <w:rPr>
          <w:rFonts w:hint="eastAsia" w:ascii="宋体" w:hAnsi="宋体" w:cs="宋体"/>
          <w:bCs/>
          <w:color w:val="000000" w:themeColor="text1"/>
          <w:sz w:val="24"/>
          <w14:textFill>
            <w14:solidFill>
              <w14:schemeClr w14:val="tx1"/>
            </w14:solidFill>
          </w14:textFill>
        </w:rPr>
        <w:t>周口市公共资源交易中心政府采购中心或采购人</w:t>
      </w:r>
      <w:r>
        <w:rPr>
          <w:rFonts w:hint="eastAsia" w:ascii="宋体" w:hAnsi="宋体" w:cs="宋体"/>
          <w:color w:val="000000" w:themeColor="text1"/>
          <w:sz w:val="24"/>
          <w14:textFill>
            <w14:solidFill>
              <w14:schemeClr w14:val="tx1"/>
            </w14:solidFill>
          </w14:textFill>
        </w:rPr>
        <w:t>提出，否则，由此引起的损失由投标人自行承担。</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15.招标文件的澄清与修改</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w:t>
      </w:r>
      <w:r>
        <w:rPr>
          <w:rFonts w:hint="eastAsia" w:ascii="宋体" w:hAnsi="宋体" w:cs="宋体"/>
          <w:bCs/>
          <w:color w:val="000000" w:themeColor="text1"/>
          <w:sz w:val="24"/>
          <w14:textFill>
            <w14:solidFill>
              <w14:schemeClr w14:val="tx1"/>
            </w14:solidFill>
          </w14:textFill>
        </w:rPr>
        <w:t>周口市公共资源交易中心政府采购中心或采购人</w:t>
      </w:r>
      <w:r>
        <w:rPr>
          <w:rFonts w:hint="eastAsia" w:ascii="宋体" w:hAnsi="宋体" w:cs="宋体"/>
          <w:color w:val="000000" w:themeColor="text1"/>
          <w:sz w:val="24"/>
          <w14:textFill>
            <w14:solidFill>
              <w14:schemeClr w14:val="tx1"/>
            </w14:solidFill>
          </w14:textFill>
        </w:rPr>
        <w:t>对招标文件进行的澄清、更正或更改，将在网站上及时发布，该公告内容为招标文件的组成部分，对投标人具有同样约束力。投标人应主动上网查询。</w:t>
      </w:r>
      <w:r>
        <w:rPr>
          <w:rFonts w:hint="eastAsia" w:ascii="宋体" w:hAnsi="宋体" w:cs="宋体"/>
          <w:bCs/>
          <w:color w:val="000000" w:themeColor="text1"/>
          <w:sz w:val="24"/>
          <w14:textFill>
            <w14:solidFill>
              <w14:schemeClr w14:val="tx1"/>
            </w14:solidFill>
          </w14:textFill>
        </w:rPr>
        <w:t>周口市公共资源交易中心政府采购中心或采购人</w:t>
      </w:r>
      <w:r>
        <w:rPr>
          <w:rFonts w:hint="eastAsia" w:ascii="宋体" w:hAnsi="宋体" w:cs="宋体"/>
          <w:color w:val="000000" w:themeColor="text1"/>
          <w:sz w:val="24"/>
          <w14:textFill>
            <w14:solidFill>
              <w14:schemeClr w14:val="tx1"/>
            </w14:solidFill>
          </w14:textFill>
        </w:rPr>
        <w:t>不承担投标人未及时关注相关信息引发的相关责任。澄清或者修改的内容可能影响投标文件编制的，采购人或者采购代理机构在投标截止时间至少15日前，将在网站上及时发布通知所有获取招标文件的潜在投标人；不足15日的，采购人或者采购代理机构顺延提交投标文件的截止时间。</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15.2在投标截止时间前，</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可以视采购具体情况，延长投标截止时间和开标时间，在网站上发布变更公告。在上述情况下，</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和投标人在投标截止期方面的全部权力、责任和义务，将适用于延长后新的投标截止期。</w:t>
      </w:r>
    </w:p>
    <w:p>
      <w:pPr>
        <w:spacing w:line="360" w:lineRule="auto"/>
        <w:ind w:firstLine="55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15.3特殊情况下，</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发布澄清、更正或更改公告后，可不改变投标截止时间和开标时间。</w:t>
      </w:r>
    </w:p>
    <w:p>
      <w:pPr>
        <w:pStyle w:val="9"/>
        <w:spacing w:line="360" w:lineRule="auto"/>
        <w:ind w:firstLine="2715" w:firstLineChars="966"/>
        <w:jc w:val="both"/>
        <w:rPr>
          <w:rFonts w:hAnsi="宋体" w:cs="宋体"/>
          <w:color w:val="000000" w:themeColor="text1"/>
          <w:sz w:val="28"/>
          <w14:textFill>
            <w14:solidFill>
              <w14:schemeClr w14:val="tx1"/>
            </w14:solidFill>
          </w14:textFill>
        </w:rPr>
      </w:pPr>
      <w:bookmarkStart w:id="93" w:name="_Hlt509649724"/>
      <w:bookmarkEnd w:id="93"/>
      <w:bookmarkStart w:id="94" w:name="_Hlt510342861"/>
      <w:bookmarkEnd w:id="94"/>
      <w:bookmarkStart w:id="95" w:name="_Hlt509650697"/>
      <w:bookmarkEnd w:id="95"/>
      <w:bookmarkStart w:id="96" w:name="_Toc527725924"/>
      <w:bookmarkStart w:id="97" w:name="_Toc40975444"/>
      <w:r>
        <w:rPr>
          <w:rFonts w:hint="eastAsia" w:hAnsi="宋体" w:cs="宋体"/>
          <w:color w:val="000000" w:themeColor="text1"/>
          <w:sz w:val="28"/>
          <w14:textFill>
            <w14:solidFill>
              <w14:schemeClr w14:val="tx1"/>
            </w14:solidFill>
          </w14:textFill>
        </w:rPr>
        <w:t>三．投标文件的编制</w:t>
      </w:r>
      <w:bookmarkEnd w:id="96"/>
      <w:bookmarkEnd w:id="97"/>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16.投标文件构成与格式</w:t>
      </w:r>
    </w:p>
    <w:p>
      <w:pPr>
        <w:spacing w:line="360" w:lineRule="auto"/>
        <w:ind w:firstLine="550"/>
        <w:rPr>
          <w:rFonts w:ascii="宋体" w:hAnsi="宋体" w:cs="宋体"/>
          <w:color w:val="000000" w:themeColor="text1"/>
          <w:sz w:val="24"/>
          <w14:textFill>
            <w14:solidFill>
              <w14:schemeClr w14:val="tx1"/>
            </w14:solidFill>
          </w14:textFill>
        </w:rPr>
      </w:pPr>
      <w:bookmarkStart w:id="98" w:name="_Hlt509650345"/>
      <w:bookmarkEnd w:id="98"/>
      <w:r>
        <w:rPr>
          <w:rFonts w:hint="eastAsia" w:ascii="宋体" w:hAnsi="宋体" w:cs="宋体"/>
          <w:color w:val="000000" w:themeColor="text1"/>
          <w:sz w:val="24"/>
          <w14:textFill>
            <w14:solidFill>
              <w14:schemeClr w14:val="tx1"/>
            </w14:solidFill>
          </w14:textFill>
        </w:rPr>
        <w:t>16.1投标文件是对招标文件的实质性响应及承诺文件。</w:t>
      </w:r>
    </w:p>
    <w:p>
      <w:pPr>
        <w:spacing w:line="360" w:lineRule="auto"/>
        <w:ind w:firstLine="5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r>
        <w:rPr>
          <w:rFonts w:hint="eastAsia" w:ascii="宋体" w:hAnsi="宋体" w:cs="宋体"/>
          <w:bCs/>
          <w:color w:val="000000" w:themeColor="text1"/>
          <w:sz w:val="24"/>
          <w14:textFill>
            <w14:solidFill>
              <w14:schemeClr w14:val="tx1"/>
            </w14:solidFill>
          </w14:textFill>
        </w:rPr>
        <w:t>除非注明“投标人可自行制作格式”，投标文件应使用招标文件提供的格式。</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16.4除非招标文件另有规定，投标文件应使用中华人民共和国法定计量单位。</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16.5除非招标文件另有规定，投标文件应使用人民币填报所有报价。允许以多种货币报价的，应当按照中国银行在开标日公布的汇率中间价换算成人民币。</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16.6投标文件应编制连续页码，除特殊规格的图纸或方案、图片资料等外，均应按A4规格制作。</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16.7电报、电话、传真形式的投标概不接受。</w:t>
      </w:r>
    </w:p>
    <w:p>
      <w:pPr>
        <w:spacing w:line="360" w:lineRule="auto"/>
        <w:ind w:firstLine="55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16.8电子投标文件制作，见周口市公共资源交易中心网站下载中心版块《投标单位-电子投标文件视频制作手册》的相关规定。</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17.报价</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17.1投标人应以“包”为报价的基本单位。若整个需求分为若干包，则投标人可选择其中的部分或所有包报价。包内所有项目均应报价（免费赠送的除外），否则将导致投标无效。</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投标人的报价应包含所投货物、保险、税费、包装、加工及加工损耗、运输、现场落地、安装及安装损耗、调试、检测验收和交付后约定期限内免费维保等工作所发生的一切应有费用。投标报价为签订合同的依据。</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17.3投标人应在投标文件中注明拟提供货物的单价明细和总价。</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17.4除非招标文件另有规定，每一包只允许有一个最终报价，任何有选择的报价或替代方案将导致投标无效。</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17.5采购人不建议投标人采用总价优惠或以总价百分比优惠的方式进行投标报价，其优惠可直接计算并体现在各项投标报价的单价中。</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17.6除政策性文件规定以外，投标人所报价格在合同实施期间不因市场变化因素而变动。</w:t>
      </w:r>
    </w:p>
    <w:p>
      <w:pPr>
        <w:spacing w:line="360" w:lineRule="auto"/>
        <w:ind w:firstLine="549"/>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18.投标内容填写及说明</w:t>
      </w:r>
    </w:p>
    <w:p>
      <w:pPr>
        <w:spacing w:line="360" w:lineRule="auto"/>
        <w:ind w:firstLine="549"/>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18.1投标文件须对招标文件载明的投标资格、技术、资信、服务、报价等全部要求和条件做出实质性和完整的响应，如果投标文件填报的内容资料不详，或没有提供招标文件中所要求的全部资料、证明及数据，将导致投标无效。</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18.2投标人应在投标文件中提交招标文件要求的有关证明文件（扫描或影印件上传），作为其投标文件的一部分。</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18.3投标人应在投标文件中提交（以扫描件或影印件上传）招标文件要求的所有货物的合格性以及符合招标文件规定的证明文件（可以是手册、图纸和资料）等，并作为其投标文件的一部分。包括：</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18.3.1货物主要性能（内容）的详细描述；</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18.3.2保证所投货物正常、安全、连续运行期间所需的所有备品、备件及专用工具的详细清单。</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18.4投标文件应编排有序、内容齐全、不得任意涂改或增删。如有错漏处必须修改，应在修改处加盖投标人电子公章。</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19.投标保证金（免收）</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20.投标有效期</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20.1为保证采购人有足够的时间完成评标和与中标人签订合同，规定投标有效期。投标有效期期限见投标人须知前附表。</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20.2在投标有效期内，投标人的投标保持有效，投标人不得要求撤销或修改其投标文件。</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20.3投标有效期从投标截止日起计算。</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20.4在原定投标有效期满之前，如果出现特殊情况，</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21.投标文件份数和签署</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 投标人应按照投标人须知前附表的要求准备投标文件。</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21.2投标文件均应依招标文件要求加盖投标人电子签章</w:t>
      </w:r>
      <w:r>
        <w:rPr>
          <w:rFonts w:hint="eastAsia" w:ascii="宋体" w:hAnsi="宋体" w:cs="宋体"/>
          <w:b/>
          <w:color w:val="000000" w:themeColor="text1"/>
          <w:sz w:val="24"/>
          <w14:textFill>
            <w14:solidFill>
              <w14:schemeClr w14:val="tx1"/>
            </w14:solidFill>
          </w14:textFill>
        </w:rPr>
        <w:t>。</w:t>
      </w:r>
    </w:p>
    <w:p>
      <w:pPr>
        <w:pStyle w:val="9"/>
        <w:spacing w:line="360" w:lineRule="auto"/>
        <w:ind w:firstLine="2715" w:firstLineChars="966"/>
        <w:jc w:val="both"/>
        <w:rPr>
          <w:rFonts w:hAnsi="宋体" w:cs="宋体"/>
          <w:color w:val="000000" w:themeColor="text1"/>
          <w:sz w:val="28"/>
          <w14:textFill>
            <w14:solidFill>
              <w14:schemeClr w14:val="tx1"/>
            </w14:solidFill>
          </w14:textFill>
        </w:rPr>
      </w:pPr>
      <w:bookmarkStart w:id="99" w:name="_Hlt509650572"/>
      <w:bookmarkEnd w:id="99"/>
      <w:bookmarkStart w:id="100" w:name="_Toc527725925"/>
      <w:bookmarkStart w:id="101" w:name="_Toc40975445"/>
      <w:r>
        <w:rPr>
          <w:rFonts w:hint="eastAsia" w:hAnsi="宋体" w:cs="宋体"/>
          <w:color w:val="000000" w:themeColor="text1"/>
          <w:sz w:val="28"/>
          <w14:textFill>
            <w14:solidFill>
              <w14:schemeClr w14:val="tx1"/>
            </w14:solidFill>
          </w14:textFill>
        </w:rPr>
        <w:t>四．投标文件的递交</w:t>
      </w:r>
      <w:bookmarkEnd w:id="100"/>
      <w:bookmarkEnd w:id="101"/>
      <w:bookmarkStart w:id="102" w:name="_Hlt509649414"/>
      <w:bookmarkEnd w:id="102"/>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22.投标文件的密封和标记</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加密的电子投标文件的递交，见周口市公共资源交易中心网站下载中心版块《投标单位-电子投标文件视频制作手册》的相关规定。</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23.投标文件的递交 </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23.1投标人应当在招标文件要求提交投标文件的截止时间前网上投标。</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23.2在招标文件要求提交投标文件的截止时间之后制作上传的投标文件为无效投标文件，</w:t>
      </w:r>
      <w:r>
        <w:rPr>
          <w:rFonts w:hint="eastAsia" w:ascii="宋体" w:hAnsi="宋体" w:cs="宋体"/>
          <w:bCs/>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将拒绝接收。</w:t>
      </w:r>
    </w:p>
    <w:p>
      <w:pPr>
        <w:spacing w:line="360" w:lineRule="auto"/>
        <w:ind w:firstLine="55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24.投标文件的修改和撤回</w:t>
      </w:r>
    </w:p>
    <w:p>
      <w:pPr>
        <w:spacing w:line="360" w:lineRule="auto"/>
        <w:ind w:firstLine="5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投标截止日期前，投标人可以修改或撤回其投标文件；在投标截止时间后，投标人不得再要求修改或撤回其投标文件。</w:t>
      </w:r>
    </w:p>
    <w:p>
      <w:pPr>
        <w:pStyle w:val="9"/>
        <w:spacing w:line="360" w:lineRule="auto"/>
        <w:ind w:firstLine="2996" w:firstLineChars="1066"/>
        <w:jc w:val="both"/>
        <w:rPr>
          <w:rFonts w:hAnsi="宋体" w:cs="宋体"/>
          <w:color w:val="000000" w:themeColor="text1"/>
          <w:sz w:val="28"/>
          <w14:textFill>
            <w14:solidFill>
              <w14:schemeClr w14:val="tx1"/>
            </w14:solidFill>
          </w14:textFill>
        </w:rPr>
      </w:pPr>
      <w:bookmarkStart w:id="103" w:name="_Hlt509649294"/>
      <w:bookmarkEnd w:id="103"/>
      <w:bookmarkStart w:id="104" w:name="_Toc40975446"/>
      <w:bookmarkStart w:id="105" w:name="_Toc527725926"/>
      <w:r>
        <w:rPr>
          <w:rFonts w:hint="eastAsia" w:hAnsi="宋体" w:cs="宋体"/>
          <w:color w:val="000000" w:themeColor="text1"/>
          <w:sz w:val="28"/>
          <w14:textFill>
            <w14:solidFill>
              <w14:schemeClr w14:val="tx1"/>
            </w14:solidFill>
          </w14:textFill>
        </w:rPr>
        <w:t>五．开标与评标</w:t>
      </w:r>
      <w:bookmarkEnd w:id="104"/>
      <w:bookmarkEnd w:id="105"/>
    </w:p>
    <w:p>
      <w:pPr>
        <w:snapToGrid w:val="0"/>
        <w:spacing w:line="300" w:lineRule="auto"/>
        <w:ind w:firstLine="55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25.开标</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25.1本项目实行网上远程开标无须到现场提交投标文件。投标文件提交及解密详见周口市公共资源交易中心网</w:t>
      </w:r>
      <w:r>
        <w:rPr>
          <w:rFonts w:hint="eastAsia" w:ascii="宋体" w:hAnsi="宋体" w:cs="宋体"/>
          <w:color w:val="000000" w:themeColor="text1"/>
          <w:sz w:val="24"/>
          <w:szCs w:val="24"/>
          <w14:textFill>
            <w14:solidFill>
              <w14:schemeClr w14:val="tx1"/>
            </w14:solidFill>
          </w14:textFill>
        </w:rPr>
        <w:t>办事指南《不见面开标远程在线解密会员端操作手册操作指南》</w:t>
      </w:r>
    </w:p>
    <w:p>
      <w:pPr>
        <w:spacing w:line="360" w:lineRule="auto"/>
        <w:ind w:firstLine="549"/>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25.2开标时，各投标单位应在规定时间内对本单位的投标文件现场解密，项目负责人在监督员或公证员监督下解密所有投标文件。在解密投标文件开始时30分钟内进行解密，超时视为放弃递交投标文件。</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25.3投标资格及投标文件的法律文本将由评审委员会在评标前进行审查。资格不符合招标文件要求和相关法律规定的，投标无效。</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25.4开标时，周口市公共资源交易中心政府采购中心将通过网上开标系统公布投标人名称、投标价格，以及周口市公共资源交易中心政府采购中心认为合适的其它详细内容。</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26.投标文件的澄清、说明或补正</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w:t>
      </w:r>
      <w:r>
        <w:rPr>
          <w:rFonts w:hint="eastAsia" w:ascii="宋体" w:hAnsi="宋体" w:cs="宋体"/>
          <w:bCs/>
          <w:color w:val="000000" w:themeColor="text1"/>
          <w:sz w:val="24"/>
          <w14:textFill>
            <w14:solidFill>
              <w14:schemeClr w14:val="tx1"/>
            </w14:solidFill>
          </w14:textFill>
        </w:rPr>
        <w:t>开标一览表内容与投标文件中明细表内容不一致的，以开标一览表为准。</w:t>
      </w:r>
    </w:p>
    <w:p>
      <w:pPr>
        <w:spacing w:line="360" w:lineRule="auto"/>
        <w:ind w:firstLine="549"/>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26.4 如同时出现26.2条和26.3条所述的不一致情况，以开标一览表为准。</w:t>
      </w:r>
    </w:p>
    <w:p>
      <w:pPr>
        <w:pStyle w:val="213"/>
        <w:numPr>
          <w:ilvl w:val="0"/>
          <w:numId w:val="0"/>
        </w:numPr>
        <w:tabs>
          <w:tab w:val="left" w:pos="819"/>
        </w:tabs>
        <w:adjustRightInd w:val="0"/>
        <w:snapToGrid w:val="0"/>
        <w:spacing w:line="360" w:lineRule="auto"/>
        <w:ind w:firstLine="480" w:firstLineChars="200"/>
        <w:jc w:val="left"/>
      </w:pPr>
      <w:r>
        <w:rPr>
          <w:rFonts w:hint="eastAsia" w:asciiTheme="minorEastAsia" w:hAnsiTheme="minorEastAsia" w:eastAsiaTheme="minorEastAsia"/>
          <w:color w:val="auto"/>
          <w:sz w:val="24"/>
          <w:highlight w:val="none"/>
          <w:lang w:val="en-US" w:eastAsia="zh-CN"/>
        </w:rPr>
        <w:t>26.5</w:t>
      </w:r>
      <w:r>
        <w:rPr>
          <w:rFonts w:hint="eastAsia" w:asciiTheme="minorEastAsia" w:hAnsiTheme="minorEastAsia" w:eastAsiaTheme="minorEastAsia"/>
          <w:color w:val="auto"/>
          <w:sz w:val="24"/>
          <w:highlight w:val="none"/>
        </w:rPr>
        <w:t>如果对采购文件无异议，出具采购文件无异议确认书，</w:t>
      </w:r>
      <w:r>
        <w:rPr>
          <w:rFonts w:hint="eastAsia" w:asciiTheme="minorEastAsia" w:hAnsiTheme="minorEastAsia" w:eastAsiaTheme="minorEastAsia"/>
          <w:color w:val="auto"/>
          <w:sz w:val="24"/>
          <w:highlight w:val="none"/>
          <w:lang w:eastAsia="zh-CN"/>
        </w:rPr>
        <w:t>附到响应文件内</w:t>
      </w:r>
      <w:r>
        <w:rPr>
          <w:rFonts w:hint="eastAsia" w:asciiTheme="minorEastAsia" w:hAnsiTheme="minorEastAsia" w:eastAsiaTheme="minorEastAsia"/>
          <w:color w:val="auto"/>
          <w:sz w:val="24"/>
          <w:highlight w:val="none"/>
        </w:rPr>
        <w:t>。</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27.评标</w:t>
      </w:r>
    </w:p>
    <w:p>
      <w:pPr>
        <w:spacing w:line="360" w:lineRule="auto"/>
        <w:ind w:firstLine="523" w:firstLineChars="218"/>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 评委会将按照招标文件规定的评标办法对投标人独立进行投标评审。投标评审分为符合性审查和综合评分。</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有下列情形之一的，评标委员会应当否决其投标：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27.2.1投标文件未经投标单位电子签章的；</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27.2.2投标联合体没有提交共同投标协议；</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27.2.3投标人不符合国家或者招标文件规定的资格条件；</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27.2.4同一投标人提交两个以上不同的投标文件或者投标报价，但招标文件要求提交备选投标的除外；</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27.2.5投标报价或者某些分项报价明显不合理或者低于成本，有可能影响商品质量和不能诚信履约；</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27.2.6投标报价高于招标文件设定的最高投标限价；</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27.2.7投标文件没有对招标文件的实质性要求和条件作出响应；</w:t>
      </w:r>
    </w:p>
    <w:p>
      <w:pPr>
        <w:spacing w:line="360" w:lineRule="auto"/>
        <w:ind w:firstLine="54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27.2.8投标人有串通投标、弄虚作假、行贿等违法行为。</w:t>
      </w:r>
    </w:p>
    <w:p>
      <w:pPr>
        <w:pStyle w:val="2"/>
        <w:rPr>
          <w:rFonts w:hint="eastAsia" w:asciiTheme="minorEastAsia" w:hAnsiTheme="minorEastAsia" w:eastAsiaTheme="minorEastAsia" w:cstheme="minorEastAsia"/>
          <w:color w:val="auto"/>
          <w:sz w:val="24"/>
          <w:szCs w:val="24"/>
          <w:highlight w:val="none"/>
          <w:lang w:val="en-US"/>
        </w:rPr>
      </w:pPr>
      <w:r>
        <w:rPr>
          <w:rFonts w:hint="eastAsia" w:ascii="宋体" w:hAnsi="宋体" w:cs="宋体"/>
          <w:color w:val="auto"/>
          <w:sz w:val="24"/>
          <w:szCs w:val="24"/>
        </w:rPr>
        <w:t>27.2.8</w:t>
      </w:r>
      <w:r>
        <w:rPr>
          <w:rFonts w:hint="eastAsia" w:asciiTheme="minorEastAsia" w:hAnsiTheme="minorEastAsia" w:eastAsiaTheme="minorEastAsia" w:cstheme="minorEastAsia"/>
          <w:color w:val="auto"/>
          <w:sz w:val="24"/>
          <w:szCs w:val="24"/>
          <w:highlight w:val="none"/>
          <w:lang w:val="en-US"/>
        </w:rPr>
        <w:t>中标供应商没有将“廉洁自律承诺书”附在投标（响应）文件中。</w:t>
      </w:r>
    </w:p>
    <w:p>
      <w:pPr>
        <w:pStyle w:val="4"/>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rPr>
        <w:t>27.2.8</w:t>
      </w:r>
      <w:r>
        <w:rPr>
          <w:rFonts w:hint="eastAsia" w:asciiTheme="minorEastAsia" w:hAnsiTheme="minorEastAsia" w:eastAsiaTheme="minorEastAsia" w:cstheme="minorEastAsia"/>
          <w:color w:val="auto"/>
          <w:sz w:val="24"/>
          <w:szCs w:val="24"/>
          <w:highlight w:val="none"/>
        </w:rPr>
        <w:t>未提供经会计师事务所或审计机构审计的财务会计报表，包括资产负债表、现金流量表、利润表、和财务情况说明书的或针对本项目所开具的资信证明的。</w:t>
      </w:r>
    </w:p>
    <w:p>
      <w:pPr>
        <w:ind w:firstLine="48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宋体" w:hAnsi="宋体" w:cs="宋体"/>
          <w:color w:val="auto"/>
          <w:sz w:val="24"/>
        </w:rPr>
        <w:t>27.2.8</w:t>
      </w:r>
      <w:r>
        <w:rPr>
          <w:rFonts w:hint="eastAsia" w:asciiTheme="minorEastAsia" w:hAnsiTheme="minorEastAsia" w:eastAsiaTheme="minorEastAsia" w:cstheme="minorEastAsia"/>
          <w:color w:val="auto"/>
          <w:sz w:val="28"/>
          <w:szCs w:val="28"/>
          <w:highlight w:val="none"/>
        </w:rPr>
        <w:t>未提供</w:t>
      </w:r>
      <w:r>
        <w:rPr>
          <w:rFonts w:hint="eastAsia" w:asciiTheme="minorEastAsia" w:hAnsiTheme="minorEastAsia" w:eastAsiaTheme="minorEastAsia" w:cstheme="minorEastAsia"/>
          <w:color w:val="auto"/>
          <w:sz w:val="28"/>
          <w:szCs w:val="28"/>
          <w:highlight w:val="none"/>
          <w:lang w:eastAsia="zh-CN"/>
        </w:rPr>
        <w:t>产品质量承诺的。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27.3如果投标文件未通过投标符合性审查，投标无效。</w:t>
      </w:r>
    </w:p>
    <w:p>
      <w:pPr>
        <w:spacing w:line="360" w:lineRule="auto"/>
        <w:ind w:firstLine="549"/>
      </w:pPr>
      <w:r>
        <w:rPr>
          <w:rFonts w:hint="eastAsia" w:ascii="宋体" w:hAnsi="宋体" w:cs="宋体"/>
          <w:color w:val="000000" w:themeColor="text1"/>
          <w:sz w:val="24"/>
          <w14:textFill>
            <w14:solidFill>
              <w14:schemeClr w14:val="tx1"/>
            </w14:solidFill>
          </w14:textFill>
        </w:rPr>
        <w:t>27.4评委会决定投标文件的响应性及符合性只根据投标文件本身的内容，不寻求其他外部证据。</w:t>
      </w:r>
    </w:p>
    <w:p>
      <w:pPr>
        <w:spacing w:line="360" w:lineRule="auto"/>
        <w:ind w:firstLine="549"/>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28</w:t>
      </w:r>
      <w:r>
        <w:rPr>
          <w:rFonts w:hint="eastAsia" w:ascii="宋体" w:hAnsi="宋体" w:cs="宋体"/>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废标处理</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28.1在招标采购中，出现下列情形之一的，周口市公共资源交易中心政府采购中心有权宣布废标：</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28.1.1符合专业条件的投标人或对招标文件作实质响应的投标人不足三家的；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28.1.2投标人的报价均超过采购预算，采购人不能支付的；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28.1.3出现影响采购公正的违法、违规行为的；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28.1.4因重大变故，采购任务取消的。</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废标后，周口市公共资源交易中心政府采购中心会把废标理由通知所有投标人。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 因上条第一款、第二款规定情形导致废标的，若采购人提出申请，报经政府采购监督管理部门批准，可现场改为竞争性谈判，投标人有下列情形之一的，不得参加谈判：</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28.2.1放弃参加投标的；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28.2.2未经周口市公共资源交易中心政府采购中心允许，离开开标现场通知不上的；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28.2.3不符合招标文件列明的专业条件的；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28.2.4未按规定交纳谈判保证金的；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28.2.5有影响采购公正的违法、违规行为造成项目废标的；</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28.2.6其他不符合竞争性谈判条件的情况。</w:t>
      </w:r>
    </w:p>
    <w:p>
      <w:pPr>
        <w:spacing w:line="360" w:lineRule="auto"/>
        <w:ind w:firstLine="54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28.3采购方式现场改为竞争性谈判时，</w:t>
      </w:r>
      <w:r>
        <w:rPr>
          <w:rFonts w:hint="eastAsia" w:ascii="宋体" w:hAnsi="宋体" w:cs="宋体"/>
          <w:color w:val="000000" w:themeColor="text1"/>
          <w:sz w:val="24"/>
          <w14:textFill>
            <w14:solidFill>
              <w14:schemeClr w14:val="tx1"/>
            </w14:solidFill>
          </w14:textFill>
        </w:rPr>
        <w:t>周口市公共资源交易中心政府采购中心</w:t>
      </w:r>
      <w:r>
        <w:rPr>
          <w:rFonts w:hint="eastAsia" w:ascii="宋体" w:hAnsi="宋体" w:cs="宋体"/>
          <w:color w:val="000000" w:themeColor="text1"/>
          <w:sz w:val="24"/>
          <w:szCs w:val="24"/>
          <w14:textFill>
            <w14:solidFill>
              <w14:schemeClr w14:val="tx1"/>
            </w14:solidFill>
          </w14:textFill>
        </w:rPr>
        <w:t>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pPr>
        <w:spacing w:line="360" w:lineRule="auto"/>
        <w:ind w:firstLine="54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28.3.1谈判时，若投标人未能在评委会指定时间内（原则上不超过60分钟）提交符合要求的补充资料或未作出实质性响应的，投标无效。经过审查符合谈判要求的有效投标人少于两家的，谈判做流标处理。</w:t>
      </w:r>
    </w:p>
    <w:p>
      <w:pPr>
        <w:spacing w:line="360" w:lineRule="auto"/>
        <w:ind w:firstLine="54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28.3.2投标文件的报价视为谈判时的首次报价，未唱标转谈判的，谈判时不公开投标人各轮报价。已经唱标而转谈判的，谈判前公布各参与谈判的投标人首轮报价。</w:t>
      </w:r>
    </w:p>
    <w:p>
      <w:pPr>
        <w:spacing w:line="360" w:lineRule="auto"/>
        <w:ind w:firstLine="54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28.3.3在谈判内容不作实质性变更及重大调整的前提下，投标人次轮报价不得高于上一轮报价。</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29</w:t>
      </w:r>
      <w:r>
        <w:rPr>
          <w:rFonts w:hint="eastAsia" w:ascii="宋体" w:hAnsi="宋体" w:cs="宋体"/>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二次采购</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项目废标后，周口市公共资源交易中心政府采购中心可能发布二次公告（投标邀请），进行二次采购。</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前款所述“二次”，系指项目废标后的重新公告及采购，并不仅限于项目的第二次公告及采购。</w:t>
      </w:r>
    </w:p>
    <w:p>
      <w:pPr>
        <w:pStyle w:val="9"/>
        <w:spacing w:line="360" w:lineRule="auto"/>
        <w:ind w:firstLine="2715" w:firstLineChars="966"/>
        <w:jc w:val="both"/>
        <w:rPr>
          <w:rFonts w:hAnsi="宋体" w:cs="宋体"/>
          <w:color w:val="000000" w:themeColor="text1"/>
          <w:sz w:val="28"/>
          <w14:textFill>
            <w14:solidFill>
              <w14:schemeClr w14:val="tx1"/>
            </w14:solidFill>
          </w14:textFill>
        </w:rPr>
      </w:pPr>
      <w:bookmarkStart w:id="106" w:name="_Toc516969091"/>
      <w:bookmarkStart w:id="107" w:name="_Toc40975447"/>
      <w:bookmarkStart w:id="108" w:name="_Toc527725927"/>
      <w:r>
        <w:rPr>
          <w:rFonts w:hint="eastAsia" w:hAnsi="宋体" w:cs="宋体"/>
          <w:color w:val="000000" w:themeColor="text1"/>
          <w:sz w:val="28"/>
          <w14:textFill>
            <w14:solidFill>
              <w14:schemeClr w14:val="tx1"/>
            </w14:solidFill>
          </w14:textFill>
        </w:rPr>
        <w:t>六．定标与签订合同</w:t>
      </w:r>
      <w:bookmarkEnd w:id="106"/>
      <w:bookmarkEnd w:id="107"/>
      <w:bookmarkEnd w:id="108"/>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30.定标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30.1 投标符合性审查后，评委会应当按招标文件规定的综合评分办法提出独立评审意见，推荐中标候选人。</w:t>
      </w:r>
    </w:p>
    <w:p>
      <w:pPr>
        <w:pStyle w:val="2"/>
        <w:ind w:right="-21" w:firstLine="540"/>
        <w:rPr>
          <w:rFonts w:ascii="宋体" w:hAnsi="宋体" w:eastAsia="宋体" w:cs="宋体"/>
          <w:color w:val="000000" w:themeColor="text1"/>
          <w:kern w:val="2"/>
          <w:szCs w:val="20"/>
          <w14:textFill>
            <w14:solidFill>
              <w14:schemeClr w14:val="tx1"/>
            </w14:solidFill>
          </w14:textFill>
        </w:rPr>
      </w:pPr>
      <w:r>
        <w:rPr>
          <w:rFonts w:hint="eastAsia" w:ascii="宋体" w:hAnsi="宋体" w:eastAsia="宋体" w:cs="宋体"/>
          <w:color w:val="000000" w:themeColor="text1"/>
          <w:kern w:val="2"/>
          <w:szCs w:val="20"/>
          <w14:textFill>
            <w14:solidFill>
              <w14:schemeClr w14:val="tx1"/>
            </w14:solidFill>
          </w14:textFill>
        </w:rPr>
        <w:t>30.2采购人应当自收到评审报告之日起5个工作日内在评审报告推荐的中标或者成交候选人中按顺序确定中标或者成交供应商。</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中标候选人放弃中标、因不可抗力不能履行合同、不按照合同约定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30.4原则上把合同授予实质上响应招标文件要求的排名最前的中标候选人或通过上条资格审查的中标候选人。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30.5 最低报价并不是中标的保证。</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30.6凡发现中标候选人有下列行为之一的，其中标无效，并移交政府采购监督管理部门依法处理：</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 以他人名义投标、或提供虚假材料弄虚作假谋取中标的；</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30.6.1.1以他人名义投标，是指使用通过受让或者租借等方式获取的资格、资质证书投标。</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30.6.1.2有投标人有下列情形之一的，属于弄虚作假的行为：</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30.6.1.2.1使用伪造、变造的许可证件；</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30.6.1.2.2提供虚假的财务状况或者业绩；</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30.6.1.2.3提供虚假的项目负责人或者主要技术人员简历、劳动关系证明；</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30.6.1.2.4提供虚假的信用状况；</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30.6.1.2.5其他弄虚作假的行为。</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30.6.2与采购人、其他供应商或者采购代理机构名称工作人员恶意串通的；</w:t>
      </w:r>
    </w:p>
    <w:p>
      <w:pPr>
        <w:spacing w:line="360" w:lineRule="auto"/>
        <w:ind w:left="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30.6.3向采购人、评审专家、采购代理机构工作人员行贿或者提供其他不正当利益的；</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30.6.4有法律、法规规定的其他损害采购人利益和社会公共利益情形的；</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30.6.5其他违反招投标法律、法规和规章强制性规定的行为。</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30.7周口市公共资源交易中心政府采购中心将在政府采购相关网站上发布评审结果公告。</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31.中标通知书</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31.1在发出中标公告后请采购人、中标人登录周口市公共资源</w:t>
      </w:r>
      <w:r>
        <w:rPr>
          <w:rFonts w:hint="eastAsia" w:ascii="宋体" w:hAnsi="宋体" w:cs="宋体"/>
          <w:color w:val="000000" w:themeColor="text1"/>
          <w:sz w:val="24"/>
          <w:szCs w:val="24"/>
          <w14:textFill>
            <w14:solidFill>
              <w14:schemeClr w14:val="tx1"/>
            </w14:solidFill>
          </w14:textFill>
        </w:rPr>
        <w:t>交易</w:t>
      </w:r>
      <w:r>
        <w:rPr>
          <w:rFonts w:hint="eastAsia" w:ascii="宋体" w:hAnsi="宋体" w:cs="宋体"/>
          <w:color w:val="000000" w:themeColor="text1"/>
          <w:sz w:val="24"/>
          <w14:textFill>
            <w14:solidFill>
              <w14:schemeClr w14:val="tx1"/>
            </w14:solidFill>
          </w14:textFill>
        </w:rPr>
        <w:t>中心网</w:t>
      </w:r>
      <w:r>
        <w:rPr>
          <w:rFonts w:hint="eastAsia" w:ascii="宋体" w:hAnsi="宋体" w:cs="宋体"/>
          <w:color w:val="000000" w:themeColor="text1"/>
          <w:sz w:val="24"/>
          <w:szCs w:val="24"/>
          <w14:textFill>
            <w14:solidFill>
              <w14:schemeClr w14:val="tx1"/>
            </w14:solidFill>
          </w14:textFill>
        </w:rPr>
        <w:t>（http://jyzx.zhoukou.gov.cn）自行下载</w:t>
      </w:r>
      <w:r>
        <w:rPr>
          <w:rFonts w:hint="eastAsia" w:ascii="宋体" w:hAnsi="宋体" w:cs="宋体"/>
          <w:color w:val="000000" w:themeColor="text1"/>
          <w:sz w:val="24"/>
          <w14:textFill>
            <w14:solidFill>
              <w14:schemeClr w14:val="tx1"/>
            </w14:solidFill>
          </w14:textFill>
        </w:rPr>
        <w:t>中标通知书。</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31.2周口市公共资源交易中心政府采购中心对未中标的投标人不做未中标原因的解释。</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31.3评审结果确定后，中标人请及时到周口市公共资源交易中心政府采购中心领取中标通知书。</w:t>
      </w:r>
    </w:p>
    <w:p>
      <w:pPr>
        <w:spacing w:line="360" w:lineRule="auto"/>
        <w:ind w:firstLine="549"/>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32.中标服务费</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本项目免收中标服务费</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33.履约保证金</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34.签订合同</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34.1中标人应在中标通知书发出之日起七日历日内（具体时间、地点见中标通知书）与采购人签订合同。招标文件、中标人的投标文件及澄清文件等，均作为合同的附件。</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 采购双方必须严格按照招标文件、投标文件及有关承诺签订采购合同，不得擅自变更。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合同风险由双方自行承担。</w:t>
      </w:r>
    </w:p>
    <w:p>
      <w:pPr>
        <w:spacing w:line="360" w:lineRule="auto"/>
        <w:ind w:firstLine="523" w:firstLineChars="2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34.3采购人保留以书面形式要求合同的卖方对其所投货物的装运方式、交货地点及服务细则等作适当调整的权利。</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35.验收</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由采购人自行组织对供应商的履约验收。</w:t>
      </w:r>
    </w:p>
    <w:p>
      <w:pPr>
        <w:spacing w:line="360" w:lineRule="auto"/>
        <w:ind w:firstLine="549"/>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w:t>
      </w:r>
      <w:r>
        <w:rPr>
          <w:rFonts w:hint="eastAsia" w:ascii="宋体" w:hAnsi="宋体" w:cs="宋体"/>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质疑</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36.1投标人认为采购过程、中标结果使自己的合法权益受到损害的，可以在知道或应当知道自己的权益受到损害之日起7个工作日内，由投标人授权代表（或法人代表）按照相关规定，向采购人提出质疑，逾期不予受理。</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36.2质疑书内容应包括质疑的详细理由和依据，并提供有关证明资料。</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36.3 有以下情形之一的，视为无效质疑：</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36.3.1 未按规定时间或规定手续提交质疑的；</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36.3.2 质疑内容含糊不清、没有提供详细理由和依据，无法进行核查的；</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36.3.3 其他不符合质疑程序和有关规定的。</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被判定无效质疑的，采购人将书面回复投标单位其质疑无效的理由，并记录无效质疑一次。</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36.4</w:t>
      </w:r>
      <w:r>
        <w:rPr>
          <w:rFonts w:hint="eastAsia" w:ascii="宋体" w:hAnsi="宋体" w:cs="宋体"/>
          <w:color w:val="000000" w:themeColor="text1"/>
          <w:sz w:val="24"/>
          <w14:textFill>
            <w14:solidFill>
              <w14:schemeClr w14:val="tx1"/>
            </w14:solidFill>
          </w14:textFill>
        </w:rPr>
        <w:t>采购人</w:t>
      </w:r>
      <w:r>
        <w:rPr>
          <w:rFonts w:hint="eastAsia" w:ascii="宋体" w:hAnsi="宋体" w:cs="宋体"/>
          <w:bCs/>
          <w:color w:val="000000" w:themeColor="text1"/>
          <w:sz w:val="24"/>
          <w14:textFill>
            <w14:solidFill>
              <w14:schemeClr w14:val="tx1"/>
            </w14:solidFill>
          </w14:textFill>
        </w:rPr>
        <w:t>将在受到书面质疑后7个工作日内审查质疑事项，作出答复或相关处理决定，并以书面形式通知质疑人，但答复的内容不涉及商业秘密。</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36.5</w:t>
      </w:r>
      <w:r>
        <w:rPr>
          <w:rFonts w:hint="eastAsia" w:ascii="宋体" w:hAnsi="宋体" w:cs="宋体"/>
          <w:bCs/>
          <w:color w:val="000000" w:themeColor="text1"/>
          <w:sz w:val="24"/>
          <w14:textFill>
            <w14:solidFill>
              <w14:schemeClr w14:val="tx1"/>
            </w14:solidFill>
          </w14:textFill>
        </w:rPr>
        <w:t>投诉人有下列情形之一的，属于虚假、恶意投诉，</w:t>
      </w:r>
      <w:r>
        <w:rPr>
          <w:rFonts w:hint="eastAsia" w:ascii="宋体" w:hAnsi="宋体" w:cs="宋体"/>
          <w:color w:val="000000" w:themeColor="text1"/>
          <w:sz w:val="24"/>
          <w14:textFill>
            <w14:solidFill>
              <w14:schemeClr w14:val="tx1"/>
            </w14:solidFill>
          </w14:textFill>
        </w:rPr>
        <w:t>政府采购监督管理部门</w:t>
      </w:r>
      <w:r>
        <w:rPr>
          <w:rFonts w:hint="eastAsia" w:ascii="宋体" w:hAnsi="宋体" w:cs="宋体"/>
          <w:bCs/>
          <w:color w:val="000000" w:themeColor="text1"/>
          <w:sz w:val="24"/>
          <w14:textFill>
            <w14:solidFill>
              <w14:schemeClr w14:val="tx1"/>
            </w14:solidFill>
          </w14:textFill>
        </w:rPr>
        <w:t>将驳回投诉，将其列入不良行为记录名单，并依法予以处罚：</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36.5.1一年内三次以上投诉均查无实据的；</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36.5.2捏造事实、提供虚假投诉材料或提供以非法手段取得的证明材料质疑的；</w:t>
      </w:r>
    </w:p>
    <w:p>
      <w:pPr>
        <w:spacing w:line="360" w:lineRule="auto"/>
        <w:ind w:firstLine="523" w:firstLineChars="218"/>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36.5.3其他经认定属于虚假、恶意投诉的行为</w:t>
      </w:r>
      <w:r>
        <w:rPr>
          <w:rFonts w:hint="eastAsia" w:ascii="宋体" w:hAnsi="宋体" w:cs="宋体"/>
          <w:bCs/>
          <w:color w:val="000000" w:themeColor="text1"/>
          <w:sz w:val="24"/>
          <w14:textFill>
            <w14:solidFill>
              <w14:schemeClr w14:val="tx1"/>
            </w14:solidFill>
          </w14:textFill>
        </w:rPr>
        <w:t>。</w:t>
      </w:r>
    </w:p>
    <w:p>
      <w:pPr>
        <w:spacing w:line="360" w:lineRule="auto"/>
        <w:ind w:firstLine="54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37.未尽事宜</w:t>
      </w:r>
    </w:p>
    <w:p>
      <w:pPr>
        <w:spacing w:line="360" w:lineRule="auto"/>
        <w:ind w:firstLine="5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37.1按《中华人民共和国政府采购法》及其他有关法律法规的规定执行。</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38.解释权</w:t>
      </w:r>
    </w:p>
    <w:p>
      <w:pPr>
        <w:spacing w:line="360" w:lineRule="auto"/>
        <w:ind w:firstLine="549"/>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38.1本招标文件的解释权属于采购人。</w:t>
      </w:r>
    </w:p>
    <w:p>
      <w:pPr>
        <w:spacing w:line="360" w:lineRule="auto"/>
        <w:rPr>
          <w:rFonts w:ascii="宋体" w:hAnsi="宋体" w:cs="宋体"/>
          <w:bCs/>
          <w:color w:val="000000" w:themeColor="text1"/>
          <w:sz w:val="24"/>
          <w14:textFill>
            <w14:solidFill>
              <w14:schemeClr w14:val="tx1"/>
            </w14:solidFill>
          </w14:textFill>
        </w:rPr>
      </w:pPr>
    </w:p>
    <w:p>
      <w:pPr>
        <w:pStyle w:val="8"/>
        <w:spacing w:before="0" w:after="0" w:line="500" w:lineRule="exact"/>
        <w:ind w:firstLine="0"/>
        <w:rPr>
          <w:rFonts w:ascii="方正小标宋简体" w:hAnsi="黑体" w:eastAsia="方正小标宋简体" w:cs="黑体"/>
          <w:b w:val="0"/>
          <w:color w:val="000000" w:themeColor="text1"/>
          <w:sz w:val="28"/>
          <w:szCs w:val="28"/>
          <w14:textFill>
            <w14:solidFill>
              <w14:schemeClr w14:val="tx1"/>
            </w14:solidFill>
          </w14:textFill>
        </w:rPr>
      </w:pPr>
      <w:bookmarkStart w:id="109" w:name="_Toc220232391"/>
      <w:bookmarkStart w:id="110" w:name="_Toc26087_WPSOffice_Level1"/>
      <w:r>
        <w:rPr>
          <w:rFonts w:ascii="宋体" w:hAnsi="宋体" w:eastAsia="宋体" w:cs="宋体"/>
          <w:color w:val="000000" w:themeColor="text1"/>
          <w14:textFill>
            <w14:solidFill>
              <w14:schemeClr w14:val="tx1"/>
            </w14:solidFill>
          </w14:textFill>
        </w:rPr>
        <w:br w:type="page"/>
      </w:r>
      <w:bookmarkStart w:id="111" w:name="_Toc40975448"/>
      <w:r>
        <w:rPr>
          <w:rFonts w:hint="eastAsia" w:ascii="宋体" w:hAnsi="宋体" w:eastAsia="宋体" w:cs="宋体"/>
          <w:color w:val="000000" w:themeColor="text1"/>
          <w14:textFill>
            <w14:solidFill>
              <w14:schemeClr w14:val="tx1"/>
            </w14:solidFill>
          </w14:textFill>
        </w:rPr>
        <w:t>第六章</w:t>
      </w:r>
      <w:bookmarkEnd w:id="109"/>
      <w:bookmarkStart w:id="112" w:name="_Toc220232392"/>
      <w:r>
        <w:rPr>
          <w:rFonts w:hint="eastAsia" w:ascii="宋体" w:hAnsi="宋体" w:eastAsia="宋体" w:cs="宋体"/>
          <w:color w:val="000000" w:themeColor="text1"/>
          <w14:textFill>
            <w14:solidFill>
              <w14:schemeClr w14:val="tx1"/>
            </w14:solidFill>
          </w14:textFill>
        </w:rPr>
        <w:t xml:space="preserve"> </w:t>
      </w:r>
      <w:bookmarkEnd w:id="110"/>
      <w:bookmarkEnd w:id="111"/>
      <w:bookmarkEnd w:id="112"/>
      <w:r>
        <w:rPr>
          <w:rFonts w:hint="eastAsia" w:ascii="方正小标宋简体" w:hAnsi="黑体" w:eastAsia="方正小标宋简体" w:cs="黑体"/>
          <w:b w:val="0"/>
          <w:color w:val="000000" w:themeColor="text1"/>
          <w:w w:val="92"/>
          <w:sz w:val="28"/>
          <w:szCs w:val="28"/>
          <w14:textFill>
            <w14:solidFill>
              <w14:schemeClr w14:val="tx1"/>
            </w14:solidFill>
          </w14:textFill>
        </w:rPr>
        <w:t>周口市</w:t>
      </w:r>
      <w:r>
        <w:rPr>
          <w:rFonts w:hint="eastAsia" w:ascii="方正小标宋简体" w:hAnsi="黑体" w:eastAsia="方正小标宋简体" w:cs="黑体"/>
          <w:b w:val="0"/>
          <w:color w:val="000000" w:themeColor="text1"/>
          <w:sz w:val="28"/>
          <w:szCs w:val="28"/>
          <w14:textFill>
            <w14:solidFill>
              <w14:schemeClr w14:val="tx1"/>
            </w14:solidFill>
          </w14:textFill>
        </w:rPr>
        <w:t>政府采购合同（货物类）标准文本</w:t>
      </w:r>
    </w:p>
    <w:p>
      <w:pPr>
        <w:rPr>
          <w:rFonts w:ascii="黑体" w:hAnsi="黑体" w:eastAsia="黑体" w:cs="黑体"/>
          <w:color w:val="000000" w:themeColor="text1"/>
          <w:sz w:val="28"/>
          <w:szCs w:val="28"/>
          <w14:textFill>
            <w14:solidFill>
              <w14:schemeClr w14:val="tx1"/>
            </w14:solidFill>
          </w14:textFill>
        </w:rPr>
      </w:pPr>
    </w:p>
    <w:p>
      <w:pPr>
        <w:pStyle w:val="516"/>
        <w:spacing w:beforeLines="0" w:afterLines="0"/>
        <w:ind w:left="0"/>
        <w:rPr>
          <w:rFonts w:ascii="黑体" w:hAnsi="黑体" w:eastAsia="黑体" w:cs="黑体"/>
          <w:color w:val="000000" w:themeColor="text1"/>
          <w:sz w:val="32"/>
          <w:szCs w:val="32"/>
          <w14:textFill>
            <w14:solidFill>
              <w14:schemeClr w14:val="tx1"/>
            </w14:solidFill>
          </w14:textFill>
        </w:rPr>
      </w:pPr>
    </w:p>
    <w:p>
      <w:pPr>
        <w:pStyle w:val="516"/>
        <w:spacing w:beforeLines="0" w:afterLines="0"/>
        <w:ind w:left="0"/>
        <w:rPr>
          <w:rFonts w:ascii="黑体" w:hAnsi="黑体" w:eastAsia="黑体" w:cs="黑体"/>
          <w:color w:val="000000" w:themeColor="text1"/>
          <w:sz w:val="32"/>
          <w:szCs w:val="32"/>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政府采购项目名称：</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政府采购项目编号：</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采      购    人：</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供      应    商：</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合  同  签 订 地：</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合 同 签订 时 间：</w:t>
      </w: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rPr>
          <w:rFonts w:ascii="黑体" w:hAnsi="黑体" w:eastAsia="黑体" w:cs="黑体"/>
          <w:color w:val="000000" w:themeColor="text1"/>
          <w:sz w:val="30"/>
          <w:szCs w:val="30"/>
          <w14:textFill>
            <w14:solidFill>
              <w14:schemeClr w14:val="tx1"/>
            </w14:solidFill>
          </w14:textFill>
        </w:rPr>
      </w:pPr>
    </w:p>
    <w:p>
      <w:pPr>
        <w:pStyle w:val="516"/>
        <w:spacing w:beforeLines="0" w:afterLines="0"/>
        <w:ind w:left="0"/>
        <w:jc w:val="center"/>
        <w:rPr>
          <w:rFonts w:ascii="方正小标宋简体" w:eastAsia="方正小标宋简体"/>
          <w:color w:val="000000" w:themeColor="text1"/>
          <w:sz w:val="32"/>
          <w:szCs w:val="32"/>
          <w14:textFill>
            <w14:solidFill>
              <w14:schemeClr w14:val="tx1"/>
            </w14:solidFill>
          </w14:textFill>
        </w:rPr>
      </w:pPr>
    </w:p>
    <w:p>
      <w:pPr>
        <w:pStyle w:val="516"/>
        <w:spacing w:beforeLines="0" w:afterLines="0" w:line="460" w:lineRule="exact"/>
        <w:ind w:left="0"/>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合同签订指引</w:t>
      </w:r>
    </w:p>
    <w:p>
      <w:pPr>
        <w:pStyle w:val="516"/>
        <w:spacing w:beforeLines="0" w:afterLines="0" w:line="460" w:lineRule="exact"/>
        <w:ind w:left="0" w:firstLine="420" w:firstLineChars="200"/>
        <w:rPr>
          <w:color w:val="000000" w:themeColor="text1"/>
          <w:szCs w:val="21"/>
          <w14:textFill>
            <w14:solidFill>
              <w14:schemeClr w14:val="tx1"/>
            </w14:solidFill>
          </w14:textFill>
        </w:rPr>
      </w:pP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一、采购人在签订合同时应提供的资料：</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1、该政府采购项目的招标采购文件（以网上发布内容为准）；</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2、该政府采购项目招标文件的澄清和修改内容（公告内容）；</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3、该政府采购项目评审报告；</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4、采购单位法人授权委托书（法人到场并签字的除外）；</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5、采购单位被授权人身份证件（法人到场并签字的除外）；</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6、采购人和中标供应商约定的其它内容（不得超出招标采购文件实质性内容）。</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二、供应商在签订合同时应提供的资料：</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1、该政府采购项目的投标文件（纸质或DPF格式的电子投标文件）；</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2、针对该项目评审时评审委员会提出的质询答复（纸质并签章）；</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3、该政府采购项目中标通知书；</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4、供应商法人授权委托书（法人到场并签字的除外）；</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5、供应商被授权人身份证件（法人到场并签字的除外）；</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6、供应商和采购人约定的其它内容（不得超出招标采购文件实质性内容）。</w:t>
      </w:r>
    </w:p>
    <w:p>
      <w:pPr>
        <w:pStyle w:val="516"/>
        <w:spacing w:beforeLines="0" w:afterLines="0" w:line="460" w:lineRule="exact"/>
        <w:ind w:left="0" w:firstLine="420" w:firstLineChars="200"/>
        <w:rPr>
          <w:color w:val="000000" w:themeColor="text1"/>
          <w:sz w:val="30"/>
          <w:szCs w:val="30"/>
          <w14:textFill>
            <w14:solidFill>
              <w14:schemeClr w14:val="tx1"/>
            </w14:solidFill>
          </w14:textFill>
        </w:rPr>
      </w:pPr>
      <w:r>
        <w:rPr>
          <w:rFonts w:hint="eastAsia"/>
          <w:color w:val="000000" w:themeColor="text1"/>
          <w:szCs w:val="21"/>
          <w14:textFill>
            <w14:solidFill>
              <w14:schemeClr w14:val="tx1"/>
            </w14:solidFill>
          </w14:textFill>
        </w:rPr>
        <w:t>三、本合同签订后二个工作日内有采购人在“周口市政府采购网”上进行合同公示。</w:t>
      </w:r>
    </w:p>
    <w:p>
      <w:pPr>
        <w:pStyle w:val="516"/>
        <w:spacing w:beforeLines="0" w:afterLines="0" w:line="460" w:lineRule="exact"/>
        <w:ind w:left="0" w:firstLine="640" w:firstLineChars="200"/>
        <w:jc w:val="center"/>
        <w:rPr>
          <w:rFonts w:ascii="方正小标宋简体" w:eastAsia="方正小标宋简体"/>
          <w:bCs/>
          <w:color w:val="000000" w:themeColor="text1"/>
          <w:sz w:val="32"/>
          <w:szCs w:val="32"/>
          <w14:textFill>
            <w14:solidFill>
              <w14:schemeClr w14:val="tx1"/>
            </w14:solidFill>
          </w14:textFill>
        </w:rPr>
      </w:pPr>
    </w:p>
    <w:p>
      <w:pPr>
        <w:pStyle w:val="516"/>
        <w:spacing w:beforeLines="0" w:afterLines="0" w:line="460" w:lineRule="exact"/>
        <w:ind w:left="0" w:firstLine="640" w:firstLineChars="200"/>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bCs/>
          <w:color w:val="000000" w:themeColor="text1"/>
          <w:sz w:val="32"/>
          <w:szCs w:val="32"/>
          <w14:textFill>
            <w14:solidFill>
              <w14:schemeClr w14:val="tx1"/>
            </w14:solidFill>
          </w14:textFill>
        </w:rPr>
        <w:t>供应商履约验收指引</w:t>
      </w:r>
    </w:p>
    <w:p>
      <w:pPr>
        <w:pStyle w:val="516"/>
        <w:numPr>
          <w:ilvl w:val="0"/>
          <w:numId w:val="5"/>
        </w:numPr>
        <w:spacing w:beforeLines="0" w:afterLines="0" w:line="460" w:lineRule="exact"/>
        <w:ind w:left="0" w:firstLine="420" w:firstLineChars="200"/>
        <w:rPr>
          <w:color w:val="000000" w:themeColor="text1"/>
          <w:szCs w:val="27"/>
          <w14:textFill>
            <w14:solidFill>
              <w14:schemeClr w14:val="tx1"/>
            </w14:solidFill>
          </w14:textFill>
        </w:rPr>
      </w:pPr>
      <w:r>
        <w:rPr>
          <w:rFonts w:hint="eastAsia" w:ascii="宋体"/>
          <w:color w:val="000000" w:themeColor="text1"/>
          <w:szCs w:val="21"/>
          <w14:textFill>
            <w14:solidFill>
              <w14:schemeClr w14:val="tx1"/>
            </w14:solidFill>
          </w14:textFill>
        </w:rPr>
        <w:t>供应商不得擅自变更合同标的物内容；</w:t>
      </w:r>
    </w:p>
    <w:p>
      <w:pPr>
        <w:pStyle w:val="516"/>
        <w:spacing w:beforeLines="0" w:afterLines="0" w:line="46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2、不得以次充好、高投低配，确因在合同执行中不可抗力因素造成的，应提供相关依据；</w:t>
      </w:r>
    </w:p>
    <w:p>
      <w:pPr>
        <w:pStyle w:val="516"/>
        <w:spacing w:beforeLines="0" w:afterLines="0" w:line="46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3、对因客观上采购人采购需求发生变化造成的，应提供采、供双方的纸质备忘录材料；</w:t>
      </w:r>
    </w:p>
    <w:p>
      <w:pPr>
        <w:pStyle w:val="516"/>
        <w:spacing w:beforeLines="0" w:afterLines="0" w:line="46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4、在满足验收条件5个工作日内通知采购人组织验收；</w:t>
      </w:r>
    </w:p>
    <w:p>
      <w:pPr>
        <w:pStyle w:val="516"/>
        <w:spacing w:beforeLines="0" w:afterLines="0" w:line="460" w:lineRule="exact"/>
        <w:ind w:left="0" w:firstLine="420" w:firstLineChars="200"/>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供应商应提供需验收物品的清单、参数、使用手册、人员培训情况等资料；</w:t>
      </w:r>
    </w:p>
    <w:p>
      <w:pPr>
        <w:pStyle w:val="516"/>
        <w:spacing w:beforeLines="0" w:afterLines="0" w:line="46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6、采、供双方约定的验收机构及相关人员组成情况。</w:t>
      </w:r>
    </w:p>
    <w:p>
      <w:pPr>
        <w:pStyle w:val="516"/>
        <w:spacing w:beforeLines="0" w:afterLines="0" w:line="460" w:lineRule="exact"/>
        <w:ind w:left="0" w:firstLine="420" w:firstLineChars="200"/>
        <w:rPr>
          <w:color w:val="000000" w:themeColor="text1"/>
          <w:szCs w:val="27"/>
          <w14:textFill>
            <w14:solidFill>
              <w14:schemeClr w14:val="tx1"/>
            </w14:solidFill>
          </w14:textFill>
        </w:rPr>
      </w:pPr>
      <w:r>
        <w:rPr>
          <w:rFonts w:hint="eastAsia" w:ascii="宋体"/>
          <w:color w:val="000000" w:themeColor="text1"/>
          <w:szCs w:val="21"/>
          <w14:textFill>
            <w14:solidFill>
              <w14:schemeClr w14:val="tx1"/>
            </w14:solidFill>
          </w14:textFill>
        </w:rPr>
        <w:t>7、督促采购人在项目验收结束并达到相关要求后一个工作日内，在</w:t>
      </w:r>
      <w:r>
        <w:rPr>
          <w:rFonts w:hint="eastAsia"/>
          <w:color w:val="000000" w:themeColor="text1"/>
          <w:szCs w:val="21"/>
          <w14:textFill>
            <w14:solidFill>
              <w14:schemeClr w14:val="tx1"/>
            </w14:solidFill>
          </w14:textFill>
        </w:rPr>
        <w:t>“周口市政府采购网”上进行“履约验收”公示。</w:t>
      </w:r>
    </w:p>
    <w:p>
      <w:pPr>
        <w:pStyle w:val="8"/>
        <w:spacing w:before="0" w:after="0" w:line="520" w:lineRule="exact"/>
        <w:ind w:firstLine="0"/>
        <w:rPr>
          <w:rFonts w:ascii="方正小标宋简体" w:hAnsi="宋体" w:eastAsia="方正小标宋简体"/>
          <w:b w:val="0"/>
          <w:color w:val="000000" w:themeColor="text1"/>
          <w14:textFill>
            <w14:solidFill>
              <w14:schemeClr w14:val="tx1"/>
            </w14:solidFill>
          </w14:textFill>
        </w:rPr>
      </w:pPr>
    </w:p>
    <w:p>
      <w:pPr>
        <w:pStyle w:val="8"/>
        <w:spacing w:before="0" w:after="0" w:line="520" w:lineRule="exact"/>
        <w:ind w:firstLine="0"/>
        <w:rPr>
          <w:rFonts w:ascii="方正小标宋简体" w:hAnsi="宋体" w:eastAsia="方正小标宋简体"/>
          <w:b w:val="0"/>
          <w:color w:val="000000" w:themeColor="text1"/>
          <w14:textFill>
            <w14:solidFill>
              <w14:schemeClr w14:val="tx1"/>
            </w14:solidFill>
          </w14:textFill>
        </w:rPr>
      </w:pPr>
    </w:p>
    <w:p>
      <w:pPr>
        <w:pStyle w:val="8"/>
        <w:spacing w:before="0" w:after="0" w:line="520" w:lineRule="exact"/>
        <w:ind w:firstLine="0"/>
        <w:rPr>
          <w:rFonts w:ascii="方正小标宋简体" w:hAnsi="宋体" w:eastAsia="方正小标宋简体"/>
          <w:b w:val="0"/>
          <w:color w:val="000000" w:themeColor="text1"/>
          <w14:textFill>
            <w14:solidFill>
              <w14:schemeClr w14:val="tx1"/>
            </w14:solidFill>
          </w14:textFill>
        </w:rPr>
      </w:pPr>
    </w:p>
    <w:p>
      <w:pPr>
        <w:pStyle w:val="8"/>
        <w:spacing w:before="0" w:after="0" w:line="520" w:lineRule="exact"/>
        <w:ind w:firstLine="0"/>
        <w:rPr>
          <w:rFonts w:ascii="方正小标宋简体" w:hAnsi="宋体" w:eastAsia="方正小标宋简体"/>
          <w:b w:val="0"/>
          <w:color w:val="000000" w:themeColor="text1"/>
          <w14:textFill>
            <w14:solidFill>
              <w14:schemeClr w14:val="tx1"/>
            </w14:solidFill>
          </w14:textFill>
        </w:rPr>
      </w:pPr>
    </w:p>
    <w:p>
      <w:pPr>
        <w:pStyle w:val="8"/>
        <w:spacing w:before="0" w:after="0" w:line="520" w:lineRule="exact"/>
        <w:ind w:firstLine="0"/>
        <w:rPr>
          <w:rFonts w:ascii="方正小标宋简体" w:hAnsi="宋体" w:eastAsia="方正小标宋简体"/>
          <w:b w:val="0"/>
          <w:color w:val="000000" w:themeColor="text1"/>
          <w14:textFill>
            <w14:solidFill>
              <w14:schemeClr w14:val="tx1"/>
            </w14:solidFill>
          </w14:textFill>
        </w:rPr>
      </w:pPr>
    </w:p>
    <w:p>
      <w:pPr>
        <w:rPr>
          <w:rFonts w:ascii="方正小标宋简体" w:hAnsi="宋体" w:eastAsia="方正小标宋简体"/>
          <w:color w:val="000000" w:themeColor="text1"/>
          <w14:textFill>
            <w14:solidFill>
              <w14:schemeClr w14:val="tx1"/>
            </w14:solidFill>
          </w14:textFill>
        </w:rPr>
      </w:pPr>
    </w:p>
    <w:p>
      <w:pPr>
        <w:pStyle w:val="80"/>
        <w:ind w:firstLine="210"/>
        <w:rPr>
          <w:rFonts w:ascii="方正小标宋简体" w:hAnsi="宋体" w:eastAsia="方正小标宋简体"/>
          <w:color w:val="000000" w:themeColor="text1"/>
          <w14:textFill>
            <w14:solidFill>
              <w14:schemeClr w14:val="tx1"/>
            </w14:solidFill>
          </w14:textFill>
        </w:rPr>
      </w:pPr>
    </w:p>
    <w:p>
      <w:pPr>
        <w:pStyle w:val="80"/>
        <w:ind w:firstLine="210"/>
        <w:rPr>
          <w:rFonts w:ascii="方正小标宋简体" w:hAnsi="宋体" w:eastAsia="方正小标宋简体"/>
          <w:color w:val="000000" w:themeColor="text1"/>
          <w14:textFill>
            <w14:solidFill>
              <w14:schemeClr w14:val="tx1"/>
            </w14:solidFill>
          </w14:textFill>
        </w:rPr>
      </w:pPr>
    </w:p>
    <w:p>
      <w:pPr>
        <w:pStyle w:val="80"/>
        <w:ind w:firstLine="210"/>
        <w:rPr>
          <w:rFonts w:ascii="方正小标宋简体" w:hAnsi="宋体" w:eastAsia="方正小标宋简体"/>
          <w:color w:val="000000" w:themeColor="text1"/>
          <w14:textFill>
            <w14:solidFill>
              <w14:schemeClr w14:val="tx1"/>
            </w14:solidFill>
          </w14:textFill>
        </w:rPr>
      </w:pPr>
    </w:p>
    <w:p>
      <w:pPr>
        <w:pStyle w:val="80"/>
        <w:ind w:firstLine="210"/>
        <w:rPr>
          <w:rFonts w:ascii="方正小标宋简体" w:hAnsi="宋体" w:eastAsia="方正小标宋简体"/>
          <w:color w:val="000000" w:themeColor="text1"/>
          <w14:textFill>
            <w14:solidFill>
              <w14:schemeClr w14:val="tx1"/>
            </w14:solidFill>
          </w14:textFill>
        </w:rPr>
      </w:pPr>
    </w:p>
    <w:p>
      <w:pPr>
        <w:pStyle w:val="8"/>
        <w:spacing w:before="0" w:after="0" w:line="520" w:lineRule="exact"/>
        <w:ind w:firstLine="0"/>
        <w:jc w:val="both"/>
        <w:rPr>
          <w:rFonts w:ascii="方正小标宋简体" w:hAnsi="宋体" w:eastAsia="方正小标宋简体"/>
          <w:b w:val="0"/>
          <w:color w:val="000000" w:themeColor="text1"/>
          <w14:textFill>
            <w14:solidFill>
              <w14:schemeClr w14:val="tx1"/>
            </w14:solidFill>
          </w14:textFill>
        </w:rPr>
      </w:pPr>
    </w:p>
    <w:p>
      <w:pPr>
        <w:pStyle w:val="8"/>
        <w:spacing w:before="0" w:after="0" w:line="520" w:lineRule="exact"/>
        <w:ind w:firstLine="0"/>
        <w:rPr>
          <w:rFonts w:hint="eastAsia" w:ascii="方正小标宋简体" w:hAnsi="宋体" w:eastAsia="方正小标宋简体"/>
          <w:b w:val="0"/>
          <w:color w:val="000000" w:themeColor="text1"/>
          <w:szCs w:val="36"/>
          <w:lang w:eastAsia="zh-CN"/>
          <w14:textFill>
            <w14:solidFill>
              <w14:schemeClr w14:val="tx1"/>
            </w14:solidFill>
          </w14:textFill>
        </w:rPr>
      </w:pPr>
      <w:r>
        <w:rPr>
          <w:rFonts w:hint="eastAsia" w:ascii="方正小标宋简体" w:hAnsi="宋体" w:eastAsia="方正小标宋简体"/>
          <w:b w:val="0"/>
          <w:color w:val="000000" w:themeColor="text1"/>
          <w14:textFill>
            <w14:solidFill>
              <w14:schemeClr w14:val="tx1"/>
            </w14:solidFill>
          </w14:textFill>
        </w:rPr>
        <w:t>采购合同内容</w:t>
      </w:r>
      <w:r>
        <w:rPr>
          <w:rFonts w:hint="eastAsia" w:asciiTheme="minorEastAsia" w:hAnsiTheme="minorEastAsia" w:eastAsiaTheme="minorEastAsia" w:cstheme="minorEastAsia"/>
          <w:b/>
          <w:bCs w:val="0"/>
          <w:color w:val="FF0000"/>
          <w:lang w:eastAsia="zh-CN"/>
        </w:rPr>
        <w:t>（</w:t>
      </w:r>
      <w:r>
        <w:rPr>
          <w:rFonts w:hint="eastAsia" w:asciiTheme="minorEastAsia" w:hAnsiTheme="minorEastAsia" w:eastAsiaTheme="minorEastAsia" w:cstheme="minorEastAsia"/>
          <w:b/>
          <w:bCs w:val="0"/>
          <w:color w:val="FF0000"/>
          <w:lang w:val="en-US" w:eastAsia="zh-CN"/>
        </w:rPr>
        <w:t>仅供参考</w:t>
      </w:r>
      <w:r>
        <w:rPr>
          <w:rFonts w:hint="eastAsia" w:asciiTheme="minorEastAsia" w:hAnsiTheme="minorEastAsia" w:eastAsiaTheme="minorEastAsia" w:cstheme="minorEastAsia"/>
          <w:b/>
          <w:bCs w:val="0"/>
          <w:color w:val="FF0000"/>
          <w:lang w:eastAsia="zh-CN"/>
        </w:rPr>
        <w:t>）</w:t>
      </w:r>
    </w:p>
    <w:p>
      <w:pPr>
        <w:spacing w:line="520" w:lineRule="exact"/>
        <w:ind w:firstLine="420" w:firstLineChars="200"/>
        <w:rPr>
          <w:color w:val="000000" w:themeColor="text1"/>
          <w:szCs w:val="27"/>
          <w14:textFill>
            <w14:solidFill>
              <w14:schemeClr w14:val="tx1"/>
            </w14:solidFill>
          </w14:textFill>
        </w:rPr>
      </w:pP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采购人</w:t>
      </w:r>
      <w:r>
        <w:rPr>
          <w:color w:val="000000" w:themeColor="text1"/>
          <w:szCs w:val="27"/>
          <w14:textFill>
            <w14:solidFill>
              <w14:schemeClr w14:val="tx1"/>
            </w14:solidFill>
          </w14:textFill>
        </w:rPr>
        <w:t>（甲方）：</w:t>
      </w:r>
      <w:r>
        <w:rPr>
          <w:rFonts w:hint="eastAsia"/>
          <w:color w:val="000000" w:themeColor="text1"/>
          <w:szCs w:val="27"/>
          <w14:textFill>
            <w14:solidFill>
              <w14:schemeClr w14:val="tx1"/>
            </w14:solidFill>
          </w14:textFill>
        </w:rPr>
        <w:t xml:space="preserve"> </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供应商</w:t>
      </w:r>
      <w:r>
        <w:rPr>
          <w:color w:val="000000" w:themeColor="text1"/>
          <w:szCs w:val="27"/>
          <w14:textFill>
            <w14:solidFill>
              <w14:schemeClr w14:val="tx1"/>
            </w14:solidFill>
          </w14:textFill>
        </w:rPr>
        <w:t>（乙方）</w:t>
      </w:r>
      <w:r>
        <w:rPr>
          <w:rFonts w:hint="eastAsia"/>
          <w:color w:val="000000" w:themeColor="text1"/>
          <w:szCs w:val="27"/>
          <w14:textFill>
            <w14:solidFill>
              <w14:schemeClr w14:val="tx1"/>
            </w14:solidFill>
          </w14:textFill>
        </w:rPr>
        <w:t>：</w:t>
      </w: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签订地点：</w:t>
      </w: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项目名称：</w:t>
      </w: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项目编号：</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财政委托号：</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(财政资金项目必须填写)</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本项目经批准采用</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采购方式，经本项目评审委员会认真评审，决定将采购合同授予乙方。为进一步明确双方的责任，确保合同的顺利履行，</w:t>
      </w:r>
      <w:r>
        <w:rPr>
          <w:color w:val="000000" w:themeColor="text1"/>
          <w:szCs w:val="27"/>
          <w14:textFill>
            <w14:solidFill>
              <w14:schemeClr w14:val="tx1"/>
            </w14:solidFill>
          </w14:textFill>
        </w:rPr>
        <w:t>根据《中华人民共和</w:t>
      </w:r>
      <w:r>
        <w:rPr>
          <w:rFonts w:hint="eastAsia"/>
          <w:color w:val="000000" w:themeColor="text1"/>
          <w:szCs w:val="27"/>
          <w14:textFill>
            <w14:solidFill>
              <w14:schemeClr w14:val="tx1"/>
            </w14:solidFill>
          </w14:textFill>
        </w:rPr>
        <w:t>国采购法</w:t>
      </w:r>
      <w:r>
        <w:rPr>
          <w:color w:val="000000" w:themeColor="text1"/>
          <w:szCs w:val="27"/>
          <w14:textFill>
            <w14:solidFill>
              <w14:schemeClr w14:val="tx1"/>
            </w14:solidFill>
          </w14:textFill>
        </w:rPr>
        <w:t>法》</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t>《中华人民共和国</w:t>
      </w:r>
      <w:r>
        <w:rPr>
          <w:rFonts w:hint="eastAsia"/>
          <w:color w:val="000000" w:themeColor="text1"/>
          <w:szCs w:val="27"/>
          <w:lang w:val="en-US" w:eastAsia="zh-CN"/>
          <w14:textFill>
            <w14:solidFill>
              <w14:schemeClr w14:val="tx1"/>
            </w14:solidFill>
          </w14:textFill>
        </w:rPr>
        <w:t>民法典</w:t>
      </w:r>
      <w:r>
        <w:rPr>
          <w:color w:val="000000" w:themeColor="text1"/>
          <w:szCs w:val="27"/>
          <w14:textFill>
            <w14:solidFill>
              <w14:schemeClr w14:val="tx1"/>
            </w14:solidFill>
          </w14:textFill>
        </w:rPr>
        <w:t>》之规定，经甲乙双方充分协商，特订立</w:t>
      </w:r>
      <w:r>
        <w:rPr>
          <w:rFonts w:hint="eastAsia"/>
          <w:color w:val="000000" w:themeColor="text1"/>
          <w:szCs w:val="27"/>
          <w14:textFill>
            <w14:solidFill>
              <w14:schemeClr w14:val="tx1"/>
            </w14:solidFill>
          </w14:textFill>
        </w:rPr>
        <w:t>本</w:t>
      </w:r>
      <w:r>
        <w:rPr>
          <w:color w:val="000000" w:themeColor="text1"/>
          <w:szCs w:val="27"/>
          <w14:textFill>
            <w14:solidFill>
              <w14:schemeClr w14:val="tx1"/>
            </w14:solidFill>
          </w14:textFill>
        </w:rPr>
        <w:t>合同，以便共同遵守。</w:t>
      </w:r>
    </w:p>
    <w:p>
      <w:pPr>
        <w:spacing w:line="360" w:lineRule="auto"/>
        <w:ind w:firstLine="422" w:firstLineChars="200"/>
        <w:rPr>
          <w:color w:val="000000" w:themeColor="text1"/>
          <w:u w:val="single"/>
          <w14:textFill>
            <w14:solidFill>
              <w14:schemeClr w14:val="tx1"/>
            </w14:solidFill>
          </w14:textFill>
        </w:rPr>
      </w:pPr>
      <w:r>
        <w:rPr>
          <w:b/>
          <w:bCs/>
          <w:color w:val="000000" w:themeColor="text1"/>
          <w:szCs w:val="27"/>
          <w14:textFill>
            <w14:solidFill>
              <w14:schemeClr w14:val="tx1"/>
            </w14:solidFill>
          </w14:textFill>
        </w:rPr>
        <w:t>第一条</w:t>
      </w:r>
      <w:r>
        <w:rPr>
          <w:color w:val="000000" w:themeColor="text1"/>
          <w:szCs w:val="27"/>
          <w14:textFill>
            <w14:solidFill>
              <w14:schemeClr w14:val="tx1"/>
            </w14:solidFill>
          </w14:textFill>
        </w:rPr>
        <w:t> </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产品的名称、品种、规格</w:t>
      </w:r>
      <w:r>
        <w:rPr>
          <w:rFonts w:hint="eastAsia"/>
          <w:color w:val="000000" w:themeColor="text1"/>
          <w:szCs w:val="27"/>
          <w14:textFill>
            <w14:solidFill>
              <w14:schemeClr w14:val="tx1"/>
            </w14:solidFill>
          </w14:textFill>
        </w:rPr>
        <w:t>、数量和价格：（若产品过多则见附表，如有附表则必须加盖印章）</w:t>
      </w:r>
    </w:p>
    <w:tbl>
      <w:tblPr>
        <w:tblStyle w:val="71"/>
        <w:tblW w:w="9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816"/>
        <w:gridCol w:w="1009"/>
        <w:gridCol w:w="1009"/>
        <w:gridCol w:w="1199"/>
        <w:gridCol w:w="139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219" w:type="dxa"/>
          </w:tcPr>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1816" w:type="dxa"/>
          </w:tcPr>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1009" w:type="dxa"/>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009" w:type="dxa"/>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99" w:type="dxa"/>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tc>
        <w:tc>
          <w:tcPr>
            <w:tcW w:w="1399" w:type="dxa"/>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小计</w:t>
            </w:r>
          </w:p>
        </w:tc>
        <w:tc>
          <w:tcPr>
            <w:tcW w:w="1238" w:type="dxa"/>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219" w:type="dxa"/>
          </w:tcPr>
          <w:p>
            <w:pPr>
              <w:spacing w:line="360" w:lineRule="auto"/>
              <w:ind w:firstLine="420" w:firstLineChars="200"/>
              <w:rPr>
                <w:color w:val="000000" w:themeColor="text1"/>
                <w14:textFill>
                  <w14:solidFill>
                    <w14:schemeClr w14:val="tx1"/>
                  </w14:solidFill>
                </w14:textFill>
              </w:rPr>
            </w:pPr>
          </w:p>
        </w:tc>
        <w:tc>
          <w:tcPr>
            <w:tcW w:w="1816"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199" w:type="dxa"/>
          </w:tcPr>
          <w:p>
            <w:pPr>
              <w:spacing w:line="360" w:lineRule="auto"/>
              <w:ind w:firstLine="420" w:firstLineChars="200"/>
              <w:rPr>
                <w:color w:val="000000" w:themeColor="text1"/>
                <w14:textFill>
                  <w14:solidFill>
                    <w14:schemeClr w14:val="tx1"/>
                  </w14:solidFill>
                </w14:textFill>
              </w:rPr>
            </w:pPr>
          </w:p>
        </w:tc>
        <w:tc>
          <w:tcPr>
            <w:tcW w:w="1399" w:type="dxa"/>
          </w:tcPr>
          <w:p>
            <w:pPr>
              <w:spacing w:line="360" w:lineRule="auto"/>
              <w:ind w:firstLine="420" w:firstLineChars="200"/>
              <w:rPr>
                <w:color w:val="000000" w:themeColor="text1"/>
                <w14:textFill>
                  <w14:solidFill>
                    <w14:schemeClr w14:val="tx1"/>
                  </w14:solidFill>
                </w14:textFill>
              </w:rPr>
            </w:pPr>
          </w:p>
        </w:tc>
        <w:tc>
          <w:tcPr>
            <w:tcW w:w="1238" w:type="dxa"/>
          </w:tcPr>
          <w:p>
            <w:pPr>
              <w:spacing w:line="360" w:lineRule="auto"/>
              <w:ind w:firstLine="420" w:firstLineChars="20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219" w:type="dxa"/>
          </w:tcPr>
          <w:p>
            <w:pPr>
              <w:spacing w:line="360" w:lineRule="auto"/>
              <w:ind w:firstLine="420" w:firstLineChars="200"/>
              <w:rPr>
                <w:color w:val="000000" w:themeColor="text1"/>
                <w14:textFill>
                  <w14:solidFill>
                    <w14:schemeClr w14:val="tx1"/>
                  </w14:solidFill>
                </w14:textFill>
              </w:rPr>
            </w:pPr>
          </w:p>
        </w:tc>
        <w:tc>
          <w:tcPr>
            <w:tcW w:w="1816"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199" w:type="dxa"/>
          </w:tcPr>
          <w:p>
            <w:pPr>
              <w:spacing w:line="360" w:lineRule="auto"/>
              <w:ind w:firstLine="420" w:firstLineChars="200"/>
              <w:rPr>
                <w:color w:val="000000" w:themeColor="text1"/>
                <w14:textFill>
                  <w14:solidFill>
                    <w14:schemeClr w14:val="tx1"/>
                  </w14:solidFill>
                </w14:textFill>
              </w:rPr>
            </w:pPr>
          </w:p>
        </w:tc>
        <w:tc>
          <w:tcPr>
            <w:tcW w:w="1399" w:type="dxa"/>
          </w:tcPr>
          <w:p>
            <w:pPr>
              <w:spacing w:line="360" w:lineRule="auto"/>
              <w:ind w:firstLine="420" w:firstLineChars="200"/>
              <w:rPr>
                <w:color w:val="000000" w:themeColor="text1"/>
                <w14:textFill>
                  <w14:solidFill>
                    <w14:schemeClr w14:val="tx1"/>
                  </w14:solidFill>
                </w14:textFill>
              </w:rPr>
            </w:pPr>
          </w:p>
        </w:tc>
        <w:tc>
          <w:tcPr>
            <w:tcW w:w="1238" w:type="dxa"/>
          </w:tcPr>
          <w:p>
            <w:pPr>
              <w:spacing w:line="360" w:lineRule="auto"/>
              <w:ind w:firstLine="420" w:firstLineChars="20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219" w:type="dxa"/>
          </w:tcPr>
          <w:p>
            <w:pPr>
              <w:spacing w:line="360" w:lineRule="auto"/>
              <w:ind w:firstLine="420" w:firstLineChars="200"/>
              <w:rPr>
                <w:color w:val="000000" w:themeColor="text1"/>
                <w14:textFill>
                  <w14:solidFill>
                    <w14:schemeClr w14:val="tx1"/>
                  </w14:solidFill>
                </w14:textFill>
              </w:rPr>
            </w:pPr>
          </w:p>
        </w:tc>
        <w:tc>
          <w:tcPr>
            <w:tcW w:w="1816"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009" w:type="dxa"/>
          </w:tcPr>
          <w:p>
            <w:pPr>
              <w:spacing w:line="360" w:lineRule="auto"/>
              <w:ind w:firstLine="420" w:firstLineChars="200"/>
              <w:rPr>
                <w:color w:val="000000" w:themeColor="text1"/>
                <w14:textFill>
                  <w14:solidFill>
                    <w14:schemeClr w14:val="tx1"/>
                  </w14:solidFill>
                </w14:textFill>
              </w:rPr>
            </w:pPr>
          </w:p>
        </w:tc>
        <w:tc>
          <w:tcPr>
            <w:tcW w:w="1199" w:type="dxa"/>
          </w:tcPr>
          <w:p>
            <w:pPr>
              <w:spacing w:line="360" w:lineRule="auto"/>
              <w:ind w:firstLine="420" w:firstLineChars="200"/>
              <w:rPr>
                <w:color w:val="000000" w:themeColor="text1"/>
                <w14:textFill>
                  <w14:solidFill>
                    <w14:schemeClr w14:val="tx1"/>
                  </w14:solidFill>
                </w14:textFill>
              </w:rPr>
            </w:pPr>
          </w:p>
        </w:tc>
        <w:tc>
          <w:tcPr>
            <w:tcW w:w="1399" w:type="dxa"/>
          </w:tcPr>
          <w:p>
            <w:pPr>
              <w:spacing w:line="360" w:lineRule="auto"/>
              <w:ind w:firstLine="420" w:firstLineChars="200"/>
              <w:rPr>
                <w:color w:val="000000" w:themeColor="text1"/>
                <w14:textFill>
                  <w14:solidFill>
                    <w14:schemeClr w14:val="tx1"/>
                  </w14:solidFill>
                </w14:textFill>
              </w:rPr>
            </w:pPr>
          </w:p>
        </w:tc>
        <w:tc>
          <w:tcPr>
            <w:tcW w:w="1238" w:type="dxa"/>
          </w:tcPr>
          <w:p>
            <w:pPr>
              <w:spacing w:line="360" w:lineRule="auto"/>
              <w:ind w:firstLine="420" w:firstLineChars="20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890" w:type="dxa"/>
            <w:gridSpan w:val="7"/>
          </w:tcPr>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合同总价款（大小写）：</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8"/>
                <w14:textFill>
                  <w14:solidFill>
                    <w14:schemeClr w14:val="tx1"/>
                  </w14:solidFill>
                </w14:textFill>
              </w:rPr>
              <w:t>备注：上述产品报价含产品生产、运输&lt;送达至甲方指定地点并下货&gt;、安装、调试、检验及售后服务、税金、劳保基金、人员培训等费用。</w:t>
            </w:r>
          </w:p>
        </w:tc>
      </w:tr>
    </w:tbl>
    <w:p>
      <w:pPr>
        <w:spacing w:line="360" w:lineRule="auto"/>
        <w:ind w:firstLine="422" w:firstLineChars="200"/>
        <w:rPr>
          <w:color w:val="000000" w:themeColor="text1"/>
          <w14:textFill>
            <w14:solidFill>
              <w14:schemeClr w14:val="tx1"/>
            </w14:solidFill>
          </w14:textFill>
        </w:rPr>
      </w:pPr>
      <w:r>
        <w:rPr>
          <w:rFonts w:hint="eastAsia"/>
          <w:b/>
          <w:bCs/>
          <w:color w:val="000000" w:themeColor="text1"/>
          <w:szCs w:val="27"/>
          <w14:textFill>
            <w14:solidFill>
              <w14:schemeClr w14:val="tx1"/>
            </w14:solidFill>
          </w14:textFill>
        </w:rPr>
        <w:t xml:space="preserve">第二条  </w:t>
      </w:r>
      <w:r>
        <w:rPr>
          <w:color w:val="000000" w:themeColor="text1"/>
          <w:szCs w:val="27"/>
          <w14:textFill>
            <w14:solidFill>
              <w14:schemeClr w14:val="tx1"/>
            </w14:solidFill>
          </w14:textFill>
        </w:rPr>
        <w:t>产品的技术标准（包括质量要求），按下列第（ ）项执行：</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①</w:t>
      </w:r>
      <w:r>
        <w:rPr>
          <w:color w:val="000000" w:themeColor="text1"/>
          <w:szCs w:val="27"/>
          <w14:textFill>
            <w14:solidFill>
              <w14:schemeClr w14:val="tx1"/>
            </w14:solidFill>
          </w14:textFill>
        </w:rPr>
        <w:t>按国家标准执行；</w:t>
      </w:r>
      <w:r>
        <w:rPr>
          <w:rFonts w:hint="eastAsia"/>
          <w:color w:val="000000" w:themeColor="text1"/>
          <w:szCs w:val="27"/>
          <w14:textFill>
            <w14:solidFill>
              <w14:schemeClr w14:val="tx1"/>
            </w14:solidFill>
          </w14:textFill>
        </w:rPr>
        <w:t>②</w:t>
      </w:r>
      <w:r>
        <w:rPr>
          <w:color w:val="000000" w:themeColor="text1"/>
          <w:szCs w:val="27"/>
          <w14:textFill>
            <w14:solidFill>
              <w14:schemeClr w14:val="tx1"/>
            </w14:solidFill>
          </w14:textFill>
        </w:rPr>
        <w:t>按部颁标准执行；</w:t>
      </w:r>
      <w:r>
        <w:rPr>
          <w:rFonts w:hint="eastAsia"/>
          <w:color w:val="000000" w:themeColor="text1"/>
          <w:szCs w:val="27"/>
          <w14:textFill>
            <w14:solidFill>
              <w14:schemeClr w14:val="tx1"/>
            </w14:solidFill>
          </w14:textFill>
        </w:rPr>
        <w:t>③若无以上标准，则应不低于同行业质量标准；④</w:t>
      </w:r>
      <w:r>
        <w:rPr>
          <w:color w:val="000000" w:themeColor="text1"/>
          <w:szCs w:val="27"/>
          <w14:textFill>
            <w14:solidFill>
              <w14:schemeClr w14:val="tx1"/>
            </w14:solidFill>
          </w14:textFill>
        </w:rPr>
        <w:t>有特殊要求的，按甲乙双方在合同中商定的技术条件、样品或补充的技术要求执行</w:t>
      </w:r>
      <w:r>
        <w:rPr>
          <w:rFonts w:hint="eastAsia"/>
          <w:color w:val="000000" w:themeColor="text1"/>
          <w:szCs w:val="27"/>
          <w14:textFill>
            <w14:solidFill>
              <w14:schemeClr w14:val="tx1"/>
            </w14:solidFill>
          </w14:textFill>
        </w:rPr>
        <w:t>；</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14:textFill>
            <w14:solidFill>
              <w14:schemeClr w14:val="tx1"/>
            </w14:solidFill>
          </w14:textFill>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firstLineChars="200"/>
        <w:jc w:val="left"/>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进口产品的质量标准为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41"/>
        <w:spacing w:line="360" w:lineRule="auto"/>
        <w:ind w:left="0" w:firstLine="482" w:firstLineChars="200"/>
        <w:rPr>
          <w:rFonts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第</w:t>
      </w:r>
      <w:r>
        <w:rPr>
          <w:rFonts w:ascii="宋体" w:hAnsi="宋体" w:eastAsia="宋体"/>
          <w:b/>
          <w:bCs/>
          <w:color w:val="000000" w:themeColor="text1"/>
          <w:sz w:val="24"/>
          <w14:textFill>
            <w14:solidFill>
              <w14:schemeClr w14:val="tx1"/>
            </w14:solidFill>
          </w14:textFill>
        </w:rPr>
        <w:t>三</w:t>
      </w:r>
      <w:r>
        <w:rPr>
          <w:rFonts w:hint="eastAsia" w:ascii="宋体" w:hAnsi="宋体" w:eastAsia="宋体"/>
          <w:b/>
          <w:bCs/>
          <w:color w:val="000000" w:themeColor="text1"/>
          <w:sz w:val="24"/>
          <w14:textFill>
            <w14:solidFill>
              <w14:schemeClr w14:val="tx1"/>
            </w14:solidFill>
          </w14:textFill>
        </w:rPr>
        <w:t>条</w:t>
      </w:r>
      <w:r>
        <w:rPr>
          <w:rFonts w:hint="eastAsia" w:ascii="宋体" w:hAnsi="宋体" w:eastAsia="宋体"/>
          <w:b/>
          <w:bCs/>
          <w:color w:val="000000" w:themeColor="text1"/>
          <w:sz w:val="24"/>
          <w:lang w:val="en-US" w:eastAsia="zh-CN"/>
          <w14:textFill>
            <w14:solidFill>
              <w14:schemeClr w14:val="tx1"/>
            </w14:solidFill>
          </w14:textFill>
        </w:rPr>
        <w:t xml:space="preserve"> </w:t>
      </w:r>
      <w:r>
        <w:rPr>
          <w:rFonts w:ascii="Times New Roman" w:hAnsi="Times New Roman" w:eastAsia="宋体"/>
          <w:color w:val="000000" w:themeColor="text1"/>
          <w:sz w:val="21"/>
          <w:szCs w:val="27"/>
          <w14:textFill>
            <w14:solidFill>
              <w14:schemeClr w14:val="tx1"/>
            </w14:solidFill>
          </w14:textFill>
        </w:rPr>
        <w:t>产品的包装标准和包装物的供应与回收</w:t>
      </w:r>
    </w:p>
    <w:p>
      <w:pPr>
        <w:spacing w:line="360" w:lineRule="auto"/>
        <w:ind w:firstLine="420" w:firstLineChars="200"/>
        <w:rPr>
          <w:color w:val="000000" w:themeColor="text1"/>
          <w:szCs w:val="27"/>
          <w14:textFill>
            <w14:solidFill>
              <w14:schemeClr w14:val="tx1"/>
            </w14:solidFill>
          </w14:textFill>
        </w:rPr>
      </w:pPr>
      <w:r>
        <w:rPr>
          <w:color w:val="000000" w:themeColor="text1"/>
          <w:szCs w:val="27"/>
          <w14:textFill>
            <w14:solidFill>
              <w14:schemeClr w14:val="tx1"/>
            </w14:solidFill>
          </w14:textFill>
        </w:rPr>
        <w:t>（国家或</w:t>
      </w:r>
      <w:r>
        <w:rPr>
          <w:rFonts w:hint="eastAsia"/>
          <w:color w:val="000000" w:themeColor="text1"/>
          <w:szCs w:val="27"/>
          <w14:textFill>
            <w14:solidFill>
              <w14:schemeClr w14:val="tx1"/>
            </w14:solidFill>
          </w14:textFill>
        </w:rPr>
        <w:t>行业</w:t>
      </w:r>
      <w:r>
        <w:rPr>
          <w:color w:val="000000" w:themeColor="text1"/>
          <w:szCs w:val="27"/>
          <w14:textFill>
            <w14:solidFill>
              <w14:schemeClr w14:val="tx1"/>
            </w14:solidFill>
          </w14:textFill>
        </w:rPr>
        <w:t>主管部门有技术规定的，按技术规定执行；国家与</w:t>
      </w:r>
      <w:r>
        <w:rPr>
          <w:rFonts w:hint="eastAsia"/>
          <w:color w:val="000000" w:themeColor="text1"/>
          <w:szCs w:val="27"/>
          <w14:textFill>
            <w14:solidFill>
              <w14:schemeClr w14:val="tx1"/>
            </w14:solidFill>
          </w14:textFill>
        </w:rPr>
        <w:t>行业</w:t>
      </w:r>
      <w:r>
        <w:rPr>
          <w:color w:val="000000" w:themeColor="text1"/>
          <w:szCs w:val="27"/>
          <w14:textFill>
            <w14:solidFill>
              <w14:schemeClr w14:val="tx1"/>
            </w14:solidFill>
          </w14:textFill>
        </w:rPr>
        <w:t>主管部门无技术规定的，由甲乙双方商定。）</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【注：合同中约定的包装标准应与乙方在投标文件中承诺的一致，且投标文件应作为合同附件与合同具有同等法律效力。】</w:t>
      </w:r>
    </w:p>
    <w:p>
      <w:pPr>
        <w:spacing w:line="360" w:lineRule="auto"/>
        <w:ind w:firstLine="422" w:firstLineChars="200"/>
        <w:rPr>
          <w:color w:val="000000" w:themeColor="text1"/>
          <w:szCs w:val="27"/>
          <w14:textFill>
            <w14:solidFill>
              <w14:schemeClr w14:val="tx1"/>
            </w14:solidFill>
          </w14:textFill>
        </w:rPr>
      </w:pPr>
      <w:r>
        <w:rPr>
          <w:rFonts w:hint="eastAsia"/>
          <w:b/>
          <w:bCs/>
          <w:color w:val="000000" w:themeColor="text1"/>
          <w:szCs w:val="27"/>
          <w14:textFill>
            <w14:solidFill>
              <w14:schemeClr w14:val="tx1"/>
            </w14:solidFill>
          </w14:textFill>
        </w:rPr>
        <w:t xml:space="preserve">第四条  </w:t>
      </w:r>
      <w:r>
        <w:rPr>
          <w:color w:val="000000" w:themeColor="text1"/>
          <w:szCs w:val="27"/>
          <w14:textFill>
            <w14:solidFill>
              <w14:schemeClr w14:val="tx1"/>
            </w14:solidFill>
          </w14:textFill>
        </w:rPr>
        <w:t>产品的交货方法、到货地点</w:t>
      </w:r>
      <w:r>
        <w:rPr>
          <w:rFonts w:hint="eastAsia"/>
          <w:color w:val="000000" w:themeColor="text1"/>
          <w:szCs w:val="27"/>
          <w14:textFill>
            <w14:solidFill>
              <w14:schemeClr w14:val="tx1"/>
            </w14:solidFill>
          </w14:textFill>
        </w:rPr>
        <w:t>和交货期限</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1.</w:t>
      </w:r>
      <w:r>
        <w:rPr>
          <w:color w:val="000000" w:themeColor="text1"/>
          <w:szCs w:val="27"/>
          <w14:textFill>
            <w14:solidFill>
              <w14:schemeClr w14:val="tx1"/>
            </w14:solidFill>
          </w14:textFill>
        </w:rPr>
        <w:t>交货方法，按下列第（ ）项执行：</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①</w:t>
      </w:r>
      <w:r>
        <w:rPr>
          <w:color w:val="000000" w:themeColor="text1"/>
          <w:szCs w:val="27"/>
          <w14:textFill>
            <w14:solidFill>
              <w14:schemeClr w14:val="tx1"/>
            </w14:solidFill>
          </w14:textFill>
        </w:rPr>
        <w:t>乙方送货</w:t>
      </w:r>
      <w:r>
        <w:rPr>
          <w:rFonts w:hint="eastAsia"/>
          <w:color w:val="000000" w:themeColor="text1"/>
          <w:szCs w:val="27"/>
          <w14:textFill>
            <w14:solidFill>
              <w14:schemeClr w14:val="tx1"/>
            </w14:solidFill>
          </w14:textFill>
        </w:rPr>
        <w:t>上门；②</w:t>
      </w:r>
      <w:r>
        <w:rPr>
          <w:color w:val="000000" w:themeColor="text1"/>
          <w:szCs w:val="27"/>
          <w14:textFill>
            <w14:solidFill>
              <w14:schemeClr w14:val="tx1"/>
            </w14:solidFill>
          </w14:textFill>
        </w:rPr>
        <w:t>乙方代运；</w:t>
      </w:r>
      <w:r>
        <w:rPr>
          <w:rFonts w:hint="eastAsia"/>
          <w:color w:val="000000" w:themeColor="text1"/>
          <w:szCs w:val="27"/>
          <w14:textFill>
            <w14:solidFill>
              <w14:schemeClr w14:val="tx1"/>
            </w14:solidFill>
          </w14:textFill>
        </w:rPr>
        <w:t>③</w:t>
      </w:r>
      <w:r>
        <w:rPr>
          <w:color w:val="000000" w:themeColor="text1"/>
          <w:szCs w:val="27"/>
          <w14:textFill>
            <w14:solidFill>
              <w14:schemeClr w14:val="tx1"/>
            </w14:solidFill>
          </w14:textFill>
        </w:rPr>
        <w:t>甲方自提自运。</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2.</w:t>
      </w:r>
      <w:r>
        <w:rPr>
          <w:color w:val="000000" w:themeColor="text1"/>
          <w:szCs w:val="27"/>
          <w14:textFill>
            <w14:solidFill>
              <w14:schemeClr w14:val="tx1"/>
            </w14:solidFill>
          </w14:textFill>
        </w:rPr>
        <w:t>到货地点</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14:textFill>
            <w14:solidFill>
              <w14:schemeClr w14:val="tx1"/>
            </w14:solidFill>
          </w14:textFill>
        </w:rPr>
        <w:softHyphen/>
      </w:r>
      <w:r>
        <w:rPr>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甲方指定的任何地点，安装并调试.)</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3.</w:t>
      </w:r>
      <w:r>
        <w:rPr>
          <w:color w:val="000000" w:themeColor="text1"/>
          <w:szCs w:val="27"/>
          <w14:textFill>
            <w14:solidFill>
              <w14:schemeClr w14:val="tx1"/>
            </w14:solidFill>
          </w14:textFill>
        </w:rPr>
        <w:t>产品</w:t>
      </w:r>
      <w:r>
        <w:rPr>
          <w:rFonts w:hint="eastAsia"/>
          <w:color w:val="000000" w:themeColor="text1"/>
          <w:szCs w:val="27"/>
          <w14:textFill>
            <w14:solidFill>
              <w14:schemeClr w14:val="tx1"/>
            </w14:solidFill>
          </w14:textFill>
        </w:rPr>
        <w:t>的交货期限</w:t>
      </w:r>
      <w:r>
        <w:rPr>
          <w:color w:val="000000" w:themeColor="text1"/>
          <w:szCs w:val="27"/>
          <w:u w:val="single"/>
          <w14:textFill>
            <w14:solidFill>
              <w14:schemeClr w14:val="tx1"/>
            </w14:solidFill>
          </w14:textFill>
        </w:rPr>
        <w:t>                         </w:t>
      </w:r>
      <w:r>
        <w:rPr>
          <w:color w:val="000000" w:themeColor="text1"/>
          <w:szCs w:val="27"/>
          <w14:textFill>
            <w14:solidFill>
              <w14:schemeClr w14:val="tx1"/>
            </w14:solidFill>
          </w14:textFill>
        </w:rPr>
        <w:t>。</w:t>
      </w:r>
    </w:p>
    <w:p>
      <w:pPr>
        <w:spacing w:line="360" w:lineRule="auto"/>
        <w:ind w:firstLine="422" w:firstLineChars="200"/>
        <w:rPr>
          <w:color w:val="000000" w:themeColor="text1"/>
          <w:szCs w:val="27"/>
          <w14:textFill>
            <w14:solidFill>
              <w14:schemeClr w14:val="tx1"/>
            </w14:solidFill>
          </w14:textFill>
        </w:rPr>
      </w:pPr>
      <w:r>
        <w:rPr>
          <w:rFonts w:hint="eastAsia"/>
          <w:b/>
          <w:bCs/>
          <w:color w:val="000000" w:themeColor="text1"/>
          <w:szCs w:val="27"/>
          <w14:textFill>
            <w14:solidFill>
              <w14:schemeClr w14:val="tx1"/>
            </w14:solidFill>
          </w14:textFill>
        </w:rPr>
        <w:t>第五条</w:t>
      </w:r>
      <w:r>
        <w:rPr>
          <w:rFonts w:hint="eastAsia"/>
          <w:color w:val="000000" w:themeColor="text1"/>
          <w:szCs w:val="27"/>
          <w14:textFill>
            <w14:solidFill>
              <w14:schemeClr w14:val="tx1"/>
            </w14:solidFill>
          </w14:textFill>
        </w:rPr>
        <w:t xml:space="preserve">  合同总价款</w:t>
      </w: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合同总价款（大小写）：</w:t>
      </w:r>
      <w:r>
        <w:rPr>
          <w:rFonts w:hint="eastAsia"/>
          <w:color w:val="000000" w:themeColor="text1"/>
          <w:szCs w:val="27"/>
          <w:u w:val="single"/>
          <w14:textFill>
            <w14:solidFill>
              <w14:schemeClr w14:val="tx1"/>
            </w14:solidFill>
          </w14:textFill>
        </w:rPr>
        <w:t xml:space="preserve">                        </w:t>
      </w:r>
    </w:p>
    <w:p>
      <w:pPr>
        <w:numPr>
          <w:ilvl w:val="0"/>
          <w:numId w:val="6"/>
        </w:numPr>
        <w:spacing w:line="360" w:lineRule="auto"/>
        <w:ind w:left="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付款条件                  </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本合同以人民币付款。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该项目是否实行预付款：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实行预付款的条件和比例：</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合同款项结算方式和支付比例：   </w:t>
      </w:r>
    </w:p>
    <w:p>
      <w:pPr>
        <w:spacing w:line="360" w:lineRule="auto"/>
        <w:ind w:firstLine="420" w:firstLineChars="200"/>
        <w:rPr>
          <w:b/>
          <w:bCs/>
          <w:color w:val="000000" w:themeColor="text1"/>
          <w:szCs w:val="27"/>
          <w14:textFill>
            <w14:solidFill>
              <w14:schemeClr w14:val="tx1"/>
            </w14:solidFill>
          </w14:textFill>
        </w:rPr>
      </w:pPr>
      <w:r>
        <w:rPr>
          <w:rFonts w:hint="eastAsia"/>
          <w:color w:val="000000" w:themeColor="text1"/>
          <w14:textFill>
            <w14:solidFill>
              <w14:schemeClr w14:val="tx1"/>
            </w14:solidFill>
          </w14:textFill>
        </w:rPr>
        <w:t>(具体付款方式</w:t>
      </w:r>
      <w:r>
        <w:rPr>
          <w:rFonts w:hint="eastAsia"/>
          <w:color w:val="000000" w:themeColor="text1"/>
          <w:u w:val="single"/>
          <w14:textFill>
            <w14:solidFill>
              <w14:schemeClr w14:val="tx1"/>
            </w14:solidFill>
          </w14:textFill>
        </w:rPr>
        <w:t>按投标人须知前附表以及采、购双方的具体约定</w:t>
      </w:r>
    </w:p>
    <w:p>
      <w:pPr>
        <w:numPr>
          <w:ilvl w:val="0"/>
          <w:numId w:val="6"/>
        </w:numPr>
        <w:spacing w:line="360" w:lineRule="auto"/>
        <w:ind w:left="0" w:firstLine="420" w:firstLineChars="200"/>
        <w:rPr>
          <w:color w:val="000000" w:themeColor="text1"/>
          <w:szCs w:val="27"/>
          <w14:textFill>
            <w14:solidFill>
              <w14:schemeClr w14:val="tx1"/>
            </w14:solidFill>
          </w14:textFill>
        </w:rPr>
      </w:pPr>
      <w:r>
        <w:rPr>
          <w:color w:val="000000" w:themeColor="text1"/>
          <w:szCs w:val="27"/>
          <w14:textFill>
            <w14:solidFill>
              <w14:schemeClr w14:val="tx1"/>
            </w14:solidFill>
          </w14:textFill>
        </w:rPr>
        <w:t>验收方法</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1.乙方安装调试后，在      天内通知甲方组织验收，采购代理机构保留受托参与本项目验收的权利。验收不合格的，乙方应负责重新提供达到本合同约定的质量要求的产品。</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涉及安全、消防、环保等其他需要由质检或行业主管部门进行验收的项目，必须邀请相关部门或相关专家参与验收。</w:t>
      </w:r>
    </w:p>
    <w:p>
      <w:pPr>
        <w:spacing w:line="360" w:lineRule="auto"/>
        <w:ind w:firstLine="420" w:firstLineChars="200"/>
        <w:rPr>
          <w:rFonts w:ascii="宋体"/>
          <w:b/>
          <w:bCs/>
          <w:color w:val="000000" w:themeColor="text1"/>
          <w:sz w:val="24"/>
          <w:u w:val="single"/>
          <w14:textFill>
            <w14:solidFill>
              <w14:schemeClr w14:val="tx1"/>
            </w14:solidFill>
          </w14:textFill>
        </w:rPr>
      </w:pPr>
      <w:r>
        <w:rPr>
          <w:rFonts w:hint="eastAsia"/>
          <w:color w:val="000000" w:themeColor="text1"/>
          <w14:textFill>
            <w14:solidFill>
              <w14:schemeClr w14:val="tx1"/>
            </w14:solidFill>
          </w14:textFill>
        </w:rPr>
        <w:t>检测、验收费用承担方式：</w:t>
      </w:r>
    </w:p>
    <w:p>
      <w:pPr>
        <w:spacing w:line="360" w:lineRule="auto"/>
        <w:ind w:firstLine="422" w:firstLineChars="200"/>
        <w:rPr>
          <w:color w:val="000000" w:themeColor="text1"/>
          <w14:textFill>
            <w14:solidFill>
              <w14:schemeClr w14:val="tx1"/>
            </w14:solidFill>
          </w14:textFill>
        </w:rPr>
      </w:pPr>
      <w:r>
        <w:rPr>
          <w:b/>
          <w:bCs/>
          <w:color w:val="000000" w:themeColor="text1"/>
          <w:szCs w:val="27"/>
          <w14:textFill>
            <w14:solidFill>
              <w14:schemeClr w14:val="tx1"/>
            </w14:solidFill>
          </w14:textFill>
        </w:rPr>
        <w:t>第八条 </w:t>
      </w:r>
      <w:r>
        <w:rPr>
          <w:color w:val="000000" w:themeColor="text1"/>
          <w:szCs w:val="27"/>
          <w14:textFill>
            <w14:solidFill>
              <w14:schemeClr w14:val="tx1"/>
            </w14:solidFill>
          </w14:textFill>
        </w:rPr>
        <w:t xml:space="preserve"> 对产品提出异议的时间和办法</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1.</w:t>
      </w:r>
      <w:r>
        <w:rPr>
          <w:color w:val="000000" w:themeColor="text1"/>
          <w:szCs w:val="27"/>
          <w14:textFill>
            <w14:solidFill>
              <w14:schemeClr w14:val="tx1"/>
            </w14:solidFill>
          </w14:textFill>
        </w:rPr>
        <w:t>甲方在验收中，如果发现产品不</w:t>
      </w:r>
      <w:r>
        <w:rPr>
          <w:rFonts w:hint="eastAsia"/>
          <w:color w:val="000000" w:themeColor="text1"/>
          <w:szCs w:val="27"/>
          <w14:textFill>
            <w14:solidFill>
              <w14:schemeClr w14:val="tx1"/>
            </w14:solidFill>
          </w14:textFill>
        </w:rPr>
        <w:t>符合合同约定的</w:t>
      </w:r>
      <w:r>
        <w:rPr>
          <w:color w:val="000000" w:themeColor="text1"/>
          <w:szCs w:val="27"/>
          <w14:textFill>
            <w14:solidFill>
              <w14:schemeClr w14:val="tx1"/>
            </w14:solidFill>
          </w14:textFill>
        </w:rPr>
        <w:t>，应一面妥为保管，一面在</w:t>
      </w:r>
      <w:r>
        <w:rPr>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工作日</w:t>
      </w:r>
      <w:r>
        <w:rPr>
          <w:color w:val="000000" w:themeColor="text1"/>
          <w:szCs w:val="27"/>
          <w14:textFill>
            <w14:solidFill>
              <w14:schemeClr w14:val="tx1"/>
            </w14:solidFill>
          </w14:textFill>
        </w:rPr>
        <w:t>内向乙方</w:t>
      </w:r>
      <w:r>
        <w:rPr>
          <w:rFonts w:hint="eastAsia"/>
          <w:color w:val="000000" w:themeColor="text1"/>
          <w:szCs w:val="27"/>
          <w14:textFill>
            <w14:solidFill>
              <w14:schemeClr w14:val="tx1"/>
            </w14:solidFill>
          </w14:textFill>
        </w:rPr>
        <w:t>书面</w:t>
      </w:r>
      <w:r>
        <w:rPr>
          <w:color w:val="000000" w:themeColor="text1"/>
          <w:szCs w:val="27"/>
          <w14:textFill>
            <w14:solidFill>
              <w14:schemeClr w14:val="tx1"/>
            </w14:solidFill>
          </w14:textFill>
        </w:rPr>
        <w:t>提出异议</w:t>
      </w:r>
      <w:r>
        <w:rPr>
          <w:rFonts w:hint="eastAsia"/>
          <w:color w:val="000000" w:themeColor="text1"/>
          <w:szCs w:val="27"/>
          <w14:textFill>
            <w14:solidFill>
              <w14:schemeClr w14:val="tx1"/>
            </w14:solidFill>
          </w14:textFill>
        </w:rPr>
        <w:t>，并抄送采购代理机构，具体说明产品</w:t>
      </w:r>
      <w:r>
        <w:rPr>
          <w:color w:val="000000" w:themeColor="text1"/>
          <w:szCs w:val="27"/>
          <w14:textFill>
            <w14:solidFill>
              <w14:schemeClr w14:val="tx1"/>
            </w14:solidFill>
          </w14:textFill>
        </w:rPr>
        <w:t>不符合规定的</w:t>
      </w:r>
      <w:r>
        <w:rPr>
          <w:rFonts w:hint="eastAsia"/>
          <w:color w:val="000000" w:themeColor="text1"/>
          <w:szCs w:val="27"/>
          <w14:textFill>
            <w14:solidFill>
              <w14:schemeClr w14:val="tx1"/>
            </w14:solidFill>
          </w14:textFill>
        </w:rPr>
        <w:t>内容并附相关验收材料，同时</w:t>
      </w:r>
      <w:r>
        <w:rPr>
          <w:color w:val="000000" w:themeColor="text1"/>
          <w:szCs w:val="27"/>
          <w14:textFill>
            <w14:solidFill>
              <w14:schemeClr w14:val="tx1"/>
            </w14:solidFill>
          </w14:textFill>
        </w:rPr>
        <w:t>提出不符合规定产品的处理意见。</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2.</w:t>
      </w:r>
      <w:r>
        <w:rPr>
          <w:color w:val="000000" w:themeColor="text1"/>
          <w:szCs w:val="27"/>
          <w14:textFill>
            <w14:solidFill>
              <w14:schemeClr w14:val="tx1"/>
            </w14:solidFill>
          </w14:textFill>
        </w:rPr>
        <w:t>甲方因使用、保管、保养不善等造成产品质量下降的，不得提出异议。</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3.</w:t>
      </w:r>
      <w:r>
        <w:rPr>
          <w:color w:val="000000" w:themeColor="text1"/>
          <w:szCs w:val="27"/>
          <w14:textFill>
            <w14:solidFill>
              <w14:schemeClr w14:val="tx1"/>
            </w14:solidFill>
          </w14:textFill>
        </w:rPr>
        <w:t>乙方在接到</w:t>
      </w:r>
      <w:r>
        <w:rPr>
          <w:rFonts w:hint="eastAsia"/>
          <w:color w:val="000000" w:themeColor="text1"/>
          <w:szCs w:val="27"/>
          <w14:textFill>
            <w14:solidFill>
              <w14:schemeClr w14:val="tx1"/>
            </w14:solidFill>
          </w14:textFill>
        </w:rPr>
        <w:t>甲</w:t>
      </w:r>
      <w:r>
        <w:rPr>
          <w:color w:val="000000" w:themeColor="text1"/>
          <w:szCs w:val="27"/>
          <w14:textFill>
            <w14:solidFill>
              <w14:schemeClr w14:val="tx1"/>
            </w14:solidFill>
          </w14:textFill>
        </w:rPr>
        <w:t>方异议后，应在</w:t>
      </w:r>
      <w:r>
        <w:rPr>
          <w:rFonts w:hint="eastAsia"/>
          <w:color w:val="000000" w:themeColor="text1"/>
          <w:szCs w:val="27"/>
          <w14:textFill>
            <w14:solidFill>
              <w14:schemeClr w14:val="tx1"/>
            </w14:solidFill>
          </w14:textFill>
        </w:rPr>
        <w:t xml:space="preserve"> </w:t>
      </w:r>
      <w:r>
        <w:rPr>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 xml:space="preserve"> 工作日</w:t>
      </w:r>
      <w:r>
        <w:rPr>
          <w:color w:val="000000" w:themeColor="text1"/>
          <w:szCs w:val="27"/>
          <w14:textFill>
            <w14:solidFill>
              <w14:schemeClr w14:val="tx1"/>
            </w14:solidFill>
          </w14:textFill>
        </w:rPr>
        <w:t>内负责处理，否则，即视为默认甲方提出的异议和处理意见。</w:t>
      </w:r>
    </w:p>
    <w:p>
      <w:pPr>
        <w:spacing w:line="360" w:lineRule="auto"/>
        <w:ind w:firstLine="422" w:firstLineChars="200"/>
        <w:rPr>
          <w:color w:val="000000" w:themeColor="text1"/>
          <w:szCs w:val="27"/>
          <w14:textFill>
            <w14:solidFill>
              <w14:schemeClr w14:val="tx1"/>
            </w14:solidFill>
          </w14:textFill>
        </w:rPr>
      </w:pPr>
      <w:r>
        <w:rPr>
          <w:rFonts w:hint="eastAsia"/>
          <w:b/>
          <w:bCs/>
          <w:color w:val="000000" w:themeColor="text1"/>
          <w:szCs w:val="27"/>
          <w14:textFill>
            <w14:solidFill>
              <w14:schemeClr w14:val="tx1"/>
            </w14:solidFill>
          </w14:textFill>
        </w:rPr>
        <w:t>第九条</w:t>
      </w:r>
      <w:r>
        <w:rPr>
          <w:rFonts w:hint="eastAsia"/>
          <w:color w:val="000000" w:themeColor="text1"/>
          <w:szCs w:val="27"/>
          <w14:textFill>
            <w14:solidFill>
              <w14:schemeClr w14:val="tx1"/>
            </w14:solidFill>
          </w14:textFill>
        </w:rPr>
        <w:t xml:space="preserve">  乙方应提供完善周到的技术支持和售后服务，否则甲方视情节轻重从乙方的质量保证金中扣除部分或全部补偿甲方。</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1.保修</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乙方对其所提供的货物免费保修</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年，保修期从</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开始。乙方应在接到报修通知后</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天内上门维修，负责更换有瑕疵的货物、部件或提供相应的质量保证期内的服务。由此造成的损失，甲方保留索赔的权利。</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如果乙方在收到报修通知后</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天内没有弥补缺陷，甲方可采取必要的补救措施，但费用和风险由乙方承担。</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2.维修</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保修期届满后，乙方应对其提供的货物负有维修义务，但所涉及的费用由甲方承担。</w:t>
      </w:r>
    </w:p>
    <w:p>
      <w:pPr>
        <w:spacing w:line="360" w:lineRule="auto"/>
        <w:ind w:firstLine="422" w:firstLineChars="200"/>
        <w:rPr>
          <w:color w:val="000000" w:themeColor="text1"/>
          <w14:textFill>
            <w14:solidFill>
              <w14:schemeClr w14:val="tx1"/>
            </w14:solidFill>
          </w14:textFill>
        </w:rPr>
      </w:pPr>
      <w:r>
        <w:rPr>
          <w:b/>
          <w:bCs/>
          <w:color w:val="000000" w:themeColor="text1"/>
          <w:szCs w:val="27"/>
          <w14:textFill>
            <w14:solidFill>
              <w14:schemeClr w14:val="tx1"/>
            </w14:solidFill>
          </w14:textFill>
        </w:rPr>
        <w:t>第</w:t>
      </w:r>
      <w:r>
        <w:rPr>
          <w:rFonts w:hint="eastAsia"/>
          <w:b/>
          <w:bCs/>
          <w:color w:val="000000" w:themeColor="text1"/>
          <w:szCs w:val="27"/>
          <w14:textFill>
            <w14:solidFill>
              <w14:schemeClr w14:val="tx1"/>
            </w14:solidFill>
          </w14:textFill>
        </w:rPr>
        <w:t>十</w:t>
      </w:r>
      <w:r>
        <w:rPr>
          <w:b/>
          <w:bCs/>
          <w:color w:val="000000" w:themeColor="text1"/>
          <w:szCs w:val="27"/>
          <w14:textFill>
            <w14:solidFill>
              <w14:schemeClr w14:val="tx1"/>
            </w14:solidFill>
          </w14:textFill>
        </w:rPr>
        <w:t>条</w:t>
      </w:r>
      <w:r>
        <w:rPr>
          <w:color w:val="000000" w:themeColor="text1"/>
          <w:szCs w:val="27"/>
          <w14:textFill>
            <w14:solidFill>
              <w14:schemeClr w14:val="tx1"/>
            </w14:solidFill>
          </w14:textFill>
        </w:rPr>
        <w:t>  乙方的违约责任</w:t>
      </w:r>
    </w:p>
    <w:p>
      <w:pPr>
        <w:spacing w:line="360" w:lineRule="auto"/>
        <w:ind w:firstLine="420" w:firstLineChars="200"/>
        <w:rPr>
          <w:color w:val="000000" w:themeColor="text1"/>
          <w14:textFill>
            <w14:solidFill>
              <w14:schemeClr w14:val="tx1"/>
            </w14:solidFill>
          </w14:textFill>
        </w:rPr>
      </w:pPr>
      <w:r>
        <w:rPr>
          <w:color w:val="000000" w:themeColor="text1"/>
          <w:szCs w:val="27"/>
          <w14:textFill>
            <w14:solidFill>
              <w14:schemeClr w14:val="tx1"/>
            </w14:solidFill>
          </w14:textFill>
        </w:rPr>
        <w:t>1.乙方不能交货的，应向甲方偿付不能交货部分货款的</w:t>
      </w:r>
      <w:r>
        <w:rPr>
          <w:color w:val="000000" w:themeColor="text1"/>
          <w:szCs w:val="27"/>
          <w:u w:val="single"/>
          <w14:textFill>
            <w14:solidFill>
              <w14:schemeClr w14:val="tx1"/>
            </w14:solidFill>
          </w14:textFill>
        </w:rPr>
        <w:t>      %</w:t>
      </w:r>
      <w:r>
        <w:rPr>
          <w:color w:val="000000" w:themeColor="text1"/>
          <w:szCs w:val="27"/>
          <w14:textFill>
            <w14:solidFill>
              <w14:schemeClr w14:val="tx1"/>
            </w14:solidFill>
          </w14:textFill>
        </w:rPr>
        <w:t>（通用产品的幅度为</w:t>
      </w:r>
      <w:r>
        <w:rPr>
          <w:rFonts w:hint="eastAsia"/>
          <w:color w:val="000000" w:themeColor="text1"/>
          <w:szCs w:val="27"/>
          <w14:textFill>
            <w14:solidFill>
              <w14:schemeClr w14:val="tx1"/>
            </w14:solidFill>
          </w14:textFill>
        </w:rPr>
        <w:t>1%－5%</w:t>
      </w:r>
      <w:r>
        <w:rPr>
          <w:color w:val="000000" w:themeColor="text1"/>
          <w:szCs w:val="27"/>
          <w14:textFill>
            <w14:solidFill>
              <w14:schemeClr w14:val="tx1"/>
            </w14:solidFill>
          </w14:textFill>
        </w:rPr>
        <w:t>，专用产品的幅度为</w:t>
      </w:r>
      <w:r>
        <w:rPr>
          <w:rFonts w:hint="eastAsia"/>
          <w:color w:val="000000" w:themeColor="text1"/>
          <w:szCs w:val="27"/>
          <w14:textFill>
            <w14:solidFill>
              <w14:schemeClr w14:val="tx1"/>
            </w14:solidFill>
          </w14:textFill>
        </w:rPr>
        <w:t>10%－30%</w:t>
      </w:r>
      <w:r>
        <w:rPr>
          <w:color w:val="000000" w:themeColor="text1"/>
          <w:szCs w:val="27"/>
          <w14:textFill>
            <w14:solidFill>
              <w14:schemeClr w14:val="tx1"/>
            </w14:solidFill>
          </w14:textFill>
        </w:rPr>
        <w:t>）的违约金。</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2.</w:t>
      </w:r>
      <w:r>
        <w:rPr>
          <w:color w:val="000000" w:themeColor="text1"/>
          <w:szCs w:val="27"/>
          <w14:textFill>
            <w14:solidFill>
              <w14:schemeClr w14:val="tx1"/>
            </w14:solidFill>
          </w14:textFill>
        </w:rPr>
        <w:t>乙方所交产品不符合合同规定的，如果甲方同意利用，应当按质论价；如果甲方不能利用的，应根据产品的具体情况，由乙方负责包换或包修，并承担修理、调换或退货而支付的实际费用,</w:t>
      </w:r>
      <w:r>
        <w:rPr>
          <w:rFonts w:hint="eastAsia"/>
          <w:color w:val="000000" w:themeColor="text1"/>
          <w14:textFill>
            <w14:solidFill>
              <w14:schemeClr w14:val="tx1"/>
            </w14:solidFill>
          </w14:textFill>
        </w:rPr>
        <w:t>同时，乙方应按规定，对更换件相应延长质量保证期，并赔偿甲方相应的损失。</w:t>
      </w:r>
      <w:r>
        <w:rPr>
          <w:color w:val="000000" w:themeColor="text1"/>
          <w:szCs w:val="27"/>
          <w14:textFill>
            <w14:solidFill>
              <w14:schemeClr w14:val="tx1"/>
            </w14:solidFill>
          </w14:textFill>
        </w:rPr>
        <w:t>乙方不能修理或者不能调换的，按不能交货处理。</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3.</w:t>
      </w:r>
      <w:r>
        <w:rPr>
          <w:color w:val="000000" w:themeColor="text1"/>
          <w:szCs w:val="27"/>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color w:val="000000" w:themeColor="text1"/>
          <w14:textFill>
            <w14:solidFill>
              <w14:schemeClr w14:val="tx1"/>
            </w14:solidFill>
          </w14:textFill>
        </w:rPr>
        <w:t>每件货物包装箱内应附一份详细装箱单和质量证书。为进口件的，应出具报关手续和原产地、原产工厂证明、报关手续和商检证明等。</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4.</w:t>
      </w:r>
      <w:r>
        <w:rPr>
          <w:rFonts w:hint="eastAsia"/>
          <w:color w:val="000000" w:themeColor="text1"/>
          <w14:textFill>
            <w14:solidFill>
              <w14:schemeClr w14:val="tx1"/>
            </w14:solidFill>
          </w14:textFill>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color w:val="000000" w:themeColor="text1"/>
          <w:szCs w:val="27"/>
          <w14:textFill>
            <w14:solidFill>
              <w14:schemeClr w14:val="tx1"/>
            </w14:solidFill>
          </w14:textFill>
        </w:rPr>
        <w:t>由此给甲方造成的损失由乙方承担</w:t>
      </w:r>
      <w:r>
        <w:rPr>
          <w:color w:val="000000" w:themeColor="text1"/>
          <w:szCs w:val="27"/>
          <w14:textFill>
            <w14:solidFill>
              <w14:schemeClr w14:val="tx1"/>
            </w14:solidFill>
          </w14:textFill>
        </w:rPr>
        <w:t>。</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5.</w:t>
      </w:r>
      <w:r>
        <w:rPr>
          <w:color w:val="000000" w:themeColor="text1"/>
          <w:szCs w:val="27"/>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6.乙方应对其所提供的货物承担所有权担保责任，并应保证甲方在中华人民共和国内使用该货物时不侵犯第三人的知识产权。否则乙方应承担由此引起的一切法律责任及费用。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7.任何一方未经对方同意而单方面终止合同的，应向对方赔偿相当于本合同总价款</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违约金。</w:t>
      </w:r>
    </w:p>
    <w:p>
      <w:pPr>
        <w:spacing w:line="360" w:lineRule="auto"/>
        <w:ind w:firstLine="422" w:firstLineChars="200"/>
        <w:rPr>
          <w:color w:val="000000" w:themeColor="text1"/>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一</w:t>
      </w:r>
      <w:r>
        <w:rPr>
          <w:b/>
          <w:bCs/>
          <w:color w:val="000000" w:themeColor="text1"/>
          <w:szCs w:val="27"/>
          <w14:textFill>
            <w14:solidFill>
              <w14:schemeClr w14:val="tx1"/>
            </w14:solidFill>
          </w14:textFill>
        </w:rPr>
        <w:t>条</w:t>
      </w:r>
      <w:r>
        <w:rPr>
          <w:color w:val="000000" w:themeColor="text1"/>
          <w:szCs w:val="27"/>
          <w14:textFill>
            <w14:solidFill>
              <w14:schemeClr w14:val="tx1"/>
            </w14:solidFill>
          </w14:textFill>
        </w:rPr>
        <w:t>  甲方的违约责任</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1.</w:t>
      </w:r>
      <w:r>
        <w:rPr>
          <w:color w:val="000000" w:themeColor="text1"/>
          <w:szCs w:val="27"/>
          <w14:textFill>
            <w14:solidFill>
              <w14:schemeClr w14:val="tx1"/>
            </w14:solidFill>
          </w14:textFill>
        </w:rPr>
        <w:t>甲方中途退货，应向乙方偿付退货部分货款</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t>（通用产品的幅度为1%</w:t>
      </w:r>
      <w:r>
        <w:rPr>
          <w:rFonts w:hint="eastAsia"/>
          <w:color w:val="000000" w:themeColor="text1"/>
          <w:szCs w:val="27"/>
          <w14:textFill>
            <w14:solidFill>
              <w14:schemeClr w14:val="tx1"/>
            </w14:solidFill>
          </w14:textFill>
        </w:rPr>
        <w:t>~5%</w:t>
      </w:r>
      <w:r>
        <w:rPr>
          <w:color w:val="000000" w:themeColor="text1"/>
          <w:szCs w:val="27"/>
          <w14:textFill>
            <w14:solidFill>
              <w14:schemeClr w14:val="tx1"/>
            </w14:solidFill>
          </w14:textFill>
        </w:rPr>
        <w:t>专用产品的幅度为</w:t>
      </w:r>
      <w:r>
        <w:rPr>
          <w:rFonts w:hint="eastAsia"/>
          <w:color w:val="000000" w:themeColor="text1"/>
          <w:szCs w:val="27"/>
          <w14:textFill>
            <w14:solidFill>
              <w14:schemeClr w14:val="tx1"/>
            </w14:solidFill>
          </w14:textFill>
        </w:rPr>
        <w:t>15%-30%</w:t>
      </w:r>
      <w:r>
        <w:rPr>
          <w:color w:val="000000" w:themeColor="text1"/>
          <w:szCs w:val="27"/>
          <w14:textFill>
            <w14:solidFill>
              <w14:schemeClr w14:val="tx1"/>
            </w14:solidFill>
          </w14:textFill>
        </w:rPr>
        <w:t>）的违约金。</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2.</w:t>
      </w:r>
      <w:r>
        <w:rPr>
          <w:color w:val="000000" w:themeColor="text1"/>
          <w:szCs w:val="27"/>
          <w14:textFill>
            <w14:solidFill>
              <w14:schemeClr w14:val="tx1"/>
            </w14:solidFill>
          </w14:textFill>
        </w:rPr>
        <w:t>甲方违反合同规定拒绝接货的，应当承担由此造成的损失。</w:t>
      </w:r>
    </w:p>
    <w:p>
      <w:pPr>
        <w:spacing w:line="360" w:lineRule="auto"/>
        <w:ind w:firstLine="420" w:firstLineChars="200"/>
        <w:rPr>
          <w:color w:val="000000" w:themeColor="text1"/>
          <w:szCs w:val="27"/>
          <w:u w:val="single"/>
          <w14:textFill>
            <w14:solidFill>
              <w14:schemeClr w14:val="tx1"/>
            </w14:solidFill>
          </w14:textFill>
        </w:rPr>
      </w:pPr>
      <w:r>
        <w:rPr>
          <w:rFonts w:hint="eastAsia"/>
          <w:color w:val="000000" w:themeColor="text1"/>
          <w:szCs w:val="27"/>
          <w14:textFill>
            <w14:solidFill>
              <w14:schemeClr w14:val="tx1"/>
            </w14:solidFill>
          </w14:textFill>
        </w:rPr>
        <w:t>3.</w:t>
      </w:r>
      <w:r>
        <w:rPr>
          <w:color w:val="000000" w:themeColor="text1"/>
          <w:szCs w:val="27"/>
          <w14:textFill>
            <w14:solidFill>
              <w14:schemeClr w14:val="tx1"/>
            </w14:solidFill>
          </w14:textFill>
        </w:rPr>
        <w:t xml:space="preserve"> 甲方未按照合同约定支付货款，应向乙方</w:t>
      </w:r>
      <w:r>
        <w:rPr>
          <w:rFonts w:hint="eastAsia"/>
          <w:color w:val="000000" w:themeColor="text1"/>
          <w:szCs w:val="27"/>
          <w14:textFill>
            <w14:solidFill>
              <w14:schemeClr w14:val="tx1"/>
            </w14:solidFill>
          </w14:textFill>
        </w:rPr>
        <w:t>违约金</w:t>
      </w:r>
      <w:r>
        <w:rPr>
          <w:rFonts w:hint="eastAsia"/>
          <w:color w:val="000000" w:themeColor="text1"/>
          <w:szCs w:val="27"/>
          <w:u w:val="single"/>
          <w14:textFill>
            <w14:solidFill>
              <w14:schemeClr w14:val="tx1"/>
            </w14:solidFill>
          </w14:textFill>
        </w:rPr>
        <w:t xml:space="preserve">   </w:t>
      </w:r>
      <w:r>
        <w:rPr>
          <w:rFonts w:hint="eastAsia"/>
          <w:color w:val="000000" w:themeColor="text1"/>
          <w:szCs w:val="27"/>
          <w14:textFill>
            <w14:solidFill>
              <w14:schemeClr w14:val="tx1"/>
            </w14:solidFill>
          </w14:textFill>
        </w:rPr>
        <w:t>元。</w:t>
      </w:r>
    </w:p>
    <w:p>
      <w:pPr>
        <w:spacing w:line="360" w:lineRule="auto"/>
        <w:ind w:firstLine="422" w:firstLineChars="200"/>
        <w:rPr>
          <w:b/>
          <w:color w:val="000000" w:themeColor="text1"/>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二</w:t>
      </w:r>
      <w:r>
        <w:rPr>
          <w:b/>
          <w:bCs/>
          <w:color w:val="000000" w:themeColor="text1"/>
          <w:szCs w:val="27"/>
          <w14:textFill>
            <w14:solidFill>
              <w14:schemeClr w14:val="tx1"/>
            </w14:solidFill>
          </w14:textFill>
        </w:rPr>
        <w:t>条 </w:t>
      </w:r>
      <w:r>
        <w:rPr>
          <w:color w:val="000000" w:themeColor="text1"/>
          <w:szCs w:val="27"/>
          <w14:textFill>
            <w14:solidFill>
              <w14:schemeClr w14:val="tx1"/>
            </w14:solidFill>
          </w14:textFill>
        </w:rPr>
        <w:t xml:space="preserve"> 不可抗力</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szCs w:val="27"/>
          <w14:textFill>
            <w14:solidFill>
              <w14:schemeClr w14:val="tx1"/>
            </w14:solidFill>
          </w14:textFill>
        </w:rPr>
        <w:t>.</w:t>
      </w:r>
      <w:r>
        <w:rPr>
          <w:rFonts w:hint="eastAsia"/>
          <w:color w:val="000000" w:themeColor="text1"/>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t>甲乙双方的任何一方由于不可抗力的原因不能履行合同时，应及时向对方通报不能履行或不能完全履行的理由，在取得有关</w:t>
      </w:r>
      <w:r>
        <w:rPr>
          <w:rFonts w:hint="eastAsia"/>
          <w:color w:val="000000" w:themeColor="text1"/>
          <w:szCs w:val="27"/>
          <w14:textFill>
            <w14:solidFill>
              <w14:schemeClr w14:val="tx1"/>
            </w14:solidFill>
          </w14:textFill>
        </w:rPr>
        <w:t>部门</w:t>
      </w:r>
      <w:r>
        <w:rPr>
          <w:color w:val="000000" w:themeColor="text1"/>
          <w:szCs w:val="27"/>
          <w14:textFill>
            <w14:solidFill>
              <w14:schemeClr w14:val="tx1"/>
            </w14:solidFill>
          </w14:textFill>
        </w:rPr>
        <w:t>证明以后，允许延期履行、部分履行或者不履行合同，并根据情况可部分或全部免予承担违约责任。</w:t>
      </w:r>
    </w:p>
    <w:p>
      <w:pPr>
        <w:spacing w:line="360" w:lineRule="auto"/>
        <w:ind w:firstLine="422" w:firstLineChars="200"/>
        <w:rPr>
          <w:b/>
          <w:bCs/>
          <w:color w:val="000000" w:themeColor="text1"/>
          <w:szCs w:val="27"/>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三</w:t>
      </w:r>
      <w:r>
        <w:rPr>
          <w:b/>
          <w:bCs/>
          <w:color w:val="000000" w:themeColor="text1"/>
          <w:szCs w:val="27"/>
          <w14:textFill>
            <w14:solidFill>
              <w14:schemeClr w14:val="tx1"/>
            </w14:solidFill>
          </w14:textFill>
        </w:rPr>
        <w:t>条</w:t>
      </w:r>
      <w:r>
        <w:rPr>
          <w:rFonts w:hint="eastAsia"/>
          <w:b/>
          <w:bCs/>
          <w:color w:val="000000" w:themeColor="text1"/>
          <w:szCs w:val="27"/>
          <w14:textFill>
            <w14:solidFill>
              <w14:schemeClr w14:val="tx1"/>
            </w14:solidFill>
          </w14:textFill>
        </w:rPr>
        <w:t xml:space="preserve">  </w:t>
      </w:r>
      <w:r>
        <w:rPr>
          <w:rFonts w:hint="eastAsia"/>
          <w:color w:val="000000" w:themeColor="text1"/>
          <w:szCs w:val="27"/>
          <w14:textFill>
            <w14:solidFill>
              <w14:schemeClr w14:val="tx1"/>
            </w14:solidFill>
          </w14:textFill>
        </w:rPr>
        <w:t>履约（或质量）保证金</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2.若确需质量保证金的，质量保证金不得超过合同总价款的5%。</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3.如乙方未能履行其合同规定的任何义务，甲方有权从履约保证金中取得补偿。</w:t>
      </w:r>
    </w:p>
    <w:p>
      <w:pPr>
        <w:spacing w:line="360" w:lineRule="auto"/>
        <w:ind w:firstLine="422" w:firstLineChars="200"/>
        <w:rPr>
          <w:b/>
          <w:color w:val="000000" w:themeColor="text1"/>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四</w:t>
      </w:r>
      <w:r>
        <w:rPr>
          <w:b/>
          <w:bCs/>
          <w:color w:val="000000" w:themeColor="text1"/>
          <w:szCs w:val="27"/>
          <w14:textFill>
            <w14:solidFill>
              <w14:schemeClr w14:val="tx1"/>
            </w14:solidFill>
          </w14:textFill>
        </w:rPr>
        <w:t>条</w:t>
      </w:r>
      <w:r>
        <w:rPr>
          <w:rFonts w:hint="eastAsia"/>
          <w:b/>
          <w:bCs/>
          <w:color w:val="000000" w:themeColor="text1"/>
          <w:szCs w:val="27"/>
          <w14:textFill>
            <w14:solidFill>
              <w14:schemeClr w14:val="tx1"/>
            </w14:solidFill>
          </w14:textFill>
        </w:rPr>
        <w:t xml:space="preserve"> </w:t>
      </w:r>
      <w:r>
        <w:rPr>
          <w:rFonts w:hint="eastAsia"/>
          <w:bCs/>
          <w:color w:val="000000" w:themeColor="text1"/>
          <w14:textFill>
            <w14:solidFill>
              <w14:schemeClr w14:val="tx1"/>
            </w14:solidFill>
          </w14:textFill>
        </w:rPr>
        <w:t>转让与分包</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szCs w:val="27"/>
          <w14:textFill>
            <w14:solidFill>
              <w14:schemeClr w14:val="tx1"/>
            </w14:solidFill>
          </w14:textFill>
        </w:rPr>
        <w:t>.</w:t>
      </w:r>
      <w:r>
        <w:rPr>
          <w:rFonts w:hint="eastAsia"/>
          <w:color w:val="000000" w:themeColor="text1"/>
          <w14:textFill>
            <w14:solidFill>
              <w14:schemeClr w14:val="tx1"/>
            </w14:solidFill>
          </w14:textFill>
        </w:rPr>
        <w:t>除甲方事先书面同意外，乙方不得部分转让或全部转让其应履行的合同义务。</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7"/>
          <w14:textFill>
            <w14:solidFill>
              <w14:schemeClr w14:val="tx1"/>
            </w14:solidFill>
          </w14:textFill>
        </w:rPr>
        <w:t>.</w:t>
      </w:r>
      <w:r>
        <w:rPr>
          <w:rFonts w:hint="eastAsia"/>
          <w:color w:val="000000" w:themeColor="text1"/>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b/>
          <w:color w:val="000000" w:themeColor="text1"/>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五</w:t>
      </w:r>
      <w:r>
        <w:rPr>
          <w:b/>
          <w:bCs/>
          <w:color w:val="000000" w:themeColor="text1"/>
          <w:szCs w:val="27"/>
          <w14:textFill>
            <w14:solidFill>
              <w14:schemeClr w14:val="tx1"/>
            </w14:solidFill>
          </w14:textFill>
        </w:rPr>
        <w:t>条</w:t>
      </w:r>
      <w:r>
        <w:rPr>
          <w:rFonts w:hint="eastAsia"/>
          <w:b/>
          <w:bCs/>
          <w:color w:val="000000" w:themeColor="text1"/>
          <w:szCs w:val="27"/>
          <w14:textFill>
            <w14:solidFill>
              <w14:schemeClr w14:val="tx1"/>
            </w14:solidFill>
          </w14:textFill>
        </w:rPr>
        <w:t xml:space="preserve"> </w:t>
      </w:r>
      <w:r>
        <w:rPr>
          <w:rFonts w:hint="eastAsia"/>
          <w:bCs/>
          <w:color w:val="000000" w:themeColor="text1"/>
          <w14:textFill>
            <w14:solidFill>
              <w14:schemeClr w14:val="tx1"/>
            </w14:solidFill>
          </w14:textFill>
        </w:rPr>
        <w:t>合同文件及资料的使用</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szCs w:val="27"/>
          <w14:textFill>
            <w14:solidFill>
              <w14:schemeClr w14:val="tx1"/>
            </w14:solidFill>
          </w14:textFill>
        </w:rPr>
        <w:t>.</w:t>
      </w:r>
      <w:r>
        <w:rPr>
          <w:rFonts w:hint="eastAsia"/>
          <w:color w:val="000000" w:themeColor="text1"/>
          <w14:textFill>
            <w14:solidFill>
              <w14:schemeClr w14:val="tx1"/>
            </w14:solidFill>
          </w14:textFill>
        </w:rPr>
        <w:t>乙方在未经甲方同意的情况下，不得将合同、合同中的规定、有关计划、图纸、样本或甲方为上述内容向乙方提供的资料透露给任何人。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7"/>
          <w14:textFill>
            <w14:solidFill>
              <w14:schemeClr w14:val="tx1"/>
            </w14:solidFill>
          </w14:textFill>
        </w:rPr>
        <w:t>.</w:t>
      </w:r>
      <w:r>
        <w:rPr>
          <w:rFonts w:hint="eastAsia"/>
          <w:color w:val="000000" w:themeColor="text1"/>
          <w14:textFill>
            <w14:solidFill>
              <w14:schemeClr w14:val="tx1"/>
            </w14:solidFill>
          </w14:textFill>
        </w:rPr>
        <w:t>除非执行合同需要，在事先未得到甲方同意的情况下，乙方不得使用前款所列的任何文件和资料。</w:t>
      </w:r>
    </w:p>
    <w:p>
      <w:pPr>
        <w:spacing w:line="360" w:lineRule="auto"/>
        <w:ind w:firstLine="422" w:firstLineChars="200"/>
        <w:rPr>
          <w:color w:val="000000" w:themeColor="text1"/>
          <w:szCs w:val="27"/>
          <w14:textFill>
            <w14:solidFill>
              <w14:schemeClr w14:val="tx1"/>
            </w14:solidFill>
          </w14:textFill>
        </w:rPr>
      </w:pPr>
      <w:r>
        <w:rPr>
          <w:b/>
          <w:bCs/>
          <w:color w:val="000000" w:themeColor="text1"/>
          <w:szCs w:val="27"/>
          <w14:textFill>
            <w14:solidFill>
              <w14:schemeClr w14:val="tx1"/>
            </w14:solidFill>
          </w14:textFill>
        </w:rPr>
        <w:t>第十</w:t>
      </w:r>
      <w:r>
        <w:rPr>
          <w:rFonts w:hint="eastAsia"/>
          <w:b/>
          <w:bCs/>
          <w:color w:val="000000" w:themeColor="text1"/>
          <w:szCs w:val="27"/>
          <w14:textFill>
            <w14:solidFill>
              <w14:schemeClr w14:val="tx1"/>
            </w14:solidFill>
          </w14:textFill>
        </w:rPr>
        <w:t>六</w:t>
      </w:r>
      <w:r>
        <w:rPr>
          <w:b/>
          <w:bCs/>
          <w:color w:val="000000" w:themeColor="text1"/>
          <w:szCs w:val="27"/>
          <w14:textFill>
            <w14:solidFill>
              <w14:schemeClr w14:val="tx1"/>
            </w14:solidFill>
          </w14:textFill>
        </w:rPr>
        <w:t>条 </w:t>
      </w:r>
      <w:r>
        <w:rPr>
          <w:rFonts w:hint="eastAsia"/>
          <w:color w:val="000000" w:themeColor="text1"/>
          <w:szCs w:val="27"/>
          <w14:textFill>
            <w14:solidFill>
              <w14:schemeClr w14:val="tx1"/>
            </w14:solidFill>
          </w14:textFill>
        </w:rPr>
        <w:t>合同纠纷调处</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t>按本合同规定应该偿付的违约金、赔偿金、保管保养费和各种经济损失，应当在明确责任后</w:t>
      </w:r>
      <w:r>
        <w:rPr>
          <w:rFonts w:hint="eastAsia"/>
          <w:color w:val="000000" w:themeColor="text1"/>
          <w:szCs w:val="27"/>
          <w14:textFill>
            <w14:solidFill>
              <w14:schemeClr w14:val="tx1"/>
            </w14:solidFill>
          </w14:textFill>
        </w:rPr>
        <w:t>10</w:t>
      </w:r>
      <w:r>
        <w:rPr>
          <w:color w:val="000000" w:themeColor="text1"/>
          <w:szCs w:val="27"/>
          <w14:textFill>
            <w14:solidFill>
              <w14:schemeClr w14:val="tx1"/>
            </w14:solidFill>
          </w14:textFill>
        </w:rPr>
        <w:t>天内，按银行规定的结算办法付清，否则按逾期付款处理。但任何一方不得自行扣发货物或扣付货款来充抵。</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7"/>
          <w14:textFill>
            <w14:solidFill>
              <w14:schemeClr w14:val="tx1"/>
            </w14:solidFill>
          </w14:textFill>
        </w:rPr>
        <w:t>.</w:t>
      </w:r>
      <w:r>
        <w:rPr>
          <w:color w:val="000000" w:themeColor="text1"/>
          <w:szCs w:val="27"/>
          <w14:textFill>
            <w14:solidFill>
              <w14:schemeClr w14:val="tx1"/>
            </w14:solidFill>
          </w14:textFill>
        </w:rPr>
        <w:t>本合同如发生纠纷，当事人双方应当及时协商解决，协商不成时，任何一方均可请</w:t>
      </w:r>
      <w:r>
        <w:rPr>
          <w:rFonts w:hint="eastAsia"/>
          <w:color w:val="000000" w:themeColor="text1"/>
          <w:szCs w:val="27"/>
          <w14:textFill>
            <w14:solidFill>
              <w14:schemeClr w14:val="tx1"/>
            </w14:solidFill>
          </w14:textFill>
        </w:rPr>
        <w:t>本项目政府采购监督管理部门</w:t>
      </w:r>
      <w:r>
        <w:rPr>
          <w:color w:val="000000" w:themeColor="text1"/>
          <w:szCs w:val="27"/>
          <w14:textFill>
            <w14:solidFill>
              <w14:schemeClr w14:val="tx1"/>
            </w14:solidFill>
          </w14:textFill>
        </w:rPr>
        <w:t>调解，调解不成，按以下第（</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）项方式处理：</w:t>
      </w:r>
      <w:r>
        <w:rPr>
          <w:rFonts w:hint="eastAsia"/>
          <w:color w:val="000000" w:themeColor="text1"/>
          <w:szCs w:val="27"/>
          <w14:textFill>
            <w14:solidFill>
              <w14:schemeClr w14:val="tx1"/>
            </w14:solidFill>
          </w14:textFill>
        </w:rPr>
        <w:t>①根据《中华人民共和国仲裁法》的规定向</w:t>
      </w:r>
      <w:r>
        <w:rPr>
          <w:rFonts w:hint="eastAsia"/>
          <w:b/>
          <w:bCs/>
          <w:color w:val="000000" w:themeColor="text1"/>
          <w:szCs w:val="27"/>
          <w:u w:val="single"/>
          <w14:textFill>
            <w14:solidFill>
              <w14:schemeClr w14:val="tx1"/>
            </w14:solidFill>
          </w14:textFill>
        </w:rPr>
        <w:t>周口仲裁委员会</w:t>
      </w:r>
      <w:r>
        <w:rPr>
          <w:rFonts w:hint="eastAsia"/>
          <w:color w:val="000000" w:themeColor="text1"/>
          <w:szCs w:val="27"/>
          <w14:textFill>
            <w14:solidFill>
              <w14:schemeClr w14:val="tx1"/>
            </w14:solidFill>
          </w14:textFill>
        </w:rPr>
        <w:t>申请仲裁。②</w:t>
      </w:r>
      <w:r>
        <w:rPr>
          <w:color w:val="000000" w:themeColor="text1"/>
          <w:szCs w:val="27"/>
          <w14:textFill>
            <w14:solidFill>
              <w14:schemeClr w14:val="tx1"/>
            </w14:solidFill>
          </w14:textFill>
        </w:rPr>
        <w:t>向</w:t>
      </w:r>
      <w:r>
        <w:rPr>
          <w:rFonts w:hint="eastAsia"/>
          <w:color w:val="000000" w:themeColor="text1"/>
          <w14:textFill>
            <w14:solidFill>
              <w14:schemeClr w14:val="tx1"/>
            </w14:solidFill>
          </w14:textFill>
        </w:rPr>
        <w:t>合同签订地有级别管辖权的</w:t>
      </w:r>
      <w:r>
        <w:rPr>
          <w:color w:val="000000" w:themeColor="text1"/>
          <w:szCs w:val="27"/>
          <w14:textFill>
            <w14:solidFill>
              <w14:schemeClr w14:val="tx1"/>
            </w14:solidFill>
          </w14:textFill>
        </w:rPr>
        <w:t>人民法院起诉。</w:t>
      </w:r>
    </w:p>
    <w:p>
      <w:pPr>
        <w:pStyle w:val="516"/>
        <w:spacing w:beforeLines="0" w:afterLines="0"/>
        <w:ind w:left="0"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3、甲、乙双方均有权利向本项目具有监管职能的政府采购监督管理部门举报反映对方在合同履约中的违法违纪行为。</w:t>
      </w:r>
    </w:p>
    <w:p>
      <w:pPr>
        <w:spacing w:line="360" w:lineRule="auto"/>
        <w:ind w:firstLine="422" w:firstLineChars="200"/>
        <w:rPr>
          <w:color w:val="000000" w:themeColor="text1"/>
          <w:szCs w:val="27"/>
          <w14:textFill>
            <w14:solidFill>
              <w14:schemeClr w14:val="tx1"/>
            </w14:solidFill>
          </w14:textFill>
        </w:rPr>
      </w:pPr>
      <w:r>
        <w:rPr>
          <w:rFonts w:hint="eastAsia"/>
          <w:b/>
          <w:bCs/>
          <w:color w:val="000000" w:themeColor="text1"/>
          <w:szCs w:val="27"/>
          <w14:textFill>
            <w14:solidFill>
              <w14:schemeClr w14:val="tx1"/>
            </w14:solidFill>
          </w14:textFill>
        </w:rPr>
        <w:t xml:space="preserve">第十七条  </w:t>
      </w:r>
      <w:r>
        <w:rPr>
          <w:rFonts w:hint="eastAsia"/>
          <w:color w:val="000000" w:themeColor="text1"/>
          <w:szCs w:val="27"/>
          <w14:textFill>
            <w14:solidFill>
              <w14:schemeClr w14:val="tx1"/>
            </w14:solidFill>
          </w14:textFill>
        </w:rPr>
        <w:t>下列关于周口市公共资源交易中心政府采购代理机构名称</w:t>
      </w:r>
      <w:r>
        <w:rPr>
          <w:rFonts w:hint="eastAsia"/>
          <w:color w:val="000000" w:themeColor="text1"/>
          <w:szCs w:val="27"/>
          <w:u w:val="single"/>
          <w14:textFill>
            <w14:solidFill>
              <w14:schemeClr w14:val="tx1"/>
            </w14:solidFill>
          </w14:textFill>
        </w:rPr>
        <w:t>某项目（项目编号：某编号）</w:t>
      </w:r>
      <w:r>
        <w:rPr>
          <w:rFonts w:hint="eastAsia"/>
          <w:color w:val="000000" w:themeColor="text1"/>
          <w:szCs w:val="27"/>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 xml:space="preserve">    </w:t>
      </w:r>
      <w:r>
        <w:rPr>
          <w:rFonts w:hint="eastAsia"/>
          <w:color w:val="000000" w:themeColor="text1"/>
          <w14:textFill>
            <w14:solidFill>
              <w14:schemeClr w14:val="tx1"/>
            </w14:solidFill>
          </w14:textFill>
        </w:rPr>
        <w:t>本合同一式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份，甲乙双方各执</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份，自双方当事人签字盖章之日起生效。</w:t>
      </w:r>
    </w:p>
    <w:p>
      <w:pPr>
        <w:spacing w:line="360" w:lineRule="auto"/>
        <w:ind w:firstLine="420" w:firstLineChars="200"/>
        <w:rPr>
          <w:color w:val="000000" w:themeColor="text1"/>
          <w:szCs w:val="27"/>
          <w14:textFill>
            <w14:solidFill>
              <w14:schemeClr w14:val="tx1"/>
            </w14:solidFill>
          </w14:textFill>
        </w:rPr>
      </w:pPr>
    </w:p>
    <w:p>
      <w:pPr>
        <w:spacing w:line="360" w:lineRule="auto"/>
        <w:ind w:firstLine="420" w:firstLineChars="200"/>
        <w:rPr>
          <w:color w:val="000000" w:themeColor="text1"/>
          <w:szCs w:val="27"/>
          <w14:textFill>
            <w14:solidFill>
              <w14:schemeClr w14:val="tx1"/>
            </w14:solidFill>
          </w14:textFill>
        </w:rPr>
      </w:pPr>
    </w:p>
    <w:p>
      <w:pPr>
        <w:spacing w:line="360" w:lineRule="auto"/>
        <w:ind w:firstLine="420" w:firstLineChars="200"/>
        <w:rPr>
          <w:color w:val="000000" w:themeColor="text1"/>
          <w:szCs w:val="27"/>
          <w14:textFill>
            <w14:solidFill>
              <w14:schemeClr w14:val="tx1"/>
            </w14:solidFill>
          </w14:textFill>
        </w:rPr>
      </w:pPr>
      <w:r>
        <w:rPr>
          <w:rFonts w:hint="eastAsia"/>
          <w:color w:val="000000" w:themeColor="text1"/>
          <w:szCs w:val="27"/>
          <w14:textFill>
            <w14:solidFill>
              <w14:schemeClr w14:val="tx1"/>
            </w14:solidFill>
          </w14:textFill>
        </w:rPr>
        <w:t>采购人</w:t>
      </w:r>
      <w:r>
        <w:rPr>
          <w:color w:val="000000" w:themeColor="text1"/>
          <w:szCs w:val="27"/>
          <w14:textFill>
            <w14:solidFill>
              <w14:schemeClr w14:val="tx1"/>
            </w14:solidFill>
          </w14:textFill>
        </w:rPr>
        <w:t>（甲方）：</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（公章）</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 </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供货</w:t>
      </w:r>
      <w:r>
        <w:rPr>
          <w:rFonts w:hint="eastAsia"/>
          <w:color w:val="000000" w:themeColor="text1"/>
          <w:szCs w:val="27"/>
          <w14:textFill>
            <w14:solidFill>
              <w14:schemeClr w14:val="tx1"/>
            </w14:solidFill>
          </w14:textFill>
        </w:rPr>
        <w:t>人</w:t>
      </w:r>
      <w:r>
        <w:rPr>
          <w:color w:val="000000" w:themeColor="text1"/>
          <w:szCs w:val="27"/>
          <w14:textFill>
            <w14:solidFill>
              <w14:schemeClr w14:val="tx1"/>
            </w14:solidFill>
          </w14:textFill>
        </w:rPr>
        <w:t>（乙方）：</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（公章）</w:t>
      </w:r>
      <w:r>
        <w:rPr>
          <w:rFonts w:hint="eastAsia"/>
          <w:color w:val="000000" w:themeColor="text1"/>
          <w:szCs w:val="27"/>
          <w14:textFill>
            <w14:solidFill>
              <w14:schemeClr w14:val="tx1"/>
            </w14:solidFill>
          </w14:textFill>
        </w:rPr>
        <w:t xml:space="preserve">  </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 xml:space="preserve">地址：                               </w:t>
      </w:r>
      <w:r>
        <w:rPr>
          <w:color w:val="000000" w:themeColor="text1"/>
          <w:szCs w:val="27"/>
          <w14:textFill>
            <w14:solidFill>
              <w14:schemeClr w14:val="tx1"/>
            </w14:solidFill>
          </w14:textFill>
        </w:rPr>
        <w:t>地址：</w:t>
      </w:r>
    </w:p>
    <w:p>
      <w:pPr>
        <w:spacing w:line="360" w:lineRule="auto"/>
        <w:ind w:firstLine="420" w:firstLineChars="200"/>
        <w:rPr>
          <w:color w:val="000000" w:themeColor="text1"/>
          <w:szCs w:val="27"/>
          <w14:textFill>
            <w14:solidFill>
              <w14:schemeClr w14:val="tx1"/>
            </w14:solidFill>
          </w14:textFill>
        </w:rPr>
      </w:pPr>
      <w:r>
        <w:rPr>
          <w:color w:val="000000" w:themeColor="text1"/>
          <w:szCs w:val="27"/>
          <w14:textFill>
            <w14:solidFill>
              <w14:schemeClr w14:val="tx1"/>
            </w14:solidFill>
          </w14:textFill>
        </w:rPr>
        <w:t>法定代表人：</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法定代表人：</w:t>
      </w:r>
    </w:p>
    <w:p>
      <w:pPr>
        <w:spacing w:line="360" w:lineRule="auto"/>
        <w:ind w:firstLine="420" w:firstLineChars="200"/>
        <w:rPr>
          <w:color w:val="000000" w:themeColor="text1"/>
          <w:u w:val="single"/>
          <w14:textFill>
            <w14:solidFill>
              <w14:schemeClr w14:val="tx1"/>
            </w14:solidFill>
          </w14:textFill>
        </w:rPr>
      </w:pPr>
      <w:r>
        <w:rPr>
          <w:rFonts w:hint="eastAsia"/>
          <w:color w:val="000000" w:themeColor="text1"/>
          <w:szCs w:val="27"/>
          <w14:textFill>
            <w14:solidFill>
              <w14:schemeClr w14:val="tx1"/>
            </w14:solidFill>
          </w14:textFill>
        </w:rPr>
        <w:t>委托代理人：                         委托代理人：</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电话：                               电话：</w:t>
      </w:r>
    </w:p>
    <w:p>
      <w:pPr>
        <w:spacing w:line="360" w:lineRule="auto"/>
        <w:ind w:firstLine="420" w:firstLineChars="200"/>
        <w:rPr>
          <w:color w:val="000000" w:themeColor="text1"/>
          <w:szCs w:val="27"/>
          <w14:textFill>
            <w14:solidFill>
              <w14:schemeClr w14:val="tx1"/>
            </w14:solidFill>
          </w14:textFill>
        </w:rPr>
      </w:pPr>
      <w:r>
        <w:rPr>
          <w:color w:val="000000" w:themeColor="text1"/>
          <w:szCs w:val="27"/>
          <w14:textFill>
            <w14:solidFill>
              <w14:schemeClr w14:val="tx1"/>
            </w14:solidFill>
          </w14:textFill>
        </w:rPr>
        <w:t>开户银行：</w:t>
      </w:r>
      <w:r>
        <w:rPr>
          <w:rFonts w:hint="eastAsia"/>
          <w:color w:val="000000" w:themeColor="text1"/>
          <w:szCs w:val="27"/>
          <w14:textFill>
            <w14:solidFill>
              <w14:schemeClr w14:val="tx1"/>
            </w14:solidFill>
          </w14:textFill>
        </w:rPr>
        <w:t xml:space="preserve">                           </w:t>
      </w:r>
      <w:r>
        <w:rPr>
          <w:color w:val="000000" w:themeColor="text1"/>
          <w:szCs w:val="27"/>
          <w14:textFill>
            <w14:solidFill>
              <w14:schemeClr w14:val="tx1"/>
            </w14:solidFill>
          </w14:textFill>
        </w:rPr>
        <w:t>开户银行：</w:t>
      </w:r>
    </w:p>
    <w:p>
      <w:pPr>
        <w:spacing w:line="360" w:lineRule="auto"/>
        <w:ind w:firstLine="420" w:firstLineChars="200"/>
        <w:rPr>
          <w:color w:val="000000" w:themeColor="text1"/>
          <w14:textFill>
            <w14:solidFill>
              <w14:schemeClr w14:val="tx1"/>
            </w14:solidFill>
          </w14:textFill>
        </w:rPr>
      </w:pPr>
      <w:r>
        <w:rPr>
          <w:rFonts w:hint="eastAsia"/>
          <w:color w:val="000000" w:themeColor="text1"/>
          <w:szCs w:val="27"/>
          <w14:textFill>
            <w14:solidFill>
              <w14:schemeClr w14:val="tx1"/>
            </w14:solidFill>
          </w14:textFill>
        </w:rPr>
        <w:t>账号</w:t>
      </w:r>
      <w:r>
        <w:rPr>
          <w:color w:val="000000" w:themeColor="text1"/>
          <w:szCs w:val="27"/>
          <w14:textFill>
            <w14:solidFill>
              <w14:schemeClr w14:val="tx1"/>
            </w14:solidFill>
          </w14:textFill>
        </w:rPr>
        <w:t>：</w:t>
      </w:r>
      <w:r>
        <w:rPr>
          <w:rFonts w:hint="eastAsia"/>
          <w:color w:val="000000" w:themeColor="text1"/>
          <w:szCs w:val="27"/>
          <w14:textFill>
            <w14:solidFill>
              <w14:schemeClr w14:val="tx1"/>
            </w14:solidFill>
          </w14:textFill>
        </w:rPr>
        <w:t xml:space="preserve">                               账号</w:t>
      </w:r>
      <w:r>
        <w:rPr>
          <w:color w:val="000000" w:themeColor="text1"/>
          <w:szCs w:val="27"/>
          <w14:textFill>
            <w14:solidFill>
              <w14:schemeClr w14:val="tx1"/>
            </w14:solidFill>
          </w14:textFill>
        </w:rPr>
        <w:t>：</w:t>
      </w:r>
    </w:p>
    <w:p>
      <w:pPr>
        <w:spacing w:line="640" w:lineRule="exact"/>
        <w:ind w:firstLine="1575" w:firstLineChars="750"/>
        <w:rPr>
          <w:color w:val="000000" w:themeColor="text1"/>
          <w:szCs w:val="27"/>
          <w:u w:val="single"/>
          <w14:textFill>
            <w14:solidFill>
              <w14:schemeClr w14:val="tx1"/>
            </w14:solidFill>
          </w14:textFill>
        </w:rPr>
      </w:pPr>
    </w:p>
    <w:p>
      <w:pPr>
        <w:pStyle w:val="52"/>
        <w:rPr>
          <w:color w:val="000000" w:themeColor="text1"/>
          <w14:textFill>
            <w14:solidFill>
              <w14:schemeClr w14:val="tx1"/>
            </w14:solidFill>
          </w14:textFill>
        </w:rPr>
      </w:pPr>
      <w:r>
        <w:rPr>
          <w:color w:val="000000" w:themeColor="text1"/>
          <w:szCs w:val="27"/>
          <w:u w:val="single"/>
          <w14:textFill>
            <w14:solidFill>
              <w14:schemeClr w14:val="tx1"/>
            </w14:solidFill>
          </w14:textFill>
        </w:rPr>
        <w:t>   </w:t>
      </w:r>
      <w:r>
        <w:rPr>
          <w:rFonts w:hint="eastAsia"/>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年</w:t>
      </w:r>
      <w:r>
        <w:rPr>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月</w:t>
      </w:r>
      <w:r>
        <w:rPr>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日</w:t>
      </w:r>
      <w:r>
        <w:rPr>
          <w:rFonts w:hint="eastAsia"/>
          <w:color w:val="000000" w:themeColor="text1"/>
          <w:szCs w:val="27"/>
          <w14:textFill>
            <w14:solidFill>
              <w14:schemeClr w14:val="tx1"/>
            </w14:solidFill>
          </w14:textFill>
        </w:rPr>
        <w:t xml:space="preserve">                        </w:t>
      </w:r>
      <w:r>
        <w:rPr>
          <w:color w:val="000000" w:themeColor="text1"/>
          <w:szCs w:val="27"/>
          <w:u w:val="single"/>
          <w14:textFill>
            <w14:solidFill>
              <w14:schemeClr w14:val="tx1"/>
            </w14:solidFill>
          </w14:textFill>
        </w:rPr>
        <w:t xml:space="preserve">    </w:t>
      </w:r>
      <w:r>
        <w:rPr>
          <w:rFonts w:hint="eastAsia"/>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年</w:t>
      </w:r>
      <w:r>
        <w:rPr>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月</w:t>
      </w:r>
      <w:r>
        <w:rPr>
          <w:color w:val="000000" w:themeColor="text1"/>
          <w:szCs w:val="27"/>
          <w:u w:val="single"/>
          <w14:textFill>
            <w14:solidFill>
              <w14:schemeClr w14:val="tx1"/>
            </w14:solidFill>
          </w14:textFill>
        </w:rPr>
        <w:t xml:space="preserve">  </w:t>
      </w:r>
      <w:r>
        <w:rPr>
          <w:color w:val="000000" w:themeColor="text1"/>
          <w:szCs w:val="27"/>
          <w14:textFill>
            <w14:solidFill>
              <w14:schemeClr w14:val="tx1"/>
            </w14:solidFill>
          </w14:textFill>
        </w:rPr>
        <w:t>日</w:t>
      </w:r>
      <w:r>
        <w:rPr>
          <w:rFonts w:hint="eastAsia"/>
          <w:color w:val="000000" w:themeColor="text1"/>
          <w:szCs w:val="27"/>
          <w14:textFill>
            <w14:solidFill>
              <w14:schemeClr w14:val="tx1"/>
            </w14:solidFill>
          </w14:textFill>
        </w:rPr>
        <w:t xml:space="preserve"> </w:t>
      </w: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spacing w:line="900" w:lineRule="exact"/>
        <w:rPr>
          <w:rFonts w:ascii="宋体" w:hAnsi="宋体" w:cs="宋体"/>
          <w:b/>
          <w:bCs/>
          <w:color w:val="000000" w:themeColor="text1"/>
          <w:sz w:val="32"/>
          <w:szCs w:val="32"/>
          <w14:textFill>
            <w14:solidFill>
              <w14:schemeClr w14:val="tx1"/>
            </w14:solidFill>
          </w14:textFill>
        </w:rPr>
      </w:pPr>
      <w:bookmarkStart w:id="113" w:name="_Toc17699_WPSOffice_Level1"/>
      <w:r>
        <w:rPr>
          <w:rFonts w:hint="eastAsia" w:ascii="宋体" w:hAnsi="宋体" w:cs="宋体"/>
          <w:b/>
          <w:bCs/>
          <w:color w:val="000000" w:themeColor="text1"/>
          <w:sz w:val="32"/>
          <w:szCs w:val="32"/>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第七章 投标文件格式</w:t>
      </w:r>
      <w:bookmarkEnd w:id="113"/>
    </w:p>
    <w:p>
      <w:pPr>
        <w:spacing w:line="90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****项目</w:t>
      </w:r>
    </w:p>
    <w:p>
      <w:pPr>
        <w:pStyle w:val="52"/>
        <w:rPr>
          <w:color w:val="000000" w:themeColor="text1"/>
          <w14:textFill>
            <w14:solidFill>
              <w14:schemeClr w14:val="tx1"/>
            </w14:solidFill>
          </w14:textFill>
        </w:rPr>
      </w:pPr>
    </w:p>
    <w:p>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w:t>
      </w:r>
    </w:p>
    <w:p>
      <w:pPr>
        <w:spacing w:line="900" w:lineRule="exact"/>
        <w:jc w:val="center"/>
        <w:rPr>
          <w:rFonts w:ascii="宋体" w:hAnsi="宋体" w:cs="宋体"/>
          <w:b/>
          <w:color w:val="000000" w:themeColor="text1"/>
          <w:sz w:val="72"/>
          <w14:textFill>
            <w14:solidFill>
              <w14:schemeClr w14:val="tx1"/>
            </w14:solidFill>
          </w14:textFill>
        </w:rPr>
      </w:pPr>
    </w:p>
    <w:p>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标</w:t>
      </w:r>
    </w:p>
    <w:p>
      <w:pPr>
        <w:spacing w:line="900" w:lineRule="exact"/>
        <w:jc w:val="center"/>
        <w:rPr>
          <w:rFonts w:ascii="宋体" w:hAnsi="宋体" w:cs="宋体"/>
          <w:b/>
          <w:color w:val="000000" w:themeColor="text1"/>
          <w:sz w:val="72"/>
          <w14:textFill>
            <w14:solidFill>
              <w14:schemeClr w14:val="tx1"/>
            </w14:solidFill>
          </w14:textFill>
        </w:rPr>
      </w:pPr>
    </w:p>
    <w:p>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文</w:t>
      </w:r>
    </w:p>
    <w:p>
      <w:pPr>
        <w:spacing w:line="900" w:lineRule="exact"/>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件</w:t>
      </w:r>
    </w:p>
    <w:p>
      <w:pPr>
        <w:spacing w:after="120" w:afterLines="50" w:line="500" w:lineRule="exact"/>
        <w:rPr>
          <w:rFonts w:ascii="宋体" w:hAnsi="宋体" w:cs="宋体"/>
          <w:b/>
          <w:color w:val="000000" w:themeColor="text1"/>
          <w:sz w:val="32"/>
          <w:u w:val="single"/>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投标人：</w:t>
      </w:r>
      <w:r>
        <w:rPr>
          <w:rFonts w:hint="eastAsia" w:ascii="宋体" w:hAnsi="宋体" w:cs="宋体"/>
          <w:b/>
          <w:color w:val="000000" w:themeColor="text1"/>
          <w:sz w:val="32"/>
          <w:u w:val="single"/>
          <w14:textFill>
            <w14:solidFill>
              <w14:schemeClr w14:val="tx1"/>
            </w14:solidFill>
          </w14:textFill>
        </w:rPr>
        <w:t xml:space="preserve">               </w:t>
      </w:r>
    </w:p>
    <w:p>
      <w:pPr>
        <w:spacing w:after="120" w:afterLines="50" w:line="500" w:lineRule="exact"/>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u w:val="single"/>
          <w14:textFill>
            <w14:solidFill>
              <w14:schemeClr w14:val="tx1"/>
            </w14:solidFill>
          </w14:textFill>
        </w:rPr>
        <w:t xml:space="preserve"> </w:t>
      </w:r>
      <w:bookmarkStart w:id="114" w:name="_Toc5567_WPSOffice_Level2"/>
      <w:r>
        <w:rPr>
          <w:rFonts w:hint="eastAsia" w:ascii="宋体" w:hAnsi="宋体" w:cs="宋体"/>
          <w:b/>
          <w:color w:val="000000" w:themeColor="text1"/>
          <w:sz w:val="32"/>
          <w14:textFill>
            <w14:solidFill>
              <w14:schemeClr w14:val="tx1"/>
            </w14:solidFill>
          </w14:textFill>
        </w:rPr>
        <w:t>年</w:t>
      </w:r>
      <w:r>
        <w:rPr>
          <w:rFonts w:hint="eastAsia" w:ascii="宋体" w:hAnsi="宋体" w:cs="宋体"/>
          <w:b/>
          <w:color w:val="000000" w:themeColor="text1"/>
          <w:sz w:val="32"/>
          <w:u w:val="single"/>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月</w:t>
      </w:r>
      <w:r>
        <w:rPr>
          <w:rFonts w:hint="eastAsia" w:ascii="宋体" w:hAnsi="宋体" w:cs="宋体"/>
          <w:b/>
          <w:color w:val="000000" w:themeColor="text1"/>
          <w:sz w:val="32"/>
          <w:u w:val="single"/>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日</w:t>
      </w:r>
      <w:bookmarkEnd w:id="114"/>
    </w:p>
    <w:p>
      <w:pPr>
        <w:rPr>
          <w:rFonts w:ascii="宋体" w:hAnsi="宋体" w:cs="宋体"/>
          <w:color w:val="000000" w:themeColor="text1"/>
          <w14:textFill>
            <w14:solidFill>
              <w14:schemeClr w14:val="tx1"/>
            </w14:solidFill>
          </w14:textFill>
        </w:rPr>
      </w:pPr>
      <w:bookmarkStart w:id="115" w:name="_Hlt519045470"/>
      <w:bookmarkEnd w:id="115"/>
      <w:bookmarkStart w:id="116" w:name="_Hlt50174722"/>
      <w:bookmarkEnd w:id="116"/>
      <w:bookmarkStart w:id="117" w:name="_Hlt533408877"/>
      <w:bookmarkEnd w:id="117"/>
      <w:bookmarkStart w:id="118" w:name="_Hlt50174972"/>
      <w:bookmarkEnd w:id="118"/>
      <w:bookmarkStart w:id="119" w:name="_Hlt519068595"/>
      <w:bookmarkEnd w:id="119"/>
      <w:bookmarkStart w:id="120" w:name="_Hlt50174708"/>
      <w:bookmarkEnd w:id="120"/>
      <w:bookmarkStart w:id="121" w:name="_Hlt509738521"/>
      <w:bookmarkStart w:id="122" w:name="_Hlt509738509"/>
      <w:bookmarkStart w:id="123" w:name="_Hlt519045391"/>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52"/>
        <w:rPr>
          <w:rFonts w:ascii="宋体" w:hAnsi="宋体" w:cs="宋体"/>
          <w:color w:val="000000" w:themeColor="text1"/>
          <w14:textFill>
            <w14:solidFill>
              <w14:schemeClr w14:val="tx1"/>
            </w14:solidFill>
          </w14:textFill>
        </w:rPr>
      </w:pPr>
    </w:p>
    <w:p>
      <w:pPr>
        <w:pStyle w:val="49"/>
        <w:rPr>
          <w:rFonts w:ascii="宋体" w:hAnsi="宋体" w:eastAsia="宋体" w:cs="宋体"/>
          <w:color w:val="000000" w:themeColor="text1"/>
          <w14:textFill>
            <w14:solidFill>
              <w14:schemeClr w14:val="tx1"/>
            </w14:solidFill>
          </w14:textFill>
        </w:rPr>
      </w:pPr>
      <w:bookmarkStart w:id="124" w:name="_Toc20284_WPSOffice_Level2"/>
      <w:r>
        <w:rPr>
          <w:rFonts w:hint="eastAsia" w:ascii="宋体" w:hAnsi="宋体" w:eastAsia="宋体" w:cs="宋体"/>
          <w:color w:val="000000" w:themeColor="text1"/>
          <w14:textFill>
            <w14:solidFill>
              <w14:schemeClr w14:val="tx1"/>
            </w14:solidFill>
          </w14:textFill>
        </w:rPr>
        <w:t>投标文件资料清单</w:t>
      </w:r>
      <w:bookmarkEnd w:id="124"/>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082"/>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6082"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资料名称</w:t>
            </w:r>
          </w:p>
        </w:tc>
        <w:tc>
          <w:tcPr>
            <w:tcW w:w="2065"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6082" w:type="dxa"/>
            <w:vAlign w:val="center"/>
          </w:tcPr>
          <w:p>
            <w:pPr>
              <w:rPr>
                <w:rFonts w:ascii="宋体" w:hAnsi="宋体" w:cs="宋体"/>
                <w:color w:val="000000" w:themeColor="text1"/>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开标一览表</w:t>
            </w:r>
          </w:p>
        </w:tc>
        <w:tc>
          <w:tcPr>
            <w:tcW w:w="2065" w:type="dxa"/>
            <w:vAlign w:val="center"/>
          </w:tcPr>
          <w:p>
            <w:pPr>
              <w:spacing w:line="360" w:lineRule="auto"/>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6082"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投标人情况综合简介</w:t>
            </w:r>
          </w:p>
        </w:tc>
        <w:tc>
          <w:tcPr>
            <w:tcW w:w="2065" w:type="dxa"/>
            <w:vAlign w:val="center"/>
          </w:tcPr>
          <w:p>
            <w:pPr>
              <w:spacing w:line="360" w:lineRule="auto"/>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w:t>
            </w:r>
          </w:p>
        </w:tc>
        <w:tc>
          <w:tcPr>
            <w:tcW w:w="6082"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投标函</w:t>
            </w:r>
          </w:p>
        </w:tc>
        <w:tc>
          <w:tcPr>
            <w:tcW w:w="2065" w:type="dxa"/>
            <w:vAlign w:val="center"/>
          </w:tcPr>
          <w:p>
            <w:pPr>
              <w:spacing w:line="360" w:lineRule="auto"/>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p>
        </w:tc>
        <w:tc>
          <w:tcPr>
            <w:tcW w:w="6082" w:type="dxa"/>
            <w:vAlign w:val="center"/>
          </w:tcPr>
          <w:p>
            <w:pPr>
              <w:pStyle w:val="542"/>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投标分项报价表</w:t>
            </w:r>
          </w:p>
        </w:tc>
        <w:tc>
          <w:tcPr>
            <w:tcW w:w="2065" w:type="dxa"/>
            <w:vAlign w:val="center"/>
          </w:tcPr>
          <w:p>
            <w:pPr>
              <w:spacing w:line="360" w:lineRule="auto"/>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p>
        </w:tc>
        <w:tc>
          <w:tcPr>
            <w:tcW w:w="6082" w:type="dxa"/>
            <w:vAlign w:val="center"/>
          </w:tcPr>
          <w:p>
            <w:pP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投标响应表</w:t>
            </w:r>
          </w:p>
        </w:tc>
        <w:tc>
          <w:tcPr>
            <w:tcW w:w="2065" w:type="dxa"/>
            <w:vAlign w:val="center"/>
          </w:tcPr>
          <w:p>
            <w:pPr>
              <w:spacing w:line="360" w:lineRule="auto"/>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产品质量承诺</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所供货物组部件、备品、备件清单</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有关证明文件</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所投货物的技术资料等</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w:t>
            </w:r>
          </w:p>
        </w:tc>
        <w:tc>
          <w:tcPr>
            <w:tcW w:w="6082"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其他投标人认为需要提供得材料等</w:t>
            </w: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w:t>
            </w:r>
          </w:p>
        </w:tc>
        <w:tc>
          <w:tcPr>
            <w:tcW w:w="6082" w:type="dxa"/>
            <w:vAlign w:val="bottom"/>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政府采购供应商诚信承诺书</w:t>
            </w:r>
          </w:p>
          <w:p>
            <w:pPr>
              <w:rPr>
                <w:rFonts w:ascii="宋体" w:hAnsi="宋体" w:cs="宋体"/>
                <w:color w:val="000000" w:themeColor="text1"/>
                <w:sz w:val="24"/>
                <w14:textFill>
                  <w14:solidFill>
                    <w14:schemeClr w14:val="tx1"/>
                  </w14:solidFill>
                </w14:textFill>
              </w:rPr>
            </w:pP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70" w:type="dxa"/>
            <w:vAlign w:val="center"/>
          </w:tcPr>
          <w:p>
            <w:pPr>
              <w:jc w:val="center"/>
              <w:rPr>
                <w:rFonts w:ascii="宋体" w:hAnsi="宋体" w:cs="宋体"/>
                <w:color w:val="000000" w:themeColor="text1"/>
                <w:sz w:val="24"/>
                <w14:textFill>
                  <w14:solidFill>
                    <w14:schemeClr w14:val="tx1"/>
                  </w14:solidFill>
                </w14:textFill>
              </w:rPr>
            </w:pPr>
          </w:p>
        </w:tc>
        <w:tc>
          <w:tcPr>
            <w:tcW w:w="6082" w:type="dxa"/>
            <w:vAlign w:val="center"/>
          </w:tcPr>
          <w:p>
            <w:pPr>
              <w:rPr>
                <w:rFonts w:ascii="宋体" w:hAnsi="宋体" w:cs="宋体"/>
                <w:color w:val="000000" w:themeColor="text1"/>
                <w:sz w:val="24"/>
                <w14:textFill>
                  <w14:solidFill>
                    <w14:schemeClr w14:val="tx1"/>
                  </w14:solidFill>
                </w14:textFill>
              </w:rPr>
            </w:pPr>
          </w:p>
        </w:tc>
        <w:tc>
          <w:tcPr>
            <w:tcW w:w="2065" w:type="dxa"/>
            <w:vAlign w:val="center"/>
          </w:tcPr>
          <w:p>
            <w:pPr>
              <w:spacing w:line="360" w:lineRule="auto"/>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317" w:type="dxa"/>
            <w:gridSpan w:val="3"/>
            <w:vAlign w:val="center"/>
          </w:tcPr>
          <w:p>
            <w:pPr>
              <w:spacing w:line="500" w:lineRule="exact"/>
              <w:rPr>
                <w:rFonts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备注：投标文件资料清单是投标人制作投标文件的参考格式，并非必须格式，请各位投标人根据所投项目需要自行增减，是否依据了本格式或自行增减了多少格式并不是废标的条款。</w:t>
            </w:r>
          </w:p>
        </w:tc>
      </w:tr>
    </w:tbl>
    <w:p>
      <w:pPr>
        <w:spacing w:line="500" w:lineRule="exact"/>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9"/>
        <w:rPr>
          <w:rFonts w:hAnsi="宋体" w:cs="宋体"/>
          <w:color w:val="000000" w:themeColor="text1"/>
          <w:sz w:val="28"/>
          <w14:textFill>
            <w14:solidFill>
              <w14:schemeClr w14:val="tx1"/>
            </w14:solidFill>
          </w14:textFill>
        </w:rPr>
      </w:pPr>
      <w:bookmarkStart w:id="125" w:name="_Toc197934561"/>
      <w:bookmarkStart w:id="126" w:name="_Toc40975449"/>
      <w:bookmarkStart w:id="127" w:name="_Toc2396_WPSOffice_Level2"/>
      <w:r>
        <w:rPr>
          <w:rFonts w:hint="eastAsia" w:hAnsi="宋体" w:cs="宋体"/>
          <w:color w:val="000000" w:themeColor="text1"/>
          <w:sz w:val="28"/>
          <w14:textFill>
            <w14:solidFill>
              <w14:schemeClr w14:val="tx1"/>
            </w14:solidFill>
          </w14:textFill>
        </w:rPr>
        <w:t>一．开标一览表</w:t>
      </w:r>
      <w:bookmarkEnd w:id="125"/>
      <w:bookmarkEnd w:id="126"/>
      <w:bookmarkEnd w:id="127"/>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56"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 目 名 称</w:t>
            </w:r>
          </w:p>
        </w:tc>
        <w:tc>
          <w:tcPr>
            <w:tcW w:w="6309"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投标人全称</w:t>
            </w:r>
          </w:p>
        </w:tc>
        <w:tc>
          <w:tcPr>
            <w:tcW w:w="6309" w:type="dxa"/>
            <w:tcBorders>
              <w:top w:val="nil"/>
            </w:tcBorders>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投标范围</w:t>
            </w:r>
          </w:p>
        </w:tc>
        <w:tc>
          <w:tcPr>
            <w:tcW w:w="6309" w:type="dxa"/>
            <w:tcBorders>
              <w:top w:val="nil"/>
            </w:tcBorders>
            <w:vAlign w:val="center"/>
          </w:tcPr>
          <w:p>
            <w:pPr>
              <w:widowControl/>
              <w:spacing w:line="360" w:lineRule="exact"/>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1、最终投标报价</w:t>
            </w:r>
          </w:p>
          <w:p>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（人民币）</w:t>
            </w:r>
          </w:p>
          <w:p>
            <w:pPr>
              <w:spacing w:line="360" w:lineRule="exact"/>
              <w:rPr>
                <w:color w:val="000000" w:themeColor="text1"/>
                <w14:textFill>
                  <w14:solidFill>
                    <w14:schemeClr w14:val="tx1"/>
                  </w14:solidFill>
                </w14:textFill>
              </w:rPr>
            </w:pPr>
          </w:p>
        </w:tc>
        <w:tc>
          <w:tcPr>
            <w:tcW w:w="6309" w:type="dxa"/>
            <w:tcBorders>
              <w:top w:val="nil"/>
            </w:tcBorders>
            <w:vAlign w:val="center"/>
          </w:tcPr>
          <w:p>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1、投标报价：        元、大写：         </w:t>
            </w:r>
          </w:p>
          <w:p>
            <w:pPr>
              <w:pStyle w:val="2"/>
              <w:ind w:right="-21" w:firstLine="540"/>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056" w:type="dxa"/>
            <w:tcBorders>
              <w:top w:val="nil"/>
            </w:tcBorders>
            <w:vAlign w:val="center"/>
          </w:tcPr>
          <w:p>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c>
          <w:tcPr>
            <w:tcW w:w="6309" w:type="dxa"/>
            <w:tcBorders>
              <w:top w:val="nil"/>
            </w:tcBorders>
            <w:vAlign w:val="center"/>
          </w:tcPr>
          <w:p>
            <w:pPr>
              <w:spacing w:line="360" w:lineRule="auto"/>
              <w:jc w:val="left"/>
              <w:rPr>
                <w:rFonts w:ascii="宋体" w:hAnsi="宋体" w:cs="宋体"/>
                <w:color w:val="000000" w:themeColor="text1"/>
                <w:sz w:val="24"/>
                <w:szCs w:val="28"/>
                <w14:textFill>
                  <w14:solidFill>
                    <w14:schemeClr w14:val="tx1"/>
                  </w14:solidFill>
                </w14:textFill>
              </w:rPr>
            </w:pPr>
          </w:p>
        </w:tc>
      </w:tr>
    </w:tbl>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授权委托人或法人：（签字）</w:t>
      </w:r>
    </w:p>
    <w:p>
      <w:pPr>
        <w:spacing w:line="380" w:lineRule="exact"/>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spacing w:before="100" w:beforeAutospacing="1" w:after="100" w:afterAutospacing="1"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500" w:lineRule="exact"/>
        <w:jc w:val="center"/>
        <w:rPr>
          <w:rFonts w:ascii="宋体" w:hAnsi="宋体" w:cs="宋体"/>
          <w:b/>
          <w:bCs/>
          <w:color w:val="000000" w:themeColor="text1"/>
          <w:sz w:val="30"/>
          <w14:textFill>
            <w14:solidFill>
              <w14:schemeClr w14:val="tx1"/>
            </w14:solidFill>
          </w14:textFill>
        </w:rPr>
      </w:pPr>
    </w:p>
    <w:p>
      <w:pPr>
        <w:spacing w:line="500" w:lineRule="exact"/>
        <w:jc w:val="center"/>
        <w:rPr>
          <w:rFonts w:ascii="宋体" w:hAnsi="宋体" w:cs="宋体"/>
          <w:b/>
          <w:bCs/>
          <w:color w:val="000000" w:themeColor="text1"/>
          <w:sz w:val="30"/>
          <w14:textFill>
            <w14:solidFill>
              <w14:schemeClr w14:val="tx1"/>
            </w14:solidFill>
          </w14:textFill>
        </w:rPr>
      </w:pPr>
    </w:p>
    <w:p>
      <w:pPr>
        <w:spacing w:line="500" w:lineRule="exact"/>
        <w:jc w:val="center"/>
        <w:rPr>
          <w:rFonts w:ascii="宋体" w:hAnsi="宋体" w:cs="宋体"/>
          <w:b/>
          <w:bCs/>
          <w:color w:val="000000" w:themeColor="text1"/>
          <w:sz w:val="30"/>
          <w14:textFill>
            <w14:solidFill>
              <w14:schemeClr w14:val="tx1"/>
            </w14:solidFill>
          </w14:textFill>
        </w:rPr>
      </w:pPr>
    </w:p>
    <w:p>
      <w:pPr>
        <w:pStyle w:val="9"/>
        <w:rPr>
          <w:rFonts w:hAnsi="宋体" w:cs="宋体"/>
          <w:color w:val="000000" w:themeColor="text1"/>
          <w:sz w:val="28"/>
          <w14:textFill>
            <w14:solidFill>
              <w14:schemeClr w14:val="tx1"/>
            </w14:solidFill>
          </w14:textFill>
        </w:rPr>
      </w:pPr>
      <w:bookmarkStart w:id="128" w:name="_Hlt533408916"/>
      <w:bookmarkEnd w:id="128"/>
      <w:bookmarkStart w:id="129" w:name="_Hlt509716873"/>
      <w:bookmarkEnd w:id="129"/>
      <w:bookmarkStart w:id="130" w:name="_Hlt533409360"/>
      <w:bookmarkEnd w:id="130"/>
      <w:bookmarkStart w:id="131" w:name="_Hlt533408409"/>
      <w:bookmarkEnd w:id="131"/>
      <w:bookmarkStart w:id="132" w:name="_Hlt519045798"/>
      <w:bookmarkEnd w:id="132"/>
      <w:bookmarkStart w:id="133" w:name="_Toc11175_WPSOffice_Level2"/>
      <w:bookmarkStart w:id="134" w:name="_Toc516969097"/>
      <w:bookmarkStart w:id="135" w:name="_Toc40975450"/>
      <w:bookmarkStart w:id="136" w:name="_Toc197934563"/>
      <w:r>
        <w:rPr>
          <w:rFonts w:hint="eastAsia" w:hAnsi="宋体" w:cs="宋体"/>
          <w:color w:val="000000" w:themeColor="text1"/>
          <w:sz w:val="28"/>
          <w14:textFill>
            <w14:solidFill>
              <w14:schemeClr w14:val="tx1"/>
            </w14:solidFill>
          </w14:textFill>
        </w:rPr>
        <w:t>二．投标人综合情况简介</w:t>
      </w:r>
      <w:bookmarkEnd w:id="133"/>
      <w:bookmarkEnd w:id="134"/>
      <w:bookmarkEnd w:id="135"/>
    </w:p>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spacing w:line="500" w:lineRule="exact"/>
        <w:jc w:val="center"/>
        <w:rPr>
          <w:rFonts w:ascii="宋体" w:hAnsi="宋体" w:cs="宋体"/>
          <w:color w:val="000000" w:themeColor="text1"/>
          <w:sz w:val="28"/>
          <w14:textFill>
            <w14:solidFill>
              <w14:schemeClr w14:val="tx1"/>
            </w14:solidFill>
          </w14:textFill>
        </w:rPr>
      </w:pPr>
    </w:p>
    <w:p>
      <w:pPr>
        <w:pStyle w:val="9"/>
        <w:spacing w:after="240"/>
        <w:rPr>
          <w:rFonts w:hAnsi="宋体" w:cs="宋体"/>
          <w:color w:val="000000" w:themeColor="text1"/>
          <w:sz w:val="28"/>
          <w14:textFill>
            <w14:solidFill>
              <w14:schemeClr w14:val="tx1"/>
            </w14:solidFill>
          </w14:textFill>
        </w:rPr>
      </w:pPr>
      <w:bookmarkStart w:id="137" w:name="_Hlt509739007"/>
      <w:bookmarkEnd w:id="137"/>
      <w:bookmarkStart w:id="138" w:name="_Toc516969098"/>
      <w:bookmarkStart w:id="139" w:name="_Toc40975451"/>
      <w:bookmarkStart w:id="140" w:name="_Toc1391_WPSOffice_Level2"/>
      <w:r>
        <w:rPr>
          <w:rFonts w:hint="eastAsia" w:hAnsi="宋体" w:cs="宋体"/>
          <w:color w:val="000000" w:themeColor="text1"/>
          <w:sz w:val="28"/>
          <w14:textFill>
            <w14:solidFill>
              <w14:schemeClr w14:val="tx1"/>
            </w14:solidFill>
          </w14:textFill>
        </w:rPr>
        <w:t>三．投标函</w:t>
      </w:r>
      <w:bookmarkEnd w:id="138"/>
      <w:bookmarkEnd w:id="139"/>
      <w:bookmarkEnd w:id="140"/>
    </w:p>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b w:val="0"/>
          <w:color w:val="000000" w:themeColor="text1"/>
          <w:sz w:val="24"/>
          <w14:textFill>
            <w14:solidFill>
              <w14:schemeClr w14:val="tx1"/>
            </w14:solidFill>
          </w14:textFill>
        </w:rPr>
        <w:t>（采购人或采购代理机构）</w:t>
      </w:r>
    </w:p>
    <w:p>
      <w:pPr>
        <w:spacing w:line="360" w:lineRule="auto"/>
        <w:ind w:left="239" w:leftChars="114" w:firstLine="386" w:firstLineChars="161"/>
        <w:rPr>
          <w:rFonts w:ascii="宋体" w:hAnsi="宋体" w:cs="宋体"/>
          <w:b/>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根据贵方“项目名称、项目编号”项目招标邀请书或招标公告，正式授权下述签字人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（姓名）代表投标人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（投标人全称），提交规定形式的投标文件。</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据此函，我方兹宣布同意如下：</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（1）如我公司中标，愿意按招标文件规定提供交付货物（包括安装调试等工作）的总报价为人民币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元，供货期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（2）我方根据招标文件的规定，严格履行合同的责任和义务,并保证于买方要求的日期内完成供货、安装及服务，并通过买方验收。</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（3）我方承诺报价低于同类货物和服务的市场平均价格。</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（5）我方同意从招标文件规定的开标日期起遵循本投标文件，并在招标文件规定的投标有效期之前均具有约束力，同意投标函按此统一格式填写，由投标单位加盖公章，并由法人代表签字和盖章。。</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（7）我方完全理解贵方不一定接受最低报价的投标。</w:t>
      </w:r>
    </w:p>
    <w:p>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（8）我方同意招标文件规定的付款方式。</w:t>
      </w:r>
    </w:p>
    <w:p>
      <w:pPr>
        <w:spacing w:line="360" w:lineRule="auto"/>
        <w:ind w:firstLine="63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（9）与本投标有关的通讯地址：</w:t>
      </w:r>
      <w:r>
        <w:rPr>
          <w:rFonts w:hint="eastAsia" w:ascii="宋体" w:hAnsi="宋体" w:cs="宋体"/>
          <w:color w:val="000000" w:themeColor="text1"/>
          <w:sz w:val="24"/>
          <w:u w:val="single"/>
          <w14:textFill>
            <w14:solidFill>
              <w14:schemeClr w14:val="tx1"/>
            </w14:solidFill>
          </w14:textFill>
        </w:rPr>
        <w:t xml:space="preserve">                                  </w:t>
      </w:r>
    </w:p>
    <w:p>
      <w:pPr>
        <w:pStyle w:val="80"/>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（10）本项目责任人：   电话：</w:t>
      </w:r>
    </w:p>
    <w:p>
      <w:pPr>
        <w:spacing w:line="380" w:lineRule="exact"/>
        <w:ind w:firstLine="3600" w:firstLineChars="1500"/>
        <w:rPr>
          <w:rFonts w:ascii="宋体" w:hAnsi="宋体" w:cs="宋体"/>
          <w:color w:val="000000" w:themeColor="text1"/>
          <w:sz w:val="24"/>
          <w14:textFill>
            <w14:solidFill>
              <w14:schemeClr w14:val="tx1"/>
            </w14:solidFill>
          </w14:textFill>
        </w:rPr>
      </w:pPr>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szCs w:val="28"/>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法人代表：（签字）</w:t>
      </w:r>
    </w:p>
    <w:p>
      <w:pPr>
        <w:spacing w:line="380" w:lineRule="exact"/>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bookmarkEnd w:id="136"/>
    <w:p>
      <w:pPr>
        <w:pStyle w:val="9"/>
        <w:rPr>
          <w:rFonts w:hAnsi="宋体" w:cs="宋体"/>
          <w:color w:val="000000" w:themeColor="text1"/>
          <w:sz w:val="28"/>
          <w:szCs w:val="36"/>
          <w14:textFill>
            <w14:solidFill>
              <w14:schemeClr w14:val="tx1"/>
            </w14:solidFill>
          </w14:textFill>
        </w:rPr>
      </w:pPr>
      <w:bookmarkStart w:id="141" w:name="_Toc220232409"/>
      <w:bookmarkStart w:id="142" w:name="_Toc40975452"/>
      <w:bookmarkStart w:id="143" w:name="_Toc24077_WPSOffice_Level2"/>
      <w:r>
        <w:rPr>
          <w:rFonts w:hint="eastAsia" w:hAnsi="宋体" w:cs="宋体"/>
          <w:color w:val="000000" w:themeColor="text1"/>
          <w:sz w:val="28"/>
          <w14:textFill>
            <w14:solidFill>
              <w14:schemeClr w14:val="tx1"/>
            </w14:solidFill>
          </w14:textFill>
        </w:rPr>
        <w:t>四．投标分项报价表</w:t>
      </w:r>
      <w:bookmarkEnd w:id="141"/>
      <w:bookmarkEnd w:id="142"/>
      <w:bookmarkEnd w:id="143"/>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409"/>
              <w:widowControl w:val="0"/>
              <w:spacing w:before="0" w:beforeAutospacing="0" w:after="0" w:afterAutospacing="0"/>
              <w:rPr>
                <w:rFonts w:cs="宋体"/>
                <w:bCs w:val="0"/>
                <w:color w:val="000000" w:themeColor="text1"/>
                <w:kern w:val="2"/>
                <w:sz w:val="24"/>
                <w:szCs w:val="20"/>
                <w14:textFill>
                  <w14:solidFill>
                    <w14:schemeClr w14:val="tx1"/>
                  </w14:solidFill>
                </w14:textFill>
              </w:rPr>
            </w:pPr>
            <w:r>
              <w:rPr>
                <w:rFonts w:hint="eastAsia" w:cs="宋体"/>
                <w:bCs w:val="0"/>
                <w:color w:val="000000" w:themeColor="text1"/>
                <w:kern w:val="2"/>
                <w:sz w:val="24"/>
                <w:szCs w:val="20"/>
                <w14:textFill>
                  <w14:solidFill>
                    <w14:schemeClr w14:val="tx1"/>
                  </w14:solidFill>
                </w14:textFill>
              </w:rPr>
              <w:t>序号</w:t>
            </w:r>
          </w:p>
        </w:tc>
        <w:tc>
          <w:tcPr>
            <w:tcW w:w="2205"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品名品牌、规格型号、原产地及生产厂家</w:t>
            </w:r>
          </w:p>
        </w:tc>
        <w:tc>
          <w:tcPr>
            <w:tcW w:w="957"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w:t>
            </w:r>
          </w:p>
        </w:tc>
        <w:tc>
          <w:tcPr>
            <w:tcW w:w="840"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260"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1340"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小计</w:t>
            </w:r>
          </w:p>
        </w:tc>
        <w:tc>
          <w:tcPr>
            <w:tcW w:w="922"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2205" w:type="dxa"/>
          </w:tcPr>
          <w:p>
            <w:pPr>
              <w:rPr>
                <w:rFonts w:ascii="宋体" w:hAnsi="宋体" w:cs="宋体"/>
                <w:color w:val="000000" w:themeColor="text1"/>
                <w:sz w:val="24"/>
                <w14:textFill>
                  <w14:solidFill>
                    <w14:schemeClr w14:val="tx1"/>
                  </w14:solidFill>
                </w14:textFill>
              </w:rPr>
            </w:pP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p>
        </w:tc>
        <w:tc>
          <w:tcPr>
            <w:tcW w:w="2205" w:type="dxa"/>
            <w:vAlign w:val="center"/>
          </w:tcPr>
          <w:p>
            <w:pPr>
              <w:pStyle w:val="54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其他费用</w:t>
            </w: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jc w:val="center"/>
              <w:rPr>
                <w:rFonts w:ascii="宋体" w:hAnsi="宋体" w:cs="宋体"/>
                <w:color w:val="000000" w:themeColor="text1"/>
                <w:sz w:val="24"/>
                <w14:textFill>
                  <w14:solidFill>
                    <w14:schemeClr w14:val="tx1"/>
                  </w14:solidFill>
                </w14:textFill>
              </w:rPr>
            </w:pPr>
          </w:p>
        </w:tc>
        <w:tc>
          <w:tcPr>
            <w:tcW w:w="2205" w:type="dxa"/>
            <w:vAlign w:val="center"/>
          </w:tcPr>
          <w:p>
            <w:pPr>
              <w:pStyle w:val="54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tc>
        <w:tc>
          <w:tcPr>
            <w:tcW w:w="957" w:type="dxa"/>
          </w:tcPr>
          <w:p>
            <w:pPr>
              <w:rPr>
                <w:rFonts w:ascii="宋体" w:hAnsi="宋体" w:cs="宋体"/>
                <w:color w:val="000000" w:themeColor="text1"/>
                <w:sz w:val="24"/>
                <w14:textFill>
                  <w14:solidFill>
                    <w14:schemeClr w14:val="tx1"/>
                  </w14:solidFill>
                </w14:textFill>
              </w:rPr>
            </w:pPr>
          </w:p>
        </w:tc>
        <w:tc>
          <w:tcPr>
            <w:tcW w:w="840" w:type="dxa"/>
          </w:tcPr>
          <w:p>
            <w:pPr>
              <w:rPr>
                <w:rFonts w:ascii="宋体" w:hAnsi="宋体" w:cs="宋体"/>
                <w:color w:val="000000" w:themeColor="text1"/>
                <w:sz w:val="24"/>
                <w14:textFill>
                  <w14:solidFill>
                    <w14:schemeClr w14:val="tx1"/>
                  </w14:solidFill>
                </w14:textFill>
              </w:rPr>
            </w:pPr>
          </w:p>
        </w:tc>
        <w:tc>
          <w:tcPr>
            <w:tcW w:w="1260" w:type="dxa"/>
          </w:tcPr>
          <w:p>
            <w:pPr>
              <w:rPr>
                <w:rFonts w:ascii="宋体" w:hAnsi="宋体" w:cs="宋体"/>
                <w:color w:val="000000" w:themeColor="text1"/>
                <w:sz w:val="24"/>
                <w14:textFill>
                  <w14:solidFill>
                    <w14:schemeClr w14:val="tx1"/>
                  </w14:solidFill>
                </w14:textFill>
              </w:rPr>
            </w:pPr>
          </w:p>
        </w:tc>
        <w:tc>
          <w:tcPr>
            <w:tcW w:w="1340" w:type="dxa"/>
          </w:tcPr>
          <w:p>
            <w:pPr>
              <w:rPr>
                <w:rFonts w:ascii="宋体" w:hAnsi="宋体" w:cs="宋体"/>
                <w:color w:val="000000" w:themeColor="text1"/>
                <w:sz w:val="24"/>
                <w14:textFill>
                  <w14:solidFill>
                    <w14:schemeClr w14:val="tx1"/>
                  </w14:solidFill>
                </w14:textFill>
              </w:rPr>
            </w:pPr>
          </w:p>
        </w:tc>
        <w:tc>
          <w:tcPr>
            <w:tcW w:w="922" w:type="dxa"/>
          </w:tcPr>
          <w:p>
            <w:pPr>
              <w:rPr>
                <w:rFonts w:ascii="宋体" w:hAnsi="宋体" w:cs="宋体"/>
                <w:color w:val="000000" w:themeColor="text1"/>
                <w:sz w:val="24"/>
                <w14:textFill>
                  <w14:solidFill>
                    <w14:schemeClr w14:val="tx1"/>
                  </w14:solidFill>
                </w14:textFill>
              </w:rPr>
            </w:pPr>
          </w:p>
        </w:tc>
        <w:bookmarkStart w:id="144" w:name="_Hlt533408944"/>
        <w:bookmarkStart w:id="145" w:name="_Hlt514495724"/>
      </w:tr>
      <w:bookmarkEnd w:id="121"/>
      <w:bookmarkEnd w:id="122"/>
      <w:bookmarkEnd w:id="123"/>
      <w:bookmarkEnd w:id="144"/>
      <w:bookmarkEnd w:id="145"/>
    </w:tbl>
    <w:p>
      <w:pPr>
        <w:pStyle w:val="40"/>
        <w:spacing w:line="360" w:lineRule="auto"/>
        <w:rPr>
          <w:rFonts w:ascii="宋体" w:hAnsi="宋体" w:cs="宋体"/>
          <w:color w:val="000000" w:themeColor="text1"/>
          <w:sz w:val="24"/>
          <w14:textFill>
            <w14:solidFill>
              <w14:schemeClr w14:val="tx1"/>
            </w14:solidFill>
          </w14:textFill>
        </w:rPr>
      </w:pPr>
      <w:bookmarkStart w:id="146" w:name="_Toc197934552"/>
      <w:bookmarkStart w:id="147" w:name="_Toc27270_WPSOffice_Level2"/>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法人代表：（签字）</w:t>
      </w:r>
    </w:p>
    <w:p>
      <w:pPr>
        <w:spacing w:line="380" w:lineRule="exact"/>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备注：</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报价为所投货物的单价组成。包括货物出厂价格、运费、税金及其它。</w:t>
      </w: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9"/>
        <w:rPr>
          <w:rFonts w:hAnsi="宋体" w:cs="宋体"/>
          <w:color w:val="000000" w:themeColor="text1"/>
          <w:sz w:val="28"/>
          <w14:textFill>
            <w14:solidFill>
              <w14:schemeClr w14:val="tx1"/>
            </w14:solidFill>
          </w14:textFill>
        </w:rPr>
      </w:pPr>
      <w:bookmarkStart w:id="148" w:name="_Toc40975453"/>
      <w:r>
        <w:rPr>
          <w:rFonts w:hint="eastAsia" w:hAnsi="宋体" w:cs="宋体"/>
          <w:color w:val="000000" w:themeColor="text1"/>
          <w:sz w:val="28"/>
          <w14:textFill>
            <w14:solidFill>
              <w14:schemeClr w14:val="tx1"/>
            </w14:solidFill>
          </w14:textFill>
        </w:rPr>
        <w:t>五．投标响应表</w:t>
      </w:r>
      <w:bookmarkEnd w:id="146"/>
      <w:bookmarkEnd w:id="147"/>
      <w:bookmarkEnd w:id="148"/>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按招标文件规定填写</w:t>
            </w:r>
          </w:p>
        </w:tc>
        <w:tc>
          <w:tcPr>
            <w:tcW w:w="3534" w:type="dxa"/>
            <w:gridSpan w:val="2"/>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364" w:type="dxa"/>
            <w:gridSpan w:val="5"/>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47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品名</w:t>
            </w:r>
          </w:p>
        </w:tc>
        <w:tc>
          <w:tcPr>
            <w:tcW w:w="252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技术规格及配置</w:t>
            </w:r>
          </w:p>
        </w:tc>
        <w:tc>
          <w:tcPr>
            <w:tcW w:w="2310" w:type="dxa"/>
            <w:vAlign w:val="center"/>
          </w:tcPr>
          <w:p>
            <w:pPr>
              <w:pStyle w:val="37"/>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品牌、型号</w:t>
            </w:r>
          </w:p>
          <w:p>
            <w:pPr>
              <w:pStyle w:val="37"/>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技术规格及配置</w:t>
            </w:r>
          </w:p>
        </w:tc>
        <w:tc>
          <w:tcPr>
            <w:tcW w:w="1224"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70" w:type="dxa"/>
          </w:tcPr>
          <w:p>
            <w:pPr>
              <w:rPr>
                <w:rFonts w:ascii="宋体" w:hAnsi="宋体" w:cs="宋体"/>
                <w:color w:val="000000" w:themeColor="text1"/>
                <w:sz w:val="24"/>
                <w14:textFill>
                  <w14:solidFill>
                    <w14:schemeClr w14:val="tx1"/>
                  </w14:solidFill>
                </w14:textFill>
              </w:rPr>
            </w:pP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70" w:type="dxa"/>
          </w:tcPr>
          <w:p>
            <w:pPr>
              <w:rPr>
                <w:rFonts w:ascii="宋体" w:hAnsi="宋体" w:cs="宋体"/>
                <w:color w:val="000000" w:themeColor="text1"/>
                <w:sz w:val="24"/>
                <w14:textFill>
                  <w14:solidFill>
                    <w14:schemeClr w14:val="tx1"/>
                  </w14:solidFill>
                </w14:textFill>
              </w:rPr>
            </w:pP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470" w:type="dxa"/>
          </w:tcPr>
          <w:p>
            <w:pPr>
              <w:rPr>
                <w:rFonts w:ascii="宋体" w:hAnsi="宋体" w:cs="宋体"/>
                <w:color w:val="000000" w:themeColor="text1"/>
                <w:sz w:val="24"/>
                <w14:textFill>
                  <w14:solidFill>
                    <w14:schemeClr w14:val="tx1"/>
                  </w14:solidFill>
                </w14:textFill>
              </w:rPr>
            </w:pP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pStyle w:val="542"/>
              <w:rPr>
                <w:rFonts w:ascii="宋体" w:hAnsi="宋体" w:cs="宋体"/>
                <w:color w:val="000000" w:themeColor="text1"/>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470" w:type="dxa"/>
          </w:tcPr>
          <w:p>
            <w:pPr>
              <w:rPr>
                <w:rFonts w:ascii="宋体" w:hAnsi="宋体" w:cs="宋体"/>
                <w:color w:val="000000" w:themeColor="text1"/>
                <w:sz w:val="24"/>
                <w14:textFill>
                  <w14:solidFill>
                    <w14:schemeClr w14:val="tx1"/>
                  </w14:solidFill>
                </w14:textFill>
              </w:rPr>
            </w:pP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364" w:type="dxa"/>
            <w:gridSpan w:val="5"/>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47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内容</w:t>
            </w:r>
          </w:p>
        </w:tc>
        <w:tc>
          <w:tcPr>
            <w:tcW w:w="252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招标要求</w:t>
            </w:r>
          </w:p>
        </w:tc>
        <w:tc>
          <w:tcPr>
            <w:tcW w:w="231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投标承诺</w:t>
            </w:r>
          </w:p>
        </w:tc>
        <w:tc>
          <w:tcPr>
            <w:tcW w:w="1224"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供货期</w:t>
            </w: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70"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免费质保期</w:t>
            </w: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4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付款响应</w:t>
            </w: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4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业绩</w:t>
            </w: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47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520" w:type="dxa"/>
          </w:tcPr>
          <w:p>
            <w:pPr>
              <w:rPr>
                <w:rFonts w:ascii="宋体" w:hAnsi="宋体" w:cs="宋体"/>
                <w:color w:val="000000" w:themeColor="text1"/>
                <w:sz w:val="24"/>
                <w14:textFill>
                  <w14:solidFill>
                    <w14:schemeClr w14:val="tx1"/>
                  </w14:solidFill>
                </w14:textFill>
              </w:rPr>
            </w:pPr>
          </w:p>
        </w:tc>
        <w:tc>
          <w:tcPr>
            <w:tcW w:w="2310" w:type="dxa"/>
          </w:tcPr>
          <w:p>
            <w:pPr>
              <w:rPr>
                <w:rFonts w:ascii="宋体" w:hAnsi="宋体" w:cs="宋体"/>
                <w:color w:val="000000" w:themeColor="text1"/>
                <w:sz w:val="24"/>
                <w14:textFill>
                  <w14:solidFill>
                    <w14:schemeClr w14:val="tx1"/>
                  </w14:solidFill>
                </w14:textFill>
              </w:rPr>
            </w:pPr>
          </w:p>
        </w:tc>
        <w:tc>
          <w:tcPr>
            <w:tcW w:w="1224" w:type="dxa"/>
          </w:tcPr>
          <w:p>
            <w:pPr>
              <w:rPr>
                <w:rFonts w:ascii="宋体" w:hAnsi="宋体" w:cs="宋体"/>
                <w:color w:val="000000" w:themeColor="text1"/>
                <w:sz w:val="24"/>
                <w14:textFill>
                  <w14:solidFill>
                    <w14:schemeClr w14:val="tx1"/>
                  </w14:solidFill>
                </w14:textFill>
              </w:rPr>
            </w:pPr>
          </w:p>
        </w:tc>
      </w:tr>
    </w:tbl>
    <w:p>
      <w:pPr>
        <w:spacing w:line="38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pPr>
        <w:spacing w:line="380" w:lineRule="exact"/>
        <w:ind w:right="640" w:firstLine="1560" w:firstLineChars="650"/>
        <w:jc w:val="left"/>
        <w:rPr>
          <w:rFonts w:ascii="宋体" w:hAnsi="宋体" w:cs="宋体"/>
          <w:color w:val="000000" w:themeColor="text1"/>
          <w:sz w:val="24"/>
          <w14:textFill>
            <w14:solidFill>
              <w14:schemeClr w14:val="tx1"/>
            </w14:solidFill>
          </w14:textFill>
        </w:rPr>
      </w:pPr>
    </w:p>
    <w:p>
      <w:pPr>
        <w:spacing w:line="380" w:lineRule="exact"/>
        <w:ind w:right="64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法人代表：（签字）</w:t>
      </w:r>
    </w:p>
    <w:p>
      <w:pPr>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备注：</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1、投标人必须逐项对应描述投标货物主要参数、配置及服务要求，如不进行描述，仅在响应栏填“响应”或未填写的，将可能导致投标无效；</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2、投标人所投产品如与招标文件要求的规格及配置不一致，则须在上表偏离说明中详细注明。</w:t>
      </w:r>
    </w:p>
    <w:p>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3、响应部分可后附详细说明及技术资料，并应注明投标文件中对应的页码范围。</w:t>
      </w: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9"/>
        <w:rPr>
          <w:rFonts w:hAnsi="宋体" w:cs="宋体"/>
          <w:color w:val="000000" w:themeColor="text1"/>
          <w:sz w:val="28"/>
          <w:szCs w:val="36"/>
          <w14:textFill>
            <w14:solidFill>
              <w14:schemeClr w14:val="tx1"/>
            </w14:solidFill>
          </w14:textFill>
        </w:rPr>
      </w:pPr>
      <w:bookmarkStart w:id="149" w:name="_Hlt509738950"/>
      <w:bookmarkEnd w:id="149"/>
      <w:bookmarkStart w:id="150" w:name="_Toc220232400"/>
      <w:bookmarkStart w:id="151" w:name="_Toc40975454"/>
      <w:bookmarkStart w:id="152" w:name="_Toc2238_WPSOffice_Level2"/>
      <w:r>
        <w:rPr>
          <w:rFonts w:hint="eastAsia" w:hAnsi="宋体" w:cs="宋体"/>
          <w:color w:val="000000" w:themeColor="text1"/>
          <w:sz w:val="28"/>
          <w14:textFill>
            <w14:solidFill>
              <w14:schemeClr w14:val="tx1"/>
            </w14:solidFill>
          </w14:textFill>
        </w:rPr>
        <w:t>六．产品质量承诺</w:t>
      </w:r>
      <w:bookmarkEnd w:id="150"/>
      <w:bookmarkEnd w:id="151"/>
      <w:bookmarkEnd w:id="152"/>
    </w:p>
    <w:p>
      <w:pPr>
        <w:spacing w:before="48" w:beforeLines="20" w:after="48" w:afterLines="20"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pPr>
        <w:spacing w:before="48" w:beforeLines="20" w:after="48" w:afterLines="20" w:line="360" w:lineRule="auto"/>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9"/>
        <w:rPr>
          <w:rFonts w:hAnsi="宋体" w:cs="宋体"/>
          <w:color w:val="000000" w:themeColor="text1"/>
          <w:sz w:val="28"/>
          <w:szCs w:val="36"/>
          <w14:textFill>
            <w14:solidFill>
              <w14:schemeClr w14:val="tx1"/>
            </w14:solidFill>
          </w14:textFill>
        </w:rPr>
      </w:pPr>
      <w:bookmarkStart w:id="153" w:name="_Toc40975455"/>
      <w:bookmarkStart w:id="154" w:name="_Toc516969104"/>
      <w:bookmarkStart w:id="155" w:name="_Toc31042_WPSOffice_Level2"/>
      <w:bookmarkStart w:id="156" w:name="_Toc220232401"/>
      <w:bookmarkStart w:id="157" w:name="_Hlt510342906"/>
      <w:r>
        <w:rPr>
          <w:rFonts w:hint="eastAsia" w:hAnsi="宋体" w:cs="宋体"/>
          <w:color w:val="000000" w:themeColor="text1"/>
          <w:sz w:val="28"/>
          <w14:textFill>
            <w14:solidFill>
              <w14:schemeClr w14:val="tx1"/>
            </w14:solidFill>
          </w14:textFill>
        </w:rPr>
        <w:t>七．所</w:t>
      </w:r>
      <w:bookmarkStart w:id="158" w:name="_Hlt510342883"/>
      <w:bookmarkEnd w:id="158"/>
      <w:r>
        <w:rPr>
          <w:rFonts w:hint="eastAsia" w:hAnsi="宋体" w:cs="宋体"/>
          <w:color w:val="000000" w:themeColor="text1"/>
          <w:sz w:val="28"/>
          <w14:textFill>
            <w14:solidFill>
              <w14:schemeClr w14:val="tx1"/>
            </w14:solidFill>
          </w14:textFill>
        </w:rPr>
        <w:t>供货物组部件、备品、备件清单</w:t>
      </w:r>
      <w:bookmarkEnd w:id="153"/>
      <w:bookmarkEnd w:id="154"/>
      <w:bookmarkEnd w:id="155"/>
      <w:bookmarkEnd w:id="156"/>
      <w:r>
        <w:rPr>
          <w:rFonts w:hint="eastAsia" w:hAnsi="宋体" w:cs="宋体"/>
          <w:color w:val="000000" w:themeColor="text1"/>
          <w:sz w:val="28"/>
          <w14:textFill>
            <w14:solidFill>
              <w14:schemeClr w14:val="tx1"/>
            </w14:solidFill>
          </w14:textFill>
        </w:rPr>
        <w:t>（可不填写）</w:t>
      </w:r>
    </w:p>
    <w:bookmarkEnd w:id="157"/>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86"/>
        <w:gridCol w:w="1730"/>
        <w:gridCol w:w="1037"/>
        <w:gridCol w:w="1286"/>
        <w:gridCol w:w="1236"/>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791"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186"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名称</w:t>
            </w:r>
          </w:p>
        </w:tc>
        <w:tc>
          <w:tcPr>
            <w:tcW w:w="1730"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规格型号</w:t>
            </w:r>
          </w:p>
        </w:tc>
        <w:tc>
          <w:tcPr>
            <w:tcW w:w="1037"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数量</w:t>
            </w:r>
          </w:p>
        </w:tc>
        <w:tc>
          <w:tcPr>
            <w:tcW w:w="1286"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单价</w:t>
            </w:r>
          </w:p>
        </w:tc>
        <w:tc>
          <w:tcPr>
            <w:tcW w:w="1236"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小计</w:t>
            </w:r>
          </w:p>
        </w:tc>
        <w:tc>
          <w:tcPr>
            <w:tcW w:w="1098" w:type="dxa"/>
            <w:vAlign w:val="center"/>
          </w:tcPr>
          <w:p>
            <w:pPr>
              <w:pStyle w:val="37"/>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1186" w:type="dxa"/>
            <w:tcBorders>
              <w:right w:val="single" w:color="auto" w:sz="4" w:space="0"/>
            </w:tcBorders>
          </w:tcPr>
          <w:p>
            <w:pPr>
              <w:rPr>
                <w:rFonts w:ascii="宋体" w:hAnsi="宋体" w:cs="宋体"/>
                <w:color w:val="000000" w:themeColor="text1"/>
                <w:sz w:val="24"/>
                <w14:textFill>
                  <w14:solidFill>
                    <w14:schemeClr w14:val="tx1"/>
                  </w14:solidFill>
                </w14:textFill>
              </w:rPr>
            </w:pPr>
          </w:p>
        </w:tc>
        <w:tc>
          <w:tcPr>
            <w:tcW w:w="1730" w:type="dxa"/>
            <w:tcBorders>
              <w:right w:val="single" w:color="auto" w:sz="4" w:space="0"/>
            </w:tcBorders>
          </w:tcPr>
          <w:p>
            <w:pPr>
              <w:rPr>
                <w:rFonts w:ascii="宋体" w:hAnsi="宋体" w:cs="宋体"/>
                <w:color w:val="000000" w:themeColor="text1"/>
                <w:sz w:val="24"/>
                <w14:textFill>
                  <w14:solidFill>
                    <w14:schemeClr w14:val="tx1"/>
                  </w14:solidFill>
                </w14:textFill>
              </w:rPr>
            </w:pPr>
          </w:p>
        </w:tc>
        <w:tc>
          <w:tcPr>
            <w:tcW w:w="1037" w:type="dxa"/>
            <w:tcBorders>
              <w:left w:val="single" w:color="auto" w:sz="4" w:space="0"/>
            </w:tcBorders>
          </w:tcPr>
          <w:p>
            <w:pPr>
              <w:rPr>
                <w:rFonts w:ascii="宋体" w:hAnsi="宋体" w:cs="宋体"/>
                <w:color w:val="000000" w:themeColor="text1"/>
                <w:sz w:val="24"/>
                <w14:textFill>
                  <w14:solidFill>
                    <w14:schemeClr w14:val="tx1"/>
                  </w14:solidFill>
                </w14:textFill>
              </w:rPr>
            </w:pPr>
          </w:p>
        </w:tc>
        <w:tc>
          <w:tcPr>
            <w:tcW w:w="1286" w:type="dxa"/>
            <w:tcBorders>
              <w:left w:val="single" w:color="auto" w:sz="4" w:space="0"/>
            </w:tcBorders>
          </w:tcPr>
          <w:p>
            <w:pPr>
              <w:pStyle w:val="37"/>
              <w:rPr>
                <w:rFonts w:hAnsi="宋体" w:cs="宋体"/>
                <w:color w:val="000000" w:themeColor="text1"/>
                <w:sz w:val="24"/>
                <w14:textFill>
                  <w14:solidFill>
                    <w14:schemeClr w14:val="tx1"/>
                  </w14:solidFill>
                </w14:textFill>
              </w:rPr>
            </w:pPr>
          </w:p>
        </w:tc>
        <w:tc>
          <w:tcPr>
            <w:tcW w:w="1236" w:type="dxa"/>
            <w:tcBorders>
              <w:left w:val="nil"/>
            </w:tcBorders>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1186" w:type="dxa"/>
          </w:tcPr>
          <w:p>
            <w:pPr>
              <w:rPr>
                <w:rFonts w:ascii="宋体" w:hAnsi="宋体" w:cs="宋体"/>
                <w:color w:val="000000" w:themeColor="text1"/>
                <w:sz w:val="24"/>
                <w14:textFill>
                  <w14:solidFill>
                    <w14:schemeClr w14:val="tx1"/>
                  </w14:solidFill>
                </w14:textFill>
              </w:rPr>
            </w:pPr>
          </w:p>
        </w:tc>
        <w:tc>
          <w:tcPr>
            <w:tcW w:w="1730" w:type="dxa"/>
          </w:tcPr>
          <w:p>
            <w:pPr>
              <w:rPr>
                <w:rFonts w:ascii="宋体" w:hAnsi="宋体" w:cs="宋体"/>
                <w:color w:val="000000" w:themeColor="text1"/>
                <w:sz w:val="24"/>
                <w14:textFill>
                  <w14:solidFill>
                    <w14:schemeClr w14:val="tx1"/>
                  </w14:solidFill>
                </w14:textFill>
              </w:rPr>
            </w:pPr>
          </w:p>
        </w:tc>
        <w:tc>
          <w:tcPr>
            <w:tcW w:w="1037" w:type="dxa"/>
          </w:tcPr>
          <w:p>
            <w:pPr>
              <w:rPr>
                <w:rFonts w:ascii="宋体" w:hAnsi="宋体" w:cs="宋体"/>
                <w:color w:val="000000" w:themeColor="text1"/>
                <w:sz w:val="24"/>
                <w14:textFill>
                  <w14:solidFill>
                    <w14:schemeClr w14:val="tx1"/>
                  </w14:solidFill>
                </w14:textFill>
              </w:rPr>
            </w:pPr>
          </w:p>
        </w:tc>
        <w:tc>
          <w:tcPr>
            <w:tcW w:w="1286" w:type="dxa"/>
          </w:tcPr>
          <w:p>
            <w:pPr>
              <w:pStyle w:val="37"/>
              <w:rPr>
                <w:rFonts w:hAnsi="宋体" w:cs="宋体"/>
                <w:color w:val="000000" w:themeColor="text1"/>
                <w:sz w:val="24"/>
                <w14:textFill>
                  <w14:solidFill>
                    <w14:schemeClr w14:val="tx1"/>
                  </w14:solidFill>
                </w14:textFill>
              </w:rPr>
            </w:pPr>
          </w:p>
        </w:tc>
        <w:tc>
          <w:tcPr>
            <w:tcW w:w="1236" w:type="dxa"/>
          </w:tcPr>
          <w:p>
            <w:pPr>
              <w:pStyle w:val="37"/>
              <w:rPr>
                <w:rFonts w:hAnsi="宋体" w:cs="宋体"/>
                <w:color w:val="000000" w:themeColor="text1"/>
                <w:sz w:val="24"/>
                <w14:textFill>
                  <w14:solidFill>
                    <w14:schemeClr w14:val="tx1"/>
                  </w14:solidFill>
                </w14:textFill>
              </w:rPr>
            </w:pPr>
          </w:p>
        </w:tc>
        <w:tc>
          <w:tcPr>
            <w:tcW w:w="1098" w:type="dxa"/>
          </w:tcPr>
          <w:p>
            <w:pPr>
              <w:pStyle w:val="37"/>
              <w:rPr>
                <w:rFonts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30" w:type="dxa"/>
            <w:gridSpan w:val="5"/>
            <w:vAlign w:val="center"/>
          </w:tcPr>
          <w:p>
            <w:pPr>
              <w:pStyle w:val="37"/>
              <w:jc w:val="center"/>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合计</w:t>
            </w:r>
          </w:p>
        </w:tc>
        <w:tc>
          <w:tcPr>
            <w:tcW w:w="1236" w:type="dxa"/>
            <w:vAlign w:val="center"/>
          </w:tcPr>
          <w:p>
            <w:pPr>
              <w:pStyle w:val="37"/>
              <w:jc w:val="center"/>
              <w:rPr>
                <w:rFonts w:hAnsi="宋体" w:cs="宋体"/>
                <w:color w:val="000000" w:themeColor="text1"/>
                <w:sz w:val="24"/>
                <w14:textFill>
                  <w14:solidFill>
                    <w14:schemeClr w14:val="tx1"/>
                  </w14:solidFill>
                </w14:textFill>
              </w:rPr>
            </w:pPr>
          </w:p>
        </w:tc>
        <w:tc>
          <w:tcPr>
            <w:tcW w:w="1098" w:type="dxa"/>
            <w:vAlign w:val="center"/>
          </w:tcPr>
          <w:p>
            <w:pPr>
              <w:pStyle w:val="37"/>
              <w:jc w:val="center"/>
              <w:rPr>
                <w:rFonts w:hAnsi="宋体" w:cs="宋体"/>
                <w:color w:val="000000" w:themeColor="text1"/>
                <w:sz w:val="24"/>
                <w14:textFill>
                  <w14:solidFill>
                    <w14:schemeClr w14:val="tx1"/>
                  </w14:solidFill>
                </w14:textFill>
              </w:rPr>
            </w:pPr>
          </w:p>
        </w:tc>
      </w:tr>
    </w:tbl>
    <w:p>
      <w:pPr>
        <w:pStyle w:val="4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投标人电子公签章：</w:t>
      </w:r>
    </w:p>
    <w:p>
      <w:pPr>
        <w:spacing w:before="48" w:beforeLines="20" w:after="48" w:afterLines="20"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备注：备品备件系指免费质保期满后一定期限的易损件、耗材等。</w:t>
      </w:r>
    </w:p>
    <w:p>
      <w:pPr>
        <w:spacing w:before="48" w:beforeLines="20" w:after="48" w:afterLines="20" w:line="360" w:lineRule="auto"/>
        <w:rPr>
          <w:rFonts w:ascii="宋体" w:hAnsi="宋体" w:cs="宋体"/>
          <w:color w:val="000000" w:themeColor="text1"/>
          <w:sz w:val="28"/>
          <w14:textFill>
            <w14:solidFill>
              <w14:schemeClr w14:val="tx1"/>
            </w14:solidFill>
          </w14:textFill>
        </w:rPr>
      </w:pPr>
    </w:p>
    <w:p>
      <w:pPr>
        <w:spacing w:before="48" w:beforeLines="20" w:after="48" w:afterLines="20" w:line="360" w:lineRule="auto"/>
        <w:rPr>
          <w:rFonts w:ascii="宋体" w:hAnsi="宋体" w:cs="宋体"/>
          <w:color w:val="000000" w:themeColor="text1"/>
          <w:sz w:val="28"/>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9"/>
        <w:rPr>
          <w:rFonts w:hAnsi="宋体" w:cs="宋体"/>
          <w:color w:val="000000" w:themeColor="text1"/>
          <w:sz w:val="28"/>
          <w:szCs w:val="36"/>
          <w14:textFill>
            <w14:solidFill>
              <w14:schemeClr w14:val="tx1"/>
            </w14:solidFill>
          </w14:textFill>
        </w:rPr>
      </w:pPr>
      <w:bookmarkStart w:id="159" w:name="_Toc220232402"/>
      <w:bookmarkStart w:id="160" w:name="_Toc516969105"/>
      <w:bookmarkStart w:id="161" w:name="_Toc5312_WPSOffice_Level2"/>
      <w:bookmarkStart w:id="162" w:name="_Toc40975456"/>
      <w:r>
        <w:rPr>
          <w:rFonts w:hint="eastAsia" w:hAnsi="宋体" w:cs="宋体"/>
          <w:color w:val="000000" w:themeColor="text1"/>
          <w:sz w:val="28"/>
          <w14:textFill>
            <w14:solidFill>
              <w14:schemeClr w14:val="tx1"/>
            </w14:solidFill>
          </w14:textFill>
        </w:rPr>
        <w:t>八．有关证明文件</w:t>
      </w:r>
      <w:bookmarkEnd w:id="159"/>
      <w:bookmarkEnd w:id="160"/>
      <w:bookmarkEnd w:id="161"/>
      <w:bookmarkEnd w:id="162"/>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提供符合投标邀请（招标公告）、货物需求一览表及评标办法规定的相关证明文件。</w:t>
      </w: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pPr>
        <w:pStyle w:val="9"/>
        <w:rPr>
          <w:color w:val="000000" w:themeColor="text1"/>
          <w:sz w:val="28"/>
          <w:szCs w:val="28"/>
          <w14:textFill>
            <w14:solidFill>
              <w14:schemeClr w14:val="tx1"/>
            </w14:solidFill>
          </w14:textFill>
        </w:rPr>
      </w:pPr>
      <w:bookmarkStart w:id="163" w:name="_Toc13715_WPSOffice_Level2"/>
      <w:bookmarkStart w:id="164" w:name="_Toc40975457"/>
      <w:r>
        <w:rPr>
          <w:rFonts w:hint="eastAsia" w:hAnsi="宋体" w:cs="宋体"/>
          <w:color w:val="000000" w:themeColor="text1"/>
          <w:sz w:val="28"/>
          <w:szCs w:val="28"/>
          <w14:textFill>
            <w14:solidFill>
              <w14:schemeClr w14:val="tx1"/>
            </w14:solidFill>
          </w14:textFill>
        </w:rPr>
        <w:t>九．</w:t>
      </w:r>
      <w:bookmarkEnd w:id="163"/>
      <w:bookmarkEnd w:id="164"/>
      <w:bookmarkStart w:id="165" w:name="_Toc220232403"/>
      <w:r>
        <w:rPr>
          <w:rFonts w:hint="eastAsia"/>
          <w:color w:val="000000" w:themeColor="text1"/>
          <w:sz w:val="28"/>
          <w:szCs w:val="28"/>
          <w14:textFill>
            <w14:solidFill>
              <w14:schemeClr w14:val="tx1"/>
            </w14:solidFill>
          </w14:textFill>
        </w:rPr>
        <w:t>中小企业声明函（货物）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5040" w:firstLineChars="2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企业名称（盖章）： </w:t>
      </w:r>
    </w:p>
    <w:p>
      <w:pPr>
        <w:spacing w:line="360" w:lineRule="auto"/>
        <w:ind w:firstLine="5760" w:firstLineChars="2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日 期： </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注：1.从业人员、营业收入、资产总额填报上一年度数据，无上一年度数据的新成立企业可不填报。</w:t>
      </w:r>
    </w:p>
    <w:p>
      <w:pPr>
        <w:numPr>
          <w:ilvl w:val="0"/>
          <w:numId w:val="7"/>
        </w:numPr>
        <w:spacing w:line="360" w:lineRule="auto"/>
        <w:ind w:left="630" w:leftChars="2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本项目如是只面向中小企业采购的应当必须提供。</w:t>
      </w:r>
    </w:p>
    <w:p>
      <w:pPr>
        <w:spacing w:line="360" w:lineRule="auto"/>
        <w:ind w:firstLine="420" w:firstLineChars="200"/>
        <w:rPr>
          <w:color w:val="000000" w:themeColor="text1"/>
          <w14:textFill>
            <w14:solidFill>
              <w14:schemeClr w14:val="tx1"/>
            </w14:solidFill>
          </w14:textFill>
        </w:rPr>
      </w:pPr>
    </w:p>
    <w:p>
      <w:pPr>
        <w:spacing w:line="360" w:lineRule="auto"/>
        <w:rPr>
          <w:rFonts w:ascii="宋体" w:hAnsi="宋体" w:cs="宋体"/>
          <w:color w:val="000000" w:themeColor="text1"/>
          <w:sz w:val="28"/>
          <w:szCs w:val="28"/>
          <w14:textFill>
            <w14:solidFill>
              <w14:schemeClr w14:val="tx1"/>
            </w14:solidFill>
          </w14:textFill>
        </w:rPr>
      </w:pPr>
    </w:p>
    <w:p>
      <w:pPr>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14:textFill>
            <w14:solidFill>
              <w14:schemeClr w14:val="tx1"/>
            </w14:solidFill>
          </w14:textFill>
        </w:rPr>
      </w:pPr>
    </w:p>
    <w:bookmarkEnd w:id="165"/>
    <w:p>
      <w:pPr>
        <w:pStyle w:val="9"/>
        <w:rPr>
          <w:rFonts w:hAnsi="宋体" w:cs="宋体"/>
          <w:color w:val="000000" w:themeColor="text1"/>
          <w:sz w:val="36"/>
          <w:szCs w:val="36"/>
          <w14:textFill>
            <w14:solidFill>
              <w14:schemeClr w14:val="tx1"/>
            </w14:solidFill>
          </w14:textFill>
        </w:rPr>
      </w:pPr>
      <w:bookmarkStart w:id="166" w:name="_Hlt526418103"/>
      <w:bookmarkEnd w:id="166"/>
      <w:bookmarkStart w:id="167" w:name="_Hlt526418111"/>
      <w:bookmarkEnd w:id="167"/>
      <w:bookmarkStart w:id="168" w:name="_Toc516969110"/>
      <w:bookmarkStart w:id="169" w:name="_Toc220232405"/>
      <w:bookmarkStart w:id="170" w:name="_Toc2532_WPSOffice_Level2"/>
      <w:r>
        <w:rPr>
          <w:rFonts w:hAnsi="宋体" w:cs="宋体"/>
          <w:color w:val="000000" w:themeColor="text1"/>
          <w:sz w:val="28"/>
          <w14:textFill>
            <w14:solidFill>
              <w14:schemeClr w14:val="tx1"/>
            </w14:solidFill>
          </w14:textFill>
        </w:rPr>
        <w:br w:type="page"/>
      </w:r>
      <w:bookmarkStart w:id="171" w:name="_Toc40975458"/>
      <w:r>
        <w:rPr>
          <w:rFonts w:hint="eastAsia" w:hAnsi="宋体" w:cs="宋体"/>
          <w:color w:val="000000" w:themeColor="text1"/>
          <w:sz w:val="28"/>
          <w14:textFill>
            <w14:solidFill>
              <w14:schemeClr w14:val="tx1"/>
            </w14:solidFill>
          </w14:textFill>
        </w:rPr>
        <w:t>十．售后服务</w:t>
      </w:r>
      <w:bookmarkEnd w:id="168"/>
      <w:bookmarkEnd w:id="169"/>
      <w:bookmarkEnd w:id="170"/>
      <w:bookmarkEnd w:id="171"/>
    </w:p>
    <w:p>
      <w:pPr>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pPr>
        <w:spacing w:line="500" w:lineRule="exact"/>
        <w:jc w:val="center"/>
        <w:rPr>
          <w:rFonts w:ascii="宋体" w:hAnsi="宋体" w:cs="宋体"/>
          <w:b/>
          <w:bCs/>
          <w:color w:val="000000" w:themeColor="text1"/>
          <w:sz w:val="30"/>
          <w14:textFill>
            <w14:solidFill>
              <w14:schemeClr w14:val="tx1"/>
            </w14:solidFill>
          </w14:textFill>
        </w:rPr>
      </w:pPr>
      <w:bookmarkStart w:id="172" w:name="_Hlt526418107"/>
      <w:bookmarkEnd w:id="172"/>
    </w:p>
    <w:p>
      <w:pPr>
        <w:pStyle w:val="9"/>
        <w:rPr>
          <w:rFonts w:hAnsi="宋体" w:cs="宋体"/>
          <w:color w:val="000000" w:themeColor="text1"/>
          <w:sz w:val="44"/>
          <w14:textFill>
            <w14:solidFill>
              <w14:schemeClr w14:val="tx1"/>
            </w14:solidFill>
          </w14:textFill>
        </w:rPr>
      </w:pPr>
      <w:bookmarkStart w:id="173" w:name="_Toc30338_WPSOffice_Level2"/>
      <w:bookmarkStart w:id="174" w:name="_Toc197934560"/>
      <w:bookmarkStart w:id="175" w:name="_Toc359404312"/>
      <w:bookmarkStart w:id="176" w:name="_Toc516969111"/>
      <w:bookmarkStart w:id="177" w:name="_Toc40975459"/>
      <w:bookmarkStart w:id="178" w:name="_Hlt509738384"/>
      <w:r>
        <w:rPr>
          <w:rFonts w:hint="eastAsia" w:hAnsi="宋体" w:cs="宋体"/>
          <w:color w:val="000000" w:themeColor="text1"/>
          <w:sz w:val="28"/>
          <w14:textFill>
            <w14:solidFill>
              <w14:schemeClr w14:val="tx1"/>
            </w14:solidFill>
          </w14:textFill>
        </w:rPr>
        <w:t>十一、所投货物的技术资料等</w:t>
      </w:r>
      <w:bookmarkEnd w:id="173"/>
      <w:bookmarkEnd w:id="174"/>
      <w:bookmarkEnd w:id="175"/>
      <w:bookmarkEnd w:id="176"/>
      <w:bookmarkEnd w:id="177"/>
      <w:bookmarkEnd w:id="178"/>
      <w:bookmarkStart w:id="179" w:name="_Hlt509650291"/>
      <w:bookmarkEnd w:id="179"/>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（投标人可自行制作格式，可附产品技术彩页）</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pStyle w:val="9"/>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十二、其他投标人认为需要提供得材料等</w:t>
      </w:r>
    </w:p>
    <w:p>
      <w:pPr>
        <w:pStyle w:val="9"/>
        <w:rPr>
          <w:rFonts w:hAnsi="宋体" w:cs="宋体"/>
          <w:color w:val="000000" w:themeColor="text1"/>
          <w:sz w:val="28"/>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52"/>
        <w:rPr>
          <w:color w:val="000000" w:themeColor="text1"/>
          <w14:textFill>
            <w14:solidFill>
              <w14:schemeClr w14:val="tx1"/>
            </w14:solidFill>
          </w14:textFill>
        </w:rPr>
      </w:pPr>
    </w:p>
    <w:p>
      <w:pPr>
        <w:pStyle w:val="2"/>
        <w:ind w:right="-21" w:firstLine="0" w:firstLineChars="0"/>
        <w:rPr>
          <w:rFonts w:ascii="宋体" w:hAnsi="宋体" w:eastAsia="宋体" w:cs="宋体"/>
          <w:color w:val="000000" w:themeColor="text1"/>
          <w14:textFill>
            <w14:solidFill>
              <w14:schemeClr w14:val="tx1"/>
            </w14:solidFill>
          </w14:textFill>
        </w:rPr>
      </w:pPr>
    </w:p>
    <w:p>
      <w:pPr>
        <w:spacing w:line="38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十三、政府采购供应商诚信承诺书</w:t>
      </w:r>
    </w:p>
    <w:p>
      <w:pPr>
        <w:spacing w:line="380" w:lineRule="exact"/>
        <w:jc w:val="center"/>
        <w:rPr>
          <w:rFonts w:ascii="宋体" w:hAnsi="宋体" w:cs="宋体"/>
          <w:b/>
          <w:color w:val="000000" w:themeColor="text1"/>
          <w:sz w:val="24"/>
          <w14:textFill>
            <w14:solidFill>
              <w14:schemeClr w14:val="tx1"/>
            </w14:solidFill>
          </w14:textFill>
        </w:rPr>
      </w:pPr>
    </w:p>
    <w:p>
      <w:pPr>
        <w:spacing w:line="3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（十ー）擅自或与与采购人串通或接受采购人要求，在履约合同中通过减少货物数量，更换品牌、降低配置、技术要求、质量和服务标准等，却仍按原合同进行虚假验收或终止政府采购合同;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pPr>
        <w:spacing w:line="380" w:lineRule="exact"/>
        <w:rPr>
          <w:rFonts w:ascii="宋体" w:hAnsi="宋体" w:cs="宋体"/>
          <w:color w:val="000000" w:themeColor="text1"/>
          <w:sz w:val="24"/>
          <w14:textFill>
            <w14:solidFill>
              <w14:schemeClr w14:val="tx1"/>
            </w14:solidFill>
          </w14:textFill>
        </w:rPr>
      </w:pPr>
    </w:p>
    <w:p>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pPr>
        <w:spacing w:line="380" w:lineRule="exact"/>
        <w:ind w:right="640" w:firstLine="1560" w:firstLineChars="650"/>
        <w:rPr>
          <w:rFonts w:ascii="宋体" w:hAnsi="宋体" w:cs="宋体"/>
          <w:color w:val="000000" w:themeColor="text1"/>
          <w:sz w:val="24"/>
          <w14:textFill>
            <w14:solidFill>
              <w14:schemeClr w14:val="tx1"/>
            </w14:solidFill>
          </w14:textFill>
        </w:rPr>
      </w:pPr>
    </w:p>
    <w:p>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法人代表或授权委托人：（签字）</w:t>
      </w:r>
    </w:p>
    <w:p>
      <w:pPr>
        <w:spacing w:line="380" w:lineRule="exact"/>
        <w:jc w:val="center"/>
        <w:rPr>
          <w:rFonts w:ascii="宋体" w:hAnsi="宋体" w:cs="宋体"/>
          <w:color w:val="000000" w:themeColor="text1"/>
          <w:sz w:val="24"/>
          <w14:textFill>
            <w14:solidFill>
              <w14:schemeClr w14:val="tx1"/>
            </w14:solidFill>
          </w14:textFill>
        </w:rPr>
      </w:pP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pStyle w:val="80"/>
        <w:ind w:firstLine="210"/>
        <w:rPr>
          <w:color w:val="000000" w:themeColor="text1"/>
          <w14:textFill>
            <w14:solidFill>
              <w14:schemeClr w14:val="tx1"/>
            </w14:solidFill>
          </w14:textFill>
        </w:rPr>
      </w:pPr>
    </w:p>
    <w:p>
      <w:pPr>
        <w:pStyle w:val="80"/>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周口市政府采购合同融资政策告知函</w:t>
      </w:r>
    </w:p>
    <w:p>
      <w:pPr>
        <w:pStyle w:val="80"/>
        <w:ind w:firstLine="240"/>
        <w:rPr>
          <w:rFonts w:ascii="宋体" w:hAnsi="宋体"/>
          <w:color w:val="000000" w:themeColor="text1"/>
          <w:sz w:val="24"/>
          <w:szCs w:val="24"/>
          <w14:textFill>
            <w14:solidFill>
              <w14:schemeClr w14:val="tx1"/>
            </w14:solidFill>
          </w14:textFill>
        </w:rPr>
      </w:pPr>
    </w:p>
    <w:p>
      <w:pPr>
        <w:pStyle w:val="80"/>
        <w:ind w:firstLine="240"/>
        <w:rPr>
          <w:rFonts w:ascii="宋体" w:hAnsi="宋体"/>
          <w:color w:val="000000" w:themeColor="text1"/>
          <w:sz w:val="24"/>
          <w:szCs w:val="24"/>
          <w14:textFill>
            <w14:solidFill>
              <w14:schemeClr w14:val="tx1"/>
            </w14:solidFill>
          </w14:textFill>
        </w:rPr>
      </w:pPr>
    </w:p>
    <w:p>
      <w:pPr>
        <w:pStyle w:val="80"/>
        <w:ind w:firstLine="240"/>
        <w:rPr>
          <w:rFonts w:ascii="宋体" w:hAnsi="宋体"/>
          <w:color w:val="000000" w:themeColor="text1"/>
          <w:sz w:val="24"/>
          <w:szCs w:val="24"/>
          <w14:textFill>
            <w14:solidFill>
              <w14:schemeClr w14:val="tx1"/>
            </w14:solidFill>
          </w14:textFill>
        </w:rPr>
      </w:pPr>
    </w:p>
    <w:p>
      <w:pPr>
        <w:pStyle w:val="80"/>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各供应商：</w:t>
      </w:r>
    </w:p>
    <w:p>
      <w:pPr>
        <w:pStyle w:val="80"/>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欢迎贵公司参与周口市政府采购活动！</w:t>
      </w:r>
    </w:p>
    <w:p>
      <w:pPr>
        <w:pStyle w:val="80"/>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80"/>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贷款渠道和提供贷款的金融机构，可在河南省政府采购网“河南省政府采购合同融资平台”查询联系。</w:t>
      </w: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66"/>
        <w:spacing w:before="0" w:beforeAutospacing="0" w:after="0" w:afterAutospacing="0" w:line="330" w:lineRule="atLeast"/>
        <w:rPr>
          <w:rFonts w:cs="仿宋_GB2312"/>
          <w:b/>
          <w:bCs/>
          <w:color w:val="0000FF"/>
          <w:sz w:val="21"/>
          <w:szCs w:val="21"/>
        </w:rPr>
      </w:pPr>
    </w:p>
    <w:p>
      <w:pPr>
        <w:pStyle w:val="2"/>
        <w:ind w:right="-21" w:firstLine="540"/>
      </w:pPr>
    </w:p>
    <w:sectPr>
      <w:pgSz w:w="11906" w:h="16838"/>
      <w:pgMar w:top="1389" w:right="1304" w:bottom="1440"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D52F90-6427-4A21-9F71-BF051D613BAF}"/>
  </w:font>
  <w:font w:name="黑体">
    <w:panose1 w:val="02010609060101010101"/>
    <w:charset w:val="86"/>
    <w:family w:val="auto"/>
    <w:pitch w:val="default"/>
    <w:sig w:usb0="800002BF" w:usb1="38CF7CFA" w:usb2="00000016" w:usb3="00000000" w:csb0="00040001" w:csb1="00000000"/>
    <w:embedRegular r:id="rId2" w:fontKey="{386FCE1A-A7BB-4B36-A08F-CED49DE96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73D4B1B-D395-4B88-9C85-F34936EA7D25}"/>
  </w:font>
  <w:font w:name="楷体_GB2312">
    <w:altName w:val="楷体"/>
    <w:panose1 w:val="00000000000000000000"/>
    <w:charset w:val="86"/>
    <w:family w:val="modern"/>
    <w:pitch w:val="default"/>
    <w:sig w:usb0="00000000" w:usb1="00000000" w:usb2="00000010" w:usb3="00000000" w:csb0="00040000" w:csb1="00000000"/>
  </w:font>
  <w:font w:name="Droid Sans">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ranklin Gothic Heavy">
    <w:panose1 w:val="020B09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MS Mincho">
    <w:altName w:val="Yu Gothic UI"/>
    <w:panose1 w:val="02020609040205080304"/>
    <w:charset w:val="80"/>
    <w:family w:val="roman"/>
    <w:pitch w:val="default"/>
    <w:sig w:usb0="00000000" w:usb1="00000000" w:usb2="00000010"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CG Times">
    <w:altName w:val="Segoe Print"/>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4" w:fontKey="{01E92B40-619A-490C-AD02-A22566593DA4}"/>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4625" cy="21082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74625" cy="210820"/>
                      </a:xfrm>
                      <a:prstGeom prst="rect">
                        <a:avLst/>
                      </a:prstGeom>
                      <a:noFill/>
                      <a:ln>
                        <a:noFill/>
                      </a:ln>
                    </wps:spPr>
                    <wps:txbx>
                      <w:txbxContent>
                        <w:p>
                          <w:pPr>
                            <w:pStyle w:val="43"/>
                            <w:rPr>
                              <w:rStyle w:val="75"/>
                            </w:rPr>
                          </w:pPr>
                          <w:r>
                            <w:fldChar w:fldCharType="begin"/>
                          </w:r>
                          <w:r>
                            <w:rPr>
                              <w:rStyle w:val="75"/>
                            </w:rPr>
                            <w:instrText xml:space="preserve">PAGE   \* MERGEFORMAT</w:instrText>
                          </w:r>
                          <w:r>
                            <w:fldChar w:fldCharType="separate"/>
                          </w:r>
                          <w:r>
                            <w:rPr>
                              <w:rStyle w:val="75"/>
                              <w:lang w:val="zh-CN"/>
                            </w:rPr>
                            <w:t>3</w:t>
                          </w:r>
                          <w:r>
                            <w:fldChar w:fldCharType="end"/>
                          </w:r>
                        </w:p>
                      </w:txbxContent>
                    </wps:txbx>
                    <wps:bodyPr lIns="0" tIns="0" rIns="0" bIns="0" upright="1"/>
                  </wps:wsp>
                </a:graphicData>
              </a:graphic>
            </wp:anchor>
          </w:drawing>
        </mc:Choice>
        <mc:Fallback>
          <w:pict>
            <v:shape id="文本框 1025" o:spid="_x0000_s1026" o:spt="202" type="#_x0000_t202" style="position:absolute;left:0pt;margin-top:0pt;height:16.6pt;width:13.75pt;mso-position-horizontal:center;mso-position-horizontal-relative:margin;z-index:251659264;mso-width-relative:page;mso-height-relative:page;" filled="f" stroked="f" coordsize="21600,21600" o:gfxdata="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X2lvUAAAAAwEAAA8AAAAAAAAAAQAgAAAAIgAAAGRycy9kb3ducmV2LnhtbFBLAQIUABQA&#10;AAAIAIdO4kBavKaIuwEAAHQDAAAOAAAAAAAAAAEAIAAAACMBAABkcnMvZTJvRG9jLnhtbFBLBQYA&#10;AAAABgAGAFkBAABQBQAAAAA=&#10;">
              <v:fill on="f" focussize="0,0"/>
              <v:stroke on="f"/>
              <v:imagedata o:title=""/>
              <o:lock v:ext="edit" aspectratio="f"/>
              <v:textbox inset="0mm,0mm,0mm,0mm">
                <w:txbxContent>
                  <w:p>
                    <w:pPr>
                      <w:pStyle w:val="43"/>
                      <w:rPr>
                        <w:rStyle w:val="75"/>
                      </w:rPr>
                    </w:pPr>
                    <w:r>
                      <w:fldChar w:fldCharType="begin"/>
                    </w:r>
                    <w:r>
                      <w:rPr>
                        <w:rStyle w:val="75"/>
                      </w:rPr>
                      <w:instrText xml:space="preserve">PAGE   \* MERGEFORMAT</w:instrText>
                    </w:r>
                    <w:r>
                      <w:fldChar w:fldCharType="separate"/>
                    </w:r>
                    <w:r>
                      <w:rPr>
                        <w:rStyle w:val="75"/>
                        <w:lang w:val="zh-CN"/>
                      </w:rP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8FD7"/>
    <w:multiLevelType w:val="singleLevel"/>
    <w:tmpl w:val="880E8FD7"/>
    <w:lvl w:ilvl="0" w:tentative="0">
      <w:start w:val="7"/>
      <w:numFmt w:val="chineseCounting"/>
      <w:suff w:val="nothing"/>
      <w:lvlText w:val="（%1）"/>
      <w:lvlJc w:val="left"/>
      <w:rPr>
        <w:rFonts w:hint="eastAsia"/>
      </w:rPr>
    </w:lvl>
  </w:abstractNum>
  <w:abstractNum w:abstractNumId="1">
    <w:nsid w:val="A1BAA6AA"/>
    <w:multiLevelType w:val="singleLevel"/>
    <w:tmpl w:val="A1BAA6AA"/>
    <w:lvl w:ilvl="0" w:tentative="0">
      <w:start w:val="2"/>
      <w:numFmt w:val="decimal"/>
      <w:lvlText w:val="%1."/>
      <w:lvlJc w:val="left"/>
      <w:pPr>
        <w:tabs>
          <w:tab w:val="left" w:pos="312"/>
        </w:tabs>
      </w:pPr>
    </w:lvl>
  </w:abstractNum>
  <w:abstractNum w:abstractNumId="2">
    <w:nsid w:val="DB48415C"/>
    <w:multiLevelType w:val="singleLevel"/>
    <w:tmpl w:val="DB48415C"/>
    <w:lvl w:ilvl="0" w:tentative="0">
      <w:start w:val="1"/>
      <w:numFmt w:val="decimal"/>
      <w:lvlText w:val="%1."/>
      <w:lvlJc w:val="left"/>
      <w:pPr>
        <w:tabs>
          <w:tab w:val="left" w:pos="312"/>
        </w:tabs>
      </w:pPr>
    </w:lvl>
  </w:abstractNum>
  <w:abstractNum w:abstractNumId="3">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6D98C6"/>
    <w:multiLevelType w:val="singleLevel"/>
    <w:tmpl w:val="0A6D98C6"/>
    <w:lvl w:ilvl="0" w:tentative="0">
      <w:start w:val="1"/>
      <w:numFmt w:val="chineseCounting"/>
      <w:suff w:val="nothing"/>
      <w:lvlText w:val="（%1）"/>
      <w:lvlJc w:val="left"/>
      <w:rPr>
        <w:rFonts w:hint="eastAsia"/>
      </w:rPr>
    </w:lvl>
  </w:abstractNum>
  <w:abstractNum w:abstractNumId="5">
    <w:nsid w:val="6058BAAF"/>
    <w:multiLevelType w:val="singleLevel"/>
    <w:tmpl w:val="6058BAAF"/>
    <w:lvl w:ilvl="0" w:tentative="0">
      <w:start w:val="1"/>
      <w:numFmt w:val="decimal"/>
      <w:suff w:val="nothing"/>
      <w:lvlText w:val="%1、"/>
      <w:lvlJc w:val="left"/>
    </w:lvl>
  </w:abstractNum>
  <w:abstractNum w:abstractNumId="6">
    <w:nsid w:val="7456C1B0"/>
    <w:multiLevelType w:val="singleLevel"/>
    <w:tmpl w:val="7456C1B0"/>
    <w:lvl w:ilvl="0" w:tentative="0">
      <w:start w:val="1"/>
      <w:numFmt w:val="decimal"/>
      <w:lvlText w:val="%1."/>
      <w:lvlJc w:val="left"/>
      <w:pPr>
        <w:tabs>
          <w:tab w:val="left" w:pos="312"/>
        </w:tabs>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2MzOGE3YTQ4OTdlZjJjMWMxMTM3OWRlN2U3MmIifQ=="/>
  </w:docVars>
  <w:rsids>
    <w:rsidRoot w:val="005A08C3"/>
    <w:rsid w:val="000036B6"/>
    <w:rsid w:val="000047EB"/>
    <w:rsid w:val="000102A7"/>
    <w:rsid w:val="0001082C"/>
    <w:rsid w:val="00011984"/>
    <w:rsid w:val="00012333"/>
    <w:rsid w:val="0001297E"/>
    <w:rsid w:val="00012F30"/>
    <w:rsid w:val="00013908"/>
    <w:rsid w:val="00013C1A"/>
    <w:rsid w:val="00014943"/>
    <w:rsid w:val="00020FDA"/>
    <w:rsid w:val="0002316A"/>
    <w:rsid w:val="00024AAC"/>
    <w:rsid w:val="000260D7"/>
    <w:rsid w:val="00027ED8"/>
    <w:rsid w:val="00035204"/>
    <w:rsid w:val="00036D8B"/>
    <w:rsid w:val="00037C32"/>
    <w:rsid w:val="000414DA"/>
    <w:rsid w:val="000423CF"/>
    <w:rsid w:val="0004252A"/>
    <w:rsid w:val="00042902"/>
    <w:rsid w:val="00044DBA"/>
    <w:rsid w:val="00047960"/>
    <w:rsid w:val="000521BC"/>
    <w:rsid w:val="00052E72"/>
    <w:rsid w:val="000536A7"/>
    <w:rsid w:val="00053DF9"/>
    <w:rsid w:val="0005457A"/>
    <w:rsid w:val="000546D8"/>
    <w:rsid w:val="00057D9D"/>
    <w:rsid w:val="0006001C"/>
    <w:rsid w:val="00061C03"/>
    <w:rsid w:val="0006360F"/>
    <w:rsid w:val="00063D3D"/>
    <w:rsid w:val="000645F7"/>
    <w:rsid w:val="000656C0"/>
    <w:rsid w:val="0006618E"/>
    <w:rsid w:val="00066528"/>
    <w:rsid w:val="00070514"/>
    <w:rsid w:val="00070E3B"/>
    <w:rsid w:val="000728B6"/>
    <w:rsid w:val="00073C31"/>
    <w:rsid w:val="000747CF"/>
    <w:rsid w:val="0007528F"/>
    <w:rsid w:val="000772BE"/>
    <w:rsid w:val="00077974"/>
    <w:rsid w:val="000812D4"/>
    <w:rsid w:val="00083E06"/>
    <w:rsid w:val="00084B8E"/>
    <w:rsid w:val="00090117"/>
    <w:rsid w:val="00090A4C"/>
    <w:rsid w:val="0009281D"/>
    <w:rsid w:val="00094D8E"/>
    <w:rsid w:val="00094EED"/>
    <w:rsid w:val="00097F66"/>
    <w:rsid w:val="000A0E7D"/>
    <w:rsid w:val="000A1A0E"/>
    <w:rsid w:val="000A1B7E"/>
    <w:rsid w:val="000A28E8"/>
    <w:rsid w:val="000A2AB3"/>
    <w:rsid w:val="000A748E"/>
    <w:rsid w:val="000B0577"/>
    <w:rsid w:val="000B43E2"/>
    <w:rsid w:val="000B4436"/>
    <w:rsid w:val="000B5252"/>
    <w:rsid w:val="000B600E"/>
    <w:rsid w:val="000B7610"/>
    <w:rsid w:val="000B7EA7"/>
    <w:rsid w:val="000C0705"/>
    <w:rsid w:val="000C0D98"/>
    <w:rsid w:val="000C2B6D"/>
    <w:rsid w:val="000C46C3"/>
    <w:rsid w:val="000C4BCB"/>
    <w:rsid w:val="000C4DAA"/>
    <w:rsid w:val="000C5587"/>
    <w:rsid w:val="000C5C78"/>
    <w:rsid w:val="000C6ADD"/>
    <w:rsid w:val="000C7525"/>
    <w:rsid w:val="000D3DAC"/>
    <w:rsid w:val="000D4445"/>
    <w:rsid w:val="000D6037"/>
    <w:rsid w:val="000D67E6"/>
    <w:rsid w:val="000D706E"/>
    <w:rsid w:val="000D7AAB"/>
    <w:rsid w:val="000E0009"/>
    <w:rsid w:val="000E171A"/>
    <w:rsid w:val="000E3225"/>
    <w:rsid w:val="000E3911"/>
    <w:rsid w:val="000E55B2"/>
    <w:rsid w:val="000E57BF"/>
    <w:rsid w:val="000E68BE"/>
    <w:rsid w:val="000F00CF"/>
    <w:rsid w:val="000F06BB"/>
    <w:rsid w:val="000F30E7"/>
    <w:rsid w:val="000F4322"/>
    <w:rsid w:val="000F52F2"/>
    <w:rsid w:val="000F5FF7"/>
    <w:rsid w:val="000F678C"/>
    <w:rsid w:val="000F69CC"/>
    <w:rsid w:val="0010138A"/>
    <w:rsid w:val="00101F3A"/>
    <w:rsid w:val="0010265A"/>
    <w:rsid w:val="00103F28"/>
    <w:rsid w:val="00107024"/>
    <w:rsid w:val="00110A4C"/>
    <w:rsid w:val="00111B6B"/>
    <w:rsid w:val="001140DB"/>
    <w:rsid w:val="0011775B"/>
    <w:rsid w:val="00117D08"/>
    <w:rsid w:val="00120BB9"/>
    <w:rsid w:val="0012108A"/>
    <w:rsid w:val="00122188"/>
    <w:rsid w:val="001257DE"/>
    <w:rsid w:val="0012582E"/>
    <w:rsid w:val="00130614"/>
    <w:rsid w:val="001306CA"/>
    <w:rsid w:val="001310AA"/>
    <w:rsid w:val="001341ED"/>
    <w:rsid w:val="00134C10"/>
    <w:rsid w:val="001354A9"/>
    <w:rsid w:val="00136EFD"/>
    <w:rsid w:val="001375B5"/>
    <w:rsid w:val="001402D7"/>
    <w:rsid w:val="0014103B"/>
    <w:rsid w:val="00142D5F"/>
    <w:rsid w:val="00143EA7"/>
    <w:rsid w:val="001446C6"/>
    <w:rsid w:val="00145BC6"/>
    <w:rsid w:val="00147D50"/>
    <w:rsid w:val="00155AB3"/>
    <w:rsid w:val="00156585"/>
    <w:rsid w:val="00157979"/>
    <w:rsid w:val="0016236B"/>
    <w:rsid w:val="00163B16"/>
    <w:rsid w:val="0016491F"/>
    <w:rsid w:val="00164DEB"/>
    <w:rsid w:val="0016502B"/>
    <w:rsid w:val="001704AD"/>
    <w:rsid w:val="00171CA2"/>
    <w:rsid w:val="00174115"/>
    <w:rsid w:val="00175106"/>
    <w:rsid w:val="00176E85"/>
    <w:rsid w:val="00180406"/>
    <w:rsid w:val="00181402"/>
    <w:rsid w:val="001848EB"/>
    <w:rsid w:val="0018501C"/>
    <w:rsid w:val="001861E9"/>
    <w:rsid w:val="00190947"/>
    <w:rsid w:val="00191CDB"/>
    <w:rsid w:val="00193849"/>
    <w:rsid w:val="00193A49"/>
    <w:rsid w:val="00193DBD"/>
    <w:rsid w:val="00195909"/>
    <w:rsid w:val="00195FCD"/>
    <w:rsid w:val="0019733B"/>
    <w:rsid w:val="001A2E0D"/>
    <w:rsid w:val="001A317B"/>
    <w:rsid w:val="001A3C9D"/>
    <w:rsid w:val="001A3D6A"/>
    <w:rsid w:val="001A4AB9"/>
    <w:rsid w:val="001A4C66"/>
    <w:rsid w:val="001B0FF8"/>
    <w:rsid w:val="001B1245"/>
    <w:rsid w:val="001B1684"/>
    <w:rsid w:val="001B2DE7"/>
    <w:rsid w:val="001B4C64"/>
    <w:rsid w:val="001B5A3C"/>
    <w:rsid w:val="001B6E6A"/>
    <w:rsid w:val="001B6F71"/>
    <w:rsid w:val="001B76EA"/>
    <w:rsid w:val="001B7E7A"/>
    <w:rsid w:val="001C391E"/>
    <w:rsid w:val="001D30C0"/>
    <w:rsid w:val="001D39AF"/>
    <w:rsid w:val="001D450A"/>
    <w:rsid w:val="001D4592"/>
    <w:rsid w:val="001D5075"/>
    <w:rsid w:val="001D5569"/>
    <w:rsid w:val="001D6080"/>
    <w:rsid w:val="001D7E63"/>
    <w:rsid w:val="001E0912"/>
    <w:rsid w:val="001E1B42"/>
    <w:rsid w:val="001E204E"/>
    <w:rsid w:val="001E4B81"/>
    <w:rsid w:val="001E5085"/>
    <w:rsid w:val="001E5279"/>
    <w:rsid w:val="001E6994"/>
    <w:rsid w:val="001F3BF8"/>
    <w:rsid w:val="001F4219"/>
    <w:rsid w:val="001F4B0C"/>
    <w:rsid w:val="001F4BB5"/>
    <w:rsid w:val="001F4D16"/>
    <w:rsid w:val="00201000"/>
    <w:rsid w:val="00201B04"/>
    <w:rsid w:val="00203582"/>
    <w:rsid w:val="00212A80"/>
    <w:rsid w:val="00213340"/>
    <w:rsid w:val="00213368"/>
    <w:rsid w:val="0021338F"/>
    <w:rsid w:val="002134AA"/>
    <w:rsid w:val="00213A07"/>
    <w:rsid w:val="00213D3B"/>
    <w:rsid w:val="0021418E"/>
    <w:rsid w:val="002145BF"/>
    <w:rsid w:val="0021569E"/>
    <w:rsid w:val="00220B74"/>
    <w:rsid w:val="00223D05"/>
    <w:rsid w:val="0022512E"/>
    <w:rsid w:val="00225196"/>
    <w:rsid w:val="002273E1"/>
    <w:rsid w:val="00227D77"/>
    <w:rsid w:val="00233089"/>
    <w:rsid w:val="0023446E"/>
    <w:rsid w:val="00234A8F"/>
    <w:rsid w:val="002356C1"/>
    <w:rsid w:val="00236226"/>
    <w:rsid w:val="00236CC0"/>
    <w:rsid w:val="002404F9"/>
    <w:rsid w:val="00244443"/>
    <w:rsid w:val="00244712"/>
    <w:rsid w:val="002458C1"/>
    <w:rsid w:val="00246C97"/>
    <w:rsid w:val="00251D5D"/>
    <w:rsid w:val="00255D5F"/>
    <w:rsid w:val="00256D68"/>
    <w:rsid w:val="0025743F"/>
    <w:rsid w:val="00261E44"/>
    <w:rsid w:val="002627F7"/>
    <w:rsid w:val="00264F52"/>
    <w:rsid w:val="00265CA3"/>
    <w:rsid w:val="002667AC"/>
    <w:rsid w:val="00266EA9"/>
    <w:rsid w:val="00267EAF"/>
    <w:rsid w:val="00270D3D"/>
    <w:rsid w:val="0027175A"/>
    <w:rsid w:val="00274E4B"/>
    <w:rsid w:val="002756D0"/>
    <w:rsid w:val="002802DA"/>
    <w:rsid w:val="00280557"/>
    <w:rsid w:val="00280883"/>
    <w:rsid w:val="00280DB8"/>
    <w:rsid w:val="00281D86"/>
    <w:rsid w:val="002820DE"/>
    <w:rsid w:val="0028391D"/>
    <w:rsid w:val="00290887"/>
    <w:rsid w:val="00290A31"/>
    <w:rsid w:val="00291D74"/>
    <w:rsid w:val="002925F3"/>
    <w:rsid w:val="002931DE"/>
    <w:rsid w:val="0029372E"/>
    <w:rsid w:val="00294367"/>
    <w:rsid w:val="00295564"/>
    <w:rsid w:val="00296749"/>
    <w:rsid w:val="002A4F0D"/>
    <w:rsid w:val="002A51FD"/>
    <w:rsid w:val="002A602E"/>
    <w:rsid w:val="002A6491"/>
    <w:rsid w:val="002B1764"/>
    <w:rsid w:val="002B3635"/>
    <w:rsid w:val="002B56E0"/>
    <w:rsid w:val="002B5E7C"/>
    <w:rsid w:val="002B66C9"/>
    <w:rsid w:val="002B6ED5"/>
    <w:rsid w:val="002B74D8"/>
    <w:rsid w:val="002B7500"/>
    <w:rsid w:val="002B7949"/>
    <w:rsid w:val="002C0FF5"/>
    <w:rsid w:val="002C185B"/>
    <w:rsid w:val="002C1D57"/>
    <w:rsid w:val="002C1F4C"/>
    <w:rsid w:val="002C704F"/>
    <w:rsid w:val="002C7392"/>
    <w:rsid w:val="002C783F"/>
    <w:rsid w:val="002D0220"/>
    <w:rsid w:val="002D1E6C"/>
    <w:rsid w:val="002D293B"/>
    <w:rsid w:val="002D3539"/>
    <w:rsid w:val="002D3E57"/>
    <w:rsid w:val="002D459A"/>
    <w:rsid w:val="002D4674"/>
    <w:rsid w:val="002D4EDE"/>
    <w:rsid w:val="002D531C"/>
    <w:rsid w:val="002D67D2"/>
    <w:rsid w:val="002D6DC7"/>
    <w:rsid w:val="002E063A"/>
    <w:rsid w:val="002E10D0"/>
    <w:rsid w:val="002E30E7"/>
    <w:rsid w:val="002E541D"/>
    <w:rsid w:val="002E5427"/>
    <w:rsid w:val="002E5B52"/>
    <w:rsid w:val="002F0F05"/>
    <w:rsid w:val="002F42C2"/>
    <w:rsid w:val="00300036"/>
    <w:rsid w:val="003017F8"/>
    <w:rsid w:val="00303692"/>
    <w:rsid w:val="003041D1"/>
    <w:rsid w:val="003046F8"/>
    <w:rsid w:val="00304E2F"/>
    <w:rsid w:val="00305D4E"/>
    <w:rsid w:val="0030612F"/>
    <w:rsid w:val="00307763"/>
    <w:rsid w:val="003121A9"/>
    <w:rsid w:val="00312244"/>
    <w:rsid w:val="00313FE8"/>
    <w:rsid w:val="0031780F"/>
    <w:rsid w:val="003208DC"/>
    <w:rsid w:val="0032315B"/>
    <w:rsid w:val="00325191"/>
    <w:rsid w:val="003253BD"/>
    <w:rsid w:val="003257F4"/>
    <w:rsid w:val="00326436"/>
    <w:rsid w:val="00326CF5"/>
    <w:rsid w:val="0032730A"/>
    <w:rsid w:val="0032767E"/>
    <w:rsid w:val="003301EC"/>
    <w:rsid w:val="00330B45"/>
    <w:rsid w:val="003343F2"/>
    <w:rsid w:val="0033465B"/>
    <w:rsid w:val="00340CE6"/>
    <w:rsid w:val="0034106E"/>
    <w:rsid w:val="0034117E"/>
    <w:rsid w:val="0034186C"/>
    <w:rsid w:val="00342788"/>
    <w:rsid w:val="003464D1"/>
    <w:rsid w:val="00346761"/>
    <w:rsid w:val="003471E4"/>
    <w:rsid w:val="00350AAB"/>
    <w:rsid w:val="003532D4"/>
    <w:rsid w:val="00354A24"/>
    <w:rsid w:val="00355646"/>
    <w:rsid w:val="00356FB3"/>
    <w:rsid w:val="003610E5"/>
    <w:rsid w:val="0036252B"/>
    <w:rsid w:val="00364CA8"/>
    <w:rsid w:val="00365948"/>
    <w:rsid w:val="003670E3"/>
    <w:rsid w:val="00367243"/>
    <w:rsid w:val="00367FDE"/>
    <w:rsid w:val="00371934"/>
    <w:rsid w:val="003722F1"/>
    <w:rsid w:val="00373585"/>
    <w:rsid w:val="00376195"/>
    <w:rsid w:val="00376737"/>
    <w:rsid w:val="00376EA9"/>
    <w:rsid w:val="003770A6"/>
    <w:rsid w:val="00383AC1"/>
    <w:rsid w:val="00383D18"/>
    <w:rsid w:val="00384026"/>
    <w:rsid w:val="00384566"/>
    <w:rsid w:val="003850A4"/>
    <w:rsid w:val="00385792"/>
    <w:rsid w:val="00386546"/>
    <w:rsid w:val="00386853"/>
    <w:rsid w:val="00386BA1"/>
    <w:rsid w:val="00390CF2"/>
    <w:rsid w:val="00390EA5"/>
    <w:rsid w:val="003931D1"/>
    <w:rsid w:val="0039621A"/>
    <w:rsid w:val="00396CDA"/>
    <w:rsid w:val="003A073D"/>
    <w:rsid w:val="003A10E7"/>
    <w:rsid w:val="003A2434"/>
    <w:rsid w:val="003A5E83"/>
    <w:rsid w:val="003A6041"/>
    <w:rsid w:val="003A68A0"/>
    <w:rsid w:val="003A6CE1"/>
    <w:rsid w:val="003B1F0B"/>
    <w:rsid w:val="003B2877"/>
    <w:rsid w:val="003B3400"/>
    <w:rsid w:val="003B4319"/>
    <w:rsid w:val="003B45CF"/>
    <w:rsid w:val="003B69A0"/>
    <w:rsid w:val="003B7538"/>
    <w:rsid w:val="003C2C23"/>
    <w:rsid w:val="003C3293"/>
    <w:rsid w:val="003C3B45"/>
    <w:rsid w:val="003C4940"/>
    <w:rsid w:val="003D362D"/>
    <w:rsid w:val="003D4C72"/>
    <w:rsid w:val="003D609E"/>
    <w:rsid w:val="003D6515"/>
    <w:rsid w:val="003E049E"/>
    <w:rsid w:val="003E1433"/>
    <w:rsid w:val="003E1567"/>
    <w:rsid w:val="003E1587"/>
    <w:rsid w:val="003E29D1"/>
    <w:rsid w:val="003E3243"/>
    <w:rsid w:val="003E4FF4"/>
    <w:rsid w:val="003E5681"/>
    <w:rsid w:val="003E5B02"/>
    <w:rsid w:val="003E5C82"/>
    <w:rsid w:val="003E6E20"/>
    <w:rsid w:val="003E717E"/>
    <w:rsid w:val="003F08C7"/>
    <w:rsid w:val="003F190A"/>
    <w:rsid w:val="003F2A85"/>
    <w:rsid w:val="003F39C2"/>
    <w:rsid w:val="003F432D"/>
    <w:rsid w:val="003F4A39"/>
    <w:rsid w:val="003F4CFD"/>
    <w:rsid w:val="003F5559"/>
    <w:rsid w:val="003F5D4D"/>
    <w:rsid w:val="00400E97"/>
    <w:rsid w:val="00401888"/>
    <w:rsid w:val="00402002"/>
    <w:rsid w:val="004024AF"/>
    <w:rsid w:val="004031A6"/>
    <w:rsid w:val="004047ED"/>
    <w:rsid w:val="00405944"/>
    <w:rsid w:val="00410467"/>
    <w:rsid w:val="00410A63"/>
    <w:rsid w:val="00411D55"/>
    <w:rsid w:val="00412C4E"/>
    <w:rsid w:val="00413637"/>
    <w:rsid w:val="00414F59"/>
    <w:rsid w:val="004158E5"/>
    <w:rsid w:val="00415A0B"/>
    <w:rsid w:val="0041681C"/>
    <w:rsid w:val="00417772"/>
    <w:rsid w:val="00417D9E"/>
    <w:rsid w:val="004202A0"/>
    <w:rsid w:val="004211F1"/>
    <w:rsid w:val="00427620"/>
    <w:rsid w:val="00430068"/>
    <w:rsid w:val="00430C2F"/>
    <w:rsid w:val="00431092"/>
    <w:rsid w:val="004318F6"/>
    <w:rsid w:val="00431EB9"/>
    <w:rsid w:val="004328B9"/>
    <w:rsid w:val="00435B15"/>
    <w:rsid w:val="00436414"/>
    <w:rsid w:val="00442300"/>
    <w:rsid w:val="00446A69"/>
    <w:rsid w:val="00447612"/>
    <w:rsid w:val="00450D0F"/>
    <w:rsid w:val="0045120D"/>
    <w:rsid w:val="004524D3"/>
    <w:rsid w:val="0045263F"/>
    <w:rsid w:val="00452A61"/>
    <w:rsid w:val="00452BD6"/>
    <w:rsid w:val="004530A9"/>
    <w:rsid w:val="00454425"/>
    <w:rsid w:val="004544AE"/>
    <w:rsid w:val="00456396"/>
    <w:rsid w:val="004579F0"/>
    <w:rsid w:val="0046087F"/>
    <w:rsid w:val="00460881"/>
    <w:rsid w:val="00460FD3"/>
    <w:rsid w:val="00463EF9"/>
    <w:rsid w:val="00466E26"/>
    <w:rsid w:val="00470103"/>
    <w:rsid w:val="004745A3"/>
    <w:rsid w:val="004756F2"/>
    <w:rsid w:val="00475F03"/>
    <w:rsid w:val="004802BB"/>
    <w:rsid w:val="00481281"/>
    <w:rsid w:val="004837DD"/>
    <w:rsid w:val="0048447B"/>
    <w:rsid w:val="0048540B"/>
    <w:rsid w:val="00486D81"/>
    <w:rsid w:val="004913E4"/>
    <w:rsid w:val="00491E85"/>
    <w:rsid w:val="004922D4"/>
    <w:rsid w:val="004924C7"/>
    <w:rsid w:val="00494C16"/>
    <w:rsid w:val="00494E79"/>
    <w:rsid w:val="004957BB"/>
    <w:rsid w:val="004961B6"/>
    <w:rsid w:val="00497725"/>
    <w:rsid w:val="004A0396"/>
    <w:rsid w:val="004A0B7F"/>
    <w:rsid w:val="004A2A4F"/>
    <w:rsid w:val="004A2F46"/>
    <w:rsid w:val="004A3C94"/>
    <w:rsid w:val="004A3E92"/>
    <w:rsid w:val="004A42D9"/>
    <w:rsid w:val="004A44ED"/>
    <w:rsid w:val="004B4F62"/>
    <w:rsid w:val="004B5A82"/>
    <w:rsid w:val="004B64B2"/>
    <w:rsid w:val="004B6E9E"/>
    <w:rsid w:val="004B70A5"/>
    <w:rsid w:val="004B7EE5"/>
    <w:rsid w:val="004C1740"/>
    <w:rsid w:val="004C5B40"/>
    <w:rsid w:val="004C647D"/>
    <w:rsid w:val="004C6827"/>
    <w:rsid w:val="004C6FDC"/>
    <w:rsid w:val="004C7A0A"/>
    <w:rsid w:val="004D025A"/>
    <w:rsid w:val="004D05F8"/>
    <w:rsid w:val="004D2290"/>
    <w:rsid w:val="004D3DED"/>
    <w:rsid w:val="004D4F60"/>
    <w:rsid w:val="004D7C1B"/>
    <w:rsid w:val="004D7EF4"/>
    <w:rsid w:val="004E1458"/>
    <w:rsid w:val="004E14C9"/>
    <w:rsid w:val="004E2B81"/>
    <w:rsid w:val="004E4785"/>
    <w:rsid w:val="004E5FE0"/>
    <w:rsid w:val="004E73CA"/>
    <w:rsid w:val="004F0794"/>
    <w:rsid w:val="004F1149"/>
    <w:rsid w:val="004F289B"/>
    <w:rsid w:val="004F2FCC"/>
    <w:rsid w:val="004F3006"/>
    <w:rsid w:val="004F3220"/>
    <w:rsid w:val="004F38E1"/>
    <w:rsid w:val="004F3D2A"/>
    <w:rsid w:val="004F4993"/>
    <w:rsid w:val="004F6FC9"/>
    <w:rsid w:val="004F7778"/>
    <w:rsid w:val="00500559"/>
    <w:rsid w:val="0050245B"/>
    <w:rsid w:val="00502781"/>
    <w:rsid w:val="00502FE0"/>
    <w:rsid w:val="00503DEB"/>
    <w:rsid w:val="00504C13"/>
    <w:rsid w:val="00505435"/>
    <w:rsid w:val="00505CAE"/>
    <w:rsid w:val="00506C5E"/>
    <w:rsid w:val="00510703"/>
    <w:rsid w:val="00510A3F"/>
    <w:rsid w:val="005131C2"/>
    <w:rsid w:val="005141B4"/>
    <w:rsid w:val="00521F80"/>
    <w:rsid w:val="0052476A"/>
    <w:rsid w:val="00524DED"/>
    <w:rsid w:val="00525491"/>
    <w:rsid w:val="00530111"/>
    <w:rsid w:val="00530717"/>
    <w:rsid w:val="00530DD7"/>
    <w:rsid w:val="005313DA"/>
    <w:rsid w:val="00531601"/>
    <w:rsid w:val="005348B4"/>
    <w:rsid w:val="00536A4F"/>
    <w:rsid w:val="00537EB2"/>
    <w:rsid w:val="00545231"/>
    <w:rsid w:val="005464E0"/>
    <w:rsid w:val="00552719"/>
    <w:rsid w:val="00555D2B"/>
    <w:rsid w:val="005574B1"/>
    <w:rsid w:val="005600A7"/>
    <w:rsid w:val="00561C7A"/>
    <w:rsid w:val="00563EB2"/>
    <w:rsid w:val="00565017"/>
    <w:rsid w:val="00565F5B"/>
    <w:rsid w:val="0056748A"/>
    <w:rsid w:val="00571509"/>
    <w:rsid w:val="00571927"/>
    <w:rsid w:val="00572B71"/>
    <w:rsid w:val="005731F5"/>
    <w:rsid w:val="00573249"/>
    <w:rsid w:val="00573FB5"/>
    <w:rsid w:val="005740B6"/>
    <w:rsid w:val="0057468A"/>
    <w:rsid w:val="00574D03"/>
    <w:rsid w:val="00575BC6"/>
    <w:rsid w:val="00577704"/>
    <w:rsid w:val="005778A1"/>
    <w:rsid w:val="00577C40"/>
    <w:rsid w:val="0058037C"/>
    <w:rsid w:val="0058073B"/>
    <w:rsid w:val="00580AD7"/>
    <w:rsid w:val="005811D5"/>
    <w:rsid w:val="0058323B"/>
    <w:rsid w:val="005864E6"/>
    <w:rsid w:val="005865DB"/>
    <w:rsid w:val="00586862"/>
    <w:rsid w:val="00586CB9"/>
    <w:rsid w:val="00586F62"/>
    <w:rsid w:val="0058736F"/>
    <w:rsid w:val="005873C5"/>
    <w:rsid w:val="005920F2"/>
    <w:rsid w:val="005933AA"/>
    <w:rsid w:val="00594FE9"/>
    <w:rsid w:val="00595A88"/>
    <w:rsid w:val="0059618F"/>
    <w:rsid w:val="005A056B"/>
    <w:rsid w:val="005A06FB"/>
    <w:rsid w:val="005A08AC"/>
    <w:rsid w:val="005A08C3"/>
    <w:rsid w:val="005A27E4"/>
    <w:rsid w:val="005A2AFD"/>
    <w:rsid w:val="005A41FC"/>
    <w:rsid w:val="005A4390"/>
    <w:rsid w:val="005A5AF4"/>
    <w:rsid w:val="005A5EDA"/>
    <w:rsid w:val="005A6296"/>
    <w:rsid w:val="005A63B2"/>
    <w:rsid w:val="005A755A"/>
    <w:rsid w:val="005A789C"/>
    <w:rsid w:val="005B0562"/>
    <w:rsid w:val="005B20E5"/>
    <w:rsid w:val="005B2663"/>
    <w:rsid w:val="005B2AAA"/>
    <w:rsid w:val="005B34E4"/>
    <w:rsid w:val="005B3575"/>
    <w:rsid w:val="005B3F1A"/>
    <w:rsid w:val="005B3FB5"/>
    <w:rsid w:val="005B5ADF"/>
    <w:rsid w:val="005B6C11"/>
    <w:rsid w:val="005B7B46"/>
    <w:rsid w:val="005B7BC3"/>
    <w:rsid w:val="005C0160"/>
    <w:rsid w:val="005C0275"/>
    <w:rsid w:val="005C1F0F"/>
    <w:rsid w:val="005C2DD9"/>
    <w:rsid w:val="005C76BF"/>
    <w:rsid w:val="005C7B31"/>
    <w:rsid w:val="005D0832"/>
    <w:rsid w:val="005D131C"/>
    <w:rsid w:val="005D2144"/>
    <w:rsid w:val="005D2BDF"/>
    <w:rsid w:val="005D3ED2"/>
    <w:rsid w:val="005D4E4F"/>
    <w:rsid w:val="005D75E4"/>
    <w:rsid w:val="005D7E06"/>
    <w:rsid w:val="005E1525"/>
    <w:rsid w:val="005E2DC6"/>
    <w:rsid w:val="005E6006"/>
    <w:rsid w:val="005F1006"/>
    <w:rsid w:val="005F1FAC"/>
    <w:rsid w:val="005F5841"/>
    <w:rsid w:val="005F628D"/>
    <w:rsid w:val="005F6FCA"/>
    <w:rsid w:val="00601039"/>
    <w:rsid w:val="00601FD1"/>
    <w:rsid w:val="00603CF5"/>
    <w:rsid w:val="00604813"/>
    <w:rsid w:val="00604E3F"/>
    <w:rsid w:val="006066AB"/>
    <w:rsid w:val="00607A5A"/>
    <w:rsid w:val="00610AF3"/>
    <w:rsid w:val="00611723"/>
    <w:rsid w:val="00612665"/>
    <w:rsid w:val="00614FBB"/>
    <w:rsid w:val="0061527C"/>
    <w:rsid w:val="00616C6D"/>
    <w:rsid w:val="006228FB"/>
    <w:rsid w:val="006239FB"/>
    <w:rsid w:val="00624827"/>
    <w:rsid w:val="00624CE9"/>
    <w:rsid w:val="00627260"/>
    <w:rsid w:val="00627359"/>
    <w:rsid w:val="0063121B"/>
    <w:rsid w:val="0063353E"/>
    <w:rsid w:val="00634221"/>
    <w:rsid w:val="006346FE"/>
    <w:rsid w:val="006359B5"/>
    <w:rsid w:val="00637A1A"/>
    <w:rsid w:val="00640563"/>
    <w:rsid w:val="00644788"/>
    <w:rsid w:val="00645147"/>
    <w:rsid w:val="006457CB"/>
    <w:rsid w:val="00646B91"/>
    <w:rsid w:val="00646DD6"/>
    <w:rsid w:val="006474D0"/>
    <w:rsid w:val="00647541"/>
    <w:rsid w:val="00647870"/>
    <w:rsid w:val="006533C6"/>
    <w:rsid w:val="0065672E"/>
    <w:rsid w:val="00657734"/>
    <w:rsid w:val="00661708"/>
    <w:rsid w:val="00661B49"/>
    <w:rsid w:val="00662B10"/>
    <w:rsid w:val="00663E5B"/>
    <w:rsid w:val="0066433A"/>
    <w:rsid w:val="00664B2C"/>
    <w:rsid w:val="00664D02"/>
    <w:rsid w:val="006650D7"/>
    <w:rsid w:val="00666A69"/>
    <w:rsid w:val="00670310"/>
    <w:rsid w:val="00670601"/>
    <w:rsid w:val="006706D3"/>
    <w:rsid w:val="00670FF9"/>
    <w:rsid w:val="00680BB2"/>
    <w:rsid w:val="00680E3D"/>
    <w:rsid w:val="00681CB3"/>
    <w:rsid w:val="00681DC9"/>
    <w:rsid w:val="00682F21"/>
    <w:rsid w:val="00685DDF"/>
    <w:rsid w:val="00687F70"/>
    <w:rsid w:val="0069010A"/>
    <w:rsid w:val="00690A88"/>
    <w:rsid w:val="0069190D"/>
    <w:rsid w:val="00691AF5"/>
    <w:rsid w:val="006933F7"/>
    <w:rsid w:val="00693967"/>
    <w:rsid w:val="006947AF"/>
    <w:rsid w:val="00695EA6"/>
    <w:rsid w:val="006A2122"/>
    <w:rsid w:val="006A236E"/>
    <w:rsid w:val="006A4B03"/>
    <w:rsid w:val="006A4FAA"/>
    <w:rsid w:val="006A6D73"/>
    <w:rsid w:val="006A710C"/>
    <w:rsid w:val="006A74F3"/>
    <w:rsid w:val="006B0765"/>
    <w:rsid w:val="006B247F"/>
    <w:rsid w:val="006B6504"/>
    <w:rsid w:val="006C45FB"/>
    <w:rsid w:val="006C57E2"/>
    <w:rsid w:val="006C7BD5"/>
    <w:rsid w:val="006D0007"/>
    <w:rsid w:val="006D08FD"/>
    <w:rsid w:val="006D09A0"/>
    <w:rsid w:val="006D2516"/>
    <w:rsid w:val="006D54CF"/>
    <w:rsid w:val="006D65BF"/>
    <w:rsid w:val="006D7087"/>
    <w:rsid w:val="006D7FCC"/>
    <w:rsid w:val="006E12B6"/>
    <w:rsid w:val="006E2195"/>
    <w:rsid w:val="006E284E"/>
    <w:rsid w:val="006E460E"/>
    <w:rsid w:val="006E4EBC"/>
    <w:rsid w:val="006E63F4"/>
    <w:rsid w:val="006E65AD"/>
    <w:rsid w:val="006E69E1"/>
    <w:rsid w:val="006E7951"/>
    <w:rsid w:val="006F130A"/>
    <w:rsid w:val="006F434D"/>
    <w:rsid w:val="006F4A6B"/>
    <w:rsid w:val="006F4E30"/>
    <w:rsid w:val="006F5743"/>
    <w:rsid w:val="007015D1"/>
    <w:rsid w:val="00702461"/>
    <w:rsid w:val="00704612"/>
    <w:rsid w:val="00705CA9"/>
    <w:rsid w:val="007100FB"/>
    <w:rsid w:val="00711712"/>
    <w:rsid w:val="00711FA9"/>
    <w:rsid w:val="00713037"/>
    <w:rsid w:val="00715D32"/>
    <w:rsid w:val="00715F61"/>
    <w:rsid w:val="00720C70"/>
    <w:rsid w:val="00721D5E"/>
    <w:rsid w:val="007237FF"/>
    <w:rsid w:val="00723816"/>
    <w:rsid w:val="00723F45"/>
    <w:rsid w:val="00723FB6"/>
    <w:rsid w:val="007243A1"/>
    <w:rsid w:val="007244C8"/>
    <w:rsid w:val="00724DDD"/>
    <w:rsid w:val="0072508E"/>
    <w:rsid w:val="00725A93"/>
    <w:rsid w:val="00725E0C"/>
    <w:rsid w:val="00726551"/>
    <w:rsid w:val="00726A03"/>
    <w:rsid w:val="00730CFE"/>
    <w:rsid w:val="007310FE"/>
    <w:rsid w:val="00731ADE"/>
    <w:rsid w:val="00733015"/>
    <w:rsid w:val="007338F8"/>
    <w:rsid w:val="00734064"/>
    <w:rsid w:val="00734204"/>
    <w:rsid w:val="00734984"/>
    <w:rsid w:val="007352DD"/>
    <w:rsid w:val="0074196C"/>
    <w:rsid w:val="00742C1C"/>
    <w:rsid w:val="00746299"/>
    <w:rsid w:val="00747A05"/>
    <w:rsid w:val="00750A43"/>
    <w:rsid w:val="00750D08"/>
    <w:rsid w:val="007536F5"/>
    <w:rsid w:val="00754F10"/>
    <w:rsid w:val="0075502D"/>
    <w:rsid w:val="007552C6"/>
    <w:rsid w:val="00755697"/>
    <w:rsid w:val="00756F61"/>
    <w:rsid w:val="00757BEE"/>
    <w:rsid w:val="007634A2"/>
    <w:rsid w:val="0076362B"/>
    <w:rsid w:val="007653BB"/>
    <w:rsid w:val="00767273"/>
    <w:rsid w:val="00767674"/>
    <w:rsid w:val="00771ADB"/>
    <w:rsid w:val="00772709"/>
    <w:rsid w:val="00773595"/>
    <w:rsid w:val="00775A6C"/>
    <w:rsid w:val="00777CA4"/>
    <w:rsid w:val="00780B72"/>
    <w:rsid w:val="00782234"/>
    <w:rsid w:val="00782510"/>
    <w:rsid w:val="00782825"/>
    <w:rsid w:val="00782E3E"/>
    <w:rsid w:val="00783654"/>
    <w:rsid w:val="0078494D"/>
    <w:rsid w:val="00785569"/>
    <w:rsid w:val="007861C4"/>
    <w:rsid w:val="00786CA3"/>
    <w:rsid w:val="0078799E"/>
    <w:rsid w:val="00791813"/>
    <w:rsid w:val="00791AAC"/>
    <w:rsid w:val="00791D12"/>
    <w:rsid w:val="00791E75"/>
    <w:rsid w:val="00792B36"/>
    <w:rsid w:val="00792CE0"/>
    <w:rsid w:val="00793695"/>
    <w:rsid w:val="007A0B02"/>
    <w:rsid w:val="007A0B0E"/>
    <w:rsid w:val="007A4B94"/>
    <w:rsid w:val="007A5881"/>
    <w:rsid w:val="007A6056"/>
    <w:rsid w:val="007A6469"/>
    <w:rsid w:val="007A6591"/>
    <w:rsid w:val="007A6C8A"/>
    <w:rsid w:val="007A7C0C"/>
    <w:rsid w:val="007B0FD3"/>
    <w:rsid w:val="007B1CE8"/>
    <w:rsid w:val="007B34FF"/>
    <w:rsid w:val="007B36AB"/>
    <w:rsid w:val="007B42B7"/>
    <w:rsid w:val="007B4AA0"/>
    <w:rsid w:val="007B6339"/>
    <w:rsid w:val="007C029F"/>
    <w:rsid w:val="007C081F"/>
    <w:rsid w:val="007C0F7D"/>
    <w:rsid w:val="007C18F9"/>
    <w:rsid w:val="007C2505"/>
    <w:rsid w:val="007C2B34"/>
    <w:rsid w:val="007C3BC3"/>
    <w:rsid w:val="007C4C6A"/>
    <w:rsid w:val="007D03E7"/>
    <w:rsid w:val="007D0DD7"/>
    <w:rsid w:val="007D10AC"/>
    <w:rsid w:val="007D1AC4"/>
    <w:rsid w:val="007D371F"/>
    <w:rsid w:val="007D387F"/>
    <w:rsid w:val="007D4967"/>
    <w:rsid w:val="007D4D83"/>
    <w:rsid w:val="007D4F6D"/>
    <w:rsid w:val="007D66FE"/>
    <w:rsid w:val="007E5D99"/>
    <w:rsid w:val="007F0DDD"/>
    <w:rsid w:val="007F1A59"/>
    <w:rsid w:val="007F3536"/>
    <w:rsid w:val="007F36D1"/>
    <w:rsid w:val="007F3D21"/>
    <w:rsid w:val="007F4E35"/>
    <w:rsid w:val="007F5EDB"/>
    <w:rsid w:val="007F5F58"/>
    <w:rsid w:val="008019F5"/>
    <w:rsid w:val="00802489"/>
    <w:rsid w:val="008064CE"/>
    <w:rsid w:val="0080754A"/>
    <w:rsid w:val="00807C27"/>
    <w:rsid w:val="0081055C"/>
    <w:rsid w:val="008127B3"/>
    <w:rsid w:val="00815F4C"/>
    <w:rsid w:val="008174D6"/>
    <w:rsid w:val="008209D6"/>
    <w:rsid w:val="008213FF"/>
    <w:rsid w:val="00821E45"/>
    <w:rsid w:val="00822DD8"/>
    <w:rsid w:val="00823C40"/>
    <w:rsid w:val="00824847"/>
    <w:rsid w:val="00825120"/>
    <w:rsid w:val="00825344"/>
    <w:rsid w:val="00825F97"/>
    <w:rsid w:val="008261BC"/>
    <w:rsid w:val="00826FF0"/>
    <w:rsid w:val="00827EC4"/>
    <w:rsid w:val="0083010B"/>
    <w:rsid w:val="00831581"/>
    <w:rsid w:val="00831780"/>
    <w:rsid w:val="008318BC"/>
    <w:rsid w:val="0083242A"/>
    <w:rsid w:val="0083347A"/>
    <w:rsid w:val="0083348A"/>
    <w:rsid w:val="008345DF"/>
    <w:rsid w:val="00834627"/>
    <w:rsid w:val="00834A0B"/>
    <w:rsid w:val="00836F7F"/>
    <w:rsid w:val="00837B0B"/>
    <w:rsid w:val="00841F93"/>
    <w:rsid w:val="008427CA"/>
    <w:rsid w:val="00845588"/>
    <w:rsid w:val="00845EB9"/>
    <w:rsid w:val="008460EA"/>
    <w:rsid w:val="00846B72"/>
    <w:rsid w:val="00847918"/>
    <w:rsid w:val="00851DA2"/>
    <w:rsid w:val="008522B6"/>
    <w:rsid w:val="00852A27"/>
    <w:rsid w:val="00854326"/>
    <w:rsid w:val="00856BE4"/>
    <w:rsid w:val="00857E44"/>
    <w:rsid w:val="00860421"/>
    <w:rsid w:val="00860B5B"/>
    <w:rsid w:val="008621B9"/>
    <w:rsid w:val="00867072"/>
    <w:rsid w:val="008709F3"/>
    <w:rsid w:val="0087226F"/>
    <w:rsid w:val="008731F0"/>
    <w:rsid w:val="00873289"/>
    <w:rsid w:val="008738D8"/>
    <w:rsid w:val="00874283"/>
    <w:rsid w:val="008747F4"/>
    <w:rsid w:val="00874C9B"/>
    <w:rsid w:val="00874F5B"/>
    <w:rsid w:val="0087727A"/>
    <w:rsid w:val="00880174"/>
    <w:rsid w:val="00880C9C"/>
    <w:rsid w:val="00881C4D"/>
    <w:rsid w:val="008865AD"/>
    <w:rsid w:val="00886899"/>
    <w:rsid w:val="00887DB7"/>
    <w:rsid w:val="008909E0"/>
    <w:rsid w:val="0089115D"/>
    <w:rsid w:val="00891CCC"/>
    <w:rsid w:val="00893980"/>
    <w:rsid w:val="00893EB6"/>
    <w:rsid w:val="008959DB"/>
    <w:rsid w:val="00895DEA"/>
    <w:rsid w:val="00896780"/>
    <w:rsid w:val="00897A12"/>
    <w:rsid w:val="008A1322"/>
    <w:rsid w:val="008A1C12"/>
    <w:rsid w:val="008A1CB9"/>
    <w:rsid w:val="008A4609"/>
    <w:rsid w:val="008A49BD"/>
    <w:rsid w:val="008A4BFE"/>
    <w:rsid w:val="008A6557"/>
    <w:rsid w:val="008A72DA"/>
    <w:rsid w:val="008B018B"/>
    <w:rsid w:val="008B03B6"/>
    <w:rsid w:val="008B1B1A"/>
    <w:rsid w:val="008B79D3"/>
    <w:rsid w:val="008C21CD"/>
    <w:rsid w:val="008C346C"/>
    <w:rsid w:val="008C45B0"/>
    <w:rsid w:val="008C5632"/>
    <w:rsid w:val="008C5BD3"/>
    <w:rsid w:val="008D3539"/>
    <w:rsid w:val="008D3933"/>
    <w:rsid w:val="008D6BAB"/>
    <w:rsid w:val="008E0150"/>
    <w:rsid w:val="008E0EB4"/>
    <w:rsid w:val="008E2425"/>
    <w:rsid w:val="008E34B7"/>
    <w:rsid w:val="008E4471"/>
    <w:rsid w:val="008E5D6E"/>
    <w:rsid w:val="008E6C3A"/>
    <w:rsid w:val="008F06AD"/>
    <w:rsid w:val="008F073B"/>
    <w:rsid w:val="008F0A2C"/>
    <w:rsid w:val="008F1476"/>
    <w:rsid w:val="008F1B4F"/>
    <w:rsid w:val="008F23EB"/>
    <w:rsid w:val="008F31B2"/>
    <w:rsid w:val="008F4AD0"/>
    <w:rsid w:val="008F4E4F"/>
    <w:rsid w:val="008F50B8"/>
    <w:rsid w:val="008F5781"/>
    <w:rsid w:val="00902019"/>
    <w:rsid w:val="009030EF"/>
    <w:rsid w:val="0090335A"/>
    <w:rsid w:val="00903A58"/>
    <w:rsid w:val="0090670E"/>
    <w:rsid w:val="00907111"/>
    <w:rsid w:val="009076C4"/>
    <w:rsid w:val="00913302"/>
    <w:rsid w:val="0091347C"/>
    <w:rsid w:val="00914829"/>
    <w:rsid w:val="00914D0A"/>
    <w:rsid w:val="00916D08"/>
    <w:rsid w:val="00916EF1"/>
    <w:rsid w:val="00917684"/>
    <w:rsid w:val="00917B19"/>
    <w:rsid w:val="00921972"/>
    <w:rsid w:val="00921C80"/>
    <w:rsid w:val="009259BD"/>
    <w:rsid w:val="00925B8D"/>
    <w:rsid w:val="009275C9"/>
    <w:rsid w:val="0092765D"/>
    <w:rsid w:val="00931FCA"/>
    <w:rsid w:val="00933379"/>
    <w:rsid w:val="00933842"/>
    <w:rsid w:val="00936776"/>
    <w:rsid w:val="0094058A"/>
    <w:rsid w:val="009410E8"/>
    <w:rsid w:val="009455D5"/>
    <w:rsid w:val="0094568D"/>
    <w:rsid w:val="00945FEC"/>
    <w:rsid w:val="00946178"/>
    <w:rsid w:val="00946CB2"/>
    <w:rsid w:val="00950B53"/>
    <w:rsid w:val="009517A3"/>
    <w:rsid w:val="00957FC6"/>
    <w:rsid w:val="009603BF"/>
    <w:rsid w:val="009607E1"/>
    <w:rsid w:val="009613BB"/>
    <w:rsid w:val="00962552"/>
    <w:rsid w:val="009627CE"/>
    <w:rsid w:val="00964D7C"/>
    <w:rsid w:val="0096513B"/>
    <w:rsid w:val="00966FDE"/>
    <w:rsid w:val="00967D14"/>
    <w:rsid w:val="00971442"/>
    <w:rsid w:val="009741D9"/>
    <w:rsid w:val="00974403"/>
    <w:rsid w:val="00974466"/>
    <w:rsid w:val="00976A6A"/>
    <w:rsid w:val="00976E3E"/>
    <w:rsid w:val="00977595"/>
    <w:rsid w:val="009806C2"/>
    <w:rsid w:val="0098399F"/>
    <w:rsid w:val="00984EC4"/>
    <w:rsid w:val="00985629"/>
    <w:rsid w:val="00986D67"/>
    <w:rsid w:val="009877B4"/>
    <w:rsid w:val="00990AA3"/>
    <w:rsid w:val="00990B90"/>
    <w:rsid w:val="009927A9"/>
    <w:rsid w:val="009974A5"/>
    <w:rsid w:val="009A0728"/>
    <w:rsid w:val="009A1858"/>
    <w:rsid w:val="009A4559"/>
    <w:rsid w:val="009B074B"/>
    <w:rsid w:val="009B254C"/>
    <w:rsid w:val="009B3971"/>
    <w:rsid w:val="009B5369"/>
    <w:rsid w:val="009B6244"/>
    <w:rsid w:val="009B63A3"/>
    <w:rsid w:val="009B6AF9"/>
    <w:rsid w:val="009B6F2E"/>
    <w:rsid w:val="009C6FAD"/>
    <w:rsid w:val="009D0793"/>
    <w:rsid w:val="009D2D77"/>
    <w:rsid w:val="009D38B1"/>
    <w:rsid w:val="009D3D46"/>
    <w:rsid w:val="009D585C"/>
    <w:rsid w:val="009D6202"/>
    <w:rsid w:val="009D6561"/>
    <w:rsid w:val="009D6E56"/>
    <w:rsid w:val="009D7690"/>
    <w:rsid w:val="009E1174"/>
    <w:rsid w:val="009E5CEA"/>
    <w:rsid w:val="009F31BE"/>
    <w:rsid w:val="009F62E9"/>
    <w:rsid w:val="009F6FB3"/>
    <w:rsid w:val="00A00118"/>
    <w:rsid w:val="00A0016F"/>
    <w:rsid w:val="00A023D4"/>
    <w:rsid w:val="00A028F6"/>
    <w:rsid w:val="00A02CEC"/>
    <w:rsid w:val="00A049E2"/>
    <w:rsid w:val="00A05262"/>
    <w:rsid w:val="00A11072"/>
    <w:rsid w:val="00A11248"/>
    <w:rsid w:val="00A1280E"/>
    <w:rsid w:val="00A128B6"/>
    <w:rsid w:val="00A12A14"/>
    <w:rsid w:val="00A13028"/>
    <w:rsid w:val="00A14A74"/>
    <w:rsid w:val="00A15A81"/>
    <w:rsid w:val="00A15AE0"/>
    <w:rsid w:val="00A17CF9"/>
    <w:rsid w:val="00A201EE"/>
    <w:rsid w:val="00A21D90"/>
    <w:rsid w:val="00A22368"/>
    <w:rsid w:val="00A233BD"/>
    <w:rsid w:val="00A24827"/>
    <w:rsid w:val="00A24D58"/>
    <w:rsid w:val="00A24E0B"/>
    <w:rsid w:val="00A25262"/>
    <w:rsid w:val="00A278C5"/>
    <w:rsid w:val="00A34ADD"/>
    <w:rsid w:val="00A35C50"/>
    <w:rsid w:val="00A36BCA"/>
    <w:rsid w:val="00A3714A"/>
    <w:rsid w:val="00A37A81"/>
    <w:rsid w:val="00A402EA"/>
    <w:rsid w:val="00A40BCF"/>
    <w:rsid w:val="00A40D20"/>
    <w:rsid w:val="00A41C01"/>
    <w:rsid w:val="00A41C6F"/>
    <w:rsid w:val="00A42CFB"/>
    <w:rsid w:val="00A44ABC"/>
    <w:rsid w:val="00A462D1"/>
    <w:rsid w:val="00A505FB"/>
    <w:rsid w:val="00A511BA"/>
    <w:rsid w:val="00A51459"/>
    <w:rsid w:val="00A51664"/>
    <w:rsid w:val="00A52D81"/>
    <w:rsid w:val="00A541E2"/>
    <w:rsid w:val="00A54616"/>
    <w:rsid w:val="00A54B88"/>
    <w:rsid w:val="00A56F96"/>
    <w:rsid w:val="00A5786F"/>
    <w:rsid w:val="00A60B3B"/>
    <w:rsid w:val="00A618A6"/>
    <w:rsid w:val="00A63D7B"/>
    <w:rsid w:val="00A6789D"/>
    <w:rsid w:val="00A70424"/>
    <w:rsid w:val="00A7120A"/>
    <w:rsid w:val="00A726AF"/>
    <w:rsid w:val="00A72A10"/>
    <w:rsid w:val="00A738BC"/>
    <w:rsid w:val="00A74CDD"/>
    <w:rsid w:val="00A74D98"/>
    <w:rsid w:val="00A7627D"/>
    <w:rsid w:val="00A76C2A"/>
    <w:rsid w:val="00A80477"/>
    <w:rsid w:val="00A822D0"/>
    <w:rsid w:val="00A82691"/>
    <w:rsid w:val="00A8296E"/>
    <w:rsid w:val="00A829AE"/>
    <w:rsid w:val="00A8371F"/>
    <w:rsid w:val="00A8449E"/>
    <w:rsid w:val="00A85535"/>
    <w:rsid w:val="00A91954"/>
    <w:rsid w:val="00A924FD"/>
    <w:rsid w:val="00A96C9B"/>
    <w:rsid w:val="00A9762F"/>
    <w:rsid w:val="00AA0153"/>
    <w:rsid w:val="00AA0202"/>
    <w:rsid w:val="00AA1D4E"/>
    <w:rsid w:val="00AA321F"/>
    <w:rsid w:val="00AA3F25"/>
    <w:rsid w:val="00AA45AB"/>
    <w:rsid w:val="00AA5FE3"/>
    <w:rsid w:val="00AB0B67"/>
    <w:rsid w:val="00AB188F"/>
    <w:rsid w:val="00AB18BD"/>
    <w:rsid w:val="00AB5345"/>
    <w:rsid w:val="00AB5845"/>
    <w:rsid w:val="00AB5900"/>
    <w:rsid w:val="00AB591C"/>
    <w:rsid w:val="00AC10A5"/>
    <w:rsid w:val="00AC199C"/>
    <w:rsid w:val="00AC328D"/>
    <w:rsid w:val="00AC5BA1"/>
    <w:rsid w:val="00AC6E69"/>
    <w:rsid w:val="00AD23CF"/>
    <w:rsid w:val="00AD4D2E"/>
    <w:rsid w:val="00AD5928"/>
    <w:rsid w:val="00AD607A"/>
    <w:rsid w:val="00AD631F"/>
    <w:rsid w:val="00AD71C4"/>
    <w:rsid w:val="00AE08C7"/>
    <w:rsid w:val="00AE151E"/>
    <w:rsid w:val="00AE1639"/>
    <w:rsid w:val="00AE3868"/>
    <w:rsid w:val="00AE6CDF"/>
    <w:rsid w:val="00AF0020"/>
    <w:rsid w:val="00AF0058"/>
    <w:rsid w:val="00AF17B9"/>
    <w:rsid w:val="00AF20BA"/>
    <w:rsid w:val="00AF235F"/>
    <w:rsid w:val="00AF2527"/>
    <w:rsid w:val="00AF47BA"/>
    <w:rsid w:val="00AF5383"/>
    <w:rsid w:val="00AF5AC1"/>
    <w:rsid w:val="00AF63C6"/>
    <w:rsid w:val="00AF7226"/>
    <w:rsid w:val="00AF7734"/>
    <w:rsid w:val="00B002E2"/>
    <w:rsid w:val="00B00342"/>
    <w:rsid w:val="00B004B7"/>
    <w:rsid w:val="00B01375"/>
    <w:rsid w:val="00B0636A"/>
    <w:rsid w:val="00B07053"/>
    <w:rsid w:val="00B07788"/>
    <w:rsid w:val="00B07AF2"/>
    <w:rsid w:val="00B110DC"/>
    <w:rsid w:val="00B111F1"/>
    <w:rsid w:val="00B117B5"/>
    <w:rsid w:val="00B14071"/>
    <w:rsid w:val="00B14471"/>
    <w:rsid w:val="00B149BE"/>
    <w:rsid w:val="00B22B9A"/>
    <w:rsid w:val="00B23126"/>
    <w:rsid w:val="00B2450E"/>
    <w:rsid w:val="00B245B3"/>
    <w:rsid w:val="00B24FB5"/>
    <w:rsid w:val="00B277F3"/>
    <w:rsid w:val="00B31DBF"/>
    <w:rsid w:val="00B33A84"/>
    <w:rsid w:val="00B34443"/>
    <w:rsid w:val="00B34E05"/>
    <w:rsid w:val="00B369DC"/>
    <w:rsid w:val="00B408FD"/>
    <w:rsid w:val="00B41DF5"/>
    <w:rsid w:val="00B448DB"/>
    <w:rsid w:val="00B46A9A"/>
    <w:rsid w:val="00B47BF3"/>
    <w:rsid w:val="00B47D79"/>
    <w:rsid w:val="00B50BF4"/>
    <w:rsid w:val="00B51C80"/>
    <w:rsid w:val="00B52CC4"/>
    <w:rsid w:val="00B55757"/>
    <w:rsid w:val="00B568A7"/>
    <w:rsid w:val="00B6007E"/>
    <w:rsid w:val="00B60BAF"/>
    <w:rsid w:val="00B61CD1"/>
    <w:rsid w:val="00B61D29"/>
    <w:rsid w:val="00B6702B"/>
    <w:rsid w:val="00B723AB"/>
    <w:rsid w:val="00B741E3"/>
    <w:rsid w:val="00B7426A"/>
    <w:rsid w:val="00B75382"/>
    <w:rsid w:val="00B770EF"/>
    <w:rsid w:val="00B83AF9"/>
    <w:rsid w:val="00B83B99"/>
    <w:rsid w:val="00B85979"/>
    <w:rsid w:val="00B87359"/>
    <w:rsid w:val="00B8757D"/>
    <w:rsid w:val="00B91D28"/>
    <w:rsid w:val="00B92736"/>
    <w:rsid w:val="00B940A7"/>
    <w:rsid w:val="00B941F0"/>
    <w:rsid w:val="00B95BC0"/>
    <w:rsid w:val="00B96220"/>
    <w:rsid w:val="00B965DD"/>
    <w:rsid w:val="00B96EBE"/>
    <w:rsid w:val="00B970FE"/>
    <w:rsid w:val="00BA227B"/>
    <w:rsid w:val="00BB0A33"/>
    <w:rsid w:val="00BB2C1F"/>
    <w:rsid w:val="00BB2C9B"/>
    <w:rsid w:val="00BB2FBD"/>
    <w:rsid w:val="00BB3606"/>
    <w:rsid w:val="00BB4176"/>
    <w:rsid w:val="00BB43FC"/>
    <w:rsid w:val="00BB476F"/>
    <w:rsid w:val="00BB5736"/>
    <w:rsid w:val="00BB7107"/>
    <w:rsid w:val="00BC1265"/>
    <w:rsid w:val="00BC3DEA"/>
    <w:rsid w:val="00BC4CE3"/>
    <w:rsid w:val="00BC5BF0"/>
    <w:rsid w:val="00BC7BC5"/>
    <w:rsid w:val="00BD2488"/>
    <w:rsid w:val="00BD30AF"/>
    <w:rsid w:val="00BD4A22"/>
    <w:rsid w:val="00BD4F0F"/>
    <w:rsid w:val="00BD5256"/>
    <w:rsid w:val="00BD5E70"/>
    <w:rsid w:val="00BD6AC1"/>
    <w:rsid w:val="00BD7C44"/>
    <w:rsid w:val="00BE2487"/>
    <w:rsid w:val="00BE39EB"/>
    <w:rsid w:val="00BE63C1"/>
    <w:rsid w:val="00BF00C6"/>
    <w:rsid w:val="00BF11AC"/>
    <w:rsid w:val="00BF264A"/>
    <w:rsid w:val="00BF2746"/>
    <w:rsid w:val="00BF34BC"/>
    <w:rsid w:val="00BF4BFD"/>
    <w:rsid w:val="00BF55FE"/>
    <w:rsid w:val="00BF79F4"/>
    <w:rsid w:val="00C0290F"/>
    <w:rsid w:val="00C029B7"/>
    <w:rsid w:val="00C05743"/>
    <w:rsid w:val="00C05A26"/>
    <w:rsid w:val="00C05E84"/>
    <w:rsid w:val="00C145B6"/>
    <w:rsid w:val="00C146B4"/>
    <w:rsid w:val="00C16431"/>
    <w:rsid w:val="00C16C0A"/>
    <w:rsid w:val="00C1760A"/>
    <w:rsid w:val="00C17DE4"/>
    <w:rsid w:val="00C203FB"/>
    <w:rsid w:val="00C20CD0"/>
    <w:rsid w:val="00C2122E"/>
    <w:rsid w:val="00C21D3C"/>
    <w:rsid w:val="00C22A17"/>
    <w:rsid w:val="00C237BA"/>
    <w:rsid w:val="00C24B85"/>
    <w:rsid w:val="00C25F50"/>
    <w:rsid w:val="00C279CF"/>
    <w:rsid w:val="00C32A95"/>
    <w:rsid w:val="00C33BD2"/>
    <w:rsid w:val="00C3455B"/>
    <w:rsid w:val="00C34C16"/>
    <w:rsid w:val="00C34FCD"/>
    <w:rsid w:val="00C35768"/>
    <w:rsid w:val="00C373B0"/>
    <w:rsid w:val="00C405D3"/>
    <w:rsid w:val="00C40603"/>
    <w:rsid w:val="00C407FB"/>
    <w:rsid w:val="00C416E2"/>
    <w:rsid w:val="00C43A3D"/>
    <w:rsid w:val="00C43C97"/>
    <w:rsid w:val="00C4465C"/>
    <w:rsid w:val="00C45985"/>
    <w:rsid w:val="00C46033"/>
    <w:rsid w:val="00C46E00"/>
    <w:rsid w:val="00C47153"/>
    <w:rsid w:val="00C50733"/>
    <w:rsid w:val="00C5148E"/>
    <w:rsid w:val="00C51B0F"/>
    <w:rsid w:val="00C53A50"/>
    <w:rsid w:val="00C5716C"/>
    <w:rsid w:val="00C600FF"/>
    <w:rsid w:val="00C62771"/>
    <w:rsid w:val="00C644E3"/>
    <w:rsid w:val="00C647B7"/>
    <w:rsid w:val="00C6480D"/>
    <w:rsid w:val="00C64BF5"/>
    <w:rsid w:val="00C65683"/>
    <w:rsid w:val="00C65C26"/>
    <w:rsid w:val="00C66197"/>
    <w:rsid w:val="00C6655F"/>
    <w:rsid w:val="00C67AD5"/>
    <w:rsid w:val="00C735A1"/>
    <w:rsid w:val="00C73A20"/>
    <w:rsid w:val="00C75CDD"/>
    <w:rsid w:val="00C77D97"/>
    <w:rsid w:val="00C804CC"/>
    <w:rsid w:val="00C819BC"/>
    <w:rsid w:val="00C84AA7"/>
    <w:rsid w:val="00C84B10"/>
    <w:rsid w:val="00C87027"/>
    <w:rsid w:val="00C87B45"/>
    <w:rsid w:val="00C90C77"/>
    <w:rsid w:val="00C91961"/>
    <w:rsid w:val="00C9209A"/>
    <w:rsid w:val="00C968B6"/>
    <w:rsid w:val="00C96D4D"/>
    <w:rsid w:val="00CA05C9"/>
    <w:rsid w:val="00CA15E9"/>
    <w:rsid w:val="00CA1CC9"/>
    <w:rsid w:val="00CA2239"/>
    <w:rsid w:val="00CA2255"/>
    <w:rsid w:val="00CB2035"/>
    <w:rsid w:val="00CB22EC"/>
    <w:rsid w:val="00CB23F1"/>
    <w:rsid w:val="00CB37C4"/>
    <w:rsid w:val="00CB4E3A"/>
    <w:rsid w:val="00CC0A7D"/>
    <w:rsid w:val="00CC3456"/>
    <w:rsid w:val="00CC36BA"/>
    <w:rsid w:val="00CC36BB"/>
    <w:rsid w:val="00CC3CAF"/>
    <w:rsid w:val="00CC4406"/>
    <w:rsid w:val="00CC6F8F"/>
    <w:rsid w:val="00CD067D"/>
    <w:rsid w:val="00CD1882"/>
    <w:rsid w:val="00CD23B2"/>
    <w:rsid w:val="00CD289B"/>
    <w:rsid w:val="00CD3419"/>
    <w:rsid w:val="00CD4007"/>
    <w:rsid w:val="00CD5E41"/>
    <w:rsid w:val="00CE01A5"/>
    <w:rsid w:val="00CE0572"/>
    <w:rsid w:val="00CE2725"/>
    <w:rsid w:val="00CE34FA"/>
    <w:rsid w:val="00CE373D"/>
    <w:rsid w:val="00CE3990"/>
    <w:rsid w:val="00CE3E3B"/>
    <w:rsid w:val="00CE4468"/>
    <w:rsid w:val="00CE4F57"/>
    <w:rsid w:val="00CE72AC"/>
    <w:rsid w:val="00CF2F6F"/>
    <w:rsid w:val="00CF56A3"/>
    <w:rsid w:val="00CF577A"/>
    <w:rsid w:val="00D016F3"/>
    <w:rsid w:val="00D018C9"/>
    <w:rsid w:val="00D03629"/>
    <w:rsid w:val="00D0410E"/>
    <w:rsid w:val="00D043A0"/>
    <w:rsid w:val="00D04956"/>
    <w:rsid w:val="00D068D7"/>
    <w:rsid w:val="00D11338"/>
    <w:rsid w:val="00D1214E"/>
    <w:rsid w:val="00D12318"/>
    <w:rsid w:val="00D13825"/>
    <w:rsid w:val="00D15EB3"/>
    <w:rsid w:val="00D15F8E"/>
    <w:rsid w:val="00D1642A"/>
    <w:rsid w:val="00D17B77"/>
    <w:rsid w:val="00D2247E"/>
    <w:rsid w:val="00D22E97"/>
    <w:rsid w:val="00D24611"/>
    <w:rsid w:val="00D272FC"/>
    <w:rsid w:val="00D30CA5"/>
    <w:rsid w:val="00D33802"/>
    <w:rsid w:val="00D33AC8"/>
    <w:rsid w:val="00D34302"/>
    <w:rsid w:val="00D36E02"/>
    <w:rsid w:val="00D37A3F"/>
    <w:rsid w:val="00D405B7"/>
    <w:rsid w:val="00D40C39"/>
    <w:rsid w:val="00D45B95"/>
    <w:rsid w:val="00D461A0"/>
    <w:rsid w:val="00D471DC"/>
    <w:rsid w:val="00D47D5A"/>
    <w:rsid w:val="00D50AF3"/>
    <w:rsid w:val="00D51B0B"/>
    <w:rsid w:val="00D5255D"/>
    <w:rsid w:val="00D52565"/>
    <w:rsid w:val="00D545DB"/>
    <w:rsid w:val="00D55831"/>
    <w:rsid w:val="00D564AB"/>
    <w:rsid w:val="00D56CBD"/>
    <w:rsid w:val="00D578FC"/>
    <w:rsid w:val="00D57DD2"/>
    <w:rsid w:val="00D61F70"/>
    <w:rsid w:val="00D62021"/>
    <w:rsid w:val="00D626C9"/>
    <w:rsid w:val="00D62C68"/>
    <w:rsid w:val="00D62DAC"/>
    <w:rsid w:val="00D644AA"/>
    <w:rsid w:val="00D64540"/>
    <w:rsid w:val="00D64816"/>
    <w:rsid w:val="00D667D3"/>
    <w:rsid w:val="00D715A1"/>
    <w:rsid w:val="00D72CE9"/>
    <w:rsid w:val="00D73BF6"/>
    <w:rsid w:val="00D73E8F"/>
    <w:rsid w:val="00D757FC"/>
    <w:rsid w:val="00D76C8E"/>
    <w:rsid w:val="00D76EA6"/>
    <w:rsid w:val="00D80D08"/>
    <w:rsid w:val="00D8133D"/>
    <w:rsid w:val="00D82CD2"/>
    <w:rsid w:val="00D835C3"/>
    <w:rsid w:val="00D836A5"/>
    <w:rsid w:val="00D83840"/>
    <w:rsid w:val="00D87313"/>
    <w:rsid w:val="00D905EB"/>
    <w:rsid w:val="00D92804"/>
    <w:rsid w:val="00D929E5"/>
    <w:rsid w:val="00D95051"/>
    <w:rsid w:val="00D95339"/>
    <w:rsid w:val="00D95CB1"/>
    <w:rsid w:val="00D9658E"/>
    <w:rsid w:val="00D96AF1"/>
    <w:rsid w:val="00DA180F"/>
    <w:rsid w:val="00DA209C"/>
    <w:rsid w:val="00DA3BFE"/>
    <w:rsid w:val="00DA4430"/>
    <w:rsid w:val="00DA7157"/>
    <w:rsid w:val="00DA7C46"/>
    <w:rsid w:val="00DB03AA"/>
    <w:rsid w:val="00DB1D55"/>
    <w:rsid w:val="00DB3244"/>
    <w:rsid w:val="00DB39DF"/>
    <w:rsid w:val="00DB3CC4"/>
    <w:rsid w:val="00DB401D"/>
    <w:rsid w:val="00DB5411"/>
    <w:rsid w:val="00DB5953"/>
    <w:rsid w:val="00DB5EED"/>
    <w:rsid w:val="00DC0492"/>
    <w:rsid w:val="00DC0AA6"/>
    <w:rsid w:val="00DC1918"/>
    <w:rsid w:val="00DC2B9D"/>
    <w:rsid w:val="00DC47D5"/>
    <w:rsid w:val="00DC5BFC"/>
    <w:rsid w:val="00DD04E3"/>
    <w:rsid w:val="00DD05BC"/>
    <w:rsid w:val="00DD0945"/>
    <w:rsid w:val="00DD249A"/>
    <w:rsid w:val="00DD5867"/>
    <w:rsid w:val="00DE34F0"/>
    <w:rsid w:val="00DE41D0"/>
    <w:rsid w:val="00DE4286"/>
    <w:rsid w:val="00DE4323"/>
    <w:rsid w:val="00DE4CFF"/>
    <w:rsid w:val="00DE66FC"/>
    <w:rsid w:val="00DF0483"/>
    <w:rsid w:val="00DF2D88"/>
    <w:rsid w:val="00DF2EC8"/>
    <w:rsid w:val="00DF43AC"/>
    <w:rsid w:val="00DF4F68"/>
    <w:rsid w:val="00DF5036"/>
    <w:rsid w:val="00DF5B89"/>
    <w:rsid w:val="00DF6E68"/>
    <w:rsid w:val="00DF70FE"/>
    <w:rsid w:val="00DF7BC6"/>
    <w:rsid w:val="00DF7F84"/>
    <w:rsid w:val="00E0117F"/>
    <w:rsid w:val="00E017DE"/>
    <w:rsid w:val="00E036B4"/>
    <w:rsid w:val="00E03701"/>
    <w:rsid w:val="00E051FD"/>
    <w:rsid w:val="00E10340"/>
    <w:rsid w:val="00E11056"/>
    <w:rsid w:val="00E1141D"/>
    <w:rsid w:val="00E119F5"/>
    <w:rsid w:val="00E12749"/>
    <w:rsid w:val="00E14B39"/>
    <w:rsid w:val="00E169F1"/>
    <w:rsid w:val="00E17194"/>
    <w:rsid w:val="00E22102"/>
    <w:rsid w:val="00E22D86"/>
    <w:rsid w:val="00E24B87"/>
    <w:rsid w:val="00E259DA"/>
    <w:rsid w:val="00E26495"/>
    <w:rsid w:val="00E26DE8"/>
    <w:rsid w:val="00E30366"/>
    <w:rsid w:val="00E31010"/>
    <w:rsid w:val="00E3147A"/>
    <w:rsid w:val="00E34F61"/>
    <w:rsid w:val="00E35BFB"/>
    <w:rsid w:val="00E35CE4"/>
    <w:rsid w:val="00E37B57"/>
    <w:rsid w:val="00E4112C"/>
    <w:rsid w:val="00E441A8"/>
    <w:rsid w:val="00E52D65"/>
    <w:rsid w:val="00E54650"/>
    <w:rsid w:val="00E54A7F"/>
    <w:rsid w:val="00E54A89"/>
    <w:rsid w:val="00E55021"/>
    <w:rsid w:val="00E55336"/>
    <w:rsid w:val="00E561A9"/>
    <w:rsid w:val="00E57B44"/>
    <w:rsid w:val="00E60730"/>
    <w:rsid w:val="00E6125A"/>
    <w:rsid w:val="00E618DA"/>
    <w:rsid w:val="00E61FCC"/>
    <w:rsid w:val="00E624C6"/>
    <w:rsid w:val="00E6510C"/>
    <w:rsid w:val="00E65721"/>
    <w:rsid w:val="00E65DD3"/>
    <w:rsid w:val="00E661F6"/>
    <w:rsid w:val="00E674C0"/>
    <w:rsid w:val="00E70320"/>
    <w:rsid w:val="00E70EE8"/>
    <w:rsid w:val="00E74462"/>
    <w:rsid w:val="00E74985"/>
    <w:rsid w:val="00E815E4"/>
    <w:rsid w:val="00E818B8"/>
    <w:rsid w:val="00E8233F"/>
    <w:rsid w:val="00E8354D"/>
    <w:rsid w:val="00E8358C"/>
    <w:rsid w:val="00E83C38"/>
    <w:rsid w:val="00E8471C"/>
    <w:rsid w:val="00E85B43"/>
    <w:rsid w:val="00E879F4"/>
    <w:rsid w:val="00E9049A"/>
    <w:rsid w:val="00E9131B"/>
    <w:rsid w:val="00E91581"/>
    <w:rsid w:val="00E9217B"/>
    <w:rsid w:val="00E935E5"/>
    <w:rsid w:val="00E942FA"/>
    <w:rsid w:val="00E97CCB"/>
    <w:rsid w:val="00EA02F5"/>
    <w:rsid w:val="00EA12A8"/>
    <w:rsid w:val="00EA3E8F"/>
    <w:rsid w:val="00EA6C4A"/>
    <w:rsid w:val="00EB0A57"/>
    <w:rsid w:val="00EB34AA"/>
    <w:rsid w:val="00EB3BFB"/>
    <w:rsid w:val="00EB41CD"/>
    <w:rsid w:val="00EB4F34"/>
    <w:rsid w:val="00EB7B01"/>
    <w:rsid w:val="00EC06D7"/>
    <w:rsid w:val="00EC0ECE"/>
    <w:rsid w:val="00EC183C"/>
    <w:rsid w:val="00EC202A"/>
    <w:rsid w:val="00EC2D89"/>
    <w:rsid w:val="00EC3D4F"/>
    <w:rsid w:val="00EC4C48"/>
    <w:rsid w:val="00EC6393"/>
    <w:rsid w:val="00EC73C9"/>
    <w:rsid w:val="00ED1F4A"/>
    <w:rsid w:val="00ED3524"/>
    <w:rsid w:val="00ED7342"/>
    <w:rsid w:val="00EE1D26"/>
    <w:rsid w:val="00EE270F"/>
    <w:rsid w:val="00EE2CD7"/>
    <w:rsid w:val="00EE3D24"/>
    <w:rsid w:val="00EE44D9"/>
    <w:rsid w:val="00EE4A60"/>
    <w:rsid w:val="00EE6E6C"/>
    <w:rsid w:val="00EF0D55"/>
    <w:rsid w:val="00EF1E10"/>
    <w:rsid w:val="00EF402A"/>
    <w:rsid w:val="00EF50AC"/>
    <w:rsid w:val="00EF606B"/>
    <w:rsid w:val="00EF6D31"/>
    <w:rsid w:val="00EF6DF6"/>
    <w:rsid w:val="00F009E1"/>
    <w:rsid w:val="00F019A7"/>
    <w:rsid w:val="00F0318E"/>
    <w:rsid w:val="00F04A36"/>
    <w:rsid w:val="00F05A94"/>
    <w:rsid w:val="00F07A78"/>
    <w:rsid w:val="00F1002D"/>
    <w:rsid w:val="00F1091F"/>
    <w:rsid w:val="00F10A64"/>
    <w:rsid w:val="00F1176D"/>
    <w:rsid w:val="00F11C7C"/>
    <w:rsid w:val="00F11E16"/>
    <w:rsid w:val="00F12385"/>
    <w:rsid w:val="00F12696"/>
    <w:rsid w:val="00F1369F"/>
    <w:rsid w:val="00F17220"/>
    <w:rsid w:val="00F21C7B"/>
    <w:rsid w:val="00F226F2"/>
    <w:rsid w:val="00F230F6"/>
    <w:rsid w:val="00F23C7C"/>
    <w:rsid w:val="00F276EC"/>
    <w:rsid w:val="00F30D1D"/>
    <w:rsid w:val="00F310F0"/>
    <w:rsid w:val="00F31AC5"/>
    <w:rsid w:val="00F31D26"/>
    <w:rsid w:val="00F32060"/>
    <w:rsid w:val="00F339D2"/>
    <w:rsid w:val="00F33F53"/>
    <w:rsid w:val="00F35E41"/>
    <w:rsid w:val="00F3692D"/>
    <w:rsid w:val="00F36D81"/>
    <w:rsid w:val="00F403E7"/>
    <w:rsid w:val="00F41ACC"/>
    <w:rsid w:val="00F41D00"/>
    <w:rsid w:val="00F43FC0"/>
    <w:rsid w:val="00F450F0"/>
    <w:rsid w:val="00F4583A"/>
    <w:rsid w:val="00F46600"/>
    <w:rsid w:val="00F47A59"/>
    <w:rsid w:val="00F52015"/>
    <w:rsid w:val="00F521EB"/>
    <w:rsid w:val="00F534F3"/>
    <w:rsid w:val="00F570DE"/>
    <w:rsid w:val="00F57F57"/>
    <w:rsid w:val="00F60DCA"/>
    <w:rsid w:val="00F617CF"/>
    <w:rsid w:val="00F63C19"/>
    <w:rsid w:val="00F64266"/>
    <w:rsid w:val="00F643E3"/>
    <w:rsid w:val="00F647F8"/>
    <w:rsid w:val="00F648FD"/>
    <w:rsid w:val="00F64BC2"/>
    <w:rsid w:val="00F65F84"/>
    <w:rsid w:val="00F700CC"/>
    <w:rsid w:val="00F71356"/>
    <w:rsid w:val="00F75DB3"/>
    <w:rsid w:val="00F81429"/>
    <w:rsid w:val="00F82667"/>
    <w:rsid w:val="00F8290B"/>
    <w:rsid w:val="00F84629"/>
    <w:rsid w:val="00F84CD4"/>
    <w:rsid w:val="00F85169"/>
    <w:rsid w:val="00F85D32"/>
    <w:rsid w:val="00F8664F"/>
    <w:rsid w:val="00F870AB"/>
    <w:rsid w:val="00F912C8"/>
    <w:rsid w:val="00F92334"/>
    <w:rsid w:val="00F92DEC"/>
    <w:rsid w:val="00F9669D"/>
    <w:rsid w:val="00F971CF"/>
    <w:rsid w:val="00FA03E3"/>
    <w:rsid w:val="00FA0887"/>
    <w:rsid w:val="00FA10A9"/>
    <w:rsid w:val="00FA15F0"/>
    <w:rsid w:val="00FA1FF6"/>
    <w:rsid w:val="00FA20CF"/>
    <w:rsid w:val="00FA3297"/>
    <w:rsid w:val="00FA3507"/>
    <w:rsid w:val="00FA39CB"/>
    <w:rsid w:val="00FA39F9"/>
    <w:rsid w:val="00FA486D"/>
    <w:rsid w:val="00FA5D9D"/>
    <w:rsid w:val="00FA6CD5"/>
    <w:rsid w:val="00FB00D5"/>
    <w:rsid w:val="00FB0AB9"/>
    <w:rsid w:val="00FB2C1E"/>
    <w:rsid w:val="00FC0BE5"/>
    <w:rsid w:val="00FC0ED4"/>
    <w:rsid w:val="00FC1120"/>
    <w:rsid w:val="00FC236C"/>
    <w:rsid w:val="00FC2573"/>
    <w:rsid w:val="00FC2EF0"/>
    <w:rsid w:val="00FC45E7"/>
    <w:rsid w:val="00FC60E1"/>
    <w:rsid w:val="00FC6E2E"/>
    <w:rsid w:val="00FC734C"/>
    <w:rsid w:val="00FD2128"/>
    <w:rsid w:val="00FD2C9A"/>
    <w:rsid w:val="00FD3DBC"/>
    <w:rsid w:val="00FD511A"/>
    <w:rsid w:val="00FD53E2"/>
    <w:rsid w:val="00FD55DB"/>
    <w:rsid w:val="00FD58D9"/>
    <w:rsid w:val="00FD5F08"/>
    <w:rsid w:val="00FD6024"/>
    <w:rsid w:val="00FD71BE"/>
    <w:rsid w:val="00FE1683"/>
    <w:rsid w:val="00FE191C"/>
    <w:rsid w:val="00FE3204"/>
    <w:rsid w:val="00FE39AD"/>
    <w:rsid w:val="00FE3FB9"/>
    <w:rsid w:val="00FE467C"/>
    <w:rsid w:val="00FE4ECE"/>
    <w:rsid w:val="00FE5222"/>
    <w:rsid w:val="00FE524C"/>
    <w:rsid w:val="00FE5B43"/>
    <w:rsid w:val="00FE6160"/>
    <w:rsid w:val="00FE69B2"/>
    <w:rsid w:val="00FE7256"/>
    <w:rsid w:val="00FF0B29"/>
    <w:rsid w:val="00FF1D68"/>
    <w:rsid w:val="00FF1E81"/>
    <w:rsid w:val="00FF307F"/>
    <w:rsid w:val="00FF3E82"/>
    <w:rsid w:val="00FF51FE"/>
    <w:rsid w:val="00FF5712"/>
    <w:rsid w:val="00FF6105"/>
    <w:rsid w:val="00FF6B24"/>
    <w:rsid w:val="00FF713A"/>
    <w:rsid w:val="01A72A5A"/>
    <w:rsid w:val="01BF5AAB"/>
    <w:rsid w:val="02334E3E"/>
    <w:rsid w:val="023C437C"/>
    <w:rsid w:val="0257294E"/>
    <w:rsid w:val="02826A8F"/>
    <w:rsid w:val="02C05ABD"/>
    <w:rsid w:val="03365776"/>
    <w:rsid w:val="036A3186"/>
    <w:rsid w:val="03CD15D7"/>
    <w:rsid w:val="046D030F"/>
    <w:rsid w:val="05226AB1"/>
    <w:rsid w:val="056A122C"/>
    <w:rsid w:val="058B47A5"/>
    <w:rsid w:val="05BB2D3F"/>
    <w:rsid w:val="05C96DE0"/>
    <w:rsid w:val="05CE7273"/>
    <w:rsid w:val="060750AE"/>
    <w:rsid w:val="06144087"/>
    <w:rsid w:val="067B0F55"/>
    <w:rsid w:val="068D1C71"/>
    <w:rsid w:val="06C8674D"/>
    <w:rsid w:val="07081583"/>
    <w:rsid w:val="072B2711"/>
    <w:rsid w:val="07EE0585"/>
    <w:rsid w:val="081C53C1"/>
    <w:rsid w:val="08392CB3"/>
    <w:rsid w:val="0866708C"/>
    <w:rsid w:val="08AB4F0D"/>
    <w:rsid w:val="08DC087C"/>
    <w:rsid w:val="09423491"/>
    <w:rsid w:val="09863673"/>
    <w:rsid w:val="0AFC7D5F"/>
    <w:rsid w:val="0B2E584B"/>
    <w:rsid w:val="0B9633BD"/>
    <w:rsid w:val="0BC80A42"/>
    <w:rsid w:val="0BD60BF3"/>
    <w:rsid w:val="0BF62BE5"/>
    <w:rsid w:val="0C2672BE"/>
    <w:rsid w:val="0C2C5D1C"/>
    <w:rsid w:val="0C2C74E1"/>
    <w:rsid w:val="0C345668"/>
    <w:rsid w:val="0C3C0EAC"/>
    <w:rsid w:val="0C5D098D"/>
    <w:rsid w:val="0CC25FC4"/>
    <w:rsid w:val="0D874609"/>
    <w:rsid w:val="0D9C4ECF"/>
    <w:rsid w:val="0E831FEA"/>
    <w:rsid w:val="0E9E7075"/>
    <w:rsid w:val="0EE36172"/>
    <w:rsid w:val="0EF94B3D"/>
    <w:rsid w:val="0F370383"/>
    <w:rsid w:val="0F9C2701"/>
    <w:rsid w:val="0FF67276"/>
    <w:rsid w:val="10057FAA"/>
    <w:rsid w:val="103D3392"/>
    <w:rsid w:val="10593453"/>
    <w:rsid w:val="107F5005"/>
    <w:rsid w:val="10882FDE"/>
    <w:rsid w:val="108D6D35"/>
    <w:rsid w:val="108E4BE7"/>
    <w:rsid w:val="10FF0D2B"/>
    <w:rsid w:val="123A6BAD"/>
    <w:rsid w:val="127A54ED"/>
    <w:rsid w:val="128F4176"/>
    <w:rsid w:val="12D706B8"/>
    <w:rsid w:val="13E97F8B"/>
    <w:rsid w:val="14134308"/>
    <w:rsid w:val="14A20CDD"/>
    <w:rsid w:val="14F44E15"/>
    <w:rsid w:val="151F1D8D"/>
    <w:rsid w:val="15EB7B01"/>
    <w:rsid w:val="1613006B"/>
    <w:rsid w:val="16481484"/>
    <w:rsid w:val="165F6538"/>
    <w:rsid w:val="168E29AD"/>
    <w:rsid w:val="16DA32F3"/>
    <w:rsid w:val="16F00EAE"/>
    <w:rsid w:val="16F6044C"/>
    <w:rsid w:val="17874B2E"/>
    <w:rsid w:val="17BE18D1"/>
    <w:rsid w:val="17D71672"/>
    <w:rsid w:val="17F11316"/>
    <w:rsid w:val="181D1637"/>
    <w:rsid w:val="183B2D07"/>
    <w:rsid w:val="191935B0"/>
    <w:rsid w:val="1922121A"/>
    <w:rsid w:val="1A6C61E7"/>
    <w:rsid w:val="1ABA53F2"/>
    <w:rsid w:val="1ABC771B"/>
    <w:rsid w:val="1AE4538C"/>
    <w:rsid w:val="1AEE0C14"/>
    <w:rsid w:val="1B1335E1"/>
    <w:rsid w:val="1B8C4AB8"/>
    <w:rsid w:val="1BFF43FF"/>
    <w:rsid w:val="1C4E7C1D"/>
    <w:rsid w:val="1C502BA8"/>
    <w:rsid w:val="1C791009"/>
    <w:rsid w:val="1C7F6D3C"/>
    <w:rsid w:val="1CC2439E"/>
    <w:rsid w:val="1D0F7C29"/>
    <w:rsid w:val="1D233438"/>
    <w:rsid w:val="1D2D3051"/>
    <w:rsid w:val="1DD06926"/>
    <w:rsid w:val="1DDE2B28"/>
    <w:rsid w:val="1E612A7B"/>
    <w:rsid w:val="1F1251D8"/>
    <w:rsid w:val="1F3972A8"/>
    <w:rsid w:val="1F560937"/>
    <w:rsid w:val="1F730A49"/>
    <w:rsid w:val="1F92759B"/>
    <w:rsid w:val="1FA944E4"/>
    <w:rsid w:val="1FCB0A8B"/>
    <w:rsid w:val="1FF45226"/>
    <w:rsid w:val="202E5364"/>
    <w:rsid w:val="204B4C27"/>
    <w:rsid w:val="20916818"/>
    <w:rsid w:val="20E530B7"/>
    <w:rsid w:val="20E862EE"/>
    <w:rsid w:val="21237B64"/>
    <w:rsid w:val="21256314"/>
    <w:rsid w:val="21274552"/>
    <w:rsid w:val="212D3628"/>
    <w:rsid w:val="21A6258F"/>
    <w:rsid w:val="21B20862"/>
    <w:rsid w:val="22031F75"/>
    <w:rsid w:val="222178ED"/>
    <w:rsid w:val="22540994"/>
    <w:rsid w:val="23766363"/>
    <w:rsid w:val="23DE7685"/>
    <w:rsid w:val="2452781A"/>
    <w:rsid w:val="248E66BB"/>
    <w:rsid w:val="24E576CD"/>
    <w:rsid w:val="255621F4"/>
    <w:rsid w:val="256F5C4A"/>
    <w:rsid w:val="2628047B"/>
    <w:rsid w:val="265F7DEA"/>
    <w:rsid w:val="27470682"/>
    <w:rsid w:val="27B24A33"/>
    <w:rsid w:val="28465F76"/>
    <w:rsid w:val="289E2258"/>
    <w:rsid w:val="28B77C80"/>
    <w:rsid w:val="28BF11BC"/>
    <w:rsid w:val="28E22641"/>
    <w:rsid w:val="29334959"/>
    <w:rsid w:val="293F695A"/>
    <w:rsid w:val="2950356A"/>
    <w:rsid w:val="295433E1"/>
    <w:rsid w:val="29B54CD4"/>
    <w:rsid w:val="29CC0F6B"/>
    <w:rsid w:val="2A167C2E"/>
    <w:rsid w:val="2A5C62DB"/>
    <w:rsid w:val="2A614ECA"/>
    <w:rsid w:val="2A6D51CD"/>
    <w:rsid w:val="2B360826"/>
    <w:rsid w:val="2B4076E3"/>
    <w:rsid w:val="2B4322C4"/>
    <w:rsid w:val="2B926785"/>
    <w:rsid w:val="2BE54DBB"/>
    <w:rsid w:val="2C752B50"/>
    <w:rsid w:val="2D7A45D2"/>
    <w:rsid w:val="2E294723"/>
    <w:rsid w:val="2E8F5AA9"/>
    <w:rsid w:val="2EE1627B"/>
    <w:rsid w:val="2EE171FA"/>
    <w:rsid w:val="2EE8522D"/>
    <w:rsid w:val="2F6E7FA8"/>
    <w:rsid w:val="2F8C0C0C"/>
    <w:rsid w:val="2FD333FD"/>
    <w:rsid w:val="30454731"/>
    <w:rsid w:val="30792255"/>
    <w:rsid w:val="30C5751E"/>
    <w:rsid w:val="30F73FEB"/>
    <w:rsid w:val="312B78A2"/>
    <w:rsid w:val="3146530D"/>
    <w:rsid w:val="315A5386"/>
    <w:rsid w:val="320378A1"/>
    <w:rsid w:val="321330C9"/>
    <w:rsid w:val="32317565"/>
    <w:rsid w:val="32423EE6"/>
    <w:rsid w:val="3248505E"/>
    <w:rsid w:val="326C646B"/>
    <w:rsid w:val="32D95E2E"/>
    <w:rsid w:val="32F65A39"/>
    <w:rsid w:val="330E51B6"/>
    <w:rsid w:val="33BF2CF4"/>
    <w:rsid w:val="33D47F2F"/>
    <w:rsid w:val="33ED357D"/>
    <w:rsid w:val="34626F4C"/>
    <w:rsid w:val="350F4AF1"/>
    <w:rsid w:val="35705809"/>
    <w:rsid w:val="3575344B"/>
    <w:rsid w:val="357D73DE"/>
    <w:rsid w:val="35B41A2D"/>
    <w:rsid w:val="35F9542A"/>
    <w:rsid w:val="362A49AB"/>
    <w:rsid w:val="363909E6"/>
    <w:rsid w:val="36714388"/>
    <w:rsid w:val="36A15BBF"/>
    <w:rsid w:val="36AA0825"/>
    <w:rsid w:val="36EB4BDC"/>
    <w:rsid w:val="372D5674"/>
    <w:rsid w:val="37BA5991"/>
    <w:rsid w:val="37D326E7"/>
    <w:rsid w:val="37FE2AA3"/>
    <w:rsid w:val="383B2DED"/>
    <w:rsid w:val="387640B8"/>
    <w:rsid w:val="38EC41A7"/>
    <w:rsid w:val="39180414"/>
    <w:rsid w:val="394C3880"/>
    <w:rsid w:val="3974535D"/>
    <w:rsid w:val="3BAE2963"/>
    <w:rsid w:val="3BBA68E7"/>
    <w:rsid w:val="3BEA3B76"/>
    <w:rsid w:val="3C477201"/>
    <w:rsid w:val="3C6251D3"/>
    <w:rsid w:val="3C6509B1"/>
    <w:rsid w:val="3C7157B5"/>
    <w:rsid w:val="3C790083"/>
    <w:rsid w:val="3C8B4E9D"/>
    <w:rsid w:val="3CA8765B"/>
    <w:rsid w:val="3CF765EA"/>
    <w:rsid w:val="3D157F53"/>
    <w:rsid w:val="3D1618E8"/>
    <w:rsid w:val="3D5306B7"/>
    <w:rsid w:val="3D707831"/>
    <w:rsid w:val="3DA23D0A"/>
    <w:rsid w:val="3DE3274E"/>
    <w:rsid w:val="3E6E1E3E"/>
    <w:rsid w:val="3EF5621B"/>
    <w:rsid w:val="3FB02221"/>
    <w:rsid w:val="3FDE0F71"/>
    <w:rsid w:val="400A4E75"/>
    <w:rsid w:val="401C651D"/>
    <w:rsid w:val="407D392A"/>
    <w:rsid w:val="40D211BA"/>
    <w:rsid w:val="422805AA"/>
    <w:rsid w:val="42AD4BFA"/>
    <w:rsid w:val="4363296F"/>
    <w:rsid w:val="438A7846"/>
    <w:rsid w:val="443618CE"/>
    <w:rsid w:val="444C263C"/>
    <w:rsid w:val="4453627F"/>
    <w:rsid w:val="448D3BF7"/>
    <w:rsid w:val="44922913"/>
    <w:rsid w:val="44FC0FC8"/>
    <w:rsid w:val="452D2E58"/>
    <w:rsid w:val="45346DD5"/>
    <w:rsid w:val="45382C86"/>
    <w:rsid w:val="456563FA"/>
    <w:rsid w:val="459729A6"/>
    <w:rsid w:val="463514E4"/>
    <w:rsid w:val="46665B9E"/>
    <w:rsid w:val="466F53D0"/>
    <w:rsid w:val="46A52BAA"/>
    <w:rsid w:val="47515C52"/>
    <w:rsid w:val="476F570B"/>
    <w:rsid w:val="4798373E"/>
    <w:rsid w:val="47B82F8C"/>
    <w:rsid w:val="480C19EA"/>
    <w:rsid w:val="48352642"/>
    <w:rsid w:val="4861702F"/>
    <w:rsid w:val="48776D38"/>
    <w:rsid w:val="48CA64DA"/>
    <w:rsid w:val="48CD11B6"/>
    <w:rsid w:val="490B709C"/>
    <w:rsid w:val="49A951F9"/>
    <w:rsid w:val="4ADF4B77"/>
    <w:rsid w:val="4B120E3A"/>
    <w:rsid w:val="4B6E0530"/>
    <w:rsid w:val="4B9F28EF"/>
    <w:rsid w:val="4C61016D"/>
    <w:rsid w:val="4C9E0711"/>
    <w:rsid w:val="4CFA64D3"/>
    <w:rsid w:val="4DA52D79"/>
    <w:rsid w:val="4DC63E5D"/>
    <w:rsid w:val="4E642584"/>
    <w:rsid w:val="4E676345"/>
    <w:rsid w:val="4EC657B6"/>
    <w:rsid w:val="4F004AC8"/>
    <w:rsid w:val="4F457BBD"/>
    <w:rsid w:val="4F7B1F09"/>
    <w:rsid w:val="4FDD3421"/>
    <w:rsid w:val="50220974"/>
    <w:rsid w:val="50563A10"/>
    <w:rsid w:val="50744124"/>
    <w:rsid w:val="50DB612B"/>
    <w:rsid w:val="50FB7BCD"/>
    <w:rsid w:val="51E970C3"/>
    <w:rsid w:val="526A5CEB"/>
    <w:rsid w:val="528625FA"/>
    <w:rsid w:val="53C90FE7"/>
    <w:rsid w:val="549A039E"/>
    <w:rsid w:val="54BA3548"/>
    <w:rsid w:val="54F70D70"/>
    <w:rsid w:val="55927042"/>
    <w:rsid w:val="559323C5"/>
    <w:rsid w:val="55DB14B9"/>
    <w:rsid w:val="55E333E3"/>
    <w:rsid w:val="5610528E"/>
    <w:rsid w:val="56182B6E"/>
    <w:rsid w:val="562C555C"/>
    <w:rsid w:val="56C46547"/>
    <w:rsid w:val="56E723FE"/>
    <w:rsid w:val="574F4AA7"/>
    <w:rsid w:val="57543C4B"/>
    <w:rsid w:val="575A07A3"/>
    <w:rsid w:val="57E400AD"/>
    <w:rsid w:val="57EE76E4"/>
    <w:rsid w:val="58774C70"/>
    <w:rsid w:val="59130765"/>
    <w:rsid w:val="592B4899"/>
    <w:rsid w:val="59BB4E70"/>
    <w:rsid w:val="59BE008C"/>
    <w:rsid w:val="5A214E71"/>
    <w:rsid w:val="5A914920"/>
    <w:rsid w:val="5AC04A0B"/>
    <w:rsid w:val="5B4C62E3"/>
    <w:rsid w:val="5B4E3FA9"/>
    <w:rsid w:val="5B7504ED"/>
    <w:rsid w:val="5B8B449F"/>
    <w:rsid w:val="5BFC461E"/>
    <w:rsid w:val="5C1B135A"/>
    <w:rsid w:val="5C2769E7"/>
    <w:rsid w:val="5C993234"/>
    <w:rsid w:val="5CEF39E7"/>
    <w:rsid w:val="5D071531"/>
    <w:rsid w:val="5D0C639D"/>
    <w:rsid w:val="5D150BFB"/>
    <w:rsid w:val="5D4D1366"/>
    <w:rsid w:val="5DA821BF"/>
    <w:rsid w:val="5DC139D2"/>
    <w:rsid w:val="5DF67626"/>
    <w:rsid w:val="5E772F3C"/>
    <w:rsid w:val="5EEE5A57"/>
    <w:rsid w:val="5F731BA9"/>
    <w:rsid w:val="5F917221"/>
    <w:rsid w:val="5FAF68C7"/>
    <w:rsid w:val="6058674D"/>
    <w:rsid w:val="61056E0B"/>
    <w:rsid w:val="616A185D"/>
    <w:rsid w:val="619E2B89"/>
    <w:rsid w:val="620D2994"/>
    <w:rsid w:val="62C5787E"/>
    <w:rsid w:val="63202D68"/>
    <w:rsid w:val="63213448"/>
    <w:rsid w:val="633607E1"/>
    <w:rsid w:val="639533FD"/>
    <w:rsid w:val="639B5A24"/>
    <w:rsid w:val="63A8130F"/>
    <w:rsid w:val="63C8615D"/>
    <w:rsid w:val="6403025F"/>
    <w:rsid w:val="64030A4B"/>
    <w:rsid w:val="64301060"/>
    <w:rsid w:val="643738BF"/>
    <w:rsid w:val="64AF1FBB"/>
    <w:rsid w:val="658223CF"/>
    <w:rsid w:val="65AE4647"/>
    <w:rsid w:val="65B07A0B"/>
    <w:rsid w:val="65F76387"/>
    <w:rsid w:val="674246DE"/>
    <w:rsid w:val="67BA2DBD"/>
    <w:rsid w:val="680649AA"/>
    <w:rsid w:val="681E7B79"/>
    <w:rsid w:val="682D3D0A"/>
    <w:rsid w:val="68DE575D"/>
    <w:rsid w:val="68E448BA"/>
    <w:rsid w:val="68F9039B"/>
    <w:rsid w:val="693E48E3"/>
    <w:rsid w:val="694E203D"/>
    <w:rsid w:val="695F0F37"/>
    <w:rsid w:val="69715172"/>
    <w:rsid w:val="69C160CF"/>
    <w:rsid w:val="69E12102"/>
    <w:rsid w:val="69E15B12"/>
    <w:rsid w:val="6AE129F2"/>
    <w:rsid w:val="6AF80865"/>
    <w:rsid w:val="6AF84C9C"/>
    <w:rsid w:val="6B64505D"/>
    <w:rsid w:val="6B6B0FAF"/>
    <w:rsid w:val="6B780D2F"/>
    <w:rsid w:val="6B9C1813"/>
    <w:rsid w:val="6BD629C3"/>
    <w:rsid w:val="6C356BD4"/>
    <w:rsid w:val="6CB14A3E"/>
    <w:rsid w:val="6CD111FD"/>
    <w:rsid w:val="6CD6514E"/>
    <w:rsid w:val="6D0B269D"/>
    <w:rsid w:val="6D3F28C1"/>
    <w:rsid w:val="6D4A1ACD"/>
    <w:rsid w:val="6E240780"/>
    <w:rsid w:val="6E6230FC"/>
    <w:rsid w:val="6E683431"/>
    <w:rsid w:val="6F955318"/>
    <w:rsid w:val="6FBB46ED"/>
    <w:rsid w:val="703A3F85"/>
    <w:rsid w:val="70555B9D"/>
    <w:rsid w:val="71141F49"/>
    <w:rsid w:val="72157655"/>
    <w:rsid w:val="724C636E"/>
    <w:rsid w:val="72B33324"/>
    <w:rsid w:val="743B0D75"/>
    <w:rsid w:val="746147D0"/>
    <w:rsid w:val="74664E86"/>
    <w:rsid w:val="75212929"/>
    <w:rsid w:val="75A13826"/>
    <w:rsid w:val="75A96F9D"/>
    <w:rsid w:val="75C93492"/>
    <w:rsid w:val="75D20B44"/>
    <w:rsid w:val="761A1F87"/>
    <w:rsid w:val="76D04144"/>
    <w:rsid w:val="77A5718C"/>
    <w:rsid w:val="77B839DD"/>
    <w:rsid w:val="77EF1225"/>
    <w:rsid w:val="78494FAA"/>
    <w:rsid w:val="787B718E"/>
    <w:rsid w:val="788D0766"/>
    <w:rsid w:val="78A465FF"/>
    <w:rsid w:val="78C569F8"/>
    <w:rsid w:val="79052F5E"/>
    <w:rsid w:val="79507BF4"/>
    <w:rsid w:val="79726AF0"/>
    <w:rsid w:val="797304FB"/>
    <w:rsid w:val="79C8592F"/>
    <w:rsid w:val="7A3754E3"/>
    <w:rsid w:val="7A4D30ED"/>
    <w:rsid w:val="7AD940D8"/>
    <w:rsid w:val="7AE668A5"/>
    <w:rsid w:val="7AFB0A43"/>
    <w:rsid w:val="7B2F40E0"/>
    <w:rsid w:val="7B643141"/>
    <w:rsid w:val="7B806F5F"/>
    <w:rsid w:val="7B982198"/>
    <w:rsid w:val="7BEF1040"/>
    <w:rsid w:val="7C206179"/>
    <w:rsid w:val="7C2461C6"/>
    <w:rsid w:val="7C277430"/>
    <w:rsid w:val="7C31335E"/>
    <w:rsid w:val="7C74731A"/>
    <w:rsid w:val="7CF36D8A"/>
    <w:rsid w:val="7DB1624A"/>
    <w:rsid w:val="7DC00956"/>
    <w:rsid w:val="7DE15C8B"/>
    <w:rsid w:val="7E025590"/>
    <w:rsid w:val="7EE12A82"/>
    <w:rsid w:val="7F0A72D2"/>
    <w:rsid w:val="7FC35E22"/>
    <w:rsid w:val="7FD3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87"/>
    <w:qFormat/>
    <w:uiPriority w:val="0"/>
    <w:pPr>
      <w:keepNext/>
      <w:keepLines/>
      <w:spacing w:before="340" w:after="330" w:line="578" w:lineRule="auto"/>
      <w:outlineLvl w:val="0"/>
    </w:pPr>
    <w:rPr>
      <w:b/>
      <w:bCs/>
      <w:kern w:val="44"/>
      <w:sz w:val="30"/>
      <w:szCs w:val="44"/>
    </w:rPr>
  </w:style>
  <w:style w:type="paragraph" w:styleId="8">
    <w:name w:val="heading 2"/>
    <w:basedOn w:val="1"/>
    <w:next w:val="1"/>
    <w:link w:val="88"/>
    <w:qFormat/>
    <w:uiPriority w:val="9"/>
    <w:pPr>
      <w:keepNext/>
      <w:keepLines/>
      <w:spacing w:before="260" w:after="260" w:line="416" w:lineRule="auto"/>
      <w:ind w:firstLine="628"/>
      <w:jc w:val="center"/>
      <w:outlineLvl w:val="1"/>
    </w:pPr>
    <w:rPr>
      <w:rFonts w:ascii="Arial" w:hAnsi="Arial" w:eastAsia="黑体"/>
      <w:b/>
      <w:bCs/>
      <w:sz w:val="32"/>
      <w:szCs w:val="32"/>
    </w:rPr>
  </w:style>
  <w:style w:type="paragraph" w:styleId="9">
    <w:name w:val="heading 3"/>
    <w:basedOn w:val="1"/>
    <w:next w:val="1"/>
    <w:link w:val="89"/>
    <w:qFormat/>
    <w:uiPriority w:val="0"/>
    <w:pPr>
      <w:keepNext/>
      <w:keepLines/>
      <w:spacing w:before="260" w:after="260" w:line="416" w:lineRule="auto"/>
      <w:jc w:val="center"/>
      <w:outlineLvl w:val="2"/>
    </w:pPr>
    <w:rPr>
      <w:rFonts w:ascii="宋体"/>
      <w:b/>
      <w:bCs/>
      <w:sz w:val="32"/>
      <w:szCs w:val="32"/>
    </w:rPr>
  </w:style>
  <w:style w:type="paragraph" w:styleId="10">
    <w:name w:val="heading 4"/>
    <w:basedOn w:val="1"/>
    <w:next w:val="1"/>
    <w:link w:val="90"/>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91"/>
    <w:qFormat/>
    <w:uiPriority w:val="0"/>
    <w:pPr>
      <w:keepNext/>
      <w:outlineLvl w:val="4"/>
    </w:pPr>
    <w:rPr>
      <w:rFonts w:ascii="宋体" w:hAnsi="Arial"/>
      <w:bCs/>
      <w:sz w:val="28"/>
    </w:rPr>
  </w:style>
  <w:style w:type="paragraph" w:styleId="12">
    <w:name w:val="heading 6"/>
    <w:basedOn w:val="1"/>
    <w:next w:val="1"/>
    <w:link w:val="92"/>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13">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4">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5">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nhideWhenUsed/>
    <w:qFormat/>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20"/>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3">
    <w:name w:val="Body Text"/>
    <w:basedOn w:val="1"/>
    <w:next w:val="1"/>
    <w:link w:val="101"/>
    <w:qFormat/>
    <w:uiPriority w:val="0"/>
    <w:rPr>
      <w:rFonts w:ascii="宋体" w:hAnsi="Arial"/>
      <w:sz w:val="28"/>
    </w:rPr>
  </w:style>
  <w:style w:type="paragraph" w:styleId="4">
    <w:name w:val="Body Text First Indent 2"/>
    <w:basedOn w:val="5"/>
    <w:next w:val="1"/>
    <w:link w:val="121"/>
    <w:qFormat/>
    <w:uiPriority w:val="0"/>
    <w:pPr>
      <w:spacing w:after="120"/>
      <w:ind w:left="420" w:firstLine="210"/>
    </w:pPr>
    <w:rPr>
      <w:rFonts w:ascii="Times New Roman"/>
    </w:rPr>
  </w:style>
  <w:style w:type="paragraph" w:styleId="5">
    <w:name w:val="Body Text Indent"/>
    <w:basedOn w:val="1"/>
    <w:next w:val="6"/>
    <w:link w:val="103"/>
    <w:qFormat/>
    <w:uiPriority w:val="0"/>
    <w:pPr>
      <w:ind w:firstLine="645"/>
    </w:pPr>
    <w:rPr>
      <w:rFonts w:ascii="楷体_GB2312" w:eastAsia="楷体_GB2312"/>
      <w:sz w:val="32"/>
    </w:rPr>
  </w:style>
  <w:style w:type="paragraph" w:styleId="6">
    <w:name w:val="envelope return"/>
    <w:basedOn w:val="1"/>
    <w:qFormat/>
    <w:uiPriority w:val="0"/>
    <w:pPr>
      <w:snapToGrid w:val="0"/>
    </w:pPr>
    <w:rPr>
      <w:rFonts w:ascii="Arial" w:hAnsi="Arial" w:eastAsia="宋体" w:cs="Times New Roman"/>
    </w:rPr>
  </w:style>
  <w:style w:type="paragraph" w:styleId="16">
    <w:name w:val="List 3"/>
    <w:basedOn w:val="1"/>
    <w:qFormat/>
    <w:uiPriority w:val="0"/>
    <w:pPr>
      <w:ind w:left="600" w:leftChars="400" w:hanging="200" w:hangingChars="200"/>
    </w:pPr>
    <w:rPr>
      <w:rFonts w:cs="Droid Sans"/>
      <w:sz w:val="18"/>
    </w:rPr>
  </w:style>
  <w:style w:type="paragraph" w:styleId="17">
    <w:name w:val="toc 7"/>
    <w:basedOn w:val="1"/>
    <w:next w:val="1"/>
    <w:qFormat/>
    <w:uiPriority w:val="39"/>
    <w:pPr>
      <w:ind w:left="1260"/>
      <w:jc w:val="left"/>
    </w:pPr>
    <w:rPr>
      <w:szCs w:val="21"/>
    </w:rPr>
  </w:style>
  <w:style w:type="paragraph" w:styleId="18">
    <w:name w:val="table of authorities"/>
    <w:basedOn w:val="1"/>
    <w:next w:val="1"/>
    <w:qFormat/>
    <w:uiPriority w:val="0"/>
    <w:pPr>
      <w:ind w:left="420" w:leftChars="200"/>
    </w:pPr>
  </w:style>
  <w:style w:type="paragraph" w:styleId="19">
    <w:name w:val="index 8"/>
    <w:basedOn w:val="1"/>
    <w:next w:val="1"/>
    <w:qFormat/>
    <w:uiPriority w:val="0"/>
    <w:pPr>
      <w:ind w:left="1400" w:leftChars="1400"/>
    </w:pPr>
  </w:style>
  <w:style w:type="paragraph" w:styleId="20">
    <w:name w:val="Normal Indent"/>
    <w:basedOn w:val="1"/>
    <w:link w:val="96"/>
    <w:qFormat/>
    <w:uiPriority w:val="0"/>
    <w:pPr>
      <w:autoSpaceDE w:val="0"/>
      <w:autoSpaceDN w:val="0"/>
      <w:adjustRightInd w:val="0"/>
      <w:ind w:firstLine="420"/>
      <w:jc w:val="left"/>
    </w:pPr>
    <w:rPr>
      <w:rFonts w:ascii="宋体"/>
      <w:kern w:val="0"/>
      <w:sz w:val="24"/>
    </w:rPr>
  </w:style>
  <w:style w:type="paragraph" w:styleId="21">
    <w:name w:val="caption"/>
    <w:basedOn w:val="1"/>
    <w:next w:val="1"/>
    <w:link w:val="97"/>
    <w:qFormat/>
    <w:uiPriority w:val="0"/>
    <w:rPr>
      <w:rFonts w:ascii="Cambria" w:hAnsi="Cambria" w:eastAsia="黑体"/>
      <w:sz w:val="20"/>
    </w:rPr>
  </w:style>
  <w:style w:type="paragraph" w:styleId="22">
    <w:name w:val="index 5"/>
    <w:basedOn w:val="1"/>
    <w:next w:val="1"/>
    <w:qFormat/>
    <w:uiPriority w:val="0"/>
    <w:pPr>
      <w:ind w:left="800" w:leftChars="800"/>
    </w:pPr>
  </w:style>
  <w:style w:type="paragraph" w:styleId="23">
    <w:name w:val="List Bullet"/>
    <w:basedOn w:val="20"/>
    <w:qFormat/>
    <w:uiPriority w:val="0"/>
    <w:pPr>
      <w:widowControl/>
      <w:tabs>
        <w:tab w:val="left" w:pos="1440"/>
        <w:tab w:val="left" w:pos="2646"/>
      </w:tabs>
      <w:autoSpaceDE/>
      <w:autoSpaceDN/>
      <w:adjustRightInd/>
      <w:spacing w:after="120"/>
      <w:ind w:left="2646" w:hanging="576"/>
    </w:pPr>
    <w:rPr>
      <w:rFonts w:ascii="Calibri" w:hAnsi="Calibri" w:cs="Droid Sans"/>
      <w:kern w:val="2"/>
    </w:rPr>
  </w:style>
  <w:style w:type="paragraph" w:styleId="24">
    <w:name w:val="Document Map"/>
    <w:basedOn w:val="1"/>
    <w:link w:val="98"/>
    <w:qFormat/>
    <w:uiPriority w:val="0"/>
    <w:pPr>
      <w:shd w:val="clear" w:color="auto" w:fill="000080"/>
    </w:pPr>
  </w:style>
  <w:style w:type="paragraph" w:styleId="25">
    <w:name w:val="toa heading"/>
    <w:basedOn w:val="1"/>
    <w:next w:val="1"/>
    <w:qFormat/>
    <w:uiPriority w:val="0"/>
    <w:pPr>
      <w:spacing w:before="120"/>
    </w:pPr>
    <w:rPr>
      <w:rFonts w:ascii="Arial" w:hAnsi="Arial"/>
      <w:b/>
      <w:bCs/>
      <w:szCs w:val="24"/>
    </w:rPr>
  </w:style>
  <w:style w:type="paragraph" w:styleId="26">
    <w:name w:val="annotation text"/>
    <w:basedOn w:val="1"/>
    <w:link w:val="99"/>
    <w:qFormat/>
    <w:uiPriority w:val="0"/>
    <w:pPr>
      <w:jc w:val="left"/>
    </w:pPr>
  </w:style>
  <w:style w:type="paragraph" w:styleId="27">
    <w:name w:val="index 6"/>
    <w:basedOn w:val="1"/>
    <w:next w:val="1"/>
    <w:qFormat/>
    <w:uiPriority w:val="0"/>
    <w:pPr>
      <w:ind w:left="1000" w:leftChars="1000"/>
    </w:pPr>
  </w:style>
  <w:style w:type="paragraph" w:styleId="28">
    <w:name w:val="Body Text 3"/>
    <w:basedOn w:val="1"/>
    <w:link w:val="100"/>
    <w:qFormat/>
    <w:uiPriority w:val="0"/>
    <w:rPr>
      <w:rFonts w:ascii="黑体" w:hAnsi="Arial" w:eastAsia="黑体"/>
      <w:b/>
      <w:sz w:val="28"/>
    </w:rPr>
  </w:style>
  <w:style w:type="paragraph" w:styleId="29">
    <w:name w:val="List Bullet 3"/>
    <w:basedOn w:val="1"/>
    <w:qFormat/>
    <w:uiPriority w:val="0"/>
    <w:pPr>
      <w:tabs>
        <w:tab w:val="left" w:pos="744"/>
      </w:tabs>
      <w:spacing w:line="360" w:lineRule="auto"/>
      <w:ind w:left="400" w:leftChars="400" w:hanging="200" w:hangingChars="200"/>
      <w:contextualSpacing/>
    </w:pPr>
    <w:rPr>
      <w:rFonts w:ascii="Arial" w:hAnsi="Arial" w:cs="宋体"/>
      <w:sz w:val="24"/>
    </w:rPr>
  </w:style>
  <w:style w:type="paragraph" w:styleId="30">
    <w:name w:val="List 2"/>
    <w:basedOn w:val="1"/>
    <w:qFormat/>
    <w:uiPriority w:val="0"/>
    <w:pPr>
      <w:ind w:left="400" w:leftChars="200" w:hanging="200" w:hangingChars="200"/>
    </w:pPr>
    <w:rPr>
      <w:rFonts w:cs="Droid Sans"/>
      <w:sz w:val="18"/>
    </w:rPr>
  </w:style>
  <w:style w:type="paragraph" w:styleId="31">
    <w:name w:val="List Continue"/>
    <w:basedOn w:val="1"/>
    <w:qFormat/>
    <w:uiPriority w:val="0"/>
    <w:pPr>
      <w:spacing w:after="120"/>
      <w:ind w:left="420"/>
    </w:pPr>
    <w:rPr>
      <w:szCs w:val="24"/>
    </w:rPr>
  </w:style>
  <w:style w:type="paragraph" w:styleId="32">
    <w:name w:val="Block Text"/>
    <w:basedOn w:val="1"/>
    <w:qFormat/>
    <w:uiPriority w:val="0"/>
    <w:pPr>
      <w:adjustRightInd w:val="0"/>
      <w:snapToGrid w:val="0"/>
      <w:spacing w:line="352" w:lineRule="auto"/>
      <w:ind w:left="342" w:leftChars="342" w:right="-38" w:rightChars="-38" w:firstLine="200" w:firstLineChars="200"/>
    </w:pPr>
    <w:rPr>
      <w:rFonts w:ascii="Calibri" w:hAnsi="Calibri" w:cs="Droid Sans"/>
      <w:sz w:val="24"/>
    </w:rPr>
  </w:style>
  <w:style w:type="paragraph" w:styleId="33">
    <w:name w:val="List Bullet 2"/>
    <w:basedOn w:val="1"/>
    <w:qFormat/>
    <w:uiPriority w:val="0"/>
    <w:pPr>
      <w:spacing w:line="312" w:lineRule="auto"/>
    </w:pPr>
    <w:rPr>
      <w:szCs w:val="21"/>
    </w:rPr>
  </w:style>
  <w:style w:type="paragraph" w:styleId="34">
    <w:name w:val="index 4"/>
    <w:basedOn w:val="1"/>
    <w:next w:val="1"/>
    <w:qFormat/>
    <w:uiPriority w:val="0"/>
    <w:pPr>
      <w:ind w:left="600" w:leftChars="600"/>
    </w:pPr>
  </w:style>
  <w:style w:type="paragraph" w:styleId="35">
    <w:name w:val="toc 5"/>
    <w:basedOn w:val="1"/>
    <w:next w:val="1"/>
    <w:qFormat/>
    <w:uiPriority w:val="39"/>
    <w:pPr>
      <w:ind w:left="840"/>
      <w:jc w:val="left"/>
    </w:pPr>
    <w:rPr>
      <w:szCs w:val="21"/>
    </w:rPr>
  </w:style>
  <w:style w:type="paragraph" w:styleId="36">
    <w:name w:val="toc 3"/>
    <w:basedOn w:val="1"/>
    <w:next w:val="1"/>
    <w:link w:val="104"/>
    <w:qFormat/>
    <w:uiPriority w:val="0"/>
    <w:pPr>
      <w:ind w:left="420"/>
      <w:jc w:val="left"/>
    </w:pPr>
    <w:rPr>
      <w:i/>
      <w:iCs/>
      <w:szCs w:val="24"/>
    </w:rPr>
  </w:style>
  <w:style w:type="paragraph" w:styleId="37">
    <w:name w:val="Plain Text"/>
    <w:basedOn w:val="1"/>
    <w:link w:val="105"/>
    <w:qFormat/>
    <w:uiPriority w:val="0"/>
    <w:rPr>
      <w:rFonts w:ascii="宋体" w:hAnsi="Courier New"/>
    </w:rPr>
  </w:style>
  <w:style w:type="paragraph" w:styleId="38">
    <w:name w:val="toc 8"/>
    <w:basedOn w:val="1"/>
    <w:next w:val="1"/>
    <w:qFormat/>
    <w:uiPriority w:val="39"/>
    <w:pPr>
      <w:ind w:left="1470"/>
      <w:jc w:val="left"/>
    </w:pPr>
    <w:rPr>
      <w:szCs w:val="21"/>
    </w:rPr>
  </w:style>
  <w:style w:type="paragraph" w:styleId="39">
    <w:name w:val="index 3"/>
    <w:basedOn w:val="1"/>
    <w:next w:val="1"/>
    <w:qFormat/>
    <w:uiPriority w:val="0"/>
    <w:pPr>
      <w:ind w:left="400" w:leftChars="400"/>
    </w:pPr>
  </w:style>
  <w:style w:type="paragraph" w:styleId="40">
    <w:name w:val="Date"/>
    <w:basedOn w:val="1"/>
    <w:next w:val="1"/>
    <w:link w:val="106"/>
    <w:qFormat/>
    <w:uiPriority w:val="0"/>
    <w:rPr>
      <w:b/>
      <w:sz w:val="28"/>
    </w:rPr>
  </w:style>
  <w:style w:type="paragraph" w:styleId="41">
    <w:name w:val="Body Text Indent 2"/>
    <w:basedOn w:val="1"/>
    <w:link w:val="107"/>
    <w:qFormat/>
    <w:uiPriority w:val="0"/>
    <w:pPr>
      <w:ind w:left="630" w:firstLine="645"/>
    </w:pPr>
    <w:rPr>
      <w:rFonts w:ascii="Arial" w:hAnsi="Arial" w:eastAsia="仿宋_GB2312"/>
      <w:sz w:val="32"/>
    </w:rPr>
  </w:style>
  <w:style w:type="paragraph" w:styleId="42">
    <w:name w:val="Balloon Text"/>
    <w:basedOn w:val="1"/>
    <w:link w:val="108"/>
    <w:qFormat/>
    <w:uiPriority w:val="0"/>
    <w:rPr>
      <w:sz w:val="18"/>
      <w:szCs w:val="18"/>
    </w:rPr>
  </w:style>
  <w:style w:type="paragraph" w:styleId="43">
    <w:name w:val="footer"/>
    <w:basedOn w:val="1"/>
    <w:link w:val="109"/>
    <w:qFormat/>
    <w:uiPriority w:val="0"/>
    <w:pPr>
      <w:tabs>
        <w:tab w:val="center" w:pos="4153"/>
        <w:tab w:val="right" w:pos="8306"/>
      </w:tabs>
      <w:snapToGrid w:val="0"/>
      <w:jc w:val="left"/>
    </w:pPr>
    <w:rPr>
      <w:sz w:val="18"/>
    </w:rPr>
  </w:style>
  <w:style w:type="paragraph" w:styleId="44">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45">
    <w:name w:val="Signature"/>
    <w:basedOn w:val="1"/>
    <w:link w:val="111"/>
    <w:qFormat/>
    <w:uiPriority w:val="0"/>
    <w:pPr>
      <w:ind w:left="2100" w:leftChars="2100"/>
    </w:pPr>
    <w:rPr>
      <w:sz w:val="18"/>
    </w:rPr>
  </w:style>
  <w:style w:type="paragraph" w:styleId="46">
    <w:name w:val="toc 1"/>
    <w:basedOn w:val="1"/>
    <w:next w:val="1"/>
    <w:qFormat/>
    <w:uiPriority w:val="39"/>
    <w:pPr>
      <w:spacing w:before="120" w:after="120"/>
      <w:jc w:val="left"/>
    </w:pPr>
    <w:rPr>
      <w:caps/>
      <w:szCs w:val="24"/>
    </w:rPr>
  </w:style>
  <w:style w:type="paragraph" w:styleId="47">
    <w:name w:val="toc 4"/>
    <w:basedOn w:val="1"/>
    <w:next w:val="1"/>
    <w:qFormat/>
    <w:uiPriority w:val="39"/>
    <w:pPr>
      <w:ind w:left="630"/>
      <w:jc w:val="left"/>
    </w:pPr>
    <w:rPr>
      <w:szCs w:val="21"/>
    </w:rPr>
  </w:style>
  <w:style w:type="paragraph" w:styleId="48">
    <w:name w:val="index heading"/>
    <w:basedOn w:val="1"/>
    <w:next w:val="49"/>
    <w:qFormat/>
    <w:uiPriority w:val="0"/>
  </w:style>
  <w:style w:type="paragraph" w:styleId="49">
    <w:name w:val="index 1"/>
    <w:basedOn w:val="1"/>
    <w:next w:val="1"/>
    <w:qFormat/>
    <w:uiPriority w:val="0"/>
    <w:pPr>
      <w:jc w:val="center"/>
    </w:pPr>
    <w:rPr>
      <w:rFonts w:ascii="仿宋_GB2312" w:eastAsia="仿宋_GB2312"/>
      <w:b/>
      <w:bCs/>
      <w:sz w:val="28"/>
    </w:rPr>
  </w:style>
  <w:style w:type="paragraph" w:styleId="50">
    <w:name w:val="Subtitle"/>
    <w:basedOn w:val="1"/>
    <w:next w:val="1"/>
    <w:link w:val="112"/>
    <w:qFormat/>
    <w:uiPriority w:val="99"/>
    <w:pPr>
      <w:spacing w:before="240" w:after="60" w:line="312" w:lineRule="auto"/>
      <w:jc w:val="center"/>
      <w:outlineLvl w:val="1"/>
    </w:pPr>
    <w:rPr>
      <w:rFonts w:ascii="Cambria" w:hAnsi="Cambria"/>
      <w:b/>
      <w:bCs/>
      <w:kern w:val="28"/>
      <w:sz w:val="32"/>
      <w:szCs w:val="32"/>
    </w:rPr>
  </w:style>
  <w:style w:type="paragraph" w:styleId="51">
    <w:name w:val="List"/>
    <w:basedOn w:val="1"/>
    <w:qFormat/>
    <w:uiPriority w:val="0"/>
    <w:pPr>
      <w:ind w:left="200" w:hanging="200" w:hangingChars="200"/>
      <w:contextualSpacing/>
    </w:pPr>
    <w:rPr>
      <w:szCs w:val="24"/>
    </w:rPr>
  </w:style>
  <w:style w:type="paragraph" w:styleId="52">
    <w:name w:val="footnote text"/>
    <w:basedOn w:val="1"/>
    <w:link w:val="113"/>
    <w:qFormat/>
    <w:uiPriority w:val="99"/>
    <w:pPr>
      <w:snapToGrid w:val="0"/>
      <w:jc w:val="left"/>
    </w:pPr>
    <w:rPr>
      <w:sz w:val="18"/>
      <w:szCs w:val="18"/>
    </w:rPr>
  </w:style>
  <w:style w:type="paragraph" w:styleId="53">
    <w:name w:val="toc 6"/>
    <w:basedOn w:val="1"/>
    <w:next w:val="1"/>
    <w:qFormat/>
    <w:uiPriority w:val="39"/>
    <w:pPr>
      <w:ind w:left="1050"/>
      <w:jc w:val="left"/>
    </w:pPr>
    <w:rPr>
      <w:szCs w:val="21"/>
    </w:rPr>
  </w:style>
  <w:style w:type="paragraph" w:styleId="54">
    <w:name w:val="List 5"/>
    <w:basedOn w:val="1"/>
    <w:qFormat/>
    <w:uiPriority w:val="0"/>
    <w:pPr>
      <w:ind w:left="2100" w:hanging="420"/>
    </w:pPr>
    <w:rPr>
      <w:szCs w:val="24"/>
    </w:rPr>
  </w:style>
  <w:style w:type="paragraph" w:styleId="55">
    <w:name w:val="Body Text Indent 3"/>
    <w:basedOn w:val="1"/>
    <w:link w:val="114"/>
    <w:qFormat/>
    <w:uiPriority w:val="0"/>
    <w:pPr>
      <w:ind w:firstLine="645"/>
    </w:pPr>
    <w:rPr>
      <w:rFonts w:ascii="仿宋_GB2312" w:hAnsi="Arial" w:eastAsia="仿宋_GB2312"/>
      <w:color w:val="000000"/>
      <w:sz w:val="30"/>
    </w:rPr>
  </w:style>
  <w:style w:type="paragraph" w:styleId="56">
    <w:name w:val="index 7"/>
    <w:basedOn w:val="1"/>
    <w:next w:val="1"/>
    <w:qFormat/>
    <w:uiPriority w:val="0"/>
    <w:pPr>
      <w:ind w:left="1200" w:leftChars="1200"/>
    </w:pPr>
  </w:style>
  <w:style w:type="paragraph" w:styleId="57">
    <w:name w:val="index 9"/>
    <w:basedOn w:val="1"/>
    <w:next w:val="1"/>
    <w:qFormat/>
    <w:uiPriority w:val="0"/>
    <w:pPr>
      <w:ind w:left="1600" w:leftChars="1600"/>
    </w:pPr>
  </w:style>
  <w:style w:type="paragraph" w:styleId="58">
    <w:name w:val="table of figures"/>
    <w:basedOn w:val="1"/>
    <w:next w:val="1"/>
    <w:qFormat/>
    <w:uiPriority w:val="0"/>
    <w:pPr>
      <w:spacing w:line="360" w:lineRule="auto"/>
      <w:ind w:left="840" w:leftChars="200" w:hanging="420" w:hangingChars="200"/>
    </w:pPr>
    <w:rPr>
      <w:rFonts w:ascii="Arial" w:hAnsi="Arial" w:cs="宋体"/>
      <w:sz w:val="24"/>
    </w:rPr>
  </w:style>
  <w:style w:type="paragraph" w:styleId="59">
    <w:name w:val="toc 2"/>
    <w:basedOn w:val="1"/>
    <w:next w:val="1"/>
    <w:qFormat/>
    <w:uiPriority w:val="39"/>
    <w:pPr>
      <w:ind w:left="210"/>
      <w:jc w:val="left"/>
    </w:pPr>
    <w:rPr>
      <w:smallCaps/>
      <w:sz w:val="28"/>
      <w:szCs w:val="24"/>
    </w:rPr>
  </w:style>
  <w:style w:type="paragraph" w:styleId="60">
    <w:name w:val="toc 9"/>
    <w:basedOn w:val="1"/>
    <w:next w:val="1"/>
    <w:qFormat/>
    <w:uiPriority w:val="39"/>
    <w:pPr>
      <w:ind w:left="1680"/>
      <w:jc w:val="left"/>
    </w:pPr>
    <w:rPr>
      <w:szCs w:val="21"/>
    </w:rPr>
  </w:style>
  <w:style w:type="paragraph" w:styleId="61">
    <w:name w:val="Body Text 2"/>
    <w:basedOn w:val="1"/>
    <w:link w:val="115"/>
    <w:qFormat/>
    <w:uiPriority w:val="0"/>
    <w:rPr>
      <w:rFonts w:ascii="仿宋_GB2312" w:eastAsia="仿宋_GB2312"/>
      <w:b/>
      <w:sz w:val="24"/>
    </w:rPr>
  </w:style>
  <w:style w:type="paragraph" w:styleId="62">
    <w:name w:val="List 4"/>
    <w:basedOn w:val="1"/>
    <w:qFormat/>
    <w:uiPriority w:val="0"/>
    <w:pPr>
      <w:ind w:left="1680" w:hanging="420"/>
    </w:pPr>
    <w:rPr>
      <w:szCs w:val="24"/>
    </w:rPr>
  </w:style>
  <w:style w:type="paragraph" w:styleId="63">
    <w:name w:val="List Continue 2"/>
    <w:basedOn w:val="1"/>
    <w:qFormat/>
    <w:uiPriority w:val="0"/>
    <w:pPr>
      <w:spacing w:after="120"/>
      <w:ind w:left="400" w:leftChars="400"/>
    </w:pPr>
    <w:rPr>
      <w:rFonts w:cs="Droid Sans"/>
      <w:sz w:val="18"/>
    </w:rPr>
  </w:style>
  <w:style w:type="paragraph" w:styleId="64">
    <w:name w:val="Message Header"/>
    <w:basedOn w:val="1"/>
    <w:link w:val="11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65">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67">
    <w:name w:val="List Continue 3"/>
    <w:basedOn w:val="1"/>
    <w:qFormat/>
    <w:uiPriority w:val="0"/>
    <w:pPr>
      <w:spacing w:after="120"/>
      <w:ind w:left="600" w:leftChars="600"/>
    </w:pPr>
    <w:rPr>
      <w:rFonts w:cs="Droid Sans"/>
      <w:sz w:val="18"/>
    </w:rPr>
  </w:style>
  <w:style w:type="paragraph" w:styleId="68">
    <w:name w:val="index 2"/>
    <w:basedOn w:val="1"/>
    <w:next w:val="1"/>
    <w:qFormat/>
    <w:uiPriority w:val="0"/>
    <w:pPr>
      <w:ind w:left="200" w:leftChars="200"/>
    </w:pPr>
  </w:style>
  <w:style w:type="paragraph" w:styleId="69">
    <w:name w:val="Title"/>
    <w:basedOn w:val="7"/>
    <w:link w:val="118"/>
    <w:qFormat/>
    <w:uiPriority w:val="0"/>
    <w:pPr>
      <w:spacing w:before="120" w:after="120" w:line="360" w:lineRule="auto"/>
      <w:jc w:val="center"/>
    </w:pPr>
    <w:rPr>
      <w:rFonts w:ascii="宋体" w:hAnsi="宋体"/>
      <w:bCs w:val="0"/>
      <w:sz w:val="32"/>
      <w:szCs w:val="20"/>
    </w:rPr>
  </w:style>
  <w:style w:type="paragraph" w:styleId="70">
    <w:name w:val="annotation subject"/>
    <w:basedOn w:val="26"/>
    <w:next w:val="26"/>
    <w:link w:val="119"/>
    <w:qFormat/>
    <w:uiPriority w:val="99"/>
    <w:rPr>
      <w:b/>
      <w:bCs/>
      <w:szCs w:val="24"/>
    </w:rPr>
  </w:style>
  <w:style w:type="table" w:styleId="72">
    <w:name w:val="Table Grid"/>
    <w:basedOn w:val="7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4">
    <w:name w:val="Strong"/>
    <w:qFormat/>
    <w:uiPriority w:val="22"/>
    <w:rPr>
      <w:b/>
      <w:bCs/>
    </w:rPr>
  </w:style>
  <w:style w:type="character" w:styleId="75">
    <w:name w:val="page number"/>
    <w:basedOn w:val="73"/>
    <w:qFormat/>
    <w:uiPriority w:val="0"/>
  </w:style>
  <w:style w:type="character" w:styleId="76">
    <w:name w:val="FollowedHyperlink"/>
    <w:qFormat/>
    <w:uiPriority w:val="0"/>
    <w:rPr>
      <w:color w:val="333333"/>
      <w:u w:val="none"/>
    </w:rPr>
  </w:style>
  <w:style w:type="character" w:styleId="77">
    <w:name w:val="Emphasis"/>
    <w:qFormat/>
    <w:uiPriority w:val="20"/>
    <w:rPr>
      <w:color w:val="CC0033"/>
    </w:rPr>
  </w:style>
  <w:style w:type="character" w:styleId="78">
    <w:name w:val="Hyperlink"/>
    <w:qFormat/>
    <w:uiPriority w:val="99"/>
    <w:rPr>
      <w:color w:val="333333"/>
      <w:u w:val="none"/>
    </w:rPr>
  </w:style>
  <w:style w:type="character" w:styleId="79">
    <w:name w:val="annotation reference"/>
    <w:qFormat/>
    <w:uiPriority w:val="99"/>
    <w:rPr>
      <w:sz w:val="21"/>
    </w:rPr>
  </w:style>
  <w:style w:type="paragraph" w:customStyle="1" w:styleId="80">
    <w:name w:val="BodyText1I"/>
    <w:basedOn w:val="81"/>
    <w:qFormat/>
    <w:uiPriority w:val="99"/>
    <w:pPr>
      <w:ind w:firstLine="420" w:firstLineChars="100"/>
    </w:pPr>
  </w:style>
  <w:style w:type="paragraph" w:customStyle="1" w:styleId="81">
    <w:name w:val="BodyText"/>
    <w:basedOn w:val="1"/>
    <w:qFormat/>
    <w:uiPriority w:val="99"/>
    <w:pPr>
      <w:spacing w:after="120"/>
    </w:pPr>
  </w:style>
  <w:style w:type="paragraph" w:customStyle="1" w:styleId="82">
    <w:name w:val="Default"/>
    <w:link w:val="10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样式 正文文本缩进 + 左  0 字符"/>
    <w:basedOn w:val="1"/>
    <w:qFormat/>
    <w:uiPriority w:val="0"/>
    <w:pPr>
      <w:ind w:firstLine="250" w:firstLineChars="250"/>
    </w:pPr>
    <w:rPr>
      <w:rFonts w:cs="宋体"/>
      <w:szCs w:val="20"/>
    </w:rPr>
  </w:style>
  <w:style w:type="paragraph" w:customStyle="1" w:styleId="8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85">
    <w:name w:val="style4"/>
    <w:basedOn w:val="1"/>
    <w:next w:val="86"/>
    <w:qFormat/>
    <w:uiPriority w:val="0"/>
    <w:pPr>
      <w:widowControl/>
      <w:spacing w:before="280" w:after="280"/>
    </w:pPr>
    <w:rPr>
      <w:sz w:val="18"/>
    </w:rPr>
  </w:style>
  <w:style w:type="paragraph" w:customStyle="1" w:styleId="8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87">
    <w:name w:val="标题 1 Char"/>
    <w:link w:val="7"/>
    <w:qFormat/>
    <w:uiPriority w:val="0"/>
    <w:rPr>
      <w:b/>
      <w:bCs/>
      <w:kern w:val="44"/>
      <w:sz w:val="30"/>
      <w:szCs w:val="44"/>
    </w:rPr>
  </w:style>
  <w:style w:type="character" w:customStyle="1" w:styleId="88">
    <w:name w:val="标题 2 Char"/>
    <w:link w:val="8"/>
    <w:qFormat/>
    <w:uiPriority w:val="9"/>
    <w:rPr>
      <w:rFonts w:ascii="Arial" w:hAnsi="Arial" w:eastAsia="黑体"/>
      <w:b/>
      <w:bCs/>
      <w:kern w:val="2"/>
      <w:sz w:val="32"/>
      <w:szCs w:val="32"/>
    </w:rPr>
  </w:style>
  <w:style w:type="character" w:customStyle="1" w:styleId="89">
    <w:name w:val="标题 3 Char1"/>
    <w:link w:val="9"/>
    <w:qFormat/>
    <w:uiPriority w:val="0"/>
    <w:rPr>
      <w:rFonts w:ascii="宋体"/>
      <w:b/>
      <w:bCs/>
      <w:kern w:val="2"/>
      <w:sz w:val="32"/>
      <w:szCs w:val="32"/>
    </w:rPr>
  </w:style>
  <w:style w:type="character" w:customStyle="1" w:styleId="90">
    <w:name w:val="标题 4 Char"/>
    <w:link w:val="10"/>
    <w:qFormat/>
    <w:uiPriority w:val="0"/>
    <w:rPr>
      <w:rFonts w:ascii="Arial" w:hAnsi="Arial" w:eastAsia="黑体"/>
      <w:b/>
      <w:bCs/>
      <w:kern w:val="2"/>
      <w:sz w:val="28"/>
      <w:szCs w:val="28"/>
    </w:rPr>
  </w:style>
  <w:style w:type="character" w:customStyle="1" w:styleId="91">
    <w:name w:val="标题 5 Char"/>
    <w:link w:val="11"/>
    <w:qFormat/>
    <w:uiPriority w:val="0"/>
    <w:rPr>
      <w:rFonts w:ascii="宋体" w:hAnsi="Arial"/>
      <w:bCs/>
      <w:kern w:val="2"/>
      <w:sz w:val="28"/>
    </w:rPr>
  </w:style>
  <w:style w:type="character" w:customStyle="1" w:styleId="92">
    <w:name w:val="标题 6 Char"/>
    <w:link w:val="12"/>
    <w:qFormat/>
    <w:uiPriority w:val="0"/>
    <w:rPr>
      <w:rFonts w:ascii="宋体" w:hAnsi="宋体"/>
      <w:sz w:val="28"/>
    </w:rPr>
  </w:style>
  <w:style w:type="character" w:customStyle="1" w:styleId="93">
    <w:name w:val="标题 7 Char"/>
    <w:link w:val="13"/>
    <w:qFormat/>
    <w:uiPriority w:val="0"/>
    <w:rPr>
      <w:rFonts w:ascii="Arial" w:hAnsi="Arial" w:eastAsia="仿宋_GB2312" w:cs="Arial"/>
      <w:b/>
      <w:bCs/>
      <w:spacing w:val="-4"/>
      <w:kern w:val="2"/>
      <w:sz w:val="24"/>
      <w:szCs w:val="24"/>
    </w:rPr>
  </w:style>
  <w:style w:type="character" w:customStyle="1" w:styleId="94">
    <w:name w:val="标题 8 Char"/>
    <w:link w:val="14"/>
    <w:qFormat/>
    <w:uiPriority w:val="0"/>
    <w:rPr>
      <w:rFonts w:ascii="Arial" w:hAnsi="Arial" w:eastAsia="黑体"/>
      <w:kern w:val="2"/>
      <w:sz w:val="24"/>
      <w:szCs w:val="24"/>
    </w:rPr>
  </w:style>
  <w:style w:type="character" w:customStyle="1" w:styleId="95">
    <w:name w:val="标题 9 Char"/>
    <w:link w:val="15"/>
    <w:qFormat/>
    <w:uiPriority w:val="0"/>
    <w:rPr>
      <w:rFonts w:ascii="Arial" w:hAnsi="Arial" w:eastAsia="黑体"/>
      <w:kern w:val="2"/>
      <w:sz w:val="21"/>
      <w:szCs w:val="21"/>
    </w:rPr>
  </w:style>
  <w:style w:type="character" w:customStyle="1" w:styleId="96">
    <w:name w:val="正文缩进 Char"/>
    <w:link w:val="20"/>
    <w:qFormat/>
    <w:uiPriority w:val="0"/>
    <w:rPr>
      <w:rFonts w:ascii="宋体"/>
      <w:sz w:val="24"/>
    </w:rPr>
  </w:style>
  <w:style w:type="character" w:customStyle="1" w:styleId="97">
    <w:name w:val="题注 Char"/>
    <w:link w:val="21"/>
    <w:qFormat/>
    <w:locked/>
    <w:uiPriority w:val="0"/>
    <w:rPr>
      <w:rFonts w:ascii="Cambria" w:hAnsi="Cambria" w:eastAsia="黑体"/>
      <w:kern w:val="2"/>
      <w:lang w:val="en-US" w:eastAsia="zh-CN" w:bidi="ar-SA"/>
    </w:rPr>
  </w:style>
  <w:style w:type="character" w:customStyle="1" w:styleId="98">
    <w:name w:val="文档结构图 Char"/>
    <w:link w:val="24"/>
    <w:qFormat/>
    <w:uiPriority w:val="0"/>
    <w:rPr>
      <w:kern w:val="2"/>
      <w:sz w:val="21"/>
      <w:shd w:val="clear" w:color="auto" w:fill="000080"/>
    </w:rPr>
  </w:style>
  <w:style w:type="character" w:customStyle="1" w:styleId="99">
    <w:name w:val="批注文字 Char"/>
    <w:link w:val="26"/>
    <w:qFormat/>
    <w:uiPriority w:val="0"/>
    <w:rPr>
      <w:kern w:val="2"/>
      <w:sz w:val="21"/>
    </w:rPr>
  </w:style>
  <w:style w:type="character" w:customStyle="1" w:styleId="100">
    <w:name w:val="正文文本 3 Char"/>
    <w:link w:val="28"/>
    <w:qFormat/>
    <w:uiPriority w:val="0"/>
    <w:rPr>
      <w:rFonts w:ascii="黑体" w:hAnsi="Arial" w:eastAsia="黑体"/>
      <w:b/>
      <w:kern w:val="2"/>
      <w:sz w:val="28"/>
      <w:lang w:val="en-US" w:eastAsia="zh-CN" w:bidi="ar-SA"/>
    </w:rPr>
  </w:style>
  <w:style w:type="character" w:customStyle="1" w:styleId="101">
    <w:name w:val="正文文本 Char4"/>
    <w:link w:val="3"/>
    <w:qFormat/>
    <w:uiPriority w:val="0"/>
    <w:rPr>
      <w:rFonts w:ascii="宋体" w:hAnsi="Arial"/>
      <w:kern w:val="2"/>
      <w:sz w:val="28"/>
    </w:rPr>
  </w:style>
  <w:style w:type="character" w:customStyle="1" w:styleId="102">
    <w:name w:val="Default Char"/>
    <w:link w:val="82"/>
    <w:qFormat/>
    <w:locked/>
    <w:uiPriority w:val="99"/>
    <w:rPr>
      <w:rFonts w:ascii="宋体" w:cs="宋体"/>
      <w:color w:val="000000"/>
      <w:sz w:val="24"/>
      <w:szCs w:val="24"/>
      <w:lang w:val="en-US" w:eastAsia="zh-CN" w:bidi="ar-SA"/>
    </w:rPr>
  </w:style>
  <w:style w:type="character" w:customStyle="1" w:styleId="103">
    <w:name w:val="正文文本缩进 Char3"/>
    <w:link w:val="5"/>
    <w:qFormat/>
    <w:uiPriority w:val="0"/>
    <w:rPr>
      <w:rFonts w:ascii="楷体_GB2312" w:eastAsia="楷体_GB2312"/>
      <w:kern w:val="2"/>
      <w:sz w:val="32"/>
    </w:rPr>
  </w:style>
  <w:style w:type="character" w:customStyle="1" w:styleId="104">
    <w:name w:val="目录 3 Char"/>
    <w:link w:val="36"/>
    <w:qFormat/>
    <w:locked/>
    <w:uiPriority w:val="0"/>
    <w:rPr>
      <w:rFonts w:eastAsia="宋体"/>
      <w:i/>
      <w:iCs/>
      <w:kern w:val="2"/>
      <w:sz w:val="21"/>
      <w:szCs w:val="24"/>
      <w:lang w:val="en-US" w:eastAsia="zh-CN" w:bidi="ar-SA"/>
    </w:rPr>
  </w:style>
  <w:style w:type="character" w:customStyle="1" w:styleId="105">
    <w:name w:val="纯文本 Char4"/>
    <w:link w:val="37"/>
    <w:qFormat/>
    <w:uiPriority w:val="0"/>
    <w:rPr>
      <w:rFonts w:ascii="宋体" w:hAnsi="Courier New"/>
      <w:kern w:val="2"/>
      <w:sz w:val="21"/>
    </w:rPr>
  </w:style>
  <w:style w:type="character" w:customStyle="1" w:styleId="106">
    <w:name w:val="日期 Char"/>
    <w:link w:val="40"/>
    <w:qFormat/>
    <w:uiPriority w:val="0"/>
    <w:rPr>
      <w:b/>
      <w:kern w:val="2"/>
      <w:sz w:val="28"/>
    </w:rPr>
  </w:style>
  <w:style w:type="character" w:customStyle="1" w:styleId="107">
    <w:name w:val="正文文本缩进 2 Char"/>
    <w:link w:val="41"/>
    <w:qFormat/>
    <w:uiPriority w:val="0"/>
    <w:rPr>
      <w:rFonts w:ascii="Arial" w:hAnsi="Arial" w:eastAsia="仿宋_GB2312"/>
      <w:kern w:val="2"/>
      <w:sz w:val="32"/>
    </w:rPr>
  </w:style>
  <w:style w:type="character" w:customStyle="1" w:styleId="108">
    <w:name w:val="批注框文本 Char4"/>
    <w:link w:val="42"/>
    <w:qFormat/>
    <w:uiPriority w:val="0"/>
    <w:rPr>
      <w:kern w:val="2"/>
      <w:sz w:val="18"/>
      <w:szCs w:val="18"/>
    </w:rPr>
  </w:style>
  <w:style w:type="character" w:customStyle="1" w:styleId="109">
    <w:name w:val="页脚 Char2"/>
    <w:link w:val="43"/>
    <w:qFormat/>
    <w:uiPriority w:val="0"/>
    <w:rPr>
      <w:kern w:val="2"/>
      <w:sz w:val="18"/>
    </w:rPr>
  </w:style>
  <w:style w:type="character" w:customStyle="1" w:styleId="110">
    <w:name w:val="页眉 Char2"/>
    <w:link w:val="44"/>
    <w:qFormat/>
    <w:uiPriority w:val="0"/>
    <w:rPr>
      <w:kern w:val="2"/>
      <w:sz w:val="18"/>
    </w:rPr>
  </w:style>
  <w:style w:type="character" w:customStyle="1" w:styleId="111">
    <w:name w:val="签名 Char"/>
    <w:link w:val="45"/>
    <w:qFormat/>
    <w:uiPriority w:val="0"/>
    <w:rPr>
      <w:rFonts w:cs="Droid Sans"/>
      <w:kern w:val="2"/>
      <w:sz w:val="18"/>
    </w:rPr>
  </w:style>
  <w:style w:type="character" w:customStyle="1" w:styleId="112">
    <w:name w:val="副标题 Char"/>
    <w:link w:val="50"/>
    <w:qFormat/>
    <w:uiPriority w:val="99"/>
    <w:rPr>
      <w:rFonts w:ascii="Cambria" w:hAnsi="Cambria"/>
      <w:b/>
      <w:bCs/>
      <w:kern w:val="28"/>
      <w:sz w:val="32"/>
      <w:szCs w:val="32"/>
    </w:rPr>
  </w:style>
  <w:style w:type="character" w:customStyle="1" w:styleId="113">
    <w:name w:val="脚注文本 Char"/>
    <w:link w:val="52"/>
    <w:qFormat/>
    <w:uiPriority w:val="99"/>
    <w:rPr>
      <w:kern w:val="2"/>
      <w:sz w:val="18"/>
      <w:szCs w:val="18"/>
    </w:rPr>
  </w:style>
  <w:style w:type="character" w:customStyle="1" w:styleId="114">
    <w:name w:val="正文文本缩进 3 Char"/>
    <w:link w:val="55"/>
    <w:qFormat/>
    <w:uiPriority w:val="0"/>
    <w:rPr>
      <w:rFonts w:ascii="仿宋_GB2312" w:hAnsi="Arial" w:eastAsia="仿宋_GB2312"/>
      <w:color w:val="000000"/>
      <w:kern w:val="2"/>
      <w:sz w:val="30"/>
      <w:lang w:val="en-US" w:eastAsia="zh-CN" w:bidi="ar-SA"/>
    </w:rPr>
  </w:style>
  <w:style w:type="character" w:customStyle="1" w:styleId="115">
    <w:name w:val="正文文本 2 Char"/>
    <w:link w:val="61"/>
    <w:qFormat/>
    <w:uiPriority w:val="0"/>
    <w:rPr>
      <w:rFonts w:ascii="仿宋_GB2312" w:eastAsia="仿宋_GB2312"/>
      <w:b/>
      <w:kern w:val="2"/>
      <w:sz w:val="24"/>
      <w:lang w:val="en-US" w:eastAsia="zh-CN" w:bidi="ar-SA"/>
    </w:rPr>
  </w:style>
  <w:style w:type="character" w:customStyle="1" w:styleId="116">
    <w:name w:val="信息标题 Char"/>
    <w:link w:val="64"/>
    <w:qFormat/>
    <w:uiPriority w:val="99"/>
    <w:rPr>
      <w:rFonts w:ascii="Cambria" w:hAnsi="Cambria" w:cs="Cambria"/>
      <w:kern w:val="2"/>
      <w:sz w:val="24"/>
      <w:szCs w:val="24"/>
      <w:shd w:val="pct20" w:color="auto" w:fill="auto"/>
    </w:rPr>
  </w:style>
  <w:style w:type="character" w:customStyle="1" w:styleId="117">
    <w:name w:val="HTML 预设格式 Char"/>
    <w:link w:val="65"/>
    <w:qFormat/>
    <w:uiPriority w:val="0"/>
    <w:rPr>
      <w:rFonts w:ascii="宋体" w:hAnsi="宋体" w:cs="宋体"/>
      <w:sz w:val="24"/>
      <w:szCs w:val="24"/>
    </w:rPr>
  </w:style>
  <w:style w:type="character" w:customStyle="1" w:styleId="118">
    <w:name w:val="标题 Char"/>
    <w:link w:val="69"/>
    <w:qFormat/>
    <w:uiPriority w:val="0"/>
    <w:rPr>
      <w:rFonts w:ascii="宋体" w:hAnsi="宋体"/>
      <w:b/>
      <w:kern w:val="44"/>
      <w:sz w:val="32"/>
    </w:rPr>
  </w:style>
  <w:style w:type="character" w:customStyle="1" w:styleId="119">
    <w:name w:val="批注主题 Char"/>
    <w:link w:val="70"/>
    <w:qFormat/>
    <w:uiPriority w:val="99"/>
    <w:rPr>
      <w:b/>
      <w:bCs/>
      <w:kern w:val="2"/>
      <w:sz w:val="21"/>
      <w:szCs w:val="24"/>
    </w:rPr>
  </w:style>
  <w:style w:type="character" w:customStyle="1" w:styleId="120">
    <w:name w:val="正文首行缩进 Char2"/>
    <w:link w:val="2"/>
    <w:qFormat/>
    <w:uiPriority w:val="0"/>
    <w:rPr>
      <w:rFonts w:ascii="Arial" w:hAnsi="Arial" w:eastAsia="仿宋_GB2312" w:cs="Arial"/>
      <w:sz w:val="24"/>
      <w:szCs w:val="32"/>
    </w:rPr>
  </w:style>
  <w:style w:type="character" w:customStyle="1" w:styleId="121">
    <w:name w:val="正文首行缩进 2 Char2"/>
    <w:basedOn w:val="103"/>
    <w:link w:val="4"/>
    <w:qFormat/>
    <w:uiPriority w:val="0"/>
    <w:rPr>
      <w:rFonts w:ascii="楷体_GB2312" w:eastAsia="楷体_GB2312"/>
      <w:kern w:val="2"/>
      <w:sz w:val="32"/>
    </w:rPr>
  </w:style>
  <w:style w:type="character" w:customStyle="1" w:styleId="122">
    <w:name w:val="正文缩进 Char Char"/>
    <w:qFormat/>
    <w:uiPriority w:val="0"/>
    <w:rPr>
      <w:rFonts w:eastAsia="宋体"/>
      <w:kern w:val="2"/>
      <w:sz w:val="21"/>
      <w:lang w:val="en-US" w:eastAsia="zh-CN" w:bidi="ar-SA"/>
    </w:rPr>
  </w:style>
  <w:style w:type="character" w:customStyle="1" w:styleId="123">
    <w:name w:val="纯文本 Char"/>
    <w:qFormat/>
    <w:uiPriority w:val="99"/>
    <w:rPr>
      <w:rFonts w:ascii="宋体" w:hAnsi="Courier New" w:eastAsia="宋体" w:cs="Courier New"/>
      <w:sz w:val="21"/>
      <w:szCs w:val="21"/>
    </w:rPr>
  </w:style>
  <w:style w:type="character" w:customStyle="1" w:styleId="124">
    <w:name w:val="正文首行缩进 2 Char"/>
    <w:qFormat/>
    <w:uiPriority w:val="0"/>
    <w:rPr>
      <w:rFonts w:ascii="等线" w:hAnsi="等线" w:eastAsia="等线"/>
      <w:kern w:val="2"/>
      <w:sz w:val="21"/>
      <w:szCs w:val="24"/>
    </w:rPr>
  </w:style>
  <w:style w:type="character" w:customStyle="1" w:styleId="125">
    <w:name w:val="标准正文 Char"/>
    <w:link w:val="126"/>
    <w:qFormat/>
    <w:locked/>
    <w:uiPriority w:val="0"/>
    <w:rPr>
      <w:rFonts w:eastAsia="宋体"/>
      <w:lang w:val="en-US" w:eastAsia="zh-CN" w:bidi="ar-SA"/>
    </w:rPr>
  </w:style>
  <w:style w:type="paragraph" w:customStyle="1" w:styleId="126">
    <w:name w:val="标准正文"/>
    <w:basedOn w:val="1"/>
    <w:link w:val="125"/>
    <w:qFormat/>
    <w:uiPriority w:val="0"/>
    <w:pPr>
      <w:spacing w:before="156" w:after="156" w:line="360" w:lineRule="auto"/>
      <w:ind w:firstLine="480" w:firstLineChars="200"/>
    </w:pPr>
    <w:rPr>
      <w:kern w:val="0"/>
      <w:sz w:val="20"/>
    </w:rPr>
  </w:style>
  <w:style w:type="character" w:customStyle="1" w:styleId="127">
    <w:name w:val="small1"/>
    <w:qFormat/>
    <w:uiPriority w:val="0"/>
    <w:rPr>
      <w:rFonts w:ascii="Verdana" w:hAnsi="Verdana" w:cs="Verdana"/>
      <w:sz w:val="18"/>
      <w:szCs w:val="18"/>
    </w:rPr>
  </w:style>
  <w:style w:type="character" w:customStyle="1" w:styleId="128">
    <w:name w:val="尖角符号样式 Char"/>
    <w:basedOn w:val="129"/>
    <w:link w:val="132"/>
    <w:qFormat/>
    <w:locked/>
    <w:uiPriority w:val="0"/>
    <w:rPr>
      <w:rFonts w:ascii="Arial" w:hAnsi="Arial" w:cs="宋体"/>
      <w:kern w:val="2"/>
      <w:sz w:val="24"/>
    </w:rPr>
  </w:style>
  <w:style w:type="character" w:customStyle="1" w:styleId="129">
    <w:name w:val="符号样式 Char"/>
    <w:link w:val="130"/>
    <w:qFormat/>
    <w:locked/>
    <w:uiPriority w:val="0"/>
    <w:rPr>
      <w:rFonts w:ascii="Arial" w:hAnsi="Arial" w:cs="宋体"/>
      <w:kern w:val="2"/>
      <w:sz w:val="24"/>
    </w:rPr>
  </w:style>
  <w:style w:type="paragraph" w:customStyle="1" w:styleId="130">
    <w:name w:val="符号样式"/>
    <w:basedOn w:val="131"/>
    <w:link w:val="129"/>
    <w:qFormat/>
    <w:uiPriority w:val="0"/>
    <w:pPr>
      <w:ind w:left="840" w:firstLine="288"/>
      <w:jc w:val="left"/>
    </w:pPr>
    <w:rPr>
      <w:rFonts w:cs="Times New Roman"/>
    </w:rPr>
  </w:style>
  <w:style w:type="paragraph" w:customStyle="1" w:styleId="131">
    <w:name w:val="编号，小四"/>
    <w:basedOn w:val="1"/>
    <w:qFormat/>
    <w:uiPriority w:val="0"/>
    <w:pPr>
      <w:spacing w:line="360" w:lineRule="auto"/>
      <w:ind w:firstLine="200" w:firstLineChars="200"/>
    </w:pPr>
    <w:rPr>
      <w:rFonts w:ascii="Arial" w:hAnsi="Arial" w:cs="宋体"/>
      <w:sz w:val="24"/>
    </w:rPr>
  </w:style>
  <w:style w:type="paragraph" w:customStyle="1" w:styleId="132">
    <w:name w:val="尖角符号样式"/>
    <w:basedOn w:val="130"/>
    <w:link w:val="128"/>
    <w:qFormat/>
    <w:uiPriority w:val="0"/>
    <w:pPr>
      <w:ind w:firstLine="480"/>
    </w:pPr>
  </w:style>
  <w:style w:type="character" w:customStyle="1" w:styleId="133">
    <w:name w:val="grame"/>
    <w:qFormat/>
    <w:uiPriority w:val="0"/>
  </w:style>
  <w:style w:type="character" w:customStyle="1" w:styleId="134">
    <w:name w:val="书籍标题1"/>
    <w:qFormat/>
    <w:uiPriority w:val="0"/>
    <w:rPr>
      <w:rFonts w:cs="Times New Roman"/>
      <w:b/>
      <w:smallCaps/>
      <w:spacing w:val="5"/>
    </w:rPr>
  </w:style>
  <w:style w:type="character" w:customStyle="1" w:styleId="135">
    <w:name w:val="Char Char30"/>
    <w:qFormat/>
    <w:uiPriority w:val="0"/>
    <w:rPr>
      <w:b/>
      <w:bCs/>
      <w:kern w:val="44"/>
      <w:sz w:val="44"/>
      <w:szCs w:val="44"/>
    </w:rPr>
  </w:style>
  <w:style w:type="character" w:customStyle="1" w:styleId="136">
    <w:name w:val="huei12b1"/>
    <w:qFormat/>
    <w:uiPriority w:val="0"/>
    <w:rPr>
      <w:b/>
      <w:bCs/>
      <w:color w:val="333333"/>
      <w:sz w:val="18"/>
      <w:szCs w:val="18"/>
    </w:rPr>
  </w:style>
  <w:style w:type="character" w:customStyle="1" w:styleId="137">
    <w:name w:val="blue1"/>
    <w:qFormat/>
    <w:uiPriority w:val="0"/>
    <w:rPr>
      <w:color w:val="06487A"/>
      <w:sz w:val="19"/>
      <w:szCs w:val="19"/>
    </w:rPr>
  </w:style>
  <w:style w:type="character" w:customStyle="1" w:styleId="138">
    <w:name w:val="彩色网格 - 强调文字颜色 1 Char"/>
    <w:link w:val="139"/>
    <w:qFormat/>
    <w:uiPriority w:val="0"/>
    <w:rPr>
      <w:i/>
      <w:iCs/>
      <w:color w:val="000000"/>
      <w:kern w:val="2"/>
      <w:sz w:val="21"/>
      <w:szCs w:val="22"/>
    </w:rPr>
  </w:style>
  <w:style w:type="paragraph" w:customStyle="1" w:styleId="139">
    <w:name w:val="彩色网格 - 强调文字颜色 11"/>
    <w:basedOn w:val="1"/>
    <w:next w:val="1"/>
    <w:link w:val="138"/>
    <w:qFormat/>
    <w:uiPriority w:val="0"/>
    <w:rPr>
      <w:i/>
      <w:iCs/>
      <w:color w:val="000000"/>
      <w:szCs w:val="22"/>
    </w:rPr>
  </w:style>
  <w:style w:type="character" w:customStyle="1" w:styleId="140">
    <w:name w:val="明显引用 Char1"/>
    <w:qFormat/>
    <w:uiPriority w:val="0"/>
    <w:rPr>
      <w:b/>
      <w:bCs/>
      <w:i/>
      <w:iCs/>
      <w:color w:val="4F81BD"/>
      <w:kern w:val="2"/>
      <w:sz w:val="21"/>
    </w:rPr>
  </w:style>
  <w:style w:type="character" w:customStyle="1" w:styleId="141">
    <w:name w:val="point_normal"/>
    <w:qFormat/>
    <w:uiPriority w:val="0"/>
  </w:style>
  <w:style w:type="character" w:customStyle="1" w:styleId="142">
    <w:name w:val="Heading 8 Char"/>
    <w:qFormat/>
    <w:locked/>
    <w:uiPriority w:val="0"/>
    <w:rPr>
      <w:rFonts w:ascii="Cambria" w:hAnsi="Cambria" w:eastAsia="宋体" w:cs="Times New Roman"/>
      <w:sz w:val="24"/>
      <w:szCs w:val="24"/>
    </w:rPr>
  </w:style>
  <w:style w:type="character" w:customStyle="1" w:styleId="143">
    <w:name w:val="正文文本 (2)_"/>
    <w:link w:val="144"/>
    <w:qFormat/>
    <w:uiPriority w:val="99"/>
    <w:rPr>
      <w:rFonts w:ascii="Franklin Gothic Heavy" w:eastAsia="Franklin Gothic Heavy" w:cs="Franklin Gothic Heavy"/>
      <w:sz w:val="18"/>
      <w:szCs w:val="18"/>
      <w:shd w:val="clear" w:color="auto" w:fill="FFFFFF"/>
    </w:rPr>
  </w:style>
  <w:style w:type="paragraph" w:customStyle="1" w:styleId="144">
    <w:name w:val="正文文本 (2)"/>
    <w:basedOn w:val="1"/>
    <w:link w:val="143"/>
    <w:qFormat/>
    <w:uiPriority w:val="99"/>
    <w:pPr>
      <w:shd w:val="clear" w:color="auto" w:fill="FFFFFF"/>
      <w:spacing w:line="240" w:lineRule="atLeast"/>
      <w:jc w:val="left"/>
    </w:pPr>
    <w:rPr>
      <w:rFonts w:ascii="Franklin Gothic Heavy" w:eastAsia="Franklin Gothic Heavy"/>
      <w:kern w:val="0"/>
      <w:sz w:val="18"/>
      <w:szCs w:val="18"/>
    </w:rPr>
  </w:style>
  <w:style w:type="character" w:customStyle="1" w:styleId="145">
    <w:name w:val="正文文本缩进 Char"/>
    <w:qFormat/>
    <w:uiPriority w:val="0"/>
    <w:rPr>
      <w:kern w:val="2"/>
      <w:sz w:val="21"/>
      <w:szCs w:val="24"/>
    </w:rPr>
  </w:style>
  <w:style w:type="character" w:customStyle="1" w:styleId="146">
    <w:name w:val="6.1正文 Char"/>
    <w:link w:val="147"/>
    <w:qFormat/>
    <w:locked/>
    <w:uiPriority w:val="0"/>
    <w:rPr>
      <w:rFonts w:ascii="Calibri" w:hAnsi="Calibri" w:eastAsia="宋体"/>
      <w:sz w:val="21"/>
      <w:lang w:val="en-US" w:eastAsia="zh-CN" w:bidi="ar-SA"/>
    </w:rPr>
  </w:style>
  <w:style w:type="paragraph" w:customStyle="1" w:styleId="147">
    <w:name w:val="6.1正文"/>
    <w:basedOn w:val="1"/>
    <w:link w:val="146"/>
    <w:qFormat/>
    <w:uiPriority w:val="0"/>
    <w:pPr>
      <w:spacing w:before="120" w:after="120" w:line="360" w:lineRule="auto"/>
      <w:ind w:firstLine="420" w:firstLineChars="200"/>
    </w:pPr>
    <w:rPr>
      <w:rFonts w:ascii="Calibri" w:hAnsi="Calibri"/>
      <w:kern w:val="0"/>
    </w:rPr>
  </w:style>
  <w:style w:type="character" w:customStyle="1" w:styleId="148">
    <w:name w:val="引用 Char1"/>
    <w:qFormat/>
    <w:uiPriority w:val="0"/>
    <w:rPr>
      <w:i/>
      <w:iCs/>
      <w:color w:val="000000"/>
      <w:kern w:val="2"/>
      <w:sz w:val="21"/>
    </w:rPr>
  </w:style>
  <w:style w:type="character" w:customStyle="1" w:styleId="149">
    <w:name w:val="Quote Char"/>
    <w:qFormat/>
    <w:locked/>
    <w:uiPriority w:val="0"/>
    <w:rPr>
      <w:i/>
      <w:color w:val="000000"/>
    </w:rPr>
  </w:style>
  <w:style w:type="character" w:customStyle="1" w:styleId="150">
    <w:name w:val="纯文本 Char1"/>
    <w:qFormat/>
    <w:uiPriority w:val="0"/>
    <w:rPr>
      <w:rFonts w:ascii="宋体" w:hAnsi="Courier New"/>
      <w:kern w:val="2"/>
      <w:sz w:val="21"/>
    </w:rPr>
  </w:style>
  <w:style w:type="character" w:customStyle="1" w:styleId="151">
    <w:name w:val="op-map-singlepoint-info-right1"/>
    <w:qFormat/>
    <w:uiPriority w:val="0"/>
  </w:style>
  <w:style w:type="character" w:customStyle="1" w:styleId="152">
    <w:name w:val="t141"/>
    <w:qFormat/>
    <w:uiPriority w:val="0"/>
    <w:rPr>
      <w:color w:val="000000"/>
      <w:w w:val="0"/>
      <w:sz w:val="21"/>
      <w:szCs w:val="21"/>
    </w:rPr>
  </w:style>
  <w:style w:type="character" w:customStyle="1" w:styleId="153">
    <w:name w:val="批注主题 Char2"/>
    <w:semiHidden/>
    <w:qFormat/>
    <w:uiPriority w:val="99"/>
    <w:rPr>
      <w:b/>
      <w:bCs/>
      <w:kern w:val="2"/>
      <w:sz w:val="21"/>
      <w:szCs w:val="24"/>
    </w:rPr>
  </w:style>
  <w:style w:type="character" w:customStyle="1" w:styleId="154">
    <w:name w:val="标题5 Char"/>
    <w:qFormat/>
    <w:locked/>
    <w:uiPriority w:val="0"/>
    <w:rPr>
      <w:rFonts w:eastAsia="宋体"/>
      <w:kern w:val="2"/>
      <w:sz w:val="24"/>
      <w:szCs w:val="24"/>
      <w:lang w:val="en-US" w:eastAsia="zh-CN" w:bidi="ar-SA"/>
    </w:rPr>
  </w:style>
  <w:style w:type="character" w:customStyle="1" w:styleId="155">
    <w:name w:val="leftdt1"/>
    <w:qFormat/>
    <w:uiPriority w:val="0"/>
    <w:rPr>
      <w:b/>
      <w:bCs/>
      <w:color w:val="474747"/>
    </w:rPr>
  </w:style>
  <w:style w:type="character" w:customStyle="1" w:styleId="156">
    <w:name w:val="param-value1"/>
    <w:qFormat/>
    <w:uiPriority w:val="0"/>
    <w:rPr>
      <w:color w:val="333333"/>
    </w:rPr>
  </w:style>
  <w:style w:type="character" w:customStyle="1" w:styleId="157">
    <w:name w:val="Heading 3 Char"/>
    <w:qFormat/>
    <w:locked/>
    <w:uiPriority w:val="0"/>
    <w:rPr>
      <w:rFonts w:ascii="Calibri" w:hAnsi="Calibri" w:eastAsia="宋体" w:cs="Times New Roman"/>
      <w:b/>
      <w:bCs/>
      <w:sz w:val="32"/>
      <w:szCs w:val="32"/>
    </w:rPr>
  </w:style>
  <w:style w:type="character" w:customStyle="1" w:styleId="158">
    <w:name w:val="style221"/>
    <w:qFormat/>
    <w:uiPriority w:val="0"/>
    <w:rPr>
      <w:sz w:val="18"/>
      <w:szCs w:val="18"/>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9"/>
    <w:link w:val="159"/>
    <w:qFormat/>
    <w:uiPriority w:val="0"/>
    <w:pPr>
      <w:spacing w:line="413" w:lineRule="auto"/>
      <w:jc w:val="both"/>
    </w:pPr>
    <w:rPr>
      <w:rFonts w:ascii="Arial" w:hAnsi="Arial"/>
      <w:kern w:val="0"/>
      <w:sz w:val="24"/>
    </w:rPr>
  </w:style>
  <w:style w:type="character" w:customStyle="1" w:styleId="161">
    <w:name w:val="Subtitle Char"/>
    <w:qFormat/>
    <w:locked/>
    <w:uiPriority w:val="0"/>
    <w:rPr>
      <w:rFonts w:ascii="Cambria" w:hAnsi="Cambria"/>
      <w:b/>
      <w:kern w:val="28"/>
      <w:sz w:val="32"/>
    </w:rPr>
  </w:style>
  <w:style w:type="character" w:customStyle="1" w:styleId="162">
    <w:name w:val="Plain Text Char"/>
    <w:qFormat/>
    <w:locked/>
    <w:uiPriority w:val="0"/>
    <w:rPr>
      <w:rFonts w:ascii="宋体" w:hAnsi="Courier New" w:eastAsia="宋体" w:cs="宋体"/>
      <w:kern w:val="0"/>
      <w:sz w:val="20"/>
      <w:szCs w:val="20"/>
    </w:rPr>
  </w:style>
  <w:style w:type="character" w:customStyle="1" w:styleId="163">
    <w:name w:val="apple-style-span"/>
    <w:qFormat/>
    <w:uiPriority w:val="0"/>
  </w:style>
  <w:style w:type="character" w:customStyle="1" w:styleId="164">
    <w:name w:val="Table Text Char1"/>
    <w:link w:val="165"/>
    <w:qFormat/>
    <w:uiPriority w:val="0"/>
    <w:rPr>
      <w:rFonts w:ascii="Arial" w:hAnsi="Arial"/>
      <w:kern w:val="2"/>
      <w:sz w:val="18"/>
      <w:szCs w:val="18"/>
      <w:lang w:val="en-US" w:eastAsia="zh-CN" w:bidi="ar-SA"/>
    </w:rPr>
  </w:style>
  <w:style w:type="paragraph" w:customStyle="1" w:styleId="165">
    <w:name w:val="Table Text"/>
    <w:link w:val="164"/>
    <w:qFormat/>
    <w:uiPriority w:val="0"/>
    <w:pPr>
      <w:snapToGrid w:val="0"/>
      <w:spacing w:before="80" w:after="80"/>
    </w:pPr>
    <w:rPr>
      <w:rFonts w:ascii="Arial" w:hAnsi="Arial" w:eastAsia="宋体" w:cs="Times New Roman"/>
      <w:kern w:val="2"/>
      <w:sz w:val="18"/>
      <w:szCs w:val="18"/>
      <w:lang w:val="en-US" w:eastAsia="zh-CN" w:bidi="ar-SA"/>
    </w:rPr>
  </w:style>
  <w:style w:type="character" w:customStyle="1" w:styleId="166">
    <w:name w:val="明显引用 Char"/>
    <w:qFormat/>
    <w:uiPriority w:val="0"/>
    <w:rPr>
      <w:b/>
      <w:bCs/>
      <w:i/>
      <w:iCs/>
      <w:color w:val="4F81BD"/>
      <w:kern w:val="2"/>
      <w:sz w:val="21"/>
      <w:szCs w:val="22"/>
    </w:rPr>
  </w:style>
  <w:style w:type="character" w:customStyle="1" w:styleId="167">
    <w:name w:val="z-窗体底端 Char1"/>
    <w:qFormat/>
    <w:uiPriority w:val="0"/>
    <w:rPr>
      <w:rFonts w:ascii="Arial" w:hAnsi="Arial" w:cs="Arial"/>
      <w:vanish/>
      <w:kern w:val="2"/>
      <w:sz w:val="16"/>
      <w:szCs w:val="16"/>
    </w:rPr>
  </w:style>
  <w:style w:type="character" w:customStyle="1" w:styleId="168">
    <w:name w:val="Normal Indent Char"/>
    <w:qFormat/>
    <w:locked/>
    <w:uiPriority w:val="0"/>
    <w:rPr>
      <w:rFonts w:ascii="Times New Roman" w:hAnsi="Times New Roman" w:eastAsia="宋体"/>
      <w:sz w:val="20"/>
    </w:rPr>
  </w:style>
  <w:style w:type="character" w:customStyle="1" w:styleId="169">
    <w:name w:val="title_emph"/>
    <w:qFormat/>
    <w:uiPriority w:val="0"/>
  </w:style>
  <w:style w:type="character" w:customStyle="1" w:styleId="170">
    <w:name w:val="明显引用 Char2"/>
    <w:qFormat/>
    <w:uiPriority w:val="0"/>
    <w:rPr>
      <w:b/>
      <w:bCs/>
      <w:i/>
      <w:iCs/>
      <w:color w:val="4F81BD"/>
      <w:kern w:val="2"/>
      <w:sz w:val="21"/>
      <w:szCs w:val="24"/>
    </w:rPr>
  </w:style>
  <w:style w:type="character" w:customStyle="1" w:styleId="171">
    <w:name w:val="style101"/>
    <w:qFormat/>
    <w:uiPriority w:val="0"/>
    <w:rPr>
      <w:b/>
      <w:bCs/>
      <w:color w:val="0000FF"/>
    </w:rPr>
  </w:style>
  <w:style w:type="character" w:customStyle="1" w:styleId="172">
    <w:name w:val="Intense Quote Char1"/>
    <w:qFormat/>
    <w:locked/>
    <w:uiPriority w:val="0"/>
    <w:rPr>
      <w:rFonts w:cs="Times New Roman"/>
      <w:b/>
      <w:bCs/>
      <w:i/>
      <w:iCs/>
      <w:color w:val="4F81BD"/>
    </w:rPr>
  </w:style>
  <w:style w:type="character" w:customStyle="1" w:styleId="173">
    <w:name w:val="页眉 Char"/>
    <w:qFormat/>
    <w:uiPriority w:val="0"/>
    <w:rPr>
      <w:kern w:val="2"/>
      <w:sz w:val="18"/>
      <w:szCs w:val="18"/>
    </w:rPr>
  </w:style>
  <w:style w:type="character" w:customStyle="1" w:styleId="174">
    <w:name w:val="中等深浅网格 11"/>
    <w:semiHidden/>
    <w:qFormat/>
    <w:uiPriority w:val="99"/>
    <w:rPr>
      <w:color w:val="808080"/>
    </w:rPr>
  </w:style>
  <w:style w:type="character" w:customStyle="1" w:styleId="175">
    <w:name w:val="z-窗体底端 Char2"/>
    <w:qFormat/>
    <w:uiPriority w:val="99"/>
    <w:rPr>
      <w:rFonts w:ascii="Arial" w:hAnsi="Arial" w:cs="Arial"/>
      <w:vanish/>
      <w:kern w:val="2"/>
      <w:sz w:val="16"/>
      <w:szCs w:val="16"/>
    </w:rPr>
  </w:style>
  <w:style w:type="character" w:customStyle="1" w:styleId="176">
    <w:name w:val="正文文本缩进 Char2"/>
    <w:semiHidden/>
    <w:qFormat/>
    <w:uiPriority w:val="99"/>
    <w:rPr>
      <w:kern w:val="2"/>
      <w:sz w:val="21"/>
      <w:szCs w:val="24"/>
    </w:rPr>
  </w:style>
  <w:style w:type="character" w:customStyle="1" w:styleId="177">
    <w:name w:val="bodyfont1"/>
    <w:qFormat/>
    <w:uiPriority w:val="0"/>
    <w:rPr>
      <w:spacing w:val="300"/>
      <w:sz w:val="18"/>
      <w:szCs w:val="18"/>
    </w:rPr>
  </w:style>
  <w:style w:type="character" w:customStyle="1" w:styleId="178">
    <w:name w:val="Book Title"/>
    <w:qFormat/>
    <w:uiPriority w:val="0"/>
    <w:rPr>
      <w:b/>
      <w:bCs/>
      <w:smallCaps/>
      <w:spacing w:val="5"/>
    </w:rPr>
  </w:style>
  <w:style w:type="character" w:customStyle="1" w:styleId="179">
    <w:name w:val="15"/>
    <w:qFormat/>
    <w:uiPriority w:val="0"/>
    <w:rPr>
      <w:rFonts w:hint="default" w:ascii="Times New Roman" w:hAnsi="Times New Roman" w:eastAsia="宋体" w:cs="Times New Roman"/>
      <w:kern w:val="2"/>
      <w:sz w:val="21"/>
      <w:szCs w:val="21"/>
    </w:rPr>
  </w:style>
  <w:style w:type="character" w:customStyle="1" w:styleId="180">
    <w:name w:val="副标题 Char2"/>
    <w:qFormat/>
    <w:uiPriority w:val="0"/>
    <w:rPr>
      <w:rFonts w:ascii="Cambria" w:hAnsi="Cambria" w:cs="Times New Roman"/>
      <w:b/>
      <w:bCs/>
      <w:kern w:val="28"/>
      <w:sz w:val="32"/>
      <w:szCs w:val="32"/>
    </w:rPr>
  </w:style>
  <w:style w:type="character" w:customStyle="1" w:styleId="181">
    <w:name w:val="批注主题 Char1"/>
    <w:qFormat/>
    <w:uiPriority w:val="0"/>
    <w:rPr>
      <w:b/>
      <w:bCs/>
      <w:kern w:val="2"/>
      <w:sz w:val="21"/>
      <w:szCs w:val="22"/>
    </w:rPr>
  </w:style>
  <w:style w:type="character" w:customStyle="1" w:styleId="182">
    <w:name w:val="普通文字1 Char"/>
    <w:qFormat/>
    <w:uiPriority w:val="0"/>
    <w:rPr>
      <w:rFonts w:ascii="宋体" w:hAnsi="Courier New" w:eastAsia="宋体" w:cs="Courier New"/>
      <w:kern w:val="2"/>
      <w:sz w:val="21"/>
      <w:szCs w:val="21"/>
      <w:lang w:val="en-US" w:eastAsia="zh-CN" w:bidi="ar-SA"/>
    </w:rPr>
  </w:style>
  <w:style w:type="character" w:customStyle="1" w:styleId="183">
    <w:name w:val="p12"/>
    <w:qFormat/>
    <w:uiPriority w:val="0"/>
  </w:style>
  <w:style w:type="character" w:customStyle="1" w:styleId="184">
    <w:name w:val="文档结构图 Char2"/>
    <w:semiHidden/>
    <w:qFormat/>
    <w:uiPriority w:val="99"/>
    <w:rPr>
      <w:rFonts w:ascii="宋体"/>
      <w:kern w:val="2"/>
      <w:sz w:val="18"/>
      <w:szCs w:val="18"/>
    </w:rPr>
  </w:style>
  <w:style w:type="character" w:customStyle="1" w:styleId="185">
    <w:name w:val="font01"/>
    <w:qFormat/>
    <w:uiPriority w:val="0"/>
    <w:rPr>
      <w:rFonts w:hint="eastAsia" w:ascii="宋体" w:hAnsi="宋体" w:eastAsia="宋体"/>
      <w:color w:val="000000"/>
      <w:sz w:val="24"/>
      <w:szCs w:val="24"/>
      <w:u w:val="none"/>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8"/>
    <w:next w:val="34"/>
    <w:link w:val="186"/>
    <w:qFormat/>
    <w:uiPriority w:val="0"/>
    <w:pPr>
      <w:spacing w:line="413" w:lineRule="auto"/>
      <w:ind w:firstLine="0"/>
      <w:jc w:val="both"/>
    </w:pPr>
    <w:rPr>
      <w:rFonts w:eastAsia="宋体"/>
      <w:kern w:val="0"/>
      <w:sz w:val="24"/>
    </w:rPr>
  </w:style>
  <w:style w:type="character" w:customStyle="1" w:styleId="188">
    <w:name w:val="日期 Char2"/>
    <w:semiHidden/>
    <w:qFormat/>
    <w:uiPriority w:val="99"/>
    <w:rPr>
      <w:kern w:val="2"/>
      <w:sz w:val="21"/>
      <w:szCs w:val="24"/>
    </w:rPr>
  </w:style>
  <w:style w:type="character" w:customStyle="1" w:styleId="189">
    <w:name w:val="font41"/>
    <w:qFormat/>
    <w:uiPriority w:val="0"/>
    <w:rPr>
      <w:rFonts w:ascii="微软雅黑" w:hAnsi="微软雅黑" w:eastAsia="微软雅黑" w:cs="微软雅黑"/>
      <w:b/>
      <w:color w:val="FFFFFF"/>
      <w:sz w:val="20"/>
      <w:szCs w:val="20"/>
      <w:u w:val="none"/>
    </w:rPr>
  </w:style>
  <w:style w:type="character" w:customStyle="1" w:styleId="190">
    <w:name w:val="main"/>
    <w:qFormat/>
    <w:uiPriority w:val="0"/>
  </w:style>
  <w:style w:type="character" w:customStyle="1" w:styleId="191">
    <w:name w:val="style3"/>
    <w:qFormat/>
    <w:uiPriority w:val="0"/>
  </w:style>
  <w:style w:type="character" w:customStyle="1" w:styleId="192">
    <w:name w:val="4级标题 Char"/>
    <w:basedOn w:val="193"/>
    <w:link w:val="196"/>
    <w:qFormat/>
    <w:locked/>
    <w:uiPriority w:val="0"/>
    <w:rPr>
      <w:rFonts w:ascii="Arial" w:hAnsi="Arial"/>
      <w:kern w:val="2"/>
      <w:sz w:val="32"/>
      <w:szCs w:val="32"/>
    </w:rPr>
  </w:style>
  <w:style w:type="character" w:customStyle="1" w:styleId="193">
    <w:name w:val="3级标题 Char"/>
    <w:link w:val="194"/>
    <w:qFormat/>
    <w:locked/>
    <w:uiPriority w:val="0"/>
    <w:rPr>
      <w:rFonts w:ascii="Arial" w:hAnsi="Arial"/>
      <w:b/>
      <w:kern w:val="2"/>
      <w:sz w:val="32"/>
      <w:szCs w:val="32"/>
    </w:rPr>
  </w:style>
  <w:style w:type="paragraph" w:customStyle="1" w:styleId="194">
    <w:name w:val="3级标题"/>
    <w:basedOn w:val="195"/>
    <w:link w:val="193"/>
    <w:qFormat/>
    <w:uiPriority w:val="0"/>
    <w:pPr>
      <w:ind w:firstLine="0" w:firstLineChars="0"/>
      <w:outlineLvl w:val="2"/>
    </w:pPr>
    <w:rPr>
      <w:rFonts w:ascii="Arial" w:hAnsi="Arial"/>
      <w:b/>
      <w:sz w:val="32"/>
      <w:szCs w:val="32"/>
    </w:rPr>
  </w:style>
  <w:style w:type="paragraph" w:customStyle="1" w:styleId="195">
    <w:name w:val="列出段落1"/>
    <w:basedOn w:val="1"/>
    <w:qFormat/>
    <w:uiPriority w:val="34"/>
    <w:pPr>
      <w:ind w:firstLine="200" w:firstLineChars="200"/>
    </w:pPr>
  </w:style>
  <w:style w:type="paragraph" w:customStyle="1" w:styleId="196">
    <w:name w:val="4级标题"/>
    <w:basedOn w:val="194"/>
    <w:link w:val="192"/>
    <w:qFormat/>
    <w:uiPriority w:val="0"/>
    <w:pPr>
      <w:ind w:left="1680" w:hanging="420"/>
      <w:outlineLvl w:val="3"/>
    </w:pPr>
  </w:style>
  <w:style w:type="character" w:customStyle="1" w:styleId="197">
    <w:name w:val="List Paragraph Char"/>
    <w:link w:val="198"/>
    <w:qFormat/>
    <w:locked/>
    <w:uiPriority w:val="0"/>
    <w:rPr>
      <w:rFonts w:ascii="Arial" w:hAnsi="Arial" w:cs="宋体"/>
      <w:kern w:val="2"/>
      <w:sz w:val="24"/>
    </w:rPr>
  </w:style>
  <w:style w:type="paragraph" w:customStyle="1" w:styleId="198">
    <w:name w:val="列出段落2"/>
    <w:basedOn w:val="1"/>
    <w:link w:val="197"/>
    <w:qFormat/>
    <w:uiPriority w:val="0"/>
    <w:pPr>
      <w:spacing w:line="360" w:lineRule="auto"/>
      <w:ind w:firstLine="420" w:firstLineChars="200"/>
    </w:pPr>
    <w:rPr>
      <w:rFonts w:ascii="Arial" w:hAnsi="Arial"/>
      <w:sz w:val="24"/>
    </w:rPr>
  </w:style>
  <w:style w:type="character" w:customStyle="1" w:styleId="199">
    <w:name w:val="正文文本缩进 Char1"/>
    <w:qFormat/>
    <w:uiPriority w:val="99"/>
    <w:rPr>
      <w:kern w:val="2"/>
      <w:sz w:val="21"/>
      <w:szCs w:val="24"/>
    </w:rPr>
  </w:style>
  <w:style w:type="character" w:customStyle="1" w:styleId="200">
    <w:name w:val="textfont1"/>
    <w:qFormat/>
    <w:uiPriority w:val="0"/>
    <w:rPr>
      <w:spacing w:val="240"/>
      <w:sz w:val="22"/>
      <w:szCs w:val="22"/>
    </w:rPr>
  </w:style>
  <w:style w:type="character" w:customStyle="1" w:styleId="201">
    <w:name w:val="Intense Reference"/>
    <w:qFormat/>
    <w:uiPriority w:val="0"/>
    <w:rPr>
      <w:b/>
      <w:bCs/>
      <w:smallCaps/>
      <w:color w:val="C0504D"/>
      <w:spacing w:val="5"/>
      <w:u w:val="single"/>
    </w:rPr>
  </w:style>
  <w:style w:type="character" w:customStyle="1" w:styleId="202">
    <w:name w:val="Intense Emphasis"/>
    <w:qFormat/>
    <w:uiPriority w:val="0"/>
    <w:rPr>
      <w:b/>
      <w:bCs/>
      <w:i/>
      <w:iCs/>
      <w:color w:val="4F81BD"/>
    </w:rPr>
  </w:style>
  <w:style w:type="character" w:customStyle="1" w:styleId="203">
    <w:name w:val="Title Char1"/>
    <w:qFormat/>
    <w:locked/>
    <w:uiPriority w:val="0"/>
    <w:rPr>
      <w:rFonts w:ascii="Cambria" w:hAnsi="Cambria" w:cs="Times New Roman"/>
      <w:b/>
      <w:bCs/>
      <w:sz w:val="32"/>
      <w:szCs w:val="32"/>
    </w:rPr>
  </w:style>
  <w:style w:type="character" w:customStyle="1" w:styleId="204">
    <w:name w:val="正文文本 Char2"/>
    <w:qFormat/>
    <w:uiPriority w:val="0"/>
    <w:rPr>
      <w:kern w:val="2"/>
      <w:sz w:val="21"/>
      <w:szCs w:val="24"/>
    </w:rPr>
  </w:style>
  <w:style w:type="character" w:customStyle="1" w:styleId="205">
    <w:name w:val="font2"/>
    <w:qFormat/>
    <w:uiPriority w:val="0"/>
    <w:rPr>
      <w:color w:val="0033CC"/>
    </w:rPr>
  </w:style>
  <w:style w:type="character" w:customStyle="1" w:styleId="206">
    <w:name w:val="textcontents"/>
    <w:qFormat/>
    <w:uiPriority w:val="0"/>
    <w:rPr>
      <w:rFonts w:cs="Times New Roman"/>
    </w:rPr>
  </w:style>
  <w:style w:type="character" w:customStyle="1" w:styleId="207">
    <w:name w:val="列出段落 Char"/>
    <w:qFormat/>
    <w:locked/>
    <w:uiPriority w:val="34"/>
    <w:rPr>
      <w:rFonts w:ascii="Calibri" w:hAnsi="Calibri"/>
      <w:sz w:val="22"/>
      <w:szCs w:val="22"/>
    </w:rPr>
  </w:style>
  <w:style w:type="character" w:customStyle="1" w:styleId="208">
    <w:name w:val="样式 标书正文 + 下划线 Char"/>
    <w:qFormat/>
    <w:uiPriority w:val="0"/>
    <w:rPr>
      <w:rFonts w:eastAsia="楷体_GB2312"/>
      <w:kern w:val="2"/>
      <w:sz w:val="28"/>
      <w:u w:val="single"/>
      <w:lang w:val="en-US" w:eastAsia="zh-CN"/>
    </w:rPr>
  </w:style>
  <w:style w:type="character" w:customStyle="1" w:styleId="209">
    <w:name w:val="Subtitle Char1"/>
    <w:qFormat/>
    <w:locked/>
    <w:uiPriority w:val="0"/>
    <w:rPr>
      <w:rFonts w:ascii="Cambria" w:hAnsi="Cambria" w:cs="Times New Roman"/>
      <w:b/>
      <w:bCs/>
      <w:kern w:val="28"/>
      <w:sz w:val="32"/>
      <w:szCs w:val="32"/>
    </w:rPr>
  </w:style>
  <w:style w:type="character" w:customStyle="1" w:styleId="210">
    <w:name w:val="unnamed1"/>
    <w:qFormat/>
    <w:uiPriority w:val="0"/>
  </w:style>
  <w:style w:type="character" w:customStyle="1" w:styleId="211">
    <w:name w:val="Char Char15"/>
    <w:qFormat/>
    <w:uiPriority w:val="0"/>
    <w:rPr>
      <w:rFonts w:ascii="宋体" w:hAnsi="Courier New"/>
      <w:kern w:val="2"/>
      <w:sz w:val="21"/>
    </w:rPr>
  </w:style>
  <w:style w:type="character" w:customStyle="1" w:styleId="212">
    <w:name w:val="列出段落 Char1"/>
    <w:link w:val="213"/>
    <w:qFormat/>
    <w:locked/>
    <w:uiPriority w:val="34"/>
    <w:rPr>
      <w:rFonts w:ascii="Calibri" w:hAnsi="Calibri"/>
      <w:sz w:val="22"/>
      <w:szCs w:val="22"/>
    </w:rPr>
  </w:style>
  <w:style w:type="paragraph" w:styleId="213">
    <w:name w:val="List Paragraph"/>
    <w:basedOn w:val="1"/>
    <w:link w:val="212"/>
    <w:qFormat/>
    <w:uiPriority w:val="34"/>
    <w:pPr>
      <w:widowControl/>
      <w:spacing w:after="200" w:line="276" w:lineRule="auto"/>
      <w:ind w:left="720"/>
      <w:contextualSpacing/>
      <w:jc w:val="left"/>
    </w:pPr>
    <w:rPr>
      <w:rFonts w:ascii="Calibri" w:hAnsi="Calibri"/>
      <w:kern w:val="0"/>
      <w:sz w:val="22"/>
      <w:szCs w:val="22"/>
    </w:rPr>
  </w:style>
  <w:style w:type="character" w:customStyle="1" w:styleId="214">
    <w:name w:val="不明显参考1"/>
    <w:qFormat/>
    <w:uiPriority w:val="0"/>
    <w:rPr>
      <w:rFonts w:cs="Times New Roman"/>
      <w:smallCaps/>
      <w:color w:val="C0504D"/>
      <w:u w:val="single"/>
    </w:rPr>
  </w:style>
  <w:style w:type="character" w:customStyle="1" w:styleId="215">
    <w:name w:val="副标题 Char1"/>
    <w:qFormat/>
    <w:uiPriority w:val="0"/>
    <w:rPr>
      <w:rFonts w:ascii="Cambria" w:hAnsi="Cambria" w:cs="Times New Roman"/>
      <w:b/>
      <w:bCs/>
      <w:kern w:val="28"/>
      <w:sz w:val="32"/>
      <w:szCs w:val="32"/>
    </w:rPr>
  </w:style>
  <w:style w:type="character" w:customStyle="1" w:styleId="216">
    <w:name w:val="contentlabel"/>
    <w:qFormat/>
    <w:uiPriority w:val="0"/>
  </w:style>
  <w:style w:type="character" w:customStyle="1" w:styleId="217">
    <w:name w:val="Heading 7 Char"/>
    <w:qFormat/>
    <w:locked/>
    <w:uiPriority w:val="0"/>
    <w:rPr>
      <w:rFonts w:ascii="Calibri" w:hAnsi="Calibri" w:eastAsia="宋体" w:cs="Times New Roman"/>
      <w:b/>
      <w:bCs/>
      <w:sz w:val="24"/>
      <w:szCs w:val="24"/>
    </w:rPr>
  </w:style>
  <w:style w:type="character" w:customStyle="1" w:styleId="218">
    <w:name w:val="标题 Char2"/>
    <w:qFormat/>
    <w:uiPriority w:val="10"/>
    <w:rPr>
      <w:rFonts w:ascii="Cambria" w:hAnsi="Cambria" w:cs="Times New Roman"/>
      <w:b/>
      <w:bCs/>
      <w:kern w:val="2"/>
      <w:sz w:val="32"/>
      <w:szCs w:val="32"/>
    </w:rPr>
  </w:style>
  <w:style w:type="character" w:customStyle="1" w:styleId="219">
    <w:name w:val="纯文本 Char3"/>
    <w:semiHidden/>
    <w:qFormat/>
    <w:uiPriority w:val="99"/>
    <w:rPr>
      <w:rFonts w:ascii="宋体" w:hAnsi="Courier New" w:cs="Courier New"/>
      <w:kern w:val="2"/>
      <w:sz w:val="21"/>
      <w:szCs w:val="21"/>
    </w:rPr>
  </w:style>
  <w:style w:type="character" w:customStyle="1" w:styleId="220">
    <w:name w:val="Document Map Char"/>
    <w:qFormat/>
    <w:locked/>
    <w:uiPriority w:val="0"/>
    <w:rPr>
      <w:rFonts w:ascii="Times New Roman" w:hAnsi="Times New Roman"/>
      <w:sz w:val="24"/>
      <w:shd w:val="clear" w:color="auto" w:fill="000080"/>
    </w:rPr>
  </w:style>
  <w:style w:type="character" w:customStyle="1" w:styleId="221">
    <w:name w:val="批注文字 Char2"/>
    <w:semiHidden/>
    <w:qFormat/>
    <w:uiPriority w:val="99"/>
    <w:rPr>
      <w:kern w:val="2"/>
      <w:sz w:val="21"/>
      <w:szCs w:val="24"/>
    </w:rPr>
  </w:style>
  <w:style w:type="character" w:customStyle="1" w:styleId="222">
    <w:name w:val="标题1级 Char"/>
    <w:link w:val="223"/>
    <w:qFormat/>
    <w:locked/>
    <w:uiPriority w:val="0"/>
    <w:rPr>
      <w:rFonts w:ascii="Arial" w:hAnsi="Arial"/>
      <w:b/>
      <w:kern w:val="2"/>
      <w:sz w:val="30"/>
      <w:szCs w:val="30"/>
    </w:rPr>
  </w:style>
  <w:style w:type="paragraph" w:customStyle="1" w:styleId="223">
    <w:name w:val="标题1级"/>
    <w:basedOn w:val="195"/>
    <w:link w:val="222"/>
    <w:qFormat/>
    <w:uiPriority w:val="0"/>
    <w:pPr>
      <w:ind w:firstLine="0" w:firstLineChars="0"/>
      <w:outlineLvl w:val="0"/>
    </w:pPr>
    <w:rPr>
      <w:rFonts w:ascii="Arial" w:hAnsi="Arial"/>
      <w:b/>
      <w:sz w:val="30"/>
      <w:szCs w:val="30"/>
    </w:rPr>
  </w:style>
  <w:style w:type="character" w:customStyle="1" w:styleId="224">
    <w:name w:val="s011"/>
    <w:qFormat/>
    <w:uiPriority w:val="0"/>
    <w:rPr>
      <w:rFonts w:hint="eastAsia" w:ascii="宋体" w:hAnsi="宋体" w:eastAsia="宋体"/>
      <w:color w:val="000000"/>
      <w:sz w:val="20"/>
      <w:szCs w:val="20"/>
      <w:u w:val="none"/>
    </w:rPr>
  </w:style>
  <w:style w:type="character" w:customStyle="1" w:styleId="225">
    <w:name w:val="Comment Text Char"/>
    <w:qFormat/>
    <w:locked/>
    <w:uiPriority w:val="0"/>
    <w:rPr>
      <w:rFonts w:ascii="Arial" w:hAnsi="Arial" w:eastAsia="宋体" w:cs="宋体"/>
      <w:sz w:val="20"/>
      <w:szCs w:val="20"/>
    </w:rPr>
  </w:style>
  <w:style w:type="character" w:customStyle="1" w:styleId="226">
    <w:name w:val="style211"/>
    <w:qFormat/>
    <w:uiPriority w:val="0"/>
    <w:rPr>
      <w:color w:val="000000"/>
    </w:rPr>
  </w:style>
  <w:style w:type="character" w:customStyle="1" w:styleId="227">
    <w:name w:val="font1"/>
    <w:qFormat/>
    <w:uiPriority w:val="0"/>
    <w:rPr>
      <w:sz w:val="18"/>
      <w:szCs w:val="18"/>
    </w:rPr>
  </w:style>
  <w:style w:type="character" w:customStyle="1" w:styleId="228">
    <w:name w:val="批注框文本 Char"/>
    <w:qFormat/>
    <w:uiPriority w:val="0"/>
    <w:rPr>
      <w:kern w:val="2"/>
      <w:sz w:val="18"/>
      <w:szCs w:val="18"/>
    </w:rPr>
  </w:style>
  <w:style w:type="character" w:customStyle="1" w:styleId="229">
    <w:name w:val="页脚 Char1"/>
    <w:semiHidden/>
    <w:qFormat/>
    <w:uiPriority w:val="99"/>
    <w:rPr>
      <w:kern w:val="2"/>
      <w:sz w:val="18"/>
      <w:szCs w:val="18"/>
    </w:rPr>
  </w:style>
  <w:style w:type="character" w:customStyle="1" w:styleId="230">
    <w:name w:val="正文文本 Char1"/>
    <w:qFormat/>
    <w:uiPriority w:val="99"/>
    <w:rPr>
      <w:kern w:val="2"/>
      <w:sz w:val="21"/>
      <w:szCs w:val="22"/>
    </w:rPr>
  </w:style>
  <w:style w:type="character" w:customStyle="1" w:styleId="231">
    <w:name w:val="Char Char8"/>
    <w:qFormat/>
    <w:uiPriority w:val="0"/>
    <w:rPr>
      <w:rFonts w:eastAsia="宋体"/>
      <w:kern w:val="2"/>
      <w:sz w:val="21"/>
      <w:lang w:val="en-US" w:eastAsia="zh-CN" w:bidi="ar-SA"/>
    </w:rPr>
  </w:style>
  <w:style w:type="character" w:customStyle="1" w:styleId="232">
    <w:name w:val="Quote Char1"/>
    <w:qFormat/>
    <w:locked/>
    <w:uiPriority w:val="0"/>
    <w:rPr>
      <w:rFonts w:cs="Times New Roman"/>
      <w:i/>
      <w:iCs/>
      <w:color w:val="000000"/>
    </w:rPr>
  </w:style>
  <w:style w:type="character" w:customStyle="1" w:styleId="233">
    <w:name w:val="Blockquote Char Char"/>
    <w:link w:val="234"/>
    <w:qFormat/>
    <w:uiPriority w:val="0"/>
    <w:rPr>
      <w:sz w:val="24"/>
    </w:rPr>
  </w:style>
  <w:style w:type="paragraph" w:customStyle="1" w:styleId="234">
    <w:name w:val="Blockquote"/>
    <w:basedOn w:val="1"/>
    <w:link w:val="233"/>
    <w:qFormat/>
    <w:uiPriority w:val="0"/>
    <w:pPr>
      <w:autoSpaceDE w:val="0"/>
      <w:autoSpaceDN w:val="0"/>
      <w:adjustRightInd w:val="0"/>
      <w:spacing w:before="100" w:after="100"/>
      <w:ind w:left="360" w:right="360"/>
      <w:jc w:val="left"/>
    </w:pPr>
    <w:rPr>
      <w:kern w:val="0"/>
      <w:sz w:val="24"/>
    </w:rPr>
  </w:style>
  <w:style w:type="character" w:customStyle="1" w:styleId="235">
    <w:name w:val="z-窗体顶端 Char1"/>
    <w:qFormat/>
    <w:uiPriority w:val="0"/>
    <w:rPr>
      <w:rFonts w:ascii="Arial" w:hAnsi="Arial" w:cs="Arial"/>
      <w:vanish/>
      <w:kern w:val="2"/>
      <w:sz w:val="16"/>
      <w:szCs w:val="16"/>
    </w:rPr>
  </w:style>
  <w:style w:type="character" w:customStyle="1" w:styleId="236">
    <w:name w:val="para"/>
    <w:qFormat/>
    <w:uiPriority w:val="0"/>
  </w:style>
  <w:style w:type="character" w:customStyle="1" w:styleId="237">
    <w:name w:val="书籍标题11"/>
    <w:qFormat/>
    <w:uiPriority w:val="0"/>
    <w:rPr>
      <w:b/>
      <w:smallCaps/>
      <w:spacing w:val="5"/>
    </w:rPr>
  </w:style>
  <w:style w:type="character" w:customStyle="1" w:styleId="238">
    <w:name w:val="Heading 1 Char"/>
    <w:qFormat/>
    <w:locked/>
    <w:uiPriority w:val="0"/>
    <w:rPr>
      <w:rFonts w:ascii="Calibri" w:hAnsi="Calibri" w:eastAsia="宋体" w:cs="Times New Roman"/>
      <w:b/>
      <w:bCs/>
      <w:kern w:val="44"/>
      <w:sz w:val="44"/>
      <w:szCs w:val="44"/>
    </w:rPr>
  </w:style>
  <w:style w:type="character" w:customStyle="1" w:styleId="239">
    <w:name w:val="标题 3 Char"/>
    <w:qFormat/>
    <w:uiPriority w:val="9"/>
    <w:rPr>
      <w:rFonts w:ascii="宋体" w:hAnsi="宋体" w:cs="宋体"/>
      <w:b/>
      <w:bCs/>
      <w:sz w:val="27"/>
      <w:szCs w:val="27"/>
    </w:rPr>
  </w:style>
  <w:style w:type="character" w:customStyle="1" w:styleId="240">
    <w:name w:val="Balloon Text Char"/>
    <w:qFormat/>
    <w:locked/>
    <w:uiPriority w:val="0"/>
    <w:rPr>
      <w:rFonts w:ascii="宋体" w:hAnsi="Times New Roman"/>
      <w:sz w:val="18"/>
    </w:rPr>
  </w:style>
  <w:style w:type="character" w:customStyle="1" w:styleId="241">
    <w:name w:val="普通文字 Char Char Char"/>
    <w:qFormat/>
    <w:uiPriority w:val="0"/>
    <w:rPr>
      <w:rFonts w:ascii="宋体" w:hAnsi="Courier New" w:eastAsia="宋体" w:cs="Courier New"/>
      <w:kern w:val="2"/>
      <w:sz w:val="21"/>
      <w:szCs w:val="21"/>
      <w:lang w:val="en-US" w:eastAsia="zh-CN" w:bidi="ar-SA"/>
    </w:rPr>
  </w:style>
  <w:style w:type="character" w:customStyle="1" w:styleId="242">
    <w:name w:val="ft621"/>
    <w:qFormat/>
    <w:uiPriority w:val="0"/>
    <w:rPr>
      <w:rFonts w:hint="default" w:ascii="Times" w:hAnsi="Times"/>
      <w:color w:val="000000"/>
      <w:spacing w:val="14"/>
      <w:sz w:val="15"/>
      <w:szCs w:val="15"/>
    </w:rPr>
  </w:style>
  <w:style w:type="character" w:customStyle="1" w:styleId="243">
    <w:name w:val="z-窗体顶端 Char"/>
    <w:link w:val="244"/>
    <w:qFormat/>
    <w:uiPriority w:val="0"/>
    <w:rPr>
      <w:rFonts w:ascii="Arial" w:hAnsi="Arial"/>
      <w:vanish/>
      <w:sz w:val="16"/>
      <w:szCs w:val="16"/>
    </w:rPr>
  </w:style>
  <w:style w:type="paragraph" w:customStyle="1" w:styleId="244">
    <w:name w:val="HTML Top of Form"/>
    <w:basedOn w:val="1"/>
    <w:next w:val="1"/>
    <w:link w:val="243"/>
    <w:qFormat/>
    <w:uiPriority w:val="0"/>
    <w:pPr>
      <w:widowControl/>
      <w:pBdr>
        <w:bottom w:val="single" w:color="auto" w:sz="6" w:space="1"/>
      </w:pBdr>
      <w:jc w:val="center"/>
    </w:pPr>
    <w:rPr>
      <w:rFonts w:ascii="Arial" w:hAnsi="Arial"/>
      <w:vanish/>
      <w:kern w:val="0"/>
      <w:sz w:val="16"/>
      <w:szCs w:val="16"/>
    </w:rPr>
  </w:style>
  <w:style w:type="character" w:customStyle="1" w:styleId="245">
    <w:name w:val="hui3"/>
    <w:qFormat/>
    <w:uiPriority w:val="0"/>
    <w:rPr>
      <w:color w:val="333333"/>
    </w:rPr>
  </w:style>
  <w:style w:type="character" w:customStyle="1" w:styleId="246">
    <w:name w:val="hei16b1"/>
    <w:qFormat/>
    <w:uiPriority w:val="0"/>
    <w:rPr>
      <w:rFonts w:hint="default" w:ascii="Arial" w:hAnsi="Arial" w:cs="Arial"/>
      <w:b/>
      <w:bCs/>
      <w:color w:val="000000"/>
      <w:sz w:val="23"/>
      <w:szCs w:val="23"/>
    </w:rPr>
  </w:style>
  <w:style w:type="character" w:customStyle="1" w:styleId="247">
    <w:name w:val="p21"/>
    <w:qFormat/>
    <w:uiPriority w:val="0"/>
    <w:rPr>
      <w:color w:val="000000"/>
      <w:sz w:val="24"/>
      <w:szCs w:val="24"/>
    </w:rPr>
  </w:style>
  <w:style w:type="character" w:customStyle="1" w:styleId="248">
    <w:name w:val="明显参考1"/>
    <w:qFormat/>
    <w:uiPriority w:val="0"/>
    <w:rPr>
      <w:rFonts w:cs="Times New Roman"/>
      <w:b/>
      <w:smallCaps/>
      <w:color w:val="C0504D"/>
      <w:spacing w:val="5"/>
      <w:u w:val="single"/>
    </w:rPr>
  </w:style>
  <w:style w:type="character" w:customStyle="1" w:styleId="249">
    <w:name w:val="Char Char17"/>
    <w:qFormat/>
    <w:uiPriority w:val="0"/>
    <w:rPr>
      <w:rFonts w:ascii="Arial" w:hAnsi="Arial" w:eastAsia="黑体"/>
      <w:b/>
      <w:bCs/>
      <w:kern w:val="2"/>
      <w:sz w:val="32"/>
      <w:szCs w:val="32"/>
      <w:lang w:val="en-US" w:eastAsia="zh-CN" w:bidi="ar-SA"/>
    </w:rPr>
  </w:style>
  <w:style w:type="character" w:customStyle="1" w:styleId="250">
    <w:name w:val="*正文 Char"/>
    <w:link w:val="251"/>
    <w:qFormat/>
    <w:locked/>
    <w:uiPriority w:val="0"/>
    <w:rPr>
      <w:rFonts w:ascii="宋体" w:hAnsi="宋体" w:eastAsia="宋体"/>
      <w:sz w:val="24"/>
      <w:lang w:val="en-US" w:eastAsia="zh-CN" w:bidi="ar-SA"/>
    </w:rPr>
  </w:style>
  <w:style w:type="paragraph" w:customStyle="1" w:styleId="251">
    <w:name w:val="*正文"/>
    <w:basedOn w:val="1"/>
    <w:link w:val="250"/>
    <w:qFormat/>
    <w:uiPriority w:val="0"/>
    <w:pPr>
      <w:spacing w:line="360" w:lineRule="auto"/>
    </w:pPr>
    <w:rPr>
      <w:rFonts w:ascii="宋体" w:hAnsi="宋体"/>
      <w:kern w:val="0"/>
      <w:sz w:val="24"/>
    </w:rPr>
  </w:style>
  <w:style w:type="character" w:customStyle="1" w:styleId="252">
    <w:name w:val="1级标题 Char"/>
    <w:basedOn w:val="222"/>
    <w:link w:val="253"/>
    <w:qFormat/>
    <w:locked/>
    <w:uiPriority w:val="0"/>
    <w:rPr>
      <w:rFonts w:ascii="Arial" w:hAnsi="Arial"/>
      <w:kern w:val="2"/>
      <w:sz w:val="30"/>
      <w:szCs w:val="30"/>
    </w:rPr>
  </w:style>
  <w:style w:type="paragraph" w:customStyle="1" w:styleId="253">
    <w:name w:val="1级标题"/>
    <w:basedOn w:val="223"/>
    <w:link w:val="252"/>
    <w:qFormat/>
    <w:uiPriority w:val="0"/>
  </w:style>
  <w:style w:type="character" w:customStyle="1" w:styleId="254">
    <w:name w:val="redfont1"/>
    <w:qFormat/>
    <w:uiPriority w:val="0"/>
    <w:rPr>
      <w:color w:val="FF0000"/>
    </w:rPr>
  </w:style>
  <w:style w:type="character" w:customStyle="1" w:styleId="255">
    <w:name w:val="font11"/>
    <w:qFormat/>
    <w:uiPriority w:val="0"/>
    <w:rPr>
      <w:rFonts w:hint="eastAsia" w:ascii="宋体" w:hAnsi="宋体" w:eastAsia="宋体" w:cs="宋体"/>
      <w:color w:val="000000"/>
      <w:sz w:val="22"/>
      <w:szCs w:val="22"/>
      <w:u w:val="none"/>
    </w:rPr>
  </w:style>
  <w:style w:type="character" w:customStyle="1" w:styleId="256">
    <w:name w:val="hei12b1"/>
    <w:qFormat/>
    <w:uiPriority w:val="0"/>
    <w:rPr>
      <w:b/>
      <w:bCs/>
      <w:color w:val="000000"/>
      <w:sz w:val="21"/>
      <w:szCs w:val="21"/>
    </w:rPr>
  </w:style>
  <w:style w:type="character" w:customStyle="1" w:styleId="257">
    <w:name w:val="HTML 预设格式 Char1"/>
    <w:semiHidden/>
    <w:qFormat/>
    <w:uiPriority w:val="99"/>
    <w:rPr>
      <w:rFonts w:ascii="Courier New" w:hAnsi="Courier New" w:cs="Courier New"/>
      <w:kern w:val="2"/>
    </w:rPr>
  </w:style>
  <w:style w:type="character" w:customStyle="1" w:styleId="258">
    <w:name w:val="副标题 Char3"/>
    <w:qFormat/>
    <w:uiPriority w:val="11"/>
    <w:rPr>
      <w:rFonts w:ascii="Cambria" w:hAnsi="Cambria" w:cs="Times New Roman"/>
      <w:b/>
      <w:bCs/>
      <w:kern w:val="28"/>
      <w:sz w:val="32"/>
      <w:szCs w:val="32"/>
    </w:rPr>
  </w:style>
  <w:style w:type="character" w:customStyle="1" w:styleId="259">
    <w:name w:val="Comment Subject Char"/>
    <w:qFormat/>
    <w:locked/>
    <w:uiPriority w:val="0"/>
    <w:rPr>
      <w:rFonts w:ascii="宋体" w:hAnsi="Times New Roman"/>
      <w:b/>
      <w:sz w:val="28"/>
    </w:rPr>
  </w:style>
  <w:style w:type="character" w:customStyle="1" w:styleId="260">
    <w:name w:val="引用 Char"/>
    <w:qFormat/>
    <w:uiPriority w:val="0"/>
    <w:rPr>
      <w:i/>
      <w:iCs/>
      <w:color w:val="000000"/>
      <w:kern w:val="2"/>
      <w:sz w:val="21"/>
      <w:szCs w:val="22"/>
    </w:rPr>
  </w:style>
  <w:style w:type="character" w:customStyle="1" w:styleId="261">
    <w:name w:val="z-窗体顶端 Char2"/>
    <w:qFormat/>
    <w:uiPriority w:val="99"/>
    <w:rPr>
      <w:rFonts w:ascii="Arial" w:hAnsi="Arial" w:cs="Arial"/>
      <w:vanish/>
      <w:kern w:val="2"/>
      <w:sz w:val="16"/>
      <w:szCs w:val="16"/>
    </w:rPr>
  </w:style>
  <w:style w:type="character" w:customStyle="1" w:styleId="262">
    <w:name w:val="正文文本 Char3"/>
    <w:qFormat/>
    <w:uiPriority w:val="0"/>
    <w:rPr>
      <w:kern w:val="2"/>
      <w:sz w:val="21"/>
    </w:rPr>
  </w:style>
  <w:style w:type="character" w:customStyle="1" w:styleId="263">
    <w:name w:val="签名 Char1"/>
    <w:qFormat/>
    <w:uiPriority w:val="99"/>
    <w:rPr>
      <w:kern w:val="2"/>
      <w:sz w:val="21"/>
    </w:rPr>
  </w:style>
  <w:style w:type="character" w:customStyle="1" w:styleId="264">
    <w:name w:val="页脚 Char"/>
    <w:qFormat/>
    <w:uiPriority w:val="99"/>
    <w:rPr>
      <w:kern w:val="2"/>
      <w:sz w:val="18"/>
      <w:szCs w:val="18"/>
    </w:rPr>
  </w:style>
  <w:style w:type="character" w:customStyle="1" w:styleId="265">
    <w:name w:val="chanpinfont"/>
    <w:basedOn w:val="73"/>
    <w:qFormat/>
    <w:uiPriority w:val="0"/>
  </w:style>
  <w:style w:type="character" w:customStyle="1" w:styleId="266">
    <w:name w:val="不明显强调1"/>
    <w:qFormat/>
    <w:uiPriority w:val="0"/>
    <w:rPr>
      <w:rFonts w:cs="Times New Roman"/>
      <w:i/>
      <w:color w:val="808080"/>
    </w:rPr>
  </w:style>
  <w:style w:type="character" w:customStyle="1" w:styleId="267">
    <w:name w:val="ft331"/>
    <w:qFormat/>
    <w:uiPriority w:val="0"/>
    <w:rPr>
      <w:rFonts w:hint="default" w:ascii="Times" w:hAnsi="Times"/>
      <w:color w:val="000000"/>
      <w:spacing w:val="16"/>
      <w:sz w:val="15"/>
      <w:szCs w:val="15"/>
    </w:rPr>
  </w:style>
  <w:style w:type="character" w:customStyle="1" w:styleId="268">
    <w:name w:val="v151"/>
    <w:qFormat/>
    <w:uiPriority w:val="0"/>
    <w:rPr>
      <w:spacing w:val="280"/>
      <w:sz w:val="18"/>
      <w:szCs w:val="18"/>
    </w:rPr>
  </w:style>
  <w:style w:type="character" w:customStyle="1" w:styleId="269">
    <w:name w:val="Heading 4 Char"/>
    <w:qFormat/>
    <w:locked/>
    <w:uiPriority w:val="0"/>
    <w:rPr>
      <w:rFonts w:ascii="Cambria" w:hAnsi="Cambria" w:eastAsia="宋体" w:cs="Times New Roman"/>
      <w:b/>
      <w:bCs/>
      <w:sz w:val="28"/>
      <w:szCs w:val="28"/>
    </w:rPr>
  </w:style>
  <w:style w:type="character" w:customStyle="1" w:styleId="270">
    <w:name w:val="Char Char3"/>
    <w:qFormat/>
    <w:uiPriority w:val="0"/>
    <w:rPr>
      <w:rFonts w:ascii="宋体" w:hAnsi="Courier New" w:eastAsia="幼圆"/>
      <w:kern w:val="2"/>
      <w:sz w:val="21"/>
    </w:rPr>
  </w:style>
  <w:style w:type="character" w:customStyle="1" w:styleId="271">
    <w:name w:val="Body Text Char"/>
    <w:qFormat/>
    <w:locked/>
    <w:uiPriority w:val="0"/>
    <w:rPr>
      <w:rFonts w:ascii="Times New Roman" w:hAnsi="Times New Roman"/>
    </w:rPr>
  </w:style>
  <w:style w:type="character" w:customStyle="1" w:styleId="272">
    <w:name w:val="Title Char2"/>
    <w:qFormat/>
    <w:locked/>
    <w:uiPriority w:val="0"/>
    <w:rPr>
      <w:rFonts w:ascii="Cambria" w:hAnsi="Cambria" w:eastAsia="宋体" w:cs="Times New Roman"/>
      <w:b/>
      <w:bCs/>
      <w:sz w:val="32"/>
      <w:szCs w:val="32"/>
    </w:rPr>
  </w:style>
  <w:style w:type="character" w:customStyle="1" w:styleId="273">
    <w:name w:val="标题 Char1"/>
    <w:qFormat/>
    <w:uiPriority w:val="0"/>
    <w:rPr>
      <w:rFonts w:ascii="Cambria" w:hAnsi="Cambria" w:cs="Times New Roman"/>
      <w:b/>
      <w:bCs/>
      <w:kern w:val="2"/>
      <w:sz w:val="32"/>
      <w:szCs w:val="32"/>
    </w:rPr>
  </w:style>
  <w:style w:type="character" w:customStyle="1" w:styleId="274">
    <w:name w:val="浅色底纹 - 强调文字颜色 2 Char"/>
    <w:link w:val="275"/>
    <w:qFormat/>
    <w:uiPriority w:val="0"/>
    <w:rPr>
      <w:b/>
      <w:bCs/>
      <w:i/>
      <w:iCs/>
      <w:color w:val="4F81BD"/>
      <w:kern w:val="2"/>
      <w:sz w:val="21"/>
      <w:szCs w:val="22"/>
    </w:rPr>
  </w:style>
  <w:style w:type="paragraph" w:customStyle="1" w:styleId="275">
    <w:name w:val="浅色底纹 - 强调文字颜色 21"/>
    <w:basedOn w:val="1"/>
    <w:next w:val="1"/>
    <w:link w:val="274"/>
    <w:qFormat/>
    <w:uiPriority w:val="0"/>
    <w:pPr>
      <w:pBdr>
        <w:bottom w:val="single" w:color="4F81BD" w:sz="4" w:space="4"/>
      </w:pBdr>
      <w:spacing w:before="200" w:after="280"/>
      <w:ind w:left="936" w:right="936"/>
    </w:pPr>
    <w:rPr>
      <w:b/>
      <w:bCs/>
      <w:i/>
      <w:iCs/>
      <w:color w:val="4F81BD"/>
      <w:szCs w:val="22"/>
    </w:rPr>
  </w:style>
  <w:style w:type="character" w:customStyle="1" w:styleId="276">
    <w:name w:val="paramname3"/>
    <w:qFormat/>
    <w:uiPriority w:val="0"/>
    <w:rPr>
      <w:color w:val="999999"/>
    </w:rPr>
  </w:style>
  <w:style w:type="character" w:customStyle="1" w:styleId="277">
    <w:name w:val="正文首行缩进 Char"/>
    <w:qFormat/>
    <w:uiPriority w:val="0"/>
    <w:rPr>
      <w:rFonts w:ascii="宋体" w:hAnsi="宋体"/>
      <w:kern w:val="2"/>
      <w:sz w:val="21"/>
      <w:szCs w:val="24"/>
    </w:rPr>
  </w:style>
  <w:style w:type="character" w:customStyle="1" w:styleId="278">
    <w:name w:val="apple-converted-space"/>
    <w:basedOn w:val="73"/>
    <w:qFormat/>
    <w:uiPriority w:val="0"/>
  </w:style>
  <w:style w:type="character" w:customStyle="1" w:styleId="279">
    <w:name w:val="标题4 Char"/>
    <w:qFormat/>
    <w:locked/>
    <w:uiPriority w:val="0"/>
    <w:rPr>
      <w:rFonts w:ascii="Times New Roman" w:hAnsi="Times New Roman" w:eastAsia="宋体" w:cs="Times New Roman"/>
      <w:b/>
      <w:sz w:val="24"/>
      <w:szCs w:val="24"/>
    </w:rPr>
  </w:style>
  <w:style w:type="character" w:customStyle="1" w:styleId="280">
    <w:name w:val="Heading 9 Char"/>
    <w:qFormat/>
    <w:locked/>
    <w:uiPriority w:val="0"/>
    <w:rPr>
      <w:rFonts w:ascii="Cambria" w:hAnsi="Cambria" w:eastAsia="宋体" w:cs="Times New Roman"/>
      <w:sz w:val="21"/>
      <w:szCs w:val="21"/>
    </w:rPr>
  </w:style>
  <w:style w:type="character" w:customStyle="1" w:styleId="281">
    <w:name w:val="批注框文本 Char3"/>
    <w:semiHidden/>
    <w:qFormat/>
    <w:uiPriority w:val="99"/>
    <w:rPr>
      <w:kern w:val="2"/>
      <w:sz w:val="18"/>
      <w:szCs w:val="18"/>
    </w:rPr>
  </w:style>
  <w:style w:type="character" w:customStyle="1" w:styleId="282">
    <w:name w:val="z-窗体底端 Char"/>
    <w:link w:val="283"/>
    <w:qFormat/>
    <w:uiPriority w:val="0"/>
    <w:rPr>
      <w:rFonts w:ascii="Arial" w:hAnsi="Arial"/>
      <w:vanish/>
      <w:sz w:val="16"/>
      <w:szCs w:val="16"/>
    </w:rPr>
  </w:style>
  <w:style w:type="paragraph" w:customStyle="1" w:styleId="283">
    <w:name w:val="HTML Bottom of Form"/>
    <w:basedOn w:val="1"/>
    <w:next w:val="1"/>
    <w:link w:val="282"/>
    <w:qFormat/>
    <w:uiPriority w:val="0"/>
    <w:pPr>
      <w:widowControl/>
      <w:pBdr>
        <w:top w:val="single" w:color="auto" w:sz="6" w:space="1"/>
      </w:pBdr>
      <w:jc w:val="center"/>
    </w:pPr>
    <w:rPr>
      <w:rFonts w:ascii="Arial" w:hAnsi="Arial"/>
      <w:vanish/>
      <w:kern w:val="0"/>
      <w:sz w:val="16"/>
      <w:szCs w:val="16"/>
    </w:rPr>
  </w:style>
  <w:style w:type="character" w:customStyle="1" w:styleId="284">
    <w:name w:val="Char Char6"/>
    <w:qFormat/>
    <w:uiPriority w:val="0"/>
    <w:rPr>
      <w:kern w:val="2"/>
      <w:sz w:val="18"/>
      <w:szCs w:val="18"/>
    </w:rPr>
  </w:style>
  <w:style w:type="character" w:customStyle="1" w:styleId="285">
    <w:name w:val="text11"/>
    <w:qFormat/>
    <w:uiPriority w:val="0"/>
    <w:rPr>
      <w:color w:val="666666"/>
      <w:sz w:val="21"/>
      <w:szCs w:val="21"/>
    </w:rPr>
  </w:style>
  <w:style w:type="character" w:customStyle="1" w:styleId="286">
    <w:name w:val="Heading 2 Char"/>
    <w:qFormat/>
    <w:locked/>
    <w:uiPriority w:val="0"/>
    <w:rPr>
      <w:rFonts w:ascii="Cambria" w:hAnsi="Cambria" w:eastAsia="宋体" w:cs="Times New Roman"/>
      <w:b/>
      <w:bCs/>
      <w:sz w:val="32"/>
      <w:szCs w:val="32"/>
    </w:rPr>
  </w:style>
  <w:style w:type="character" w:customStyle="1" w:styleId="287">
    <w:name w:val="shouchang1"/>
    <w:qFormat/>
    <w:uiPriority w:val="0"/>
    <w:rPr>
      <w:color w:val="000000"/>
      <w:sz w:val="11"/>
      <w:szCs w:val="11"/>
      <w:u w:val="none"/>
    </w:rPr>
  </w:style>
  <w:style w:type="character" w:customStyle="1" w:styleId="288">
    <w:name w:val="mainfield"/>
    <w:qFormat/>
    <w:uiPriority w:val="0"/>
    <w:rPr>
      <w:b/>
    </w:rPr>
  </w:style>
  <w:style w:type="character" w:customStyle="1" w:styleId="289">
    <w:name w:val="正文文本 3 Char1"/>
    <w:semiHidden/>
    <w:qFormat/>
    <w:uiPriority w:val="99"/>
    <w:rPr>
      <w:kern w:val="2"/>
      <w:sz w:val="16"/>
      <w:szCs w:val="16"/>
    </w:rPr>
  </w:style>
  <w:style w:type="character" w:customStyle="1" w:styleId="290">
    <w:name w:val="font161"/>
    <w:qFormat/>
    <w:uiPriority w:val="0"/>
    <w:rPr>
      <w:b/>
      <w:sz w:val="32"/>
    </w:rPr>
  </w:style>
  <w:style w:type="character" w:customStyle="1" w:styleId="291">
    <w:name w:val="Heading 5 Char"/>
    <w:qFormat/>
    <w:locked/>
    <w:uiPriority w:val="0"/>
    <w:rPr>
      <w:rFonts w:ascii="Calibri" w:hAnsi="Calibri" w:eastAsia="宋体" w:cs="Times New Roman"/>
      <w:b/>
      <w:bCs/>
      <w:sz w:val="28"/>
      <w:szCs w:val="28"/>
    </w:rPr>
  </w:style>
  <w:style w:type="character" w:customStyle="1" w:styleId="292">
    <w:name w:val="xkr1"/>
    <w:qFormat/>
    <w:uiPriority w:val="0"/>
    <w:rPr>
      <w:rFonts w:ascii="楷体_GB2312" w:hAnsi="楷体_GB2312"/>
      <w:color w:val="000000"/>
      <w:sz w:val="29"/>
    </w:rPr>
  </w:style>
  <w:style w:type="character" w:customStyle="1" w:styleId="293">
    <w:name w:val="ca-13"/>
    <w:qFormat/>
    <w:uiPriority w:val="0"/>
    <w:rPr>
      <w:rFonts w:hint="eastAsia" w:ascii="宋体" w:hAnsi="宋体" w:eastAsia="宋体"/>
      <w:color w:val="000000"/>
      <w:sz w:val="21"/>
      <w:szCs w:val="21"/>
    </w:rPr>
  </w:style>
  <w:style w:type="character" w:customStyle="1" w:styleId="294">
    <w:name w:val="Footer Char"/>
    <w:qFormat/>
    <w:locked/>
    <w:uiPriority w:val="0"/>
    <w:rPr>
      <w:sz w:val="18"/>
    </w:rPr>
  </w:style>
  <w:style w:type="character" w:customStyle="1" w:styleId="295">
    <w:name w:val="正文文本 2 Char2"/>
    <w:semiHidden/>
    <w:qFormat/>
    <w:uiPriority w:val="99"/>
    <w:rPr>
      <w:kern w:val="2"/>
      <w:sz w:val="21"/>
      <w:szCs w:val="24"/>
    </w:rPr>
  </w:style>
  <w:style w:type="character" w:customStyle="1" w:styleId="296">
    <w:name w:val="maintitle1"/>
    <w:qFormat/>
    <w:uiPriority w:val="0"/>
    <w:rPr>
      <w:b/>
      <w:color w:val="0066CC"/>
      <w:sz w:val="30"/>
      <w:u w:val="none"/>
    </w:rPr>
  </w:style>
  <w:style w:type="character" w:customStyle="1" w:styleId="297">
    <w:name w:val="明显强调1"/>
    <w:qFormat/>
    <w:uiPriority w:val="0"/>
    <w:rPr>
      <w:rFonts w:cs="Times New Roman"/>
      <w:b/>
      <w:i/>
      <w:color w:val="4F81BD"/>
    </w:rPr>
  </w:style>
  <w:style w:type="character" w:customStyle="1" w:styleId="298">
    <w:name w:val="style6"/>
    <w:qFormat/>
    <w:uiPriority w:val="0"/>
  </w:style>
  <w:style w:type="character" w:customStyle="1" w:styleId="299">
    <w:name w:val="批注框文本 Char2"/>
    <w:qFormat/>
    <w:uiPriority w:val="0"/>
    <w:rPr>
      <w:kern w:val="2"/>
      <w:sz w:val="18"/>
      <w:szCs w:val="18"/>
    </w:rPr>
  </w:style>
  <w:style w:type="character" w:customStyle="1" w:styleId="300">
    <w:name w:val="彩色列表 - 强调文字颜色 1 Char"/>
    <w:link w:val="301"/>
    <w:qFormat/>
    <w:uiPriority w:val="34"/>
    <w:rPr>
      <w:rFonts w:ascii="Calibri" w:hAnsi="Calibri"/>
      <w:kern w:val="2"/>
      <w:sz w:val="21"/>
      <w:szCs w:val="22"/>
    </w:rPr>
  </w:style>
  <w:style w:type="paragraph" w:customStyle="1" w:styleId="301">
    <w:name w:val="彩色列表 - 强调文字颜色 11"/>
    <w:basedOn w:val="1"/>
    <w:link w:val="300"/>
    <w:qFormat/>
    <w:uiPriority w:val="34"/>
    <w:pPr>
      <w:ind w:firstLine="420" w:firstLineChars="200"/>
    </w:pPr>
    <w:rPr>
      <w:rFonts w:ascii="Calibri" w:hAnsi="Calibri"/>
      <w:szCs w:val="22"/>
    </w:rPr>
  </w:style>
  <w:style w:type="character" w:customStyle="1" w:styleId="302">
    <w:name w:val="Quote Char2"/>
    <w:link w:val="303"/>
    <w:qFormat/>
    <w:locked/>
    <w:uiPriority w:val="0"/>
    <w:rPr>
      <w:rFonts w:ascii="Calibri" w:hAnsi="Calibri"/>
      <w:i/>
      <w:color w:val="000000"/>
    </w:rPr>
  </w:style>
  <w:style w:type="paragraph" w:customStyle="1" w:styleId="303">
    <w:name w:val="引用1"/>
    <w:basedOn w:val="1"/>
    <w:next w:val="1"/>
    <w:link w:val="302"/>
    <w:qFormat/>
    <w:uiPriority w:val="0"/>
    <w:rPr>
      <w:rFonts w:ascii="Calibri" w:hAnsi="Calibri"/>
      <w:i/>
      <w:color w:val="000000"/>
      <w:kern w:val="0"/>
      <w:sz w:val="20"/>
    </w:rPr>
  </w:style>
  <w:style w:type="character" w:customStyle="1" w:styleId="304">
    <w:name w:val="正文首行缩进 Char1"/>
    <w:semiHidden/>
    <w:qFormat/>
    <w:uiPriority w:val="99"/>
  </w:style>
  <w:style w:type="character" w:customStyle="1" w:styleId="305">
    <w:name w:val="批注文字 Char Char"/>
    <w:qFormat/>
    <w:uiPriority w:val="0"/>
    <w:rPr>
      <w:rFonts w:ascii="宋体" w:hAnsi="Times New Roman" w:eastAsia="宋体" w:cs="Times New Roman"/>
      <w:sz w:val="28"/>
      <w:szCs w:val="20"/>
    </w:rPr>
  </w:style>
  <w:style w:type="character" w:customStyle="1" w:styleId="306">
    <w:name w:val="Intense Quote Char"/>
    <w:qFormat/>
    <w:locked/>
    <w:uiPriority w:val="0"/>
    <w:rPr>
      <w:b/>
      <w:i/>
      <w:color w:val="4F81BD"/>
    </w:rPr>
  </w:style>
  <w:style w:type="character" w:customStyle="1" w:styleId="307">
    <w:name w:val="Subtle Reference"/>
    <w:qFormat/>
    <w:uiPriority w:val="0"/>
    <w:rPr>
      <w:smallCaps/>
      <w:color w:val="C0504D"/>
      <w:u w:val="single"/>
    </w:rPr>
  </w:style>
  <w:style w:type="character" w:customStyle="1" w:styleId="308">
    <w:name w:val="Date Char"/>
    <w:qFormat/>
    <w:locked/>
    <w:uiPriority w:val="0"/>
    <w:rPr>
      <w:rFonts w:ascii="宋体" w:hAnsi="Times New Roman"/>
      <w:sz w:val="28"/>
    </w:rPr>
  </w:style>
  <w:style w:type="character" w:customStyle="1" w:styleId="309">
    <w:name w:val="页眉 Char1"/>
    <w:semiHidden/>
    <w:qFormat/>
    <w:uiPriority w:val="99"/>
    <w:rPr>
      <w:kern w:val="2"/>
      <w:sz w:val="18"/>
      <w:szCs w:val="18"/>
    </w:rPr>
  </w:style>
  <w:style w:type="character" w:customStyle="1" w:styleId="310">
    <w:name w:val="正文文本 2 Char1"/>
    <w:qFormat/>
    <w:uiPriority w:val="0"/>
    <w:rPr>
      <w:kern w:val="2"/>
      <w:sz w:val="21"/>
      <w:szCs w:val="24"/>
    </w:rPr>
  </w:style>
  <w:style w:type="character" w:customStyle="1" w:styleId="311">
    <w:name w:val="pagetext1"/>
    <w:qFormat/>
    <w:uiPriority w:val="0"/>
    <w:rPr>
      <w:rFonts w:hint="eastAsia" w:ascii="宋体" w:hAnsi="宋体" w:eastAsia="宋体"/>
      <w:sz w:val="20"/>
      <w:szCs w:val="20"/>
    </w:rPr>
  </w:style>
  <w:style w:type="character" w:customStyle="1" w:styleId="312">
    <w:name w:val="标准正文 Char Char"/>
    <w:qFormat/>
    <w:uiPriority w:val="0"/>
    <w:rPr>
      <w:kern w:val="2"/>
      <w:sz w:val="24"/>
    </w:rPr>
  </w:style>
  <w:style w:type="character" w:customStyle="1" w:styleId="313">
    <w:name w:val="批注文字 Char1"/>
    <w:qFormat/>
    <w:uiPriority w:val="99"/>
    <w:rPr>
      <w:rFonts w:eastAsia="宋体"/>
      <w:kern w:val="2"/>
      <w:sz w:val="21"/>
      <w:lang w:val="en-US" w:eastAsia="zh-CN" w:bidi="ar-SA"/>
    </w:rPr>
  </w:style>
  <w:style w:type="character" w:customStyle="1" w:styleId="314">
    <w:name w:val="param-value"/>
    <w:basedOn w:val="73"/>
    <w:qFormat/>
    <w:uiPriority w:val="0"/>
  </w:style>
  <w:style w:type="character" w:customStyle="1" w:styleId="315">
    <w:name w:val="p121"/>
    <w:qFormat/>
    <w:uiPriority w:val="0"/>
    <w:rPr>
      <w:sz w:val="18"/>
      <w:szCs w:val="18"/>
      <w:u w:val="none"/>
    </w:rPr>
  </w:style>
  <w:style w:type="character" w:customStyle="1" w:styleId="316">
    <w:name w:val="批注框文本 Char1"/>
    <w:qFormat/>
    <w:uiPriority w:val="0"/>
    <w:rPr>
      <w:kern w:val="2"/>
      <w:sz w:val="18"/>
      <w:szCs w:val="18"/>
    </w:rPr>
  </w:style>
  <w:style w:type="character" w:customStyle="1" w:styleId="317">
    <w:name w:val="标题 2 Char Char Char Char"/>
    <w:qFormat/>
    <w:uiPriority w:val="0"/>
    <w:rPr>
      <w:rFonts w:ascii="Arial" w:hAnsi="Arial" w:eastAsia="黑体"/>
      <w:b/>
      <w:bCs/>
      <w:kern w:val="2"/>
      <w:sz w:val="32"/>
      <w:szCs w:val="32"/>
      <w:lang w:val="en-US" w:eastAsia="zh-CN" w:bidi="ar-SA"/>
    </w:rPr>
  </w:style>
  <w:style w:type="character" w:customStyle="1" w:styleId="318">
    <w:name w:val="Header Char"/>
    <w:qFormat/>
    <w:locked/>
    <w:uiPriority w:val="0"/>
    <w:rPr>
      <w:sz w:val="18"/>
    </w:rPr>
  </w:style>
  <w:style w:type="character" w:customStyle="1" w:styleId="319">
    <w:name w:val="Heading 6 Char"/>
    <w:qFormat/>
    <w:locked/>
    <w:uiPriority w:val="0"/>
    <w:rPr>
      <w:rFonts w:ascii="Cambria" w:hAnsi="Cambria" w:eastAsia="宋体" w:cs="Times New Roman"/>
      <w:b/>
      <w:bCs/>
      <w:sz w:val="24"/>
      <w:szCs w:val="24"/>
    </w:rPr>
  </w:style>
  <w:style w:type="character" w:customStyle="1" w:styleId="320">
    <w:name w:val="列出段落 Char2"/>
    <w:qFormat/>
    <w:uiPriority w:val="34"/>
    <w:rPr>
      <w:kern w:val="2"/>
      <w:sz w:val="21"/>
      <w:szCs w:val="22"/>
    </w:rPr>
  </w:style>
  <w:style w:type="character" w:customStyle="1" w:styleId="321">
    <w:name w:val="2级标题 Char"/>
    <w:link w:val="322"/>
    <w:qFormat/>
    <w:locked/>
    <w:uiPriority w:val="0"/>
    <w:rPr>
      <w:rFonts w:ascii="Arial" w:hAnsi="Arial"/>
      <w:b/>
      <w:kern w:val="2"/>
      <w:sz w:val="32"/>
      <w:szCs w:val="32"/>
    </w:rPr>
  </w:style>
  <w:style w:type="paragraph" w:customStyle="1" w:styleId="322">
    <w:name w:val="2级标题"/>
    <w:basedOn w:val="195"/>
    <w:link w:val="321"/>
    <w:qFormat/>
    <w:uiPriority w:val="0"/>
    <w:pPr>
      <w:ind w:firstLine="0" w:firstLineChars="0"/>
      <w:outlineLvl w:val="1"/>
    </w:pPr>
    <w:rPr>
      <w:rFonts w:ascii="Arial" w:hAnsi="Arial"/>
      <w:b/>
      <w:sz w:val="32"/>
      <w:szCs w:val="32"/>
    </w:rPr>
  </w:style>
  <w:style w:type="character" w:customStyle="1" w:styleId="323">
    <w:name w:val="日期 Char1"/>
    <w:qFormat/>
    <w:uiPriority w:val="0"/>
    <w:rPr>
      <w:kern w:val="2"/>
      <w:sz w:val="21"/>
      <w:szCs w:val="22"/>
    </w:rPr>
  </w:style>
  <w:style w:type="character" w:customStyle="1" w:styleId="324">
    <w:name w:val="文档结构图 Char1"/>
    <w:qFormat/>
    <w:uiPriority w:val="0"/>
    <w:rPr>
      <w:rFonts w:ascii="宋体"/>
      <w:kern w:val="2"/>
      <w:sz w:val="18"/>
      <w:szCs w:val="18"/>
    </w:rPr>
  </w:style>
  <w:style w:type="character" w:customStyle="1" w:styleId="325">
    <w:name w:val="正文首行缩进 2 Char1"/>
    <w:semiHidden/>
    <w:qFormat/>
    <w:uiPriority w:val="99"/>
    <w:rPr>
      <w:rFonts w:ascii="Times New Roman" w:hAnsi="Times New Roman" w:eastAsia="宋体" w:cs="Times New Roman"/>
      <w:kern w:val="2"/>
      <w:sz w:val="21"/>
      <w:szCs w:val="21"/>
    </w:rPr>
  </w:style>
  <w:style w:type="character" w:customStyle="1" w:styleId="326">
    <w:name w:val="纯文本 Char2"/>
    <w:qFormat/>
    <w:uiPriority w:val="0"/>
    <w:rPr>
      <w:rFonts w:ascii="宋体" w:hAnsi="Courier New" w:cs="Courier New"/>
      <w:kern w:val="2"/>
      <w:sz w:val="21"/>
      <w:szCs w:val="21"/>
    </w:rPr>
  </w:style>
  <w:style w:type="character" w:customStyle="1" w:styleId="327">
    <w:name w:val="Intense Quote Char2"/>
    <w:link w:val="328"/>
    <w:qFormat/>
    <w:locked/>
    <w:uiPriority w:val="0"/>
    <w:rPr>
      <w:rFonts w:ascii="Calibri" w:hAnsi="Calibri"/>
      <w:b/>
      <w:i/>
      <w:color w:val="4F81BD"/>
    </w:rPr>
  </w:style>
  <w:style w:type="paragraph" w:customStyle="1" w:styleId="328">
    <w:name w:val="明显引用1"/>
    <w:basedOn w:val="1"/>
    <w:next w:val="1"/>
    <w:link w:val="327"/>
    <w:qFormat/>
    <w:uiPriority w:val="0"/>
    <w:pPr>
      <w:pBdr>
        <w:bottom w:val="single" w:color="4F81BD" w:sz="4" w:space="4"/>
      </w:pBdr>
      <w:spacing w:before="200" w:after="280"/>
      <w:ind w:left="936" w:right="936"/>
    </w:pPr>
    <w:rPr>
      <w:rFonts w:ascii="Calibri" w:hAnsi="Calibri"/>
      <w:b/>
      <w:i/>
      <w:color w:val="4F81BD"/>
      <w:kern w:val="0"/>
      <w:sz w:val="20"/>
    </w:rPr>
  </w:style>
  <w:style w:type="character" w:customStyle="1" w:styleId="329">
    <w:name w:val="超链接1"/>
    <w:qFormat/>
    <w:uiPriority w:val="0"/>
    <w:rPr>
      <w:color w:val="0000FF"/>
      <w:u w:val="none"/>
    </w:rPr>
  </w:style>
  <w:style w:type="character" w:customStyle="1" w:styleId="330">
    <w:name w:val="Subtle Emphasis"/>
    <w:qFormat/>
    <w:uiPriority w:val="0"/>
    <w:rPr>
      <w:i/>
      <w:iCs/>
      <w:color w:val="808080"/>
    </w:rPr>
  </w:style>
  <w:style w:type="character" w:customStyle="1" w:styleId="331">
    <w:name w:val="font51"/>
    <w:qFormat/>
    <w:uiPriority w:val="0"/>
    <w:rPr>
      <w:rFonts w:hint="eastAsia" w:ascii="宋体" w:hAnsi="宋体" w:eastAsia="宋体" w:cs="宋体"/>
      <w:color w:val="000000"/>
      <w:sz w:val="22"/>
      <w:szCs w:val="22"/>
      <w:u w:val="none"/>
    </w:rPr>
  </w:style>
  <w:style w:type="character" w:customStyle="1" w:styleId="332">
    <w:name w:val="标题6 Char"/>
    <w:link w:val="333"/>
    <w:qFormat/>
    <w:locked/>
    <w:uiPriority w:val="0"/>
    <w:rPr>
      <w:rFonts w:ascii="Arial" w:hAnsi="Arial" w:eastAsia="黑体" w:cs="宋体"/>
      <w:b/>
      <w:bCs/>
      <w:kern w:val="2"/>
      <w:sz w:val="24"/>
      <w:lang w:val="en-US" w:eastAsia="zh-CN" w:bidi="ar-SA"/>
    </w:rPr>
  </w:style>
  <w:style w:type="paragraph" w:customStyle="1" w:styleId="333">
    <w:name w:val="标题6"/>
    <w:basedOn w:val="12"/>
    <w:next w:val="1"/>
    <w:link w:val="332"/>
    <w:qFormat/>
    <w:uiPriority w:val="0"/>
    <w:pPr>
      <w:keepLines/>
      <w:autoSpaceDE/>
      <w:autoSpaceDN/>
      <w:adjustRightInd/>
      <w:spacing w:beforeLines="0" w:afterLines="0" w:line="320" w:lineRule="auto"/>
      <w:jc w:val="both"/>
    </w:pPr>
    <w:rPr>
      <w:rFonts w:ascii="Arial" w:hAnsi="Arial" w:eastAsia="黑体" w:cs="宋体"/>
      <w:b/>
      <w:bCs/>
      <w:kern w:val="2"/>
      <w:sz w:val="24"/>
    </w:rPr>
  </w:style>
  <w:style w:type="character" w:customStyle="1" w:styleId="334">
    <w:name w:val="标题 2 Char1"/>
    <w:qFormat/>
    <w:uiPriority w:val="9"/>
    <w:rPr>
      <w:rFonts w:ascii="Arial" w:hAnsi="Arial"/>
      <w:b/>
      <w:kern w:val="2"/>
      <w:sz w:val="28"/>
    </w:rPr>
  </w:style>
  <w:style w:type="character" w:customStyle="1" w:styleId="335">
    <w:name w:val="Title Char"/>
    <w:qFormat/>
    <w:locked/>
    <w:uiPriority w:val="0"/>
    <w:rPr>
      <w:rFonts w:ascii="Cambria" w:hAnsi="Cambria"/>
      <w:b/>
      <w:sz w:val="32"/>
    </w:rPr>
  </w:style>
  <w:style w:type="character" w:customStyle="1" w:styleId="336">
    <w:name w:val="h31"/>
    <w:qFormat/>
    <w:uiPriority w:val="0"/>
    <w:rPr>
      <w:spacing w:val="314"/>
      <w:sz w:val="20"/>
      <w:szCs w:val="20"/>
    </w:rPr>
  </w:style>
  <w:style w:type="character" w:customStyle="1" w:styleId="337">
    <w:name w:val="样式1 Char Char"/>
    <w:link w:val="338"/>
    <w:qFormat/>
    <w:locked/>
    <w:uiPriority w:val="0"/>
    <w:rPr>
      <w:rFonts w:ascii="宋体" w:hAnsi="宋体"/>
      <w:sz w:val="21"/>
    </w:rPr>
  </w:style>
  <w:style w:type="paragraph" w:customStyle="1" w:styleId="338">
    <w:name w:val="样式1"/>
    <w:basedOn w:val="1"/>
    <w:link w:val="337"/>
    <w:qFormat/>
    <w:uiPriority w:val="0"/>
    <w:pPr>
      <w:tabs>
        <w:tab w:val="left" w:pos="709"/>
      </w:tabs>
      <w:adjustRightInd w:val="0"/>
      <w:ind w:left="709" w:hanging="709"/>
      <w:textAlignment w:val="baseline"/>
    </w:pPr>
    <w:rPr>
      <w:rFonts w:ascii="宋体" w:hAnsi="宋体"/>
      <w:kern w:val="0"/>
    </w:rPr>
  </w:style>
  <w:style w:type="character" w:customStyle="1" w:styleId="339">
    <w:name w:val="Subtitle Char2"/>
    <w:qFormat/>
    <w:locked/>
    <w:uiPriority w:val="0"/>
    <w:rPr>
      <w:rFonts w:ascii="Cambria" w:hAnsi="Cambria" w:eastAsia="宋体" w:cs="Times New Roman"/>
      <w:b/>
      <w:bCs/>
      <w:kern w:val="28"/>
      <w:sz w:val="32"/>
      <w:szCs w:val="32"/>
    </w:rPr>
  </w:style>
  <w:style w:type="character" w:customStyle="1" w:styleId="340">
    <w:name w:val="Char Char16"/>
    <w:qFormat/>
    <w:uiPriority w:val="0"/>
    <w:rPr>
      <w:rFonts w:ascii="Arial" w:hAnsi="Arial" w:eastAsia="黑体"/>
      <w:b/>
      <w:bCs/>
      <w:kern w:val="2"/>
      <w:sz w:val="32"/>
      <w:szCs w:val="32"/>
      <w:lang w:val="en-US" w:eastAsia="zh-CN" w:bidi="ar-SA"/>
    </w:rPr>
  </w:style>
  <w:style w:type="character" w:customStyle="1" w:styleId="341">
    <w:name w:val="style"/>
    <w:qFormat/>
    <w:uiPriority w:val="0"/>
  </w:style>
  <w:style w:type="character" w:customStyle="1" w:styleId="342">
    <w:name w:val="font81"/>
    <w:qFormat/>
    <w:uiPriority w:val="0"/>
    <w:rPr>
      <w:rFonts w:hint="eastAsia" w:ascii="宋体" w:hAnsi="宋体" w:eastAsia="宋体" w:cs="宋体"/>
      <w:color w:val="000000"/>
      <w:sz w:val="18"/>
      <w:szCs w:val="18"/>
      <w:u w:val="none"/>
    </w:rPr>
  </w:style>
  <w:style w:type="character" w:customStyle="1" w:styleId="343">
    <w:name w:val="unnamed5 style4"/>
    <w:qFormat/>
    <w:uiPriority w:val="0"/>
    <w:rPr>
      <w:rFonts w:cs="Times New Roman"/>
    </w:rPr>
  </w:style>
  <w:style w:type="character" w:customStyle="1" w:styleId="344">
    <w:name w:val="style111"/>
    <w:qFormat/>
    <w:uiPriority w:val="0"/>
    <w:rPr>
      <w:color w:val="0000FF"/>
    </w:rPr>
  </w:style>
  <w:style w:type="character" w:customStyle="1" w:styleId="345">
    <w:name w:val="font011"/>
    <w:qFormat/>
    <w:uiPriority w:val="0"/>
    <w:rPr>
      <w:b/>
      <w:bCs/>
      <w:color w:val="0C5697"/>
    </w:rPr>
  </w:style>
  <w:style w:type="character" w:customStyle="1" w:styleId="346">
    <w:name w:val="style231"/>
    <w:qFormat/>
    <w:uiPriority w:val="0"/>
    <w:rPr>
      <w:b/>
      <w:bCs/>
      <w:color w:val="FF0000"/>
      <w:sz w:val="16"/>
      <w:szCs w:val="16"/>
    </w:rPr>
  </w:style>
  <w:style w:type="character" w:customStyle="1" w:styleId="347">
    <w:name w:val="main11"/>
    <w:qFormat/>
    <w:uiPriority w:val="0"/>
    <w:rPr>
      <w:rFonts w:hint="default" w:ascii="Arial" w:hAnsi="Arial"/>
      <w:color w:val="000000"/>
      <w:sz w:val="18"/>
      <w:u w:val="none"/>
    </w:rPr>
  </w:style>
  <w:style w:type="character" w:customStyle="1" w:styleId="348">
    <w:name w:val="param-explain"/>
    <w:qFormat/>
    <w:uiPriority w:val="0"/>
  </w:style>
  <w:style w:type="character" w:customStyle="1" w:styleId="349">
    <w:name w:val="正文文本 Char"/>
    <w:qFormat/>
    <w:uiPriority w:val="0"/>
    <w:rPr>
      <w:kern w:val="2"/>
      <w:sz w:val="21"/>
      <w:szCs w:val="24"/>
    </w:rPr>
  </w:style>
  <w:style w:type="paragraph" w:customStyle="1" w:styleId="350">
    <w:name w:val="p1"/>
    <w:basedOn w:val="1"/>
    <w:qFormat/>
    <w:uiPriority w:val="0"/>
    <w:pPr>
      <w:widowControl/>
      <w:jc w:val="left"/>
    </w:pPr>
    <w:rPr>
      <w:kern w:val="0"/>
      <w:sz w:val="22"/>
      <w:szCs w:val="22"/>
    </w:rPr>
  </w:style>
  <w:style w:type="paragraph" w:customStyle="1" w:styleId="351">
    <w:name w:val="link"/>
    <w:basedOn w:val="1"/>
    <w:qFormat/>
    <w:uiPriority w:val="0"/>
    <w:pPr>
      <w:widowControl/>
      <w:spacing w:before="100" w:beforeAutospacing="1" w:after="100" w:afterAutospacing="1"/>
      <w:jc w:val="left"/>
    </w:pPr>
    <w:rPr>
      <w:rFonts w:ascii="ˎ̥" w:hAnsi="ˎ̥"/>
      <w:color w:val="336699"/>
      <w:kern w:val="0"/>
      <w:sz w:val="18"/>
    </w:rPr>
  </w:style>
  <w:style w:type="paragraph" w:customStyle="1" w:styleId="352">
    <w:name w:val="一级标题"/>
    <w:basedOn w:val="1"/>
    <w:next w:val="353"/>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353">
    <w:name w:val="二级标题"/>
    <w:basedOn w:val="1"/>
    <w:next w:val="354"/>
    <w:qFormat/>
    <w:uiPriority w:val="0"/>
    <w:pPr>
      <w:tabs>
        <w:tab w:val="left" w:pos="992"/>
      </w:tabs>
      <w:ind w:left="992" w:hanging="567"/>
      <w:outlineLvl w:val="1"/>
    </w:pPr>
    <w:rPr>
      <w:rFonts w:ascii="黑体" w:eastAsia="黑体"/>
      <w:sz w:val="28"/>
      <w:szCs w:val="24"/>
    </w:rPr>
  </w:style>
  <w:style w:type="paragraph" w:customStyle="1" w:styleId="35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355">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6">
    <w:name w:val="样式 标题 2 + Times New Roman 四号 非加粗 段前: 5 磅 段后: 0 磅 行距: 固定值 20..."/>
    <w:basedOn w:val="8"/>
    <w:qFormat/>
    <w:uiPriority w:val="0"/>
    <w:pPr>
      <w:spacing w:before="100" w:after="0" w:line="400" w:lineRule="exact"/>
      <w:ind w:firstLine="0"/>
      <w:jc w:val="both"/>
    </w:pPr>
    <w:rPr>
      <w:rFonts w:ascii="Times New Roman" w:hAnsi="Times New Roman" w:eastAsia="宋体"/>
      <w:b w:val="0"/>
      <w:bCs w:val="0"/>
      <w:sz w:val="28"/>
      <w:szCs w:val="20"/>
    </w:rPr>
  </w:style>
  <w:style w:type="paragraph" w:customStyle="1" w:styleId="357">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58">
    <w:name w:val="xl249"/>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359">
    <w:name w:val="样式2"/>
    <w:basedOn w:val="1"/>
    <w:qFormat/>
    <w:uiPriority w:val="0"/>
    <w:pPr>
      <w:ind w:firstLine="540" w:firstLineChars="225"/>
    </w:pPr>
    <w:rPr>
      <w:sz w:val="24"/>
    </w:rPr>
  </w:style>
  <w:style w:type="paragraph" w:customStyle="1" w:styleId="360">
    <w:name w:val="Char Char Char Char Char Char Char"/>
    <w:basedOn w:val="1"/>
    <w:qFormat/>
    <w:uiPriority w:val="0"/>
    <w:rPr>
      <w:szCs w:val="24"/>
    </w:rPr>
  </w:style>
  <w:style w:type="paragraph" w:customStyle="1" w:styleId="361">
    <w:name w:val="m_title"/>
    <w:basedOn w:val="1"/>
    <w:qFormat/>
    <w:uiPriority w:val="0"/>
    <w:pPr>
      <w:widowControl/>
      <w:spacing w:before="100" w:beforeAutospacing="1" w:after="100" w:afterAutospacing="1"/>
      <w:jc w:val="left"/>
    </w:pPr>
    <w:rPr>
      <w:rFonts w:ascii="ˎ̥" w:hAnsi="ˎ̥"/>
      <w:color w:val="FFFFFF"/>
      <w:kern w:val="0"/>
      <w:sz w:val="18"/>
    </w:rPr>
  </w:style>
  <w:style w:type="paragraph" w:customStyle="1" w:styleId="362">
    <w:name w:val="List Paragraph_9b970762-14a9-43ab-b627-ab24dd866b2c"/>
    <w:basedOn w:val="1"/>
    <w:qFormat/>
    <w:uiPriority w:val="34"/>
    <w:pPr>
      <w:ind w:firstLine="420" w:firstLineChars="200"/>
    </w:pPr>
    <w:rPr>
      <w:rFonts w:ascii="Calibri" w:hAnsi="Calibri"/>
      <w:szCs w:val="22"/>
    </w:rPr>
  </w:style>
  <w:style w:type="paragraph" w:customStyle="1" w:styleId="36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Char Char1"/>
    <w:basedOn w:val="1"/>
    <w:qFormat/>
    <w:uiPriority w:val="0"/>
    <w:rPr>
      <w:rFonts w:ascii="Tahoma" w:hAnsi="Tahoma"/>
      <w:sz w:val="24"/>
    </w:rPr>
  </w:style>
  <w:style w:type="paragraph" w:customStyle="1" w:styleId="36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6">
    <w:name w:val="r_title"/>
    <w:basedOn w:val="1"/>
    <w:qFormat/>
    <w:uiPriority w:val="0"/>
    <w:pPr>
      <w:widowControl/>
      <w:spacing w:before="100" w:beforeAutospacing="1" w:after="100" w:afterAutospacing="1"/>
      <w:jc w:val="left"/>
    </w:pPr>
    <w:rPr>
      <w:rFonts w:ascii="ˎ̥" w:hAnsi="ˎ̥"/>
      <w:color w:val="000000"/>
      <w:kern w:val="0"/>
      <w:sz w:val="18"/>
    </w:rPr>
  </w:style>
  <w:style w:type="paragraph" w:customStyle="1" w:styleId="367">
    <w:name w:val="xl42"/>
    <w:basedOn w:val="1"/>
    <w:qFormat/>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300" w:firstLineChars="300"/>
      <w:jc w:val="left"/>
      <w:textAlignment w:val="center"/>
    </w:pPr>
    <w:rPr>
      <w:rFonts w:eastAsia="Arial Unicode MS"/>
      <w:kern w:val="0"/>
      <w:sz w:val="22"/>
      <w:szCs w:val="22"/>
    </w:rPr>
  </w:style>
  <w:style w:type="paragraph" w:customStyle="1" w:styleId="368">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369">
    <w:name w:val="xl24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1">
    <w:name w:val="xl26"/>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372">
    <w:name w:val="二级条标题"/>
    <w:basedOn w:val="373"/>
    <w:next w:val="365"/>
    <w:qFormat/>
    <w:uiPriority w:val="0"/>
    <w:pPr>
      <w:outlineLvl w:val="3"/>
    </w:pPr>
  </w:style>
  <w:style w:type="paragraph" w:customStyle="1" w:styleId="373">
    <w:name w:val="一级条标题"/>
    <w:basedOn w:val="374"/>
    <w:next w:val="365"/>
    <w:qFormat/>
    <w:uiPriority w:val="0"/>
    <w:pPr>
      <w:spacing w:before="0" w:after="0"/>
      <w:outlineLvl w:val="2"/>
    </w:pPr>
    <w:rPr>
      <w:rFonts w:ascii="宋体" w:eastAsia="宋体"/>
    </w:rPr>
  </w:style>
  <w:style w:type="paragraph" w:customStyle="1" w:styleId="374">
    <w:name w:val="章标题"/>
    <w:next w:val="365"/>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375">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376">
    <w:name w:val="正文黑体"/>
    <w:basedOn w:val="377"/>
    <w:qFormat/>
    <w:uiPriority w:val="0"/>
    <w:pPr>
      <w:ind w:firstLine="480"/>
    </w:pPr>
    <w:rPr>
      <w:rFonts w:ascii="黑体" w:hAnsi="黑体" w:eastAsia="黑体"/>
    </w:rPr>
  </w:style>
  <w:style w:type="paragraph" w:customStyle="1" w:styleId="377">
    <w:name w:val="样式 首行缩进:  0 字符"/>
    <w:basedOn w:val="1"/>
    <w:qFormat/>
    <w:uiPriority w:val="0"/>
    <w:pPr>
      <w:spacing w:line="360" w:lineRule="auto"/>
      <w:ind w:firstLine="200" w:firstLineChars="200"/>
    </w:pPr>
    <w:rPr>
      <w:rFonts w:cs="宋体"/>
      <w:sz w:val="24"/>
    </w:rPr>
  </w:style>
  <w:style w:type="paragraph" w:customStyle="1" w:styleId="378">
    <w:name w:val="GP正文(首行缩进)"/>
    <w:basedOn w:val="1"/>
    <w:qFormat/>
    <w:uiPriority w:val="0"/>
    <w:pPr>
      <w:spacing w:line="360" w:lineRule="auto"/>
      <w:ind w:firstLine="480" w:firstLineChars="200"/>
      <w:jc w:val="left"/>
    </w:pPr>
    <w:rPr>
      <w:rFonts w:hAnsi="宋体"/>
      <w:sz w:val="24"/>
      <w:szCs w:val="24"/>
    </w:rPr>
  </w:style>
  <w:style w:type="paragraph" w:customStyle="1" w:styleId="379">
    <w:name w:val="xl92"/>
    <w:basedOn w:val="1"/>
    <w:qFormat/>
    <w:uiPriority w:val="0"/>
    <w:pPr>
      <w:widowControl/>
      <w:spacing w:before="100" w:beforeAutospacing="1" w:after="100" w:afterAutospacing="1"/>
      <w:jc w:val="center"/>
    </w:pPr>
    <w:rPr>
      <w:rFonts w:ascii="宋体" w:hAnsi="宋体" w:cs="宋体"/>
      <w:b/>
      <w:bCs/>
      <w:color w:val="000000"/>
      <w:kern w:val="0"/>
      <w:sz w:val="28"/>
      <w:szCs w:val="28"/>
    </w:rPr>
  </w:style>
  <w:style w:type="paragraph" w:customStyle="1" w:styleId="380">
    <w:name w:val="Pa6"/>
    <w:basedOn w:val="1"/>
    <w:next w:val="1"/>
    <w:qFormat/>
    <w:uiPriority w:val="0"/>
    <w:pPr>
      <w:autoSpaceDE w:val="0"/>
      <w:autoSpaceDN w:val="0"/>
      <w:adjustRightInd w:val="0"/>
      <w:spacing w:line="221" w:lineRule="atLeast"/>
      <w:jc w:val="left"/>
    </w:pPr>
    <w:rPr>
      <w:rFonts w:hint="eastAsia" w:ascii="幼圆" w:hAnsi="幼圆" w:eastAsia="幼圆" w:cs="幼圆"/>
      <w:kern w:val="0"/>
      <w:sz w:val="24"/>
      <w:szCs w:val="28"/>
    </w:rPr>
  </w:style>
  <w:style w:type="paragraph" w:customStyle="1" w:styleId="381">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ˎ̥" w:hAnsi="ˎ̥" w:cs="宋体"/>
      <w:color w:val="000000"/>
      <w:kern w:val="0"/>
      <w:sz w:val="18"/>
      <w:szCs w:val="18"/>
    </w:rPr>
  </w:style>
  <w:style w:type="paragraph" w:customStyle="1" w:styleId="382">
    <w:name w:val="图注1"/>
    <w:basedOn w:val="1"/>
    <w:qFormat/>
    <w:uiPriority w:val="99"/>
    <w:pPr>
      <w:widowControl/>
      <w:spacing w:before="5" w:line="300" w:lineRule="auto"/>
      <w:ind w:firstLine="200" w:firstLineChars="200"/>
      <w:jc w:val="center"/>
    </w:pPr>
    <w:rPr>
      <w:rFonts w:ascii="Calibri" w:hAnsi="Calibri"/>
      <w:sz w:val="24"/>
      <w:szCs w:val="21"/>
    </w:rPr>
  </w:style>
  <w:style w:type="paragraph" w:customStyle="1" w:styleId="383">
    <w:name w:val="TOC Heading1"/>
    <w:basedOn w:val="7"/>
    <w:next w:val="1"/>
    <w:qFormat/>
    <w:uiPriority w:val="99"/>
    <w:pPr>
      <w:widowControl/>
      <w:spacing w:before="480" w:after="0" w:line="276" w:lineRule="auto"/>
      <w:jc w:val="left"/>
      <w:outlineLvl w:val="9"/>
    </w:pPr>
    <w:rPr>
      <w:rFonts w:ascii="Cambria" w:hAnsi="Cambria" w:cs="Cambria"/>
      <w:color w:val="365F91"/>
      <w:kern w:val="0"/>
      <w:sz w:val="28"/>
      <w:szCs w:val="28"/>
      <w:u w:color="000000"/>
    </w:rPr>
  </w:style>
  <w:style w:type="paragraph" w:customStyle="1" w:styleId="3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楷体_GB2312"/>
      <w:kern w:val="0"/>
      <w:sz w:val="22"/>
      <w:szCs w:val="22"/>
    </w:rPr>
  </w:style>
  <w:style w:type="paragraph" w:customStyle="1" w:styleId="3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6">
    <w:name w:val="xl241"/>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87">
    <w:name w:val="List Paragraph1"/>
    <w:basedOn w:val="1"/>
    <w:qFormat/>
    <w:uiPriority w:val="0"/>
    <w:pPr>
      <w:ind w:firstLine="420" w:firstLineChars="200"/>
    </w:pPr>
    <w:rPr>
      <w:szCs w:val="22"/>
    </w:rPr>
  </w:style>
  <w:style w:type="paragraph" w:customStyle="1" w:styleId="388">
    <w:name w:val="正文序号 3"/>
    <w:basedOn w:val="1"/>
    <w:qFormat/>
    <w:uiPriority w:val="0"/>
    <w:pPr>
      <w:tabs>
        <w:tab w:val="left" w:pos="744"/>
        <w:tab w:val="left" w:pos="1259"/>
      </w:tabs>
      <w:spacing w:before="60"/>
      <w:ind w:left="744" w:hanging="744"/>
    </w:pPr>
    <w:rPr>
      <w:rFonts w:cs="Droid Sans"/>
      <w:sz w:val="18"/>
    </w:rPr>
  </w:style>
  <w:style w:type="paragraph" w:customStyle="1" w:styleId="389">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90">
    <w:name w:val="WPSOffice手动目录 1"/>
    <w:qFormat/>
    <w:uiPriority w:val="0"/>
    <w:rPr>
      <w:rFonts w:ascii="Times New Roman" w:hAnsi="Times New Roman" w:eastAsia="宋体" w:cs="Times New Roman"/>
      <w:lang w:val="en-US" w:eastAsia="zh-CN" w:bidi="ar-SA"/>
    </w:rPr>
  </w:style>
  <w:style w:type="paragraph" w:customStyle="1" w:styleId="391">
    <w:name w:val="D标4"/>
    <w:basedOn w:val="1"/>
    <w:next w:val="392"/>
    <w:qFormat/>
    <w:uiPriority w:val="0"/>
    <w:pPr>
      <w:tabs>
        <w:tab w:val="left" w:pos="1140"/>
        <w:tab w:val="left" w:pos="2700"/>
      </w:tabs>
      <w:autoSpaceDE w:val="0"/>
      <w:autoSpaceDN w:val="0"/>
      <w:adjustRightInd w:val="0"/>
      <w:spacing w:before="120" w:line="480" w:lineRule="atLeast"/>
    </w:pPr>
    <w:rPr>
      <w:rFonts w:ascii="Calibri" w:hAnsi="Calibri" w:cs="Droid Sans"/>
      <w:kern w:val="0"/>
      <w:sz w:val="24"/>
    </w:rPr>
  </w:style>
  <w:style w:type="paragraph" w:customStyle="1" w:styleId="392">
    <w:name w:val="D文1"/>
    <w:basedOn w:val="1"/>
    <w:qFormat/>
    <w:uiPriority w:val="0"/>
    <w:pPr>
      <w:tabs>
        <w:tab w:val="left" w:pos="720"/>
      </w:tabs>
      <w:autoSpaceDE w:val="0"/>
      <w:autoSpaceDN w:val="0"/>
      <w:adjustRightInd w:val="0"/>
      <w:spacing w:after="120" w:line="480" w:lineRule="atLeast"/>
      <w:ind w:left="680" w:firstLine="510"/>
    </w:pPr>
    <w:rPr>
      <w:rFonts w:ascii="Calibri" w:hAnsi="Calibri" w:cs="Droid Sans"/>
      <w:kern w:val="0"/>
      <w:sz w:val="24"/>
    </w:rPr>
  </w:style>
  <w:style w:type="paragraph" w:customStyle="1" w:styleId="39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94">
    <w:name w:val="Char Char Char Char Char Char Char Char Char Char Char Char"/>
    <w:basedOn w:val="24"/>
    <w:qFormat/>
    <w:uiPriority w:val="0"/>
    <w:pPr>
      <w:shd w:val="clear" w:color="auto" w:fill="auto"/>
    </w:pPr>
    <w:rPr>
      <w:rFonts w:ascii="宋体"/>
      <w:sz w:val="18"/>
      <w:szCs w:val="18"/>
    </w:rPr>
  </w:style>
  <w:style w:type="paragraph" w:customStyle="1" w:styleId="39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2"/>
      <w:szCs w:val="22"/>
    </w:rPr>
  </w:style>
  <w:style w:type="paragraph" w:customStyle="1" w:styleId="39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39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rPr>
  </w:style>
  <w:style w:type="paragraph" w:customStyle="1" w:styleId="398">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99">
    <w:name w:val="日期1"/>
    <w:basedOn w:val="1"/>
    <w:next w:val="1"/>
    <w:qFormat/>
    <w:uiPriority w:val="0"/>
    <w:pPr>
      <w:ind w:left="100" w:leftChars="2500"/>
    </w:pPr>
    <w:rPr>
      <w:sz w:val="24"/>
    </w:rPr>
  </w:style>
  <w:style w:type="paragraph" w:customStyle="1" w:styleId="400">
    <w:name w:val="eng"/>
    <w:basedOn w:val="1"/>
    <w:qFormat/>
    <w:uiPriority w:val="0"/>
    <w:pPr>
      <w:widowControl/>
      <w:spacing w:before="100" w:beforeAutospacing="1" w:after="100" w:afterAutospacing="1"/>
      <w:jc w:val="left"/>
    </w:pPr>
    <w:rPr>
      <w:rFonts w:ascii="Verdana" w:hAnsi="Verdana"/>
      <w:color w:val="FFFFFF"/>
      <w:kern w:val="0"/>
      <w:sz w:val="18"/>
    </w:rPr>
  </w:style>
  <w:style w:type="paragraph" w:customStyle="1" w:styleId="4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02">
    <w:name w:val="表1"/>
    <w:basedOn w:val="1"/>
    <w:qFormat/>
    <w:uiPriority w:val="0"/>
    <w:pPr>
      <w:spacing w:before="20" w:after="20" w:line="200" w:lineRule="exact"/>
      <w:jc w:val="left"/>
      <w:textAlignment w:val="center"/>
    </w:pPr>
    <w:rPr>
      <w:rFonts w:cs="Droid Sans"/>
      <w:snapToGrid w:val="0"/>
      <w:spacing w:val="20"/>
      <w:kern w:val="0"/>
      <w:sz w:val="18"/>
    </w:rPr>
  </w:style>
  <w:style w:type="paragraph" w:customStyle="1" w:styleId="403">
    <w:name w:val="noline"/>
    <w:basedOn w:val="1"/>
    <w:qFormat/>
    <w:uiPriority w:val="0"/>
    <w:pPr>
      <w:widowControl/>
      <w:spacing w:before="100" w:beforeAutospacing="1" w:after="100" w:afterAutospacing="1"/>
      <w:jc w:val="left"/>
    </w:pPr>
    <w:rPr>
      <w:rFonts w:ascii="ˎ̥" w:hAnsi="ˎ̥"/>
      <w:color w:val="000000"/>
      <w:kern w:val="0"/>
      <w:sz w:val="18"/>
    </w:rPr>
  </w:style>
  <w:style w:type="paragraph" w:customStyle="1" w:styleId="404">
    <w:name w:val="_Style 3"/>
    <w:basedOn w:val="1"/>
    <w:qFormat/>
    <w:uiPriority w:val="0"/>
    <w:pPr>
      <w:ind w:firstLine="420" w:firstLineChars="200"/>
    </w:pPr>
    <w:rPr>
      <w:rFonts w:ascii="Calibri" w:hAnsi="Calibri"/>
      <w:szCs w:val="24"/>
    </w:rPr>
  </w:style>
  <w:style w:type="paragraph" w:customStyle="1" w:styleId="405">
    <w:name w:val="Char Char Char Char Char Char Char Char Char Char Char Char1"/>
    <w:basedOn w:val="1"/>
    <w:qFormat/>
    <w:uiPriority w:val="0"/>
    <w:pPr>
      <w:spacing w:line="300" w:lineRule="auto"/>
    </w:pPr>
    <w:rPr>
      <w:rFonts w:ascii="宋体" w:hAnsi="宋体"/>
      <w:b/>
      <w:bCs/>
      <w:color w:val="000000"/>
      <w:spacing w:val="8"/>
      <w:kern w:val="0"/>
      <w:sz w:val="24"/>
      <w:szCs w:val="24"/>
    </w:rPr>
  </w:style>
  <w:style w:type="paragraph" w:customStyle="1" w:styleId="406">
    <w:name w:val="Table Paragraph"/>
    <w:basedOn w:val="1"/>
    <w:next w:val="1"/>
    <w:qFormat/>
    <w:uiPriority w:val="1"/>
    <w:pPr>
      <w:autoSpaceDE w:val="0"/>
      <w:autoSpaceDN w:val="0"/>
      <w:jc w:val="left"/>
    </w:pPr>
    <w:rPr>
      <w:rFonts w:ascii="宋体" w:hAnsi="宋体" w:cs="宋体"/>
      <w:kern w:val="0"/>
      <w:sz w:val="22"/>
      <w:szCs w:val="22"/>
      <w:lang w:val="zh-CN" w:bidi="zh-CN"/>
    </w:rPr>
  </w:style>
  <w:style w:type="paragraph" w:customStyle="1" w:styleId="4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40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40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10">
    <w:name w:val="列出段落3"/>
    <w:basedOn w:val="1"/>
    <w:qFormat/>
    <w:uiPriority w:val="0"/>
    <w:pPr>
      <w:ind w:firstLine="420" w:firstLineChars="200"/>
    </w:pPr>
  </w:style>
  <w:style w:type="paragraph" w:customStyle="1" w:styleId="411">
    <w:name w:val="xl76"/>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4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413">
    <w:name w:val="正文序号 4"/>
    <w:basedOn w:val="1"/>
    <w:qFormat/>
    <w:uiPriority w:val="0"/>
    <w:pPr>
      <w:tabs>
        <w:tab w:val="left" w:pos="744"/>
        <w:tab w:val="left" w:pos="1469"/>
      </w:tabs>
      <w:spacing w:before="60"/>
      <w:ind w:left="744" w:hanging="744"/>
    </w:pPr>
    <w:rPr>
      <w:rFonts w:cs="Droid Sans"/>
      <w:sz w:val="18"/>
    </w:rPr>
  </w:style>
  <w:style w:type="paragraph" w:customStyle="1" w:styleId="414">
    <w:name w:val="top"/>
    <w:basedOn w:val="1"/>
    <w:qFormat/>
    <w:uiPriority w:val="0"/>
    <w:pPr>
      <w:widowControl/>
      <w:spacing w:before="100" w:beforeAutospacing="1" w:after="100" w:afterAutospacing="1"/>
      <w:jc w:val="left"/>
    </w:pPr>
    <w:rPr>
      <w:rFonts w:ascii="ˎ̥" w:hAnsi="ˎ̥"/>
      <w:color w:val="FFFFFF"/>
      <w:kern w:val="0"/>
      <w:sz w:val="18"/>
    </w:rPr>
  </w:style>
  <w:style w:type="paragraph" w:customStyle="1" w:styleId="415">
    <w:name w:val="TOC Heading"/>
    <w:basedOn w:val="7"/>
    <w:next w:val="1"/>
    <w:qFormat/>
    <w:uiPriority w:val="39"/>
    <w:pPr>
      <w:spacing w:after="260" w:line="360" w:lineRule="auto"/>
      <w:outlineLvl w:val="9"/>
    </w:pPr>
    <w:rPr>
      <w:rFonts w:ascii="Calibri" w:hAnsi="Calibri"/>
      <w:sz w:val="32"/>
    </w:rPr>
  </w:style>
  <w:style w:type="paragraph" w:customStyle="1" w:styleId="416">
    <w:name w:val="0"/>
    <w:basedOn w:val="1"/>
    <w:qFormat/>
    <w:uiPriority w:val="0"/>
    <w:pPr>
      <w:widowControl/>
      <w:snapToGrid w:val="0"/>
      <w:spacing w:line="365" w:lineRule="atLeast"/>
      <w:ind w:left="1"/>
      <w:textAlignment w:val="bottom"/>
    </w:pPr>
    <w:rPr>
      <w:kern w:val="0"/>
      <w:sz w:val="20"/>
    </w:rPr>
  </w:style>
  <w:style w:type="paragraph" w:customStyle="1" w:styleId="417">
    <w:name w:val="图形符号"/>
    <w:basedOn w:val="1"/>
    <w:qFormat/>
    <w:uiPriority w:val="0"/>
    <w:rPr>
      <w:sz w:val="24"/>
    </w:rPr>
  </w:style>
  <w:style w:type="paragraph" w:customStyle="1" w:styleId="418">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19">
    <w:name w:val="Char11"/>
    <w:basedOn w:val="1"/>
    <w:qFormat/>
    <w:uiPriority w:val="0"/>
    <w:rPr>
      <w:rFonts w:ascii="Tahoma" w:hAnsi="Tahoma"/>
      <w:sz w:val="24"/>
    </w:rPr>
  </w:style>
  <w:style w:type="paragraph" w:customStyle="1" w:styleId="420">
    <w:name w:val="xl93"/>
    <w:basedOn w:val="1"/>
    <w:qFormat/>
    <w:uiPriority w:val="0"/>
    <w:pPr>
      <w:widowControl/>
      <w:pBdr>
        <w:bottom w:val="single" w:color="auto" w:sz="4" w:space="0"/>
      </w:pBdr>
      <w:shd w:val="clear" w:color="auto" w:fill="FFFFFF"/>
      <w:spacing w:before="100" w:beforeAutospacing="1" w:after="100" w:afterAutospacing="1"/>
      <w:jc w:val="center"/>
    </w:pPr>
    <w:rPr>
      <w:rFonts w:ascii="宋体" w:hAnsi="宋体" w:cs="宋体"/>
      <w:b/>
      <w:bCs/>
      <w:color w:val="000000"/>
      <w:kern w:val="0"/>
      <w:sz w:val="28"/>
      <w:szCs w:val="28"/>
    </w:rPr>
  </w:style>
  <w:style w:type="paragraph" w:customStyle="1" w:styleId="421">
    <w:name w:val="标题2级"/>
    <w:basedOn w:val="195"/>
    <w:qFormat/>
    <w:uiPriority w:val="0"/>
    <w:pPr>
      <w:ind w:left="360" w:firstLine="0" w:firstLineChars="0"/>
      <w:outlineLvl w:val="0"/>
    </w:pPr>
    <w:rPr>
      <w:rFonts w:ascii="Calibri" w:hAnsi="Calibri"/>
      <w:b/>
      <w:sz w:val="30"/>
      <w:szCs w:val="30"/>
    </w:rPr>
  </w:style>
  <w:style w:type="paragraph" w:customStyle="1" w:styleId="42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24">
    <w:name w:val="表格表头"/>
    <w:basedOn w:val="1"/>
    <w:qFormat/>
    <w:uiPriority w:val="0"/>
    <w:pPr>
      <w:spacing w:line="360" w:lineRule="auto"/>
      <w:jc w:val="center"/>
      <w:outlineLvl w:val="0"/>
    </w:pPr>
    <w:rPr>
      <w:rFonts w:ascii="宋体" w:hAnsi="宋体" w:eastAsia="黑体" w:cs="宋体"/>
      <w:sz w:val="24"/>
      <w:szCs w:val="21"/>
    </w:rPr>
  </w:style>
  <w:style w:type="paragraph" w:customStyle="1" w:styleId="425">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426">
    <w:name w:val="Char1"/>
    <w:basedOn w:val="1"/>
    <w:qFormat/>
    <w:uiPriority w:val="0"/>
    <w:rPr>
      <w:rFonts w:ascii="MS Mincho" w:hAnsi="MS Mincho" w:cs="Droid Sans"/>
      <w:sz w:val="24"/>
    </w:rPr>
  </w:style>
  <w:style w:type="paragraph" w:customStyle="1" w:styleId="427">
    <w:name w:val="Char Char Char"/>
    <w:basedOn w:val="1"/>
    <w:qFormat/>
    <w:uiPriority w:val="0"/>
    <w:rPr>
      <w:rFonts w:ascii="Tahoma" w:hAnsi="Tahoma"/>
      <w:sz w:val="24"/>
    </w:rPr>
  </w:style>
  <w:style w:type="paragraph" w:customStyle="1" w:styleId="428">
    <w:name w:val="正文标准样式ty"/>
    <w:basedOn w:val="1"/>
    <w:qFormat/>
    <w:uiPriority w:val="0"/>
    <w:pPr>
      <w:spacing w:line="360" w:lineRule="auto"/>
      <w:ind w:firstLine="480" w:firstLineChars="200"/>
    </w:pPr>
    <w:rPr>
      <w:rFonts w:cs="宋体"/>
      <w:sz w:val="24"/>
    </w:rPr>
  </w:style>
  <w:style w:type="paragraph" w:customStyle="1" w:styleId="429">
    <w:name w:val="Char2"/>
    <w:basedOn w:val="1"/>
    <w:qFormat/>
    <w:uiPriority w:val="0"/>
    <w:rPr>
      <w:rFonts w:ascii="Tahoma" w:hAnsi="Tahoma"/>
      <w:sz w:val="24"/>
    </w:rPr>
  </w:style>
  <w:style w:type="paragraph" w:customStyle="1" w:styleId="430">
    <w:name w:val="条2"/>
    <w:basedOn w:val="1"/>
    <w:next w:val="365"/>
    <w:qFormat/>
    <w:uiPriority w:val="0"/>
    <w:pPr>
      <w:tabs>
        <w:tab w:val="left" w:pos="810"/>
      </w:tabs>
      <w:ind w:left="810" w:hanging="810"/>
      <w:outlineLvl w:val="1"/>
    </w:pPr>
    <w:rPr>
      <w:rFonts w:ascii="黑体" w:eastAsia="黑体"/>
      <w:kern w:val="21"/>
    </w:rPr>
  </w:style>
  <w:style w:type="paragraph" w:customStyle="1" w:styleId="431">
    <w:name w:val="Char3"/>
    <w:basedOn w:val="1"/>
    <w:qFormat/>
    <w:uiPriority w:val="0"/>
    <w:rPr>
      <w:rFonts w:ascii="MS Mincho" w:hAnsi="MS Mincho" w:cs="Droid Sans"/>
      <w:sz w:val="24"/>
    </w:rPr>
  </w:style>
  <w:style w:type="paragraph" w:customStyle="1" w:styleId="432">
    <w:name w:val="五级条标题"/>
    <w:basedOn w:val="433"/>
    <w:next w:val="365"/>
    <w:qFormat/>
    <w:uiPriority w:val="0"/>
    <w:pPr>
      <w:outlineLvl w:val="6"/>
    </w:pPr>
  </w:style>
  <w:style w:type="paragraph" w:customStyle="1" w:styleId="433">
    <w:name w:val="四级条标题"/>
    <w:basedOn w:val="434"/>
    <w:next w:val="365"/>
    <w:qFormat/>
    <w:uiPriority w:val="0"/>
    <w:pPr>
      <w:outlineLvl w:val="5"/>
    </w:pPr>
  </w:style>
  <w:style w:type="paragraph" w:customStyle="1" w:styleId="434">
    <w:name w:val="三级条标题"/>
    <w:basedOn w:val="372"/>
    <w:next w:val="365"/>
    <w:qFormat/>
    <w:uiPriority w:val="0"/>
    <w:pPr>
      <w:outlineLvl w:val="4"/>
    </w:pPr>
  </w:style>
  <w:style w:type="paragraph" w:customStyle="1" w:styleId="435">
    <w:name w:val="样式 标题 3 + (中文) 黑体 小四 非加粗 段前: 7.8 磅 段后: 0 磅 行距: 固定值 20 磅"/>
    <w:basedOn w:val="9"/>
    <w:qFormat/>
    <w:uiPriority w:val="0"/>
    <w:pPr>
      <w:spacing w:before="0" w:after="0" w:line="400" w:lineRule="exact"/>
      <w:jc w:val="both"/>
    </w:pPr>
    <w:rPr>
      <w:rFonts w:ascii="Times New Roman" w:eastAsia="黑体"/>
      <w:b w:val="0"/>
      <w:bCs w:val="0"/>
      <w:sz w:val="24"/>
      <w:szCs w:val="20"/>
    </w:rPr>
  </w:style>
  <w:style w:type="paragraph" w:customStyle="1" w:styleId="436">
    <w:name w:val="SUR-需求定义-第4级"/>
    <w:basedOn w:val="10"/>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4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438">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39">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szCs w:val="24"/>
    </w:rPr>
  </w:style>
  <w:style w:type="paragraph" w:customStyle="1" w:styleId="440">
    <w:name w:val="默认段落字体 Para Char Char Char Char"/>
    <w:basedOn w:val="1"/>
    <w:qFormat/>
    <w:uiPriority w:val="0"/>
    <w:pPr>
      <w:snapToGrid w:val="0"/>
      <w:spacing w:line="360" w:lineRule="auto"/>
      <w:ind w:firstLine="200" w:firstLineChars="200"/>
    </w:pPr>
    <w:rPr>
      <w:rFonts w:ascii="Calibri" w:hAnsi="Calibri"/>
    </w:rPr>
  </w:style>
  <w:style w:type="paragraph" w:customStyle="1" w:styleId="441">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442">
    <w:name w:val="(符号)三标题1.1"/>
    <w:basedOn w:val="1"/>
    <w:qFormat/>
    <w:uiPriority w:val="0"/>
    <w:pPr>
      <w:tabs>
        <w:tab w:val="left" w:pos="420"/>
        <w:tab w:val="left" w:pos="744"/>
      </w:tabs>
      <w:spacing w:before="140" w:after="140" w:line="500" w:lineRule="exact"/>
      <w:ind w:left="744" w:hanging="744"/>
      <w:outlineLvl w:val="2"/>
    </w:pPr>
    <w:rPr>
      <w:rFonts w:ascii="楷体_GB2312" w:hAnsi="宋体" w:eastAsia="楷体_GB2312" w:cs="宋体"/>
      <w:b/>
      <w:bCs/>
      <w:sz w:val="28"/>
    </w:rPr>
  </w:style>
  <w:style w:type="paragraph" w:customStyle="1" w:styleId="443">
    <w:name w:val="D标2"/>
    <w:basedOn w:val="8"/>
    <w:qFormat/>
    <w:uiPriority w:val="0"/>
    <w:pPr>
      <w:keepLines w:val="0"/>
      <w:widowControl/>
      <w:tabs>
        <w:tab w:val="left" w:pos="425"/>
        <w:tab w:val="left" w:pos="810"/>
        <w:tab w:val="left" w:pos="1140"/>
      </w:tabs>
      <w:autoSpaceDE w:val="0"/>
      <w:autoSpaceDN w:val="0"/>
      <w:adjustRightInd w:val="0"/>
      <w:spacing w:before="360" w:after="0" w:line="480" w:lineRule="exact"/>
      <w:ind w:left="810" w:hanging="810"/>
      <w:jc w:val="left"/>
    </w:pPr>
    <w:rPr>
      <w:rFonts w:eastAsia="宋体" w:cs="Droid Sans"/>
      <w:bCs w:val="0"/>
      <w:kern w:val="0"/>
      <w:sz w:val="28"/>
      <w:szCs w:val="20"/>
    </w:rPr>
  </w:style>
  <w:style w:type="paragraph" w:customStyle="1" w:styleId="444">
    <w:name w:val="GP正文(无首行缩进)"/>
    <w:basedOn w:val="378"/>
    <w:qFormat/>
    <w:uiPriority w:val="0"/>
    <w:pPr>
      <w:jc w:val="both"/>
    </w:pPr>
  </w:style>
  <w:style w:type="paragraph" w:customStyle="1" w:styleId="445">
    <w:name w:val="样式3"/>
    <w:basedOn w:val="37"/>
    <w:qFormat/>
    <w:uiPriority w:val="0"/>
    <w:pPr>
      <w:spacing w:line="240" w:lineRule="atLeast"/>
      <w:outlineLvl w:val="0"/>
    </w:pPr>
    <w:rPr>
      <w:rFonts w:hAnsi="Calibri" w:cs="Droid Sans"/>
      <w:sz w:val="28"/>
    </w:rPr>
  </w:style>
  <w:style w:type="paragraph" w:customStyle="1" w:styleId="446">
    <w:name w:val="Char121"/>
    <w:basedOn w:val="1"/>
    <w:qFormat/>
    <w:uiPriority w:val="0"/>
    <w:rPr>
      <w:rFonts w:ascii="Tahoma" w:hAnsi="Tahoma"/>
      <w:sz w:val="24"/>
    </w:rPr>
  </w:style>
  <w:style w:type="paragraph" w:customStyle="1" w:styleId="447">
    <w:name w:val="正文序号 2"/>
    <w:basedOn w:val="1"/>
    <w:qFormat/>
    <w:uiPriority w:val="0"/>
    <w:pPr>
      <w:tabs>
        <w:tab w:val="left" w:pos="744"/>
        <w:tab w:val="left" w:pos="1049"/>
      </w:tabs>
      <w:spacing w:before="60"/>
      <w:ind w:left="744" w:hanging="744"/>
    </w:pPr>
    <w:rPr>
      <w:rFonts w:cs="Droid Sans"/>
      <w:sz w:val="18"/>
    </w:rPr>
  </w:style>
  <w:style w:type="paragraph" w:customStyle="1" w:styleId="448">
    <w:name w:val="Char Char Char11"/>
    <w:basedOn w:val="1"/>
    <w:qFormat/>
    <w:uiPriority w:val="0"/>
    <w:rPr>
      <w:rFonts w:ascii="Tahoma" w:hAnsi="Tahoma"/>
      <w:sz w:val="24"/>
    </w:rPr>
  </w:style>
  <w:style w:type="paragraph" w:customStyle="1" w:styleId="449">
    <w:name w:val="tytytyty"/>
    <w:basedOn w:val="1"/>
    <w:qFormat/>
    <w:uiPriority w:val="0"/>
    <w:pPr>
      <w:suppressAutoHyphens/>
      <w:spacing w:line="360" w:lineRule="auto"/>
      <w:ind w:left="359" w:leftChars="171" w:firstLine="480" w:firstLineChars="200"/>
    </w:pPr>
    <w:rPr>
      <w:kern w:val="1"/>
      <w:sz w:val="24"/>
      <w:szCs w:val="24"/>
      <w:lang w:eastAsia="ar-SA"/>
    </w:rPr>
  </w:style>
  <w:style w:type="paragraph" w:customStyle="1" w:styleId="45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451">
    <w:name w:val="样式 标题 5 + 宋体"/>
    <w:basedOn w:val="11"/>
    <w:qFormat/>
    <w:uiPriority w:val="0"/>
    <w:pPr>
      <w:keepLines/>
      <w:spacing w:before="100" w:line="372" w:lineRule="auto"/>
    </w:pPr>
    <w:rPr>
      <w:rFonts w:ascii="楷体_GB2312" w:hAnsi="楷体_GB2312" w:cs="Droid Sans"/>
      <w:b/>
      <w:bCs w:val="0"/>
      <w:sz w:val="24"/>
      <w:szCs w:val="24"/>
    </w:rPr>
  </w:style>
  <w:style w:type="paragraph" w:customStyle="1" w:styleId="452">
    <w:name w:val="xl2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53">
    <w:name w:val="1 Char Char Char Char"/>
    <w:basedOn w:val="1"/>
    <w:qFormat/>
    <w:uiPriority w:val="0"/>
    <w:rPr>
      <w:rFonts w:ascii="Tahoma" w:hAnsi="Tahoma"/>
      <w:sz w:val="24"/>
    </w:rPr>
  </w:style>
  <w:style w:type="paragraph" w:customStyle="1" w:styleId="45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5">
    <w:name w:val="top1"/>
    <w:basedOn w:val="1"/>
    <w:qFormat/>
    <w:uiPriority w:val="0"/>
    <w:pPr>
      <w:widowControl/>
      <w:spacing w:before="100" w:beforeAutospacing="1" w:after="100" w:afterAutospacing="1"/>
      <w:jc w:val="left"/>
    </w:pPr>
    <w:rPr>
      <w:rFonts w:ascii="ˎ̥" w:hAnsi="ˎ̥"/>
      <w:color w:val="000066"/>
      <w:kern w:val="0"/>
      <w:sz w:val="18"/>
    </w:rPr>
  </w:style>
  <w:style w:type="paragraph" w:customStyle="1" w:styleId="456">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7">
    <w:name w:val="表格文字"/>
    <w:basedOn w:val="1"/>
    <w:qFormat/>
    <w:uiPriority w:val="0"/>
    <w:pPr>
      <w:adjustRightInd w:val="0"/>
      <w:spacing w:line="420" w:lineRule="atLeast"/>
      <w:jc w:val="left"/>
      <w:textAlignment w:val="baseline"/>
    </w:pPr>
    <w:rPr>
      <w:kern w:val="0"/>
    </w:rPr>
  </w:style>
  <w:style w:type="paragraph" w:customStyle="1" w:styleId="458">
    <w:name w:val="GP无序编号"/>
    <w:basedOn w:val="444"/>
    <w:qFormat/>
    <w:uiPriority w:val="0"/>
    <w:pPr>
      <w:tabs>
        <w:tab w:val="left" w:pos="903"/>
        <w:tab w:val="left" w:pos="1140"/>
      </w:tabs>
      <w:ind w:left="1140" w:firstLine="0" w:firstLineChars="0"/>
      <w:jc w:val="left"/>
    </w:pPr>
    <w:rPr>
      <w:rFonts w:hAnsi="Times New Roman"/>
    </w:rPr>
  </w:style>
  <w:style w:type="paragraph" w:customStyle="1" w:styleId="459">
    <w:name w:val="right"/>
    <w:basedOn w:val="1"/>
    <w:qFormat/>
    <w:uiPriority w:val="0"/>
    <w:pPr>
      <w:widowControl/>
      <w:spacing w:before="100" w:beforeAutospacing="1" w:after="100" w:afterAutospacing="1"/>
      <w:jc w:val="left"/>
    </w:pPr>
    <w:rPr>
      <w:rFonts w:ascii="ˎ̥" w:hAnsi="ˎ̥"/>
      <w:color w:val="000099"/>
      <w:kern w:val="0"/>
      <w:sz w:val="18"/>
    </w:rPr>
  </w:style>
  <w:style w:type="paragraph" w:customStyle="1" w:styleId="460">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461">
    <w:name w:val="样式 标题 8 +"/>
    <w:basedOn w:val="14"/>
    <w:qFormat/>
    <w:uiPriority w:val="0"/>
    <w:pPr>
      <w:tabs>
        <w:tab w:val="clear" w:pos="1440"/>
      </w:tabs>
      <w:spacing w:line="319" w:lineRule="auto"/>
      <w:ind w:left="1440" w:hanging="1440"/>
      <w:jc w:val="left"/>
    </w:pPr>
    <w:rPr>
      <w:rFonts w:ascii="Cambria" w:hAnsi="Cambria" w:eastAsia="宋体"/>
      <w:lang w:eastAsia="en-US"/>
    </w:rPr>
  </w:style>
  <w:style w:type="paragraph" w:customStyle="1" w:styleId="462">
    <w:name w:val="默认段落字体 Para Char Char Char Char Char Char Char Char Char"/>
    <w:basedOn w:val="1"/>
    <w:qFormat/>
    <w:uiPriority w:val="0"/>
    <w:rPr>
      <w:rFonts w:ascii="Tahoma" w:hAnsi="Tahoma" w:cs="Arial"/>
      <w:sz w:val="24"/>
    </w:rPr>
  </w:style>
  <w:style w:type="paragraph" w:customStyle="1" w:styleId="463">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rPr>
  </w:style>
  <w:style w:type="paragraph" w:customStyle="1" w:styleId="464">
    <w:name w:val="rightb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5">
    <w:name w:val="Table Heading"/>
    <w:basedOn w:val="466"/>
    <w:qFormat/>
    <w:uiPriority w:val="0"/>
    <w:pPr>
      <w:jc w:val="center"/>
    </w:pPr>
    <w:rPr>
      <w:b/>
      <w:bCs/>
      <w:i/>
      <w:iCs/>
    </w:rPr>
  </w:style>
  <w:style w:type="paragraph" w:customStyle="1" w:styleId="466">
    <w:name w:val="Table Contents"/>
    <w:basedOn w:val="3"/>
    <w:qFormat/>
    <w:uiPriority w:val="0"/>
    <w:pPr>
      <w:suppressLineNumbers/>
      <w:suppressAutoHyphens/>
      <w:spacing w:after="120"/>
      <w:jc w:val="left"/>
    </w:pPr>
    <w:rPr>
      <w:rFonts w:ascii="Times New Roman" w:hAnsi="Times New Roman" w:eastAsia="PMingLiU"/>
      <w:kern w:val="0"/>
      <w:sz w:val="24"/>
      <w:szCs w:val="24"/>
    </w:rPr>
  </w:style>
  <w:style w:type="paragraph" w:customStyle="1" w:styleId="46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6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69">
    <w:name w:val="标题7"/>
    <w:basedOn w:val="13"/>
    <w:next w:val="1"/>
    <w:qFormat/>
    <w:uiPriority w:val="0"/>
    <w:pPr>
      <w:spacing w:beforeLines="50" w:afterLines="50" w:line="360" w:lineRule="auto"/>
      <w:ind w:left="2268" w:right="0" w:rightChars="0" w:firstLine="0" w:firstLineChars="0"/>
    </w:pPr>
    <w:rPr>
      <w:rFonts w:eastAsia="黑体" w:cs="宋体"/>
      <w:spacing w:val="0"/>
      <w:szCs w:val="20"/>
    </w:rPr>
  </w:style>
  <w:style w:type="paragraph" w:customStyle="1" w:styleId="470">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472">
    <w:name w:val="编号"/>
    <w:basedOn w:val="1"/>
    <w:qFormat/>
    <w:uiPriority w:val="0"/>
    <w:pPr>
      <w:ind w:left="736" w:hanging="312"/>
      <w:jc w:val="center"/>
      <w:textAlignment w:val="center"/>
    </w:pPr>
    <w:rPr>
      <w:rFonts w:ascii="楷体_GB2312" w:hAnsi="楷体_GB2312" w:cs="Droid Sans"/>
      <w:b/>
      <w:snapToGrid w:val="0"/>
      <w:kern w:val="0"/>
      <w:sz w:val="24"/>
    </w:rPr>
  </w:style>
  <w:style w:type="paragraph" w:customStyle="1" w:styleId="473">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7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6">
    <w:name w:val="itemlist"/>
    <w:qFormat/>
    <w:uiPriority w:val="0"/>
    <w:pPr>
      <w:spacing w:before="200" w:after="200" w:line="20" w:lineRule="atLeast"/>
      <w:ind w:left="820" w:hanging="420"/>
      <w:jc w:val="both"/>
    </w:pPr>
    <w:rPr>
      <w:rFonts w:ascii="Times New Roman" w:hAnsi="Times New Roman" w:eastAsia="宋体" w:cs="Times New Roman"/>
      <w:kern w:val="2"/>
      <w:sz w:val="21"/>
      <w:szCs w:val="24"/>
      <w:lang w:val="en-US" w:eastAsia="zh-CN" w:bidi="ar-SA"/>
    </w:rPr>
  </w:style>
  <w:style w:type="paragraph" w:customStyle="1" w:styleId="477">
    <w:name w:val="p0"/>
    <w:basedOn w:val="1"/>
    <w:qFormat/>
    <w:uiPriority w:val="0"/>
    <w:pPr>
      <w:widowControl/>
    </w:pPr>
    <w:rPr>
      <w:kern w:val="0"/>
      <w:szCs w:val="21"/>
    </w:rPr>
  </w:style>
  <w:style w:type="paragraph" w:customStyle="1" w:styleId="478">
    <w:name w:val="标题8"/>
    <w:basedOn w:val="14"/>
    <w:next w:val="1"/>
    <w:qFormat/>
    <w:uiPriority w:val="0"/>
    <w:pPr>
      <w:tabs>
        <w:tab w:val="clear" w:pos="1440"/>
      </w:tabs>
      <w:spacing w:beforeLines="50" w:afterLines="50" w:line="360" w:lineRule="auto"/>
      <w:ind w:left="2268" w:hanging="2268"/>
      <w:jc w:val="left"/>
    </w:pPr>
    <w:rPr>
      <w:sz w:val="21"/>
      <w:szCs w:val="20"/>
    </w:rPr>
  </w:style>
  <w:style w:type="paragraph" w:customStyle="1" w:styleId="479">
    <w:name w:val="标题3"/>
    <w:basedOn w:val="46"/>
    <w:qFormat/>
    <w:uiPriority w:val="0"/>
    <w:pPr>
      <w:spacing w:before="0" w:after="0" w:line="360" w:lineRule="auto"/>
      <w:jc w:val="both"/>
    </w:pPr>
    <w:rPr>
      <w:rFonts w:ascii="Tahoma" w:hAnsi="Tahoma" w:eastAsia="黑体"/>
      <w:b/>
      <w:caps w:val="0"/>
      <w:sz w:val="24"/>
    </w:rPr>
  </w:style>
  <w:style w:type="paragraph" w:customStyle="1" w:styleId="480">
    <w:name w:val="无间距"/>
    <w:basedOn w:val="1"/>
    <w:qFormat/>
    <w:uiPriority w:val="0"/>
    <w:rPr>
      <w:szCs w:val="22"/>
    </w:rPr>
  </w:style>
  <w:style w:type="paragraph" w:customStyle="1" w:styleId="48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szCs w:val="24"/>
    </w:rPr>
  </w:style>
  <w:style w:type="paragraph" w:customStyle="1" w:styleId="482">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8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8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485">
    <w:name w:val="xl84"/>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86">
    <w:name w:val="Char Char Char1 Char Char Char Char"/>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48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488">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9">
    <w:name w:val="class"/>
    <w:basedOn w:val="1"/>
    <w:qFormat/>
    <w:uiPriority w:val="0"/>
    <w:pPr>
      <w:widowControl/>
      <w:spacing w:before="100" w:beforeAutospacing="1" w:after="100" w:afterAutospacing="1"/>
      <w:jc w:val="left"/>
    </w:pPr>
    <w:rPr>
      <w:rFonts w:ascii="ˎ̥" w:hAnsi="ˎ̥"/>
      <w:color w:val="000099"/>
      <w:kern w:val="0"/>
      <w:sz w:val="18"/>
    </w:rPr>
  </w:style>
  <w:style w:type="paragraph" w:customStyle="1" w:styleId="49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2"/>
      <w:szCs w:val="22"/>
    </w:rPr>
  </w:style>
  <w:style w:type="paragraph" w:customStyle="1" w:styleId="491">
    <w:name w:val="标书正文"/>
    <w:basedOn w:val="1"/>
    <w:qFormat/>
    <w:uiPriority w:val="0"/>
    <w:pPr>
      <w:snapToGrid w:val="0"/>
      <w:spacing w:line="360" w:lineRule="auto"/>
      <w:ind w:firstLine="560" w:firstLineChars="200"/>
    </w:pPr>
    <w:rPr>
      <w:rFonts w:ascii="宋体" w:hAnsi="宋体"/>
      <w:color w:val="000000"/>
      <w:sz w:val="24"/>
    </w:rPr>
  </w:style>
  <w:style w:type="paragraph" w:customStyle="1" w:styleId="492">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493">
    <w:name w:val="c1"/>
    <w:basedOn w:val="1"/>
    <w:qFormat/>
    <w:uiPriority w:val="0"/>
    <w:pPr>
      <w:widowControl/>
      <w:spacing w:before="100" w:beforeAutospacing="1" w:after="100" w:afterAutospacing="1" w:line="270" w:lineRule="atLeast"/>
      <w:jc w:val="left"/>
    </w:pPr>
    <w:rPr>
      <w:rFonts w:ascii="宋体" w:hAnsi="宋体"/>
      <w:color w:val="333333"/>
      <w:kern w:val="0"/>
      <w:sz w:val="18"/>
      <w:szCs w:val="18"/>
    </w:rPr>
  </w:style>
  <w:style w:type="paragraph" w:customStyle="1" w:styleId="49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495">
    <w:name w:val="cjk"/>
    <w:basedOn w:val="1"/>
    <w:qFormat/>
    <w:uiPriority w:val="99"/>
    <w:pPr>
      <w:widowControl/>
      <w:spacing w:before="100" w:beforeAutospacing="1" w:after="100" w:afterAutospacing="1"/>
      <w:jc w:val="left"/>
    </w:pPr>
    <w:rPr>
      <w:rFonts w:ascii="宋体" w:hAnsi="宋体" w:cs="宋体"/>
      <w:kern w:val="0"/>
      <w:sz w:val="18"/>
      <w:szCs w:val="18"/>
      <w:u w:color="000000"/>
    </w:rPr>
  </w:style>
  <w:style w:type="paragraph" w:customStyle="1" w:styleId="496">
    <w:name w:val="Char21"/>
    <w:basedOn w:val="1"/>
    <w:qFormat/>
    <w:uiPriority w:val="0"/>
    <w:pPr>
      <w:widowControl/>
      <w:spacing w:after="160" w:line="240" w:lineRule="exact"/>
      <w:jc w:val="left"/>
    </w:pPr>
    <w:rPr>
      <w:rFonts w:ascii="Calibri" w:hAnsi="Calibri" w:eastAsia="Verdana" w:cs="Droid Sans"/>
      <w:kern w:val="0"/>
      <w:sz w:val="20"/>
      <w:lang w:eastAsia="en-US"/>
    </w:rPr>
  </w:style>
  <w:style w:type="paragraph" w:customStyle="1" w:styleId="497">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8">
    <w:name w:val="style20"/>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49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00">
    <w:name w:val="条1"/>
    <w:basedOn w:val="1"/>
    <w:next w:val="365"/>
    <w:qFormat/>
    <w:uiPriority w:val="0"/>
    <w:pPr>
      <w:tabs>
        <w:tab w:val="left" w:pos="810"/>
      </w:tabs>
      <w:ind w:left="810" w:hanging="810"/>
      <w:outlineLvl w:val="1"/>
    </w:pPr>
    <w:rPr>
      <w:rFonts w:ascii="黑体" w:eastAsia="黑体"/>
      <w:kern w:val="21"/>
    </w:rPr>
  </w:style>
  <w:style w:type="paragraph" w:customStyle="1" w:styleId="501">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502">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03">
    <w:name w:val="ZW"/>
    <w:basedOn w:val="1"/>
    <w:qFormat/>
    <w:uiPriority w:val="0"/>
    <w:pPr>
      <w:widowControl/>
      <w:topLinePunct/>
      <w:spacing w:line="360" w:lineRule="auto"/>
      <w:ind w:firstLine="425" w:firstLineChars="200"/>
    </w:pPr>
    <w:rPr>
      <w:rFonts w:eastAsia="仿宋_GB2312"/>
      <w:spacing w:val="8"/>
      <w:sz w:val="24"/>
    </w:rPr>
  </w:style>
  <w:style w:type="paragraph" w:customStyle="1" w:styleId="504">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0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506">
    <w:name w:val="Char Char Char Char Char Char1 Char Char"/>
    <w:basedOn w:val="1"/>
    <w:qFormat/>
    <w:uiPriority w:val="0"/>
    <w:pPr>
      <w:widowControl/>
      <w:spacing w:after="160" w:line="240" w:lineRule="exact"/>
      <w:ind w:left="264" w:firstLine="280"/>
      <w:jc w:val="left"/>
    </w:pPr>
    <w:rPr>
      <w:rFonts w:ascii="Calibri" w:hAnsi="Calibri" w:cs="Droid Sans"/>
      <w:b/>
      <w:kern w:val="0"/>
      <w:sz w:val="24"/>
      <w:lang w:eastAsia="en-US"/>
    </w:rPr>
  </w:style>
  <w:style w:type="paragraph" w:customStyle="1" w:styleId="507">
    <w:name w:val="样式 首行缩进:  2 字符"/>
    <w:basedOn w:val="1"/>
    <w:qFormat/>
    <w:uiPriority w:val="0"/>
    <w:pPr>
      <w:spacing w:line="400" w:lineRule="exact"/>
      <w:ind w:firstLine="200" w:firstLineChars="200"/>
    </w:pPr>
    <w:rPr>
      <w:rFonts w:cs="宋体"/>
      <w:sz w:val="24"/>
      <w:szCs w:val="24"/>
    </w:rPr>
  </w:style>
  <w:style w:type="paragraph" w:customStyle="1" w:styleId="508">
    <w:name w:val="D&amp;L"/>
    <w:basedOn w:val="4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509">
    <w:name w:val="Char"/>
    <w:basedOn w:val="1"/>
    <w:qFormat/>
    <w:uiPriority w:val="0"/>
    <w:rPr>
      <w:rFonts w:ascii="Tahoma" w:hAnsi="Tahoma"/>
      <w:sz w:val="24"/>
    </w:rPr>
  </w:style>
  <w:style w:type="paragraph" w:customStyle="1" w:styleId="51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511">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2">
    <w:name w:val="style11"/>
    <w:basedOn w:val="1"/>
    <w:qFormat/>
    <w:uiPriority w:val="0"/>
    <w:pPr>
      <w:widowControl/>
      <w:spacing w:before="100" w:beforeAutospacing="1" w:after="100" w:afterAutospacing="1"/>
      <w:jc w:val="left"/>
    </w:pPr>
    <w:rPr>
      <w:rFonts w:ascii="宋体" w:hAnsi="宋体" w:cs="宋体"/>
      <w:color w:val="0000FF"/>
      <w:kern w:val="0"/>
      <w:sz w:val="18"/>
      <w:szCs w:val="18"/>
    </w:rPr>
  </w:style>
  <w:style w:type="paragraph" w:customStyle="1" w:styleId="513">
    <w:name w:val="D标3"/>
    <w:basedOn w:val="9"/>
    <w:qFormat/>
    <w:uiPriority w:val="0"/>
    <w:pPr>
      <w:keepNext w:val="0"/>
      <w:keepLines w:val="0"/>
      <w:tabs>
        <w:tab w:val="left" w:pos="1140"/>
      </w:tabs>
      <w:autoSpaceDE w:val="0"/>
      <w:autoSpaceDN w:val="0"/>
      <w:adjustRightInd w:val="0"/>
      <w:snapToGrid w:val="0"/>
      <w:spacing w:before="120" w:after="0" w:line="480" w:lineRule="atLeast"/>
      <w:jc w:val="both"/>
    </w:pPr>
    <w:rPr>
      <w:rFonts w:ascii="Calibri" w:hAnsi="Calibri" w:cs="Droid Sans"/>
      <w:b w:val="0"/>
      <w:bCs w:val="0"/>
      <w:kern w:val="0"/>
      <w:sz w:val="24"/>
      <w:szCs w:val="20"/>
    </w:rPr>
  </w:style>
  <w:style w:type="paragraph" w:customStyle="1" w:styleId="51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kern w:val="0"/>
      <w:sz w:val="18"/>
      <w:szCs w:val="18"/>
    </w:rPr>
  </w:style>
  <w:style w:type="paragraph" w:customStyle="1" w:styleId="515">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16">
    <w:name w:val="正文1"/>
    <w:basedOn w:val="1"/>
    <w:link w:val="659"/>
    <w:qFormat/>
    <w:uiPriority w:val="0"/>
    <w:pPr>
      <w:widowControl/>
      <w:topLinePunct/>
      <w:spacing w:beforeLines="50" w:afterLines="50" w:line="300" w:lineRule="auto"/>
      <w:ind w:left="420"/>
    </w:pPr>
    <w:rPr>
      <w:szCs w:val="24"/>
    </w:rPr>
  </w:style>
  <w:style w:type="paragraph" w:customStyle="1" w:styleId="517">
    <w:name w:val="表格正文"/>
    <w:basedOn w:val="1"/>
    <w:qFormat/>
    <w:uiPriority w:val="0"/>
    <w:pPr>
      <w:ind w:right="45"/>
    </w:pPr>
    <w:rPr>
      <w:rFonts w:ascii="Arial" w:hAnsi="Arial" w:cs="Droid Sans"/>
      <w:sz w:val="24"/>
    </w:rPr>
  </w:style>
  <w:style w:type="paragraph" w:customStyle="1" w:styleId="518">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19">
    <w:name w:val="中等深浅网格 2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20">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3">
    <w:name w:val="Char Char Char Char"/>
    <w:basedOn w:val="1"/>
    <w:qFormat/>
    <w:uiPriority w:val="0"/>
    <w:rPr>
      <w:rFonts w:ascii="Tahoma" w:hAnsi="Tahoma"/>
      <w:sz w:val="24"/>
    </w:rPr>
  </w:style>
  <w:style w:type="paragraph" w:customStyle="1" w:styleId="524">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2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eastAsia="Arial Unicode MS"/>
      <w:kern w:val="0"/>
      <w:sz w:val="22"/>
      <w:szCs w:val="22"/>
    </w:rPr>
  </w:style>
  <w:style w:type="paragraph" w:customStyle="1" w:styleId="5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7">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8">
    <w:name w:val="样式 标题 1 + 黑体 三号 非加粗 居中 段前: 6 磅 段后: 6 磅 行距: 固定值 20 磅"/>
    <w:basedOn w:val="7"/>
    <w:qFormat/>
    <w:uiPriority w:val="0"/>
    <w:pPr>
      <w:spacing w:before="120" w:after="120" w:line="400" w:lineRule="exact"/>
      <w:jc w:val="center"/>
    </w:pPr>
    <w:rPr>
      <w:rFonts w:ascii="黑体" w:hAnsi="黑体" w:eastAsia="黑体"/>
      <w:b w:val="0"/>
      <w:bCs w:val="0"/>
      <w:sz w:val="32"/>
      <w:szCs w:val="20"/>
    </w:rPr>
  </w:style>
  <w:style w:type="paragraph" w:customStyle="1" w:styleId="5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530">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31">
    <w:name w:val="ZHENWEN"/>
    <w:basedOn w:val="3"/>
    <w:qFormat/>
    <w:uiPriority w:val="0"/>
    <w:pPr>
      <w:spacing w:before="120" w:after="120"/>
      <w:ind w:firstLine="200" w:firstLineChars="200"/>
      <w:jc w:val="left"/>
    </w:pPr>
    <w:rPr>
      <w:rFonts w:ascii="Wingdings" w:hAnsi="Wingdings" w:eastAsia="Calibri" w:cs="Droid Sans"/>
      <w:sz w:val="24"/>
    </w:rPr>
  </w:style>
  <w:style w:type="paragraph" w:customStyle="1" w:styleId="532">
    <w:name w:val="正文序号 1"/>
    <w:basedOn w:val="1"/>
    <w:qFormat/>
    <w:uiPriority w:val="0"/>
    <w:pPr>
      <w:tabs>
        <w:tab w:val="left" w:pos="744"/>
        <w:tab w:val="left" w:pos="839"/>
      </w:tabs>
      <w:spacing w:before="60"/>
      <w:ind w:left="744" w:hanging="744"/>
    </w:pPr>
    <w:rPr>
      <w:rFonts w:cs="Droid Sans"/>
      <w:sz w:val="18"/>
    </w:rPr>
  </w:style>
  <w:style w:type="paragraph" w:customStyle="1" w:styleId="533">
    <w:name w:val="bijschrift"/>
    <w:basedOn w:val="1"/>
    <w:qFormat/>
    <w:uiPriority w:val="0"/>
    <w:pPr>
      <w:widowControl/>
      <w:overflowPunct w:val="0"/>
      <w:autoSpaceDE w:val="0"/>
      <w:autoSpaceDN w:val="0"/>
      <w:adjustRightInd w:val="0"/>
      <w:jc w:val="left"/>
      <w:textAlignment w:val="baseline"/>
    </w:pPr>
    <w:rPr>
      <w:rFonts w:ascii="CG Times" w:hAnsi="CG Times"/>
      <w:kern w:val="0"/>
      <w:sz w:val="24"/>
      <w:lang w:val="nl-NL"/>
    </w:rPr>
  </w:style>
  <w:style w:type="paragraph" w:customStyle="1" w:styleId="534">
    <w:name w:val="Char Char2"/>
    <w:basedOn w:val="1"/>
    <w:qFormat/>
    <w:uiPriority w:val="0"/>
    <w:rPr>
      <w:rFonts w:ascii="Tahoma" w:hAnsi="Tahoma"/>
      <w:sz w:val="24"/>
    </w:rPr>
  </w:style>
  <w:style w:type="paragraph" w:customStyle="1" w:styleId="535">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5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537">
    <w:name w:val="文字 Char Char Char"/>
    <w:basedOn w:val="1"/>
    <w:qFormat/>
    <w:uiPriority w:val="0"/>
    <w:pPr>
      <w:tabs>
        <w:tab w:val="left" w:pos="8520"/>
      </w:tabs>
      <w:spacing w:line="312" w:lineRule="auto"/>
      <w:ind w:right="-210" w:firstLine="556"/>
    </w:pPr>
    <w:rPr>
      <w:rFonts w:ascii="Calibri" w:hAnsi="Calibri" w:eastAsia="Calibri" w:cs="Droid Sans"/>
      <w:sz w:val="28"/>
    </w:rPr>
  </w:style>
  <w:style w:type="paragraph" w:customStyle="1" w:styleId="538">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4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41">
    <w:name w:val="lift_top"/>
    <w:basedOn w:val="1"/>
    <w:qFormat/>
    <w:uiPriority w:val="0"/>
    <w:pPr>
      <w:widowControl/>
      <w:spacing w:before="100" w:beforeAutospacing="1" w:after="100" w:afterAutospacing="1"/>
      <w:jc w:val="left"/>
    </w:pPr>
    <w:rPr>
      <w:rFonts w:ascii="ˎ̥" w:hAnsi="ˎ̥"/>
      <w:color w:val="000099"/>
      <w:kern w:val="0"/>
      <w:sz w:val="9"/>
    </w:rPr>
  </w:style>
  <w:style w:type="paragraph" w:customStyle="1" w:styleId="542">
    <w:name w:val="Char Char Char Char Char Char Char1 Char"/>
    <w:basedOn w:val="1"/>
    <w:qFormat/>
    <w:uiPriority w:val="0"/>
    <w:rPr>
      <w:rFonts w:ascii="Tahoma" w:hAnsi="Tahoma"/>
      <w:sz w:val="24"/>
    </w:rPr>
  </w:style>
  <w:style w:type="paragraph" w:customStyle="1" w:styleId="543">
    <w:name w:val="xl26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44">
    <w:name w:val="Char1 Char Char Char Char Char Char"/>
    <w:basedOn w:val="1"/>
    <w:qFormat/>
    <w:uiPriority w:val="0"/>
    <w:rPr>
      <w:rFonts w:ascii="Tahoma" w:hAnsi="Tahoma"/>
      <w:sz w:val="24"/>
    </w:rPr>
  </w:style>
  <w:style w:type="paragraph" w:customStyle="1" w:styleId="545">
    <w:name w:val="Char12"/>
    <w:basedOn w:val="1"/>
    <w:qFormat/>
    <w:uiPriority w:val="0"/>
    <w:rPr>
      <w:rFonts w:ascii="Tahoma" w:hAnsi="Tahoma"/>
      <w:sz w:val="24"/>
    </w:rPr>
  </w:style>
  <w:style w:type="paragraph" w:customStyle="1" w:styleId="546">
    <w:name w:val="Char Char Char Char Char"/>
    <w:basedOn w:val="1"/>
    <w:qFormat/>
    <w:uiPriority w:val="0"/>
    <w:rPr>
      <w:rFonts w:ascii="Tahoma" w:hAnsi="Tahoma"/>
      <w:sz w:val="24"/>
    </w:rPr>
  </w:style>
  <w:style w:type="paragraph" w:customStyle="1" w:styleId="54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548">
    <w:name w:val="l_title"/>
    <w:basedOn w:val="1"/>
    <w:qFormat/>
    <w:uiPriority w:val="0"/>
    <w:pPr>
      <w:widowControl/>
      <w:spacing w:before="100" w:beforeAutospacing="1" w:after="100" w:afterAutospacing="1"/>
      <w:jc w:val="left"/>
    </w:pPr>
    <w:rPr>
      <w:rFonts w:ascii="ˎ̥" w:hAnsi="ˎ̥"/>
      <w:color w:val="000000"/>
      <w:kern w:val="0"/>
      <w:sz w:val="18"/>
    </w:rPr>
  </w:style>
  <w:style w:type="paragraph" w:customStyle="1" w:styleId="549">
    <w:name w:val="attr-list-hd1"/>
    <w:basedOn w:val="1"/>
    <w:qFormat/>
    <w:uiPriority w:val="0"/>
    <w:pPr>
      <w:widowControl/>
      <w:spacing w:before="100" w:beforeAutospacing="1" w:after="100" w:afterAutospacing="1" w:line="330" w:lineRule="atLeast"/>
      <w:jc w:val="left"/>
    </w:pPr>
    <w:rPr>
      <w:rFonts w:ascii="宋体" w:hAnsi="宋体" w:cs="宋体"/>
      <w:color w:val="999999"/>
      <w:kern w:val="0"/>
      <w:sz w:val="24"/>
      <w:szCs w:val="24"/>
    </w:rPr>
  </w:style>
  <w:style w:type="paragraph" w:customStyle="1" w:styleId="550">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楷体_GB2312"/>
      <w:kern w:val="0"/>
      <w:sz w:val="24"/>
      <w:szCs w:val="24"/>
    </w:rPr>
  </w:style>
  <w:style w:type="paragraph" w:customStyle="1" w:styleId="551">
    <w:name w:val="aa"/>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52">
    <w:name w:val="Char Char Char Char Char Char Char Char Char Char Char Char Char Char Char Char1"/>
    <w:basedOn w:val="1"/>
    <w:qFormat/>
    <w:uiPriority w:val="0"/>
    <w:pPr>
      <w:snapToGrid w:val="0"/>
      <w:spacing w:line="360" w:lineRule="auto"/>
      <w:ind w:firstLine="200" w:firstLineChars="200"/>
    </w:pPr>
    <w:rPr>
      <w:rFonts w:ascii="Tahoma" w:hAnsi="Tahoma" w:cs="宋体"/>
      <w:sz w:val="28"/>
      <w:szCs w:val="28"/>
    </w:rPr>
  </w:style>
  <w:style w:type="paragraph" w:customStyle="1" w:styleId="553">
    <w:name w:val="无间隔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4">
    <w:name w:val="TOC 标题1"/>
    <w:basedOn w:val="7"/>
    <w:next w:val="1"/>
    <w:unhideWhenUsed/>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55">
    <w:name w:val="_Style 2"/>
    <w:basedOn w:val="1"/>
    <w:qFormat/>
    <w:uiPriority w:val="0"/>
    <w:pPr>
      <w:ind w:firstLine="420" w:firstLineChars="200"/>
    </w:pPr>
    <w:rPr>
      <w:rFonts w:cs="Droid Sans"/>
    </w:rPr>
  </w:style>
  <w:style w:type="paragraph" w:customStyle="1" w:styleId="55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57">
    <w:name w:val="D标1"/>
    <w:basedOn w:val="7"/>
    <w:next w:val="1"/>
    <w:qFormat/>
    <w:uiPriority w:val="0"/>
    <w:pPr>
      <w:keepLines w:val="0"/>
      <w:pageBreakBefore/>
      <w:widowControl/>
      <w:tabs>
        <w:tab w:val="left" w:pos="360"/>
        <w:tab w:val="left" w:pos="425"/>
      </w:tabs>
      <w:autoSpaceDE w:val="0"/>
      <w:autoSpaceDN w:val="0"/>
      <w:adjustRightInd w:val="0"/>
      <w:spacing w:before="360" w:after="240" w:line="315" w:lineRule="atLeast"/>
      <w:ind w:left="360" w:hanging="360"/>
      <w:jc w:val="center"/>
    </w:pPr>
    <w:rPr>
      <w:rFonts w:ascii="Arial" w:hAnsi="Arial" w:eastAsia="Arial" w:cs="Droid Sans"/>
      <w:b w:val="0"/>
      <w:bCs w:val="0"/>
      <w:kern w:val="0"/>
      <w:sz w:val="36"/>
      <w:szCs w:val="20"/>
    </w:rPr>
  </w:style>
  <w:style w:type="paragraph" w:customStyle="1" w:styleId="558">
    <w:name w:val="Char Char11"/>
    <w:basedOn w:val="1"/>
    <w:qFormat/>
    <w:uiPriority w:val="0"/>
    <w:rPr>
      <w:rFonts w:ascii="Tahoma" w:hAnsi="Tahoma"/>
      <w:sz w:val="24"/>
    </w:rPr>
  </w:style>
  <w:style w:type="paragraph" w:customStyle="1" w:styleId="559">
    <w:name w:val="Char Char Char Char Char Char Char Char Char Char"/>
    <w:basedOn w:val="1"/>
    <w:qFormat/>
    <w:uiPriority w:val="0"/>
    <w:pPr>
      <w:widowControl/>
      <w:spacing w:after="160" w:line="240" w:lineRule="exact"/>
      <w:jc w:val="left"/>
    </w:pPr>
  </w:style>
  <w:style w:type="paragraph" w:customStyle="1" w:styleId="560">
    <w:name w:val="p15"/>
    <w:basedOn w:val="1"/>
    <w:qFormat/>
    <w:uiPriority w:val="0"/>
    <w:pPr>
      <w:widowControl/>
      <w:spacing w:line="360" w:lineRule="auto"/>
      <w:ind w:firstLine="420"/>
      <w:jc w:val="left"/>
    </w:pPr>
    <w:rPr>
      <w:kern w:val="0"/>
      <w:sz w:val="24"/>
      <w:szCs w:val="24"/>
    </w:rPr>
  </w:style>
  <w:style w:type="paragraph" w:customStyle="1" w:styleId="561">
    <w:name w:val="样式 标题 9 +"/>
    <w:basedOn w:val="562"/>
    <w:qFormat/>
    <w:uiPriority w:val="0"/>
    <w:pPr/>
  </w:style>
  <w:style w:type="paragraph" w:customStyle="1" w:styleId="562">
    <w:name w:val="标题9"/>
    <w:basedOn w:val="15"/>
    <w:next w:val="1"/>
    <w:qFormat/>
    <w:uiPriority w:val="0"/>
    <w:pPr>
      <w:tabs>
        <w:tab w:val="clear" w:pos="1584"/>
      </w:tabs>
      <w:ind w:left="1584" w:hanging="1584"/>
    </w:pPr>
    <w:rPr>
      <w:rFonts w:ascii="Cambria" w:hAnsi="Cambria" w:eastAsia="宋体"/>
      <w:lang w:eastAsia="en-US"/>
    </w:rPr>
  </w:style>
  <w:style w:type="paragraph" w:customStyle="1" w:styleId="563">
    <w:name w:val="p22"/>
    <w:basedOn w:val="1"/>
    <w:qFormat/>
    <w:uiPriority w:val="0"/>
    <w:pPr>
      <w:widowControl/>
      <w:spacing w:before="240" w:after="60"/>
      <w:jc w:val="center"/>
    </w:pPr>
    <w:rPr>
      <w:rFonts w:ascii="Cambria" w:hAnsi="Cambria" w:cs="宋体"/>
      <w:b/>
      <w:bCs/>
      <w:kern w:val="0"/>
      <w:sz w:val="32"/>
      <w:szCs w:val="32"/>
    </w:rPr>
  </w:style>
  <w:style w:type="paragraph" w:customStyle="1" w:styleId="564">
    <w:name w:val="1"/>
    <w:basedOn w:val="1"/>
    <w:next w:val="1"/>
    <w:qFormat/>
    <w:uiPriority w:val="0"/>
  </w:style>
  <w:style w:type="paragraph" w:customStyle="1" w:styleId="565">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67">
    <w:name w:val="规范"/>
    <w:basedOn w:val="1"/>
    <w:next w:val="1"/>
    <w:qFormat/>
    <w:uiPriority w:val="0"/>
    <w:pPr>
      <w:tabs>
        <w:tab w:val="left" w:pos="1140"/>
      </w:tabs>
      <w:spacing w:line="288" w:lineRule="auto"/>
      <w:ind w:left="1140"/>
      <w:jc w:val="left"/>
    </w:pPr>
    <w:rPr>
      <w:sz w:val="24"/>
      <w:szCs w:val="24"/>
    </w:rPr>
  </w:style>
  <w:style w:type="paragraph" w:customStyle="1" w:styleId="568">
    <w:name w:val="Char1 Char Char Char"/>
    <w:basedOn w:val="1"/>
    <w:qFormat/>
    <w:uiPriority w:val="0"/>
  </w:style>
  <w:style w:type="paragraph" w:customStyle="1" w:styleId="569">
    <w:name w:val="CM51"/>
    <w:basedOn w:val="82"/>
    <w:next w:val="82"/>
    <w:qFormat/>
    <w:uiPriority w:val="0"/>
    <w:pPr>
      <w:spacing w:after="103"/>
    </w:pPr>
    <w:rPr>
      <w:rFonts w:ascii="黑体" w:hAnsi="Calibri" w:eastAsia="黑体" w:cs="Times New Roman"/>
      <w:color w:val="auto"/>
      <w:szCs w:val="22"/>
    </w:rPr>
  </w:style>
  <w:style w:type="paragraph" w:customStyle="1" w:styleId="570">
    <w:name w:val="样式 标题6 + 左"/>
    <w:basedOn w:val="333"/>
    <w:qFormat/>
    <w:uiPriority w:val="0"/>
    <w:pPr>
      <w:spacing w:line="319" w:lineRule="auto"/>
      <w:jc w:val="left"/>
    </w:pPr>
  </w:style>
  <w:style w:type="paragraph" w:customStyle="1" w:styleId="57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572">
    <w:name w:val="¤º¤å"/>
    <w:qFormat/>
    <w:uiPriority w:val="0"/>
    <w:pPr>
      <w:widowControl w:val="0"/>
      <w:overflowPunct w:val="0"/>
      <w:autoSpaceDE w:val="0"/>
      <w:autoSpaceDN w:val="0"/>
      <w:adjustRightInd w:val="0"/>
      <w:spacing w:line="360" w:lineRule="atLeast"/>
      <w:textAlignment w:val="baseline"/>
    </w:pPr>
    <w:rPr>
      <w:rFonts w:ascii="Wingdings" w:hAnsi="Wingdings" w:eastAsia="Arial Unicode MS" w:cs="Droid Sans"/>
      <w:sz w:val="24"/>
      <w:lang w:val="en-US" w:eastAsia="zh-TW" w:bidi="ar-SA"/>
    </w:rPr>
  </w:style>
  <w:style w:type="paragraph" w:customStyle="1" w:styleId="573">
    <w:name w:val="项目编号A"/>
    <w:basedOn w:val="1"/>
    <w:qFormat/>
    <w:uiPriority w:val="0"/>
    <w:pPr>
      <w:tabs>
        <w:tab w:val="left" w:pos="709"/>
      </w:tabs>
      <w:ind w:left="480"/>
    </w:pPr>
    <w:rPr>
      <w:rFonts w:ascii="Arial" w:hAnsi="Arial"/>
      <w:kern w:val="0"/>
    </w:rPr>
  </w:style>
  <w:style w:type="paragraph" w:customStyle="1" w:styleId="574">
    <w:name w:val="1 Char"/>
    <w:basedOn w:val="1"/>
    <w:qFormat/>
    <w:uiPriority w:val="0"/>
    <w:rPr>
      <w:rFonts w:ascii="Tahoma" w:hAnsi="Tahoma"/>
      <w:sz w:val="24"/>
    </w:rPr>
  </w:style>
  <w:style w:type="paragraph" w:customStyle="1" w:styleId="575">
    <w:name w:val="NNN Char Char Char1 Char Char Char Char Char Char"/>
    <w:basedOn w:val="1"/>
    <w:qFormat/>
    <w:uiPriority w:val="0"/>
    <w:pPr>
      <w:tabs>
        <w:tab w:val="left" w:pos="360"/>
      </w:tabs>
    </w:pPr>
    <w:rPr>
      <w:sz w:val="24"/>
      <w:szCs w:val="24"/>
    </w:rPr>
  </w:style>
  <w:style w:type="paragraph" w:customStyle="1" w:styleId="576">
    <w:name w:val="样式 小四"/>
    <w:basedOn w:val="1"/>
    <w:qFormat/>
    <w:uiPriority w:val="0"/>
    <w:pPr>
      <w:ind w:firstLine="480" w:firstLineChars="200"/>
    </w:pPr>
    <w:rPr>
      <w:sz w:val="24"/>
    </w:rPr>
  </w:style>
  <w:style w:type="paragraph" w:customStyle="1" w:styleId="577">
    <w:name w:val="元正正文标题2"/>
    <w:basedOn w:val="10"/>
    <w:qFormat/>
    <w:uiPriority w:val="0"/>
    <w:pPr>
      <w:keepNext w:val="0"/>
      <w:keepLines w:val="0"/>
      <w:adjustRightInd w:val="0"/>
      <w:snapToGrid w:val="0"/>
      <w:spacing w:before="0" w:after="0" w:line="360" w:lineRule="auto"/>
      <w:jc w:val="center"/>
      <w:outlineLvl w:val="9"/>
    </w:pPr>
    <w:rPr>
      <w:rFonts w:ascii="Calibri" w:hAnsi="Calibri" w:eastAsia="宋体" w:cs="Droid Sans"/>
      <w:bCs w:val="0"/>
      <w:sz w:val="32"/>
      <w:szCs w:val="20"/>
    </w:rPr>
  </w:style>
  <w:style w:type="paragraph" w:customStyle="1" w:styleId="578">
    <w:name w:val="样式 标题 7 +"/>
    <w:basedOn w:val="13"/>
    <w:qFormat/>
    <w:uiPriority w:val="0"/>
    <w:pPr>
      <w:spacing w:before="120" w:line="360" w:lineRule="auto"/>
      <w:ind w:right="0" w:rightChars="0" w:firstLine="464" w:firstLineChars="225"/>
      <w:jc w:val="center"/>
    </w:pPr>
    <w:rPr>
      <w:rFonts w:eastAsia="宋体" w:cs="宋体"/>
      <w:spacing w:val="0"/>
      <w:lang w:eastAsia="en-US"/>
    </w:rPr>
  </w:style>
  <w:style w:type="paragraph" w:customStyle="1" w:styleId="579">
    <w:name w:val="默认段落字体 Para Char Char Char Char Char Char Char"/>
    <w:basedOn w:val="1"/>
    <w:qFormat/>
    <w:uiPriority w:val="0"/>
    <w:rPr>
      <w:rFonts w:ascii="MS Mincho" w:hAnsi="MS Mincho" w:cs="Droid Sans"/>
      <w:sz w:val="24"/>
    </w:rPr>
  </w:style>
  <w:style w:type="paragraph" w:customStyle="1" w:styleId="580">
    <w:name w:val="彩色列表 - 着色 11"/>
    <w:basedOn w:val="1"/>
    <w:qFormat/>
    <w:uiPriority w:val="0"/>
    <w:pPr>
      <w:ind w:firstLine="420" w:firstLineChars="200"/>
    </w:pPr>
    <w:rPr>
      <w:szCs w:val="24"/>
    </w:rPr>
  </w:style>
  <w:style w:type="paragraph" w:customStyle="1" w:styleId="58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4"/>
      <w:szCs w:val="24"/>
    </w:rPr>
  </w:style>
  <w:style w:type="paragraph" w:customStyle="1" w:styleId="582">
    <w:name w:val="xl251"/>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5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楷体_GB2312"/>
      <w:kern w:val="0"/>
      <w:sz w:val="22"/>
      <w:szCs w:val="22"/>
    </w:rPr>
  </w:style>
  <w:style w:type="paragraph" w:customStyle="1" w:styleId="584">
    <w:name w:val="black"/>
    <w:basedOn w:val="1"/>
    <w:qFormat/>
    <w:uiPriority w:val="0"/>
    <w:pPr>
      <w:widowControl/>
      <w:spacing w:before="100" w:beforeAutospacing="1" w:after="100" w:afterAutospacing="1"/>
      <w:jc w:val="left"/>
    </w:pPr>
    <w:rPr>
      <w:rFonts w:ascii="ˎ̥" w:hAnsi="ˎ̥"/>
      <w:color w:val="000066"/>
      <w:kern w:val="0"/>
      <w:sz w:val="18"/>
    </w:rPr>
  </w:style>
  <w:style w:type="paragraph" w:customStyle="1" w:styleId="585">
    <w:name w:val="reader-word-layer reader-word-s1-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6">
    <w:name w:val="修订1"/>
    <w:qFormat/>
    <w:uiPriority w:val="0"/>
    <w:rPr>
      <w:rFonts w:ascii="Times New Roman" w:hAnsi="Times New Roman" w:eastAsia="宋体" w:cs="Times New Roman"/>
      <w:kern w:val="2"/>
      <w:sz w:val="21"/>
      <w:szCs w:val="24"/>
      <w:lang w:val="en-US" w:eastAsia="zh-CN" w:bidi="ar-SA"/>
    </w:rPr>
  </w:style>
  <w:style w:type="paragraph" w:customStyle="1" w:styleId="587">
    <w:name w:val="样式 小四 段前: 5 磅 段后: 5 磅 首行缩进:  2 字符"/>
    <w:basedOn w:val="1"/>
    <w:qFormat/>
    <w:uiPriority w:val="0"/>
    <w:pPr>
      <w:spacing w:before="100" w:afterLines="50" w:line="360" w:lineRule="auto"/>
    </w:pPr>
    <w:rPr>
      <w:rFonts w:ascii="Calibri" w:hAnsi="Calibri" w:cs="Droid Sans"/>
      <w:kern w:val="0"/>
      <w:sz w:val="24"/>
    </w:rPr>
  </w:style>
  <w:style w:type="paragraph" w:customStyle="1" w:styleId="588">
    <w:name w:val="_Style 19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89">
    <w:name w:val="标题 31"/>
    <w:basedOn w:val="1"/>
    <w:next w:val="1"/>
    <w:unhideWhenUsed/>
    <w:qFormat/>
    <w:uiPriority w:val="9"/>
    <w:pPr>
      <w:keepNext/>
      <w:keepLines/>
      <w:spacing w:before="260" w:after="260" w:line="416" w:lineRule="auto"/>
      <w:ind w:left="780" w:hanging="360"/>
      <w:outlineLvl w:val="2"/>
    </w:pPr>
    <w:rPr>
      <w:rFonts w:ascii="Calibri" w:hAnsi="Calibri"/>
      <w:b/>
      <w:bCs/>
      <w:sz w:val="28"/>
      <w:szCs w:val="32"/>
    </w:rPr>
  </w:style>
  <w:style w:type="paragraph" w:customStyle="1" w:styleId="590">
    <w:name w:val="_Style 13"/>
    <w:basedOn w:val="1"/>
    <w:qFormat/>
    <w:uiPriority w:val="0"/>
    <w:pPr>
      <w:tabs>
        <w:tab w:val="left" w:pos="425"/>
      </w:tabs>
      <w:ind w:left="425" w:hanging="425"/>
    </w:pPr>
    <w:rPr>
      <w:rFonts w:cs="Droid Sans"/>
      <w:sz w:val="18"/>
    </w:rPr>
  </w:style>
  <w:style w:type="paragraph" w:customStyle="1" w:styleId="591">
    <w:name w:val="普通(Web)2"/>
    <w:basedOn w:val="1"/>
    <w:qFormat/>
    <w:uiPriority w:val="0"/>
    <w:pPr>
      <w:widowControl/>
      <w:spacing w:before="88" w:after="100" w:afterAutospacing="1" w:line="316" w:lineRule="atLeast"/>
      <w:jc w:val="left"/>
    </w:pPr>
    <w:rPr>
      <w:rFonts w:ascii="宋体" w:hAnsi="宋体" w:cs="宋体"/>
      <w:kern w:val="0"/>
      <w:sz w:val="23"/>
      <w:szCs w:val="23"/>
    </w:rPr>
  </w:style>
  <w:style w:type="paragraph" w:customStyle="1" w:styleId="592">
    <w:name w:val="样式 标题8 + 段前: 0.5 行 段后: 0.5 行"/>
    <w:basedOn w:val="478"/>
    <w:next w:val="1"/>
    <w:qFormat/>
    <w:uiPriority w:val="0"/>
    <w:pPr>
      <w:ind w:left="0" w:firstLine="0"/>
    </w:pPr>
    <w:rPr>
      <w:rFonts w:cs="宋体"/>
    </w:rPr>
  </w:style>
  <w:style w:type="paragraph" w:customStyle="1" w:styleId="593">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94">
    <w:name w:val="about_main1"/>
    <w:basedOn w:val="1"/>
    <w:qFormat/>
    <w:uiPriority w:val="0"/>
    <w:pPr>
      <w:widowControl/>
      <w:spacing w:before="24" w:after="100" w:afterAutospacing="1"/>
      <w:jc w:val="left"/>
    </w:pPr>
    <w:rPr>
      <w:rFonts w:ascii="宋体" w:hAnsi="宋体" w:cs="宋体"/>
      <w:kern w:val="0"/>
      <w:sz w:val="24"/>
      <w:szCs w:val="24"/>
    </w:rPr>
  </w:style>
  <w:style w:type="paragraph" w:customStyle="1" w:styleId="595">
    <w:name w:val="样式 标题 8 + 左"/>
    <w:basedOn w:val="14"/>
    <w:qFormat/>
    <w:uiPriority w:val="0"/>
    <w:pPr>
      <w:tabs>
        <w:tab w:val="clear" w:pos="1440"/>
      </w:tabs>
      <w:spacing w:line="319" w:lineRule="auto"/>
      <w:ind w:left="1440" w:hanging="1440"/>
      <w:jc w:val="left"/>
    </w:pPr>
    <w:rPr>
      <w:rFonts w:ascii="Cambria" w:hAnsi="Cambria" w:eastAsia="宋体" w:cs="宋体"/>
      <w:szCs w:val="20"/>
      <w:lang w:eastAsia="en-US"/>
    </w:rPr>
  </w:style>
  <w:style w:type="paragraph" w:customStyle="1" w:styleId="596">
    <w:name w:val="PP 行"/>
    <w:basedOn w:val="45"/>
    <w:qFormat/>
    <w:uiPriority w:val="0"/>
  </w:style>
  <w:style w:type="paragraph" w:customStyle="1" w:styleId="59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598">
    <w:name w:val="Char1 Char Char Char1"/>
    <w:basedOn w:val="1"/>
    <w:qFormat/>
    <w:uiPriority w:val="0"/>
    <w:rPr>
      <w:rFonts w:ascii="Tahoma" w:hAnsi="Tahoma"/>
      <w:sz w:val="24"/>
    </w:rPr>
  </w:style>
  <w:style w:type="paragraph" w:customStyle="1" w:styleId="599">
    <w:name w:val="样式4"/>
    <w:basedOn w:val="1"/>
    <w:qFormat/>
    <w:uiPriority w:val="0"/>
    <w:pPr>
      <w:spacing w:afterLines="50" w:line="360" w:lineRule="auto"/>
      <w:ind w:left="839" w:right="227"/>
      <w:textAlignment w:val="center"/>
    </w:pPr>
    <w:rPr>
      <w:rFonts w:ascii="Arial" w:hAnsi="Arial" w:eastAsia="Arial" w:cs="Droid Sans"/>
      <w:spacing w:val="20"/>
      <w:sz w:val="24"/>
    </w:rPr>
  </w:style>
  <w:style w:type="paragraph" w:customStyle="1" w:styleId="60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楷体_GB2312"/>
      <w:kern w:val="0"/>
      <w:sz w:val="22"/>
      <w:szCs w:val="22"/>
    </w:rPr>
  </w:style>
  <w:style w:type="paragraph" w:customStyle="1" w:styleId="601">
    <w:name w:val="正文文本缩进1"/>
    <w:basedOn w:val="1"/>
    <w:qFormat/>
    <w:uiPriority w:val="0"/>
    <w:pPr>
      <w:ind w:firstLine="645"/>
    </w:pPr>
    <w:rPr>
      <w:rFonts w:ascii="楷体_GB2312" w:eastAsia="楷体_GB2312"/>
      <w:sz w:val="32"/>
    </w:rPr>
  </w:style>
  <w:style w:type="paragraph" w:customStyle="1" w:styleId="602">
    <w:name w:val="首行缩进"/>
    <w:basedOn w:val="1"/>
    <w:qFormat/>
    <w:uiPriority w:val="0"/>
    <w:pPr>
      <w:spacing w:line="360" w:lineRule="auto"/>
      <w:ind w:firstLine="420" w:firstLineChars="200"/>
    </w:pPr>
    <w:rPr>
      <w:rFonts w:ascii="宋体" w:hAnsi="宋体"/>
      <w:szCs w:val="24"/>
    </w:rPr>
  </w:style>
  <w:style w:type="paragraph" w:customStyle="1" w:styleId="603">
    <w:name w:val="默认段落字体 Para Char"/>
    <w:basedOn w:val="1"/>
    <w:qFormat/>
    <w:uiPriority w:val="0"/>
  </w:style>
  <w:style w:type="paragraph" w:customStyle="1" w:styleId="604">
    <w:name w:val="样式 Arial 左侧:  2 字符 行距: 固定值 29 磅"/>
    <w:basedOn w:val="1"/>
    <w:qFormat/>
    <w:uiPriority w:val="0"/>
    <w:pPr>
      <w:adjustRightInd w:val="0"/>
      <w:spacing w:line="580" w:lineRule="exact"/>
      <w:textAlignment w:val="baseline"/>
    </w:pPr>
    <w:rPr>
      <w:rFonts w:ascii="Arial" w:hAnsi="Arial"/>
      <w:kern w:val="0"/>
      <w:sz w:val="24"/>
    </w:rPr>
  </w:style>
  <w:style w:type="paragraph" w:customStyle="1" w:styleId="605">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606">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07">
    <w:name w:val="文字"/>
    <w:basedOn w:val="1"/>
    <w:qFormat/>
    <w:uiPriority w:val="0"/>
    <w:pPr>
      <w:tabs>
        <w:tab w:val="left" w:pos="8520"/>
      </w:tabs>
      <w:spacing w:line="312" w:lineRule="auto"/>
      <w:ind w:right="-210" w:firstLine="556"/>
    </w:pPr>
    <w:rPr>
      <w:rFonts w:ascii="Calibri" w:hAnsi="Calibri" w:eastAsia="Calibri" w:cs="Droid Sans"/>
      <w:sz w:val="28"/>
    </w:rPr>
  </w:style>
  <w:style w:type="paragraph" w:customStyle="1" w:styleId="608">
    <w:name w:val="Char Char Char1"/>
    <w:basedOn w:val="1"/>
    <w:qFormat/>
    <w:uiPriority w:val="0"/>
    <w:rPr>
      <w:rFonts w:ascii="Tahoma" w:hAnsi="Tahoma"/>
      <w:sz w:val="24"/>
    </w:rPr>
  </w:style>
  <w:style w:type="paragraph" w:customStyle="1" w:styleId="609">
    <w:name w:val="TOC 标题2"/>
    <w:basedOn w:val="7"/>
    <w:next w:val="1"/>
    <w:qFormat/>
    <w:uiPriority w:val="0"/>
    <w:pPr>
      <w:spacing w:after="260" w:line="360" w:lineRule="auto"/>
      <w:outlineLvl w:val="9"/>
    </w:pPr>
    <w:rPr>
      <w:rFonts w:ascii="Calibri" w:hAnsi="Calibri"/>
      <w:sz w:val="32"/>
    </w:rPr>
  </w:style>
  <w:style w:type="paragraph" w:customStyle="1" w:styleId="610">
    <w:name w:val="编号，四号"/>
    <w:basedOn w:val="131"/>
    <w:qFormat/>
    <w:uiPriority w:val="0"/>
    <w:pPr>
      <w:ind w:left="840" w:hanging="420"/>
    </w:pPr>
    <w:rPr>
      <w:rFonts w:ascii="Times New Roman" w:hAnsi="Times New Roman"/>
      <w:sz w:val="28"/>
    </w:rPr>
  </w:style>
  <w:style w:type="paragraph" w:customStyle="1" w:styleId="611">
    <w:name w:val="Default Paragraph Char Char Char Char"/>
    <w:basedOn w:val="1"/>
    <w:next w:val="1"/>
    <w:qFormat/>
    <w:uiPriority w:val="0"/>
    <w:pPr>
      <w:widowControl/>
      <w:spacing w:line="360" w:lineRule="auto"/>
      <w:jc w:val="left"/>
    </w:pPr>
    <w:rPr>
      <w:kern w:val="0"/>
      <w:lang w:eastAsia="en-US"/>
    </w:rPr>
  </w:style>
  <w:style w:type="paragraph" w:customStyle="1" w:styleId="612">
    <w:name w:val="技术方案正文样式"/>
    <w:basedOn w:val="1"/>
    <w:qFormat/>
    <w:uiPriority w:val="0"/>
    <w:pPr>
      <w:autoSpaceDE w:val="0"/>
      <w:autoSpaceDN w:val="0"/>
      <w:adjustRightInd w:val="0"/>
      <w:spacing w:line="400" w:lineRule="exact"/>
      <w:ind w:firstLine="480" w:firstLineChars="200"/>
    </w:pPr>
    <w:rPr>
      <w:rFonts w:ascii="宋体" w:hAnsi="宋体" w:cs="宋体"/>
      <w:sz w:val="24"/>
      <w:szCs w:val="21"/>
    </w:rPr>
  </w:style>
  <w:style w:type="paragraph" w:customStyle="1" w:styleId="613">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614">
    <w:name w:val="普通(网站)1"/>
    <w:basedOn w:val="1"/>
    <w:qFormat/>
    <w:uiPriority w:val="0"/>
    <w:pPr>
      <w:widowControl/>
      <w:spacing w:before="75" w:after="75" w:line="432" w:lineRule="auto"/>
    </w:pPr>
    <w:rPr>
      <w:rFonts w:eastAsia="Times New Roman"/>
      <w:kern w:val="0"/>
      <w:sz w:val="24"/>
      <w:szCs w:val="24"/>
    </w:rPr>
  </w:style>
  <w:style w:type="paragraph" w:customStyle="1" w:styleId="615">
    <w:name w:val="Char Char Char Char Char Char Char Char Char Char Char Char2"/>
    <w:basedOn w:val="1"/>
    <w:qFormat/>
    <w:uiPriority w:val="0"/>
    <w:pPr>
      <w:spacing w:line="300" w:lineRule="auto"/>
    </w:pPr>
    <w:rPr>
      <w:rFonts w:ascii="宋体" w:hAnsi="宋体"/>
      <w:b/>
      <w:bCs/>
      <w:color w:val="000000"/>
      <w:spacing w:val="8"/>
      <w:kern w:val="0"/>
      <w:sz w:val="24"/>
      <w:szCs w:val="24"/>
    </w:rPr>
  </w:style>
  <w:style w:type="paragraph" w:customStyle="1" w:styleId="616">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61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618">
    <w:name w:val="表格"/>
    <w:basedOn w:val="1"/>
    <w:qFormat/>
    <w:uiPriority w:val="0"/>
    <w:pPr>
      <w:snapToGrid w:val="0"/>
      <w:ind w:firstLine="42" w:firstLineChars="21"/>
    </w:pPr>
    <w:rPr>
      <w:rFonts w:ascii="宋体" w:hAnsi="宋体"/>
      <w:kern w:val="0"/>
      <w:sz w:val="20"/>
    </w:rPr>
  </w:style>
  <w:style w:type="paragraph" w:customStyle="1" w:styleId="619">
    <w:name w:val="默认段落字体 Para Char Char Char Char Char Char Char Char Char Char"/>
    <w:basedOn w:val="24"/>
    <w:qFormat/>
    <w:uiPriority w:val="0"/>
    <w:pPr>
      <w:shd w:val="clear" w:color="auto" w:fill="auto"/>
    </w:pPr>
    <w:rPr>
      <w:rFonts w:ascii="宋体"/>
      <w:sz w:val="18"/>
      <w:szCs w:val="18"/>
    </w:rPr>
  </w:style>
  <w:style w:type="paragraph" w:customStyle="1" w:styleId="620">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21">
    <w:name w:val="news"/>
    <w:basedOn w:val="1"/>
    <w:qFormat/>
    <w:uiPriority w:val="0"/>
    <w:pPr>
      <w:widowControl/>
      <w:spacing w:before="100" w:beforeAutospacing="1" w:after="100" w:afterAutospacing="1" w:line="165" w:lineRule="atLeast"/>
      <w:jc w:val="left"/>
    </w:pPr>
    <w:rPr>
      <w:rFonts w:ascii="ˎ̥" w:hAnsi="ˎ̥"/>
      <w:color w:val="000000"/>
      <w:kern w:val="0"/>
      <w:sz w:val="11"/>
    </w:rPr>
  </w:style>
  <w:style w:type="paragraph" w:customStyle="1" w:styleId="622">
    <w:name w:val="简单回函地址"/>
    <w:basedOn w:val="1"/>
    <w:qFormat/>
    <w:uiPriority w:val="0"/>
    <w:rPr>
      <w:szCs w:val="24"/>
    </w:rPr>
  </w:style>
  <w:style w:type="paragraph" w:customStyle="1" w:styleId="623">
    <w:name w:val="middle"/>
    <w:basedOn w:val="1"/>
    <w:qFormat/>
    <w:uiPriority w:val="0"/>
    <w:pPr>
      <w:widowControl/>
      <w:spacing w:before="100" w:beforeAutospacing="1" w:after="100" w:afterAutospacing="1"/>
      <w:jc w:val="left"/>
    </w:pPr>
    <w:rPr>
      <w:rFonts w:ascii="ˎ̥" w:hAnsi="ˎ̥"/>
      <w:color w:val="666666"/>
      <w:kern w:val="0"/>
      <w:sz w:val="18"/>
    </w:rPr>
  </w:style>
  <w:style w:type="paragraph" w:customStyle="1" w:styleId="624">
    <w:name w:val="Char Char Char Char Char Char Char1"/>
    <w:basedOn w:val="1"/>
    <w:qFormat/>
    <w:uiPriority w:val="0"/>
    <w:pPr>
      <w:spacing w:line="380" w:lineRule="exact"/>
      <w:ind w:firstLine="200" w:firstLineChars="200"/>
    </w:pPr>
    <w:rPr>
      <w:szCs w:val="24"/>
    </w:rPr>
  </w:style>
  <w:style w:type="paragraph" w:customStyle="1" w:styleId="625">
    <w:name w:val="bottom"/>
    <w:basedOn w:val="1"/>
    <w:qFormat/>
    <w:uiPriority w:val="0"/>
    <w:pPr>
      <w:widowControl/>
      <w:spacing w:before="100" w:beforeAutospacing="1" w:after="100" w:afterAutospacing="1"/>
      <w:jc w:val="left"/>
    </w:pPr>
    <w:rPr>
      <w:rFonts w:ascii="ˎ̥" w:hAnsi="ˎ̥"/>
      <w:color w:val="333333"/>
      <w:kern w:val="0"/>
      <w:sz w:val="18"/>
    </w:rPr>
  </w:style>
  <w:style w:type="paragraph" w:customStyle="1" w:styleId="626">
    <w:name w:val="lift"/>
    <w:basedOn w:val="1"/>
    <w:qFormat/>
    <w:uiPriority w:val="0"/>
    <w:pPr>
      <w:widowControl/>
      <w:spacing w:before="100" w:beforeAutospacing="1" w:after="100" w:afterAutospacing="1"/>
      <w:jc w:val="left"/>
    </w:pPr>
    <w:rPr>
      <w:rFonts w:ascii="ˎ̥" w:hAnsi="ˎ̥"/>
      <w:color w:val="000099"/>
      <w:kern w:val="0"/>
      <w:sz w:val="9"/>
    </w:rPr>
  </w:style>
  <w:style w:type="paragraph" w:customStyle="1" w:styleId="627">
    <w:name w:val="Char Char Char Char11"/>
    <w:basedOn w:val="1"/>
    <w:qFormat/>
    <w:uiPriority w:val="0"/>
    <w:rPr>
      <w:rFonts w:ascii="Tahoma" w:hAnsi="Tahoma"/>
      <w:sz w:val="24"/>
    </w:rPr>
  </w:style>
  <w:style w:type="paragraph" w:customStyle="1" w:styleId="628">
    <w:name w:val="Char Char"/>
    <w:basedOn w:val="1"/>
    <w:qFormat/>
    <w:uiPriority w:val="0"/>
    <w:rPr>
      <w:rFonts w:ascii="Tahoma" w:hAnsi="Tahoma"/>
      <w:sz w:val="24"/>
    </w:rPr>
  </w:style>
  <w:style w:type="paragraph" w:customStyle="1" w:styleId="629">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631">
    <w:name w:val="P标3"/>
    <w:basedOn w:val="9"/>
    <w:qFormat/>
    <w:uiPriority w:val="0"/>
    <w:pPr>
      <w:keepNext w:val="0"/>
      <w:keepLines w:val="0"/>
      <w:tabs>
        <w:tab w:val="left" w:pos="425"/>
        <w:tab w:val="left" w:pos="570"/>
      </w:tabs>
      <w:autoSpaceDE w:val="0"/>
      <w:autoSpaceDN w:val="0"/>
      <w:adjustRightInd w:val="0"/>
      <w:snapToGrid w:val="0"/>
      <w:spacing w:before="120" w:after="120" w:line="480" w:lineRule="atLeast"/>
      <w:ind w:left="425" w:hanging="425"/>
      <w:jc w:val="both"/>
    </w:pPr>
    <w:rPr>
      <w:rFonts w:ascii="Calibri" w:hAnsi="Calibri" w:cs="Droid Sans"/>
      <w:b w:val="0"/>
      <w:bCs w:val="0"/>
      <w:kern w:val="0"/>
      <w:sz w:val="24"/>
      <w:szCs w:val="20"/>
    </w:rPr>
  </w:style>
  <w:style w:type="paragraph" w:customStyle="1" w:styleId="632">
    <w:name w:val="style22"/>
    <w:basedOn w:val="1"/>
    <w:qFormat/>
    <w:uiPriority w:val="0"/>
    <w:pPr>
      <w:widowControl/>
      <w:spacing w:before="100" w:beforeAutospacing="1" w:after="100" w:afterAutospacing="1"/>
      <w:jc w:val="left"/>
    </w:pPr>
    <w:rPr>
      <w:rFonts w:ascii="宋体" w:hAnsi="宋体" w:cs="宋体"/>
      <w:b/>
      <w:bCs/>
      <w:color w:val="FF00FF"/>
      <w:kern w:val="0"/>
      <w:sz w:val="18"/>
      <w:szCs w:val="18"/>
    </w:rPr>
  </w:style>
  <w:style w:type="paragraph" w:customStyle="1" w:styleId="633">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5">
    <w:name w:val="Style List + Left:  0 cm Hanging:  0.8 ch1"/>
    <w:basedOn w:val="51"/>
    <w:qFormat/>
    <w:uiPriority w:val="0"/>
    <w:pPr>
      <w:spacing w:line="360" w:lineRule="auto"/>
      <w:ind w:left="0" w:firstLine="0" w:firstLineChars="0"/>
      <w:jc w:val="left"/>
    </w:pPr>
    <w:rPr>
      <w:rFonts w:ascii="Tahoma" w:hAnsi="Tahoma"/>
      <w:szCs w:val="20"/>
    </w:rPr>
  </w:style>
  <w:style w:type="paragraph" w:customStyle="1" w:styleId="6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637">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rPr>
  </w:style>
  <w:style w:type="paragraph" w:customStyle="1" w:styleId="638">
    <w:name w:val="Char Char10 Char"/>
    <w:basedOn w:val="1"/>
    <w:qFormat/>
    <w:uiPriority w:val="0"/>
    <w:rPr>
      <w:szCs w:val="24"/>
    </w:rPr>
  </w:style>
  <w:style w:type="paragraph" w:customStyle="1" w:styleId="639">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64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641">
    <w:name w:val="Char Char Char Char1"/>
    <w:basedOn w:val="1"/>
    <w:qFormat/>
    <w:uiPriority w:val="0"/>
    <w:rPr>
      <w:rFonts w:ascii="Tahoma" w:hAnsi="Tahoma"/>
      <w:sz w:val="24"/>
    </w:rPr>
  </w:style>
  <w:style w:type="paragraph" w:customStyle="1" w:styleId="642">
    <w:name w:val="基本文字 Char"/>
    <w:basedOn w:val="1"/>
    <w:qFormat/>
    <w:uiPriority w:val="0"/>
    <w:pPr>
      <w:spacing w:before="156" w:line="400" w:lineRule="atLeast"/>
      <w:ind w:firstLine="540" w:firstLineChars="225"/>
    </w:pPr>
    <w:rPr>
      <w:sz w:val="24"/>
    </w:rPr>
  </w:style>
  <w:style w:type="paragraph" w:customStyle="1" w:styleId="643">
    <w:name w:val="Char4"/>
    <w:basedOn w:val="1"/>
    <w:qFormat/>
    <w:uiPriority w:val="0"/>
    <w:pPr>
      <w:widowControl/>
      <w:spacing w:after="160" w:line="240" w:lineRule="exact"/>
      <w:jc w:val="left"/>
    </w:pPr>
    <w:rPr>
      <w:rFonts w:ascii="Verdana" w:hAnsi="Verdana"/>
      <w:kern w:val="0"/>
      <w:sz w:val="20"/>
      <w:lang w:eastAsia="en-US"/>
    </w:rPr>
  </w:style>
  <w:style w:type="table" w:customStyle="1" w:styleId="644">
    <w:name w:val="网格型1"/>
    <w:basedOn w:val="7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5">
    <w:name w:val="网格型5"/>
    <w:basedOn w:val="7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6">
    <w:name w:val="TableGrid"/>
    <w:qFormat/>
    <w:uiPriority w:val="0"/>
    <w:rPr>
      <w:kern w:val="2"/>
      <w:sz w:val="21"/>
      <w:szCs w:val="22"/>
    </w:rPr>
    <w:tblPr>
      <w:tblCellMar>
        <w:top w:w="0" w:type="dxa"/>
        <w:left w:w="0" w:type="dxa"/>
        <w:bottom w:w="0" w:type="dxa"/>
        <w:right w:w="0" w:type="dxa"/>
      </w:tblCellMar>
    </w:tblPr>
  </w:style>
  <w:style w:type="table" w:customStyle="1" w:styleId="647">
    <w:name w:val="网格型4"/>
    <w:basedOn w:val="7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8">
    <w:name w:val="网格型6"/>
    <w:basedOn w:val="71"/>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9">
    <w:name w:val="网格型2"/>
    <w:basedOn w:val="7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0">
    <w:name w:val="网格型3"/>
    <w:basedOn w:val="7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1">
    <w:name w:val="icon_ds"/>
    <w:basedOn w:val="73"/>
    <w:qFormat/>
    <w:uiPriority w:val="0"/>
    <w:rPr>
      <w:sz w:val="21"/>
      <w:szCs w:val="21"/>
    </w:rPr>
  </w:style>
  <w:style w:type="character" w:customStyle="1" w:styleId="652">
    <w:name w:val="icon_ds1"/>
    <w:basedOn w:val="73"/>
    <w:qFormat/>
    <w:uiPriority w:val="0"/>
  </w:style>
  <w:style w:type="character" w:customStyle="1" w:styleId="653">
    <w:name w:val="first-child1"/>
    <w:basedOn w:val="73"/>
    <w:qFormat/>
    <w:uiPriority w:val="0"/>
    <w:rPr>
      <w:color w:val="1F3149"/>
      <w:sz w:val="24"/>
      <w:szCs w:val="24"/>
    </w:rPr>
  </w:style>
  <w:style w:type="character" w:customStyle="1" w:styleId="654">
    <w:name w:val="first-child2"/>
    <w:basedOn w:val="73"/>
    <w:qFormat/>
    <w:uiPriority w:val="0"/>
    <w:rPr>
      <w:color w:val="1F3149"/>
      <w:sz w:val="24"/>
      <w:szCs w:val="24"/>
    </w:rPr>
  </w:style>
  <w:style w:type="character" w:customStyle="1" w:styleId="655">
    <w:name w:val="fr"/>
    <w:basedOn w:val="73"/>
    <w:qFormat/>
    <w:uiPriority w:val="0"/>
  </w:style>
  <w:style w:type="character" w:customStyle="1" w:styleId="656">
    <w:name w:val="xiadan"/>
    <w:basedOn w:val="73"/>
    <w:qFormat/>
    <w:uiPriority w:val="0"/>
    <w:rPr>
      <w:shd w:val="clear" w:color="auto" w:fill="E4393C"/>
    </w:rPr>
  </w:style>
  <w:style w:type="character" w:customStyle="1" w:styleId="657">
    <w:name w:val="icon_gys"/>
    <w:basedOn w:val="73"/>
    <w:qFormat/>
    <w:uiPriority w:val="0"/>
    <w:rPr>
      <w:sz w:val="21"/>
      <w:szCs w:val="21"/>
    </w:rPr>
  </w:style>
  <w:style w:type="paragraph" w:customStyle="1" w:styleId="658">
    <w:name w:val="列表段落1"/>
    <w:basedOn w:val="1"/>
    <w:qFormat/>
    <w:uiPriority w:val="1"/>
    <w:pPr>
      <w:ind w:firstLine="420" w:firstLineChars="200"/>
    </w:pPr>
  </w:style>
  <w:style w:type="character" w:customStyle="1" w:styleId="659">
    <w:name w:val="正文1 Char"/>
    <w:link w:val="516"/>
    <w:qFormat/>
    <w:uiPriority w:val="0"/>
    <w:rPr>
      <w:kern w:val="2"/>
      <w:sz w:val="21"/>
      <w:szCs w:val="24"/>
    </w:rPr>
  </w:style>
  <w:style w:type="paragraph" w:customStyle="1" w:styleId="660">
    <w:name w:val="目录 42"/>
    <w:basedOn w:val="1"/>
    <w:next w:val="1"/>
    <w:qFormat/>
    <w:uiPriority w:val="0"/>
    <w:pPr>
      <w:ind w:left="63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78</Pages>
  <Words>6467</Words>
  <Characters>36864</Characters>
  <Lines>307</Lines>
  <Paragraphs>86</Paragraphs>
  <TotalTime>17</TotalTime>
  <ScaleCrop>false</ScaleCrop>
  <LinksUpToDate>false</LinksUpToDate>
  <CharactersWithSpaces>43245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2023-03-23T06:54:00Z</dcterms:created>
  <dc:creator>Administrator</dc:creator>
  <cp:lastModifiedBy>a1</cp:lastModifiedBy>
  <cp:lastPrinted>2023-09-14T07:35:00Z</cp:lastPrinted>
  <dcterms:modified xsi:type="dcterms:W3CDTF">2023-09-21T07:37:13Z</dcterms:modified>
  <dc:title>周口市公共资源交易中心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76D1A01FE1B34443AC96DE9DA7684603_13</vt:lpwstr>
  </property>
</Properties>
</file>