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AE09EA">
      <w:pPr>
        <w:widowControl/>
        <w:shd w:val="clear" w:color="auto" w:fill="FFFFFF"/>
        <w:spacing w:line="560" w:lineRule="exact"/>
        <w:jc w:val="center"/>
        <w:rPr>
          <w:rFonts w:hint="eastAsia" w:ascii="黑体" w:hAnsi="黑体" w:eastAsia="黑体" w:cs="黑体"/>
          <w:kern w:val="2"/>
          <w:sz w:val="44"/>
          <w:szCs w:val="44"/>
          <w:lang w:val="en-US" w:eastAsia="zh-CN" w:bidi="ar-SA"/>
        </w:rPr>
      </w:pPr>
      <w:r>
        <w:rPr>
          <w:rFonts w:hint="eastAsia" w:ascii="黑体" w:hAnsi="黑体" w:eastAsia="黑体" w:cs="黑体"/>
          <w:kern w:val="2"/>
          <w:sz w:val="44"/>
          <w:szCs w:val="44"/>
          <w:lang w:val="en-US" w:eastAsia="zh-CN" w:bidi="ar-SA"/>
        </w:rPr>
        <w:t>禹州市中等专业学校数字化电钢琴实训室设备采购及配套系统建设项目</w:t>
      </w:r>
    </w:p>
    <w:p w14:paraId="33A8A900">
      <w:pPr>
        <w:rPr>
          <w:rFonts w:ascii="微软简隶书" w:eastAsia="微软简隶书"/>
          <w:b/>
          <w:bCs/>
          <w:color w:val="000000"/>
          <w:sz w:val="32"/>
          <w:szCs w:val="32"/>
          <w:u w:val="single"/>
        </w:rPr>
      </w:pPr>
    </w:p>
    <w:p w14:paraId="4854FCE2">
      <w:pPr>
        <w:rPr>
          <w:rFonts w:ascii="微软简隶书" w:eastAsia="微软简隶书"/>
          <w:color w:val="000000"/>
        </w:rPr>
      </w:pPr>
    </w:p>
    <w:p w14:paraId="4137A405">
      <w:pPr>
        <w:rPr>
          <w:rFonts w:ascii="微软简隶书" w:eastAsia="微软简隶书"/>
          <w:color w:val="000000"/>
        </w:rPr>
      </w:pPr>
      <w:bookmarkStart w:id="12" w:name="_GoBack"/>
      <w:bookmarkEnd w:id="12"/>
    </w:p>
    <w:p w14:paraId="6E17BB6C">
      <w:pPr>
        <w:rPr>
          <w:rFonts w:ascii="微软简隶书" w:eastAsia="微软简隶书"/>
          <w:color w:val="000000"/>
        </w:rPr>
      </w:pPr>
    </w:p>
    <w:p w14:paraId="2E374B9B">
      <w:pPr>
        <w:jc w:val="both"/>
        <w:rPr>
          <w:rFonts w:ascii="宋体" w:hAnsi="宋体" w:cs="宋体"/>
          <w:bCs/>
          <w:color w:val="000000"/>
          <w:w w:val="90"/>
          <w:sz w:val="96"/>
          <w:szCs w:val="96"/>
        </w:rPr>
      </w:pPr>
    </w:p>
    <w:p w14:paraId="00C78897">
      <w:pPr>
        <w:jc w:val="center"/>
        <w:rPr>
          <w:rFonts w:hint="eastAsia" w:ascii="黑体" w:hAnsi="黑体" w:eastAsia="黑体" w:cs="黑体"/>
          <w:bCs/>
          <w:color w:val="000000"/>
          <w:w w:val="90"/>
          <w:sz w:val="96"/>
          <w:szCs w:val="96"/>
        </w:rPr>
      </w:pPr>
      <w:r>
        <w:rPr>
          <w:rFonts w:hint="eastAsia" w:ascii="黑体" w:hAnsi="黑体" w:eastAsia="黑体" w:cs="黑体"/>
          <w:bCs/>
          <w:color w:val="000000"/>
          <w:w w:val="90"/>
          <w:sz w:val="96"/>
          <w:szCs w:val="96"/>
        </w:rPr>
        <w:t>招　标　文　件</w:t>
      </w:r>
    </w:p>
    <w:p w14:paraId="67833786">
      <w:pPr>
        <w:rPr>
          <w:rFonts w:ascii="微软简隶书" w:eastAsia="微软简隶书"/>
          <w:color w:val="000000"/>
        </w:rPr>
      </w:pPr>
    </w:p>
    <w:p w14:paraId="392D9CFF">
      <w:pPr>
        <w:rPr>
          <w:rFonts w:ascii="微软简隶书" w:eastAsia="微软简隶书"/>
          <w:color w:val="000000"/>
        </w:rPr>
      </w:pPr>
    </w:p>
    <w:p w14:paraId="707B63BC">
      <w:pPr>
        <w:rPr>
          <w:rFonts w:ascii="微软简隶书" w:eastAsia="微软简隶书"/>
          <w:color w:val="000000"/>
        </w:rPr>
      </w:pPr>
    </w:p>
    <w:p w14:paraId="7A65FCF5">
      <w:pPr>
        <w:rPr>
          <w:rFonts w:ascii="微软简隶书" w:eastAsia="微软简隶书"/>
          <w:color w:val="000000"/>
        </w:rPr>
      </w:pPr>
    </w:p>
    <w:p w14:paraId="279F3C6C">
      <w:pPr>
        <w:rPr>
          <w:rFonts w:ascii="微软简隶书" w:eastAsia="微软简隶书"/>
          <w:color w:val="000000"/>
        </w:rPr>
      </w:pPr>
    </w:p>
    <w:p w14:paraId="43B27F95">
      <w:pPr>
        <w:rPr>
          <w:rFonts w:ascii="微软简隶书" w:eastAsia="微软简隶书"/>
          <w:color w:val="000000"/>
        </w:rPr>
      </w:pPr>
    </w:p>
    <w:p w14:paraId="052D0D9B">
      <w:pPr>
        <w:rPr>
          <w:rFonts w:ascii="微软简隶书" w:eastAsia="微软简隶书"/>
          <w:color w:val="000000"/>
        </w:rPr>
      </w:pPr>
    </w:p>
    <w:p w14:paraId="15D10FA6">
      <w:pPr>
        <w:keepNext w:val="0"/>
        <w:keepLines w:val="0"/>
        <w:pageBreakBefore w:val="0"/>
        <w:widowControl w:val="0"/>
        <w:kinsoku/>
        <w:wordWrap/>
        <w:overflowPunct/>
        <w:topLinePunct w:val="0"/>
        <w:autoSpaceDE/>
        <w:autoSpaceDN/>
        <w:bidi w:val="0"/>
        <w:adjustRightInd/>
        <w:snapToGrid/>
        <w:spacing w:line="360" w:lineRule="auto"/>
        <w:ind w:firstLine="1084" w:firstLineChars="300"/>
        <w:textAlignment w:val="auto"/>
        <w:rPr>
          <w:rFonts w:hint="default" w:ascii="宋体" w:hAnsi="宋体" w:cs="宋体" w:eastAsiaTheme="minorEastAsia"/>
          <w:b/>
          <w:bCs/>
          <w:color w:val="000000"/>
          <w:sz w:val="36"/>
          <w:szCs w:val="36"/>
          <w:lang w:val="en-US" w:eastAsia="zh-CN"/>
        </w:rPr>
      </w:pPr>
      <w:r>
        <w:rPr>
          <w:rFonts w:hint="eastAsia" w:ascii="宋体" w:hAnsi="宋体" w:cs="宋体"/>
          <w:b/>
          <w:bCs/>
          <w:color w:val="000000"/>
          <w:sz w:val="36"/>
          <w:szCs w:val="36"/>
        </w:rPr>
        <w:t>采购编号： YZCG-</w:t>
      </w:r>
      <w:r>
        <w:rPr>
          <w:rFonts w:hint="eastAsia" w:ascii="宋体" w:hAnsi="宋体" w:cs="宋体"/>
          <w:b/>
          <w:bCs/>
          <w:color w:val="000000"/>
          <w:sz w:val="36"/>
          <w:szCs w:val="36"/>
          <w:lang w:val="en-US" w:eastAsia="zh-CN"/>
        </w:rPr>
        <w:t>G2025030</w:t>
      </w:r>
    </w:p>
    <w:p w14:paraId="1D4823DF">
      <w:pPr>
        <w:keepNext w:val="0"/>
        <w:keepLines w:val="0"/>
        <w:pageBreakBefore w:val="0"/>
        <w:widowControl w:val="0"/>
        <w:kinsoku/>
        <w:wordWrap/>
        <w:overflowPunct/>
        <w:topLinePunct w:val="0"/>
        <w:autoSpaceDE/>
        <w:autoSpaceDN/>
        <w:bidi w:val="0"/>
        <w:adjustRightInd/>
        <w:snapToGrid/>
        <w:spacing w:before="98" w:line="360" w:lineRule="auto"/>
        <w:ind w:firstLine="1084" w:firstLineChars="300"/>
        <w:jc w:val="both"/>
        <w:textAlignment w:val="auto"/>
        <w:rPr>
          <w:rFonts w:hint="eastAsia" w:ascii="宋体" w:hAnsi="宋体" w:cs="宋体"/>
          <w:b/>
          <w:bCs/>
          <w:color w:val="000000"/>
          <w:sz w:val="36"/>
          <w:szCs w:val="36"/>
          <w:lang w:val="en-US" w:eastAsia="zh-CN"/>
        </w:rPr>
      </w:pPr>
      <w:r>
        <w:rPr>
          <w:rFonts w:hint="eastAsia" w:ascii="宋体" w:hAnsi="宋体" w:cs="宋体"/>
          <w:b/>
          <w:bCs/>
          <w:color w:val="000000"/>
          <w:sz w:val="36"/>
          <w:szCs w:val="36"/>
        </w:rPr>
        <w:t>采购单位：</w:t>
      </w:r>
      <w:r>
        <w:rPr>
          <w:rFonts w:hint="eastAsia" w:ascii="宋体" w:hAnsi="宋体" w:cs="宋体"/>
          <w:b/>
          <w:bCs/>
          <w:color w:val="000000"/>
          <w:sz w:val="36"/>
          <w:szCs w:val="36"/>
          <w:lang w:val="en-US" w:eastAsia="zh-CN"/>
        </w:rPr>
        <w:t>禹州市中等专业学校</w:t>
      </w:r>
    </w:p>
    <w:p w14:paraId="03C628F6">
      <w:pPr>
        <w:keepNext w:val="0"/>
        <w:keepLines w:val="0"/>
        <w:pageBreakBefore w:val="0"/>
        <w:widowControl w:val="0"/>
        <w:kinsoku/>
        <w:wordWrap/>
        <w:overflowPunct/>
        <w:topLinePunct w:val="0"/>
        <w:autoSpaceDE/>
        <w:autoSpaceDN/>
        <w:bidi w:val="0"/>
        <w:adjustRightInd/>
        <w:snapToGrid/>
        <w:spacing w:line="360" w:lineRule="auto"/>
        <w:ind w:firstLine="1084" w:firstLineChars="300"/>
        <w:textAlignment w:val="auto"/>
        <w:rPr>
          <w:rFonts w:ascii="宋体" w:hAnsi="宋体" w:cs="宋体"/>
          <w:b/>
          <w:bCs/>
          <w:color w:val="000000"/>
          <w:sz w:val="36"/>
          <w:szCs w:val="36"/>
        </w:rPr>
      </w:pPr>
      <w:r>
        <w:rPr>
          <w:rFonts w:hint="eastAsia" w:ascii="宋体" w:hAnsi="宋体" w:cs="宋体"/>
          <w:b/>
          <w:bCs/>
          <w:color w:val="000000"/>
          <w:sz w:val="36"/>
          <w:szCs w:val="36"/>
        </w:rPr>
        <w:t>代理机构：禹州市政府采购中心</w:t>
      </w:r>
    </w:p>
    <w:p w14:paraId="0D0F7D12">
      <w:pPr>
        <w:jc w:val="center"/>
        <w:rPr>
          <w:rFonts w:hint="eastAsia" w:ascii="宋体" w:hAnsi="宋体" w:cs="宋体"/>
          <w:b/>
          <w:bCs/>
          <w:color w:val="000000"/>
          <w:sz w:val="36"/>
          <w:szCs w:val="36"/>
        </w:rPr>
      </w:pPr>
    </w:p>
    <w:p w14:paraId="4156374A">
      <w:pPr>
        <w:jc w:val="both"/>
        <w:rPr>
          <w:rFonts w:hint="eastAsia" w:ascii="宋体" w:hAnsi="宋体" w:cs="宋体"/>
          <w:b/>
          <w:bCs/>
          <w:color w:val="000000"/>
          <w:sz w:val="36"/>
          <w:szCs w:val="36"/>
        </w:rPr>
      </w:pPr>
    </w:p>
    <w:p w14:paraId="0B0E235E">
      <w:pPr>
        <w:ind w:firstLine="3253" w:firstLineChars="900"/>
        <w:jc w:val="both"/>
        <w:rPr>
          <w:rFonts w:ascii="宋体" w:hAnsi="宋体" w:cs="宋体"/>
          <w:b/>
          <w:bCs/>
          <w:color w:val="000000"/>
          <w:sz w:val="36"/>
          <w:szCs w:val="36"/>
        </w:rPr>
      </w:pPr>
      <w:r>
        <w:rPr>
          <w:rFonts w:hint="eastAsia" w:ascii="宋体" w:hAnsi="宋体" w:cs="宋体"/>
          <w:b/>
          <w:bCs/>
          <w:color w:val="000000"/>
          <w:sz w:val="36"/>
          <w:szCs w:val="36"/>
        </w:rPr>
        <w:t>二〇二</w:t>
      </w:r>
      <w:r>
        <w:rPr>
          <w:rFonts w:hint="eastAsia" w:ascii="宋体" w:hAnsi="宋体" w:cs="宋体"/>
          <w:b/>
          <w:bCs/>
          <w:color w:val="000000"/>
          <w:sz w:val="36"/>
          <w:szCs w:val="36"/>
          <w:lang w:val="en-US" w:eastAsia="zh-CN"/>
        </w:rPr>
        <w:t>五</w:t>
      </w:r>
      <w:r>
        <w:rPr>
          <w:rFonts w:hint="eastAsia" w:ascii="宋体" w:hAnsi="宋体" w:cs="宋体"/>
          <w:b/>
          <w:bCs/>
          <w:color w:val="000000"/>
          <w:sz w:val="36"/>
          <w:szCs w:val="36"/>
        </w:rPr>
        <w:t>年</w:t>
      </w:r>
      <w:r>
        <w:rPr>
          <w:rFonts w:hint="eastAsia" w:ascii="宋体" w:hAnsi="宋体" w:cs="宋体"/>
          <w:b/>
          <w:bCs/>
          <w:color w:val="000000"/>
          <w:sz w:val="36"/>
          <w:szCs w:val="36"/>
          <w:lang w:val="en-US" w:eastAsia="zh-CN"/>
        </w:rPr>
        <w:t>十一</w:t>
      </w:r>
      <w:r>
        <w:rPr>
          <w:rFonts w:hint="eastAsia" w:ascii="宋体" w:hAnsi="宋体" w:cs="宋体"/>
          <w:b/>
          <w:bCs/>
          <w:color w:val="000000"/>
          <w:sz w:val="36"/>
          <w:szCs w:val="36"/>
        </w:rPr>
        <w:t>月</w:t>
      </w:r>
    </w:p>
    <w:p w14:paraId="7ADE3652">
      <w:pPr>
        <w:rPr>
          <w:rFonts w:ascii="微软简隶书" w:eastAsia="微软简隶书"/>
          <w:u w:val="single"/>
        </w:rPr>
      </w:pPr>
    </w:p>
    <w:p w14:paraId="22B8B876">
      <w:pPr>
        <w:autoSpaceDE w:val="0"/>
        <w:autoSpaceDN w:val="0"/>
        <w:adjustRightInd w:val="0"/>
        <w:spacing w:line="700" w:lineRule="exact"/>
        <w:ind w:firstLine="602" w:firstLineChars="200"/>
        <w:rPr>
          <w:rFonts w:hint="eastAsia" w:asciiTheme="majorEastAsia" w:hAnsiTheme="majorEastAsia" w:eastAsiaTheme="majorEastAsia" w:cstheme="majorEastAsia"/>
          <w:b/>
          <w:bCs/>
          <w:sz w:val="30"/>
          <w:szCs w:val="30"/>
          <w:lang w:val="zh-CN"/>
        </w:rPr>
      </w:pPr>
    </w:p>
    <w:p w14:paraId="26B198DA">
      <w:pPr>
        <w:autoSpaceDE w:val="0"/>
        <w:autoSpaceDN w:val="0"/>
        <w:adjustRightInd w:val="0"/>
        <w:spacing w:line="700" w:lineRule="exact"/>
        <w:ind w:firstLine="602" w:firstLineChars="200"/>
        <w:rPr>
          <w:rFonts w:asciiTheme="majorEastAsia" w:hAnsiTheme="majorEastAsia" w:eastAsiaTheme="majorEastAsia" w:cstheme="majorEastAsia"/>
          <w:b/>
          <w:bCs/>
          <w:sz w:val="30"/>
          <w:szCs w:val="30"/>
          <w:lang w:val="zh-CN"/>
        </w:rPr>
      </w:pPr>
      <w:r>
        <w:rPr>
          <w:rFonts w:hint="eastAsia" w:asciiTheme="majorEastAsia" w:hAnsiTheme="majorEastAsia" w:eastAsiaTheme="majorEastAsia" w:cstheme="majorEastAsia"/>
          <w:b/>
          <w:bCs/>
          <w:sz w:val="30"/>
          <w:szCs w:val="30"/>
          <w:lang w:val="zh-CN"/>
        </w:rPr>
        <w:t>第一章 投标邀请</w:t>
      </w:r>
    </w:p>
    <w:p w14:paraId="0BAE5362">
      <w:pPr>
        <w:autoSpaceDE w:val="0"/>
        <w:autoSpaceDN w:val="0"/>
        <w:adjustRightInd w:val="0"/>
        <w:spacing w:line="700" w:lineRule="exact"/>
        <w:ind w:firstLine="551"/>
        <w:rPr>
          <w:rFonts w:asciiTheme="majorEastAsia" w:hAnsiTheme="majorEastAsia" w:eastAsiaTheme="majorEastAsia" w:cstheme="majorEastAsia"/>
          <w:b/>
          <w:bCs/>
          <w:sz w:val="30"/>
          <w:szCs w:val="30"/>
          <w:lang w:val="zh-CN"/>
        </w:rPr>
      </w:pPr>
      <w:r>
        <w:rPr>
          <w:rFonts w:hint="eastAsia" w:asciiTheme="majorEastAsia" w:hAnsiTheme="majorEastAsia" w:eastAsiaTheme="majorEastAsia" w:cstheme="majorEastAsia"/>
          <w:b/>
          <w:bCs/>
          <w:sz w:val="30"/>
          <w:szCs w:val="30"/>
          <w:lang w:val="zh-CN"/>
        </w:rPr>
        <w:t>第二章 项目需求</w:t>
      </w:r>
    </w:p>
    <w:p w14:paraId="25AF09CD">
      <w:pPr>
        <w:autoSpaceDE w:val="0"/>
        <w:autoSpaceDN w:val="0"/>
        <w:adjustRightInd w:val="0"/>
        <w:spacing w:line="700" w:lineRule="exact"/>
        <w:ind w:firstLine="560"/>
        <w:rPr>
          <w:rFonts w:asciiTheme="majorEastAsia" w:hAnsiTheme="majorEastAsia" w:eastAsiaTheme="majorEastAsia" w:cstheme="majorEastAsia"/>
          <w:b/>
          <w:kern w:val="0"/>
          <w:sz w:val="30"/>
          <w:szCs w:val="30"/>
        </w:rPr>
      </w:pPr>
      <w:r>
        <w:rPr>
          <w:rFonts w:hint="eastAsia" w:asciiTheme="majorEastAsia" w:hAnsiTheme="majorEastAsia" w:eastAsiaTheme="majorEastAsia" w:cstheme="majorEastAsia"/>
          <w:b/>
          <w:bCs/>
          <w:sz w:val="30"/>
          <w:szCs w:val="30"/>
          <w:lang w:val="zh-CN"/>
        </w:rPr>
        <w:t xml:space="preserve">第三章 </w:t>
      </w:r>
      <w:r>
        <w:rPr>
          <w:rFonts w:hint="eastAsia" w:asciiTheme="majorEastAsia" w:hAnsiTheme="majorEastAsia" w:eastAsiaTheme="majorEastAsia" w:cstheme="majorEastAsia"/>
          <w:b/>
          <w:kern w:val="0"/>
          <w:sz w:val="30"/>
          <w:szCs w:val="30"/>
        </w:rPr>
        <w:t>投标人须知前附表</w:t>
      </w:r>
    </w:p>
    <w:p w14:paraId="612D05A1">
      <w:pPr>
        <w:autoSpaceDE w:val="0"/>
        <w:autoSpaceDN w:val="0"/>
        <w:adjustRightInd w:val="0"/>
        <w:spacing w:line="700" w:lineRule="exact"/>
        <w:ind w:firstLine="560"/>
        <w:rPr>
          <w:rFonts w:asciiTheme="majorEastAsia" w:hAnsiTheme="majorEastAsia" w:eastAsiaTheme="majorEastAsia" w:cstheme="majorEastAsia"/>
          <w:b/>
          <w:kern w:val="0"/>
          <w:sz w:val="30"/>
          <w:szCs w:val="30"/>
        </w:rPr>
      </w:pPr>
      <w:r>
        <w:rPr>
          <w:rFonts w:hint="eastAsia" w:asciiTheme="majorEastAsia" w:hAnsiTheme="majorEastAsia" w:eastAsiaTheme="majorEastAsia" w:cstheme="majorEastAsia"/>
          <w:b/>
          <w:bCs/>
          <w:sz w:val="30"/>
          <w:szCs w:val="30"/>
          <w:lang w:val="zh-CN"/>
        </w:rPr>
        <w:t xml:space="preserve">第四章 </w:t>
      </w:r>
      <w:r>
        <w:rPr>
          <w:rFonts w:hint="eastAsia" w:asciiTheme="majorEastAsia" w:hAnsiTheme="majorEastAsia" w:eastAsiaTheme="majorEastAsia" w:cstheme="majorEastAsia"/>
          <w:b/>
          <w:kern w:val="0"/>
          <w:sz w:val="30"/>
          <w:szCs w:val="30"/>
        </w:rPr>
        <w:t>投标人须知</w:t>
      </w:r>
    </w:p>
    <w:p w14:paraId="42840FCF">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一、概念释义</w:t>
      </w:r>
    </w:p>
    <w:p w14:paraId="1A94A32E">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二、招标文件说明</w:t>
      </w:r>
    </w:p>
    <w:p w14:paraId="6FDD014E">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三、投标文件的编制</w:t>
      </w:r>
    </w:p>
    <w:p w14:paraId="4DE75BB8">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四、投标文件的递交</w:t>
      </w:r>
    </w:p>
    <w:p w14:paraId="38B4E550">
      <w:pPr>
        <w:autoSpaceDE w:val="0"/>
        <w:autoSpaceDN w:val="0"/>
        <w:adjustRightInd w:val="0"/>
        <w:spacing w:line="700" w:lineRule="exact"/>
        <w:ind w:firstLine="560"/>
        <w:rPr>
          <w:rFonts w:asciiTheme="majorEastAsia" w:hAnsiTheme="majorEastAsia" w:eastAsiaTheme="majorEastAsia" w:cstheme="majorEastAsia"/>
          <w:sz w:val="30"/>
          <w:szCs w:val="30"/>
          <w:lang w:val="zh-CN"/>
        </w:rPr>
      </w:pPr>
      <w:r>
        <w:rPr>
          <w:rFonts w:hint="eastAsia" w:asciiTheme="majorEastAsia" w:hAnsiTheme="majorEastAsia" w:eastAsiaTheme="majorEastAsia" w:cstheme="majorEastAsia"/>
          <w:sz w:val="30"/>
          <w:szCs w:val="30"/>
          <w:lang w:val="zh-CN"/>
        </w:rPr>
        <w:t>五、开标和评标</w:t>
      </w:r>
    </w:p>
    <w:p w14:paraId="6D469DB3">
      <w:pPr>
        <w:autoSpaceDE w:val="0"/>
        <w:autoSpaceDN w:val="0"/>
        <w:adjustRightInd w:val="0"/>
        <w:spacing w:line="700" w:lineRule="exact"/>
        <w:ind w:firstLine="551"/>
        <w:rPr>
          <w:rFonts w:asciiTheme="majorEastAsia" w:hAnsiTheme="majorEastAsia" w:eastAsiaTheme="majorEastAsia" w:cstheme="majorEastAsia"/>
          <w:b/>
          <w:bCs/>
          <w:sz w:val="30"/>
          <w:szCs w:val="30"/>
          <w:lang w:val="zh-CN"/>
        </w:rPr>
      </w:pPr>
      <w:r>
        <w:rPr>
          <w:rFonts w:hint="eastAsia" w:asciiTheme="majorEastAsia" w:hAnsiTheme="majorEastAsia" w:eastAsiaTheme="majorEastAsia" w:cstheme="majorEastAsia"/>
          <w:sz w:val="30"/>
          <w:szCs w:val="30"/>
          <w:lang w:val="zh-CN"/>
        </w:rPr>
        <w:t>六、定标和授予合同</w:t>
      </w:r>
    </w:p>
    <w:p w14:paraId="081EF656">
      <w:pPr>
        <w:autoSpaceDE w:val="0"/>
        <w:autoSpaceDN w:val="0"/>
        <w:adjustRightInd w:val="0"/>
        <w:spacing w:line="700" w:lineRule="exact"/>
        <w:ind w:firstLine="551"/>
        <w:rPr>
          <w:rFonts w:asciiTheme="majorEastAsia" w:hAnsiTheme="majorEastAsia" w:eastAsiaTheme="majorEastAsia" w:cstheme="majorEastAsia"/>
          <w:b/>
          <w:bCs/>
          <w:sz w:val="30"/>
          <w:szCs w:val="30"/>
          <w:lang w:val="zh-CN"/>
        </w:rPr>
      </w:pPr>
      <w:r>
        <w:rPr>
          <w:rFonts w:hint="eastAsia" w:asciiTheme="majorEastAsia" w:hAnsiTheme="majorEastAsia" w:eastAsiaTheme="majorEastAsia" w:cstheme="majorEastAsia"/>
          <w:b/>
          <w:bCs/>
          <w:sz w:val="30"/>
          <w:szCs w:val="30"/>
          <w:lang w:val="zh-CN"/>
        </w:rPr>
        <w:t xml:space="preserve">第五章 </w:t>
      </w:r>
      <w:r>
        <w:rPr>
          <w:rFonts w:hint="eastAsia" w:asciiTheme="majorEastAsia" w:hAnsiTheme="majorEastAsia" w:eastAsiaTheme="majorEastAsia" w:cstheme="majorEastAsia"/>
          <w:b/>
          <w:kern w:val="0"/>
          <w:sz w:val="30"/>
          <w:szCs w:val="30"/>
        </w:rPr>
        <w:t>政府采购政策功能</w:t>
      </w:r>
    </w:p>
    <w:p w14:paraId="636687C7">
      <w:pPr>
        <w:autoSpaceDE w:val="0"/>
        <w:autoSpaceDN w:val="0"/>
        <w:adjustRightInd w:val="0"/>
        <w:spacing w:line="700" w:lineRule="exact"/>
        <w:ind w:firstLine="551"/>
        <w:rPr>
          <w:rFonts w:asciiTheme="majorEastAsia" w:hAnsiTheme="majorEastAsia" w:eastAsiaTheme="majorEastAsia" w:cstheme="majorEastAsia"/>
          <w:b/>
          <w:bCs/>
          <w:sz w:val="30"/>
          <w:szCs w:val="30"/>
          <w:lang w:val="zh-CN"/>
        </w:rPr>
      </w:pPr>
      <w:r>
        <w:rPr>
          <w:rFonts w:hint="eastAsia" w:asciiTheme="majorEastAsia" w:hAnsiTheme="majorEastAsia" w:eastAsiaTheme="majorEastAsia" w:cstheme="majorEastAsia"/>
          <w:b/>
          <w:bCs/>
          <w:sz w:val="30"/>
          <w:szCs w:val="30"/>
          <w:lang w:val="zh-CN"/>
        </w:rPr>
        <w:t xml:space="preserve">第六章 </w:t>
      </w:r>
      <w:r>
        <w:rPr>
          <w:rFonts w:hint="eastAsia" w:asciiTheme="majorEastAsia" w:hAnsiTheme="majorEastAsia" w:eastAsiaTheme="majorEastAsia" w:cstheme="majorEastAsia"/>
          <w:b/>
          <w:kern w:val="0"/>
          <w:sz w:val="30"/>
          <w:szCs w:val="30"/>
        </w:rPr>
        <w:t>资格审查与评标</w:t>
      </w:r>
    </w:p>
    <w:p w14:paraId="654DCD91">
      <w:pPr>
        <w:autoSpaceDE w:val="0"/>
        <w:autoSpaceDN w:val="0"/>
        <w:adjustRightInd w:val="0"/>
        <w:spacing w:line="700" w:lineRule="exact"/>
        <w:ind w:firstLine="551"/>
        <w:rPr>
          <w:rFonts w:hint="eastAsia" w:asciiTheme="majorEastAsia" w:hAnsiTheme="majorEastAsia" w:eastAsiaTheme="majorEastAsia" w:cstheme="majorEastAsia"/>
          <w:b/>
          <w:bCs/>
          <w:sz w:val="30"/>
          <w:szCs w:val="30"/>
          <w:lang w:val="zh-CN"/>
        </w:rPr>
      </w:pPr>
      <w:r>
        <w:rPr>
          <w:rFonts w:hint="eastAsia" w:asciiTheme="majorEastAsia" w:hAnsiTheme="majorEastAsia" w:eastAsiaTheme="majorEastAsia" w:cstheme="majorEastAsia"/>
          <w:b/>
          <w:bCs/>
          <w:sz w:val="30"/>
          <w:szCs w:val="30"/>
          <w:lang w:val="zh-CN"/>
        </w:rPr>
        <w:t>第七章 拟签订的合同文本</w:t>
      </w:r>
    </w:p>
    <w:p w14:paraId="60D87CFB">
      <w:pPr>
        <w:autoSpaceDE w:val="0"/>
        <w:autoSpaceDN w:val="0"/>
        <w:adjustRightInd w:val="0"/>
        <w:spacing w:line="700" w:lineRule="exact"/>
        <w:ind w:firstLine="551"/>
        <w:rPr>
          <w:rFonts w:hint="eastAsia" w:asciiTheme="majorEastAsia" w:hAnsiTheme="majorEastAsia" w:eastAsiaTheme="majorEastAsia" w:cstheme="majorEastAsia"/>
          <w:b/>
          <w:bCs/>
          <w:sz w:val="30"/>
          <w:szCs w:val="30"/>
          <w:lang w:val="zh-CN"/>
        </w:rPr>
      </w:pPr>
      <w:r>
        <w:rPr>
          <w:rFonts w:hint="eastAsia" w:asciiTheme="majorEastAsia" w:hAnsiTheme="majorEastAsia" w:eastAsiaTheme="majorEastAsia" w:cstheme="majorEastAsia"/>
          <w:b/>
          <w:bCs/>
          <w:sz w:val="30"/>
          <w:szCs w:val="30"/>
          <w:lang w:val="zh-CN"/>
        </w:rPr>
        <w:t>第八章 投标文件有关格式</w:t>
      </w:r>
    </w:p>
    <w:p w14:paraId="0F698404">
      <w:pPr>
        <w:pStyle w:val="22"/>
        <w:widowControl/>
        <w:numPr>
          <w:ilvl w:val="0"/>
          <w:numId w:val="4"/>
        </w:numPr>
        <w:shd w:val="clear" w:color="auto" w:fill="FFFFFF"/>
        <w:spacing w:line="360" w:lineRule="auto"/>
        <w:contextualSpacing/>
        <w:jc w:val="left"/>
        <w:rPr>
          <w:rFonts w:cs="宋体" w:asciiTheme="majorEastAsia" w:hAnsiTheme="majorEastAsia" w:eastAsiaTheme="majorEastAsia"/>
          <w:b/>
          <w:kern w:val="0"/>
          <w:sz w:val="32"/>
          <w:szCs w:val="32"/>
        </w:rPr>
        <w:sectPr>
          <w:footerReference r:id="rId3" w:type="default"/>
          <w:pgSz w:w="11906" w:h="16838"/>
          <w:pgMar w:top="2098" w:right="1474" w:bottom="1928" w:left="1588" w:header="851" w:footer="992" w:gutter="0"/>
          <w:cols w:space="425" w:num="1"/>
          <w:docGrid w:type="lines" w:linePitch="312" w:charSpace="0"/>
        </w:sectPr>
      </w:pPr>
    </w:p>
    <w:p w14:paraId="31FAB947">
      <w:pPr>
        <w:keepNext w:val="0"/>
        <w:keepLines w:val="0"/>
        <w:pageBreakBefore w:val="0"/>
        <w:widowControl w:val="0"/>
        <w:numPr>
          <w:ilvl w:val="0"/>
          <w:numId w:val="5"/>
        </w:numPr>
        <w:kinsoku/>
        <w:wordWrap/>
        <w:overflowPunct/>
        <w:topLinePunct w:val="0"/>
        <w:autoSpaceDE/>
        <w:autoSpaceDN/>
        <w:bidi w:val="0"/>
        <w:adjustRightInd/>
        <w:snapToGrid/>
        <w:ind w:left="0" w:leftChars="0" w:firstLine="403" w:firstLineChars="0"/>
        <w:jc w:val="center"/>
        <w:textAlignment w:val="auto"/>
        <w:outlineLvl w:val="0"/>
        <w:rPr>
          <w:b/>
          <w:bCs/>
          <w:sz w:val="32"/>
          <w:szCs w:val="36"/>
        </w:rPr>
      </w:pPr>
      <w:r>
        <w:rPr>
          <w:rFonts w:hint="eastAsia"/>
          <w:b/>
          <w:bCs/>
          <w:sz w:val="32"/>
          <w:szCs w:val="36"/>
        </w:rPr>
        <w:t>投标邀请</w:t>
      </w:r>
    </w:p>
    <w:p w14:paraId="56AC299B">
      <w:pPr>
        <w:widowControl/>
        <w:shd w:val="clear" w:color="auto" w:fill="FFFFFF"/>
        <w:spacing w:line="360" w:lineRule="auto"/>
        <w:ind w:firstLine="420" w:firstLineChars="200"/>
        <w:jc w:val="left"/>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禹州市政府采购中心受禹州市</w:t>
      </w:r>
      <w:r>
        <w:rPr>
          <w:rFonts w:hint="eastAsia" w:asciiTheme="minorEastAsia" w:hAnsiTheme="minorEastAsia" w:cstheme="minorEastAsia"/>
          <w:kern w:val="2"/>
          <w:sz w:val="21"/>
          <w:szCs w:val="21"/>
          <w:lang w:val="en-US" w:eastAsia="zh-CN" w:bidi="ar-SA"/>
        </w:rPr>
        <w:t>中等专业学校</w:t>
      </w:r>
      <w:r>
        <w:rPr>
          <w:rFonts w:hint="eastAsia" w:asciiTheme="minorEastAsia" w:hAnsiTheme="minorEastAsia" w:eastAsiaTheme="minorEastAsia" w:cstheme="minorEastAsia"/>
          <w:kern w:val="2"/>
          <w:sz w:val="21"/>
          <w:szCs w:val="21"/>
          <w:lang w:val="en-US" w:eastAsia="zh-CN" w:bidi="ar-SA"/>
        </w:rPr>
        <w:t>的委托，对“</w:t>
      </w:r>
      <w:r>
        <w:rPr>
          <w:rFonts w:hint="eastAsia" w:asciiTheme="minorEastAsia" w:hAnsiTheme="minorEastAsia" w:cstheme="minorEastAsia"/>
          <w:kern w:val="2"/>
          <w:sz w:val="21"/>
          <w:szCs w:val="21"/>
          <w:lang w:val="en-US" w:eastAsia="zh-CN" w:bidi="ar-SA"/>
        </w:rPr>
        <w:t>禹州市中等专业学校数字化电钢琴实训室设备采购及配套系统建设项目</w:t>
      </w:r>
      <w:r>
        <w:rPr>
          <w:rFonts w:hint="eastAsia" w:asciiTheme="minorEastAsia" w:hAnsiTheme="minorEastAsia" w:eastAsiaTheme="minorEastAsia" w:cstheme="minorEastAsia"/>
          <w:kern w:val="2"/>
          <w:sz w:val="21"/>
          <w:szCs w:val="21"/>
          <w:lang w:val="en-US" w:eastAsia="zh-CN" w:bidi="ar-SA"/>
        </w:rPr>
        <w:t>”进行公开招标，现邀请符合本文件规定条件的</w:t>
      </w:r>
      <w:r>
        <w:rPr>
          <w:rFonts w:hint="eastAsia" w:asciiTheme="minorEastAsia" w:hAnsiTheme="minorEastAsia" w:cstheme="minorEastAsia"/>
          <w:kern w:val="2"/>
          <w:sz w:val="21"/>
          <w:szCs w:val="21"/>
          <w:lang w:val="en-US" w:eastAsia="zh-CN" w:bidi="ar-SA"/>
        </w:rPr>
        <w:t>投标</w:t>
      </w:r>
      <w:r>
        <w:rPr>
          <w:rFonts w:hint="eastAsia" w:asciiTheme="minorEastAsia" w:hAnsiTheme="minorEastAsia" w:eastAsiaTheme="minorEastAsia" w:cstheme="minorEastAsia"/>
          <w:kern w:val="2"/>
          <w:sz w:val="21"/>
          <w:szCs w:val="21"/>
          <w:lang w:val="en-US" w:eastAsia="zh-CN" w:bidi="ar-SA"/>
        </w:rPr>
        <w:t>商前来投标。</w:t>
      </w:r>
    </w:p>
    <w:p w14:paraId="7B258189">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2" w:firstLineChars="20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一、采购编号</w:t>
      </w:r>
      <w:r>
        <w:rPr>
          <w:rFonts w:hint="eastAsia" w:asciiTheme="minorEastAsia" w:hAnsiTheme="minorEastAsia" w:eastAsiaTheme="minorEastAsia" w:cstheme="minorEastAsia"/>
          <w:kern w:val="2"/>
          <w:sz w:val="21"/>
          <w:szCs w:val="21"/>
          <w:lang w:val="en-US" w:eastAsia="zh-CN" w:bidi="ar-SA"/>
        </w:rPr>
        <w:t>：YZCG-</w:t>
      </w:r>
      <w:r>
        <w:rPr>
          <w:rFonts w:hint="eastAsia" w:asciiTheme="minorEastAsia" w:hAnsiTheme="minorEastAsia" w:cstheme="minorEastAsia"/>
          <w:kern w:val="2"/>
          <w:sz w:val="21"/>
          <w:szCs w:val="21"/>
          <w:lang w:val="en-US" w:eastAsia="zh-CN" w:bidi="ar-SA"/>
        </w:rPr>
        <w:t>G</w:t>
      </w:r>
      <w:r>
        <w:rPr>
          <w:rFonts w:hint="eastAsia" w:asciiTheme="minorEastAsia" w:hAnsiTheme="minorEastAsia" w:eastAsiaTheme="minorEastAsia" w:cstheme="minorEastAsia"/>
          <w:kern w:val="2"/>
          <w:sz w:val="21"/>
          <w:szCs w:val="21"/>
          <w:lang w:val="en-US" w:eastAsia="zh-CN" w:bidi="ar-SA"/>
        </w:rPr>
        <w:t>202</w:t>
      </w:r>
      <w:r>
        <w:rPr>
          <w:rFonts w:hint="eastAsia" w:asciiTheme="minorEastAsia" w:hAnsiTheme="minorEastAsia" w:cstheme="minorEastAsia"/>
          <w:kern w:val="2"/>
          <w:sz w:val="21"/>
          <w:szCs w:val="21"/>
          <w:lang w:val="en-US" w:eastAsia="zh-CN" w:bidi="ar-SA"/>
        </w:rPr>
        <w:t>5030</w:t>
      </w:r>
    </w:p>
    <w:p w14:paraId="6BDA9900">
      <w:pPr>
        <w:widowControl/>
        <w:shd w:val="clear" w:color="auto" w:fill="FFFFFF"/>
        <w:spacing w:line="360" w:lineRule="auto"/>
        <w:ind w:firstLine="422" w:firstLineChars="200"/>
        <w:jc w:val="both"/>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二、项目名称：</w:t>
      </w:r>
      <w:r>
        <w:rPr>
          <w:rFonts w:hint="eastAsia" w:asciiTheme="minorEastAsia" w:hAnsiTheme="minorEastAsia" w:cstheme="minorEastAsia"/>
          <w:kern w:val="2"/>
          <w:sz w:val="21"/>
          <w:szCs w:val="21"/>
          <w:lang w:val="en-US" w:eastAsia="zh-CN" w:bidi="ar-SA"/>
        </w:rPr>
        <w:t>禹州市中等专业学校数字化电钢琴实训室设备采购及配套系统建设项目</w:t>
      </w:r>
    </w:p>
    <w:p w14:paraId="0C335B72">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三、采购方式：</w:t>
      </w:r>
      <w:r>
        <w:rPr>
          <w:rFonts w:hint="eastAsia" w:asciiTheme="minorEastAsia" w:hAnsiTheme="minorEastAsia" w:eastAsiaTheme="minorEastAsia" w:cstheme="minorEastAsia"/>
          <w:kern w:val="2"/>
          <w:sz w:val="21"/>
          <w:szCs w:val="21"/>
          <w:lang w:val="en-US" w:eastAsia="zh-CN" w:bidi="ar-SA"/>
        </w:rPr>
        <w:t>公开招标</w:t>
      </w:r>
    </w:p>
    <w:p w14:paraId="1D207E7D">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四、项目属性：</w:t>
      </w:r>
      <w:r>
        <w:rPr>
          <w:rFonts w:hint="eastAsia" w:asciiTheme="minorEastAsia" w:hAnsiTheme="minorEastAsia" w:eastAsiaTheme="minorEastAsia" w:cstheme="minorEastAsia"/>
          <w:kern w:val="2"/>
          <w:sz w:val="21"/>
          <w:szCs w:val="21"/>
          <w:lang w:val="en-US" w:eastAsia="zh-CN" w:bidi="ar-SA"/>
        </w:rPr>
        <w:t>货物</w:t>
      </w:r>
    </w:p>
    <w:p w14:paraId="1FC8F2D0">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jc w:val="left"/>
        <w:textAlignment w:val="auto"/>
        <w:rPr>
          <w:rFonts w:hint="eastAsia" w:asciiTheme="minorEastAsia" w:hAnsiTheme="minorEastAsia" w:eastAsiaTheme="minorEastAsia" w:cstheme="minorEastAsia"/>
          <w:b/>
          <w:bCs/>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五、项目基本情况：</w:t>
      </w:r>
    </w:p>
    <w:p w14:paraId="1F5A8F9D">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20" w:firstLineChars="20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1、采购人：</w:t>
      </w:r>
      <w:r>
        <w:rPr>
          <w:rFonts w:hint="eastAsia" w:asciiTheme="minorEastAsia" w:hAnsiTheme="minorEastAsia" w:cstheme="minorEastAsia"/>
          <w:kern w:val="2"/>
          <w:sz w:val="21"/>
          <w:szCs w:val="21"/>
          <w:lang w:val="en-US" w:eastAsia="zh-CN" w:bidi="ar-SA"/>
        </w:rPr>
        <w:t>禹州市中等专业学校</w:t>
      </w:r>
    </w:p>
    <w:p w14:paraId="5B1BC4A5">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20" w:firstLineChars="20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2、项目主要内容、数量及要求：教师电钢琴、学生电钢琴、电子音乐键盘教学控制系统等实训设备一批（详见招标文件）</w:t>
      </w:r>
    </w:p>
    <w:p w14:paraId="5731FF84">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20" w:firstLineChars="20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3、预算金额：2069000.00元</w:t>
      </w:r>
    </w:p>
    <w:p w14:paraId="4FF09ADA">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20" w:firstLineChars="20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4、最高限价：2069000.00元</w:t>
      </w:r>
    </w:p>
    <w:p w14:paraId="04FDEAE8">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20" w:firstLineChars="20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cstheme="minorEastAsia"/>
          <w:kern w:val="2"/>
          <w:sz w:val="21"/>
          <w:szCs w:val="21"/>
          <w:lang w:val="en-US" w:eastAsia="zh-CN" w:bidi="ar-SA"/>
        </w:rPr>
        <w:t>5</w:t>
      </w:r>
      <w:r>
        <w:rPr>
          <w:rFonts w:hint="eastAsia" w:asciiTheme="minorEastAsia" w:hAnsiTheme="minorEastAsia" w:eastAsiaTheme="minorEastAsia" w:cstheme="minorEastAsia"/>
          <w:kern w:val="2"/>
          <w:sz w:val="21"/>
          <w:szCs w:val="21"/>
          <w:lang w:val="en-US" w:eastAsia="zh-CN" w:bidi="ar-SA"/>
        </w:rPr>
        <w:t>、履约时间 ：</w:t>
      </w:r>
      <w:r>
        <w:rPr>
          <w:rFonts w:hint="eastAsia" w:asciiTheme="minorEastAsia" w:hAnsiTheme="minorEastAsia" w:cstheme="minorEastAsia"/>
          <w:kern w:val="2"/>
          <w:sz w:val="21"/>
          <w:szCs w:val="21"/>
          <w:lang w:val="en-US" w:eastAsia="zh-CN" w:bidi="ar-SA"/>
        </w:rPr>
        <w:t>自</w:t>
      </w:r>
      <w:r>
        <w:rPr>
          <w:rFonts w:hint="eastAsia" w:asciiTheme="minorEastAsia" w:hAnsiTheme="minorEastAsia" w:eastAsiaTheme="minorEastAsia" w:cstheme="minorEastAsia"/>
          <w:kern w:val="2"/>
          <w:sz w:val="21"/>
          <w:szCs w:val="21"/>
          <w:lang w:val="en-US" w:eastAsia="zh-CN" w:bidi="ar-SA"/>
        </w:rPr>
        <w:t>合同签订</w:t>
      </w:r>
      <w:r>
        <w:rPr>
          <w:rFonts w:hint="eastAsia" w:asciiTheme="minorEastAsia" w:hAnsiTheme="minorEastAsia" w:cstheme="minorEastAsia"/>
          <w:kern w:val="2"/>
          <w:sz w:val="21"/>
          <w:szCs w:val="21"/>
          <w:lang w:val="en-US" w:eastAsia="zh-CN" w:bidi="ar-SA"/>
        </w:rPr>
        <w:t>之日起30天</w:t>
      </w:r>
      <w:r>
        <w:rPr>
          <w:rFonts w:hint="eastAsia" w:asciiTheme="minorEastAsia" w:hAnsiTheme="minorEastAsia" w:eastAsiaTheme="minorEastAsia" w:cstheme="minorEastAsia"/>
          <w:kern w:val="2"/>
          <w:sz w:val="21"/>
          <w:szCs w:val="21"/>
          <w:lang w:val="en-US" w:eastAsia="zh-CN" w:bidi="ar-SA"/>
        </w:rPr>
        <w:t>内完成</w:t>
      </w:r>
    </w:p>
    <w:p w14:paraId="5BBDF3C2">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420" w:leftChars="0" w:right="0" w:right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6、履约地点：禹州市中等专业学校</w:t>
      </w:r>
    </w:p>
    <w:p w14:paraId="65CF337A">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420" w:leftChars="0" w:right="0" w:right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7、分包：不允许</w:t>
      </w:r>
    </w:p>
    <w:p w14:paraId="2B6FBD50">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420" w:leftChars="0" w:right="0" w:rightChars="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8、是否面向中小企业采购：否</w:t>
      </w:r>
    </w:p>
    <w:p w14:paraId="0B3FBC4A">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jc w:val="left"/>
        <w:textAlignment w:val="auto"/>
        <w:rPr>
          <w:rFonts w:hint="eastAsia" w:asciiTheme="minorEastAsia" w:hAnsiTheme="minorEastAsia" w:eastAsiaTheme="minorEastAsia" w:cstheme="minorEastAsia"/>
          <w:b/>
          <w:bCs/>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六、申请人的资格要求：</w:t>
      </w:r>
    </w:p>
    <w:p w14:paraId="57602B3B">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420" w:leftChars="0" w:right="0" w:rightChars="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1、满足《中华人民共和国政府采购法》第二十二条规定；</w:t>
      </w:r>
    </w:p>
    <w:p w14:paraId="3EE4C9DF">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420" w:firstLineChars="20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2、本项目落实节约能源、保护环境、扶持不发达地区和少数民族地区、促进中小企业、监狱企业发展等政府采购政策。</w:t>
      </w:r>
    </w:p>
    <w:p w14:paraId="75871E57">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20" w:firstLineChars="20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3、本项目的特定资格要求：无。</w:t>
      </w:r>
    </w:p>
    <w:p w14:paraId="2AE796A9">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jc w:val="left"/>
        <w:textAlignment w:val="auto"/>
        <w:rPr>
          <w:rFonts w:hint="eastAsia" w:asciiTheme="minorEastAsia" w:hAnsiTheme="minorEastAsia" w:eastAsiaTheme="minorEastAsia" w:cstheme="minorEastAsia"/>
          <w:b/>
          <w:bCs/>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七、招标文件的获取：</w:t>
      </w:r>
    </w:p>
    <w:p w14:paraId="2621FDEE">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right="0" w:firstLine="420" w:firstLineChars="200"/>
        <w:jc w:val="left"/>
        <w:textAlignment w:val="auto"/>
        <w:rPr>
          <w:rFonts w:hint="eastAsia" w:asciiTheme="minorEastAsia" w:hAnsiTheme="minorEastAsia" w:eastAsiaTheme="minorEastAsia" w:cstheme="minorEastAsia"/>
          <w:color w:val="FF0000"/>
          <w:kern w:val="2"/>
          <w:sz w:val="21"/>
          <w:szCs w:val="21"/>
          <w:lang w:val="en-US" w:eastAsia="zh-CN" w:bidi="ar-SA"/>
        </w:rPr>
      </w:pPr>
      <w:r>
        <w:rPr>
          <w:rFonts w:hint="eastAsia" w:asciiTheme="minorEastAsia" w:hAnsiTheme="minorEastAsia" w:eastAsiaTheme="minorEastAsia" w:cstheme="minorEastAsia"/>
          <w:color w:val="FF0000"/>
          <w:kern w:val="2"/>
          <w:sz w:val="21"/>
          <w:szCs w:val="21"/>
          <w:lang w:val="en-US" w:eastAsia="zh-CN" w:bidi="ar-SA"/>
        </w:rPr>
        <w:t>即日起至投标截止时间，投标商使用 CA 数字证书或移动数字证书登录“全国公共资源交易平台（河南省·许昌市）”（下文所述“全国公共资源交易平台（河南省·许昌市）”的地址均为</w:t>
      </w:r>
      <w:r>
        <w:rPr>
          <w:rFonts w:hint="eastAsia" w:asciiTheme="minorEastAsia" w:hAnsiTheme="minorEastAsia" w:eastAsiaTheme="minorEastAsia" w:cstheme="minorEastAsia"/>
          <w:color w:val="FF0000"/>
          <w:kern w:val="2"/>
          <w:sz w:val="21"/>
          <w:szCs w:val="21"/>
          <w:u w:val="single"/>
          <w:lang w:val="en-US" w:eastAsia="zh-CN" w:bidi="ar-SA"/>
        </w:rPr>
        <w:t>https://ggzy.xuchang.gov.cn</w:t>
      </w:r>
      <w:r>
        <w:rPr>
          <w:rFonts w:hint="eastAsia" w:asciiTheme="minorEastAsia" w:hAnsiTheme="minorEastAsia" w:eastAsiaTheme="minorEastAsia" w:cstheme="minorEastAsia"/>
          <w:color w:val="FF0000"/>
          <w:kern w:val="2"/>
          <w:sz w:val="21"/>
          <w:szCs w:val="21"/>
          <w:lang w:val="en-US" w:eastAsia="zh-CN" w:bidi="ar-SA"/>
        </w:rPr>
        <w:t>/）的“投标人”登录入口免费获取本项目采购文件。</w:t>
      </w:r>
    </w:p>
    <w:p w14:paraId="0529D230">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420" w:right="0"/>
        <w:jc w:val="left"/>
        <w:textAlignment w:val="auto"/>
        <w:rPr>
          <w:rFonts w:hint="eastAsia" w:asciiTheme="minorEastAsia" w:hAnsiTheme="minorEastAsia" w:eastAsiaTheme="minorEastAsia" w:cstheme="minorEastAsia"/>
          <w:b/>
          <w:bCs/>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八、投标文件的提交方式及注意事项：</w:t>
      </w:r>
    </w:p>
    <w:p w14:paraId="6F4E829C">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right="0" w:firstLine="420" w:firstLineChars="200"/>
        <w:jc w:val="left"/>
        <w:textAlignment w:val="auto"/>
        <w:rPr>
          <w:rFonts w:hint="eastAsia" w:asciiTheme="minorEastAsia" w:hAnsiTheme="minorEastAsia" w:eastAsiaTheme="minorEastAsia" w:cstheme="minorEastAsia"/>
          <w:color w:val="FF0000"/>
          <w:kern w:val="2"/>
          <w:sz w:val="21"/>
          <w:szCs w:val="21"/>
          <w:lang w:val="en-US" w:eastAsia="zh-CN" w:bidi="ar-SA"/>
        </w:rPr>
      </w:pPr>
      <w:r>
        <w:rPr>
          <w:rFonts w:hint="eastAsia" w:asciiTheme="minorEastAsia" w:hAnsiTheme="minorEastAsia" w:eastAsiaTheme="minorEastAsia" w:cstheme="minorEastAsia"/>
          <w:color w:val="FF0000"/>
          <w:kern w:val="2"/>
          <w:sz w:val="21"/>
          <w:szCs w:val="21"/>
          <w:lang w:val="en-US" w:eastAsia="zh-CN" w:bidi="ar-SA"/>
        </w:rPr>
        <w:t>本项目为全流程电子化交易项目，投标商必须通过许昌公共资源交易系统下载“新点投标文件制作软件（河南省版）”的最新版本制作并上传加密电子响应文件（后缀格式为.XCSTF）。截至投标截止时间，交易系统投标通道将关闭，投标商未完成电子响应文件上传的，投标将被拒绝。</w:t>
      </w:r>
    </w:p>
    <w:p w14:paraId="232B4E63">
      <w:pPr>
        <w:widowControl/>
        <w:shd w:val="clear" w:color="auto" w:fill="FFFFFF"/>
        <w:spacing w:line="440" w:lineRule="exact"/>
        <w:ind w:firstLine="422" w:firstLineChars="200"/>
        <w:jc w:val="left"/>
        <w:rPr>
          <w:rFonts w:hint="default" w:asciiTheme="minorEastAsia" w:hAnsiTheme="minorEastAsia" w:eastAsiaTheme="minorEastAsia" w:cstheme="minorEastAsia"/>
          <w:b/>
          <w:bCs/>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九、投标文件提交截止时间及开标时间</w:t>
      </w:r>
      <w:r>
        <w:rPr>
          <w:rFonts w:hint="eastAsia" w:asciiTheme="minorEastAsia" w:hAnsiTheme="minorEastAsia" w:cstheme="minorEastAsia"/>
          <w:b/>
          <w:bCs/>
          <w:kern w:val="2"/>
          <w:sz w:val="21"/>
          <w:szCs w:val="21"/>
          <w:lang w:val="en-US" w:eastAsia="zh-CN" w:bidi="ar-SA"/>
        </w:rPr>
        <w:t>、地点：</w:t>
      </w:r>
    </w:p>
    <w:p w14:paraId="0DC909F2">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20" w:firstLineChars="20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1、投标文件提交截止时间及开标时间：2025 年12月9 日8 时30分（北京时间），逾期提交或不符合规定的投标文件不予接收。</w:t>
      </w:r>
    </w:p>
    <w:p w14:paraId="14E45977">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20" w:firstLineChars="20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2、投标文件开启时间：同投标文件提交截止时间。</w:t>
      </w:r>
    </w:p>
    <w:p w14:paraId="4F021CC8">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20" w:firstLineChars="20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3、投标文件开启地点：禹州市公共资源交易中心九楼第二开标室。（本项目采用远程不见面开标方式，投标人无须到现场）。</w:t>
      </w:r>
    </w:p>
    <w:p w14:paraId="2E06C295">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jc w:val="left"/>
        <w:textAlignment w:val="auto"/>
        <w:rPr>
          <w:rFonts w:hint="eastAsia" w:asciiTheme="minorEastAsia" w:hAnsiTheme="minorEastAsia" w:eastAsiaTheme="minorEastAsia" w:cstheme="minorEastAsia"/>
          <w:b/>
          <w:bCs/>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十、开标注意事项：</w:t>
      </w:r>
    </w:p>
    <w:p w14:paraId="4A70C644">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right="0" w:firstLine="420" w:firstLineChars="200"/>
        <w:jc w:val="left"/>
        <w:textAlignment w:val="auto"/>
        <w:rPr>
          <w:rFonts w:hint="eastAsia" w:asciiTheme="minorEastAsia" w:hAnsiTheme="minorEastAsia" w:eastAsiaTheme="minorEastAsia" w:cstheme="minorEastAsia"/>
          <w:color w:val="FF0000"/>
          <w:kern w:val="2"/>
          <w:sz w:val="21"/>
          <w:szCs w:val="21"/>
          <w:lang w:val="en-US" w:eastAsia="zh-CN" w:bidi="ar-SA"/>
        </w:rPr>
      </w:pPr>
      <w:r>
        <w:rPr>
          <w:rFonts w:hint="eastAsia" w:asciiTheme="minorEastAsia" w:hAnsiTheme="minorEastAsia" w:eastAsiaTheme="minorEastAsia" w:cstheme="minorEastAsia"/>
          <w:color w:val="FF0000"/>
          <w:kern w:val="2"/>
          <w:sz w:val="21"/>
          <w:szCs w:val="21"/>
          <w:lang w:val="en-US" w:eastAsia="zh-CN" w:bidi="ar-SA"/>
        </w:rPr>
        <w:t>开标时间前，投标商进入“全国公共资源交易平台（河南省·许昌市）”——点击“平台导航”下方左侧的“网上开标大厅”进入不见面大厅登录页面——选择“投标人”身份，使用CA数字证书或移动数字证书登录——在“今日开标项目”中找到已投标的项目——鼠标点击该项目即可进入开标操作界面，在系统规定时间内对电子投标文件进行远程解密，未在规定时间内解密或因投标商原因解密失败的，其投标文件将被拒绝。</w:t>
      </w:r>
    </w:p>
    <w:p w14:paraId="252BA69B">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jc w:val="left"/>
        <w:textAlignment w:val="auto"/>
        <w:rPr>
          <w:rFonts w:hint="eastAsia" w:asciiTheme="minorEastAsia" w:hAnsiTheme="minorEastAsia" w:eastAsiaTheme="minorEastAsia" w:cstheme="minorEastAsia"/>
          <w:b/>
          <w:bCs/>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十一、本次采购公告同时在《中国政府采购网》《河南省政府采购网》《许昌市政府采购网》《全国公共资源交易平台（河南省·许昌市）》发布。</w:t>
      </w:r>
    </w:p>
    <w:p w14:paraId="4BB0F2F7">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20"/>
        <w:jc w:val="left"/>
        <w:textAlignment w:val="auto"/>
        <w:rPr>
          <w:rFonts w:hint="eastAsia" w:asciiTheme="minorEastAsia" w:hAnsiTheme="minorEastAsia" w:eastAsiaTheme="minorEastAsia" w:cstheme="minorEastAsia"/>
          <w:b/>
          <w:bCs/>
          <w:kern w:val="2"/>
          <w:sz w:val="21"/>
          <w:szCs w:val="21"/>
          <w:lang w:val="en-US" w:eastAsia="zh-CN" w:bidi="ar-SA"/>
        </w:rPr>
      </w:pPr>
      <w:r>
        <w:rPr>
          <w:rFonts w:hint="eastAsia" w:asciiTheme="minorEastAsia" w:hAnsiTheme="minorEastAsia" w:eastAsiaTheme="minorEastAsia" w:cstheme="minorEastAsia"/>
          <w:b/>
          <w:bCs/>
          <w:kern w:val="2"/>
          <w:sz w:val="21"/>
          <w:szCs w:val="21"/>
          <w:lang w:val="en-US" w:eastAsia="zh-CN" w:bidi="ar-SA"/>
        </w:rPr>
        <w:t>十二、联系方式：</w:t>
      </w:r>
    </w:p>
    <w:p w14:paraId="68BC447C">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84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采购人名称：禹州市中等专业学校</w:t>
      </w:r>
    </w:p>
    <w:p w14:paraId="78DB029B">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84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地址：禹州市药城路北段</w:t>
      </w:r>
    </w:p>
    <w:p w14:paraId="190F9BBB">
      <w:pPr>
        <w:keepNext w:val="0"/>
        <w:keepLines w:val="0"/>
        <w:pageBreakBefore w:val="0"/>
        <w:widowControl/>
        <w:shd w:val="clear" w:color="auto" w:fill="FFFFFF"/>
        <w:kinsoku/>
        <w:wordWrap/>
        <w:overflowPunct/>
        <w:topLinePunct w:val="0"/>
        <w:autoSpaceDE/>
        <w:autoSpaceDN/>
        <w:bidi w:val="0"/>
        <w:adjustRightInd/>
        <w:snapToGrid/>
        <w:spacing w:line="440" w:lineRule="exact"/>
        <w:ind w:firstLine="840" w:firstLineChars="40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color w:val="000000"/>
          <w:szCs w:val="21"/>
          <w:shd w:val="clear" w:color="auto" w:fill="FFFFFF"/>
        </w:rPr>
        <w:t>联系人：</w:t>
      </w:r>
      <w:r>
        <w:rPr>
          <w:rFonts w:hint="eastAsia" w:asciiTheme="minorEastAsia" w:hAnsiTheme="minorEastAsia" w:cstheme="minorEastAsia"/>
          <w:color w:val="000000"/>
          <w:szCs w:val="21"/>
          <w:shd w:val="clear" w:color="auto" w:fill="FFFFFF"/>
          <w:lang w:val="en-US" w:eastAsia="zh-CN"/>
        </w:rPr>
        <w:t>郭先生</w:t>
      </w:r>
      <w:r>
        <w:rPr>
          <w:rFonts w:hint="eastAsia" w:asciiTheme="minorEastAsia" w:hAnsiTheme="minorEastAsia" w:eastAsiaTheme="minorEastAsia" w:cstheme="minorEastAsia"/>
          <w:color w:val="000000"/>
          <w:szCs w:val="21"/>
          <w:shd w:val="clear" w:color="auto" w:fill="FFFFFF"/>
        </w:rPr>
        <w:t xml:space="preserve">  联系电话：</w:t>
      </w:r>
      <w:r>
        <w:rPr>
          <w:rFonts w:hint="eastAsia" w:asciiTheme="minorEastAsia" w:hAnsiTheme="minorEastAsia" w:cstheme="minorEastAsia"/>
          <w:color w:val="000000"/>
          <w:szCs w:val="21"/>
          <w:shd w:val="clear" w:color="auto" w:fill="FFFFFF"/>
          <w:lang w:val="en-US" w:eastAsia="zh-CN"/>
        </w:rPr>
        <w:t>0374-8816982</w:t>
      </w:r>
    </w:p>
    <w:p w14:paraId="3BF059EF">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84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 xml:space="preserve">集中采购机构：禹州市政府采购中心 </w:t>
      </w:r>
    </w:p>
    <w:p w14:paraId="66195AF3">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84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地址：禹州市行政服务中心8楼820室</w:t>
      </w:r>
    </w:p>
    <w:p w14:paraId="5FC81319">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84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联系人：方女士   联系电话：0374-2077111</w:t>
      </w:r>
    </w:p>
    <w:p w14:paraId="7353DEAD">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84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监督单位：禹州市政府采购监督管理办公室</w:t>
      </w:r>
    </w:p>
    <w:p w14:paraId="3079C6DF">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840"/>
        <w:jc w:val="left"/>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联系人：赵先生   联系电话：0374-8112523</w:t>
      </w:r>
    </w:p>
    <w:p w14:paraId="70519713"/>
    <w:p w14:paraId="7D5C80E8">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840"/>
        <w:jc w:val="left"/>
        <w:textAlignment w:val="auto"/>
        <w:rPr>
          <w:rFonts w:hint="eastAsia" w:asciiTheme="minorEastAsia" w:hAnsiTheme="minorEastAsia" w:eastAsiaTheme="minorEastAsia" w:cstheme="minorEastAsia"/>
          <w:kern w:val="2"/>
          <w:sz w:val="21"/>
          <w:szCs w:val="21"/>
          <w:lang w:val="en-US" w:eastAsia="zh-CN" w:bidi="ar-SA"/>
        </w:rPr>
      </w:pPr>
    </w:p>
    <w:p w14:paraId="2865625F">
      <w:pPr>
        <w:spacing w:line="440" w:lineRule="exact"/>
        <w:rPr>
          <w:rFonts w:ascii="仿宋" w:hAnsi="仿宋" w:eastAsia="仿宋" w:cs="仿宋"/>
          <w:sz w:val="28"/>
          <w:szCs w:val="28"/>
        </w:rPr>
      </w:pPr>
    </w:p>
    <w:p w14:paraId="33FD574C">
      <w:pPr>
        <w:spacing w:line="360" w:lineRule="auto"/>
        <w:rPr>
          <w:rFonts w:hAnsi="宋体"/>
          <w:b/>
          <w:sz w:val="28"/>
          <w:szCs w:val="28"/>
        </w:rPr>
      </w:pPr>
      <w:r>
        <w:rPr>
          <w:rFonts w:hint="eastAsia" w:hAnsi="宋体"/>
          <w:b/>
          <w:sz w:val="28"/>
          <w:szCs w:val="28"/>
        </w:rPr>
        <w:t>温馨提示：本项目为全流程电子化交易项目，请注意以下事项。</w:t>
      </w:r>
    </w:p>
    <w:p w14:paraId="490D1CCD">
      <w:pPr>
        <w:pStyle w:val="42"/>
        <w:numPr>
          <w:ilvl w:val="0"/>
          <w:numId w:val="0"/>
        </w:numPr>
        <w:tabs>
          <w:tab w:val="left" w:pos="7095"/>
        </w:tabs>
        <w:spacing w:line="360" w:lineRule="auto"/>
        <w:ind w:firstLine="422" w:firstLineChars="200"/>
        <w:contextualSpacing/>
        <w:rPr>
          <w:rFonts w:asciiTheme="minorEastAsia" w:hAnsiTheme="minorEastAsia"/>
          <w:b/>
        </w:rPr>
      </w:pPr>
      <w:r>
        <w:rPr>
          <w:rFonts w:hint="eastAsia" w:cs="Helvetica"/>
          <w:b/>
          <w:bCs/>
          <w:lang w:val="en-US" w:eastAsia="zh-CN"/>
        </w:rPr>
        <w:t>1.</w:t>
      </w:r>
      <w:r>
        <w:rPr>
          <w:rFonts w:hint="eastAsia" w:cs="Helvetica"/>
        </w:rPr>
        <w:t>供应商参加本项目投标，需提前自行联系CA服务机构办理数字认证证书并进行电子签章。</w:t>
      </w:r>
    </w:p>
    <w:p w14:paraId="64E8B20F">
      <w:pPr>
        <w:pStyle w:val="42"/>
        <w:numPr>
          <w:ilvl w:val="0"/>
          <w:numId w:val="0"/>
        </w:numPr>
        <w:tabs>
          <w:tab w:val="left" w:pos="7095"/>
        </w:tabs>
        <w:spacing w:line="360" w:lineRule="auto"/>
        <w:ind w:firstLine="422" w:firstLineChars="200"/>
        <w:contextualSpacing/>
        <w:rPr>
          <w:rFonts w:hAnsi="宋体"/>
        </w:rPr>
      </w:pPr>
      <w:r>
        <w:rPr>
          <w:rFonts w:hint="eastAsia" w:hAnsi="宋体"/>
          <w:b/>
          <w:bCs/>
          <w:lang w:val="en-US" w:eastAsia="zh-CN"/>
        </w:rPr>
        <w:t>2</w:t>
      </w:r>
      <w:r>
        <w:rPr>
          <w:rFonts w:hint="eastAsia" w:hAnsi="宋体"/>
          <w:lang w:val="en-US" w:eastAsia="zh-CN"/>
        </w:rPr>
        <w:t>.</w:t>
      </w:r>
      <w:r>
        <w:rPr>
          <w:rFonts w:hint="eastAsia" w:hAnsi="宋体"/>
        </w:rPr>
        <w:t>招标文件下载、投标文件制作、提交、远程不见面开标（电子投标文件的解密）环节，投标人须使用同一个</w:t>
      </w:r>
      <w:r>
        <w:rPr>
          <w:rFonts w:hAnsi="宋体"/>
        </w:rPr>
        <w:t>CA数字证书</w:t>
      </w:r>
      <w:r>
        <w:rPr>
          <w:rFonts w:hint="eastAsia" w:hAnsi="宋体"/>
        </w:rPr>
        <w:t>（证书须在有效期内并可正常使用）</w:t>
      </w:r>
      <w:r>
        <w:rPr>
          <w:rFonts w:hAnsi="宋体"/>
        </w:rPr>
        <w:t>。</w:t>
      </w:r>
    </w:p>
    <w:p w14:paraId="60CC5BF9">
      <w:pPr>
        <w:pStyle w:val="42"/>
        <w:numPr>
          <w:ilvl w:val="0"/>
          <w:numId w:val="0"/>
        </w:numPr>
        <w:tabs>
          <w:tab w:val="left" w:pos="7095"/>
        </w:tabs>
        <w:spacing w:line="360" w:lineRule="auto"/>
        <w:ind w:firstLine="422" w:firstLineChars="200"/>
        <w:contextualSpacing/>
        <w:rPr>
          <w:rFonts w:hAnsi="宋体"/>
          <w:b/>
        </w:rPr>
      </w:pPr>
      <w:r>
        <w:rPr>
          <w:rFonts w:hint="eastAsia" w:hAnsi="宋体"/>
          <w:b/>
          <w:lang w:val="en-US" w:eastAsia="zh-CN"/>
        </w:rPr>
        <w:t>3.</w:t>
      </w:r>
      <w:r>
        <w:rPr>
          <w:rFonts w:hint="eastAsia" w:hAnsi="宋体"/>
          <w:b/>
        </w:rPr>
        <w:t>电子投标文件的制作</w:t>
      </w:r>
    </w:p>
    <w:p w14:paraId="54618C4E">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20" w:firstLineChars="200"/>
        <w:jc w:val="both"/>
        <w:textAlignment w:val="auto"/>
        <w:rPr>
          <w:rFonts w:hint="eastAsia" w:asciiTheme="minorEastAsia" w:hAnsiTheme="minorEastAsia" w:eastAsiaTheme="minorEastAsia" w:cstheme="minorEastAsia"/>
          <w:color w:val="FF0000"/>
        </w:rPr>
      </w:pPr>
      <w:r>
        <w:rPr>
          <w:rFonts w:hint="eastAsia" w:asciiTheme="minorEastAsia" w:hAnsiTheme="minorEastAsia" w:eastAsiaTheme="minorEastAsia" w:cstheme="minorEastAsia"/>
          <w:b w:val="0"/>
          <w:bCs w:val="0"/>
          <w:i w:val="0"/>
          <w:iCs w:val="0"/>
          <w:color w:val="FF0000"/>
          <w:spacing w:val="0"/>
          <w:w w:val="100"/>
          <w:sz w:val="21"/>
          <w:szCs w:val="21"/>
          <w:vertAlign w:val="baseline"/>
          <w:lang w:val="en-US" w:eastAsia="zh-CN"/>
        </w:rPr>
        <w:t xml:space="preserve">3.1 </w:t>
      </w:r>
      <w:r>
        <w:rPr>
          <w:rFonts w:hint="eastAsia" w:asciiTheme="minorEastAsia" w:hAnsiTheme="minorEastAsia" w:eastAsiaTheme="minorEastAsia" w:cstheme="minorEastAsia"/>
          <w:b w:val="0"/>
          <w:bCs w:val="0"/>
          <w:i w:val="0"/>
          <w:iCs w:val="0"/>
          <w:color w:val="FF0000"/>
          <w:spacing w:val="0"/>
          <w:w w:val="100"/>
          <w:sz w:val="21"/>
          <w:szCs w:val="21"/>
          <w:vertAlign w:val="baseline"/>
        </w:rPr>
        <w:t>供应商登录“</w:t>
      </w:r>
      <w:r>
        <w:rPr>
          <w:rFonts w:hint="eastAsia" w:asciiTheme="minorEastAsia" w:hAnsiTheme="minorEastAsia" w:eastAsiaTheme="minorEastAsia" w:cstheme="minorEastAsia"/>
          <w:b w:val="0"/>
          <w:bCs w:val="0"/>
          <w:i w:val="0"/>
          <w:iCs w:val="0"/>
          <w:color w:val="FF0000"/>
          <w:spacing w:val="0"/>
          <w:w w:val="100"/>
          <w:sz w:val="21"/>
          <w:szCs w:val="21"/>
          <w:shd w:val="clear" w:color="auto" w:fill="FFFFFF"/>
          <w:vertAlign w:val="baseline"/>
        </w:rPr>
        <w:t>全国公共资源交易平台（河南省·许昌市）”</w:t>
      </w:r>
      <w:r>
        <w:rPr>
          <w:rFonts w:hint="eastAsia" w:asciiTheme="minorEastAsia" w:hAnsiTheme="minorEastAsia" w:eastAsiaTheme="minorEastAsia" w:cstheme="minorEastAsia"/>
          <w:b w:val="0"/>
          <w:bCs w:val="0"/>
          <w:i w:val="0"/>
          <w:iCs w:val="0"/>
          <w:color w:val="FF0000"/>
          <w:spacing w:val="0"/>
          <w:w w:val="100"/>
          <w:sz w:val="21"/>
          <w:szCs w:val="21"/>
          <w:vertAlign w:val="baseline"/>
        </w:rPr>
        <w:t>下载</w:t>
      </w:r>
      <w:r>
        <w:rPr>
          <w:rFonts w:hint="eastAsia" w:asciiTheme="minorEastAsia" w:hAnsiTheme="minorEastAsia" w:eastAsiaTheme="minorEastAsia" w:cstheme="minorEastAsia"/>
          <w:b w:val="0"/>
          <w:bCs w:val="0"/>
          <w:i w:val="0"/>
          <w:iCs w:val="0"/>
          <w:color w:val="FF0000"/>
          <w:spacing w:val="0"/>
          <w:w w:val="100"/>
          <w:sz w:val="21"/>
          <w:szCs w:val="21"/>
          <w:shd w:val="clear" w:color="auto" w:fill="FFFFFF"/>
          <w:vertAlign w:val="baseline"/>
        </w:rPr>
        <w:t>“新点投标文件制作软件（河南省版）”的最新版本制作电子响应文件</w:t>
      </w:r>
      <w:r>
        <w:rPr>
          <w:rFonts w:hint="eastAsia" w:asciiTheme="minorEastAsia" w:hAnsiTheme="minorEastAsia" w:eastAsiaTheme="minorEastAsia" w:cstheme="minorEastAsia"/>
          <w:b w:val="0"/>
          <w:bCs w:val="0"/>
          <w:i w:val="0"/>
          <w:iCs w:val="0"/>
          <w:color w:val="FF0000"/>
          <w:spacing w:val="0"/>
          <w:w w:val="100"/>
          <w:sz w:val="21"/>
          <w:szCs w:val="21"/>
          <w:vertAlign w:val="baseline"/>
        </w:rPr>
        <w:t>。</w:t>
      </w:r>
    </w:p>
    <w:p w14:paraId="17A95A70">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20" w:firstLineChars="200"/>
        <w:jc w:val="both"/>
        <w:textAlignment w:val="auto"/>
        <w:rPr>
          <w:rFonts w:hAnsi="宋体"/>
          <w:b/>
        </w:rPr>
      </w:pPr>
      <w:r>
        <w:rPr>
          <w:rFonts w:hint="eastAsia" w:asciiTheme="minorEastAsia" w:hAnsiTheme="minorEastAsia" w:eastAsiaTheme="minorEastAsia" w:cstheme="minorEastAsia"/>
          <w:b w:val="0"/>
          <w:bCs w:val="0"/>
          <w:i w:val="0"/>
          <w:iCs w:val="0"/>
          <w:color w:val="FF0000"/>
          <w:spacing w:val="0"/>
          <w:w w:val="100"/>
          <w:sz w:val="21"/>
          <w:szCs w:val="21"/>
          <w:vertAlign w:val="baseline"/>
          <w:lang w:val="en-US" w:eastAsia="zh-CN"/>
        </w:rPr>
        <w:t>3.2</w:t>
      </w:r>
      <w:r>
        <w:rPr>
          <w:rFonts w:hint="eastAsia" w:asciiTheme="minorEastAsia" w:hAnsiTheme="minorEastAsia" w:eastAsiaTheme="minorEastAsia" w:cstheme="minorEastAsia"/>
          <w:b w:val="0"/>
          <w:bCs w:val="0"/>
          <w:i w:val="0"/>
          <w:iCs w:val="0"/>
          <w:color w:val="FF0000"/>
          <w:spacing w:val="0"/>
          <w:w w:val="100"/>
          <w:sz w:val="21"/>
          <w:szCs w:val="21"/>
          <w:vertAlign w:val="baseline"/>
        </w:rPr>
        <w:t>供应商对同一项目多个标段进行响应的，应分别下载所投标段的</w:t>
      </w:r>
      <w:r>
        <w:rPr>
          <w:rFonts w:hint="eastAsia" w:asciiTheme="minorEastAsia" w:hAnsiTheme="minorEastAsia" w:eastAsiaTheme="minorEastAsia" w:cstheme="minorEastAsia"/>
          <w:b w:val="0"/>
          <w:bCs w:val="0"/>
          <w:i w:val="0"/>
          <w:iCs w:val="0"/>
          <w:color w:val="FF0000"/>
          <w:spacing w:val="0"/>
          <w:w w:val="100"/>
          <w:sz w:val="21"/>
          <w:szCs w:val="21"/>
          <w:vertAlign w:val="baseline"/>
          <w:lang w:val="en-US" w:eastAsia="zh-CN"/>
        </w:rPr>
        <w:t>谈判</w:t>
      </w:r>
      <w:r>
        <w:rPr>
          <w:rFonts w:hint="eastAsia" w:asciiTheme="minorEastAsia" w:hAnsiTheme="minorEastAsia" w:eastAsiaTheme="minorEastAsia" w:cstheme="minorEastAsia"/>
          <w:b w:val="0"/>
          <w:bCs w:val="0"/>
          <w:i w:val="0"/>
          <w:iCs w:val="0"/>
          <w:color w:val="FF0000"/>
          <w:spacing w:val="0"/>
          <w:w w:val="100"/>
          <w:sz w:val="21"/>
          <w:szCs w:val="21"/>
          <w:vertAlign w:val="baseline"/>
        </w:rPr>
        <w:t>文件，按标段制作响应文件。一个标段对应生成2份电子响应文件（后缀格式为.XCSTF和.nXCSTF）,其中后缀格式为“.XCSTF”的加密电子响应文件用于上传至交易系统中投标。</w:t>
      </w:r>
    </w:p>
    <w:p w14:paraId="7D6B6DFE">
      <w:pPr>
        <w:pStyle w:val="42"/>
        <w:numPr>
          <w:ilvl w:val="0"/>
          <w:numId w:val="0"/>
        </w:numPr>
        <w:tabs>
          <w:tab w:val="left" w:pos="7095"/>
        </w:tabs>
        <w:spacing w:line="360" w:lineRule="auto"/>
        <w:ind w:left="420" w:leftChars="0"/>
        <w:contextualSpacing/>
        <w:rPr>
          <w:rFonts w:hAnsi="宋体"/>
          <w:b/>
        </w:rPr>
      </w:pPr>
      <w:r>
        <w:rPr>
          <w:rFonts w:hint="eastAsia" w:asciiTheme="minorEastAsia" w:hAnsiTheme="minorEastAsia"/>
          <w:b/>
          <w:lang w:val="en-US" w:eastAsia="zh-CN"/>
        </w:rPr>
        <w:t>4.</w:t>
      </w:r>
      <w:r>
        <w:rPr>
          <w:rFonts w:hint="eastAsia" w:asciiTheme="minorEastAsia" w:hAnsiTheme="minorEastAsia"/>
          <w:b/>
        </w:rPr>
        <w:t>加密</w:t>
      </w:r>
      <w:r>
        <w:rPr>
          <w:rFonts w:hint="eastAsia" w:hAnsi="宋体"/>
          <w:b/>
        </w:rPr>
        <w:t>电子投标文件的提交</w:t>
      </w:r>
    </w:p>
    <w:p w14:paraId="24B58906">
      <w:pPr>
        <w:pStyle w:val="42"/>
        <w:numPr>
          <w:ilvl w:val="0"/>
          <w:numId w:val="0"/>
        </w:numPr>
        <w:tabs>
          <w:tab w:val="left" w:pos="7095"/>
        </w:tabs>
        <w:spacing w:line="360" w:lineRule="auto"/>
        <w:ind w:firstLine="420" w:firstLineChars="200"/>
        <w:contextualSpacing/>
        <w:rPr>
          <w:rFonts w:hAnsi="宋体"/>
        </w:rPr>
      </w:pPr>
      <w:r>
        <w:rPr>
          <w:rFonts w:hint="eastAsia" w:hAnsi="宋体"/>
          <w:lang w:val="en-US" w:eastAsia="zh-CN"/>
        </w:rPr>
        <w:t>4.1</w:t>
      </w:r>
      <w:r>
        <w:rPr>
          <w:rFonts w:hint="eastAsia" w:hAnsi="宋体"/>
        </w:rPr>
        <w:t>投标人对同一项目多个标段进行投标的，加密电子投标文件应按标段分别提交。</w:t>
      </w:r>
    </w:p>
    <w:p w14:paraId="5ED6C4F9">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20" w:firstLineChars="20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 w:val="0"/>
          <w:bCs w:val="0"/>
          <w:i w:val="0"/>
          <w:iCs w:val="0"/>
          <w:color w:val="000000"/>
          <w:spacing w:val="0"/>
          <w:w w:val="100"/>
          <w:sz w:val="21"/>
          <w:szCs w:val="21"/>
          <w:vertAlign w:val="baseline"/>
          <w:lang w:val="en-US" w:eastAsia="zh-CN"/>
        </w:rPr>
        <w:t>4.2</w:t>
      </w:r>
      <w:r>
        <w:rPr>
          <w:rFonts w:hint="eastAsia" w:asciiTheme="minorEastAsia" w:hAnsiTheme="minorEastAsia" w:eastAsiaTheme="minorEastAsia" w:cstheme="minorEastAsia"/>
          <w:b w:val="0"/>
          <w:bCs w:val="0"/>
          <w:i w:val="0"/>
          <w:iCs w:val="0"/>
          <w:color w:val="000000"/>
          <w:spacing w:val="0"/>
          <w:w w:val="100"/>
          <w:sz w:val="21"/>
          <w:szCs w:val="21"/>
          <w:vertAlign w:val="baseline"/>
        </w:rPr>
        <w:t>加密电子响应文件成功上传至“</w:t>
      </w:r>
      <w:r>
        <w:rPr>
          <w:rFonts w:hint="eastAsia" w:asciiTheme="minorEastAsia" w:hAnsiTheme="minorEastAsia" w:eastAsiaTheme="minorEastAsia" w:cstheme="minorEastAsia"/>
          <w:b w:val="0"/>
          <w:bCs w:val="0"/>
          <w:i w:val="0"/>
          <w:iCs w:val="0"/>
          <w:color w:val="000000"/>
          <w:spacing w:val="0"/>
          <w:w w:val="100"/>
          <w:sz w:val="21"/>
          <w:szCs w:val="21"/>
          <w:shd w:val="clear" w:color="auto" w:fill="FFFFFF"/>
          <w:vertAlign w:val="baseline"/>
        </w:rPr>
        <w:t>全国公共资源交易平台（河南省·许昌市）”</w:t>
      </w:r>
      <w:r>
        <w:rPr>
          <w:rFonts w:hint="eastAsia" w:asciiTheme="minorEastAsia" w:hAnsiTheme="minorEastAsia" w:eastAsiaTheme="minorEastAsia" w:cstheme="minorEastAsia"/>
          <w:b w:val="0"/>
          <w:bCs w:val="0"/>
          <w:i w:val="0"/>
          <w:iCs w:val="0"/>
          <w:color w:val="000000"/>
          <w:spacing w:val="0"/>
          <w:w w:val="100"/>
          <w:sz w:val="21"/>
          <w:szCs w:val="21"/>
          <w:vertAlign w:val="baseline"/>
        </w:rPr>
        <w:t>后，应在上传页面进行模拟解密，以验证是否能够成功解密。</w:t>
      </w:r>
    </w:p>
    <w:p w14:paraId="46726741">
      <w:pPr>
        <w:pStyle w:val="42"/>
        <w:numPr>
          <w:ilvl w:val="0"/>
          <w:numId w:val="0"/>
        </w:numPr>
        <w:tabs>
          <w:tab w:val="left" w:pos="7095"/>
        </w:tabs>
        <w:spacing w:line="360" w:lineRule="auto"/>
        <w:ind w:firstLine="422" w:firstLineChars="200"/>
        <w:contextualSpacing/>
        <w:rPr>
          <w:rFonts w:hAnsi="宋体"/>
          <w:b/>
        </w:rPr>
      </w:pPr>
      <w:r>
        <w:rPr>
          <w:rFonts w:hint="eastAsia" w:asciiTheme="minorEastAsia" w:hAnsiTheme="minorEastAsia"/>
          <w:b/>
          <w:lang w:val="en-US" w:eastAsia="zh-CN"/>
        </w:rPr>
        <w:t>5.</w:t>
      </w:r>
      <w:r>
        <w:rPr>
          <w:rFonts w:hint="eastAsia" w:asciiTheme="minorEastAsia" w:hAnsiTheme="minorEastAsia"/>
          <w:b/>
        </w:rPr>
        <w:t>远程不见面开标（</w:t>
      </w:r>
      <w:r>
        <w:rPr>
          <w:rFonts w:hint="eastAsia" w:hAnsi="宋体"/>
          <w:b/>
        </w:rPr>
        <w:t>电子投标文件的解密</w:t>
      </w:r>
      <w:r>
        <w:rPr>
          <w:rFonts w:hint="eastAsia" w:asciiTheme="minorEastAsia" w:hAnsiTheme="minorEastAsia"/>
          <w:b/>
        </w:rPr>
        <w:t>）</w:t>
      </w:r>
    </w:p>
    <w:p w14:paraId="28566F76">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20" w:firstLineChars="200"/>
        <w:jc w:val="both"/>
        <w:textAlignment w:val="auto"/>
        <w:rPr>
          <w:rFonts w:hint="eastAsia" w:asciiTheme="minorEastAsia" w:hAnsiTheme="minorEastAsia" w:eastAsiaTheme="minorEastAsia" w:cstheme="minorEastAsia"/>
          <w:color w:val="FF0000"/>
        </w:rPr>
      </w:pPr>
      <w:r>
        <w:rPr>
          <w:rFonts w:hint="eastAsia" w:asciiTheme="minorEastAsia" w:hAnsiTheme="minorEastAsia" w:eastAsiaTheme="minorEastAsia" w:cstheme="minorEastAsia"/>
          <w:b w:val="0"/>
          <w:bCs w:val="0"/>
          <w:i w:val="0"/>
          <w:iCs w:val="0"/>
          <w:color w:val="FF0000"/>
          <w:spacing w:val="0"/>
          <w:w w:val="100"/>
          <w:sz w:val="21"/>
          <w:szCs w:val="21"/>
          <w:vertAlign w:val="baseline"/>
          <w:lang w:val="en-US" w:eastAsia="zh-CN"/>
        </w:rPr>
        <w:t>5.1</w:t>
      </w:r>
      <w:r>
        <w:rPr>
          <w:rFonts w:hint="eastAsia" w:asciiTheme="minorEastAsia" w:hAnsiTheme="minorEastAsia" w:eastAsiaTheme="minorEastAsia" w:cstheme="minorEastAsia"/>
          <w:b w:val="0"/>
          <w:bCs w:val="0"/>
          <w:i w:val="0"/>
          <w:iCs w:val="0"/>
          <w:color w:val="FF0000"/>
          <w:spacing w:val="0"/>
          <w:w w:val="100"/>
          <w:sz w:val="21"/>
          <w:szCs w:val="21"/>
          <w:vertAlign w:val="baseline"/>
        </w:rPr>
        <w:t>本项目采用远程不见面开标方式，投标前请详细阅读“</w:t>
      </w:r>
      <w:r>
        <w:rPr>
          <w:rFonts w:hint="eastAsia" w:asciiTheme="minorEastAsia" w:hAnsiTheme="minorEastAsia" w:eastAsiaTheme="minorEastAsia" w:cstheme="minorEastAsia"/>
          <w:b w:val="0"/>
          <w:bCs w:val="0"/>
          <w:i w:val="0"/>
          <w:iCs w:val="0"/>
          <w:color w:val="FF0000"/>
          <w:spacing w:val="0"/>
          <w:w w:val="100"/>
          <w:sz w:val="21"/>
          <w:szCs w:val="21"/>
          <w:shd w:val="clear" w:color="auto" w:fill="FFFFFF"/>
          <w:vertAlign w:val="baseline"/>
        </w:rPr>
        <w:t>全国公共资源交易平台（河南省·许昌市）”的</w:t>
      </w:r>
      <w:r>
        <w:rPr>
          <w:rFonts w:hint="eastAsia" w:asciiTheme="minorEastAsia" w:hAnsiTheme="minorEastAsia" w:eastAsiaTheme="minorEastAsia" w:cstheme="minorEastAsia"/>
          <w:b w:val="0"/>
          <w:bCs w:val="0"/>
          <w:i w:val="0"/>
          <w:iCs w:val="0"/>
          <w:color w:val="FF0000"/>
          <w:spacing w:val="0"/>
          <w:w w:val="100"/>
          <w:sz w:val="21"/>
          <w:szCs w:val="21"/>
          <w:vertAlign w:val="baseline"/>
        </w:rPr>
        <w:t>“服务指南”栏目下《必看！新交易平台使用手册》中的相关内容。</w:t>
      </w:r>
    </w:p>
    <w:p w14:paraId="4A176017">
      <w:pPr>
        <w:pStyle w:val="42"/>
        <w:numPr>
          <w:ilvl w:val="0"/>
          <w:numId w:val="0"/>
        </w:numPr>
        <w:tabs>
          <w:tab w:val="left" w:pos="7095"/>
        </w:tabs>
        <w:spacing w:line="360" w:lineRule="auto"/>
        <w:ind w:firstLine="420" w:firstLineChars="200"/>
        <w:contextualSpacing/>
        <w:jc w:val="left"/>
        <w:rPr>
          <w:rFonts w:hAnsi="宋体"/>
        </w:rPr>
      </w:pPr>
      <w:r>
        <w:rPr>
          <w:rFonts w:hint="eastAsia" w:asciiTheme="minorEastAsia" w:hAnsiTheme="minorEastAsia" w:cstheme="minorEastAsia"/>
          <w:b w:val="0"/>
          <w:bCs w:val="0"/>
          <w:i w:val="0"/>
          <w:iCs w:val="0"/>
          <w:color w:val="000000"/>
          <w:spacing w:val="0"/>
          <w:w w:val="100"/>
          <w:sz w:val="21"/>
          <w:szCs w:val="21"/>
          <w:vertAlign w:val="baseline"/>
          <w:lang w:val="en-US" w:eastAsia="zh-CN"/>
        </w:rPr>
        <w:t xml:space="preserve">5.2 </w:t>
      </w:r>
      <w:r>
        <w:rPr>
          <w:rFonts w:hint="eastAsia" w:asciiTheme="minorEastAsia" w:hAnsiTheme="minorEastAsia" w:eastAsiaTheme="minorEastAsia" w:cstheme="minorEastAsia"/>
          <w:b w:val="0"/>
          <w:bCs w:val="0"/>
          <w:i w:val="0"/>
          <w:iCs w:val="0"/>
          <w:color w:val="000000"/>
          <w:spacing w:val="0"/>
          <w:w w:val="100"/>
          <w:sz w:val="21"/>
          <w:szCs w:val="21"/>
          <w:vertAlign w:val="baseline"/>
        </w:rPr>
        <w:t>供应商应按新交易平台使用手册提前设置好浏览器，</w:t>
      </w:r>
      <w:r>
        <w:rPr>
          <w:rFonts w:hint="eastAsia" w:hAnsi="宋体"/>
        </w:rPr>
        <w:t>并于开标时间前登录本项目不见面开标大厅，按照规定的开标时间准时参加网上开标。</w:t>
      </w:r>
    </w:p>
    <w:p w14:paraId="6321E359">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20" w:firstLineChars="200"/>
        <w:jc w:val="both"/>
        <w:textAlignment w:val="auto"/>
        <w:rPr>
          <w:rFonts w:hint="eastAsia" w:asciiTheme="minorEastAsia" w:hAnsiTheme="minorEastAsia" w:eastAsiaTheme="minorEastAsia" w:cstheme="minorEastAsia"/>
          <w:b w:val="0"/>
          <w:bCs w:val="0"/>
          <w:i w:val="0"/>
          <w:iCs w:val="0"/>
          <w:color w:val="000000"/>
          <w:spacing w:val="0"/>
          <w:w w:val="100"/>
          <w:sz w:val="21"/>
          <w:szCs w:val="21"/>
          <w:vertAlign w:val="baseline"/>
          <w:lang w:eastAsia="zh-CN"/>
        </w:rPr>
      </w:pPr>
      <w:r>
        <w:rPr>
          <w:rFonts w:hint="eastAsia" w:asciiTheme="minorEastAsia" w:hAnsiTheme="minorEastAsia" w:eastAsiaTheme="minorEastAsia" w:cstheme="minorEastAsia"/>
          <w:b w:val="0"/>
          <w:bCs w:val="0"/>
          <w:i w:val="0"/>
          <w:iCs w:val="0"/>
          <w:color w:val="000000"/>
          <w:spacing w:val="0"/>
          <w:w w:val="100"/>
          <w:kern w:val="2"/>
          <w:sz w:val="21"/>
          <w:szCs w:val="21"/>
          <w:vertAlign w:val="baseline"/>
          <w:lang w:val="en-US" w:eastAsia="zh-CN" w:bidi="ar-SA"/>
        </w:rPr>
        <w:t xml:space="preserve">5.3 </w:t>
      </w:r>
      <w:r>
        <w:rPr>
          <w:rFonts w:hint="eastAsia" w:asciiTheme="minorEastAsia" w:hAnsiTheme="minorEastAsia" w:eastAsiaTheme="minorEastAsia" w:cstheme="minorEastAsia"/>
          <w:b w:val="0"/>
          <w:bCs w:val="0"/>
          <w:i w:val="0"/>
          <w:iCs w:val="0"/>
          <w:color w:val="000000"/>
          <w:spacing w:val="0"/>
          <w:w w:val="100"/>
          <w:sz w:val="21"/>
          <w:szCs w:val="21"/>
          <w:vertAlign w:val="baseline"/>
          <w:lang w:val="en-US" w:eastAsia="zh-CN"/>
        </w:rPr>
        <w:t xml:space="preserve"> </w:t>
      </w:r>
      <w:r>
        <w:rPr>
          <w:rFonts w:hint="eastAsia" w:asciiTheme="minorEastAsia" w:hAnsiTheme="minorEastAsia" w:eastAsiaTheme="minorEastAsia" w:cstheme="minorEastAsia"/>
          <w:b w:val="0"/>
          <w:bCs w:val="0"/>
          <w:i w:val="0"/>
          <w:iCs w:val="0"/>
          <w:color w:val="000000"/>
          <w:spacing w:val="0"/>
          <w:w w:val="100"/>
          <w:sz w:val="21"/>
          <w:szCs w:val="21"/>
          <w:vertAlign w:val="baseline"/>
        </w:rPr>
        <w:t>根据开标大厅界面右侧“公告栏”中的系统提示，供应商应在“标书解密”环节完成解密操作。供应商未解密或因供应商原因解密失败的，其响应文件将被退回</w:t>
      </w:r>
      <w:r>
        <w:rPr>
          <w:rFonts w:hint="eastAsia" w:asciiTheme="minorEastAsia" w:hAnsiTheme="minorEastAsia" w:eastAsiaTheme="minorEastAsia" w:cstheme="minorEastAsia"/>
          <w:b w:val="0"/>
          <w:bCs w:val="0"/>
          <w:i w:val="0"/>
          <w:iCs w:val="0"/>
          <w:color w:val="000000"/>
          <w:spacing w:val="0"/>
          <w:w w:val="100"/>
          <w:sz w:val="21"/>
          <w:szCs w:val="21"/>
          <w:vertAlign w:val="baseline"/>
          <w:lang w:eastAsia="zh-CN"/>
        </w:rPr>
        <w:t>。</w:t>
      </w:r>
    </w:p>
    <w:p w14:paraId="50D031AB">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20" w:firstLineChars="20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 w:val="0"/>
          <w:bCs w:val="0"/>
          <w:i w:val="0"/>
          <w:iCs w:val="0"/>
          <w:color w:val="000000"/>
          <w:spacing w:val="0"/>
          <w:w w:val="100"/>
          <w:kern w:val="2"/>
          <w:sz w:val="21"/>
          <w:szCs w:val="21"/>
          <w:vertAlign w:val="baseline"/>
          <w:lang w:val="en-US" w:eastAsia="zh-CN" w:bidi="ar-SA"/>
        </w:rPr>
        <w:t>5.4</w:t>
      </w:r>
      <w:r>
        <w:rPr>
          <w:rFonts w:hint="eastAsia" w:asciiTheme="minorEastAsia" w:hAnsiTheme="minorEastAsia" w:eastAsiaTheme="minorEastAsia" w:cstheme="minorEastAsia"/>
          <w:b w:val="0"/>
          <w:bCs w:val="0"/>
          <w:i w:val="0"/>
          <w:iCs w:val="0"/>
          <w:color w:val="000000"/>
          <w:spacing w:val="0"/>
          <w:w w:val="100"/>
          <w:sz w:val="21"/>
          <w:szCs w:val="21"/>
          <w:vertAlign w:val="baseline"/>
        </w:rPr>
        <w:t>在“唱标”环节，供应商应对唱标信息进行确认，供应商未进行唱标确认操作的，视同认可唱标结果。</w:t>
      </w:r>
    </w:p>
    <w:p w14:paraId="359DAF6A">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right="0" w:firstLine="420" w:firstLineChars="20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 w:val="0"/>
          <w:bCs w:val="0"/>
          <w:i w:val="0"/>
          <w:iCs w:val="0"/>
          <w:color w:val="000000"/>
          <w:spacing w:val="0"/>
          <w:w w:val="100"/>
          <w:kern w:val="2"/>
          <w:sz w:val="21"/>
          <w:szCs w:val="21"/>
          <w:vertAlign w:val="baseline"/>
          <w:lang w:val="en-US" w:eastAsia="zh-CN" w:bidi="ar-SA"/>
        </w:rPr>
        <w:t>5.5 在“开标结束”环节，供应商应在《开标情况记录表》上进行电子签章。供应商未签章的，</w:t>
      </w:r>
      <w:r>
        <w:rPr>
          <w:rFonts w:hint="eastAsia" w:asciiTheme="minorEastAsia" w:hAnsiTheme="minorEastAsia" w:eastAsiaTheme="minorEastAsia" w:cstheme="minorEastAsia"/>
          <w:b w:val="0"/>
          <w:bCs w:val="0"/>
          <w:i w:val="0"/>
          <w:iCs w:val="0"/>
          <w:color w:val="000000"/>
          <w:spacing w:val="0"/>
          <w:w w:val="100"/>
          <w:sz w:val="21"/>
          <w:szCs w:val="21"/>
          <w:vertAlign w:val="baseline"/>
        </w:rPr>
        <w:t>视同认可开标结果。</w:t>
      </w:r>
    </w:p>
    <w:p w14:paraId="62ED2F9D">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right="0" w:firstLine="420" w:firstLineChars="200"/>
        <w:jc w:val="both"/>
        <w:textAlignment w:val="auto"/>
        <w:rPr>
          <w:rFonts w:hint="eastAsia" w:asciiTheme="minorEastAsia" w:hAnsiTheme="minorEastAsia" w:eastAsiaTheme="minorEastAsia" w:cstheme="minorEastAsia"/>
        </w:rPr>
      </w:pPr>
      <w:r>
        <w:rPr>
          <w:rFonts w:hint="eastAsia" w:asciiTheme="minorEastAsia" w:hAnsiTheme="minorEastAsia" w:eastAsiaTheme="minorEastAsia" w:cstheme="minorEastAsia"/>
          <w:b w:val="0"/>
          <w:bCs w:val="0"/>
          <w:i w:val="0"/>
          <w:iCs w:val="0"/>
          <w:color w:val="000000"/>
          <w:spacing w:val="0"/>
          <w:w w:val="100"/>
          <w:sz w:val="21"/>
          <w:szCs w:val="21"/>
          <w:vertAlign w:val="baseline"/>
          <w:lang w:val="en-US" w:eastAsia="zh-CN"/>
        </w:rPr>
        <w:t>5.6</w:t>
      </w:r>
      <w:r>
        <w:rPr>
          <w:rFonts w:hint="eastAsia" w:asciiTheme="minorEastAsia" w:hAnsiTheme="minorEastAsia" w:eastAsiaTheme="minorEastAsia" w:cstheme="minorEastAsia"/>
          <w:b w:val="0"/>
          <w:bCs w:val="0"/>
          <w:i w:val="0"/>
          <w:iCs w:val="0"/>
          <w:color w:val="000000"/>
          <w:spacing w:val="0"/>
          <w:w w:val="100"/>
          <w:sz w:val="21"/>
          <w:szCs w:val="21"/>
          <w:vertAlign w:val="baseline"/>
        </w:rPr>
        <w:t xml:space="preserve"> 供应商对开标过程和开标记录如有异议，可在本项目开标大厅界面右下方“发起异议”中提出异议。</w:t>
      </w:r>
    </w:p>
    <w:p w14:paraId="54B8EEFC">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426" w:leftChars="0" w:right="0" w:rightChars="0" w:firstLine="420" w:firstLineChars="200"/>
        <w:jc w:val="both"/>
        <w:textAlignment w:val="auto"/>
        <w:rPr>
          <w:rFonts w:hint="eastAsia" w:asciiTheme="minorEastAsia" w:hAnsiTheme="minorEastAsia" w:eastAsiaTheme="minorEastAsia" w:cstheme="minorEastAsia"/>
          <w:b w:val="0"/>
          <w:bCs w:val="0"/>
          <w:i w:val="0"/>
          <w:iCs w:val="0"/>
          <w:color w:val="000000"/>
          <w:spacing w:val="0"/>
          <w:w w:val="100"/>
          <w:sz w:val="21"/>
          <w:szCs w:val="21"/>
          <w:vertAlign w:val="baseline"/>
          <w:lang w:eastAsia="zh-CN"/>
        </w:rPr>
      </w:pPr>
    </w:p>
    <w:p w14:paraId="23FD86D3">
      <w:pPr>
        <w:pStyle w:val="42"/>
        <w:numPr>
          <w:ilvl w:val="0"/>
          <w:numId w:val="0"/>
        </w:numPr>
        <w:tabs>
          <w:tab w:val="left" w:pos="7095"/>
        </w:tabs>
        <w:spacing w:line="360" w:lineRule="auto"/>
        <w:ind w:left="420" w:leftChars="0"/>
        <w:contextualSpacing/>
        <w:rPr>
          <w:rFonts w:hAnsi="宋体"/>
          <w:b/>
        </w:rPr>
      </w:pPr>
      <w:r>
        <w:rPr>
          <w:rFonts w:hint="eastAsia" w:hAnsi="宋体"/>
          <w:b/>
          <w:lang w:val="en-US" w:eastAsia="zh-CN"/>
        </w:rPr>
        <w:t>6.</w:t>
      </w:r>
      <w:r>
        <w:rPr>
          <w:rFonts w:hint="eastAsia" w:hAnsi="宋体"/>
          <w:b/>
        </w:rPr>
        <w:t>评标依据</w:t>
      </w:r>
    </w:p>
    <w:p w14:paraId="695F76EC">
      <w:pPr>
        <w:pStyle w:val="42"/>
        <w:numPr>
          <w:ilvl w:val="0"/>
          <w:numId w:val="0"/>
        </w:numPr>
        <w:tabs>
          <w:tab w:val="left" w:pos="7095"/>
        </w:tabs>
        <w:spacing w:line="360" w:lineRule="auto"/>
        <w:ind w:firstLine="420" w:firstLineChars="200"/>
        <w:contextualSpacing/>
        <w:rPr>
          <w:rFonts w:hAnsi="宋体"/>
        </w:rPr>
      </w:pPr>
      <w:r>
        <w:rPr>
          <w:rFonts w:hint="eastAsia" w:hAnsi="宋体"/>
          <w:lang w:val="en-US" w:eastAsia="zh-CN"/>
        </w:rPr>
        <w:t>6.1</w:t>
      </w:r>
      <w:r>
        <w:rPr>
          <w:rFonts w:hint="eastAsia" w:hAnsi="宋体"/>
        </w:rPr>
        <w:t>全流程电子化交易（不见面开标）项目，评标委员会以成功上传、解密的电子投标文件为依据评审。</w:t>
      </w:r>
    </w:p>
    <w:p w14:paraId="02A1355B">
      <w:pPr>
        <w:pStyle w:val="42"/>
        <w:numPr>
          <w:ilvl w:val="0"/>
          <w:numId w:val="0"/>
        </w:numPr>
        <w:tabs>
          <w:tab w:val="left" w:pos="7095"/>
        </w:tabs>
        <w:spacing w:line="360" w:lineRule="auto"/>
        <w:ind w:firstLine="420" w:firstLineChars="200"/>
        <w:contextualSpacing/>
        <w:rPr>
          <w:rFonts w:hAnsi="宋体"/>
        </w:rPr>
      </w:pPr>
      <w:r>
        <w:rPr>
          <w:rFonts w:hint="eastAsia" w:hAnsi="宋体"/>
          <w:lang w:val="en-US" w:eastAsia="zh-CN"/>
        </w:rPr>
        <w:t>6.2</w:t>
      </w:r>
      <w:r>
        <w:rPr>
          <w:rFonts w:hint="eastAsia" w:hAnsi="宋体"/>
        </w:rPr>
        <w:t>评标期间，投标人应保持通讯手机畅通。评标委员会如要求投标人作出澄清、说明或者补正等，投标人应在评标委员会要求的评标期间合理的时间内通过电子邮件形式提供。</w:t>
      </w:r>
    </w:p>
    <w:p w14:paraId="0DC7CDF1">
      <w:pPr>
        <w:pStyle w:val="42"/>
        <w:numPr>
          <w:ilvl w:val="0"/>
          <w:numId w:val="0"/>
        </w:numPr>
        <w:tabs>
          <w:tab w:val="left" w:pos="7095"/>
        </w:tabs>
        <w:spacing w:line="360" w:lineRule="auto"/>
        <w:ind w:firstLine="420" w:firstLineChars="200"/>
        <w:contextualSpacing/>
        <w:rPr>
          <w:rFonts w:hAnsi="宋体"/>
        </w:rPr>
      </w:pPr>
      <w:r>
        <w:rPr>
          <w:rFonts w:hint="eastAsia" w:hAnsi="宋体"/>
          <w:lang w:val="en-US" w:eastAsia="zh-CN"/>
        </w:rPr>
        <w:t>6.3</w:t>
      </w:r>
      <w:r>
        <w:rPr>
          <w:rFonts w:hint="eastAsia" w:hAnsi="宋体"/>
        </w:rPr>
        <w:t>投标人通过电子邮件提供的书面说明或相关证明材料应加盖公章，或者由法定代表人或其授权的代表签字。</w:t>
      </w:r>
    </w:p>
    <w:p w14:paraId="402C92B3">
      <w:pPr>
        <w:pStyle w:val="42"/>
        <w:numPr>
          <w:ilvl w:val="0"/>
          <w:numId w:val="0"/>
        </w:numPr>
        <w:tabs>
          <w:tab w:val="left" w:pos="7095"/>
        </w:tabs>
        <w:spacing w:line="360" w:lineRule="auto"/>
        <w:ind w:left="420" w:leftChars="0"/>
        <w:contextualSpacing/>
        <w:rPr>
          <w:rFonts w:hint="eastAsia" w:hAnsi="宋体"/>
          <w:b/>
          <w:lang w:val="en-US" w:eastAsia="zh-CN"/>
        </w:rPr>
      </w:pPr>
      <w:r>
        <w:rPr>
          <w:rFonts w:hint="eastAsia" w:hAnsi="宋体"/>
          <w:b/>
          <w:lang w:val="en-US" w:eastAsia="zh-CN"/>
        </w:rPr>
        <w:t>7.相关事项</w:t>
      </w:r>
    </w:p>
    <w:p w14:paraId="31955F67">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20" w:firstLineChars="200"/>
        <w:jc w:val="both"/>
        <w:textAlignment w:val="auto"/>
        <w:rPr>
          <w:rFonts w:hint="eastAsia" w:hAnsi="宋体" w:asciiTheme="minorHAnsi" w:eastAsiaTheme="minorEastAsia" w:cstheme="minorBidi"/>
          <w:kern w:val="2"/>
          <w:sz w:val="21"/>
          <w:szCs w:val="22"/>
          <w:lang w:val="en-US" w:eastAsia="zh-CN" w:bidi="ar-SA"/>
        </w:rPr>
      </w:pPr>
      <w:r>
        <w:rPr>
          <w:rFonts w:hint="eastAsia" w:hAnsi="宋体" w:asciiTheme="minorHAnsi" w:eastAsiaTheme="minorEastAsia" w:cstheme="minorBidi"/>
          <w:kern w:val="2"/>
          <w:sz w:val="21"/>
          <w:szCs w:val="22"/>
          <w:lang w:val="en-US" w:eastAsia="zh-CN" w:bidi="ar-SA"/>
        </w:rPr>
        <w:t>7.1使更多供应商能参加投标，本项目招标文件公告期限届满后仍允许下载招标文件参加投标，但为提高采购效率，在公告期限届满之后下载招标文件的，对招标文件的质疑期限从公告期限届满之日起计算；在公告期限届满之前下载招标文件的，对招标文件的质疑期限从下载之日起计算。</w:t>
      </w:r>
    </w:p>
    <w:p w14:paraId="7F502B19">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right="0" w:rightChars="0" w:firstLine="420" w:firstLineChars="200"/>
        <w:jc w:val="both"/>
        <w:textAlignment w:val="auto"/>
        <w:rPr>
          <w:rFonts w:hint="eastAsia" w:hAnsi="宋体" w:asciiTheme="minorHAnsi" w:eastAsiaTheme="minorEastAsia" w:cstheme="minorBidi"/>
          <w:kern w:val="2"/>
          <w:sz w:val="21"/>
          <w:szCs w:val="22"/>
          <w:lang w:val="en-US" w:eastAsia="zh-CN" w:bidi="ar-SA"/>
        </w:rPr>
      </w:pPr>
      <w:r>
        <w:rPr>
          <w:rFonts w:hint="eastAsia" w:hAnsi="宋体" w:asciiTheme="minorHAnsi" w:eastAsiaTheme="minorEastAsia" w:cstheme="minorBidi"/>
          <w:kern w:val="2"/>
          <w:sz w:val="21"/>
          <w:szCs w:val="22"/>
          <w:lang w:val="en-US" w:eastAsia="zh-CN" w:bidi="ar-SA"/>
        </w:rPr>
        <w:t>7.2“全国公共资源交易平台（河南省·许昌市）”采购公告栏提供的招标文件仅供浏览。供应商下载招标文件应使用 CA 数字证书或移动数字证书从“全国公共资源交易平台（河南省·许昌市）”的“投标人”登录入口获取本项目招标文件。</w:t>
      </w:r>
    </w:p>
    <w:p w14:paraId="487B5C50">
      <w:pPr>
        <w:pStyle w:val="42"/>
        <w:keepNext w:val="0"/>
        <w:keepLines w:val="0"/>
        <w:pageBreakBefore w:val="0"/>
        <w:widowControl/>
        <w:kinsoku/>
        <w:wordWrap/>
        <w:overflowPunct/>
        <w:topLinePunct w:val="0"/>
        <w:autoSpaceDE/>
        <w:autoSpaceDN/>
        <w:bidi w:val="0"/>
        <w:adjustRightInd/>
        <w:snapToGrid/>
        <w:spacing w:line="440" w:lineRule="exact"/>
        <w:ind w:left="359" w:leftChars="171" w:firstLine="2554" w:firstLineChars="795"/>
        <w:textAlignment w:val="auto"/>
        <w:rPr>
          <w:rFonts w:hint="eastAsia" w:asciiTheme="minorEastAsia" w:hAnsiTheme="minorEastAsia" w:eastAsiaTheme="minorEastAsia" w:cstheme="minorEastAsia"/>
          <w:b/>
          <w:color w:val="FF0000"/>
          <w:kern w:val="0"/>
          <w:sz w:val="32"/>
          <w:szCs w:val="32"/>
        </w:rPr>
      </w:pPr>
    </w:p>
    <w:p w14:paraId="29158FF6">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40" w:lineRule="exact"/>
        <w:ind w:left="426" w:leftChars="0" w:right="0" w:rightChars="0" w:firstLine="420" w:firstLineChars="200"/>
        <w:jc w:val="both"/>
        <w:textAlignment w:val="auto"/>
        <w:rPr>
          <w:rFonts w:hint="eastAsia" w:hAnsi="宋体" w:asciiTheme="minorHAnsi" w:eastAsiaTheme="minorEastAsia" w:cstheme="minorBidi"/>
          <w:kern w:val="2"/>
          <w:sz w:val="21"/>
          <w:szCs w:val="22"/>
          <w:lang w:val="en-US" w:eastAsia="zh-CN" w:bidi="ar-SA"/>
        </w:rPr>
      </w:pPr>
    </w:p>
    <w:p w14:paraId="77297D5F">
      <w:pPr>
        <w:numPr>
          <w:ilvl w:val="0"/>
          <w:numId w:val="4"/>
        </w:numPr>
        <w:ind w:left="4320" w:leftChars="0" w:hanging="1605" w:firstLineChars="0"/>
        <w:jc w:val="both"/>
        <w:rPr>
          <w:rFonts w:hint="eastAsia" w:cs="宋体" w:asciiTheme="majorEastAsia" w:hAnsiTheme="majorEastAsia" w:eastAsiaTheme="majorEastAsia"/>
          <w:b/>
          <w:kern w:val="0"/>
          <w:sz w:val="32"/>
          <w:szCs w:val="32"/>
          <w:lang w:val="en-US" w:eastAsia="zh-CN"/>
        </w:rPr>
        <w:sectPr>
          <w:pgSz w:w="11906" w:h="16838"/>
          <w:pgMar w:top="2098" w:right="1474" w:bottom="1928" w:left="1588" w:header="851" w:footer="992" w:gutter="0"/>
          <w:cols w:space="425" w:num="1"/>
          <w:docGrid w:type="lines" w:linePitch="312" w:charSpace="0"/>
        </w:sectPr>
      </w:pPr>
    </w:p>
    <w:p w14:paraId="6419F0E5">
      <w:pPr>
        <w:keepNext w:val="0"/>
        <w:keepLines w:val="0"/>
        <w:pageBreakBefore w:val="0"/>
        <w:widowControl w:val="0"/>
        <w:numPr>
          <w:ilvl w:val="0"/>
          <w:numId w:val="5"/>
        </w:numPr>
        <w:kinsoku/>
        <w:wordWrap/>
        <w:overflowPunct/>
        <w:topLinePunct w:val="0"/>
        <w:autoSpaceDE/>
        <w:autoSpaceDN/>
        <w:bidi w:val="0"/>
        <w:adjustRightInd/>
        <w:snapToGrid/>
        <w:ind w:left="0" w:leftChars="0" w:firstLine="403" w:firstLineChars="0"/>
        <w:jc w:val="center"/>
        <w:textAlignment w:val="auto"/>
        <w:outlineLvl w:val="0"/>
        <w:rPr>
          <w:rFonts w:hint="eastAsia"/>
          <w:b/>
          <w:bCs/>
          <w:sz w:val="32"/>
          <w:szCs w:val="36"/>
          <w:lang w:val="en-US" w:eastAsia="zh-CN"/>
        </w:rPr>
      </w:pPr>
      <w:r>
        <w:rPr>
          <w:rFonts w:hint="eastAsia"/>
          <w:b/>
          <w:bCs/>
          <w:sz w:val="32"/>
          <w:szCs w:val="36"/>
        </w:rPr>
        <w:t>项目需求</w:t>
      </w:r>
    </w:p>
    <w:p w14:paraId="666EBD63">
      <w:pPr>
        <w:widowControl/>
        <w:shd w:val="clear" w:color="auto" w:fill="FFFFFF"/>
        <w:spacing w:line="560" w:lineRule="exact"/>
        <w:jc w:val="left"/>
        <w:rPr>
          <w:rFonts w:hint="eastAsia" w:ascii="仿宋" w:hAnsi="仿宋" w:eastAsia="仿宋" w:cs="仿宋"/>
          <w:kern w:val="0"/>
          <w:sz w:val="28"/>
          <w:szCs w:val="28"/>
        </w:rPr>
      </w:pPr>
      <w:r>
        <w:rPr>
          <w:rFonts w:hint="eastAsia" w:ascii="仿宋" w:hAnsi="仿宋" w:eastAsia="仿宋" w:cs="仿宋"/>
          <w:b/>
          <w:bCs/>
          <w:kern w:val="0"/>
          <w:sz w:val="28"/>
          <w:szCs w:val="28"/>
        </w:rPr>
        <w:t>（一）本项目需实现的功能或者目标：</w:t>
      </w:r>
      <w:r>
        <w:rPr>
          <w:rFonts w:hint="eastAsia" w:ascii="仿宋" w:hAnsi="仿宋" w:eastAsia="仿宋"/>
          <w:sz w:val="28"/>
          <w:szCs w:val="28"/>
        </w:rPr>
        <w:t>主要用于音乐、幼儿保育、舞蹈表演等专业的学生实训钢琴课使用，包含辅材、设备安装调试、设备使用培训以及实训室文化布置等。</w:t>
      </w:r>
    </w:p>
    <w:p w14:paraId="2A999DB7">
      <w:pPr>
        <w:jc w:val="left"/>
        <w:rPr>
          <w:rFonts w:ascii="仿宋" w:hAnsi="仿宋" w:eastAsia="仿宋" w:cs="仿宋"/>
        </w:rPr>
      </w:pPr>
      <w:r>
        <w:rPr>
          <w:rFonts w:hint="eastAsia" w:ascii="仿宋" w:hAnsi="仿宋" w:eastAsia="仿宋" w:cs="仿宋"/>
          <w:b/>
          <w:bCs/>
          <w:kern w:val="0"/>
          <w:sz w:val="28"/>
          <w:szCs w:val="28"/>
        </w:rPr>
        <w:t>（二）采购内容：</w:t>
      </w:r>
    </w:p>
    <w:tbl>
      <w:tblPr>
        <w:tblStyle w:val="24"/>
        <w:tblW w:w="10206" w:type="dxa"/>
        <w:tblInd w:w="-459" w:type="dxa"/>
        <w:tblLayout w:type="fixed"/>
        <w:tblCellMar>
          <w:top w:w="0" w:type="dxa"/>
          <w:left w:w="108" w:type="dxa"/>
          <w:bottom w:w="0" w:type="dxa"/>
          <w:right w:w="108" w:type="dxa"/>
        </w:tblCellMar>
      </w:tblPr>
      <w:tblGrid>
        <w:gridCol w:w="654"/>
        <w:gridCol w:w="736"/>
        <w:gridCol w:w="7399"/>
        <w:gridCol w:w="709"/>
        <w:gridCol w:w="708"/>
      </w:tblGrid>
      <w:tr w14:paraId="5A9B2DDC">
        <w:tblPrEx>
          <w:tblCellMar>
            <w:top w:w="0" w:type="dxa"/>
            <w:left w:w="108" w:type="dxa"/>
            <w:bottom w:w="0" w:type="dxa"/>
            <w:right w:w="108" w:type="dxa"/>
          </w:tblCellMar>
        </w:tblPrEx>
        <w:trPr>
          <w:trHeight w:val="403" w:hRule="atLeast"/>
        </w:trPr>
        <w:tc>
          <w:tcPr>
            <w:tcW w:w="10206" w:type="dxa"/>
            <w:gridSpan w:val="5"/>
            <w:tcBorders>
              <w:top w:val="single" w:color="000000" w:sz="4" w:space="0"/>
              <w:left w:val="single" w:color="000000" w:sz="4" w:space="0"/>
              <w:bottom w:val="nil"/>
              <w:right w:val="single" w:color="auto" w:sz="4" w:space="0"/>
            </w:tcBorders>
            <w:shd w:val="clear" w:color="auto" w:fill="FFFFFF"/>
            <w:noWrap/>
            <w:vAlign w:val="center"/>
          </w:tcPr>
          <w:p w14:paraId="5655E884">
            <w:pPr>
              <w:widowControl/>
              <w:jc w:val="center"/>
              <w:rPr>
                <w:rFonts w:ascii="仿宋" w:hAnsi="仿宋" w:eastAsia="仿宋" w:cs="仿宋"/>
                <w:b/>
                <w:bCs/>
                <w:kern w:val="0"/>
                <w:sz w:val="28"/>
                <w:szCs w:val="28"/>
              </w:rPr>
            </w:pPr>
            <w:r>
              <w:rPr>
                <w:rFonts w:hint="eastAsia" w:ascii="仿宋" w:hAnsi="仿宋" w:eastAsia="仿宋" w:cs="仿宋"/>
                <w:b/>
                <w:bCs/>
                <w:kern w:val="0"/>
                <w:sz w:val="28"/>
                <w:szCs w:val="28"/>
              </w:rPr>
              <w:t>采购清单</w:t>
            </w:r>
          </w:p>
        </w:tc>
      </w:tr>
      <w:tr w14:paraId="60CBB785">
        <w:tblPrEx>
          <w:tblCellMar>
            <w:top w:w="0" w:type="dxa"/>
            <w:left w:w="108" w:type="dxa"/>
            <w:bottom w:w="0" w:type="dxa"/>
            <w:right w:w="108" w:type="dxa"/>
          </w:tblCellMar>
        </w:tblPrEx>
        <w:trPr>
          <w:trHeight w:val="483" w:hRule="atLeast"/>
        </w:trPr>
        <w:tc>
          <w:tcPr>
            <w:tcW w:w="654" w:type="dxa"/>
            <w:tcBorders>
              <w:top w:val="single" w:color="000000" w:sz="4" w:space="0"/>
              <w:left w:val="single" w:color="000000" w:sz="4" w:space="0"/>
              <w:bottom w:val="nil"/>
              <w:right w:val="single" w:color="000000" w:sz="4" w:space="0"/>
            </w:tcBorders>
            <w:shd w:val="clear" w:color="auto" w:fill="FFFFFF"/>
            <w:noWrap/>
            <w:vAlign w:val="center"/>
          </w:tcPr>
          <w:p w14:paraId="6E4500F0">
            <w:pPr>
              <w:widowControl/>
              <w:jc w:val="center"/>
              <w:rPr>
                <w:rFonts w:ascii="仿宋" w:hAnsi="仿宋" w:eastAsia="仿宋" w:cs="仿宋"/>
                <w:b/>
                <w:bCs/>
                <w:color w:val="000000"/>
                <w:szCs w:val="21"/>
              </w:rPr>
            </w:pPr>
            <w:r>
              <w:rPr>
                <w:rFonts w:hint="eastAsia" w:ascii="仿宋" w:hAnsi="仿宋" w:eastAsia="仿宋" w:cs="仿宋"/>
                <w:b/>
                <w:bCs/>
                <w:color w:val="000000"/>
                <w:kern w:val="0"/>
                <w:szCs w:val="21"/>
              </w:rPr>
              <w:t>序号</w:t>
            </w:r>
          </w:p>
        </w:tc>
        <w:tc>
          <w:tcPr>
            <w:tcW w:w="736" w:type="dxa"/>
            <w:tcBorders>
              <w:top w:val="single" w:color="000000" w:sz="4" w:space="0"/>
              <w:left w:val="single" w:color="000000" w:sz="4" w:space="0"/>
              <w:bottom w:val="nil"/>
              <w:right w:val="single" w:color="auto" w:sz="4" w:space="0"/>
            </w:tcBorders>
            <w:shd w:val="clear" w:color="auto" w:fill="FFFFFF"/>
            <w:noWrap/>
            <w:vAlign w:val="center"/>
          </w:tcPr>
          <w:p w14:paraId="0C332FF1">
            <w:pPr>
              <w:widowControl/>
              <w:jc w:val="center"/>
              <w:rPr>
                <w:rFonts w:ascii="仿宋" w:hAnsi="仿宋" w:eastAsia="仿宋" w:cs="仿宋"/>
                <w:b/>
                <w:bCs/>
                <w:color w:val="000000"/>
                <w:szCs w:val="21"/>
              </w:rPr>
            </w:pPr>
            <w:r>
              <w:rPr>
                <w:rFonts w:hint="eastAsia" w:ascii="仿宋" w:hAnsi="仿宋" w:eastAsia="仿宋" w:cs="仿宋"/>
                <w:b/>
                <w:bCs/>
                <w:color w:val="000000"/>
                <w:kern w:val="0"/>
                <w:szCs w:val="21"/>
              </w:rPr>
              <w:t>名称</w:t>
            </w:r>
          </w:p>
        </w:tc>
        <w:tc>
          <w:tcPr>
            <w:tcW w:w="7399" w:type="dxa"/>
            <w:tcBorders>
              <w:top w:val="single" w:color="000000" w:sz="4" w:space="0"/>
              <w:left w:val="single" w:color="000000" w:sz="4" w:space="0"/>
              <w:bottom w:val="nil"/>
              <w:right w:val="single" w:color="000000" w:sz="4" w:space="0"/>
            </w:tcBorders>
            <w:shd w:val="clear" w:color="auto" w:fill="FFFFFF"/>
            <w:noWrap/>
            <w:vAlign w:val="center"/>
          </w:tcPr>
          <w:p w14:paraId="1699A2EF">
            <w:pPr>
              <w:widowControl/>
              <w:jc w:val="center"/>
              <w:rPr>
                <w:rFonts w:ascii="仿宋" w:hAnsi="仿宋" w:eastAsia="仿宋" w:cs="仿宋"/>
                <w:b/>
                <w:bCs/>
                <w:color w:val="000000"/>
                <w:szCs w:val="21"/>
              </w:rPr>
            </w:pPr>
            <w:r>
              <w:rPr>
                <w:rFonts w:hint="eastAsia" w:ascii="仿宋" w:hAnsi="仿宋" w:eastAsia="仿宋" w:cs="仿宋"/>
                <w:b/>
                <w:bCs/>
                <w:color w:val="000000"/>
                <w:kern w:val="0"/>
                <w:szCs w:val="21"/>
              </w:rPr>
              <w:t>技术参数</w:t>
            </w:r>
          </w:p>
        </w:tc>
        <w:tc>
          <w:tcPr>
            <w:tcW w:w="709" w:type="dxa"/>
            <w:tcBorders>
              <w:top w:val="single" w:color="000000" w:sz="4" w:space="0"/>
              <w:left w:val="single" w:color="000000" w:sz="4" w:space="0"/>
              <w:bottom w:val="nil"/>
              <w:right w:val="single" w:color="auto" w:sz="4" w:space="0"/>
            </w:tcBorders>
            <w:shd w:val="clear" w:color="auto" w:fill="FFFFFF"/>
            <w:noWrap/>
            <w:vAlign w:val="center"/>
          </w:tcPr>
          <w:p w14:paraId="49835244">
            <w:pPr>
              <w:widowControl/>
              <w:jc w:val="center"/>
              <w:rPr>
                <w:rFonts w:ascii="仿宋" w:hAnsi="仿宋" w:eastAsia="仿宋" w:cs="仿宋"/>
                <w:b/>
                <w:bCs/>
                <w:color w:val="000000"/>
                <w:szCs w:val="21"/>
              </w:rPr>
            </w:pPr>
            <w:r>
              <w:rPr>
                <w:rFonts w:hint="eastAsia" w:ascii="仿宋" w:hAnsi="仿宋" w:eastAsia="仿宋" w:cs="仿宋"/>
                <w:b/>
                <w:bCs/>
                <w:color w:val="000000"/>
                <w:kern w:val="0"/>
                <w:szCs w:val="21"/>
              </w:rPr>
              <w:t>数量</w:t>
            </w:r>
          </w:p>
        </w:tc>
        <w:tc>
          <w:tcPr>
            <w:tcW w:w="708" w:type="dxa"/>
            <w:tcBorders>
              <w:top w:val="single" w:color="000000" w:sz="4" w:space="0"/>
              <w:left w:val="single" w:color="auto" w:sz="4" w:space="0"/>
              <w:bottom w:val="nil"/>
              <w:right w:val="single" w:color="auto" w:sz="4" w:space="0"/>
            </w:tcBorders>
            <w:shd w:val="clear" w:color="auto" w:fill="FFFFFF"/>
            <w:noWrap/>
            <w:vAlign w:val="center"/>
          </w:tcPr>
          <w:p w14:paraId="6CB4A8D3">
            <w:pPr>
              <w:widowControl/>
              <w:jc w:val="center"/>
              <w:rPr>
                <w:rFonts w:ascii="仿宋" w:hAnsi="仿宋" w:eastAsia="仿宋" w:cs="仿宋"/>
                <w:b/>
                <w:bCs/>
                <w:color w:val="000000"/>
                <w:kern w:val="0"/>
                <w:szCs w:val="21"/>
              </w:rPr>
            </w:pPr>
            <w:r>
              <w:rPr>
                <w:rFonts w:hint="eastAsia" w:ascii="仿宋" w:hAnsi="仿宋" w:eastAsia="仿宋" w:cs="仿宋"/>
                <w:b/>
                <w:bCs/>
                <w:color w:val="000000"/>
                <w:szCs w:val="21"/>
              </w:rPr>
              <w:t>单位</w:t>
            </w:r>
          </w:p>
        </w:tc>
      </w:tr>
      <w:tr w14:paraId="4C14B86D">
        <w:tblPrEx>
          <w:tblCellMar>
            <w:top w:w="0" w:type="dxa"/>
            <w:left w:w="108" w:type="dxa"/>
            <w:bottom w:w="0" w:type="dxa"/>
            <w:right w:w="108" w:type="dxa"/>
          </w:tblCellMar>
        </w:tblPrEx>
        <w:trPr>
          <w:trHeight w:val="418"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49C62">
            <w:pPr>
              <w:widowControl/>
              <w:jc w:val="center"/>
              <w:rPr>
                <w:rFonts w:ascii="仿宋" w:hAnsi="仿宋" w:eastAsia="仿宋" w:cs="仿宋"/>
                <w:color w:val="000000"/>
                <w:szCs w:val="21"/>
              </w:rPr>
            </w:pPr>
            <w:r>
              <w:rPr>
                <w:rFonts w:hint="eastAsia" w:ascii="仿宋" w:hAnsi="仿宋" w:eastAsia="仿宋" w:cs="仿宋"/>
                <w:color w:val="000000"/>
                <w:kern w:val="0"/>
                <w:szCs w:val="21"/>
              </w:rPr>
              <w:t>1</w:t>
            </w:r>
          </w:p>
        </w:tc>
        <w:tc>
          <w:tcPr>
            <w:tcW w:w="73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046F4F0">
            <w:pPr>
              <w:widowControl/>
              <w:jc w:val="center"/>
              <w:rPr>
                <w:rFonts w:ascii="仿宋" w:hAnsi="仿宋" w:eastAsia="仿宋" w:cs="仿宋"/>
                <w:color w:val="000000"/>
                <w:szCs w:val="21"/>
              </w:rPr>
            </w:pPr>
            <w:r>
              <w:rPr>
                <w:rFonts w:hint="eastAsia" w:ascii="仿宋" w:hAnsi="仿宋" w:eastAsia="仿宋" w:cs="仿宋"/>
                <w:color w:val="000000"/>
                <w:kern w:val="0"/>
                <w:szCs w:val="21"/>
              </w:rPr>
              <w:t>教师电钢琴</w:t>
            </w:r>
          </w:p>
        </w:tc>
        <w:tc>
          <w:tcPr>
            <w:tcW w:w="73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812F04">
            <w:pPr>
              <w:widowControl/>
              <w:shd w:val="clear" w:color="auto" w:fill="FFFFFF"/>
              <w:jc w:val="left"/>
              <w:rPr>
                <w:rFonts w:ascii="仿宋" w:hAnsi="仿宋" w:eastAsia="仿宋" w:cs="仿宋"/>
                <w:color w:val="000000"/>
              </w:rPr>
            </w:pPr>
            <w:bookmarkStart w:id="0" w:name="OLE_LINK2"/>
            <w:bookmarkEnd w:id="0"/>
            <w:bookmarkStart w:id="1" w:name="OLE_LINK1"/>
            <w:bookmarkEnd w:id="1"/>
            <w:r>
              <w:rPr>
                <w:rFonts w:hint="eastAsia" w:ascii="仿宋" w:hAnsi="仿宋" w:eastAsia="仿宋" w:cs="仿宋"/>
                <w:color w:val="000000"/>
              </w:rPr>
              <w:t>1、结构特征：小上门木质外壳，滑动键盖，铝合金拉手，折叠谱架，双排钮键侧操控面板。</w:t>
            </w:r>
          </w:p>
          <w:p w14:paraId="73EA78AD">
            <w:pPr>
              <w:widowControl/>
              <w:shd w:val="clear" w:color="auto" w:fill="FFFFFF"/>
              <w:jc w:val="left"/>
              <w:rPr>
                <w:rFonts w:ascii="仿宋" w:hAnsi="仿宋" w:eastAsia="仿宋" w:cs="仿宋"/>
                <w:color w:val="000000"/>
              </w:rPr>
            </w:pPr>
            <w:r>
              <w:rPr>
                <w:rFonts w:hint="eastAsia" w:ascii="仿宋" w:hAnsi="仿宋" w:eastAsia="仿宋" w:cs="仿宋"/>
                <w:color w:val="000000"/>
              </w:rPr>
              <w:t>2、屏幕显示：LED数码管。</w:t>
            </w:r>
          </w:p>
          <w:p w14:paraId="23CAD961">
            <w:pPr>
              <w:widowControl/>
              <w:shd w:val="clear" w:color="auto" w:fill="FFFFFF"/>
              <w:jc w:val="left"/>
              <w:rPr>
                <w:rFonts w:ascii="仿宋" w:hAnsi="仿宋" w:eastAsia="仿宋" w:cs="仿宋"/>
                <w:color w:val="000000"/>
              </w:rPr>
            </w:pPr>
            <w:r>
              <w:rPr>
                <w:rFonts w:hint="eastAsia" w:ascii="仿宋" w:hAnsi="仿宋" w:eastAsia="仿宋" w:cs="仿宋"/>
                <w:color w:val="000000"/>
              </w:rPr>
              <w:t xml:space="preserve">3、键盘：仿击弦结构动态触键感应重锤力度键盘。 </w:t>
            </w:r>
          </w:p>
          <w:p w14:paraId="4EEE766D">
            <w:pPr>
              <w:widowControl/>
              <w:shd w:val="clear" w:color="auto" w:fill="FFFFFF"/>
              <w:jc w:val="left"/>
              <w:rPr>
                <w:rFonts w:ascii="仿宋" w:hAnsi="仿宋" w:eastAsia="仿宋" w:cs="仿宋"/>
                <w:color w:val="000000"/>
              </w:rPr>
            </w:pPr>
            <w:r>
              <w:rPr>
                <w:rFonts w:hint="eastAsia" w:ascii="仿宋" w:hAnsi="仿宋" w:eastAsia="仿宋" w:cs="仿宋"/>
                <w:color w:val="000000"/>
              </w:rPr>
              <w:t>4、复音数：≥256（立体声）</w:t>
            </w:r>
          </w:p>
          <w:p w14:paraId="34EB0735">
            <w:pPr>
              <w:widowControl/>
              <w:shd w:val="clear" w:color="auto" w:fill="FFFFFF"/>
              <w:jc w:val="left"/>
              <w:rPr>
                <w:rFonts w:ascii="仿宋" w:hAnsi="仿宋" w:eastAsia="仿宋" w:cs="仿宋"/>
                <w:color w:val="000000"/>
              </w:rPr>
            </w:pPr>
            <w:r>
              <w:rPr>
                <w:rFonts w:hint="eastAsia" w:ascii="仿宋" w:hAnsi="仿宋" w:eastAsia="仿宋" w:cs="仿宋"/>
                <w:color w:val="000000"/>
              </w:rPr>
              <w:t xml:space="preserve">5、示范曲：≥299首经典示范曲。  </w:t>
            </w:r>
          </w:p>
          <w:p w14:paraId="3AA87D21">
            <w:pPr>
              <w:widowControl/>
              <w:shd w:val="clear" w:color="auto" w:fill="FFFFFF"/>
              <w:jc w:val="left"/>
              <w:rPr>
                <w:rFonts w:ascii="仿宋" w:hAnsi="仿宋" w:eastAsia="仿宋" w:cs="仿宋"/>
                <w:color w:val="000000"/>
              </w:rPr>
            </w:pPr>
            <w:r>
              <w:rPr>
                <w:rFonts w:hint="eastAsia" w:ascii="仿宋" w:hAnsi="仿宋" w:eastAsia="仿宋" w:cs="仿宋"/>
                <w:color w:val="000000"/>
              </w:rPr>
              <w:t xml:space="preserve">6、触键力度：≥5 种力度曲线。 </w:t>
            </w:r>
          </w:p>
          <w:p w14:paraId="31E83CCF">
            <w:pPr>
              <w:widowControl/>
              <w:shd w:val="clear" w:color="auto" w:fill="FFFFFF"/>
              <w:jc w:val="left"/>
              <w:rPr>
                <w:rFonts w:ascii="仿宋" w:hAnsi="仿宋" w:eastAsia="仿宋" w:cs="仿宋"/>
                <w:color w:val="000000"/>
              </w:rPr>
            </w:pPr>
            <w:r>
              <w:rPr>
                <w:rFonts w:hint="eastAsia" w:ascii="仿宋" w:hAnsi="仿宋" w:eastAsia="仿宋" w:cs="仿宋"/>
                <w:color w:val="000000"/>
              </w:rPr>
              <w:t xml:space="preserve">7、音色：≥259种。 </w:t>
            </w:r>
          </w:p>
          <w:p w14:paraId="58442B5D">
            <w:pPr>
              <w:widowControl/>
              <w:shd w:val="clear" w:color="auto" w:fill="FFFFFF"/>
              <w:jc w:val="left"/>
              <w:rPr>
                <w:rFonts w:ascii="仿宋" w:hAnsi="仿宋" w:eastAsia="仿宋" w:cs="仿宋"/>
                <w:color w:val="000000"/>
              </w:rPr>
            </w:pPr>
            <w:r>
              <w:rPr>
                <w:rFonts w:hint="eastAsia" w:ascii="仿宋" w:hAnsi="仿宋" w:eastAsia="仿宋" w:cs="仿宋"/>
                <w:color w:val="000000"/>
              </w:rPr>
              <w:t xml:space="preserve">8、节奏：≥149种。 </w:t>
            </w:r>
          </w:p>
          <w:p w14:paraId="01946865">
            <w:pPr>
              <w:widowControl/>
              <w:shd w:val="clear" w:color="auto" w:fill="FFFFFF"/>
              <w:jc w:val="left"/>
              <w:rPr>
                <w:rFonts w:ascii="仿宋" w:hAnsi="仿宋" w:eastAsia="仿宋" w:cs="仿宋"/>
                <w:color w:val="000000"/>
              </w:rPr>
            </w:pPr>
            <w:r>
              <w:rPr>
                <w:rFonts w:hint="eastAsia" w:ascii="仿宋" w:hAnsi="仿宋" w:eastAsia="仿宋" w:cs="仿宋"/>
                <w:color w:val="000000"/>
              </w:rPr>
              <w:t xml:space="preserve">9、伴奏控制：自动和弦开关，同步启动，开始停止，单曲最大录音22,000 音符。 </w:t>
            </w:r>
          </w:p>
          <w:p w14:paraId="7A316FA0">
            <w:pPr>
              <w:widowControl/>
              <w:shd w:val="clear" w:color="auto" w:fill="FFFFFF"/>
              <w:jc w:val="left"/>
              <w:rPr>
                <w:rFonts w:ascii="仿宋" w:hAnsi="仿宋" w:eastAsia="仿宋" w:cs="仿宋"/>
                <w:color w:val="000000"/>
              </w:rPr>
            </w:pPr>
            <w:r>
              <w:rPr>
                <w:rFonts w:hint="eastAsia" w:ascii="仿宋" w:hAnsi="仿宋" w:eastAsia="仿宋" w:cs="仿宋"/>
                <w:color w:val="000000"/>
              </w:rPr>
              <w:t xml:space="preserve">10、音色控制：大三角钢琴音色，双钢琴，双音色、双键盘，双键盘功能可调分离点。 </w:t>
            </w:r>
          </w:p>
          <w:p w14:paraId="5AF66365">
            <w:pPr>
              <w:widowControl/>
              <w:shd w:val="clear" w:color="auto" w:fill="FFFFFF"/>
              <w:jc w:val="left"/>
              <w:rPr>
                <w:rFonts w:ascii="仿宋" w:hAnsi="仿宋" w:eastAsia="仿宋" w:cs="仿宋"/>
                <w:color w:val="000000"/>
              </w:rPr>
            </w:pPr>
            <w:r>
              <w:rPr>
                <w:rFonts w:hint="eastAsia" w:ascii="仿宋" w:hAnsi="仿宋" w:eastAsia="仿宋" w:cs="仿宋"/>
                <w:color w:val="000000"/>
              </w:rPr>
              <w:t xml:space="preserve">11、双音色：钢琴演奏带弦乐背景音色，用户编辑多重组合音色。 </w:t>
            </w:r>
          </w:p>
          <w:p w14:paraId="2C4B6B1D">
            <w:pPr>
              <w:widowControl/>
              <w:shd w:val="clear" w:color="auto" w:fill="FFFFFF"/>
              <w:jc w:val="left"/>
              <w:rPr>
                <w:rFonts w:ascii="仿宋" w:hAnsi="仿宋" w:eastAsia="仿宋" w:cs="仿宋"/>
                <w:color w:val="000000"/>
              </w:rPr>
            </w:pPr>
            <w:r>
              <w:rPr>
                <w:rFonts w:hint="eastAsia" w:ascii="仿宋" w:hAnsi="仿宋" w:eastAsia="仿宋" w:cs="仿宋"/>
                <w:color w:val="000000"/>
              </w:rPr>
              <w:t xml:space="preserve">12、键盘分离：包含双钢琴、四手联弹、弦乐重奏、管乐合奏、钢琴 + 提琴，吉他 + 提琴演奏，可以实现多重组合。 </w:t>
            </w:r>
          </w:p>
          <w:p w14:paraId="72512A4D">
            <w:pPr>
              <w:widowControl/>
              <w:shd w:val="clear" w:color="auto" w:fill="FFFFFF"/>
              <w:jc w:val="left"/>
              <w:rPr>
                <w:rFonts w:ascii="仿宋" w:hAnsi="仿宋" w:eastAsia="仿宋" w:cs="仿宋"/>
                <w:color w:val="000000"/>
              </w:rPr>
            </w:pPr>
            <w:r>
              <w:rPr>
                <w:rFonts w:hint="eastAsia" w:ascii="仿宋" w:hAnsi="仿宋" w:eastAsia="仿宋" w:cs="仿宋"/>
                <w:color w:val="000000"/>
              </w:rPr>
              <w:t>13、移调：25 档位，（0，-/+12）。</w:t>
            </w:r>
          </w:p>
          <w:p w14:paraId="28AAA18F">
            <w:pPr>
              <w:widowControl/>
              <w:shd w:val="clear" w:color="auto" w:fill="FFFFFF"/>
              <w:jc w:val="left"/>
              <w:rPr>
                <w:rFonts w:ascii="仿宋" w:hAnsi="仿宋" w:eastAsia="仿宋" w:cs="仿宋"/>
                <w:color w:val="000000"/>
              </w:rPr>
            </w:pPr>
            <w:r>
              <w:rPr>
                <w:rFonts w:hint="eastAsia" w:ascii="仿宋" w:hAnsi="仿宋" w:eastAsia="仿宋" w:cs="仿宋"/>
                <w:color w:val="000000"/>
              </w:rPr>
              <w:t xml:space="preserve">14、八度：三个八度移位（-1，0，+1）。 </w:t>
            </w:r>
          </w:p>
          <w:p w14:paraId="661B8319">
            <w:pPr>
              <w:widowControl/>
              <w:shd w:val="clear" w:color="auto" w:fill="FFFFFF"/>
              <w:jc w:val="left"/>
              <w:rPr>
                <w:rFonts w:ascii="仿宋" w:hAnsi="仿宋" w:eastAsia="仿宋" w:cs="仿宋"/>
                <w:color w:val="000000"/>
              </w:rPr>
            </w:pPr>
            <w:r>
              <w:rPr>
                <w:rFonts w:hint="eastAsia" w:ascii="仿宋" w:hAnsi="仿宋" w:eastAsia="仿宋" w:cs="仿宋"/>
                <w:color w:val="000000"/>
              </w:rPr>
              <w:t xml:space="preserve">15、效果功能：64级定量混响、64级定量合唱。 </w:t>
            </w:r>
          </w:p>
          <w:p w14:paraId="3476BBA6">
            <w:pPr>
              <w:widowControl/>
              <w:shd w:val="clear" w:color="auto" w:fill="FFFFFF"/>
              <w:jc w:val="left"/>
              <w:rPr>
                <w:rFonts w:ascii="仿宋" w:hAnsi="仿宋" w:eastAsia="仿宋" w:cs="仿宋"/>
                <w:color w:val="000000"/>
              </w:rPr>
            </w:pPr>
            <w:r>
              <w:rPr>
                <w:rFonts w:hint="eastAsia" w:ascii="仿宋" w:hAnsi="仿宋" w:eastAsia="仿宋" w:cs="仿宋"/>
                <w:color w:val="000000"/>
              </w:rPr>
              <w:t xml:space="preserve">16、节拍器：6种节拍类型， 节拍速度：20-280可调。 </w:t>
            </w:r>
          </w:p>
          <w:p w14:paraId="39D5D20D">
            <w:pPr>
              <w:widowControl/>
              <w:shd w:val="clear" w:color="auto" w:fill="FFFFFF"/>
              <w:jc w:val="left"/>
              <w:rPr>
                <w:rFonts w:ascii="仿宋" w:hAnsi="仿宋" w:eastAsia="仿宋" w:cs="仿宋"/>
                <w:color w:val="000000"/>
              </w:rPr>
            </w:pPr>
            <w:r>
              <w:rPr>
                <w:rFonts w:hint="eastAsia" w:ascii="仿宋" w:hAnsi="仿宋" w:eastAsia="仿宋" w:cs="仿宋"/>
                <w:color w:val="000000"/>
              </w:rPr>
              <w:t>17、踏板功能：仿传统大三角钢琴踏板功能。</w:t>
            </w:r>
          </w:p>
          <w:p w14:paraId="07E346E5">
            <w:pPr>
              <w:widowControl/>
              <w:shd w:val="clear" w:color="auto" w:fill="FFFFFF"/>
              <w:jc w:val="left"/>
              <w:rPr>
                <w:rFonts w:ascii="仿宋" w:hAnsi="仿宋" w:eastAsia="仿宋" w:cs="仿宋"/>
                <w:color w:val="000000"/>
              </w:rPr>
            </w:pPr>
            <w:r>
              <w:rPr>
                <w:rFonts w:hint="eastAsia" w:ascii="仿宋" w:hAnsi="仿宋" w:eastAsia="仿宋" w:cs="仿宋"/>
                <w:color w:val="000000"/>
              </w:rPr>
              <w:t>18、耳机：连接耳机后内置喇叭系统失效，使用主音量设置按钮调整耳机音量。</w:t>
            </w:r>
          </w:p>
          <w:p w14:paraId="531F27AA">
            <w:pPr>
              <w:widowControl/>
              <w:shd w:val="clear" w:color="auto" w:fill="FFFFFF"/>
              <w:jc w:val="left"/>
              <w:rPr>
                <w:rFonts w:ascii="仿宋" w:hAnsi="仿宋" w:eastAsia="仿宋" w:cs="仿宋"/>
                <w:color w:val="000000"/>
              </w:rPr>
            </w:pPr>
            <w:r>
              <w:rPr>
                <w:rFonts w:hint="eastAsia" w:ascii="仿宋" w:hAnsi="仿宋" w:eastAsia="仿宋" w:cs="仿宋"/>
                <w:color w:val="000000"/>
              </w:rPr>
              <w:t>19、双模蓝牙系统：同时支持音频和 MIDI 数据通信功能，通过蓝牙与智能设备连接，既可通过音频传输实现蓝牙音箱功能，又可实现本产品与智能设备的互动（注：需软件支持）。</w:t>
            </w:r>
          </w:p>
          <w:p w14:paraId="08CC9AC3">
            <w:pPr>
              <w:widowControl/>
              <w:shd w:val="clear" w:color="auto" w:fill="FFFFFF"/>
              <w:jc w:val="left"/>
              <w:rPr>
                <w:rFonts w:ascii="仿宋" w:hAnsi="仿宋" w:eastAsia="仿宋" w:cs="仿宋"/>
                <w:color w:val="000000"/>
              </w:rPr>
            </w:pPr>
            <w:r>
              <w:rPr>
                <w:rFonts w:hint="eastAsia" w:ascii="仿宋" w:hAnsi="仿宋" w:eastAsia="仿宋" w:cs="仿宋"/>
                <w:color w:val="000000"/>
              </w:rPr>
              <w:t xml:space="preserve">20、接口：USB MIDI接口，踏板接口，电源接口，耳机插口*2，左/右音频输入*1，左/右音频输出*1。 </w:t>
            </w:r>
          </w:p>
          <w:p w14:paraId="521EB64F">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rPr>
              <w:t xml:space="preserve">21、喇叭功率：≥25W ×2。                                                                                                                                                                                                                                                                                                                                                                                                                                                                     </w:t>
            </w:r>
          </w:p>
        </w:tc>
        <w:tc>
          <w:tcPr>
            <w:tcW w:w="709"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D2CB088">
            <w:pPr>
              <w:widowControl/>
              <w:jc w:val="center"/>
              <w:rPr>
                <w:rFonts w:ascii="仿宋" w:hAnsi="仿宋" w:eastAsia="仿宋" w:cs="仿宋"/>
                <w:color w:val="000000"/>
                <w:szCs w:val="21"/>
              </w:rPr>
            </w:pPr>
            <w:r>
              <w:rPr>
                <w:rFonts w:hint="eastAsia" w:ascii="仿宋" w:hAnsi="仿宋" w:eastAsia="仿宋" w:cs="仿宋"/>
                <w:color w:val="000000"/>
                <w:kern w:val="0"/>
                <w:szCs w:val="21"/>
              </w:rPr>
              <w:t>8</w:t>
            </w:r>
          </w:p>
        </w:tc>
        <w:tc>
          <w:tcPr>
            <w:tcW w:w="708" w:type="dxa"/>
            <w:tcBorders>
              <w:top w:val="single" w:color="000000" w:sz="4" w:space="0"/>
              <w:left w:val="single" w:color="auto" w:sz="4" w:space="0"/>
              <w:bottom w:val="single" w:color="000000" w:sz="4" w:space="0"/>
              <w:right w:val="single" w:color="auto" w:sz="4" w:space="0"/>
            </w:tcBorders>
            <w:shd w:val="clear" w:color="auto" w:fill="FFFFFF"/>
            <w:noWrap/>
            <w:vAlign w:val="center"/>
          </w:tcPr>
          <w:p w14:paraId="09D41E13">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台</w:t>
            </w:r>
          </w:p>
        </w:tc>
      </w:tr>
      <w:tr w14:paraId="519397CA">
        <w:tblPrEx>
          <w:tblCellMar>
            <w:top w:w="0" w:type="dxa"/>
            <w:left w:w="108" w:type="dxa"/>
            <w:bottom w:w="0" w:type="dxa"/>
            <w:right w:w="108" w:type="dxa"/>
          </w:tblCellMar>
        </w:tblPrEx>
        <w:trPr>
          <w:trHeight w:val="990"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8399C">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2</w:t>
            </w:r>
          </w:p>
        </w:tc>
        <w:tc>
          <w:tcPr>
            <w:tcW w:w="73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4A0F223">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教师琴凳</w:t>
            </w:r>
          </w:p>
        </w:tc>
        <w:tc>
          <w:tcPr>
            <w:tcW w:w="73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2BEA2C">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kern w:val="0"/>
                <w:szCs w:val="21"/>
              </w:rPr>
              <w:t>琴凳尺寸:</w:t>
            </w:r>
            <w:r>
              <w:rPr>
                <w:rFonts w:hint="eastAsia" w:ascii="仿宋" w:hAnsi="仿宋" w:eastAsia="仿宋" w:cs="仿宋"/>
                <w:color w:val="000000"/>
              </w:rPr>
              <w:t>≥</w:t>
            </w:r>
            <w:r>
              <w:rPr>
                <w:rFonts w:hint="eastAsia" w:ascii="仿宋" w:hAnsi="仿宋" w:eastAsia="仿宋" w:cs="仿宋"/>
                <w:color w:val="000000"/>
                <w:kern w:val="0"/>
                <w:szCs w:val="21"/>
              </w:rPr>
              <w:t>45*31*47CM；</w:t>
            </w:r>
          </w:p>
          <w:p w14:paraId="438DE378">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kern w:val="0"/>
                <w:szCs w:val="21"/>
              </w:rPr>
              <w:t>凳面:PU革，海绵填充；</w:t>
            </w:r>
          </w:p>
          <w:p w14:paraId="339068FC">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kern w:val="0"/>
                <w:szCs w:val="21"/>
              </w:rPr>
              <w:t>琴腿:板材+实木。</w:t>
            </w:r>
          </w:p>
        </w:tc>
        <w:tc>
          <w:tcPr>
            <w:tcW w:w="709"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390520C">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8</w:t>
            </w:r>
          </w:p>
        </w:tc>
        <w:tc>
          <w:tcPr>
            <w:tcW w:w="708" w:type="dxa"/>
            <w:tcBorders>
              <w:top w:val="single" w:color="000000" w:sz="4" w:space="0"/>
              <w:left w:val="single" w:color="auto" w:sz="4" w:space="0"/>
              <w:bottom w:val="single" w:color="000000" w:sz="4" w:space="0"/>
              <w:right w:val="single" w:color="auto" w:sz="4" w:space="0"/>
            </w:tcBorders>
            <w:shd w:val="clear" w:color="auto" w:fill="FFFFFF"/>
            <w:noWrap/>
            <w:vAlign w:val="center"/>
          </w:tcPr>
          <w:p w14:paraId="4FE1CC09">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张</w:t>
            </w:r>
          </w:p>
        </w:tc>
      </w:tr>
      <w:tr w14:paraId="7788A346">
        <w:tblPrEx>
          <w:tblCellMar>
            <w:top w:w="0" w:type="dxa"/>
            <w:left w:w="108" w:type="dxa"/>
            <w:bottom w:w="0" w:type="dxa"/>
            <w:right w:w="108" w:type="dxa"/>
          </w:tblCellMar>
        </w:tblPrEx>
        <w:trPr>
          <w:trHeight w:val="855"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0D054">
            <w:pPr>
              <w:widowControl/>
              <w:jc w:val="center"/>
              <w:rPr>
                <w:rFonts w:ascii="仿宋" w:hAnsi="仿宋" w:eastAsia="仿宋" w:cs="仿宋"/>
                <w:color w:val="000000"/>
                <w:szCs w:val="21"/>
              </w:rPr>
            </w:pPr>
            <w:r>
              <w:rPr>
                <w:rFonts w:hint="eastAsia" w:ascii="仿宋" w:hAnsi="仿宋" w:eastAsia="仿宋" w:cs="仿宋"/>
                <w:color w:val="000000"/>
                <w:szCs w:val="21"/>
              </w:rPr>
              <w:t>3</w:t>
            </w:r>
          </w:p>
        </w:tc>
        <w:tc>
          <w:tcPr>
            <w:tcW w:w="73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4DE08DF">
            <w:pPr>
              <w:widowControl/>
              <w:jc w:val="center"/>
              <w:rPr>
                <w:rFonts w:ascii="仿宋" w:hAnsi="仿宋" w:eastAsia="仿宋" w:cs="仿宋"/>
                <w:color w:val="000000"/>
                <w:szCs w:val="21"/>
              </w:rPr>
            </w:pPr>
            <w:r>
              <w:rPr>
                <w:rFonts w:hint="eastAsia" w:ascii="仿宋" w:hAnsi="仿宋" w:eastAsia="仿宋" w:cs="仿宋"/>
                <w:color w:val="000000"/>
                <w:kern w:val="0"/>
                <w:szCs w:val="21"/>
              </w:rPr>
              <w:t>学生电钢琴</w:t>
            </w:r>
          </w:p>
        </w:tc>
        <w:tc>
          <w:tcPr>
            <w:tcW w:w="73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45BA84">
            <w:pPr>
              <w:widowControl/>
              <w:shd w:val="clear" w:color="auto" w:fill="FFFFFF"/>
              <w:jc w:val="left"/>
              <w:rPr>
                <w:rFonts w:ascii="仿宋" w:hAnsi="仿宋" w:eastAsia="仿宋" w:cs="仿宋"/>
                <w:color w:val="000000"/>
              </w:rPr>
            </w:pPr>
            <w:r>
              <w:rPr>
                <w:rFonts w:hint="eastAsia" w:ascii="仿宋" w:hAnsi="仿宋" w:eastAsia="仿宋" w:cs="仿宋"/>
                <w:color w:val="000000"/>
              </w:rPr>
              <w:t>1、主机及支架结构为木质外壳，滑动键盖，折叠大谱架。</w:t>
            </w:r>
          </w:p>
          <w:p w14:paraId="0F9675CA">
            <w:pPr>
              <w:widowControl/>
              <w:shd w:val="clear" w:color="auto" w:fill="FFFFFF"/>
              <w:jc w:val="left"/>
              <w:rPr>
                <w:rFonts w:ascii="仿宋" w:hAnsi="仿宋" w:eastAsia="仿宋" w:cs="仿宋"/>
                <w:color w:val="000000"/>
              </w:rPr>
            </w:pPr>
            <w:r>
              <w:rPr>
                <w:rFonts w:hint="eastAsia" w:ascii="仿宋" w:hAnsi="仿宋" w:eastAsia="仿宋" w:cs="仿宋"/>
                <w:color w:val="000000"/>
              </w:rPr>
              <w:t>2、88键重锤力度键盘；</w:t>
            </w:r>
          </w:p>
          <w:p w14:paraId="7CDB067A">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kern w:val="0"/>
                <w:szCs w:val="21"/>
              </w:rPr>
              <w:t>3、音源：DSP音效音源或CF音源或超真实音源；</w:t>
            </w:r>
          </w:p>
          <w:p w14:paraId="034A3599">
            <w:pPr>
              <w:widowControl/>
              <w:shd w:val="clear" w:color="auto" w:fill="FFFFFF"/>
              <w:jc w:val="left"/>
              <w:rPr>
                <w:rFonts w:ascii="仿宋" w:hAnsi="仿宋" w:eastAsia="仿宋" w:cs="仿宋"/>
                <w:color w:val="000000"/>
              </w:rPr>
            </w:pPr>
            <w:r>
              <w:rPr>
                <w:rFonts w:hint="eastAsia" w:ascii="仿宋" w:hAnsi="仿宋" w:eastAsia="仿宋" w:cs="仿宋"/>
                <w:color w:val="000000"/>
              </w:rPr>
              <w:t>4、</w:t>
            </w:r>
            <w:r>
              <w:rPr>
                <w:rFonts w:hint="eastAsia" w:ascii="仿宋" w:hAnsi="仿宋" w:eastAsia="仿宋" w:cs="仿宋"/>
                <w:color w:val="000000"/>
                <w:kern w:val="0"/>
                <w:szCs w:val="21"/>
              </w:rPr>
              <w:t>屏幕显示：LCD显示屏或LED显示屏；</w:t>
            </w:r>
          </w:p>
          <w:p w14:paraId="26272259">
            <w:pPr>
              <w:widowControl/>
              <w:shd w:val="clear" w:color="auto" w:fill="FFFFFF"/>
              <w:jc w:val="left"/>
              <w:rPr>
                <w:rFonts w:ascii="仿宋" w:hAnsi="仿宋" w:eastAsia="仿宋" w:cs="仿宋"/>
                <w:color w:val="000000"/>
              </w:rPr>
            </w:pPr>
            <w:r>
              <w:rPr>
                <w:rFonts w:hint="eastAsia" w:ascii="仿宋" w:hAnsi="仿宋" w:eastAsia="仿宋" w:cs="仿宋"/>
                <w:color w:val="000000"/>
              </w:rPr>
              <w:t>5、录音：多轨录音，音序器功能，录音和播放，单曲最大录音不低于22,000音符；</w:t>
            </w:r>
          </w:p>
          <w:p w14:paraId="1E2A84E3">
            <w:pPr>
              <w:widowControl/>
              <w:shd w:val="clear" w:color="auto" w:fill="FFFFFF"/>
              <w:jc w:val="left"/>
              <w:rPr>
                <w:rFonts w:ascii="仿宋" w:hAnsi="仿宋" w:eastAsia="仿宋" w:cs="仿宋"/>
                <w:color w:val="000000"/>
              </w:rPr>
            </w:pPr>
            <w:r>
              <w:rPr>
                <w:rFonts w:hint="eastAsia" w:ascii="仿宋" w:hAnsi="仿宋" w:eastAsia="仿宋" w:cs="仿宋"/>
                <w:color w:val="000000"/>
              </w:rPr>
              <w:t>6、复音数≥272（立体声）根据偏离程度对应加扣分；示范曲≥120首；5种标准钢琴力度曲线；</w:t>
            </w:r>
          </w:p>
          <w:p w14:paraId="281F1730">
            <w:pPr>
              <w:widowControl/>
              <w:shd w:val="clear" w:color="auto" w:fill="FFFFFF"/>
              <w:jc w:val="left"/>
              <w:rPr>
                <w:rFonts w:ascii="仿宋" w:hAnsi="仿宋" w:eastAsia="仿宋" w:cs="仿宋"/>
                <w:color w:val="000000"/>
              </w:rPr>
            </w:pPr>
            <w:r>
              <w:rPr>
                <w:rFonts w:hint="eastAsia" w:ascii="仿宋" w:hAnsi="仿宋" w:eastAsia="仿宋" w:cs="仿宋"/>
                <w:color w:val="000000"/>
              </w:rPr>
              <w:t>7、音色≥1590种音色,</w:t>
            </w:r>
          </w:p>
          <w:p w14:paraId="005E7ED3">
            <w:pPr>
              <w:widowControl/>
              <w:shd w:val="clear" w:color="auto" w:fill="FFFFFF"/>
              <w:jc w:val="left"/>
              <w:rPr>
                <w:rFonts w:ascii="仿宋" w:hAnsi="仿宋" w:eastAsia="仿宋" w:cs="仿宋"/>
                <w:color w:val="000000"/>
              </w:rPr>
            </w:pPr>
            <w:r>
              <w:rPr>
                <w:rFonts w:hint="eastAsia" w:ascii="仿宋" w:hAnsi="仿宋" w:eastAsia="仿宋" w:cs="仿宋"/>
                <w:color w:val="000000"/>
              </w:rPr>
              <w:t>8、节奏≥328种，示范曲≥320首(乐曲+示范曲)，含25首布格缪勒进阶曲+30首车尼尔钢琴曲+126首拜厄钢琴曲；</w:t>
            </w:r>
          </w:p>
          <w:p w14:paraId="7C064B56">
            <w:pPr>
              <w:widowControl/>
              <w:shd w:val="clear" w:color="auto" w:fill="FFFFFF"/>
              <w:jc w:val="left"/>
              <w:rPr>
                <w:rFonts w:ascii="仿宋" w:hAnsi="仿宋" w:eastAsia="仿宋" w:cs="仿宋"/>
                <w:color w:val="000000"/>
              </w:rPr>
            </w:pPr>
            <w:r>
              <w:rPr>
                <w:rFonts w:hint="eastAsia" w:ascii="仿宋" w:hAnsi="仿宋" w:eastAsia="仿宋" w:cs="仿宋"/>
                <w:color w:val="000000"/>
              </w:rPr>
              <w:t>9、功能：三角大钢琴音色，双钢琴，双音色、双键盘、移调、效果功能、节拍器；仿传统大三角钢琴踏板功能；</w:t>
            </w:r>
          </w:p>
          <w:p w14:paraId="792DC1E1">
            <w:pPr>
              <w:widowControl/>
              <w:shd w:val="clear" w:color="auto" w:fill="FFFFFF"/>
              <w:jc w:val="left"/>
              <w:rPr>
                <w:rFonts w:ascii="仿宋" w:hAnsi="仿宋" w:eastAsia="仿宋" w:cs="仿宋"/>
                <w:color w:val="000000"/>
              </w:rPr>
            </w:pPr>
            <w:r>
              <w:rPr>
                <w:rFonts w:hint="eastAsia" w:ascii="仿宋" w:hAnsi="仿宋" w:eastAsia="仿宋" w:cs="仿宋"/>
                <w:color w:val="000000"/>
              </w:rPr>
              <w:t>10、接口：电源接口,耳机插孔，立体声线路输入/输出；立体声双喇叭音响系统；</w:t>
            </w:r>
          </w:p>
          <w:p w14:paraId="4A892F35">
            <w:pPr>
              <w:widowControl/>
              <w:shd w:val="clear" w:color="auto" w:fill="FFFFFF"/>
              <w:jc w:val="left"/>
              <w:rPr>
                <w:rFonts w:ascii="仿宋" w:hAnsi="仿宋" w:eastAsia="仿宋" w:cs="仿宋"/>
                <w:color w:val="000000"/>
              </w:rPr>
            </w:pPr>
            <w:r>
              <w:rPr>
                <w:rFonts w:hint="eastAsia" w:ascii="仿宋" w:hAnsi="仿宋" w:eastAsia="仿宋" w:cs="仿宋"/>
                <w:color w:val="000000"/>
              </w:rPr>
              <w:t>11、内置式音频蓝牙系统:蓝牙音响功能，可支持带蓝牙功能的手机或者IPAD 直接播放各种格式的音乐文件，实现伴奏扩展、音乐欣赏。</w:t>
            </w:r>
          </w:p>
          <w:p w14:paraId="56F0A8ED">
            <w:pPr>
              <w:widowControl/>
              <w:shd w:val="clear" w:color="auto" w:fill="FFFFFF"/>
              <w:jc w:val="left"/>
              <w:rPr>
                <w:rFonts w:ascii="仿宋" w:hAnsi="仿宋" w:eastAsia="仿宋" w:cs="仿宋"/>
                <w:color w:val="000000"/>
              </w:rPr>
            </w:pPr>
            <w:r>
              <w:rPr>
                <w:rFonts w:hint="eastAsia" w:ascii="仿宋" w:hAnsi="仿宋" w:eastAsia="仿宋" w:cs="仿宋"/>
                <w:color w:val="000000"/>
              </w:rPr>
              <w:t>12、节能设置：可设置关机时间，30分钟、60分钟、90分钟、120分钟、关闭自动关机功能。</w:t>
            </w:r>
          </w:p>
          <w:p w14:paraId="2856C12E">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rPr>
              <w:t xml:space="preserve">13、音色名称符合GB/T 33722-2017中第三章的规定，音准稳定性同一键位音高变化为0，相邻两键偏差≤0.5mm，琴键负荷同一台琴上偏差≤0.2N，全键盘表明最大高度差≤2.0mm,钢琴音色C1~B1≥87dB，单键轻弹与重弹声压级变化≥40dB，延音时间C4~C5在1.0-9.5秒区间。                                                                                                                                                                                                                                                                                                                                                                                                                                                                                                                                                                                                                                               </w:t>
            </w:r>
          </w:p>
        </w:tc>
        <w:tc>
          <w:tcPr>
            <w:tcW w:w="709"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62A092F8">
            <w:pPr>
              <w:widowControl/>
              <w:jc w:val="center"/>
              <w:rPr>
                <w:rFonts w:ascii="仿宋" w:hAnsi="仿宋" w:eastAsia="仿宋" w:cs="仿宋"/>
                <w:color w:val="000000"/>
                <w:szCs w:val="21"/>
              </w:rPr>
            </w:pPr>
            <w:r>
              <w:rPr>
                <w:rFonts w:hint="eastAsia" w:ascii="仿宋" w:hAnsi="仿宋" w:eastAsia="仿宋" w:cs="仿宋"/>
                <w:color w:val="000000"/>
                <w:kern w:val="0"/>
                <w:szCs w:val="21"/>
              </w:rPr>
              <w:t>220</w:t>
            </w:r>
          </w:p>
        </w:tc>
        <w:tc>
          <w:tcPr>
            <w:tcW w:w="708" w:type="dxa"/>
            <w:tcBorders>
              <w:top w:val="single" w:color="000000" w:sz="4" w:space="0"/>
              <w:left w:val="single" w:color="auto" w:sz="4" w:space="0"/>
              <w:bottom w:val="single" w:color="000000" w:sz="4" w:space="0"/>
              <w:right w:val="single" w:color="auto" w:sz="4" w:space="0"/>
            </w:tcBorders>
            <w:shd w:val="clear" w:color="auto" w:fill="FFFFFF"/>
            <w:noWrap/>
            <w:vAlign w:val="center"/>
          </w:tcPr>
          <w:p w14:paraId="001BBB0E">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台</w:t>
            </w:r>
          </w:p>
        </w:tc>
      </w:tr>
      <w:tr w14:paraId="0A563163">
        <w:tblPrEx>
          <w:tblCellMar>
            <w:top w:w="0" w:type="dxa"/>
            <w:left w:w="108" w:type="dxa"/>
            <w:bottom w:w="0" w:type="dxa"/>
            <w:right w:w="108" w:type="dxa"/>
          </w:tblCellMar>
        </w:tblPrEx>
        <w:trPr>
          <w:trHeight w:val="855"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87045F">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4</w:t>
            </w:r>
          </w:p>
        </w:tc>
        <w:tc>
          <w:tcPr>
            <w:tcW w:w="73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ADD216E">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学生琴凳</w:t>
            </w:r>
          </w:p>
        </w:tc>
        <w:tc>
          <w:tcPr>
            <w:tcW w:w="73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89EB3B">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kern w:val="0"/>
                <w:szCs w:val="21"/>
              </w:rPr>
              <w:t>琴凳尺寸</w:t>
            </w:r>
            <w:r>
              <w:rPr>
                <w:rFonts w:hint="eastAsia" w:ascii="仿宋" w:hAnsi="仿宋" w:eastAsia="仿宋" w:cs="仿宋"/>
                <w:b/>
                <w:bCs/>
                <w:color w:val="000000"/>
                <w:kern w:val="0"/>
                <w:szCs w:val="21"/>
              </w:rPr>
              <w:t>:</w:t>
            </w:r>
            <w:r>
              <w:rPr>
                <w:rFonts w:hint="eastAsia" w:ascii="仿宋" w:hAnsi="仿宋" w:eastAsia="仿宋" w:cs="仿宋"/>
                <w:color w:val="000000"/>
              </w:rPr>
              <w:t>≥</w:t>
            </w:r>
            <w:r>
              <w:rPr>
                <w:rFonts w:hint="eastAsia" w:ascii="仿宋" w:hAnsi="仿宋" w:eastAsia="仿宋" w:cs="仿宋"/>
                <w:color w:val="000000"/>
                <w:kern w:val="0"/>
                <w:szCs w:val="21"/>
              </w:rPr>
              <w:t>45*31*47CM；</w:t>
            </w:r>
          </w:p>
          <w:p w14:paraId="48EC1C7D">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kern w:val="0"/>
                <w:szCs w:val="21"/>
              </w:rPr>
              <w:t>凳面:PU革，海绵填充；</w:t>
            </w:r>
          </w:p>
          <w:p w14:paraId="34052FE4">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kern w:val="0"/>
                <w:szCs w:val="21"/>
              </w:rPr>
              <w:t>琴腿:板材+实木。</w:t>
            </w:r>
          </w:p>
        </w:tc>
        <w:tc>
          <w:tcPr>
            <w:tcW w:w="709"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37EA9285">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220</w:t>
            </w:r>
          </w:p>
        </w:tc>
        <w:tc>
          <w:tcPr>
            <w:tcW w:w="708" w:type="dxa"/>
            <w:tcBorders>
              <w:top w:val="single" w:color="000000" w:sz="4" w:space="0"/>
              <w:left w:val="single" w:color="auto" w:sz="4" w:space="0"/>
              <w:bottom w:val="single" w:color="000000" w:sz="4" w:space="0"/>
              <w:right w:val="single" w:color="auto" w:sz="4" w:space="0"/>
            </w:tcBorders>
            <w:shd w:val="clear" w:color="auto" w:fill="FFFFFF"/>
            <w:noWrap/>
            <w:vAlign w:val="center"/>
          </w:tcPr>
          <w:p w14:paraId="6D3490B7">
            <w:pPr>
              <w:widowControl/>
              <w:jc w:val="center"/>
              <w:rPr>
                <w:rFonts w:ascii="仿宋" w:hAnsi="仿宋" w:eastAsia="仿宋" w:cs="仿宋"/>
                <w:color w:val="000000"/>
                <w:kern w:val="0"/>
                <w:szCs w:val="21"/>
              </w:rPr>
            </w:pPr>
            <w:r>
              <w:rPr>
                <w:rFonts w:hint="eastAsia" w:ascii="仿宋" w:hAnsi="仿宋" w:eastAsia="仿宋" w:cs="仿宋"/>
                <w:color w:val="000000"/>
                <w:kern w:val="0"/>
                <w:szCs w:val="21"/>
              </w:rPr>
              <w:t>张</w:t>
            </w:r>
          </w:p>
        </w:tc>
      </w:tr>
      <w:tr w14:paraId="1E9CB4FC">
        <w:tblPrEx>
          <w:tblCellMar>
            <w:top w:w="0" w:type="dxa"/>
            <w:left w:w="108" w:type="dxa"/>
            <w:bottom w:w="0" w:type="dxa"/>
            <w:right w:w="108" w:type="dxa"/>
          </w:tblCellMar>
        </w:tblPrEx>
        <w:trPr>
          <w:trHeight w:val="812" w:hRule="atLeast"/>
        </w:trPr>
        <w:tc>
          <w:tcPr>
            <w:tcW w:w="65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A2400E">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szCs w:val="21"/>
              </w:rPr>
              <w:t>5</w:t>
            </w:r>
          </w:p>
        </w:tc>
        <w:tc>
          <w:tcPr>
            <w:tcW w:w="736"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1AA2A81">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szCs w:val="21"/>
              </w:rPr>
              <w:t>信创版电钢琴教室控制系统</w:t>
            </w:r>
          </w:p>
        </w:tc>
        <w:tc>
          <w:tcPr>
            <w:tcW w:w="73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370F1A">
            <w:pPr>
              <w:numPr>
                <w:ilvl w:val="0"/>
                <w:numId w:val="6"/>
              </w:numPr>
              <w:rPr>
                <w:rFonts w:ascii="仿宋" w:hAnsi="仿宋" w:eastAsia="仿宋" w:cs="仿宋"/>
                <w:color w:val="000000"/>
              </w:rPr>
            </w:pPr>
            <w:r>
              <w:rPr>
                <w:rFonts w:hint="eastAsia" w:ascii="仿宋" w:hAnsi="仿宋" w:eastAsia="仿宋" w:cs="仿宋"/>
                <w:color w:val="000000"/>
              </w:rPr>
              <w:t>系统规格​</w:t>
            </w:r>
          </w:p>
          <w:p w14:paraId="3289E6C2">
            <w:pPr>
              <w:numPr>
                <w:ilvl w:val="0"/>
                <w:numId w:val="7"/>
              </w:numPr>
              <w:rPr>
                <w:rFonts w:ascii="仿宋" w:hAnsi="仿宋" w:eastAsia="仿宋" w:cs="仿宋"/>
                <w:color w:val="000000"/>
              </w:rPr>
            </w:pPr>
            <w:r>
              <w:rPr>
                <w:rFonts w:hint="eastAsia" w:ascii="仿宋" w:hAnsi="仿宋" w:eastAsia="仿宋" w:cs="仿宋"/>
                <w:color w:val="000000"/>
              </w:rPr>
              <w:t>积极响应国家信创战略，嵌入银河麒麟以及WIN11操作系统，全面适配国产硬件，保障系统稳定运行。</w:t>
            </w:r>
          </w:p>
          <w:p w14:paraId="40EF3D68">
            <w:pPr>
              <w:numPr>
                <w:ilvl w:val="0"/>
                <w:numId w:val="7"/>
              </w:numPr>
              <w:rPr>
                <w:rFonts w:ascii="仿宋" w:hAnsi="仿宋" w:eastAsia="仿宋" w:cs="仿宋"/>
                <w:color w:val="000000"/>
              </w:rPr>
            </w:pPr>
            <w:r>
              <w:rPr>
                <w:rFonts w:hint="eastAsia" w:ascii="仿宋" w:hAnsi="仿宋" w:eastAsia="仿宋" w:cs="仿宋"/>
                <w:color w:val="000000"/>
              </w:rPr>
              <w:t>积极响应国家信创战略，适配搭载国产C86架构的</w:t>
            </w:r>
            <w:r>
              <w:rPr>
                <w:rFonts w:hint="eastAsia" w:ascii="仿宋" w:hAnsi="仿宋" w:eastAsia="仿宋" w:cs="仿宋"/>
                <w:color w:val="000000"/>
                <w:kern w:val="0"/>
                <w:szCs w:val="21"/>
              </w:rPr>
              <w:t>CPU以</w:t>
            </w:r>
            <w:r>
              <w:rPr>
                <w:rFonts w:hint="eastAsia" w:ascii="仿宋" w:hAnsi="仿宋" w:eastAsia="仿宋" w:cs="仿宋"/>
                <w:color w:val="000000"/>
              </w:rPr>
              <w:t>及搭载X86架构的I3 CPU电脑，全面适配国产硬件，保障系统稳定运行。</w:t>
            </w:r>
          </w:p>
          <w:p w14:paraId="4FBF28CD">
            <w:pPr>
              <w:numPr>
                <w:ilvl w:val="0"/>
                <w:numId w:val="7"/>
              </w:numPr>
              <w:rPr>
                <w:rFonts w:ascii="仿宋" w:hAnsi="仿宋" w:eastAsia="仿宋" w:cs="仿宋"/>
                <w:color w:val="000000"/>
              </w:rPr>
            </w:pPr>
            <w:r>
              <w:rPr>
                <w:rFonts w:hint="eastAsia" w:ascii="仿宋" w:hAnsi="仿宋" w:eastAsia="仿宋" w:cs="仿宋"/>
                <w:color w:val="000000"/>
              </w:rPr>
              <w:t>安装软件后通过计算机网卡匹配网络IP地址连接数字音频控制器，免驱动程序安装，不占用计算机USB接口。</w:t>
            </w:r>
          </w:p>
          <w:p w14:paraId="501AFCD2">
            <w:pPr>
              <w:rPr>
                <w:rFonts w:ascii="仿宋" w:hAnsi="仿宋" w:eastAsia="仿宋" w:cs="仿宋"/>
                <w:color w:val="000000"/>
              </w:rPr>
            </w:pPr>
            <w:r>
              <w:rPr>
                <w:rFonts w:hint="eastAsia" w:ascii="仿宋" w:hAnsi="仿宋" w:eastAsia="仿宋" w:cs="仿宋"/>
                <w:color w:val="000000"/>
              </w:rPr>
              <w:t>4、具有启动终端快捷键，可同时将所有终端及数字音频控制器热启动；具有一键全清快捷键，可对多个终端的呼叫、示范、监听功能一键清除。</w:t>
            </w:r>
          </w:p>
          <w:p w14:paraId="3F8FD079">
            <w:pPr>
              <w:rPr>
                <w:rFonts w:ascii="仿宋" w:hAnsi="仿宋" w:eastAsia="仿宋" w:cs="仿宋"/>
                <w:color w:val="000000"/>
              </w:rPr>
            </w:pPr>
            <w:r>
              <w:rPr>
                <w:rFonts w:hint="eastAsia" w:ascii="仿宋" w:hAnsi="仿宋" w:eastAsia="仿宋" w:cs="仿宋"/>
                <w:color w:val="000000"/>
              </w:rPr>
              <w:t>5、内置双通道调音台，可以单独调节耳机及麦克风主音量，并具有默认音量还原按键。</w:t>
            </w:r>
          </w:p>
          <w:p w14:paraId="3A2A912C">
            <w:pPr>
              <w:rPr>
                <w:rFonts w:ascii="仿宋" w:hAnsi="仿宋" w:eastAsia="仿宋" w:cs="仿宋"/>
                <w:color w:val="000000"/>
              </w:rPr>
            </w:pPr>
            <w:r>
              <w:rPr>
                <w:rFonts w:hint="eastAsia" w:ascii="仿宋" w:hAnsi="仿宋" w:eastAsia="仿宋" w:cs="仿宋"/>
                <w:color w:val="000000"/>
                <w:szCs w:val="21"/>
              </w:rPr>
              <w:t>6、</w:t>
            </w:r>
            <w:r>
              <w:rPr>
                <w:rFonts w:hint="eastAsia" w:ascii="仿宋" w:hAnsi="仿宋" w:eastAsia="仿宋" w:cs="仿宋"/>
                <w:color w:val="000000"/>
              </w:rPr>
              <w:t>具有三模式计时器插件，可以显示时间、秒表、倒计时三种不同信息。</w:t>
            </w:r>
          </w:p>
          <w:p w14:paraId="14F97FCA">
            <w:pPr>
              <w:rPr>
                <w:rFonts w:ascii="仿宋" w:hAnsi="仿宋" w:eastAsia="仿宋" w:cs="仿宋"/>
                <w:color w:val="000000"/>
              </w:rPr>
            </w:pPr>
            <w:r>
              <w:rPr>
                <w:rFonts w:hint="eastAsia" w:ascii="仿宋" w:hAnsi="仿宋" w:eastAsia="仿宋" w:cs="仿宋"/>
                <w:color w:val="000000"/>
                <w:szCs w:val="21"/>
              </w:rPr>
              <w:t>7、</w:t>
            </w:r>
            <w:r>
              <w:rPr>
                <w:rFonts w:hint="eastAsia" w:ascii="仿宋" w:hAnsi="仿宋" w:eastAsia="仿宋" w:cs="仿宋"/>
                <w:color w:val="000000"/>
              </w:rPr>
              <w:t>倒计时插件可设置倒计时时长，结束时系统发出计时完成提示铃音，插件具有倒计时暂停功能。</w:t>
            </w:r>
          </w:p>
          <w:p w14:paraId="49334F3B">
            <w:pPr>
              <w:rPr>
                <w:rFonts w:ascii="仿宋" w:hAnsi="仿宋" w:eastAsia="仿宋" w:cs="仿宋"/>
                <w:color w:val="000000"/>
              </w:rPr>
            </w:pPr>
            <w:r>
              <w:rPr>
                <w:rFonts w:hint="eastAsia" w:ascii="仿宋" w:hAnsi="仿宋" w:eastAsia="仿宋" w:cs="仿宋"/>
                <w:color w:val="000000"/>
              </w:rPr>
              <w:t>8、终端故障提示功能，当有学生终端掉线或故障，软件自动提示发生故障的位置，在信息状态窗口显示故障终端的学生姓名，并发出终端故障报警铃音。</w:t>
            </w:r>
          </w:p>
          <w:p w14:paraId="6AD78577">
            <w:pPr>
              <w:rPr>
                <w:rFonts w:ascii="仿宋" w:hAnsi="仿宋" w:eastAsia="仿宋" w:cs="仿宋"/>
                <w:color w:val="000000"/>
              </w:rPr>
            </w:pPr>
            <w:r>
              <w:rPr>
                <w:rFonts w:hint="eastAsia" w:ascii="仿宋" w:hAnsi="仿宋" w:eastAsia="仿宋" w:cs="仿宋"/>
                <w:color w:val="000000"/>
              </w:rPr>
              <w:t>9、</w:t>
            </w:r>
            <w:r>
              <w:rPr>
                <w:rFonts w:hint="eastAsia" w:ascii="仿宋" w:hAnsi="仿宋" w:eastAsia="仿宋" w:cs="仿宋"/>
                <w:color w:val="000000"/>
                <w:szCs w:val="21"/>
                <w:lang w:val="zh-CN"/>
              </w:rPr>
              <w:t>▲</w:t>
            </w:r>
            <w:r>
              <w:rPr>
                <w:rFonts w:hint="eastAsia" w:ascii="仿宋" w:hAnsi="仿宋" w:eastAsia="仿宋" w:cs="仿宋"/>
                <w:color w:val="000000"/>
              </w:rPr>
              <w:t>运行设备时必须插入专用系统运行加密狗，运行过程中拔掉加密狗，系统出现警告提示，确保信息的本地化部署，避免个人信息泄露风险。（提供功能页面截图加盖生产厂家公章加以佐证）</w:t>
            </w:r>
          </w:p>
          <w:p w14:paraId="4B37637C">
            <w:pPr>
              <w:rPr>
                <w:rFonts w:ascii="仿宋" w:hAnsi="仿宋" w:eastAsia="仿宋" w:cs="仿宋"/>
                <w:color w:val="000000"/>
              </w:rPr>
            </w:pPr>
            <w:r>
              <w:rPr>
                <w:rFonts w:hint="eastAsia" w:ascii="仿宋" w:hAnsi="仿宋" w:eastAsia="仿宋" w:cs="仿宋"/>
                <w:color w:val="000000"/>
              </w:rPr>
              <w:t>二、基础教学</w:t>
            </w:r>
          </w:p>
          <w:p w14:paraId="77B8AC51">
            <w:pPr>
              <w:numPr>
                <w:ilvl w:val="0"/>
                <w:numId w:val="8"/>
              </w:numPr>
              <w:rPr>
                <w:rFonts w:ascii="仿宋" w:hAnsi="仿宋" w:eastAsia="仿宋" w:cs="仿宋"/>
                <w:color w:val="000000"/>
              </w:rPr>
            </w:pPr>
            <w:r>
              <w:rPr>
                <w:rFonts w:hint="eastAsia" w:ascii="仿宋" w:hAnsi="仿宋" w:eastAsia="仿宋" w:cs="仿宋"/>
                <w:color w:val="000000"/>
              </w:rPr>
              <w:t>系统界面主显示区域为学生端座次监视区域，该区域显示教室内所有学生端，并显示自定义学生端布局、大小，可以监视学生端的运行状态，如呼叫、示范、通话、监听、掉线等状态，该区域可以自定义背景，用户选择个性化图片作为该区域背景。</w:t>
            </w:r>
          </w:p>
          <w:p w14:paraId="4A00EEF3">
            <w:pPr>
              <w:numPr>
                <w:ilvl w:val="0"/>
                <w:numId w:val="8"/>
              </w:numPr>
              <w:rPr>
                <w:rFonts w:ascii="仿宋" w:hAnsi="仿宋" w:eastAsia="仿宋" w:cs="仿宋"/>
                <w:color w:val="000000"/>
              </w:rPr>
            </w:pPr>
            <w:r>
              <w:rPr>
                <w:rFonts w:hint="eastAsia" w:ascii="仿宋" w:hAnsi="仿宋" w:eastAsia="仿宋" w:cs="仿宋"/>
                <w:color w:val="000000"/>
              </w:rPr>
              <w:t>授课、分组授课功能：屏蔽学生琴信号、示范、通话、呼叫应答、广播，教师可一对广授课，并可实现小组授课、示范等功能。可根据教学需求进行一人和多人示范从而实现小组示范功能，同时学生可与教师组成两人或者多人合奏合唱以满足不同的教学需求；教师可以选择任意监听学生弹琴和说话，也可以任意选择与任何一个学生通话而不影响其他同学；</w:t>
            </w:r>
          </w:p>
          <w:p w14:paraId="70A83E88">
            <w:pPr>
              <w:numPr>
                <w:ilvl w:val="0"/>
                <w:numId w:val="8"/>
              </w:numPr>
              <w:rPr>
                <w:rFonts w:ascii="仿宋" w:hAnsi="仿宋" w:eastAsia="仿宋" w:cs="仿宋"/>
                <w:color w:val="000000"/>
              </w:rPr>
            </w:pPr>
            <w:r>
              <w:rPr>
                <w:rFonts w:hint="eastAsia" w:ascii="仿宋" w:hAnsi="仿宋" w:eastAsia="仿宋" w:cs="仿宋"/>
                <w:color w:val="000000"/>
              </w:rPr>
              <w:t>自习、分组自习功能：监听、通话、呼叫应答，教师可一对一授课，并可实现小组授课，小班管理等功能。教师可以选择与任意一名及任意一组学生通话不干扰其他学生，可选择监听任意一</w:t>
            </w:r>
            <w:r>
              <w:rPr>
                <w:rFonts w:hint="eastAsia" w:ascii="仿宋" w:hAnsi="仿宋" w:eastAsia="仿宋" w:cs="仿宋"/>
                <w:color w:val="000000"/>
                <w:lang w:val="en-US" w:eastAsia="zh-CN"/>
              </w:rPr>
              <w:t>名</w:t>
            </w:r>
            <w:r>
              <w:rPr>
                <w:rFonts w:hint="eastAsia" w:ascii="仿宋" w:hAnsi="仿宋" w:eastAsia="仿宋" w:cs="仿宋"/>
                <w:color w:val="000000"/>
              </w:rPr>
              <w:t>学生和任意一组学生从而实现教师一对一及一对多自习辅导；教师可将任意两个以上学生单元分为一组而实现小班辅导管理等功能；</w:t>
            </w:r>
          </w:p>
          <w:p w14:paraId="1F17E710">
            <w:pPr>
              <w:numPr>
                <w:ilvl w:val="0"/>
                <w:numId w:val="8"/>
              </w:numPr>
              <w:rPr>
                <w:rFonts w:ascii="仿宋" w:hAnsi="仿宋" w:eastAsia="仿宋" w:cs="仿宋"/>
                <w:color w:val="000000"/>
              </w:rPr>
            </w:pPr>
            <w:r>
              <w:rPr>
                <w:rFonts w:hint="eastAsia" w:ascii="仿宋" w:hAnsi="仿宋" w:eastAsia="仿宋" w:cs="仿宋"/>
                <w:color w:val="000000"/>
              </w:rPr>
              <w:t>主页面嵌入节奏训练插件，可以选择0、2、3、4、6、8拍子节拍，40-208拍/分钟可调，具有强弱音区分及节奏指示灯，插件可以在屏幕主页范围内任意拖动。</w:t>
            </w:r>
          </w:p>
          <w:p w14:paraId="63814D8A">
            <w:pPr>
              <w:numPr>
                <w:ilvl w:val="0"/>
                <w:numId w:val="8"/>
              </w:numPr>
              <w:rPr>
                <w:rFonts w:ascii="仿宋" w:hAnsi="仿宋" w:eastAsia="仿宋" w:cs="仿宋"/>
                <w:color w:val="000000"/>
              </w:rPr>
            </w:pPr>
            <w:r>
              <w:rPr>
                <w:rFonts w:hint="eastAsia" w:ascii="仿宋" w:hAnsi="仿宋" w:eastAsia="仿宋" w:cs="仿宋"/>
                <w:color w:val="000000"/>
              </w:rPr>
              <w:t>学生锁定功能，在授课模式下点击按键可锁定学生输入设备，在此模式下教师可指定某个/组学生示范，学生锁定按键设置在教学主页面显著位置。</w:t>
            </w:r>
          </w:p>
          <w:p w14:paraId="00C1C0DD">
            <w:pPr>
              <w:numPr>
                <w:ilvl w:val="0"/>
                <w:numId w:val="8"/>
              </w:numPr>
              <w:rPr>
                <w:rFonts w:ascii="仿宋" w:hAnsi="仿宋" w:eastAsia="仿宋" w:cs="仿宋"/>
                <w:color w:val="000000"/>
              </w:rPr>
            </w:pPr>
            <w:r>
              <w:rPr>
                <w:rFonts w:hint="eastAsia" w:ascii="仿宋" w:hAnsi="仿宋" w:eastAsia="仿宋" w:cs="仿宋"/>
                <w:color w:val="000000"/>
              </w:rPr>
              <w:t>内置教学笔记插件，无需用户指定文件名，输入笔记前10个字符作为教学笔记的标题，自动储存、自动加载教学笔记。</w:t>
            </w:r>
          </w:p>
          <w:p w14:paraId="22855A64">
            <w:pPr>
              <w:rPr>
                <w:rFonts w:ascii="仿宋" w:hAnsi="仿宋" w:eastAsia="仿宋" w:cs="仿宋"/>
                <w:color w:val="000000"/>
              </w:rPr>
            </w:pPr>
            <w:r>
              <w:rPr>
                <w:rFonts w:hint="eastAsia" w:ascii="仿宋" w:hAnsi="仿宋" w:eastAsia="仿宋" w:cs="仿宋"/>
                <w:color w:val="000000"/>
              </w:rPr>
              <w:t>三、自定义教室</w:t>
            </w:r>
          </w:p>
          <w:p w14:paraId="39A91AAE">
            <w:pPr>
              <w:rPr>
                <w:rFonts w:ascii="仿宋" w:hAnsi="仿宋" w:eastAsia="仿宋" w:cs="仿宋"/>
                <w:color w:val="000000"/>
              </w:rPr>
            </w:pPr>
            <w:r>
              <w:rPr>
                <w:rFonts w:hint="eastAsia" w:ascii="仿宋" w:hAnsi="仿宋" w:eastAsia="仿宋" w:cs="仿宋"/>
                <w:color w:val="000000"/>
                <w:szCs w:val="21"/>
              </w:rPr>
              <w:t>1、</w:t>
            </w:r>
            <w:r>
              <w:rPr>
                <w:rFonts w:hint="eastAsia" w:ascii="仿宋" w:hAnsi="仿宋" w:eastAsia="仿宋" w:cs="仿宋"/>
                <w:color w:val="000000"/>
              </w:rPr>
              <w:t>编辑教室设有对齐到网络及自动调整大小按键，学生端可以自动网格对齐并自动调整终端大小，点击按键可以根据当前屏幕大小及学生数量自动对其所有学生端的位置以及终端显示大小。</w:t>
            </w:r>
          </w:p>
          <w:p w14:paraId="08261A76">
            <w:pPr>
              <w:rPr>
                <w:rFonts w:ascii="仿宋" w:hAnsi="仿宋" w:eastAsia="仿宋" w:cs="仿宋"/>
                <w:color w:val="000000"/>
              </w:rPr>
            </w:pPr>
            <w:r>
              <w:rPr>
                <w:rFonts w:hint="eastAsia" w:ascii="仿宋" w:hAnsi="仿宋" w:eastAsia="仿宋" w:cs="仿宋"/>
                <w:color w:val="000000"/>
              </w:rPr>
              <w:t>2、可以设任意终端为教师，任意两个以上学生端分组。</w:t>
            </w:r>
          </w:p>
          <w:p w14:paraId="2B6BABFA">
            <w:pPr>
              <w:rPr>
                <w:rFonts w:ascii="仿宋" w:hAnsi="仿宋" w:eastAsia="仿宋" w:cs="仿宋"/>
                <w:color w:val="000000"/>
              </w:rPr>
            </w:pPr>
            <w:r>
              <w:rPr>
                <w:rFonts w:hint="eastAsia" w:ascii="仿宋" w:hAnsi="仿宋" w:eastAsia="仿宋" w:cs="仿宋"/>
                <w:color w:val="000000"/>
              </w:rPr>
              <w:t>3、可以为不同班级编辑修改对应的学生姓名，调整教室布局，方便教师管理不同的班级及学生；可以任意新增、重命名、删除班级信息；</w:t>
            </w:r>
          </w:p>
          <w:p w14:paraId="49BB0E77">
            <w:pPr>
              <w:rPr>
                <w:rFonts w:ascii="仿宋" w:hAnsi="仿宋" w:eastAsia="仿宋" w:cs="仿宋"/>
                <w:color w:val="000000"/>
              </w:rPr>
            </w:pPr>
            <w:r>
              <w:rPr>
                <w:rFonts w:hint="eastAsia" w:ascii="仿宋" w:hAnsi="仿宋" w:eastAsia="仿宋" w:cs="仿宋"/>
                <w:color w:val="000000"/>
                <w:szCs w:val="21"/>
              </w:rPr>
              <w:t>4、</w:t>
            </w:r>
            <w:r>
              <w:rPr>
                <w:rFonts w:hint="eastAsia" w:ascii="仿宋" w:hAnsi="仿宋" w:eastAsia="仿宋" w:cs="仿宋"/>
                <w:color w:val="000000"/>
              </w:rPr>
              <w:t>系统支持编辑任意学生的性别，编辑完成后，主页面学生端的头像会根据学生性别自动替换为对应的性别头像，使学生信息展示更加直观明了，方便教师快速识别学生，提升教学互动的针对性。</w:t>
            </w:r>
          </w:p>
          <w:p w14:paraId="47A9DDE5">
            <w:pPr>
              <w:rPr>
                <w:rFonts w:ascii="仿宋" w:hAnsi="仿宋" w:eastAsia="仿宋" w:cs="仿宋"/>
                <w:color w:val="000000"/>
              </w:rPr>
            </w:pPr>
            <w:r>
              <w:rPr>
                <w:rFonts w:hint="eastAsia" w:ascii="仿宋" w:hAnsi="仿宋" w:eastAsia="仿宋" w:cs="仿宋"/>
                <w:color w:val="000000"/>
                <w:szCs w:val="21"/>
              </w:rPr>
              <w:t>5、</w:t>
            </w:r>
            <w:r>
              <w:rPr>
                <w:rFonts w:hint="eastAsia" w:ascii="仿宋" w:hAnsi="仿宋" w:eastAsia="仿宋" w:cs="仿宋"/>
                <w:color w:val="000000"/>
              </w:rPr>
              <w:t>更换主题功能：系统软件自带≥2种不同风格主题UI，教师可以在多种主题UI间任意转换，转换后的系统软件可以呈现不同显示风格。</w:t>
            </w:r>
          </w:p>
          <w:p w14:paraId="0BB6AB83">
            <w:pPr>
              <w:rPr>
                <w:rFonts w:ascii="仿宋" w:hAnsi="仿宋" w:eastAsia="仿宋" w:cs="仿宋"/>
                <w:color w:val="000000"/>
                <w:kern w:val="0"/>
                <w:szCs w:val="21"/>
              </w:rPr>
            </w:pPr>
            <w:r>
              <w:rPr>
                <w:rFonts w:hint="eastAsia" w:ascii="仿宋" w:hAnsi="仿宋" w:eastAsia="仿宋" w:cs="仿宋"/>
                <w:color w:val="000000"/>
                <w:szCs w:val="21"/>
              </w:rPr>
              <w:t>6、</w:t>
            </w:r>
            <w:r>
              <w:rPr>
                <w:rFonts w:hint="eastAsia" w:ascii="仿宋" w:hAnsi="仿宋" w:eastAsia="仿宋" w:cs="仿宋"/>
                <w:color w:val="000000"/>
              </w:rPr>
              <w:t>班级切换功能，可分别储存不同班级的基础信息，班级基础信息包括学生姓名、性别、教室个性化布局、终端尺寸，系统支持不同班级信息间任意切换，方便不同班级使用该教室。</w:t>
            </w:r>
          </w:p>
        </w:tc>
        <w:tc>
          <w:tcPr>
            <w:tcW w:w="709"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156FF1F">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kern w:val="0"/>
                <w:szCs w:val="21"/>
              </w:rPr>
              <w:t>8</w:t>
            </w:r>
          </w:p>
        </w:tc>
        <w:tc>
          <w:tcPr>
            <w:tcW w:w="708" w:type="dxa"/>
            <w:tcBorders>
              <w:top w:val="single" w:color="000000" w:sz="4" w:space="0"/>
              <w:left w:val="single" w:color="auto" w:sz="4" w:space="0"/>
              <w:bottom w:val="single" w:color="000000" w:sz="4" w:space="0"/>
              <w:right w:val="single" w:color="auto" w:sz="4" w:space="0"/>
            </w:tcBorders>
            <w:shd w:val="clear" w:color="auto" w:fill="FFFFFF"/>
            <w:noWrap/>
            <w:vAlign w:val="center"/>
          </w:tcPr>
          <w:p w14:paraId="49A379FF">
            <w:pPr>
              <w:widowControl/>
              <w:shd w:val="clear" w:color="auto" w:fill="FFFFFF"/>
              <w:jc w:val="center"/>
              <w:rPr>
                <w:rFonts w:ascii="仿宋" w:hAnsi="仿宋" w:eastAsia="仿宋" w:cs="仿宋"/>
                <w:color w:val="000000"/>
                <w:kern w:val="0"/>
                <w:szCs w:val="21"/>
              </w:rPr>
            </w:pPr>
            <w:r>
              <w:rPr>
                <w:rFonts w:hint="eastAsia" w:ascii="仿宋" w:hAnsi="仿宋" w:eastAsia="仿宋" w:cs="仿宋"/>
                <w:color w:val="000000"/>
                <w:kern w:val="0"/>
                <w:szCs w:val="21"/>
              </w:rPr>
              <w:t>套</w:t>
            </w:r>
          </w:p>
        </w:tc>
      </w:tr>
      <w:tr w14:paraId="1818155D">
        <w:tblPrEx>
          <w:tblCellMar>
            <w:top w:w="0" w:type="dxa"/>
            <w:left w:w="108" w:type="dxa"/>
            <w:bottom w:w="0" w:type="dxa"/>
            <w:right w:w="108" w:type="dxa"/>
          </w:tblCellMar>
        </w:tblPrEx>
        <w:trPr>
          <w:trHeight w:val="1339"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012AF">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szCs w:val="21"/>
              </w:rPr>
              <w:t>6</w:t>
            </w:r>
          </w:p>
        </w:tc>
        <w:tc>
          <w:tcPr>
            <w:tcW w:w="73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4C24CEC">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rPr>
              <w:t>数据交互中心管理器</w:t>
            </w:r>
          </w:p>
        </w:tc>
        <w:tc>
          <w:tcPr>
            <w:tcW w:w="73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8CB891">
            <w:pPr>
              <w:numPr>
                <w:ilvl w:val="0"/>
                <w:numId w:val="9"/>
              </w:numPr>
              <w:rPr>
                <w:rFonts w:ascii="仿宋" w:hAnsi="仿宋" w:eastAsia="仿宋" w:cs="仿宋"/>
                <w:color w:val="000000"/>
                <w:kern w:val="0"/>
                <w:szCs w:val="21"/>
              </w:rPr>
            </w:pPr>
            <w:r>
              <w:rPr>
                <w:rFonts w:hint="eastAsia" w:ascii="仿宋" w:hAnsi="仿宋" w:eastAsia="仿宋" w:cs="仿宋"/>
                <w:color w:val="000000"/>
              </w:rPr>
              <w:t>系统兼容性：设备可直连计算机，适用WIN11以及银河麒麟操作系统。</w:t>
            </w:r>
            <w:r>
              <w:rPr>
                <w:rFonts w:hint="eastAsia" w:ascii="仿宋" w:hAnsi="仿宋" w:eastAsia="仿宋" w:cs="仿宋"/>
                <w:color w:val="000000"/>
              </w:rPr>
              <w:br w:type="textWrapping"/>
            </w:r>
            <w:r>
              <w:rPr>
                <w:rFonts w:hint="eastAsia" w:ascii="仿宋" w:hAnsi="仿宋" w:eastAsia="仿宋" w:cs="仿宋"/>
                <w:color w:val="000000"/>
              </w:rPr>
              <w:t>2、芯片架构与处理器：采用高速低功</w:t>
            </w:r>
            <w:r>
              <w:rPr>
                <w:rFonts w:hint="eastAsia" w:ascii="仿宋" w:hAnsi="仿宋" w:eastAsia="仿宋" w:cs="仿宋"/>
                <w:color w:val="000000"/>
                <w:kern w:val="0"/>
                <w:szCs w:val="21"/>
              </w:rPr>
              <w:t>耗FPGA SOC</w:t>
            </w:r>
            <w:r>
              <w:rPr>
                <w:rFonts w:hint="eastAsia" w:ascii="仿宋" w:hAnsi="仿宋" w:eastAsia="仿宋" w:cs="仿宋"/>
                <w:color w:val="000000"/>
              </w:rPr>
              <w:t>芯片架构，</w:t>
            </w:r>
            <w:r>
              <w:rPr>
                <w:rFonts w:hint="eastAsia" w:ascii="仿宋" w:hAnsi="仿宋" w:eastAsia="仿宋" w:cs="仿宋"/>
                <w:color w:val="000000"/>
                <w:kern w:val="0"/>
                <w:szCs w:val="21"/>
              </w:rPr>
              <w:t>选用双核ARM Cortex-A9</w:t>
            </w:r>
            <w:r>
              <w:rPr>
                <w:rFonts w:hint="eastAsia" w:ascii="仿宋" w:hAnsi="仿宋" w:eastAsia="仿宋" w:cs="仿宋"/>
                <w:color w:val="000000"/>
              </w:rPr>
              <w:t>标准的可编程处理器，最高主频可达1GHz。</w:t>
            </w:r>
            <w:r>
              <w:rPr>
                <w:rFonts w:hint="eastAsia" w:ascii="仿宋" w:hAnsi="仿宋" w:eastAsia="仿宋" w:cs="仿宋"/>
                <w:color w:val="000000"/>
              </w:rPr>
              <w:br w:type="textWrapping"/>
            </w:r>
            <w:r>
              <w:rPr>
                <w:rFonts w:hint="eastAsia" w:ascii="仿宋" w:hAnsi="仿宋" w:eastAsia="仿宋" w:cs="仿宋"/>
                <w:color w:val="000000"/>
              </w:rPr>
              <w:t>3、存储配置：配备高速DDR3和高速</w:t>
            </w:r>
            <w:r>
              <w:rPr>
                <w:rFonts w:hint="eastAsia" w:ascii="仿宋" w:hAnsi="仿宋" w:eastAsia="仿宋" w:cs="仿宋"/>
                <w:color w:val="000000"/>
                <w:kern w:val="0"/>
                <w:szCs w:val="21"/>
              </w:rPr>
              <w:t>NOR Fl</w:t>
            </w:r>
            <w:r>
              <w:rPr>
                <w:rFonts w:hint="eastAsia" w:ascii="仿宋" w:hAnsi="仿宋" w:eastAsia="仿宋" w:cs="仿宋"/>
                <w:color w:val="000000"/>
              </w:rPr>
              <w:t>ash 256M存储，为设备的数据处理和存储提供充足空间。</w:t>
            </w:r>
            <w:r>
              <w:rPr>
                <w:rFonts w:hint="eastAsia" w:ascii="仿宋" w:hAnsi="仿宋" w:eastAsia="仿宋" w:cs="仿宋"/>
                <w:color w:val="000000"/>
              </w:rPr>
              <w:br w:type="textWrapping"/>
            </w:r>
            <w:r>
              <w:rPr>
                <w:rFonts w:hint="eastAsia" w:ascii="仿宋" w:hAnsi="仿宋" w:eastAsia="仿宋" w:cs="仿宋"/>
                <w:color w:val="000000"/>
              </w:rPr>
              <w:t>4、数据交互中心管理器系统：主芯片嵌入具有自主知识产权的嵌入式控制系统，保障了设备运行</w:t>
            </w:r>
            <w:r>
              <w:rPr>
                <w:rFonts w:hint="eastAsia" w:ascii="仿宋" w:hAnsi="仿宋" w:eastAsia="仿宋" w:cs="仿宋"/>
                <w:color w:val="000000"/>
                <w:kern w:val="0"/>
                <w:szCs w:val="21"/>
              </w:rPr>
              <w:t>的稳定性和独特性。</w:t>
            </w:r>
          </w:p>
          <w:p w14:paraId="41DB5BA1">
            <w:pPr>
              <w:rPr>
                <w:rFonts w:ascii="仿宋" w:hAnsi="仿宋" w:eastAsia="仿宋" w:cs="仿宋"/>
                <w:color w:val="000000"/>
              </w:rPr>
            </w:pPr>
            <w:r>
              <w:rPr>
                <w:rFonts w:hint="eastAsia" w:ascii="仿宋" w:hAnsi="仿宋" w:eastAsia="仿宋" w:cs="仿宋"/>
                <w:color w:val="000000"/>
              </w:rPr>
              <w:t>5、知识产权与稳定性：拥有自有知识产权IP核，性能稳定可靠，减少对外部技术的依赖。</w:t>
            </w:r>
            <w:r>
              <w:rPr>
                <w:rFonts w:hint="eastAsia" w:ascii="仿宋" w:hAnsi="仿宋" w:eastAsia="仿宋" w:cs="仿宋"/>
                <w:color w:val="000000"/>
              </w:rPr>
              <w:br w:type="textWrapping"/>
            </w:r>
            <w:r>
              <w:rPr>
                <w:rFonts w:hint="eastAsia" w:ascii="仿宋" w:hAnsi="仿宋" w:eastAsia="仿宋" w:cs="仿宋"/>
                <w:color w:val="000000"/>
              </w:rPr>
              <w:t>6、▲接口丰富：机身配备≥81个网络接口，可同时连接≥80个终端进行管理控制，能满足多终端教学场景的需求。（提供具有CMA及CNAS标识的产品检测报告所在页加以佐证）</w:t>
            </w:r>
            <w:r>
              <w:rPr>
                <w:rFonts w:hint="eastAsia" w:ascii="仿宋" w:hAnsi="仿宋" w:eastAsia="仿宋" w:cs="仿宋"/>
                <w:color w:val="000000"/>
              </w:rPr>
              <w:br w:type="textWrapping"/>
            </w:r>
            <w:r>
              <w:rPr>
                <w:rFonts w:hint="eastAsia" w:ascii="仿宋" w:hAnsi="仿宋" w:eastAsia="仿宋" w:cs="仿宋"/>
                <w:color w:val="000000"/>
              </w:rPr>
              <w:t>7、数据即插即用：采用以太网线直连计算机，无需安装驱动程序，简化设备的连接和使用流程。</w:t>
            </w:r>
            <w:r>
              <w:rPr>
                <w:rFonts w:hint="eastAsia" w:ascii="仿宋" w:hAnsi="仿宋" w:eastAsia="仿宋" w:cs="仿宋"/>
                <w:color w:val="000000"/>
              </w:rPr>
              <w:br w:type="textWrapping"/>
            </w:r>
            <w:r>
              <w:rPr>
                <w:rFonts w:hint="eastAsia" w:ascii="仿宋" w:hAnsi="仿宋" w:eastAsia="仿宋" w:cs="仿宋"/>
                <w:color w:val="000000"/>
              </w:rPr>
              <w:t>8、传输协议：机身与所有终端采用422协议并行传输，适应多终端同时工作的传输需求。</w:t>
            </w:r>
            <w:r>
              <w:rPr>
                <w:rFonts w:hint="eastAsia" w:ascii="仿宋" w:hAnsi="仿宋" w:eastAsia="仿宋" w:cs="仿宋"/>
                <w:color w:val="000000"/>
              </w:rPr>
              <w:br w:type="textWrapping"/>
            </w:r>
            <w:r>
              <w:rPr>
                <w:rFonts w:hint="eastAsia" w:ascii="仿宋" w:hAnsi="仿宋" w:eastAsia="仿宋" w:cs="仿宋"/>
                <w:color w:val="000000"/>
              </w:rPr>
              <w:t>9、低功耗电源：机身配备低功耗机箱电源，功耗≤200 瓦。</w:t>
            </w:r>
            <w:r>
              <w:rPr>
                <w:rFonts w:hint="eastAsia" w:ascii="仿宋" w:hAnsi="仿宋" w:eastAsia="仿宋" w:cs="仿宋"/>
                <w:color w:val="000000"/>
              </w:rPr>
              <w:br w:type="textWrapping"/>
            </w:r>
            <w:r>
              <w:rPr>
                <w:rFonts w:hint="eastAsia" w:ascii="仿宋" w:hAnsi="仿宋" w:eastAsia="仿宋" w:cs="仿宋"/>
                <w:color w:val="000000"/>
              </w:rPr>
              <w:t>10、低负载功耗：在荷载80座的情况下，功耗≤99.8 瓦，适合长期稳定运行。</w:t>
            </w:r>
          </w:p>
        </w:tc>
        <w:tc>
          <w:tcPr>
            <w:tcW w:w="709"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83061BB">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kern w:val="0"/>
                <w:szCs w:val="21"/>
              </w:rPr>
              <w:t>8</w:t>
            </w:r>
          </w:p>
        </w:tc>
        <w:tc>
          <w:tcPr>
            <w:tcW w:w="708" w:type="dxa"/>
            <w:tcBorders>
              <w:top w:val="single" w:color="000000" w:sz="4" w:space="0"/>
              <w:left w:val="single" w:color="auto" w:sz="4" w:space="0"/>
              <w:bottom w:val="single" w:color="000000" w:sz="4" w:space="0"/>
              <w:right w:val="single" w:color="auto" w:sz="4" w:space="0"/>
            </w:tcBorders>
            <w:shd w:val="clear" w:color="auto" w:fill="FFFFFF"/>
            <w:noWrap/>
            <w:vAlign w:val="center"/>
          </w:tcPr>
          <w:p w14:paraId="222AF85A">
            <w:pPr>
              <w:widowControl/>
              <w:shd w:val="clear" w:color="auto" w:fill="FFFFFF"/>
              <w:jc w:val="center"/>
              <w:rPr>
                <w:rFonts w:ascii="仿宋" w:hAnsi="仿宋" w:eastAsia="仿宋" w:cs="仿宋"/>
                <w:color w:val="000000"/>
                <w:kern w:val="0"/>
                <w:szCs w:val="21"/>
              </w:rPr>
            </w:pPr>
            <w:r>
              <w:rPr>
                <w:rFonts w:hint="eastAsia" w:ascii="仿宋" w:hAnsi="仿宋" w:eastAsia="仿宋" w:cs="仿宋"/>
                <w:color w:val="000000"/>
                <w:kern w:val="0"/>
                <w:szCs w:val="21"/>
              </w:rPr>
              <w:t>台</w:t>
            </w:r>
          </w:p>
        </w:tc>
      </w:tr>
      <w:tr w14:paraId="5D8167ED">
        <w:tblPrEx>
          <w:tblCellMar>
            <w:top w:w="0" w:type="dxa"/>
            <w:left w:w="108" w:type="dxa"/>
            <w:bottom w:w="0" w:type="dxa"/>
            <w:right w:w="108" w:type="dxa"/>
          </w:tblCellMar>
        </w:tblPrEx>
        <w:trPr>
          <w:trHeight w:val="1244"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82E66">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szCs w:val="21"/>
              </w:rPr>
              <w:t>7</w:t>
            </w:r>
          </w:p>
        </w:tc>
        <w:tc>
          <w:tcPr>
            <w:tcW w:w="73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8BFB492">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kern w:val="0"/>
                <w:szCs w:val="21"/>
              </w:rPr>
              <w:t>教师转换器</w:t>
            </w:r>
          </w:p>
        </w:tc>
        <w:tc>
          <w:tcPr>
            <w:tcW w:w="73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EA2251">
            <w:pPr>
              <w:widowControl/>
              <w:shd w:val="clear" w:color="auto" w:fill="FFFFFF"/>
              <w:jc w:val="left"/>
              <w:rPr>
                <w:rFonts w:ascii="仿宋" w:hAnsi="仿宋" w:eastAsia="仿宋" w:cs="仿宋"/>
                <w:color w:val="000000"/>
              </w:rPr>
            </w:pPr>
            <w:r>
              <w:rPr>
                <w:rFonts w:hint="eastAsia" w:ascii="仿宋" w:hAnsi="仿宋" w:eastAsia="仿宋" w:cs="仿宋"/>
                <w:color w:val="000000"/>
              </w:rPr>
              <w:t xml:space="preserve">1、电路与处理器性能：电路结构采用ARMv7-M架构，选用32bit </w:t>
            </w:r>
            <w:r>
              <w:rPr>
                <w:rFonts w:hint="eastAsia" w:ascii="仿宋" w:hAnsi="仿宋" w:eastAsia="仿宋" w:cs="仿宋"/>
                <w:color w:val="000000"/>
                <w:kern w:val="0"/>
                <w:szCs w:val="21"/>
              </w:rPr>
              <w:t>Cortex-M4标准</w:t>
            </w:r>
            <w:r>
              <w:rPr>
                <w:rFonts w:hint="eastAsia" w:ascii="仿宋" w:hAnsi="仿宋" w:eastAsia="仿宋" w:cs="仿宋"/>
                <w:color w:val="000000"/>
              </w:rPr>
              <w:t>的嵌入式处理器，主板集成FPU、MPU芯片核心，处理器最高主频可达200MHz。</w:t>
            </w:r>
          </w:p>
          <w:p w14:paraId="2380F173">
            <w:pPr>
              <w:widowControl/>
              <w:shd w:val="clear" w:color="auto" w:fill="FFFFFF"/>
              <w:jc w:val="left"/>
              <w:rPr>
                <w:rFonts w:ascii="仿宋" w:hAnsi="仿宋" w:eastAsia="仿宋" w:cs="仿宋"/>
                <w:color w:val="000000"/>
              </w:rPr>
            </w:pPr>
            <w:r>
              <w:rPr>
                <w:rFonts w:hint="eastAsia" w:ascii="仿宋" w:hAnsi="仿宋" w:eastAsia="仿宋" w:cs="仿宋"/>
                <w:color w:val="000000"/>
              </w:rPr>
              <w:t>2、信号与音质：采用差动全数字信号，能呈现高保真音质，为音频传输提供良好基础。​</w:t>
            </w:r>
          </w:p>
          <w:p w14:paraId="79A16E12">
            <w:pPr>
              <w:widowControl/>
              <w:shd w:val="clear" w:color="auto" w:fill="FFFFFF"/>
              <w:jc w:val="left"/>
              <w:rPr>
                <w:rFonts w:ascii="仿宋" w:hAnsi="仿宋" w:eastAsia="仿宋" w:cs="仿宋"/>
                <w:color w:val="000000"/>
              </w:rPr>
            </w:pPr>
            <w:r>
              <w:rPr>
                <w:rFonts w:hint="eastAsia" w:ascii="仿宋" w:hAnsi="仿宋" w:eastAsia="仿宋" w:cs="仿宋"/>
                <w:color w:val="000000"/>
              </w:rPr>
              <w:t>3、音质参数：支持44.1K/16位双声道立体声CD音质，信噪比≥102dB，失真度≤0.5%，音质清晰、纯净。​</w:t>
            </w:r>
          </w:p>
          <w:p w14:paraId="5A322169">
            <w:pPr>
              <w:widowControl/>
              <w:shd w:val="clear" w:color="auto" w:fill="FFFFFF"/>
              <w:jc w:val="left"/>
              <w:rPr>
                <w:rFonts w:ascii="仿宋" w:hAnsi="仿宋" w:eastAsia="仿宋" w:cs="仿宋"/>
                <w:color w:val="000000"/>
              </w:rPr>
            </w:pPr>
            <w:r>
              <w:rPr>
                <w:rFonts w:hint="eastAsia" w:ascii="仿宋" w:hAnsi="仿宋" w:eastAsia="仿宋" w:cs="仿宋"/>
                <w:color w:val="000000"/>
              </w:rPr>
              <w:t>4、终端延时：终端延时小于千分之一秒，使用者绝无延迟感觉，确保音频实时传输</w:t>
            </w:r>
            <w:r>
              <w:rPr>
                <w:rFonts w:hint="eastAsia" w:ascii="仿宋" w:hAnsi="仿宋" w:eastAsia="仿宋" w:cs="仿宋"/>
                <w:b/>
                <w:bCs/>
                <w:color w:val="000000"/>
                <w:kern w:val="0"/>
                <w:szCs w:val="21"/>
              </w:rPr>
              <w:t>。</w:t>
            </w:r>
            <w:r>
              <w:rPr>
                <w:rFonts w:hint="eastAsia" w:ascii="仿宋" w:hAnsi="仿宋" w:eastAsia="仿宋" w:cs="仿宋"/>
                <w:color w:val="000000"/>
              </w:rPr>
              <w:t>​</w:t>
            </w:r>
          </w:p>
          <w:p w14:paraId="5B062622">
            <w:pPr>
              <w:widowControl/>
              <w:shd w:val="clear" w:color="auto" w:fill="FFFFFF"/>
              <w:jc w:val="left"/>
              <w:rPr>
                <w:rFonts w:ascii="仿宋" w:hAnsi="仿宋" w:eastAsia="仿宋" w:cs="仿宋"/>
                <w:color w:val="000000"/>
              </w:rPr>
            </w:pPr>
            <w:r>
              <w:rPr>
                <w:rFonts w:hint="eastAsia" w:ascii="仿宋" w:hAnsi="仿宋" w:eastAsia="仿宋" w:cs="仿宋"/>
                <w:color w:val="000000"/>
              </w:rPr>
              <w:t>5、终端功能：具备音量调节、呼叫开关、麦克风开关及状态指示功能。​</w:t>
            </w:r>
          </w:p>
          <w:p w14:paraId="44DD64DA">
            <w:pPr>
              <w:widowControl/>
              <w:shd w:val="clear" w:color="auto" w:fill="FFFFFF"/>
              <w:jc w:val="left"/>
              <w:rPr>
                <w:rFonts w:ascii="仿宋" w:hAnsi="仿宋" w:eastAsia="仿宋" w:cs="仿宋"/>
                <w:color w:val="000000"/>
              </w:rPr>
            </w:pPr>
            <w:r>
              <w:rPr>
                <w:rFonts w:hint="eastAsia" w:ascii="仿宋" w:hAnsi="仿宋" w:eastAsia="仿宋" w:cs="仿宋"/>
                <w:color w:val="000000"/>
              </w:rPr>
              <w:t>6、终端控制：终端具有6个</w:t>
            </w:r>
            <w:r>
              <w:rPr>
                <w:rFonts w:hint="eastAsia" w:ascii="仿宋" w:hAnsi="仿宋" w:eastAsia="仿宋" w:cs="仿宋"/>
                <w:color w:val="000000"/>
                <w:kern w:val="0"/>
                <w:szCs w:val="21"/>
              </w:rPr>
              <w:t>光学按键，可实现无接触操作</w:t>
            </w:r>
            <w:r>
              <w:rPr>
                <w:rFonts w:hint="eastAsia" w:ascii="仿宋" w:hAnsi="仿宋" w:eastAsia="仿宋" w:cs="仿宋"/>
                <w:color w:val="000000"/>
              </w:rPr>
              <w:t>，避免了传统物理按键的磨损问题，按键具备防水溅、防潮、寿命长等特点，能适应不同的教学环境，降低设备维护成本。​</w:t>
            </w:r>
          </w:p>
          <w:p w14:paraId="4BF0A4BF">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rPr>
              <w:t>7、终端接口：</w:t>
            </w:r>
            <w:r>
              <w:rPr>
                <w:rFonts w:hint="eastAsia" w:ascii="仿宋" w:hAnsi="仿宋" w:eastAsia="仿宋" w:cs="仿宋"/>
                <w:color w:val="000000"/>
                <w:kern w:val="0"/>
                <w:szCs w:val="21"/>
              </w:rPr>
              <w:t>配备2组麦克风、耳机接口，2组音频输入接口，1组网络接口。</w:t>
            </w:r>
          </w:p>
          <w:p w14:paraId="50A7D8EC">
            <w:pPr>
              <w:widowControl/>
              <w:shd w:val="clear" w:color="auto" w:fill="FFFFFF"/>
              <w:jc w:val="left"/>
              <w:rPr>
                <w:rFonts w:ascii="仿宋" w:hAnsi="仿宋" w:eastAsia="仿宋" w:cs="仿宋"/>
                <w:color w:val="000000"/>
              </w:rPr>
            </w:pPr>
            <w:r>
              <w:rPr>
                <w:rFonts w:hint="eastAsia" w:ascii="仿宋" w:hAnsi="仿宋" w:eastAsia="仿宋" w:cs="仿宋"/>
                <w:color w:val="000000"/>
              </w:rPr>
              <w:t>8</w:t>
            </w:r>
            <w:r>
              <w:rPr>
                <w:rFonts w:hint="eastAsia" w:ascii="仿宋" w:hAnsi="仿宋" w:eastAsia="仿宋" w:cs="仿宋"/>
                <w:color w:val="000000"/>
                <w:kern w:val="0"/>
                <w:szCs w:val="21"/>
              </w:rPr>
              <w:t>、白噪音屏蔽电路：第 2 组麦克风、耳机接口默认关闭，可有效隔绝白噪音，减少环境干扰，当第1组接口插入设备后，第2组接口自动开放，既保证了接口的灵活使用，又能智能屏蔽噪音</w:t>
            </w:r>
            <w:r>
              <w:rPr>
                <w:rFonts w:hint="eastAsia" w:ascii="仿宋" w:hAnsi="仿宋" w:eastAsia="仿宋" w:cs="仿宋"/>
                <w:color w:val="000000"/>
              </w:rPr>
              <w:t>。​</w:t>
            </w:r>
          </w:p>
          <w:p w14:paraId="446D7802">
            <w:pPr>
              <w:widowControl/>
              <w:shd w:val="clear" w:color="auto" w:fill="FFFFFF"/>
              <w:jc w:val="left"/>
              <w:rPr>
                <w:rFonts w:ascii="仿宋" w:hAnsi="仿宋" w:eastAsia="仿宋" w:cs="仿宋"/>
                <w:color w:val="000000"/>
              </w:rPr>
            </w:pPr>
            <w:r>
              <w:rPr>
                <w:rFonts w:hint="eastAsia" w:ascii="仿宋" w:hAnsi="仿宋" w:eastAsia="仿宋" w:cs="仿宋"/>
                <w:color w:val="000000"/>
              </w:rPr>
              <w:t>9、终端连线</w:t>
            </w:r>
            <w:r>
              <w:rPr>
                <w:rFonts w:hint="eastAsia" w:ascii="仿宋" w:hAnsi="仿宋" w:eastAsia="仿宋" w:cs="仿宋"/>
                <w:color w:val="000000"/>
                <w:kern w:val="0"/>
                <w:szCs w:val="21"/>
              </w:rPr>
              <w:t>：使用超五类或六类以太网线并行连</w:t>
            </w:r>
            <w:r>
              <w:rPr>
                <w:rFonts w:hint="eastAsia" w:ascii="仿宋" w:hAnsi="仿宋" w:eastAsia="仿宋" w:cs="仿宋"/>
                <w:color w:val="000000"/>
              </w:rPr>
              <w:t>接。​</w:t>
            </w:r>
          </w:p>
          <w:p w14:paraId="46F34FB8">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rPr>
              <w:t>10、耳机输出功率：耳机最大输出功率为80mW。​</w:t>
            </w:r>
          </w:p>
        </w:tc>
        <w:tc>
          <w:tcPr>
            <w:tcW w:w="709"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14AC369F">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szCs w:val="21"/>
              </w:rPr>
              <w:t>8</w:t>
            </w:r>
          </w:p>
        </w:tc>
        <w:tc>
          <w:tcPr>
            <w:tcW w:w="708" w:type="dxa"/>
            <w:tcBorders>
              <w:top w:val="single" w:color="000000" w:sz="4" w:space="0"/>
              <w:left w:val="single" w:color="auto" w:sz="4" w:space="0"/>
              <w:bottom w:val="single" w:color="000000" w:sz="4" w:space="0"/>
              <w:right w:val="single" w:color="auto" w:sz="4" w:space="0"/>
            </w:tcBorders>
            <w:shd w:val="clear" w:color="auto" w:fill="FFFFFF"/>
            <w:noWrap/>
            <w:vAlign w:val="center"/>
          </w:tcPr>
          <w:p w14:paraId="7ABE37B2">
            <w:pPr>
              <w:widowControl/>
              <w:shd w:val="clear" w:color="auto" w:fill="FFFFFF"/>
              <w:jc w:val="center"/>
              <w:rPr>
                <w:rFonts w:ascii="仿宋" w:hAnsi="仿宋" w:eastAsia="仿宋" w:cs="仿宋"/>
                <w:color w:val="000000"/>
                <w:kern w:val="0"/>
                <w:szCs w:val="21"/>
              </w:rPr>
            </w:pPr>
            <w:r>
              <w:rPr>
                <w:rFonts w:hint="eastAsia" w:ascii="仿宋" w:hAnsi="仿宋" w:eastAsia="仿宋" w:cs="仿宋"/>
                <w:color w:val="000000"/>
                <w:kern w:val="0"/>
                <w:szCs w:val="21"/>
              </w:rPr>
              <w:t>台</w:t>
            </w:r>
          </w:p>
        </w:tc>
      </w:tr>
      <w:tr w14:paraId="4993C419">
        <w:tblPrEx>
          <w:tblCellMar>
            <w:top w:w="0" w:type="dxa"/>
            <w:left w:w="108" w:type="dxa"/>
            <w:bottom w:w="0" w:type="dxa"/>
            <w:right w:w="108" w:type="dxa"/>
          </w:tblCellMar>
        </w:tblPrEx>
        <w:trPr>
          <w:trHeight w:val="1006"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EB030">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szCs w:val="21"/>
              </w:rPr>
              <w:t>8</w:t>
            </w:r>
          </w:p>
        </w:tc>
        <w:tc>
          <w:tcPr>
            <w:tcW w:w="73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5F9BDBB">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rPr>
              <w:t>数据交互处理器</w:t>
            </w:r>
          </w:p>
        </w:tc>
        <w:tc>
          <w:tcPr>
            <w:tcW w:w="73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D3CCE4">
            <w:pPr>
              <w:widowControl/>
              <w:shd w:val="clear" w:color="auto" w:fill="FFFFFF"/>
              <w:jc w:val="left"/>
              <w:rPr>
                <w:rFonts w:ascii="仿宋" w:hAnsi="仿宋" w:eastAsia="仿宋" w:cs="仿宋"/>
                <w:color w:val="000000"/>
              </w:rPr>
            </w:pPr>
            <w:r>
              <w:rPr>
                <w:rFonts w:hint="eastAsia" w:ascii="仿宋" w:hAnsi="仿宋" w:eastAsia="仿宋" w:cs="仿宋"/>
                <w:color w:val="000000"/>
              </w:rPr>
              <w:t>1、专用数据综合性处理器，可运行专属生态操作系统，可交互处理器的系统数据信息，可收发电钢琴数据。</w:t>
            </w:r>
          </w:p>
          <w:p w14:paraId="0EBDC6CF">
            <w:pPr>
              <w:widowControl/>
              <w:shd w:val="clear" w:color="auto" w:fill="FFFFFF"/>
              <w:jc w:val="left"/>
              <w:rPr>
                <w:rFonts w:ascii="仿宋" w:hAnsi="仿宋" w:eastAsia="仿宋" w:cs="仿宋"/>
                <w:b/>
                <w:bCs/>
                <w:color w:val="000000"/>
                <w:kern w:val="0"/>
                <w:szCs w:val="21"/>
              </w:rPr>
            </w:pPr>
            <w:r>
              <w:rPr>
                <w:rFonts w:hint="eastAsia" w:ascii="仿宋" w:hAnsi="仿宋" w:eastAsia="仿宋" w:cs="仿宋"/>
                <w:color w:val="000000"/>
              </w:rPr>
              <w:t>2、数据交互处理器系统：主芯片嵌入具有自主知识产权的嵌入式控制系统，保障了设备运行的稳定性和独特性。</w:t>
            </w:r>
            <w:r>
              <w:rPr>
                <w:rFonts w:hint="eastAsia" w:ascii="仿宋" w:hAnsi="仿宋" w:eastAsia="仿宋" w:cs="仿宋"/>
                <w:b/>
                <w:bCs/>
                <w:color w:val="000000"/>
                <w:kern w:val="0"/>
                <w:szCs w:val="21"/>
              </w:rPr>
              <w:t>​</w:t>
            </w:r>
          </w:p>
          <w:p w14:paraId="25091617">
            <w:pPr>
              <w:widowControl/>
              <w:shd w:val="clear" w:color="auto" w:fill="FFFFFF"/>
              <w:jc w:val="left"/>
              <w:rPr>
                <w:rFonts w:ascii="仿宋" w:hAnsi="仿宋" w:eastAsia="仿宋" w:cs="仿宋"/>
                <w:color w:val="000000"/>
              </w:rPr>
            </w:pPr>
            <w:r>
              <w:rPr>
                <w:rFonts w:hint="eastAsia" w:ascii="仿宋" w:hAnsi="仿宋" w:eastAsia="仿宋" w:cs="仿宋"/>
                <w:color w:val="000000"/>
              </w:rPr>
              <w:t>3、定制化生态操作系统，确保操作系统与学生应用系统的完美结合，打造稳定耐用的运行品质。</w:t>
            </w:r>
          </w:p>
          <w:p w14:paraId="61051213">
            <w:pPr>
              <w:widowControl/>
              <w:shd w:val="clear" w:color="auto" w:fill="FFFFFF"/>
              <w:jc w:val="left"/>
              <w:rPr>
                <w:rFonts w:ascii="仿宋" w:hAnsi="仿宋" w:eastAsia="仿宋" w:cs="仿宋"/>
                <w:color w:val="000000"/>
              </w:rPr>
            </w:pPr>
            <w:r>
              <w:rPr>
                <w:rFonts w:hint="eastAsia" w:ascii="仿宋" w:hAnsi="仿宋" w:eastAsia="仿宋" w:cs="仿宋"/>
                <w:color w:val="000000"/>
              </w:rPr>
              <w:t>4、44.1K/16位双声道立体声CD音质；信噪比≥102dB；失真度≤0.5%。</w:t>
            </w:r>
          </w:p>
          <w:p w14:paraId="1DE25F2C">
            <w:pPr>
              <w:widowControl/>
              <w:shd w:val="clear" w:color="auto" w:fill="FFFFFF"/>
              <w:jc w:val="left"/>
              <w:rPr>
                <w:rFonts w:ascii="仿宋" w:hAnsi="仿宋" w:eastAsia="仿宋" w:cs="仿宋"/>
                <w:color w:val="000000"/>
              </w:rPr>
            </w:pPr>
            <w:r>
              <w:rPr>
                <w:rFonts w:hint="eastAsia" w:ascii="仿宋" w:hAnsi="仿宋" w:eastAsia="仿宋" w:cs="仿宋"/>
                <w:color w:val="000000"/>
              </w:rPr>
              <w:t>5、终端延时：小于千分之一秒，绝无延迟感觉。</w:t>
            </w:r>
          </w:p>
          <w:p w14:paraId="6F9CF815">
            <w:pPr>
              <w:widowControl/>
              <w:shd w:val="clear" w:color="auto" w:fill="FFFFFF"/>
              <w:jc w:val="left"/>
              <w:rPr>
                <w:rFonts w:ascii="仿宋" w:hAnsi="仿宋" w:eastAsia="仿宋" w:cs="仿宋"/>
                <w:color w:val="000000"/>
              </w:rPr>
            </w:pPr>
            <w:r>
              <w:rPr>
                <w:rFonts w:hint="eastAsia" w:ascii="仿宋" w:hAnsi="仿宋" w:eastAsia="仿宋" w:cs="仿宋"/>
                <w:color w:val="000000"/>
              </w:rPr>
              <w:t>6、▲拥有6个具备音频及数据交互功能的LED发光指示按键开关。（提供具有CMA或CNAS标识的产品检测报告所在页加以佐证）</w:t>
            </w:r>
          </w:p>
          <w:p w14:paraId="0BB60C92">
            <w:pPr>
              <w:widowControl/>
              <w:shd w:val="clear" w:color="auto" w:fill="FFFFFF"/>
              <w:jc w:val="left"/>
              <w:rPr>
                <w:rFonts w:ascii="仿宋" w:hAnsi="仿宋" w:eastAsia="仿宋" w:cs="仿宋"/>
                <w:color w:val="000000"/>
              </w:rPr>
            </w:pPr>
            <w:r>
              <w:rPr>
                <w:rFonts w:hint="eastAsia" w:ascii="仿宋" w:hAnsi="仿宋" w:eastAsia="仿宋" w:cs="仿宋"/>
                <w:color w:val="000000"/>
              </w:rPr>
              <w:t>7、轻触按键可发出红色LED光源，常用功能设置了快捷操作按键，分别是：呼叫开/关、麦克风开/关、音量大、音量小。</w:t>
            </w:r>
          </w:p>
          <w:p w14:paraId="4F37FA70">
            <w:pPr>
              <w:widowControl/>
              <w:shd w:val="clear" w:color="auto" w:fill="FFFFFF"/>
              <w:jc w:val="left"/>
              <w:rPr>
                <w:rFonts w:ascii="仿宋" w:hAnsi="仿宋" w:eastAsia="仿宋" w:cs="仿宋"/>
                <w:color w:val="000000"/>
              </w:rPr>
            </w:pPr>
            <w:r>
              <w:rPr>
                <w:rFonts w:hint="eastAsia" w:ascii="仿宋" w:hAnsi="仿宋" w:eastAsia="仿宋" w:cs="仿宋"/>
                <w:color w:val="000000"/>
              </w:rPr>
              <w:t>8、▲具有≥1个USB接口。（提供具有CMA或CNAS标识的产品检测报告所在页加以佐证）</w:t>
            </w:r>
          </w:p>
          <w:p w14:paraId="1CF738C8">
            <w:pPr>
              <w:widowControl/>
              <w:shd w:val="clear" w:color="auto" w:fill="FFFFFF"/>
              <w:jc w:val="left"/>
              <w:rPr>
                <w:rFonts w:ascii="仿宋" w:hAnsi="仿宋" w:eastAsia="仿宋" w:cs="仿宋"/>
                <w:color w:val="000000"/>
              </w:rPr>
            </w:pPr>
            <w:r>
              <w:rPr>
                <w:rFonts w:hint="eastAsia" w:ascii="仿宋" w:hAnsi="仿宋" w:eastAsia="仿宋" w:cs="仿宋"/>
                <w:color w:val="000000"/>
              </w:rPr>
              <w:t>9、▲具有≥3个3.5mm接口。（提供具有CMA或CNAS标识的产品检测报告所在页加以佐证）</w:t>
            </w:r>
          </w:p>
          <w:p w14:paraId="2081807A">
            <w:pPr>
              <w:widowControl/>
              <w:shd w:val="clear" w:color="auto" w:fill="FFFFFF"/>
              <w:jc w:val="left"/>
              <w:rPr>
                <w:rFonts w:ascii="仿宋" w:hAnsi="仿宋" w:eastAsia="仿宋" w:cs="仿宋"/>
                <w:color w:val="000000"/>
              </w:rPr>
            </w:pPr>
            <w:r>
              <w:rPr>
                <w:rFonts w:hint="eastAsia" w:ascii="仿宋" w:hAnsi="仿宋" w:eastAsia="仿宋" w:cs="仿宋"/>
                <w:color w:val="000000"/>
              </w:rPr>
              <w:t xml:space="preserve">10、处理器连线：使用超五类或六类以太网线并行连接，安装简便、性能稳定。  </w:t>
            </w:r>
          </w:p>
        </w:tc>
        <w:tc>
          <w:tcPr>
            <w:tcW w:w="709"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18A8EF97">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kern w:val="0"/>
                <w:szCs w:val="21"/>
              </w:rPr>
              <w:t>220</w:t>
            </w:r>
          </w:p>
        </w:tc>
        <w:tc>
          <w:tcPr>
            <w:tcW w:w="708" w:type="dxa"/>
            <w:tcBorders>
              <w:top w:val="single" w:color="000000" w:sz="4" w:space="0"/>
              <w:left w:val="single" w:color="auto" w:sz="4" w:space="0"/>
              <w:bottom w:val="single" w:color="000000" w:sz="4" w:space="0"/>
              <w:right w:val="single" w:color="auto" w:sz="4" w:space="0"/>
            </w:tcBorders>
            <w:shd w:val="clear" w:color="auto" w:fill="FFFFFF"/>
            <w:noWrap/>
            <w:vAlign w:val="center"/>
          </w:tcPr>
          <w:p w14:paraId="298AB680">
            <w:pPr>
              <w:widowControl/>
              <w:shd w:val="clear" w:color="auto" w:fill="FFFFFF"/>
              <w:jc w:val="center"/>
              <w:rPr>
                <w:rFonts w:ascii="仿宋" w:hAnsi="仿宋" w:eastAsia="仿宋" w:cs="仿宋"/>
                <w:color w:val="000000"/>
                <w:kern w:val="0"/>
                <w:szCs w:val="21"/>
              </w:rPr>
            </w:pPr>
            <w:r>
              <w:rPr>
                <w:rFonts w:hint="eastAsia" w:ascii="仿宋" w:hAnsi="仿宋" w:eastAsia="仿宋" w:cs="仿宋"/>
                <w:color w:val="000000"/>
                <w:kern w:val="0"/>
                <w:szCs w:val="21"/>
              </w:rPr>
              <w:t>台</w:t>
            </w:r>
          </w:p>
        </w:tc>
      </w:tr>
      <w:tr w14:paraId="2781E196">
        <w:tblPrEx>
          <w:tblCellMar>
            <w:top w:w="0" w:type="dxa"/>
            <w:left w:w="108" w:type="dxa"/>
            <w:bottom w:w="0" w:type="dxa"/>
            <w:right w:w="108" w:type="dxa"/>
          </w:tblCellMar>
        </w:tblPrEx>
        <w:trPr>
          <w:trHeight w:val="1341"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91540">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szCs w:val="21"/>
              </w:rPr>
              <w:t>9</w:t>
            </w:r>
          </w:p>
        </w:tc>
        <w:tc>
          <w:tcPr>
            <w:tcW w:w="73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B73F16C">
            <w:pPr>
              <w:widowControl/>
              <w:shd w:val="clear" w:color="auto" w:fill="FFFFFF"/>
              <w:jc w:val="center"/>
              <w:rPr>
                <w:rFonts w:ascii="仿宋" w:hAnsi="仿宋" w:eastAsia="仿宋" w:cs="仿宋"/>
                <w:color w:val="000000"/>
                <w:kern w:val="0"/>
                <w:szCs w:val="21"/>
              </w:rPr>
            </w:pPr>
            <w:r>
              <w:rPr>
                <w:rFonts w:hint="eastAsia" w:ascii="仿宋" w:hAnsi="仿宋" w:eastAsia="仿宋" w:cs="仿宋"/>
                <w:color w:val="000000"/>
                <w:kern w:val="0"/>
                <w:szCs w:val="21"/>
              </w:rPr>
              <w:t>专用</w:t>
            </w:r>
          </w:p>
          <w:p w14:paraId="15E21F6D">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kern w:val="0"/>
                <w:szCs w:val="21"/>
              </w:rPr>
              <w:t>耳麦</w:t>
            </w:r>
          </w:p>
        </w:tc>
        <w:tc>
          <w:tcPr>
            <w:tcW w:w="73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1B701C">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kern w:val="0"/>
                <w:szCs w:val="21"/>
              </w:rPr>
              <w:t>1麦克风：全指向咪头，灵敏度-58±3db，阻抗≤ 2.2KΩ；</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2喇叭单元：喇叭直径40mm，阻抗32Ω，频率响应20Hz-20kHz，输出声压≤100dB±3db；</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3其他：2*3.5mm插头线长≥2.0m，重量≤285g</w:t>
            </w:r>
          </w:p>
        </w:tc>
        <w:tc>
          <w:tcPr>
            <w:tcW w:w="709"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19D67B86">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kern w:val="0"/>
                <w:szCs w:val="21"/>
              </w:rPr>
              <w:t>220</w:t>
            </w:r>
          </w:p>
        </w:tc>
        <w:tc>
          <w:tcPr>
            <w:tcW w:w="708" w:type="dxa"/>
            <w:tcBorders>
              <w:top w:val="single" w:color="000000" w:sz="4" w:space="0"/>
              <w:left w:val="single" w:color="auto" w:sz="4" w:space="0"/>
              <w:bottom w:val="single" w:color="000000" w:sz="4" w:space="0"/>
              <w:right w:val="single" w:color="auto" w:sz="4" w:space="0"/>
            </w:tcBorders>
            <w:shd w:val="clear" w:color="auto" w:fill="FFFFFF"/>
            <w:noWrap/>
            <w:vAlign w:val="center"/>
          </w:tcPr>
          <w:p w14:paraId="52839C70">
            <w:pPr>
              <w:widowControl/>
              <w:shd w:val="clear" w:color="auto" w:fill="FFFFFF"/>
              <w:jc w:val="center"/>
              <w:rPr>
                <w:rFonts w:ascii="仿宋" w:hAnsi="仿宋" w:eastAsia="仿宋" w:cs="仿宋"/>
                <w:color w:val="000000"/>
                <w:kern w:val="0"/>
                <w:szCs w:val="21"/>
              </w:rPr>
            </w:pPr>
            <w:r>
              <w:rPr>
                <w:rFonts w:hint="eastAsia" w:ascii="仿宋" w:hAnsi="仿宋" w:eastAsia="仿宋" w:cs="仿宋"/>
                <w:color w:val="000000"/>
                <w:kern w:val="0"/>
                <w:szCs w:val="21"/>
              </w:rPr>
              <w:t>副</w:t>
            </w:r>
          </w:p>
        </w:tc>
      </w:tr>
      <w:tr w14:paraId="53F6A560">
        <w:tblPrEx>
          <w:tblCellMar>
            <w:top w:w="0" w:type="dxa"/>
            <w:left w:w="108" w:type="dxa"/>
            <w:bottom w:w="0" w:type="dxa"/>
            <w:right w:w="108" w:type="dxa"/>
          </w:tblCellMar>
        </w:tblPrEx>
        <w:trPr>
          <w:trHeight w:val="697"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D66D8">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szCs w:val="21"/>
              </w:rPr>
              <w:t>10</w:t>
            </w:r>
          </w:p>
        </w:tc>
        <w:tc>
          <w:tcPr>
            <w:tcW w:w="73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5715A03">
            <w:pPr>
              <w:widowControl/>
              <w:shd w:val="clear" w:color="auto" w:fill="FFFFFF"/>
              <w:jc w:val="center"/>
              <w:rPr>
                <w:rFonts w:hint="eastAsia" w:ascii="仿宋" w:hAnsi="仿宋" w:eastAsia="仿宋" w:cs="仿宋"/>
                <w:color w:val="000000"/>
                <w:kern w:val="0"/>
                <w:szCs w:val="21"/>
              </w:rPr>
            </w:pPr>
            <w:r>
              <w:rPr>
                <w:rFonts w:hint="eastAsia" w:ascii="仿宋" w:hAnsi="仿宋" w:eastAsia="仿宋" w:cs="仿宋"/>
                <w:color w:val="000000"/>
                <w:kern w:val="0"/>
                <w:szCs w:val="21"/>
              </w:rPr>
              <w:t>主控桌</w:t>
            </w:r>
          </w:p>
        </w:tc>
        <w:tc>
          <w:tcPr>
            <w:tcW w:w="73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E12792">
            <w:pPr>
              <w:widowControl/>
              <w:shd w:val="clear" w:color="auto" w:fill="FFFFFF"/>
              <w:jc w:val="left"/>
              <w:rPr>
                <w:rFonts w:hint="eastAsia" w:ascii="仿宋" w:hAnsi="仿宋" w:eastAsia="仿宋" w:cs="仿宋"/>
                <w:color w:val="000000"/>
                <w:kern w:val="0"/>
                <w:szCs w:val="21"/>
              </w:rPr>
            </w:pPr>
            <w:r>
              <w:rPr>
                <w:rFonts w:hint="eastAsia" w:ascii="仿宋" w:hAnsi="仿宋" w:eastAsia="仿宋" w:cs="仿宋"/>
                <w:color w:val="000000"/>
                <w:kern w:val="0"/>
                <w:szCs w:val="21"/>
              </w:rPr>
              <w:t>1、环保多功能木材桌；2、可放置计算机；3、主控箱功放等；4、结构美观合理；5、符合教学需求。</w:t>
            </w:r>
          </w:p>
        </w:tc>
        <w:tc>
          <w:tcPr>
            <w:tcW w:w="709"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2E882765">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kern w:val="0"/>
                <w:szCs w:val="21"/>
              </w:rPr>
              <w:t>8</w:t>
            </w:r>
          </w:p>
        </w:tc>
        <w:tc>
          <w:tcPr>
            <w:tcW w:w="708" w:type="dxa"/>
            <w:tcBorders>
              <w:top w:val="single" w:color="000000" w:sz="4" w:space="0"/>
              <w:left w:val="single" w:color="auto" w:sz="4" w:space="0"/>
              <w:bottom w:val="single" w:color="000000" w:sz="4" w:space="0"/>
              <w:right w:val="single" w:color="auto" w:sz="4" w:space="0"/>
            </w:tcBorders>
            <w:shd w:val="clear" w:color="auto" w:fill="FFFFFF"/>
            <w:noWrap/>
            <w:vAlign w:val="center"/>
          </w:tcPr>
          <w:p w14:paraId="74DE853A">
            <w:pPr>
              <w:widowControl/>
              <w:shd w:val="clear" w:color="auto" w:fill="FFFFFF"/>
              <w:jc w:val="center"/>
              <w:rPr>
                <w:rFonts w:ascii="仿宋" w:hAnsi="仿宋" w:eastAsia="仿宋" w:cs="仿宋"/>
                <w:color w:val="000000"/>
                <w:kern w:val="0"/>
                <w:szCs w:val="21"/>
              </w:rPr>
            </w:pPr>
            <w:r>
              <w:rPr>
                <w:rFonts w:hint="eastAsia" w:ascii="仿宋" w:hAnsi="仿宋" w:eastAsia="仿宋" w:cs="仿宋"/>
                <w:color w:val="000000"/>
                <w:kern w:val="0"/>
                <w:szCs w:val="21"/>
              </w:rPr>
              <w:t>个</w:t>
            </w:r>
          </w:p>
        </w:tc>
      </w:tr>
      <w:tr w14:paraId="198239CE">
        <w:tblPrEx>
          <w:tblCellMar>
            <w:top w:w="0" w:type="dxa"/>
            <w:left w:w="108" w:type="dxa"/>
            <w:bottom w:w="0" w:type="dxa"/>
            <w:right w:w="108" w:type="dxa"/>
          </w:tblCellMar>
        </w:tblPrEx>
        <w:trPr>
          <w:trHeight w:val="725"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9EF50">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szCs w:val="21"/>
              </w:rPr>
              <w:t>11</w:t>
            </w:r>
          </w:p>
        </w:tc>
        <w:tc>
          <w:tcPr>
            <w:tcW w:w="73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9D982BF">
            <w:pPr>
              <w:widowControl/>
              <w:shd w:val="clear" w:color="auto" w:fill="FFFFFF"/>
              <w:jc w:val="center"/>
              <w:rPr>
                <w:rFonts w:ascii="仿宋" w:hAnsi="仿宋" w:eastAsia="仿宋" w:cs="仿宋"/>
                <w:color w:val="000000"/>
                <w:kern w:val="0"/>
                <w:szCs w:val="21"/>
              </w:rPr>
            </w:pPr>
            <w:r>
              <w:rPr>
                <w:rFonts w:hint="eastAsia" w:ascii="仿宋" w:hAnsi="仿宋" w:eastAsia="仿宋" w:cs="仿宋"/>
                <w:color w:val="000000"/>
                <w:kern w:val="0"/>
                <w:szCs w:val="21"/>
              </w:rPr>
              <w:t>实训管理平台</w:t>
            </w:r>
          </w:p>
        </w:tc>
        <w:tc>
          <w:tcPr>
            <w:tcW w:w="73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FA2927">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kern w:val="0"/>
                <w:szCs w:val="21"/>
              </w:rPr>
              <w:t>1.后台控制端采用 B/S 架构设计，可在 Windows、Linux、Android、IOS 等多种不同的操作系统上通过网页浏览器登录进行操作；</w:t>
            </w:r>
          </w:p>
          <w:p w14:paraId="16DE5B00">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kern w:val="0"/>
                <w:szCs w:val="21"/>
              </w:rPr>
              <w:t>2.多层级管理：可设置不同权限的管理员，分配地点管理校园设备；账号与云端账号统一，根据手机号自动获取信息；</w:t>
            </w:r>
          </w:p>
          <w:p w14:paraId="4558525C">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kern w:val="0"/>
                <w:szCs w:val="21"/>
              </w:rPr>
              <w:t>3.设备详情：查看校园内所有设备的状态，包括在线、离线状态，教室名称、内存使用率、CPU使用率、C盘使用率，支持按照设备类型、设备名称进行查询筛选；支持按列表展示以及按缩略图展示；</w:t>
            </w:r>
          </w:p>
          <w:p w14:paraId="27EB303B">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kern w:val="0"/>
                <w:szCs w:val="21"/>
              </w:rPr>
              <w:t>4.即时操作控制：批量对选定的受控设备进行关机、重启、触控切换（屏幕触控锁定、解锁）；</w:t>
            </w:r>
          </w:p>
          <w:p w14:paraId="34738CCD">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kern w:val="0"/>
                <w:szCs w:val="21"/>
              </w:rPr>
              <w:t>5.定时操作控制：可远程对选定的设备做定时关机、定时打铃、定时切换信号源、定时信息发布，实现单次、每日循环、每周循环、每月循环的定时控制。支持定时操作列表查询，并可对具体某项定时操作进行再次编辑</w:t>
            </w:r>
          </w:p>
          <w:p w14:paraId="5BE00420">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kern w:val="0"/>
                <w:szCs w:val="21"/>
              </w:rPr>
              <w:t>6.控制列表：支持查看控制列表，查看立即控制、定时计划、信息发布等内容；包含下发命令内容、执行时间、执行策略、已执行数量等内容；</w:t>
            </w:r>
          </w:p>
          <w:p w14:paraId="6F05B083">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kern w:val="0"/>
                <w:szCs w:val="21"/>
              </w:rPr>
              <w:t>8.软件管理：支持上传软件至平台，自动下发；</w:t>
            </w:r>
          </w:p>
          <w:p w14:paraId="68448B27">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9.远程巡课：默认查看当前屏幕画面，实时监控当前设备桌面，支持同时查看70台以上设备；可切换摄像头画面，支持学生画面、教师画面同步教室声音；无需部署本地巡课服务器。 </w:t>
            </w:r>
          </w:p>
          <w:p w14:paraId="573184B4">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kern w:val="0"/>
                <w:szCs w:val="21"/>
              </w:rPr>
              <w:t>10.支持查看摄像头直播画面，6路视频流显示画面，支持每30S进行轮巡。</w:t>
            </w:r>
          </w:p>
          <w:p w14:paraId="1BA4B84F">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kern w:val="0"/>
                <w:szCs w:val="21"/>
              </w:rPr>
              <w:t>11.支持在实训课时进行巡课备注（可以截取屏幕并备注）和教学评价（课程维度点评及课程亮点记录），并可在巡课记录中查看巡课备注以及教学评价的相关信息。</w:t>
            </w:r>
          </w:p>
          <w:p w14:paraId="427A0DF6">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12.视频直播：本地无需部署直播服务器，无需绑定IP地址，云端直接开启直播；可预约直播，选择日期、时间进行预约；直播开始时，接收端弹出10秒倒计时提醒，直播时间结束时，自动关闭直播； </w:t>
            </w:r>
          </w:p>
          <w:p w14:paraId="72A0E38D">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kern w:val="0"/>
                <w:szCs w:val="21"/>
              </w:rPr>
              <w:t>13.可即时向任意选定的设备发布纯文本信息；发布信息后，平台会筛查内容是否含有违规或敏感信息，若无则可发布，若有则会提醒进行修改。下发任何形式的课间文化均需要审核员进行审核，审核员通过才能完成下发任务。</w:t>
            </w:r>
          </w:p>
          <w:p w14:paraId="1541F594">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kern w:val="0"/>
                <w:szCs w:val="21"/>
              </w:rPr>
              <w:t>15.可以对设备的使用情况进行数据统计，统计内容包括设备数量、设备开机率、设备开机时长、软件使用活跃度、设备活跃度排行、设备使用时长分布、设备在线数量、学科使用情况等，并支持数据导出；</w:t>
            </w:r>
          </w:p>
          <w:p w14:paraId="17124689">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kern w:val="0"/>
                <w:szCs w:val="21"/>
              </w:rPr>
              <w:t>16.具备集控运维移动端，可查看设备当前在线数、设备总台数、在线率、开机率等；可实时查看在线离线设备，对一台或多台设备集中管理，交互设备可执行开机、关机、重启和文字发布操作。</w:t>
            </w:r>
          </w:p>
        </w:tc>
        <w:tc>
          <w:tcPr>
            <w:tcW w:w="709"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2038B7D8">
            <w:pPr>
              <w:widowControl/>
              <w:shd w:val="clear" w:color="auto" w:fill="FFFFFF"/>
              <w:jc w:val="center"/>
              <w:rPr>
                <w:rFonts w:ascii="仿宋" w:hAnsi="仿宋" w:eastAsia="仿宋" w:cs="仿宋"/>
                <w:color w:val="000000"/>
                <w:kern w:val="0"/>
                <w:szCs w:val="21"/>
              </w:rPr>
            </w:pPr>
            <w:r>
              <w:rPr>
                <w:rFonts w:hint="eastAsia" w:ascii="仿宋" w:hAnsi="仿宋" w:eastAsia="仿宋" w:cs="仿宋"/>
                <w:color w:val="000000"/>
                <w:kern w:val="0"/>
                <w:szCs w:val="21"/>
              </w:rPr>
              <w:t>1</w:t>
            </w:r>
          </w:p>
        </w:tc>
        <w:tc>
          <w:tcPr>
            <w:tcW w:w="708" w:type="dxa"/>
            <w:tcBorders>
              <w:top w:val="single" w:color="000000" w:sz="4" w:space="0"/>
              <w:left w:val="single" w:color="auto" w:sz="4" w:space="0"/>
              <w:bottom w:val="single" w:color="000000" w:sz="4" w:space="0"/>
              <w:right w:val="single" w:color="auto" w:sz="4" w:space="0"/>
            </w:tcBorders>
            <w:shd w:val="clear" w:color="auto" w:fill="FFFFFF"/>
            <w:noWrap/>
            <w:vAlign w:val="center"/>
          </w:tcPr>
          <w:p w14:paraId="19A244FA">
            <w:pPr>
              <w:widowControl/>
              <w:shd w:val="clear" w:color="auto" w:fill="FFFFFF"/>
              <w:jc w:val="center"/>
              <w:rPr>
                <w:rFonts w:ascii="仿宋" w:hAnsi="仿宋" w:eastAsia="仿宋" w:cs="仿宋"/>
                <w:color w:val="000000"/>
                <w:kern w:val="0"/>
                <w:szCs w:val="21"/>
              </w:rPr>
            </w:pPr>
            <w:r>
              <w:rPr>
                <w:rFonts w:hint="eastAsia" w:ascii="仿宋" w:hAnsi="仿宋" w:eastAsia="仿宋" w:cs="仿宋"/>
                <w:color w:val="000000"/>
                <w:kern w:val="0"/>
                <w:szCs w:val="21"/>
              </w:rPr>
              <w:t>套</w:t>
            </w:r>
          </w:p>
        </w:tc>
      </w:tr>
      <w:tr w14:paraId="2F674560">
        <w:tblPrEx>
          <w:tblCellMar>
            <w:top w:w="0" w:type="dxa"/>
            <w:left w:w="108" w:type="dxa"/>
            <w:bottom w:w="0" w:type="dxa"/>
            <w:right w:w="108" w:type="dxa"/>
          </w:tblCellMar>
        </w:tblPrEx>
        <w:trPr>
          <w:trHeight w:val="288"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236D6">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szCs w:val="21"/>
              </w:rPr>
              <w:t>12</w:t>
            </w:r>
          </w:p>
        </w:tc>
        <w:tc>
          <w:tcPr>
            <w:tcW w:w="73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4C8EA1E">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kern w:val="0"/>
                <w:szCs w:val="21"/>
              </w:rPr>
              <w:t>数字音乐教学互动平台</w:t>
            </w:r>
          </w:p>
        </w:tc>
        <w:tc>
          <w:tcPr>
            <w:tcW w:w="73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FE12FF">
            <w:pPr>
              <w:rPr>
                <w:rFonts w:ascii="仿宋" w:hAnsi="仿宋" w:eastAsia="仿宋" w:cs="仿宋"/>
                <w:color w:val="000000"/>
              </w:rPr>
            </w:pPr>
            <w:r>
              <w:rPr>
                <w:rFonts w:hint="eastAsia" w:ascii="仿宋" w:hAnsi="仿宋" w:eastAsia="仿宋" w:cs="仿宋"/>
                <w:color w:val="000000"/>
              </w:rPr>
              <w:t>一、基本参数</w:t>
            </w:r>
          </w:p>
          <w:p w14:paraId="5B9063E7">
            <w:pPr>
              <w:rPr>
                <w:rFonts w:ascii="仿宋" w:hAnsi="仿宋" w:eastAsia="仿宋" w:cs="仿宋"/>
                <w:color w:val="000000"/>
              </w:rPr>
            </w:pPr>
            <w:r>
              <w:rPr>
                <w:rFonts w:hint="eastAsia" w:ascii="仿宋" w:hAnsi="仿宋" w:eastAsia="仿宋" w:cs="仿宋"/>
                <w:color w:val="000000"/>
              </w:rPr>
              <w:t>1、嵌入式软件平台深度嵌入 Windows 10以上 操作系统，覆盖音乐知识教学、钢琴弹奏实训、乐理体系学习及小乐器演奏教学等专业领域，完美适配九年义务教育、职业教育及高等教育全阶段音乐学科教学需求。</w:t>
            </w:r>
          </w:p>
          <w:p w14:paraId="6C1F4EB0">
            <w:pPr>
              <w:rPr>
                <w:rFonts w:ascii="仿宋" w:hAnsi="仿宋" w:eastAsia="仿宋" w:cs="仿宋"/>
                <w:color w:val="000000"/>
              </w:rPr>
            </w:pPr>
            <w:r>
              <w:rPr>
                <w:rFonts w:hint="eastAsia" w:ascii="仿宋" w:hAnsi="仿宋" w:eastAsia="仿宋" w:cs="仿宋"/>
                <w:color w:val="000000"/>
              </w:rPr>
              <w:t>2、架构采用树型层级设计，点击桌面图标即跳转至二级分选页面，清晰呈现平台核心教学模块的子功能选项矩阵。</w:t>
            </w:r>
          </w:p>
          <w:p w14:paraId="1B3B226D">
            <w:pPr>
              <w:rPr>
                <w:rFonts w:ascii="仿宋" w:hAnsi="仿宋" w:eastAsia="仿宋" w:cs="仿宋"/>
                <w:color w:val="000000"/>
              </w:rPr>
            </w:pPr>
            <w:r>
              <w:rPr>
                <w:rFonts w:hint="eastAsia" w:ascii="仿宋" w:hAnsi="仿宋" w:eastAsia="仿宋" w:cs="仿宋"/>
                <w:color w:val="000000"/>
              </w:rPr>
              <w:t>3、支持简谱与五线谱双谱书写及播放，可显示并编辑教学乐谱，集成乐理教学、视唱训练、音乐实践等多元教学模式；支持音视频素材播放，具备教学课件变速、变调、暂停、循环等操作功能；可调用图片、视频等资料并支持缩放编辑；完整覆盖简线双谱全符号体系，支持谱曲创作、编辑修改、文件输出及打印；显示标准钢琴键位，支持鼠标、键盘、触摸多模态操控。</w:t>
            </w:r>
          </w:p>
          <w:p w14:paraId="05765365">
            <w:pPr>
              <w:rPr>
                <w:rFonts w:ascii="仿宋" w:hAnsi="仿宋" w:eastAsia="仿宋" w:cs="仿宋"/>
                <w:color w:val="000000"/>
              </w:rPr>
            </w:pPr>
            <w:r>
              <w:rPr>
                <w:rFonts w:hint="eastAsia" w:ascii="仿宋" w:hAnsi="仿宋" w:eastAsia="仿宋" w:cs="仿宋"/>
                <w:color w:val="000000"/>
              </w:rPr>
              <w:t>二、五线谱教学系统</w:t>
            </w:r>
          </w:p>
          <w:p w14:paraId="5529DF92">
            <w:pPr>
              <w:rPr>
                <w:rFonts w:ascii="仿宋" w:hAnsi="仿宋" w:eastAsia="仿宋" w:cs="仿宋"/>
                <w:color w:val="000000"/>
              </w:rPr>
            </w:pPr>
            <w:r>
              <w:rPr>
                <w:rFonts w:hint="eastAsia" w:ascii="仿宋" w:hAnsi="仿宋" w:eastAsia="仿宋" w:cs="仿宋"/>
                <w:color w:val="000000"/>
              </w:rPr>
              <w:t>1、支持导入专属五线谱教学课件，且可严格依据学校教学大纲、课程体系及个性化需求进行深度定制化开发。</w:t>
            </w:r>
          </w:p>
          <w:p w14:paraId="35172B5B">
            <w:pPr>
              <w:rPr>
                <w:rFonts w:ascii="仿宋" w:hAnsi="仿宋" w:eastAsia="仿宋" w:cs="仿宋"/>
                <w:color w:val="000000"/>
              </w:rPr>
            </w:pPr>
            <w:r>
              <w:rPr>
                <w:rFonts w:hint="eastAsia" w:ascii="仿宋" w:hAnsi="仿宋" w:eastAsia="仿宋" w:cs="仿宋"/>
                <w:color w:val="000000"/>
              </w:rPr>
              <w:t>2、▲支持教学课件五线谱的精准音频播放，可对谱面调式、音高、节奏、表情标记及演奏符号等要素进行高精度还原播放，特别配备516 种专业级高保真音色，覆盖管弦乐、键盘、民乐、打击乐等全品类乐器音效，充分满足教学场景的多样化音色需求。（提供功能页面截图加盖生产厂家公章加以佐证）</w:t>
            </w:r>
          </w:p>
          <w:p w14:paraId="219A9F0A">
            <w:pPr>
              <w:rPr>
                <w:rFonts w:ascii="仿宋" w:hAnsi="仿宋" w:eastAsia="仿宋" w:cs="仿宋"/>
                <w:color w:val="000000"/>
              </w:rPr>
            </w:pPr>
            <w:r>
              <w:rPr>
                <w:rFonts w:hint="eastAsia" w:ascii="仿宋" w:hAnsi="仿宋" w:eastAsia="仿宋" w:cs="仿宋"/>
                <w:color w:val="000000"/>
              </w:rPr>
              <w:t>3、具有乐谱课件节拍指引功能，支持在乐谱课件正式播放前，进行预节拍指引，采用 MIDI 时间码同步技术，确保预节拍与课件播放的节拍误差控制在±30ms以内，可以在开始播放前进行“打拍子”。</w:t>
            </w:r>
          </w:p>
          <w:p w14:paraId="6AB2A47A">
            <w:pPr>
              <w:rPr>
                <w:rFonts w:ascii="仿宋" w:hAnsi="仿宋" w:eastAsia="仿宋" w:cs="仿宋"/>
                <w:color w:val="000000"/>
              </w:rPr>
            </w:pPr>
            <w:r>
              <w:rPr>
                <w:rFonts w:hint="eastAsia" w:ascii="仿宋" w:hAnsi="仿宋" w:eastAsia="仿宋" w:cs="仿宋"/>
                <w:color w:val="000000"/>
              </w:rPr>
              <w:t>4、系统构建虚拟键盘与五线谱音符的实时映射关系，当乐谱播放时，虚拟键盘上对应音符的琴键将同步高亮显示。具体采用88键全音域标准虚拟键盘，通过时间码同步技术，使五线谱音符与键盘键位实现毫秒级联动，为音乐学习提供可视化的节奏与音高指引。</w:t>
            </w:r>
          </w:p>
          <w:p w14:paraId="75D0ABE4">
            <w:pPr>
              <w:rPr>
                <w:rFonts w:ascii="仿宋" w:hAnsi="仿宋" w:eastAsia="仿宋" w:cs="仿宋"/>
                <w:color w:val="000000"/>
              </w:rPr>
            </w:pPr>
            <w:r>
              <w:rPr>
                <w:rFonts w:hint="eastAsia" w:ascii="仿宋" w:hAnsi="仿宋" w:eastAsia="仿宋" w:cs="仿宋"/>
                <w:color w:val="000000"/>
              </w:rPr>
              <w:t>5、本系统虚拟键盘具备双向实时同步交互功能，点击88键键盘，可触发对应音高，点击课件中五线谱任意音符，可解析引擎毫秒级定位并高亮显示该音符在钢琴键盘的具体键位，实现 "键盘触发-音符定位" 的双向可视化交互，响应延迟≤30ms，精准适配乐理教学与视奏练习场景。</w:t>
            </w:r>
          </w:p>
          <w:p w14:paraId="7D00CE90">
            <w:pPr>
              <w:rPr>
                <w:rFonts w:ascii="仿宋" w:hAnsi="仿宋" w:eastAsia="仿宋" w:cs="仿宋"/>
                <w:color w:val="000000"/>
              </w:rPr>
            </w:pPr>
            <w:r>
              <w:rPr>
                <w:rFonts w:hint="eastAsia" w:ascii="仿宋" w:hAnsi="仿宋" w:eastAsia="仿宋" w:cs="仿宋"/>
                <w:color w:val="000000"/>
              </w:rPr>
              <w:t>6、课件音符支持鼠标滑动式参数编辑，可实时调整音高（全音域半音级精度）与时值（全音符至128分音符），修改可见后，播放效果与乐谱呈现完全同步。</w:t>
            </w:r>
          </w:p>
          <w:p w14:paraId="60758869">
            <w:pPr>
              <w:rPr>
                <w:rFonts w:ascii="仿宋" w:hAnsi="仿宋" w:eastAsia="仿宋" w:cs="仿宋"/>
                <w:color w:val="000000"/>
              </w:rPr>
            </w:pPr>
            <w:r>
              <w:rPr>
                <w:rFonts w:hint="eastAsia" w:ascii="仿宋" w:hAnsi="仿宋" w:eastAsia="仿宋" w:cs="仿宋"/>
                <w:color w:val="000000"/>
              </w:rPr>
              <w:t>7、▲开启键位保留教学模式后，点击虚拟键盘，该虚拟键盘对应键位将同步保持高亮状态不熄灭，直至点击下一个音符或关闭功能，实现演奏轨迹的可视化留存与持续指引。（提供功能页面截图加盖生产厂家公章加以佐证）</w:t>
            </w:r>
          </w:p>
          <w:p w14:paraId="3F300B1A">
            <w:pPr>
              <w:rPr>
                <w:rFonts w:ascii="仿宋" w:hAnsi="仿宋" w:eastAsia="仿宋" w:cs="仿宋"/>
                <w:color w:val="000000"/>
              </w:rPr>
            </w:pPr>
            <w:r>
              <w:rPr>
                <w:rFonts w:hint="eastAsia" w:ascii="仿宋" w:hAnsi="仿宋" w:eastAsia="仿宋" w:cs="仿宋"/>
                <w:color w:val="000000"/>
              </w:rPr>
              <w:t>8、播放窗口实时同步显示乐谱播放的时、分、秒计时，以及当前演奏的小节数与拍数（如 第3小节第2拍），实现毫秒级时间与节拍位置的双重可视化反馈。</w:t>
            </w:r>
          </w:p>
          <w:p w14:paraId="22BC6F7B">
            <w:pPr>
              <w:rPr>
                <w:rFonts w:ascii="仿宋" w:hAnsi="仿宋" w:eastAsia="仿宋" w:cs="仿宋"/>
                <w:color w:val="000000"/>
              </w:rPr>
            </w:pPr>
            <w:r>
              <w:rPr>
                <w:rFonts w:hint="eastAsia" w:ascii="仿宋" w:hAnsi="仿宋" w:eastAsia="仿宋" w:cs="仿宋"/>
                <w:color w:val="000000"/>
              </w:rPr>
              <w:t>9、▲系统配备播放位置滑动标尺，支持双向精准定位：拖动标尺可快速跳转至指定时、分、秒（精度达0.1秒），或直接定位至目标小节的具体拍数（如第5小节第3拍），实现时间轴与乐谱节拍的双维度快速导航。（提供功能页面截图加盖生产厂家公章加以佐证）</w:t>
            </w:r>
          </w:p>
          <w:p w14:paraId="5C19890B">
            <w:pPr>
              <w:rPr>
                <w:rFonts w:ascii="仿宋" w:hAnsi="仿宋" w:eastAsia="仿宋" w:cs="仿宋"/>
                <w:color w:val="000000"/>
              </w:rPr>
            </w:pPr>
            <w:r>
              <w:rPr>
                <w:rFonts w:hint="eastAsia" w:ascii="仿宋" w:hAnsi="仿宋" w:eastAsia="仿宋" w:cs="仿宋"/>
                <w:color w:val="000000"/>
              </w:rPr>
              <w:t>10、系统设有速度滑动调节条，拖动滑块即可实时无级调整课件播放速度，支持 30-240BPM全范围调节，步长精度达 1BPM，实现演奏速度的快速精准控制。</w:t>
            </w:r>
          </w:p>
          <w:p w14:paraId="72270621">
            <w:pPr>
              <w:rPr>
                <w:rFonts w:ascii="仿宋" w:hAnsi="仿宋" w:eastAsia="仿宋" w:cs="仿宋"/>
                <w:color w:val="000000"/>
              </w:rPr>
            </w:pPr>
            <w:r>
              <w:rPr>
                <w:rFonts w:hint="eastAsia" w:ascii="仿宋" w:hAnsi="仿宋" w:eastAsia="仿宋" w:cs="仿宋"/>
                <w:color w:val="000000"/>
              </w:rPr>
              <w:t>11、系统支持自定义循环播放点设置，并配备音量滑动调节标尺，可通过拖动滑块快速调整播放音量，实现0-100%音量无级调节与指定段落循环播放的便捷操控。</w:t>
            </w:r>
          </w:p>
          <w:p w14:paraId="46B588C4">
            <w:pPr>
              <w:rPr>
                <w:rFonts w:ascii="仿宋" w:hAnsi="仿宋" w:eastAsia="仿宋" w:cs="仿宋"/>
                <w:color w:val="000000"/>
              </w:rPr>
            </w:pPr>
            <w:r>
              <w:rPr>
                <w:rFonts w:hint="eastAsia" w:ascii="仿宋" w:hAnsi="仿宋" w:eastAsia="仿宋" w:cs="仿宋"/>
                <w:color w:val="000000"/>
              </w:rPr>
              <w:t>12、在乐谱课件中添加全品类五线谱专业标记，涵盖记谱标记、表情标记与演奏记号，并实现真实演奏效果还原。包括：可添加倚音、自由更换谱号、自定义调号、拍号变更、小节线类型设置；线条标记、琶音符号添加、呼吸与停顿记号；可植入力度记号及演奏法标记。所有标记均通过MIDI音效引擎实现真实音频映射，例如倚音触发快速装饰音演奏、琶音标记生成和弦分解音效、力度记号实时控制音量强弱变化，确保标记视觉呈现与音频播放效果完全同步。</w:t>
            </w:r>
          </w:p>
          <w:p w14:paraId="5D652B2B">
            <w:pPr>
              <w:rPr>
                <w:rFonts w:ascii="仿宋" w:hAnsi="仿宋" w:eastAsia="仿宋" w:cs="仿宋"/>
                <w:color w:val="000000"/>
              </w:rPr>
            </w:pPr>
            <w:r>
              <w:rPr>
                <w:rFonts w:hint="eastAsia" w:ascii="仿宋" w:hAnsi="仿宋" w:eastAsia="仿宋" w:cs="仿宋"/>
                <w:color w:val="000000"/>
              </w:rPr>
              <w:t>13、▲具备专业移调功能，支持音调上下调整与调号自定义修改，移调操作可选择音调向上或音调向下移调，通过调号选择栏快速指定目标调式，移调后乐谱调号、音符位置自动适配新调式，且保持音程关系精准转换；支持对整份乐谱或选中指定小节进行移调处理，移调结果实时同步至五线谱显示与音频播放，五线谱音符位置按新调式自动更新，发音按新调式音高输出，确保移调后乐谱与演奏效果完全符合目标调式规范。（提供功能页面截图加盖生产厂家公章加以佐证）</w:t>
            </w:r>
          </w:p>
          <w:p w14:paraId="15145A2F">
            <w:pPr>
              <w:rPr>
                <w:rFonts w:ascii="仿宋" w:hAnsi="仿宋" w:eastAsia="仿宋" w:cs="仿宋"/>
                <w:color w:val="000000"/>
              </w:rPr>
            </w:pPr>
            <w:r>
              <w:rPr>
                <w:rFonts w:hint="eastAsia" w:ascii="仿宋" w:hAnsi="仿宋" w:eastAsia="仿宋" w:cs="仿宋"/>
                <w:color w:val="000000"/>
              </w:rPr>
              <w:t>14、支持简谱对照功能，可自动生成五线谱与简谱的实时对照表。通过智能谱式转换引擎，将五线谱音符精准映射为对应简谱数字标记及升降号、附点、休止符等符号，同步显示节拍、调号、拍号等谱面要素。</w:t>
            </w:r>
          </w:p>
          <w:p w14:paraId="45423578">
            <w:pPr>
              <w:rPr>
                <w:rFonts w:ascii="仿宋" w:hAnsi="仿宋" w:eastAsia="仿宋" w:cs="仿宋"/>
                <w:color w:val="000000"/>
              </w:rPr>
            </w:pPr>
            <w:r>
              <w:rPr>
                <w:rFonts w:hint="eastAsia" w:ascii="仿宋" w:hAnsi="仿宋" w:eastAsia="仿宋" w:cs="仿宋"/>
                <w:color w:val="000000"/>
              </w:rPr>
              <w:t>15、配备课件素材采样功能，支持对乐谱课件进行精准截图采样，可自由框选指定区域，通过矢量渲染技术将采样内容转换为.svg格式文件，支持无限缩放不失真，采样过程保留谱面所有元素的矢量属性，便于后续编辑与排版应用，满足乐谱素材二次创作与教学资料制作需求。</w:t>
            </w:r>
          </w:p>
          <w:p w14:paraId="67EF5F1E">
            <w:pPr>
              <w:rPr>
                <w:rFonts w:ascii="仿宋" w:hAnsi="仿宋" w:eastAsia="仿宋" w:cs="仿宋"/>
                <w:color w:val="000000"/>
              </w:rPr>
            </w:pPr>
            <w:r>
              <w:rPr>
                <w:rFonts w:hint="eastAsia" w:ascii="仿宋" w:hAnsi="仿宋" w:eastAsia="仿宋" w:cs="仿宋"/>
                <w:color w:val="000000"/>
              </w:rPr>
              <w:t>16、支持速度参数实时修改，直接编辑乐谱上的速度标记数字（如将♩=120改为♩=90），乐谱播放速度将同步按新参数实时调整，支持30-240BPM全范围动态变更，响应延迟≤50ms，确保速度标记修改与音频播放效果即时同步。</w:t>
            </w:r>
          </w:p>
          <w:p w14:paraId="6E34E424">
            <w:pPr>
              <w:rPr>
                <w:rFonts w:ascii="仿宋" w:hAnsi="仿宋" w:eastAsia="仿宋" w:cs="仿宋"/>
                <w:color w:val="000000"/>
              </w:rPr>
            </w:pPr>
            <w:r>
              <w:rPr>
                <w:rFonts w:hint="eastAsia" w:ascii="仿宋" w:hAnsi="仿宋" w:eastAsia="仿宋" w:cs="仿宋"/>
                <w:color w:val="000000"/>
              </w:rPr>
              <w:t>17、支持虚拟键盘的灵活布局与键位自定义，可将键盘固定于页面指定位置，或设置为悬浮窗口自由拖动，支持5键至88键全音域自由选择，通过参数设置快速切换半音组数量，满足从入门教学到专业演奏的键位需求。</w:t>
            </w:r>
          </w:p>
          <w:p w14:paraId="4F4734E0">
            <w:pPr>
              <w:rPr>
                <w:rFonts w:ascii="仿宋" w:hAnsi="仿宋" w:eastAsia="仿宋" w:cs="仿宋"/>
                <w:color w:val="000000"/>
              </w:rPr>
            </w:pPr>
            <w:r>
              <w:rPr>
                <w:rFonts w:hint="eastAsia" w:ascii="仿宋" w:hAnsi="仿宋" w:eastAsia="仿宋" w:cs="仿宋"/>
                <w:color w:val="000000"/>
              </w:rPr>
              <w:t>18、支持数码钢琴接入功能，实现虚拟键盘与音符输入的双向实时同步，连接数码钢琴后，琴键演奏动作与虚拟键盘按键状态实时映射，音符输入同步显示于乐谱课件，可调用数码钢琴内置音色库替换系统默认音色，支持通过数码钢琴控制面板直接切换音色，实现演奏音色的硬件级自定义，满足专业演奏与教学的音色需求。</w:t>
            </w:r>
          </w:p>
          <w:p w14:paraId="4241D806">
            <w:pPr>
              <w:rPr>
                <w:rFonts w:ascii="仿宋" w:hAnsi="仿宋" w:eastAsia="仿宋" w:cs="仿宋"/>
                <w:color w:val="000000"/>
              </w:rPr>
            </w:pPr>
            <w:r>
              <w:rPr>
                <w:rFonts w:hint="eastAsia" w:ascii="仿宋" w:hAnsi="仿宋" w:eastAsia="仿宋" w:cs="仿宋"/>
                <w:color w:val="000000"/>
              </w:rPr>
              <w:t>三、五线谱编创系统</w:t>
            </w:r>
          </w:p>
          <w:p w14:paraId="0EE9887B">
            <w:pPr>
              <w:rPr>
                <w:rFonts w:ascii="仿宋" w:hAnsi="仿宋" w:eastAsia="仿宋" w:cs="仿宋"/>
                <w:color w:val="000000"/>
              </w:rPr>
            </w:pPr>
            <w:r>
              <w:rPr>
                <w:rFonts w:hint="eastAsia" w:ascii="仿宋" w:hAnsi="仿宋" w:eastAsia="仿宋" w:cs="仿宋"/>
                <w:color w:val="000000"/>
              </w:rPr>
              <w:t>1、专为教师课件制作设计，支持多维度乐谱课件编辑与管理，可自定义课件内曲目名称、作词 / 作曲者信息及其他说明性文本，具备打印输出与缩略图预览功能，缩略图模式支持多课件快速浏览与排序，满足教学资料制作与归档需求。</w:t>
            </w:r>
          </w:p>
          <w:p w14:paraId="7C992C18">
            <w:pPr>
              <w:rPr>
                <w:rFonts w:ascii="仿宋" w:hAnsi="仿宋" w:eastAsia="仿宋" w:cs="仿宋"/>
                <w:color w:val="000000"/>
              </w:rPr>
            </w:pPr>
            <w:r>
              <w:rPr>
                <w:rFonts w:hint="eastAsia" w:ascii="仿宋" w:hAnsi="仿宋" w:eastAsia="仿宋" w:cs="仿宋"/>
                <w:color w:val="000000"/>
              </w:rPr>
              <w:t>2、可一键新建高音谱表、低音谱表及大谱表，满足不同声部记谱需求，预设常用节拍、速度及小节数量模板，支持自定义修改，提供15种国际通用调号，支持一键切换，同步更新谱面调号标记与音高逻辑。</w:t>
            </w:r>
          </w:p>
          <w:p w14:paraId="22881355">
            <w:pPr>
              <w:rPr>
                <w:rFonts w:ascii="仿宋" w:hAnsi="仿宋" w:eastAsia="仿宋" w:cs="仿宋"/>
                <w:color w:val="000000"/>
              </w:rPr>
            </w:pPr>
            <w:r>
              <w:rPr>
                <w:rFonts w:hint="eastAsia" w:ascii="仿宋" w:hAnsi="仿宋" w:eastAsia="仿宋" w:cs="仿宋"/>
                <w:color w:val="000000"/>
              </w:rPr>
              <w:t>3、快捷生成不完全小节，可自定义不完全小节的音符数量及时值类型，通过参数滑块或输入框精准设定，选定参数后系统自动计算节拍空缺值，生成符合乐理规则的不完全小节，同步适配当前谱面的拍号与调式规范，支持单声部与多声部同时生成。</w:t>
            </w:r>
          </w:p>
          <w:p w14:paraId="1C645F43">
            <w:pPr>
              <w:rPr>
                <w:rFonts w:ascii="仿宋" w:hAnsi="仿宋" w:eastAsia="仿宋" w:cs="仿宋"/>
                <w:color w:val="000000"/>
              </w:rPr>
            </w:pPr>
            <w:r>
              <w:rPr>
                <w:rFonts w:hint="eastAsia" w:ascii="仿宋" w:hAnsi="仿宋" w:eastAsia="仿宋" w:cs="仿宋"/>
                <w:color w:val="000000"/>
              </w:rPr>
              <w:t>4、▲支持高级节拍自定义功能，可手动设置一小节内的节拍数量与时值类型，突破常规节拍限制，支持如5/8、7/16等非常规节拍组合，根据自定义节拍结构自动生成强弱音模式（如复拍子的次强音标记），并通过音频节拍器同步输出，满足罕见节拍的精准教学需求。（提供功能页面截图加盖生产厂家公章加以佐证）</w:t>
            </w:r>
          </w:p>
          <w:p w14:paraId="6E3A8467">
            <w:pPr>
              <w:rPr>
                <w:rFonts w:ascii="仿宋" w:hAnsi="仿宋" w:eastAsia="仿宋" w:cs="仿宋"/>
                <w:color w:val="000000"/>
              </w:rPr>
            </w:pPr>
            <w:r>
              <w:rPr>
                <w:rFonts w:hint="eastAsia" w:ascii="仿宋" w:hAnsi="仿宋" w:eastAsia="仿宋" w:cs="仿宋"/>
                <w:color w:val="000000"/>
              </w:rPr>
              <w:t>5、搭载多轨乐谱编辑器，依托516种丰富音色库，为音乐教学与创作提供多元解决方案，支持自由调用不同乐器音色，一键生成组合谱表，创建数量不限的独立乐器音轨。各音轨音色与所选乐器精准匹配，可通过拖拽操作灵活调整音轨排列顺序。同时，针对不同乐器特性，提供差异化谱表创建选项，例如钢琴音轨可单独选择高音谱表、低音谱表或大谱表，弦乐器音轨可定制专属五线谱布局，满足复杂合奏教学与多声部乐谱编排需求，实现视觉呈现与听觉效果的高度统一。</w:t>
            </w:r>
          </w:p>
          <w:p w14:paraId="50E3E429">
            <w:pPr>
              <w:rPr>
                <w:rFonts w:ascii="仿宋" w:hAnsi="仿宋" w:eastAsia="仿宋" w:cs="仿宋"/>
                <w:color w:val="000000"/>
              </w:rPr>
            </w:pPr>
            <w:r>
              <w:rPr>
                <w:rFonts w:hint="eastAsia" w:ascii="仿宋" w:hAnsi="仿宋" w:eastAsia="仿宋" w:cs="仿宋"/>
                <w:color w:val="000000"/>
              </w:rPr>
              <w:t>6、系统全面覆盖小乐器教学需求，支持多样化专业谱表创建：可根据教学场景灵活生成四线谱（适用于尤克里里等）、六线谱（吉他专用）、鼓谱（精准标注鼓点与镲片位置）、吉他和弦谱（含指法图示与和弦名称标注）、钢琴指法谱（标记指法数字与触键顺序）等。每种谱表均配备对应编辑工具，确保音符、节奏、演奏记号等元素精准呈现，助力不同乐器的专项教学与练习。</w:t>
            </w:r>
          </w:p>
          <w:p w14:paraId="4B9966D9">
            <w:pPr>
              <w:rPr>
                <w:rFonts w:ascii="仿宋" w:hAnsi="仿宋" w:eastAsia="仿宋" w:cs="仿宋"/>
                <w:color w:val="000000"/>
              </w:rPr>
            </w:pPr>
            <w:r>
              <w:rPr>
                <w:rFonts w:hint="eastAsia" w:ascii="仿宋" w:hAnsi="仿宋" w:eastAsia="仿宋" w:cs="仿宋"/>
                <w:color w:val="000000"/>
              </w:rPr>
              <w:t>7、支持预设乐谱小节数量与常用音符快捷输入功能，可在新建乐谱时自定义预设小节数量，快速搭建乐谱框架。</w:t>
            </w:r>
          </w:p>
          <w:p w14:paraId="7C973EAC">
            <w:pPr>
              <w:rPr>
                <w:rFonts w:ascii="仿宋" w:hAnsi="仿宋" w:eastAsia="仿宋" w:cs="仿宋"/>
                <w:color w:val="000000"/>
              </w:rPr>
            </w:pPr>
            <w:r>
              <w:rPr>
                <w:rFonts w:hint="eastAsia" w:ascii="仿宋" w:hAnsi="仿宋" w:eastAsia="仿宋" w:cs="仿宋"/>
                <w:color w:val="000000"/>
              </w:rPr>
              <w:t>8、支持全品类罕见音符与特殊记号输入，满足专业乐谱编辑需求，可输入32分音符、64 分音符、128分音符，支持单音与连音组合，精准标记快速乐段，提供二全音符、四全音符，适配长音持续演奏场景，支持重升、重降记号插入以及双附点标记，满足复杂调性与节奏变化需求。</w:t>
            </w:r>
          </w:p>
          <w:p w14:paraId="07C5FFB5">
            <w:pPr>
              <w:rPr>
                <w:rFonts w:ascii="仿宋" w:hAnsi="仿宋" w:eastAsia="仿宋" w:cs="仿宋"/>
                <w:color w:val="000000"/>
              </w:rPr>
            </w:pPr>
            <w:r>
              <w:rPr>
                <w:rFonts w:hint="eastAsia" w:ascii="仿宋" w:hAnsi="仿宋" w:eastAsia="仿宋" w:cs="仿宋"/>
                <w:color w:val="000000"/>
              </w:rPr>
              <w:t>9、提供专业级五线谱标记编辑功能，支持全场景音乐表达，涵盖常用五线谱记谱法（连音线、延音线）、演奏技巧记号（滑音、倚音、琶音）及表情术语（力度记号、速度标记），所有标记均实现真实音频映射，确保视觉标记与演奏效果同步呈现，支持自由设置符杠方向及连接属性，兼顾乐理准确性与视觉美观性。</w:t>
            </w:r>
          </w:p>
          <w:p w14:paraId="3A85E63F">
            <w:pPr>
              <w:rPr>
                <w:rFonts w:ascii="仿宋" w:hAnsi="仿宋" w:eastAsia="仿宋" w:cs="仿宋"/>
                <w:color w:val="000000"/>
              </w:rPr>
            </w:pPr>
            <w:r>
              <w:rPr>
                <w:rFonts w:hint="eastAsia" w:ascii="仿宋" w:hAnsi="仿宋" w:eastAsia="仿宋" w:cs="仿宋"/>
                <w:color w:val="000000"/>
              </w:rPr>
              <w:t>10、系统支持全时值三连音快速创建与真实音频还原，可自由生成不同时值的三连音组合（如四分音符三连音、八分音符三连音等），通过快捷键或符号面板一键插入，每个三连音标记均关联专业MIDI音效引擎，播放时精准呈现 "三音占两拍" 的特殊节奏效果，确保理论标记与实际演奏音效完全一致。</w:t>
            </w:r>
          </w:p>
          <w:p w14:paraId="32DB89D1">
            <w:pPr>
              <w:rPr>
                <w:rFonts w:ascii="仿宋" w:hAnsi="仿宋" w:eastAsia="仿宋" w:cs="仿宋"/>
                <w:color w:val="000000"/>
              </w:rPr>
            </w:pPr>
            <w:r>
              <w:rPr>
                <w:rFonts w:hint="eastAsia" w:ascii="仿宋" w:hAnsi="仿宋" w:eastAsia="仿宋" w:cs="仿宋"/>
                <w:color w:val="000000"/>
              </w:rPr>
              <w:t>11、系统支持谱表排版模式自由切换，满足不同展示与打印需求，谱表按 A4标准纸张规格分页排版，自动适配页边距与行距，便于打印成册或分页查看；谱表横向无限延展（不受版面限制），支持长篇幅乐谱的连续编辑与滚动浏览，适合总谱预览或即兴创作场景。两种模式均可实时调整谱表缩放比例（30%-200%），并自动优化音符、标记的间距布局，确保视觉呈现清晰规范。</w:t>
            </w:r>
          </w:p>
          <w:p w14:paraId="1E096A90">
            <w:pPr>
              <w:rPr>
                <w:rFonts w:ascii="仿宋" w:hAnsi="仿宋" w:eastAsia="仿宋" w:cs="仿宋"/>
                <w:color w:val="000000"/>
              </w:rPr>
            </w:pPr>
            <w:r>
              <w:rPr>
                <w:rFonts w:hint="eastAsia" w:ascii="仿宋" w:hAnsi="仿宋" w:eastAsia="仿宋" w:cs="仿宋"/>
                <w:color w:val="000000"/>
              </w:rPr>
              <w:t>12、支持MIDI格式文件的导入与课件化处理，可直接读取标准MIDI文件，自动解析其中的音符、节奏、表情记号等信息并转换为可视化五线谱 / 简谱课件，生成的课件可直接用于教学演示，也可二次编辑修改，满足MIDI乐谱的教学应用与改编需求。</w:t>
            </w:r>
          </w:p>
          <w:p w14:paraId="5B0443FE">
            <w:pPr>
              <w:rPr>
                <w:rFonts w:ascii="仿宋" w:hAnsi="仿宋" w:eastAsia="仿宋" w:cs="仿宋"/>
                <w:color w:val="000000"/>
              </w:rPr>
            </w:pPr>
            <w:r>
              <w:rPr>
                <w:rFonts w:hint="eastAsia" w:ascii="仿宋" w:hAnsi="仿宋" w:eastAsia="仿宋" w:cs="仿宋"/>
                <w:color w:val="000000"/>
              </w:rPr>
              <w:t>四、简谱教学系统</w:t>
            </w:r>
          </w:p>
          <w:p w14:paraId="473EB5A2">
            <w:pPr>
              <w:rPr>
                <w:rFonts w:ascii="仿宋" w:hAnsi="仿宋" w:eastAsia="仿宋" w:cs="仿宋"/>
                <w:color w:val="000000"/>
              </w:rPr>
            </w:pPr>
            <w:r>
              <w:rPr>
                <w:rFonts w:hint="eastAsia" w:ascii="仿宋" w:hAnsi="仿宋" w:eastAsia="仿宋" w:cs="仿宋"/>
                <w:color w:val="000000"/>
              </w:rPr>
              <w:t>1、独立的简谱教学模块，具有识谱教学、乐谱创作、简谱打谱等功能。</w:t>
            </w:r>
          </w:p>
          <w:p w14:paraId="49887BA9">
            <w:pPr>
              <w:rPr>
                <w:rFonts w:ascii="仿宋" w:hAnsi="仿宋" w:eastAsia="仿宋" w:cs="仿宋"/>
                <w:color w:val="000000"/>
              </w:rPr>
            </w:pPr>
            <w:r>
              <w:rPr>
                <w:rFonts w:hint="eastAsia" w:ascii="仿宋" w:hAnsi="仿宋" w:eastAsia="仿宋" w:cs="仿宋"/>
                <w:color w:val="000000"/>
              </w:rPr>
              <w:t>2、可新建多种不同规格的谱表，可预设或修改多种调式、播放速度、声部数量。</w:t>
            </w:r>
          </w:p>
          <w:p w14:paraId="4FC970B3">
            <w:pPr>
              <w:rPr>
                <w:rFonts w:ascii="仿宋" w:hAnsi="仿宋" w:eastAsia="仿宋" w:cs="仿宋"/>
                <w:color w:val="000000"/>
              </w:rPr>
            </w:pPr>
            <w:r>
              <w:rPr>
                <w:rFonts w:hint="eastAsia" w:ascii="仿宋" w:hAnsi="仿宋" w:eastAsia="仿宋" w:cs="仿宋"/>
                <w:color w:val="000000"/>
              </w:rPr>
              <w:t>3、乐谱可以播放并修改，谱表支持双指滑动缩放及拖拽。</w:t>
            </w:r>
          </w:p>
          <w:p w14:paraId="6466E340">
            <w:pPr>
              <w:rPr>
                <w:rFonts w:ascii="仿宋" w:hAnsi="仿宋" w:eastAsia="仿宋" w:cs="仿宋"/>
                <w:color w:val="000000"/>
              </w:rPr>
            </w:pPr>
            <w:r>
              <w:rPr>
                <w:rFonts w:hint="eastAsia" w:ascii="仿宋" w:hAnsi="仿宋" w:eastAsia="仿宋" w:cs="仿宋"/>
                <w:color w:val="000000"/>
              </w:rPr>
              <w:t>4、内置多种逼真音色，具有标准简谱书写规则，支持简谱表情标记、演奏标记输入。</w:t>
            </w:r>
          </w:p>
          <w:p w14:paraId="590C045B">
            <w:pPr>
              <w:rPr>
                <w:rFonts w:ascii="仿宋" w:hAnsi="仿宋" w:eastAsia="仿宋" w:cs="仿宋"/>
                <w:color w:val="000000"/>
              </w:rPr>
            </w:pPr>
            <w:r>
              <w:rPr>
                <w:rFonts w:hint="eastAsia" w:ascii="仿宋" w:hAnsi="仿宋" w:eastAsia="仿宋" w:cs="仿宋"/>
                <w:color w:val="000000"/>
              </w:rPr>
              <w:t>5、系统搭载专业级文本输入与歌词处理引擎，实现智能化歌词编辑与排版，支持歌词、标题、注释等多类型文本输入，输入歌词时自动按音符时值匹配位置，支持逐字、逐句对齐模式，输入汉字后系统实时生成对应拼音标注，拼音位置与字体大小自动适配歌词排版，特别适合儿童歌曲、语言教学类乐谱制作，兼顾识谱与语言学习需求。</w:t>
            </w:r>
          </w:p>
          <w:p w14:paraId="3DEA7EB8">
            <w:pPr>
              <w:rPr>
                <w:rFonts w:ascii="仿宋" w:hAnsi="仿宋" w:eastAsia="仿宋" w:cs="仿宋"/>
                <w:color w:val="000000"/>
              </w:rPr>
            </w:pPr>
            <w:r>
              <w:rPr>
                <w:rFonts w:hint="eastAsia" w:ascii="仿宋" w:hAnsi="仿宋" w:eastAsia="仿宋" w:cs="仿宋"/>
                <w:color w:val="000000"/>
              </w:rPr>
              <w:t>6、配备专业简谱三连音教学插件，支持在简谱中快速插入不同时值的三连音（如四分音符三连音、八分音符三连音等），通过符号面板或快捷键一键调用，三连音数字标记与括号自动适配简谱排版规则，每个三连音标记关联独立音频引擎，播放时精准呈现"三音占两拍"的特殊节奏效果，可与常规音符混合编排，配合节拍器同步输出强弱音，辅助学生理解复杂节奏型。</w:t>
            </w:r>
          </w:p>
          <w:p w14:paraId="3FAFFC48">
            <w:pPr>
              <w:rPr>
                <w:rFonts w:ascii="仿宋" w:hAnsi="仿宋" w:eastAsia="仿宋" w:cs="仿宋"/>
                <w:color w:val="000000"/>
              </w:rPr>
            </w:pPr>
            <w:r>
              <w:rPr>
                <w:rFonts w:hint="eastAsia" w:ascii="仿宋" w:hAnsi="仿宋" w:eastAsia="仿宋" w:cs="仿宋"/>
                <w:color w:val="000000"/>
              </w:rPr>
              <w:t>7、具备多声部简谱课件编辑能力，支持创建不少于 3个独立声部的简谱课件，各声部可独立编写旋律与节奏，实现丰富的和声编排，每个声部均能添加4段歌词，通过智能文本输入系统，歌词可自动按音符节奏精准对齐。搭载智能拼音标注功能，输入汉字后，系统将实时自动匹配并添加标准拼音。</w:t>
            </w:r>
          </w:p>
          <w:p w14:paraId="16E1642A">
            <w:pPr>
              <w:rPr>
                <w:rFonts w:ascii="仿宋" w:hAnsi="仿宋" w:eastAsia="仿宋" w:cs="仿宋"/>
                <w:color w:val="000000"/>
              </w:rPr>
            </w:pPr>
            <w:r>
              <w:rPr>
                <w:rFonts w:hint="eastAsia" w:ascii="仿宋" w:hAnsi="仿宋" w:eastAsia="仿宋" w:cs="仿宋"/>
                <w:color w:val="000000"/>
              </w:rPr>
              <w:t>8、支持教学乐谱的"去音高化"节奏播放模式，可将含音高信息的乐谱课件一键转换为纯节奏输出，剔除音高频率信息。</w:t>
            </w:r>
          </w:p>
          <w:p w14:paraId="59F140EC">
            <w:pPr>
              <w:rPr>
                <w:rFonts w:ascii="仿宋" w:hAnsi="仿宋" w:eastAsia="仿宋" w:cs="仿宋"/>
                <w:color w:val="000000"/>
              </w:rPr>
            </w:pPr>
            <w:r>
              <w:rPr>
                <w:rFonts w:hint="eastAsia" w:ascii="仿宋" w:hAnsi="仿宋" w:eastAsia="仿宋" w:cs="仿宋"/>
                <w:color w:val="000000"/>
              </w:rPr>
              <w:t>9、搭载节奏输入插件，构建纯节奏教学的高效编辑体系，支持通过「X」符号快速输入纯节奏型，涵盖全音符至六十四分音符时值，可添加附点、连音线等节奏修饰，适配2/4、5/8 等常规与复杂拍号。</w:t>
            </w:r>
          </w:p>
          <w:p w14:paraId="7F4A2802">
            <w:pPr>
              <w:rPr>
                <w:rFonts w:ascii="仿宋" w:hAnsi="仿宋" w:eastAsia="仿宋" w:cs="仿宋"/>
                <w:color w:val="000000"/>
              </w:rPr>
            </w:pPr>
            <w:r>
              <w:rPr>
                <w:rFonts w:hint="eastAsia" w:ascii="仿宋" w:hAnsi="仿宋" w:eastAsia="仿宋" w:cs="仿宋"/>
                <w:color w:val="000000"/>
              </w:rPr>
              <w:t>五、音乐乐理教学系统</w:t>
            </w:r>
          </w:p>
          <w:p w14:paraId="79E8990C">
            <w:pPr>
              <w:rPr>
                <w:rFonts w:ascii="仿宋" w:hAnsi="仿宋" w:eastAsia="仿宋" w:cs="仿宋"/>
                <w:color w:val="000000"/>
              </w:rPr>
            </w:pPr>
            <w:r>
              <w:rPr>
                <w:rFonts w:hint="eastAsia" w:ascii="仿宋" w:hAnsi="仿宋" w:eastAsia="仿宋" w:cs="仿宋"/>
                <w:color w:val="000000"/>
              </w:rPr>
              <w:t>1、多维界面布局，主界面集成大谱表、可弹奏发光虚拟键盘、调式转换循环轮盘、简谱显示窗口与唱名显示窗口，各元素协同呈现，形成完整的调式学习生态。</w:t>
            </w:r>
          </w:p>
          <w:p w14:paraId="3C054220">
            <w:pPr>
              <w:rPr>
                <w:rFonts w:ascii="仿宋" w:hAnsi="仿宋" w:eastAsia="仿宋" w:cs="仿宋"/>
                <w:color w:val="000000"/>
              </w:rPr>
            </w:pPr>
            <w:r>
              <w:rPr>
                <w:rFonts w:hint="eastAsia" w:ascii="仿宋" w:hAnsi="仿宋" w:eastAsia="仿宋" w:cs="仿宋"/>
                <w:color w:val="000000"/>
              </w:rPr>
              <w:t>2、五度循环智能切换，系统主页面集成可视化调式教学模块，以五度循环图为核心构建调式认知体系，动态展示12个半音构成的调式关系网，每个调式节点支持点击切换，直观呈现五度相生规律，切换调式后，五线谱区域自动更新当前调式的调号标记，并从主音到八度音完整显示音阶，简谱窗口自动转换为对应调式的数字记谱，形成「循环图-谱表-键盘-简谱」的四维联动，帮助学生理解调式转换中的音高逻辑与记谱规则。</w:t>
            </w:r>
          </w:p>
          <w:p w14:paraId="30E38D35">
            <w:pPr>
              <w:rPr>
                <w:rFonts w:ascii="仿宋" w:hAnsi="仿宋" w:eastAsia="仿宋" w:cs="仿宋"/>
                <w:color w:val="000000"/>
              </w:rPr>
            </w:pPr>
            <w:r>
              <w:rPr>
                <w:rFonts w:hint="eastAsia" w:ascii="仿宋" w:hAnsi="仿宋" w:eastAsia="仿宋" w:cs="仿宋"/>
                <w:color w:val="000000"/>
              </w:rPr>
              <w:t>3、音键联动指引，五线谱音阶垂直悬浮于虚拟键盘正上方，精准对应 Do、Re、Mi 等八个基础音级。调式切换时，调号、音阶位置与键盘关联指引同步刷新，强化 "谱面 - 键位" 对应关系。。</w:t>
            </w:r>
          </w:p>
          <w:p w14:paraId="409B7737">
            <w:pPr>
              <w:rPr>
                <w:rFonts w:ascii="仿宋" w:hAnsi="仿宋" w:eastAsia="仿宋" w:cs="仿宋"/>
                <w:color w:val="000000"/>
              </w:rPr>
            </w:pPr>
            <w:r>
              <w:rPr>
                <w:rFonts w:hint="eastAsia" w:ascii="仿宋" w:hAnsi="仿宋" w:eastAsia="仿宋" w:cs="仿宋"/>
                <w:color w:val="000000"/>
              </w:rPr>
              <w:t>4、跨设备实时响应，与数码钢琴无缝连接，当用户弹奏实体键盘时，虚拟键盘与五线谱音阶同步高亮发声，简谱与唱名窗口即时显示对应内容，实现虚实交互的演奏体验。</w:t>
            </w:r>
          </w:p>
          <w:p w14:paraId="5564BE09">
            <w:pPr>
              <w:rPr>
                <w:rFonts w:ascii="仿宋" w:hAnsi="仿宋" w:eastAsia="仿宋" w:cs="仿宋"/>
                <w:color w:val="000000"/>
              </w:rPr>
            </w:pPr>
            <w:r>
              <w:rPr>
                <w:rFonts w:hint="eastAsia" w:ascii="仿宋" w:hAnsi="仿宋" w:eastAsia="仿宋" w:cs="仿宋"/>
                <w:color w:val="000000"/>
              </w:rPr>
              <w:t>5、双向动态反馈，支持音阶与虚拟键盘双向高亮互动，点击虚拟键盘琴键，五线谱对应音阶即刻亮起；反之点击音阶，虚拟键盘相应键位同步闪烁，深化音高位置认知。</w:t>
            </w:r>
          </w:p>
          <w:p w14:paraId="21B1DCEE">
            <w:pPr>
              <w:rPr>
                <w:rFonts w:ascii="仿宋" w:hAnsi="仿宋" w:eastAsia="仿宋" w:cs="仿宋"/>
                <w:color w:val="000000"/>
              </w:rPr>
            </w:pPr>
            <w:r>
              <w:rPr>
                <w:rFonts w:hint="eastAsia" w:ascii="仿宋" w:hAnsi="仿宋" w:eastAsia="仿宋" w:cs="仿宋"/>
                <w:color w:val="000000"/>
              </w:rPr>
              <w:t>6、专业音色与节奏控制，内置 128 种 GM 标准音色，配备节奏练习开关及速度、音量调节滑块，满足多样化练习需求，适配不同难度节奏训练。。</w:t>
            </w:r>
          </w:p>
          <w:p w14:paraId="76FF1E53">
            <w:pPr>
              <w:rPr>
                <w:rFonts w:ascii="仿宋" w:hAnsi="仿宋" w:eastAsia="仿宋" w:cs="仿宋"/>
                <w:color w:val="000000"/>
              </w:rPr>
            </w:pPr>
            <w:r>
              <w:rPr>
                <w:rFonts w:hint="eastAsia" w:ascii="仿宋" w:hAnsi="仿宋" w:eastAsia="仿宋" w:cs="仿宋"/>
                <w:color w:val="000000"/>
              </w:rPr>
              <w:t>7、高亮保留功能，具备键位持续高亮机制，按下虚拟或外接键盘后，对应虚拟键盘键位、五线谱音阶、简谱及唱名信息将保持显示状态，直至触发下一个音符或手动关闭，便于逐音分析与教学演示。</w:t>
            </w:r>
          </w:p>
          <w:p w14:paraId="6206EAAA">
            <w:pPr>
              <w:rPr>
                <w:rFonts w:ascii="仿宋" w:hAnsi="仿宋" w:eastAsia="仿宋" w:cs="仿宋"/>
                <w:color w:val="000000"/>
              </w:rPr>
            </w:pPr>
            <w:r>
              <w:rPr>
                <w:rFonts w:hint="eastAsia" w:ascii="仿宋" w:hAnsi="仿宋" w:eastAsia="仿宋" w:cs="仿宋"/>
                <w:color w:val="000000"/>
              </w:rPr>
              <w:t>六、</w:t>
            </w:r>
            <w:r>
              <w:rPr>
                <w:rFonts w:hint="eastAsia" w:ascii="仿宋" w:hAnsi="仿宋" w:eastAsia="仿宋" w:cs="仿宋"/>
                <w:color w:val="000000"/>
                <w:szCs w:val="21"/>
              </w:rPr>
              <w:t>音程教学模块系统</w:t>
            </w:r>
          </w:p>
          <w:p w14:paraId="0316CDE9">
            <w:pPr>
              <w:rPr>
                <w:rFonts w:ascii="仿宋" w:hAnsi="仿宋" w:eastAsia="仿宋" w:cs="仿宋"/>
                <w:color w:val="000000"/>
              </w:rPr>
            </w:pPr>
            <w:r>
              <w:rPr>
                <w:rFonts w:hint="eastAsia" w:ascii="仿宋" w:hAnsi="仿宋" w:eastAsia="仿宋" w:cs="仿宋"/>
                <w:color w:val="000000"/>
              </w:rPr>
              <w:t>1、专业教学界面布局，专属页面配备一组完整呈现 88 个上行音阶的大谱表，搭配 88 键双色发光可弹奏虚拟键盘，辅以音名显示窗口，构建专业且直观的学习场景。​</w:t>
            </w:r>
          </w:p>
          <w:p w14:paraId="29D62F26">
            <w:pPr>
              <w:rPr>
                <w:rFonts w:ascii="仿宋" w:hAnsi="仿宋" w:eastAsia="仿宋" w:cs="仿宋"/>
                <w:color w:val="000000"/>
              </w:rPr>
            </w:pPr>
            <w:r>
              <w:rPr>
                <w:rFonts w:hint="eastAsia" w:ascii="仿宋" w:hAnsi="仿宋" w:eastAsia="仿宋" w:cs="仿宋"/>
                <w:color w:val="000000"/>
              </w:rPr>
              <w:t>2、音程教学模式可视化，在音程教学模式下，88 个音级音阶垂直悬浮于双色虚拟键盘正上方，清晰展现钢琴键盘与五线谱音阶的对应关系，帮助学习者快速建立空间认知。​</w:t>
            </w:r>
          </w:p>
          <w:p w14:paraId="3618DD1C">
            <w:pPr>
              <w:rPr>
                <w:rFonts w:ascii="仿宋" w:hAnsi="仿宋" w:eastAsia="仿宋" w:cs="仿宋"/>
                <w:color w:val="000000"/>
              </w:rPr>
            </w:pPr>
            <w:r>
              <w:rPr>
                <w:rFonts w:hint="eastAsia" w:ascii="仿宋" w:hAnsi="仿宋" w:eastAsia="仿宋" w:cs="仿宋"/>
                <w:color w:val="000000"/>
              </w:rPr>
              <w:t>3、实时交互高亮反馈，当用户弹奏钢琴键盘，虚拟键盘对应键位与正上方音阶即刻高亮显示，形成动态视觉反馈，强化音高位置与谱面符号的关联记忆。​</w:t>
            </w:r>
          </w:p>
          <w:p w14:paraId="1FE12526">
            <w:pPr>
              <w:rPr>
                <w:rFonts w:ascii="仿宋" w:hAnsi="仿宋" w:eastAsia="仿宋" w:cs="仿宋"/>
                <w:color w:val="000000"/>
              </w:rPr>
            </w:pPr>
            <w:r>
              <w:rPr>
                <w:rFonts w:hint="eastAsia" w:ascii="仿宋" w:hAnsi="仿宋" w:eastAsia="仿宋" w:cs="仿宋"/>
                <w:color w:val="000000"/>
              </w:rPr>
              <w:t>4、双色区分设计，虚拟键盘与音阶采用双色显示方案，钢琴白键及其对应音阶以红色高亮，黑键及对应音阶则呈现蓝色，通过色彩差异进一步增强视觉辨识度，辅助学习者快速区分键位属性。​</w:t>
            </w:r>
          </w:p>
          <w:p w14:paraId="06E009E6">
            <w:pPr>
              <w:rPr>
                <w:rFonts w:ascii="仿宋" w:hAnsi="仿宋" w:eastAsia="仿宋" w:cs="仿宋"/>
                <w:color w:val="000000"/>
              </w:rPr>
            </w:pPr>
            <w:r>
              <w:rPr>
                <w:rFonts w:hint="eastAsia" w:ascii="仿宋" w:hAnsi="仿宋" w:eastAsia="仿宋" w:cs="仿宋"/>
                <w:color w:val="000000"/>
              </w:rPr>
              <w:t>5、双向联动高亮机制，支持音阶与虚拟键盘双向交互，点击虚拟键盘任意键位，五线谱对应音阶瞬间高亮；点击音阶，虚拟钢琴键盘相应键位同步亮起，实现 “谱面 — 键盘” 的双向即时反馈，深化乐理理解。​</w:t>
            </w:r>
          </w:p>
          <w:p w14:paraId="62925B8F">
            <w:pPr>
              <w:rPr>
                <w:rFonts w:ascii="仿宋" w:hAnsi="仿宋" w:eastAsia="仿宋" w:cs="仿宋"/>
                <w:color w:val="000000"/>
              </w:rPr>
            </w:pPr>
            <w:r>
              <w:rPr>
                <w:rFonts w:hint="eastAsia" w:ascii="仿宋" w:hAnsi="仿宋" w:eastAsia="仿宋" w:cs="仿宋"/>
                <w:color w:val="000000"/>
              </w:rPr>
              <w:t>6、▲双模式灵活切换，设有音程与和弦两种教学模式。音程模式下，完整呈现 88 个上行音阶；切换至和弦模式，大谱表音阶自动隐藏，以标准柱式和弦形态显示用户弹奏的和弦组合，适配不同教学重点。（提供功能页面截图加盖生产厂家公章加以佐证）</w:t>
            </w:r>
          </w:p>
          <w:p w14:paraId="1C85996C">
            <w:pPr>
              <w:rPr>
                <w:rFonts w:ascii="仿宋" w:hAnsi="仿宋" w:eastAsia="仿宋" w:cs="仿宋"/>
                <w:color w:val="000000"/>
              </w:rPr>
            </w:pPr>
            <w:r>
              <w:rPr>
                <w:rFonts w:hint="eastAsia" w:ascii="仿宋" w:hAnsi="仿宋" w:eastAsia="仿宋" w:cs="仿宋"/>
                <w:color w:val="000000"/>
              </w:rPr>
              <w:t>7、音程和弦深度演示，可精准演示协和与不协和音程（和弦），和弦模式支持同时奏响十个键位，无论是基础和弦还是复杂音程关系，均可自由构建并展示，系统自动识别音程性质，辅助学习者掌握和声特性。​</w:t>
            </w:r>
          </w:p>
          <w:p w14:paraId="3C4DAF94">
            <w:pPr>
              <w:rPr>
                <w:rFonts w:ascii="仿宋" w:hAnsi="仿宋" w:eastAsia="仿宋" w:cs="仿宋"/>
                <w:color w:val="000000"/>
              </w:rPr>
            </w:pPr>
            <w:r>
              <w:rPr>
                <w:rFonts w:hint="eastAsia" w:ascii="仿宋" w:hAnsi="仿宋" w:eastAsia="仿宋" w:cs="仿宋"/>
                <w:color w:val="000000"/>
              </w:rPr>
              <w:t>8、丰富功能配置，内置 128 种国际通用 GM 标准音色，满足多样化音效需求；支持音唱名文本隐藏，按需调整界面显示内容；配备屏幕文本标注功能，便于教师批注重点知识。​</w:t>
            </w:r>
          </w:p>
          <w:p w14:paraId="127B0165">
            <w:pPr>
              <w:rPr>
                <w:rFonts w:ascii="仿宋" w:hAnsi="仿宋" w:eastAsia="仿宋" w:cs="仿宋"/>
                <w:color w:val="000000"/>
              </w:rPr>
            </w:pPr>
            <w:r>
              <w:rPr>
                <w:rFonts w:hint="eastAsia" w:ascii="仿宋" w:hAnsi="仿宋" w:eastAsia="仿宋" w:cs="仿宋"/>
                <w:color w:val="000000"/>
              </w:rPr>
              <w:t>9、节奏练习个性化调节，具备节奏练习开关，可通过滑动控件自由调节节奏速度（覆盖 30 - 240BPM）与提示音量，适配不同难度的节奏训练场景。</w:t>
            </w:r>
          </w:p>
          <w:p w14:paraId="2CC52D70">
            <w:pPr>
              <w:rPr>
                <w:rFonts w:ascii="仿宋" w:hAnsi="仿宋" w:eastAsia="仿宋" w:cs="仿宋"/>
                <w:color w:val="000000"/>
              </w:rPr>
            </w:pPr>
            <w:r>
              <w:rPr>
                <w:rFonts w:hint="eastAsia" w:ascii="仿宋" w:hAnsi="仿宋" w:eastAsia="仿宋" w:cs="仿宋"/>
                <w:color w:val="000000"/>
              </w:rPr>
              <w:t>10、键位保留功能，按下虚拟或外接键盘后松手，虚拟键盘键位、五线谱音阶及音名窗口的高亮显示状态将持续保留，直至触发下一个音符 / 和弦或手动关闭，方便学习者逐音分析或教师分步教学演示。​</w:t>
            </w:r>
          </w:p>
          <w:p w14:paraId="67CBEBD6">
            <w:pPr>
              <w:rPr>
                <w:rFonts w:ascii="仿宋" w:hAnsi="仿宋" w:eastAsia="仿宋" w:cs="仿宋"/>
                <w:color w:val="000000"/>
              </w:rPr>
            </w:pPr>
            <w:r>
              <w:rPr>
                <w:rFonts w:hint="eastAsia" w:ascii="仿宋" w:hAnsi="仿宋" w:eastAsia="仿宋" w:cs="仿宋"/>
                <w:color w:val="000000"/>
              </w:rPr>
              <w:t>11、对比教学强化理解，对比教学功能可保留多次弹奏后的虚拟键盘键位与五线谱音阶（或和弦）高亮状态，以差异化色彩标记不同时段的演奏内容，直观呈现音高变化、和弦连接逻辑，助力学习者对比分析音乐结构。​</w:t>
            </w:r>
          </w:p>
          <w:p w14:paraId="658E9D5D">
            <w:pPr>
              <w:rPr>
                <w:rFonts w:ascii="仿宋" w:hAnsi="仿宋" w:eastAsia="仿宋" w:cs="仿宋"/>
                <w:color w:val="000000"/>
              </w:rPr>
            </w:pPr>
            <w:r>
              <w:rPr>
                <w:rFonts w:hint="eastAsia" w:ascii="仿宋" w:hAnsi="仿宋" w:eastAsia="仿宋" w:cs="仿宋"/>
                <w:color w:val="000000"/>
              </w:rPr>
              <w:t>12、局部放大辅助教学，页面集成屏幕放大器插件，教师可随时放大屏幕局部区域，突出展示关键乐理细节或复杂和弦构成，确保每位学习者清晰观察重点内容。</w:t>
            </w:r>
          </w:p>
          <w:p w14:paraId="5F59C903">
            <w:pPr>
              <w:rPr>
                <w:rFonts w:ascii="仿宋" w:hAnsi="仿宋" w:eastAsia="仿宋" w:cs="仿宋"/>
                <w:color w:val="000000"/>
              </w:rPr>
            </w:pPr>
            <w:r>
              <w:rPr>
                <w:rFonts w:hint="eastAsia" w:ascii="仿宋" w:hAnsi="仿宋" w:eastAsia="仿宋" w:cs="仿宋"/>
                <w:color w:val="000000"/>
              </w:rPr>
              <w:t>13、多元歌唱教学模式，新增歌唱教学模式，支持对五线谱、简谱课件进行示范、伴奏、音名标注、唱名跟学、节奏练习等多种播放方式，为声乐教学提供一站式解决方案。</w:t>
            </w:r>
          </w:p>
          <w:p w14:paraId="32963BED">
            <w:pPr>
              <w:rPr>
                <w:rFonts w:ascii="仿宋" w:hAnsi="仿宋" w:eastAsia="仿宋" w:cs="仿宋"/>
                <w:color w:val="000000"/>
              </w:rPr>
            </w:pPr>
            <w:r>
              <w:rPr>
                <w:rFonts w:hint="eastAsia" w:ascii="仿宋" w:hAnsi="仿宋" w:eastAsia="仿宋" w:cs="仿宋"/>
                <w:color w:val="000000"/>
              </w:rPr>
              <w:t>七、音色升级系统</w:t>
            </w:r>
          </w:p>
          <w:p w14:paraId="57981B1C">
            <w:pPr>
              <w:rPr>
                <w:rFonts w:ascii="仿宋" w:hAnsi="仿宋" w:eastAsia="仿宋" w:cs="仿宋"/>
                <w:color w:val="000000"/>
              </w:rPr>
            </w:pPr>
            <w:r>
              <w:rPr>
                <w:rFonts w:hint="eastAsia" w:ascii="仿宋" w:hAnsi="仿宋" w:eastAsia="仿宋" w:cs="仿宋"/>
                <w:color w:val="000000"/>
              </w:rPr>
              <w:t>1、▲支持无限扩展SoundFont2/3格式音色库，用户可自由添加全新音色文件。导入后系统将自动识别并以新音色作为发声源，实现钢琴、弦乐、管乐等各类乐器音色的实时切换与扩展，满足个性化演奏与教学的音色需求。（提供功能页面截图加盖生产厂家公章加以佐证）</w:t>
            </w:r>
          </w:p>
          <w:p w14:paraId="0F798FE2">
            <w:pPr>
              <w:rPr>
                <w:rFonts w:ascii="仿宋" w:hAnsi="仿宋" w:eastAsia="仿宋" w:cs="仿宋"/>
                <w:color w:val="000000"/>
              </w:rPr>
            </w:pPr>
            <w:r>
              <w:rPr>
                <w:rFonts w:hint="eastAsia" w:ascii="仿宋" w:hAnsi="仿宋" w:eastAsia="仿宋" w:cs="仿宋"/>
                <w:color w:val="000000"/>
              </w:rPr>
              <w:t>2、▲支持音高频率精准调节，默认采用 440 赫兹标准音高，用户可通过手动输入或滑动控件自由修改音频度数。（提供功能页面截图加盖生产厂家公章加以佐证）</w:t>
            </w:r>
          </w:p>
          <w:p w14:paraId="268CD654">
            <w:pPr>
              <w:rPr>
                <w:rFonts w:ascii="仿宋" w:hAnsi="仿宋" w:eastAsia="仿宋" w:cs="仿宋"/>
                <w:color w:val="000000"/>
              </w:rPr>
            </w:pPr>
            <w:r>
              <w:rPr>
                <w:rFonts w:hint="eastAsia" w:ascii="仿宋" w:hAnsi="仿宋" w:eastAsia="仿宋" w:cs="仿宋"/>
                <w:color w:val="000000"/>
              </w:rPr>
              <w:t>3、系统可以独立滑动调整节拍器的音量。</w:t>
            </w:r>
          </w:p>
          <w:p w14:paraId="3962B622">
            <w:pPr>
              <w:rPr>
                <w:rFonts w:ascii="仿宋" w:hAnsi="仿宋" w:eastAsia="仿宋" w:cs="仿宋"/>
                <w:color w:val="000000"/>
              </w:rPr>
            </w:pPr>
            <w:r>
              <w:rPr>
                <w:rFonts w:hint="eastAsia" w:ascii="仿宋" w:hAnsi="仿宋" w:eastAsia="仿宋" w:cs="仿宋"/>
                <w:color w:val="000000"/>
              </w:rPr>
              <w:t>4、支持同时导入多个SoundFont2/3等格式的音源库文件，并提供可视化排序控件，用户可根据使用习惯自定义音源库的显示排列顺序。</w:t>
            </w:r>
          </w:p>
          <w:p w14:paraId="54BAEA76">
            <w:pPr>
              <w:rPr>
                <w:rFonts w:ascii="仿宋" w:hAnsi="仿宋" w:eastAsia="仿宋" w:cs="仿宋"/>
                <w:color w:val="000000"/>
              </w:rPr>
            </w:pPr>
            <w:r>
              <w:rPr>
                <w:rFonts w:hint="eastAsia" w:ascii="仿宋" w:hAnsi="仿宋" w:eastAsia="仿宋" w:cs="仿宋"/>
                <w:color w:val="000000"/>
              </w:rPr>
              <w:t>5、可将任意已导入的音源库设置为系统默认音色库，后续启动或切换音色时将优先调用该库。</w:t>
            </w:r>
          </w:p>
          <w:p w14:paraId="3E205577">
            <w:pPr>
              <w:rPr>
                <w:rFonts w:ascii="仿宋" w:hAnsi="仿宋" w:eastAsia="仿宋" w:cs="仿宋"/>
                <w:color w:val="000000"/>
              </w:rPr>
            </w:pPr>
            <w:r>
              <w:rPr>
                <w:rFonts w:hint="eastAsia" w:ascii="仿宋" w:hAnsi="仿宋" w:eastAsia="仿宋" w:cs="仿宋"/>
                <w:color w:val="000000"/>
              </w:rPr>
              <w:t>八、丰富的课件系统及应用环境</w:t>
            </w:r>
          </w:p>
          <w:p w14:paraId="6E5C88D5">
            <w:pPr>
              <w:rPr>
                <w:rFonts w:ascii="仿宋" w:hAnsi="仿宋" w:eastAsia="仿宋" w:cs="仿宋"/>
                <w:color w:val="000000"/>
              </w:rPr>
            </w:pPr>
            <w:r>
              <w:rPr>
                <w:rFonts w:hint="eastAsia" w:ascii="仿宋" w:hAnsi="仿宋" w:eastAsia="仿宋" w:cs="仿宋"/>
                <w:color w:val="000000"/>
              </w:rPr>
              <w:t>1、制造商深度对接学校教学需求，依据学校教材内容，量身定制电子乐谱课件，不限数量，精准适配校内音乐课程体系，助力教学资源数字化升级。</w:t>
            </w:r>
          </w:p>
          <w:p w14:paraId="0DADA10F">
            <w:pPr>
              <w:rPr>
                <w:rFonts w:ascii="仿宋" w:hAnsi="仿宋" w:eastAsia="仿宋" w:cs="仿宋"/>
                <w:color w:val="000000"/>
              </w:rPr>
            </w:pPr>
            <w:r>
              <w:rPr>
                <w:rFonts w:hint="eastAsia" w:ascii="仿宋" w:hAnsi="仿宋" w:eastAsia="仿宋" w:cs="仿宋"/>
                <w:color w:val="000000"/>
              </w:rPr>
              <w:t>2、基于学校所在地区文化特色，定制包含民族曲风乐曲、民族乐器经典作品、地方民歌等内容的特色电子乐谱课件，数量不受限制，推动本土音乐文化融入教学，丰富课程多样性。</w:t>
            </w:r>
          </w:p>
          <w:p w14:paraId="2789DFFF">
            <w:pPr>
              <w:rPr>
                <w:rFonts w:ascii="仿宋" w:hAnsi="仿宋" w:eastAsia="仿宋" w:cs="仿宋"/>
                <w:color w:val="000000"/>
              </w:rPr>
            </w:pPr>
            <w:r>
              <w:rPr>
                <w:rFonts w:hint="eastAsia" w:ascii="仿宋" w:hAnsi="仿宋" w:eastAsia="仿宋" w:cs="仿宋"/>
                <w:color w:val="000000"/>
              </w:rPr>
              <w:t>3、配套人音版、人教版、苏教版、湘教版1-9年级课本中全部教学曲目课件，≥1230首。</w:t>
            </w:r>
          </w:p>
          <w:p w14:paraId="79C3D1B2">
            <w:pPr>
              <w:rPr>
                <w:rFonts w:ascii="仿宋" w:hAnsi="仿宋" w:eastAsia="仿宋" w:cs="仿宋"/>
                <w:color w:val="000000"/>
              </w:rPr>
            </w:pPr>
            <w:r>
              <w:rPr>
                <w:rFonts w:hint="eastAsia" w:ascii="仿宋" w:hAnsi="仿宋" w:eastAsia="仿宋" w:cs="仿宋"/>
                <w:color w:val="000000"/>
              </w:rPr>
              <w:t>4、配套高等教育出版社电子键盘课程教学曲目课件，≥200首。</w:t>
            </w:r>
          </w:p>
          <w:p w14:paraId="7A48839A">
            <w:pPr>
              <w:rPr>
                <w:rFonts w:ascii="仿宋" w:hAnsi="仿宋" w:eastAsia="仿宋" w:cs="仿宋"/>
                <w:color w:val="000000"/>
              </w:rPr>
            </w:pPr>
            <w:r>
              <w:rPr>
                <w:rFonts w:hint="eastAsia" w:ascii="仿宋" w:hAnsi="仿宋" w:eastAsia="仿宋" w:cs="仿宋"/>
                <w:color w:val="000000"/>
              </w:rPr>
              <w:t>5、配套车尔尼599、拜厄、约翰汤普森全部钢琴教学曲目课件，≥520首。</w:t>
            </w:r>
          </w:p>
          <w:p w14:paraId="5DE55CE5">
            <w:pPr>
              <w:rPr>
                <w:rFonts w:ascii="仿宋" w:hAnsi="仿宋" w:eastAsia="仿宋" w:cs="仿宋"/>
                <w:color w:val="000000"/>
              </w:rPr>
            </w:pPr>
            <w:r>
              <w:rPr>
                <w:rFonts w:hint="eastAsia" w:ascii="仿宋" w:hAnsi="仿宋" w:eastAsia="仿宋" w:cs="仿宋"/>
                <w:color w:val="000000"/>
              </w:rPr>
              <w:t>6、配套视唱练耳教学示范曲目课件，≥100首。</w:t>
            </w:r>
          </w:p>
          <w:p w14:paraId="254F15E3">
            <w:pPr>
              <w:rPr>
                <w:rFonts w:ascii="仿宋" w:hAnsi="仿宋" w:eastAsia="仿宋" w:cs="仿宋"/>
                <w:color w:val="000000"/>
              </w:rPr>
            </w:pPr>
            <w:r>
              <w:rPr>
                <w:rFonts w:hint="eastAsia" w:ascii="仿宋" w:hAnsi="仿宋" w:eastAsia="仿宋" w:cs="仿宋"/>
                <w:color w:val="000000"/>
              </w:rPr>
              <w:t>7、配套民谣吉他、古典吉他电子乐谱课件，≥1650个。</w:t>
            </w:r>
          </w:p>
          <w:p w14:paraId="42111E2A">
            <w:pPr>
              <w:rPr>
                <w:rFonts w:ascii="仿宋" w:hAnsi="仿宋" w:eastAsia="仿宋" w:cs="仿宋"/>
                <w:color w:val="000000"/>
              </w:rPr>
            </w:pPr>
            <w:r>
              <w:rPr>
                <w:rFonts w:hint="eastAsia" w:ascii="仿宋" w:hAnsi="仿宋" w:eastAsia="仿宋" w:cs="仿宋"/>
                <w:color w:val="000000"/>
              </w:rPr>
              <w:t>8、配套卡农变奏曲电子乐谱课件，≥100个。</w:t>
            </w:r>
          </w:p>
          <w:p w14:paraId="63F5235C">
            <w:pPr>
              <w:rPr>
                <w:rFonts w:ascii="仿宋" w:hAnsi="仿宋" w:eastAsia="仿宋" w:cs="仿宋"/>
                <w:color w:val="000000"/>
              </w:rPr>
            </w:pPr>
            <w:r>
              <w:rPr>
                <w:rFonts w:hint="eastAsia" w:ascii="仿宋" w:hAnsi="仿宋" w:eastAsia="仿宋" w:cs="仿宋"/>
                <w:color w:val="000000"/>
              </w:rPr>
              <w:t>9、配套古典音乐、蓝调音乐、爵士音乐电子教学课件，≥2390个。</w:t>
            </w:r>
          </w:p>
          <w:p w14:paraId="7CDD748D">
            <w:pPr>
              <w:rPr>
                <w:rFonts w:ascii="仿宋" w:hAnsi="仿宋" w:eastAsia="仿宋" w:cs="仿宋"/>
                <w:color w:val="000000"/>
              </w:rPr>
            </w:pPr>
            <w:r>
              <w:rPr>
                <w:rFonts w:hint="eastAsia" w:ascii="仿宋" w:hAnsi="仿宋" w:eastAsia="仿宋" w:cs="仿宋"/>
                <w:color w:val="000000"/>
              </w:rPr>
              <w:t>10、配套管弦乐及古典钢琴电子教学乐谱课件，≥3370首。</w:t>
            </w:r>
          </w:p>
          <w:p w14:paraId="3D171C91">
            <w:pPr>
              <w:rPr>
                <w:rFonts w:ascii="仿宋" w:hAnsi="仿宋" w:eastAsia="仿宋" w:cs="仿宋"/>
                <w:color w:val="000000"/>
              </w:rPr>
            </w:pPr>
            <w:r>
              <w:rPr>
                <w:rFonts w:hint="eastAsia" w:ascii="仿宋" w:hAnsi="仿宋" w:eastAsia="仿宋" w:cs="仿宋"/>
                <w:color w:val="000000"/>
              </w:rPr>
              <w:t>11、配套华语音乐歌唱教学乐谱课件，≥3770首。</w:t>
            </w:r>
          </w:p>
          <w:p w14:paraId="36A25DCC">
            <w:pPr>
              <w:rPr>
                <w:rFonts w:ascii="仿宋" w:hAnsi="仿宋" w:eastAsia="仿宋" w:cs="仿宋"/>
                <w:color w:val="000000"/>
              </w:rPr>
            </w:pPr>
            <w:r>
              <w:rPr>
                <w:rFonts w:hint="eastAsia" w:ascii="仿宋" w:hAnsi="仿宋" w:eastAsia="仿宋" w:cs="仿宋"/>
                <w:color w:val="000000"/>
              </w:rPr>
              <w:t>12、配套欧美音乐歌唱教学乐谱课件，≥270首。</w:t>
            </w:r>
          </w:p>
          <w:p w14:paraId="7E3A9C81">
            <w:pPr>
              <w:rPr>
                <w:rFonts w:ascii="仿宋" w:hAnsi="仿宋" w:eastAsia="仿宋" w:cs="仿宋"/>
                <w:color w:val="000000"/>
              </w:rPr>
            </w:pPr>
            <w:r>
              <w:rPr>
                <w:rFonts w:hint="eastAsia" w:ascii="仿宋" w:hAnsi="仿宋" w:eastAsia="仿宋" w:cs="仿宋"/>
                <w:color w:val="000000"/>
              </w:rPr>
              <w:t>13、配套日韩音乐歌唱教学乐谱课件，≥80首。</w:t>
            </w:r>
          </w:p>
          <w:p w14:paraId="7D958664">
            <w:pPr>
              <w:rPr>
                <w:rFonts w:ascii="仿宋" w:hAnsi="仿宋" w:eastAsia="仿宋" w:cs="仿宋"/>
                <w:color w:val="000000"/>
              </w:rPr>
            </w:pPr>
            <w:r>
              <w:rPr>
                <w:rFonts w:hint="eastAsia" w:ascii="仿宋" w:hAnsi="仿宋" w:eastAsia="仿宋" w:cs="仿宋"/>
                <w:color w:val="000000"/>
              </w:rPr>
              <w:t>14、配套儿童音乐歌唱教学乐谱课件，≥100首。</w:t>
            </w:r>
          </w:p>
          <w:p w14:paraId="7EE59199">
            <w:pPr>
              <w:rPr>
                <w:rFonts w:ascii="仿宋" w:hAnsi="仿宋" w:eastAsia="仿宋" w:cs="仿宋"/>
                <w:color w:val="000000"/>
              </w:rPr>
            </w:pPr>
            <w:r>
              <w:rPr>
                <w:rFonts w:hint="eastAsia" w:ascii="仿宋" w:hAnsi="仿宋" w:eastAsia="仿宋" w:cs="仿宋"/>
                <w:color w:val="000000"/>
              </w:rPr>
              <w:t>15、配套影视音乐歌唱教学课件，≥110首。</w:t>
            </w:r>
          </w:p>
          <w:p w14:paraId="45E8DA6A">
            <w:pPr>
              <w:rPr>
                <w:rFonts w:ascii="仿宋" w:hAnsi="仿宋" w:eastAsia="仿宋" w:cs="仿宋"/>
                <w:color w:val="000000"/>
              </w:rPr>
            </w:pPr>
            <w:r>
              <w:rPr>
                <w:rFonts w:hint="eastAsia" w:ascii="仿宋" w:hAnsi="仿宋" w:eastAsia="仿宋" w:cs="仿宋"/>
                <w:color w:val="000000"/>
              </w:rPr>
              <w:t>16、配套游戏电玩音乐赏析教学课件，≥10180首。</w:t>
            </w:r>
          </w:p>
          <w:p w14:paraId="2EDB6FAF">
            <w:pPr>
              <w:rPr>
                <w:rFonts w:ascii="仿宋" w:hAnsi="仿宋" w:eastAsia="仿宋" w:cs="仿宋"/>
                <w:color w:val="000000"/>
              </w:rPr>
            </w:pPr>
            <w:r>
              <w:rPr>
                <w:rFonts w:hint="eastAsia" w:ascii="仿宋" w:hAnsi="仿宋" w:eastAsia="仿宋" w:cs="仿宋"/>
                <w:color w:val="000000"/>
              </w:rPr>
              <w:t>17、配套动漫音乐赏析教学课件，≥7100首。</w:t>
            </w:r>
          </w:p>
          <w:p w14:paraId="1AB5AF7D">
            <w:pPr>
              <w:rPr>
                <w:rFonts w:ascii="仿宋" w:hAnsi="仿宋" w:eastAsia="仿宋" w:cs="仿宋"/>
                <w:color w:val="000000"/>
              </w:rPr>
            </w:pPr>
            <w:r>
              <w:rPr>
                <w:rFonts w:hint="eastAsia" w:ascii="仿宋" w:hAnsi="仿宋" w:eastAsia="仿宋" w:cs="仿宋"/>
                <w:color w:val="000000"/>
              </w:rPr>
              <w:t>18、配套复古手机铃音音乐创编教学课件，≥8020首。</w:t>
            </w:r>
          </w:p>
          <w:p w14:paraId="08E04513">
            <w:pPr>
              <w:rPr>
                <w:rFonts w:ascii="仿宋" w:hAnsi="仿宋" w:eastAsia="仿宋" w:cs="仿宋"/>
                <w:color w:val="000000"/>
              </w:rPr>
            </w:pPr>
            <w:r>
              <w:rPr>
                <w:rFonts w:hint="eastAsia" w:ascii="仿宋" w:hAnsi="仿宋" w:eastAsia="仿宋" w:cs="仿宋"/>
                <w:color w:val="000000"/>
              </w:rPr>
              <w:t>19、配套音乐节奏素材片段创编教学课件，≥2040首。</w:t>
            </w:r>
          </w:p>
          <w:p w14:paraId="3C15D301">
            <w:pPr>
              <w:rPr>
                <w:rFonts w:ascii="仿宋" w:hAnsi="仿宋" w:eastAsia="仿宋" w:cs="仿宋"/>
                <w:color w:val="000000"/>
              </w:rPr>
            </w:pPr>
            <w:r>
              <w:rPr>
                <w:rFonts w:hint="eastAsia" w:ascii="仿宋" w:hAnsi="仿宋" w:eastAsia="仿宋" w:cs="仿宋"/>
                <w:color w:val="000000"/>
              </w:rPr>
              <w:t>20、配套卡西欧数码钢琴内置曲目教学课件，≥70首。</w:t>
            </w:r>
          </w:p>
          <w:p w14:paraId="54507357">
            <w:pPr>
              <w:rPr>
                <w:rFonts w:ascii="仿宋" w:hAnsi="仿宋" w:eastAsia="仿宋" w:cs="仿宋"/>
                <w:color w:val="000000"/>
              </w:rPr>
            </w:pPr>
            <w:r>
              <w:rPr>
                <w:rFonts w:hint="eastAsia" w:ascii="仿宋" w:hAnsi="仿宋" w:eastAsia="仿宋" w:cs="仿宋"/>
                <w:color w:val="000000"/>
              </w:rPr>
              <w:t>21、配套英皇考级钢琴教学练习曲目电子课件，≥100首。</w:t>
            </w:r>
          </w:p>
          <w:p w14:paraId="2E53156D">
            <w:pPr>
              <w:rPr>
                <w:rFonts w:ascii="仿宋" w:hAnsi="仿宋" w:eastAsia="仿宋" w:cs="仿宋"/>
                <w:color w:val="000000"/>
              </w:rPr>
            </w:pPr>
            <w:r>
              <w:rPr>
                <w:rFonts w:hint="eastAsia" w:ascii="仿宋" w:hAnsi="仿宋" w:eastAsia="仿宋" w:cs="仿宋"/>
                <w:color w:val="000000"/>
              </w:rPr>
              <w:t>22、上述定制的电子乐谱课件具备深度系统兼容性，可直接作为工程文件集成至系统各模块，而非传统图片/视频/ PPT等独立素材。课件采用专业工程格式构建，支持与虚拟键盘、五线谱显示、音色库等功能模块实时联动，实现乐谱播放、音符高亮、动态标注等交互效果，确保教学内容与系统功能无缝融合，形成一体化的数字化音乐教学体验。</w:t>
            </w:r>
          </w:p>
          <w:p w14:paraId="71ABB8EE">
            <w:pPr>
              <w:rPr>
                <w:rFonts w:ascii="仿宋" w:hAnsi="仿宋" w:eastAsia="仿宋" w:cs="仿宋"/>
                <w:color w:val="000000"/>
              </w:rPr>
            </w:pPr>
            <w:r>
              <w:rPr>
                <w:rFonts w:hint="eastAsia" w:ascii="仿宋" w:hAnsi="仿宋" w:eastAsia="仿宋" w:cs="仿宋"/>
                <w:color w:val="000000"/>
              </w:rPr>
              <w:t>九、教学资源库模块</w:t>
            </w:r>
          </w:p>
          <w:p w14:paraId="5AC897FE">
            <w:pPr>
              <w:rPr>
                <w:rFonts w:ascii="仿宋" w:hAnsi="仿宋" w:eastAsia="仿宋" w:cs="仿宋"/>
                <w:color w:val="000000"/>
              </w:rPr>
            </w:pPr>
            <w:r>
              <w:rPr>
                <w:rFonts w:hint="eastAsia" w:ascii="仿宋" w:hAnsi="仿宋" w:eastAsia="仿宋" w:cs="仿宋"/>
                <w:color w:val="000000"/>
              </w:rPr>
              <w:t>1、开放式教材拓展功能：音基知识与资源库模块具备开放式教材拓展能力，使用人可向系统内导入多种格式的教学课件。安装产品后，计算机桌面自动生成“教师资源库”文件夹，仅需将拓展课件直接拖拽至该文件夹，系统内即可自动生成教学课件，点击即可便捷使用，极大提升教学资源更新与管理的便捷性。</w:t>
            </w:r>
          </w:p>
          <w:p w14:paraId="1B01F2A7">
            <w:pPr>
              <w:rPr>
                <w:rFonts w:ascii="仿宋" w:hAnsi="仿宋" w:eastAsia="仿宋" w:cs="仿宋"/>
                <w:color w:val="000000"/>
              </w:rPr>
            </w:pPr>
            <w:r>
              <w:rPr>
                <w:rFonts w:hint="eastAsia" w:ascii="仿宋" w:hAnsi="仿宋" w:eastAsia="仿宋" w:cs="仿宋"/>
                <w:color w:val="000000"/>
              </w:rPr>
              <w:t>十、多模块转换系统</w:t>
            </w:r>
          </w:p>
          <w:p w14:paraId="7A88A375">
            <w:pPr>
              <w:rPr>
                <w:rFonts w:ascii="仿宋" w:hAnsi="仿宋" w:eastAsia="仿宋" w:cs="仿宋"/>
                <w:color w:val="000000"/>
              </w:rPr>
            </w:pPr>
            <w:r>
              <w:rPr>
                <w:rFonts w:hint="eastAsia" w:ascii="仿宋" w:hAnsi="仿宋" w:eastAsia="仿宋" w:cs="仿宋"/>
                <w:color w:val="000000"/>
              </w:rPr>
              <w:t>1、▲系统配备独立屏幕悬浮快捷键，以置顶方式常驻各页面，支持自由拖拽调整位置，满足个性化使用习惯。该快捷键始终保持在界面最顶层，确保教师在任意教学场景下均可快速触达核心功能。点击悬浮快捷键，即刻弹出包含五线谱、简谱、调式、音程、教学资源等在内的主题教学系统快捷转换面板。教师只需轻点目标模块，即可瞬间切换至对应教学模式，实现乐理知识与教学资源的无缝衔接。（提供功能页面截图加盖生产厂家公章加以佐证）</w:t>
            </w:r>
          </w:p>
          <w:p w14:paraId="6466B792">
            <w:pPr>
              <w:rPr>
                <w:rFonts w:ascii="仿宋" w:hAnsi="仿宋" w:eastAsia="仿宋" w:cs="仿宋"/>
                <w:color w:val="000000"/>
              </w:rPr>
            </w:pPr>
            <w:r>
              <w:rPr>
                <w:rFonts w:hint="eastAsia" w:ascii="仿宋" w:hAnsi="仿宋" w:eastAsia="仿宋" w:cs="仿宋"/>
                <w:color w:val="000000"/>
              </w:rPr>
              <w:t>2、悬浮快捷键菜单集成屏幕书写、微课录制、指法采集等实用辅助教学插件。教师无需跳转界面，点击即可调用工具，轻松完成板书标注、教学视频录制、指法示范采集等操作。</w:t>
            </w:r>
          </w:p>
          <w:p w14:paraId="7A5A2E3A">
            <w:pPr>
              <w:rPr>
                <w:rFonts w:ascii="仿宋" w:hAnsi="仿宋" w:eastAsia="仿宋" w:cs="仿宋"/>
                <w:color w:val="000000"/>
              </w:rPr>
            </w:pPr>
            <w:r>
              <w:rPr>
                <w:rFonts w:hint="eastAsia" w:ascii="仿宋" w:hAnsi="仿宋" w:eastAsia="仿宋" w:cs="仿宋"/>
                <w:color w:val="000000"/>
              </w:rPr>
              <w:t>3、通过悬浮快捷键，教师可一键打开多媒体资源导入界面，支持音视频、图片、文档、表格、PPT、PDF 等常见格式课件的快速上传与调用。</w:t>
            </w:r>
          </w:p>
          <w:p w14:paraId="6F891D2A">
            <w:pPr>
              <w:rPr>
                <w:rFonts w:ascii="仿宋" w:hAnsi="仿宋" w:eastAsia="仿宋" w:cs="仿宋"/>
                <w:color w:val="000000"/>
              </w:rPr>
            </w:pPr>
            <w:r>
              <w:rPr>
                <w:rFonts w:hint="eastAsia" w:ascii="仿宋" w:hAnsi="仿宋" w:eastAsia="仿宋" w:cs="仿宋"/>
                <w:color w:val="000000"/>
              </w:rPr>
              <w:t>4、点击悬浮快捷键进入云端支持界面，教师可与制造商技术团队实时在线沟通。</w:t>
            </w:r>
          </w:p>
          <w:p w14:paraId="4B045561">
            <w:pPr>
              <w:rPr>
                <w:rFonts w:ascii="仿宋" w:hAnsi="仿宋" w:eastAsia="仿宋" w:cs="仿宋"/>
                <w:color w:val="000000"/>
              </w:rPr>
            </w:pPr>
            <w:r>
              <w:rPr>
                <w:rFonts w:hint="eastAsia" w:ascii="仿宋" w:hAnsi="仿宋" w:eastAsia="仿宋" w:cs="仿宋"/>
                <w:color w:val="000000"/>
              </w:rPr>
              <w:t>十一、指法采集系统</w:t>
            </w:r>
          </w:p>
          <w:p w14:paraId="51D32AB1">
            <w:pPr>
              <w:rPr>
                <w:rFonts w:ascii="仿宋" w:hAnsi="仿宋" w:eastAsia="仿宋" w:cs="仿宋"/>
                <w:color w:val="000000"/>
              </w:rPr>
            </w:pPr>
            <w:r>
              <w:rPr>
                <w:rFonts w:hint="eastAsia" w:ascii="仿宋" w:hAnsi="仿宋" w:eastAsia="仿宋" w:cs="仿宋"/>
                <w:color w:val="000000"/>
              </w:rPr>
              <w:t>1、点击专用指法系统，可开启教师弹奏指法实时监控功能，支持拍照定格关键指法动作，或录制完整弹奏过程。</w:t>
            </w:r>
          </w:p>
          <w:p w14:paraId="726E6524">
            <w:pPr>
              <w:rPr>
                <w:rFonts w:ascii="仿宋" w:hAnsi="仿宋" w:eastAsia="仿宋" w:cs="仿宋"/>
                <w:color w:val="000000"/>
              </w:rPr>
            </w:pPr>
            <w:r>
              <w:rPr>
                <w:rFonts w:hint="eastAsia" w:ascii="仿宋" w:hAnsi="仿宋" w:eastAsia="仿宋" w:cs="仿宋"/>
                <w:color w:val="000000"/>
              </w:rPr>
              <w:t>2、配备虚拟云台功能，教师可灵活调节指法采集器的拍摄角度、镜头缩放比例、光圈大小及焦距，实现精准画面捕捉；同时支持一键自动设置，快速适配不同拍摄场景。</w:t>
            </w:r>
          </w:p>
          <w:p w14:paraId="3C59E360">
            <w:pPr>
              <w:rPr>
                <w:rFonts w:ascii="仿宋" w:hAnsi="仿宋" w:eastAsia="仿宋" w:cs="仿宋"/>
                <w:color w:val="000000"/>
              </w:rPr>
            </w:pPr>
            <w:r>
              <w:rPr>
                <w:rFonts w:hint="eastAsia" w:ascii="仿宋" w:hAnsi="仿宋" w:eastAsia="仿宋" w:cs="仿宋"/>
                <w:color w:val="000000"/>
              </w:rPr>
              <w:t>3、支持对教师指法采集器的 IP 地址、端口号、用户名和密码进行自定义修改。</w:t>
            </w:r>
          </w:p>
          <w:p w14:paraId="2CFE284E">
            <w:pPr>
              <w:rPr>
                <w:rFonts w:ascii="仿宋" w:hAnsi="仿宋" w:eastAsia="仿宋" w:cs="仿宋"/>
                <w:color w:val="000000"/>
              </w:rPr>
            </w:pPr>
            <w:r>
              <w:rPr>
                <w:rFonts w:hint="eastAsia" w:ascii="仿宋" w:hAnsi="仿宋" w:eastAsia="仿宋" w:cs="仿宋"/>
                <w:color w:val="000000"/>
              </w:rPr>
              <w:t>4、当教师指法采集器出现故障时，系统将自动弹窗提示具体故障原因，提供清晰的问题排查指引。</w:t>
            </w:r>
          </w:p>
          <w:p w14:paraId="34E0AC79">
            <w:pPr>
              <w:rPr>
                <w:rFonts w:ascii="仿宋" w:hAnsi="仿宋" w:eastAsia="仿宋" w:cs="仿宋"/>
                <w:color w:val="000000"/>
              </w:rPr>
            </w:pPr>
            <w:r>
              <w:rPr>
                <w:rFonts w:hint="eastAsia" w:ascii="仿宋" w:hAnsi="仿宋" w:eastAsia="仿宋" w:cs="仿宋"/>
                <w:color w:val="000000"/>
              </w:rPr>
              <w:t>5、指法采集系统的画面交互窗口支持自由调整位置，可根据教学需求切换全屏显示模式，或与虚拟键盘、五线谱进行垂直对应显示。</w:t>
            </w:r>
          </w:p>
          <w:p w14:paraId="511D8380">
            <w:pPr>
              <w:rPr>
                <w:rFonts w:ascii="仿宋" w:hAnsi="仿宋" w:eastAsia="仿宋" w:cs="仿宋"/>
                <w:color w:val="000000"/>
              </w:rPr>
            </w:pPr>
            <w:r>
              <w:rPr>
                <w:rFonts w:hint="eastAsia" w:ascii="仿宋" w:hAnsi="仿宋" w:eastAsia="仿宋" w:cs="仿宋"/>
                <w:color w:val="000000"/>
              </w:rPr>
              <w:t>十二、特色教学系统</w:t>
            </w:r>
          </w:p>
          <w:p w14:paraId="7DE8A839">
            <w:pPr>
              <w:rPr>
                <w:rFonts w:ascii="仿宋" w:hAnsi="仿宋" w:eastAsia="仿宋" w:cs="仿宋"/>
                <w:color w:val="000000"/>
              </w:rPr>
            </w:pPr>
            <w:r>
              <w:rPr>
                <w:rFonts w:hint="eastAsia" w:ascii="仿宋" w:hAnsi="仿宋" w:eastAsia="仿宋" w:cs="仿宋"/>
                <w:color w:val="000000"/>
              </w:rPr>
              <w:t>1、系统搭载彩色音符插件，可一键将教学课件中传统的黑色五线谱转化为绚丽多彩的视觉呈现，通过不同色彩区分音符属性，增强乐谱辨识度。</w:t>
            </w:r>
          </w:p>
          <w:p w14:paraId="375A3D7C">
            <w:pPr>
              <w:rPr>
                <w:rFonts w:ascii="仿宋" w:hAnsi="仿宋" w:eastAsia="仿宋" w:cs="仿宋"/>
                <w:color w:val="000000"/>
              </w:rPr>
            </w:pPr>
            <w:r>
              <w:rPr>
                <w:rFonts w:hint="eastAsia" w:ascii="仿宋" w:hAnsi="仿宋" w:eastAsia="仿宋" w:cs="仿宋"/>
                <w:color w:val="000000"/>
              </w:rPr>
              <w:t>2、配备音名显示插件，能够自动为教学课件五线谱上的音符精准填充对应音名（如 C、D、E 等）。</w:t>
            </w:r>
          </w:p>
          <w:p w14:paraId="07C77FF9">
            <w:pPr>
              <w:rPr>
                <w:rFonts w:ascii="仿宋" w:hAnsi="仿宋" w:eastAsia="仿宋" w:cs="仿宋"/>
                <w:color w:val="000000"/>
              </w:rPr>
            </w:pPr>
            <w:r>
              <w:rPr>
                <w:rFonts w:hint="eastAsia" w:ascii="仿宋" w:hAnsi="仿宋" w:eastAsia="仿宋" w:cs="仿宋"/>
                <w:color w:val="000000"/>
              </w:rPr>
              <w:t>3、集成专业文字标注系统，支持教师对屏幕内容进行任意批注，可一键将当前屏幕展示内容智能转换成数字板书。</w:t>
            </w:r>
          </w:p>
          <w:p w14:paraId="2DCACDC6">
            <w:pPr>
              <w:rPr>
                <w:rFonts w:ascii="仿宋" w:hAnsi="仿宋" w:eastAsia="仿宋" w:cs="仿宋"/>
                <w:color w:val="000000"/>
              </w:rPr>
            </w:pPr>
            <w:r>
              <w:rPr>
                <w:rFonts w:hint="eastAsia" w:ascii="仿宋" w:hAnsi="仿宋" w:eastAsia="仿宋" w:cs="仿宋"/>
                <w:color w:val="000000"/>
              </w:rPr>
              <w:t>4、当用户弹奏键盘黑键时，系统实时触发等音关系显示机制，同步呈现该音高对应的所有等音名称及符号。</w:t>
            </w:r>
          </w:p>
          <w:p w14:paraId="3A2E591B">
            <w:pPr>
              <w:rPr>
                <w:rFonts w:ascii="仿宋" w:hAnsi="仿宋" w:eastAsia="仿宋" w:cs="仿宋"/>
                <w:color w:val="000000"/>
              </w:rPr>
            </w:pPr>
            <w:r>
              <w:rPr>
                <w:rFonts w:hint="eastAsia" w:ascii="仿宋" w:hAnsi="仿宋" w:eastAsia="仿宋" w:cs="仿宋"/>
                <w:color w:val="000000"/>
              </w:rPr>
              <w:t>5、支持自由隐藏音名、唱名显示，教师可根据教学进度与学生掌握程度，一键切换显示模式。</w:t>
            </w:r>
          </w:p>
          <w:p w14:paraId="56C216C3">
            <w:pPr>
              <w:rPr>
                <w:rFonts w:ascii="仿宋" w:hAnsi="仿宋" w:eastAsia="仿宋" w:cs="仿宋"/>
                <w:color w:val="000000"/>
              </w:rPr>
            </w:pPr>
            <w:r>
              <w:rPr>
                <w:rFonts w:hint="eastAsia" w:ascii="仿宋" w:hAnsi="仿宋" w:eastAsia="仿宋" w:cs="仿宋"/>
                <w:color w:val="000000"/>
              </w:rPr>
              <w:t>6、内置钢琴卷帘器插件，可将传统五线谱快速转换成瀑布流文件格式，以时间轴形式直观展示音符时值、节奏变化，便于音乐制作与节奏分析教学。</w:t>
            </w:r>
          </w:p>
          <w:p w14:paraId="1A54C201">
            <w:pPr>
              <w:rPr>
                <w:rFonts w:ascii="仿宋" w:hAnsi="仿宋" w:eastAsia="仿宋" w:cs="仿宋"/>
                <w:color w:val="000000"/>
              </w:rPr>
            </w:pPr>
            <w:r>
              <w:rPr>
                <w:rFonts w:hint="eastAsia" w:ascii="仿宋" w:hAnsi="仿宋" w:eastAsia="仿宋" w:cs="仿宋"/>
                <w:color w:val="000000"/>
              </w:rPr>
              <w:t>7、提供丰富的五线谱颜色自定义功能，系统内置不少于 32 种色彩方案供用户选择，教师可根据教学主题、审美偏好或学生认知特点，随心调整五线谱颜色。</w:t>
            </w:r>
          </w:p>
          <w:p w14:paraId="314BF5D1">
            <w:pPr>
              <w:rPr>
                <w:rFonts w:ascii="仿宋" w:hAnsi="仿宋" w:eastAsia="仿宋" w:cs="仿宋"/>
                <w:color w:val="000000"/>
              </w:rPr>
            </w:pPr>
            <w:r>
              <w:rPr>
                <w:rFonts w:hint="eastAsia" w:ascii="仿宋" w:hAnsi="仿宋" w:eastAsia="仿宋" w:cs="仿宋"/>
                <w:color w:val="000000"/>
              </w:rPr>
              <w:t>8、支持用户根据教学需求自由定制线谱规格，无论是七线谱、八线谱还是十线谱等特殊谱表，均可一键生成。</w:t>
            </w:r>
          </w:p>
          <w:p w14:paraId="693C3F45">
            <w:pPr>
              <w:rPr>
                <w:rFonts w:ascii="仿宋" w:hAnsi="仿宋" w:eastAsia="仿宋" w:cs="仿宋"/>
                <w:color w:val="000000"/>
              </w:rPr>
            </w:pPr>
            <w:r>
              <w:rPr>
                <w:rFonts w:hint="eastAsia" w:ascii="仿宋" w:hAnsi="仿宋" w:eastAsia="仿宋" w:cs="仿宋"/>
                <w:color w:val="000000"/>
              </w:rPr>
              <w:t>9、具备五线谱课件智能拆分功能，针对单一高音谱表课件，教师可一键拆分并自动添加低音谱表，快速生成大谱表格式。</w:t>
            </w:r>
          </w:p>
          <w:p w14:paraId="78AF3838">
            <w:pPr>
              <w:rPr>
                <w:rFonts w:ascii="仿宋" w:hAnsi="仿宋" w:eastAsia="仿宋" w:cs="仿宋"/>
                <w:color w:val="000000"/>
              </w:rPr>
            </w:pPr>
            <w:r>
              <w:rPr>
                <w:rFonts w:hint="eastAsia" w:ascii="仿宋" w:hAnsi="仿宋" w:eastAsia="仿宋" w:cs="仿宋"/>
                <w:color w:val="000000"/>
              </w:rPr>
              <w:t>10、配套专属乐谱课件转换工具，支持将各类五线谱及简谱乐谱课件快速转换为本产品专用教学课件格式，提供批量转换功能，大幅提升资源处理效率。投标人须提供针对本项目平台系统免费升级承诺函。</w:t>
            </w:r>
          </w:p>
        </w:tc>
        <w:tc>
          <w:tcPr>
            <w:tcW w:w="709"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79F4B16D">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kern w:val="0"/>
                <w:szCs w:val="21"/>
              </w:rPr>
              <w:t>8</w:t>
            </w:r>
          </w:p>
        </w:tc>
        <w:tc>
          <w:tcPr>
            <w:tcW w:w="708" w:type="dxa"/>
            <w:tcBorders>
              <w:top w:val="single" w:color="000000" w:sz="4" w:space="0"/>
              <w:left w:val="single" w:color="auto" w:sz="4" w:space="0"/>
              <w:bottom w:val="single" w:color="000000" w:sz="4" w:space="0"/>
              <w:right w:val="single" w:color="auto" w:sz="4" w:space="0"/>
            </w:tcBorders>
            <w:shd w:val="clear" w:color="auto" w:fill="FFFFFF"/>
            <w:noWrap/>
            <w:vAlign w:val="center"/>
          </w:tcPr>
          <w:p w14:paraId="71CA5DD2">
            <w:pPr>
              <w:widowControl/>
              <w:shd w:val="clear" w:color="auto" w:fill="FFFFFF"/>
              <w:jc w:val="center"/>
              <w:rPr>
                <w:rFonts w:ascii="仿宋" w:hAnsi="仿宋" w:eastAsia="仿宋" w:cs="仿宋"/>
                <w:color w:val="000000"/>
                <w:kern w:val="0"/>
                <w:szCs w:val="21"/>
              </w:rPr>
            </w:pPr>
            <w:r>
              <w:rPr>
                <w:rFonts w:hint="eastAsia" w:ascii="仿宋" w:hAnsi="仿宋" w:eastAsia="仿宋" w:cs="仿宋"/>
                <w:color w:val="000000"/>
                <w:kern w:val="0"/>
                <w:szCs w:val="21"/>
              </w:rPr>
              <w:t>套</w:t>
            </w:r>
          </w:p>
        </w:tc>
      </w:tr>
      <w:tr w14:paraId="4299531B">
        <w:tblPrEx>
          <w:tblCellMar>
            <w:top w:w="0" w:type="dxa"/>
            <w:left w:w="108" w:type="dxa"/>
            <w:bottom w:w="0" w:type="dxa"/>
            <w:right w:w="108" w:type="dxa"/>
          </w:tblCellMar>
        </w:tblPrEx>
        <w:trPr>
          <w:trHeight w:val="1362"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D1E94">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kern w:val="0"/>
                <w:szCs w:val="21"/>
              </w:rPr>
              <w:t>13</w:t>
            </w:r>
          </w:p>
        </w:tc>
        <w:tc>
          <w:tcPr>
            <w:tcW w:w="73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DB77D71">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kern w:val="0"/>
                <w:szCs w:val="21"/>
              </w:rPr>
              <w:t>功放</w:t>
            </w:r>
          </w:p>
        </w:tc>
        <w:tc>
          <w:tcPr>
            <w:tcW w:w="73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AD3D90">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kern w:val="0"/>
                <w:szCs w:val="21"/>
              </w:rPr>
              <w:t xml:space="preserve">1、三路音源输入，二路话筒输入；                                                                                                                                                                                                                                                                                                                                                                                                                                                                                                                                                     2、自带MP3播放器，带数码显示屏，带USB和SD卡接口，一路前置录音输出，两路重低音输出，具有A组与A+B组功率输出切换；                                                                                                                                                                                                                                                   3、两种话筒模式效果选择，话筒延长时长短线性可调；                                                                                                                                                                                                                                                                                                                                                                                                                                                                  4、话筒、线路的音量、音调实现独立调节；                                                                                                                                                                                                                                                                                                                                                                                                                                                                                                                                          5、采用双声道高保真全分离件、全频带功率放大系统；                                                                                                                                                                                                                                                                                                                                                                                                                                                                                                                                                                     6、有效频率响应(L/R):  线路 20Hz-20KHz(±3dB) 、话筒 80Hz-16KHz(±3dB) ；                                                                                                                                                                                                                                                                                                                                                                                                                              7、额定功率：2×100W/8Ω（RMS） ；线路灵敏度：550mv ；话筒灵敏度：20mv ；                                                                                                                                                                                                                                                                                                                                                                                          8、失真度：≤0.3%；信噪比：≥80dB ；                                                                                                                                                                                                                                                                                                                                             9、额定电源电压：交流220V/50Hz；                                                                                                                                                                                                                                                                                                                                        </w:t>
            </w:r>
            <w:r>
              <w:rPr>
                <w:rFonts w:hint="eastAsia" w:ascii="仿宋" w:hAnsi="仿宋" w:eastAsia="仿宋" w:cs="仿宋"/>
                <w:color w:val="000000"/>
                <w:kern w:val="0"/>
                <w:szCs w:val="21"/>
              </w:rPr>
              <w:t xml:space="preserve">                                                                                                                                                                                                                             </w:t>
            </w:r>
          </w:p>
        </w:tc>
        <w:tc>
          <w:tcPr>
            <w:tcW w:w="709"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12B097EF">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kern w:val="0"/>
                <w:szCs w:val="21"/>
              </w:rPr>
              <w:t>8</w:t>
            </w:r>
          </w:p>
        </w:tc>
        <w:tc>
          <w:tcPr>
            <w:tcW w:w="708" w:type="dxa"/>
            <w:tcBorders>
              <w:top w:val="single" w:color="000000" w:sz="4" w:space="0"/>
              <w:left w:val="single" w:color="auto" w:sz="4" w:space="0"/>
              <w:bottom w:val="single" w:color="000000" w:sz="4" w:space="0"/>
              <w:right w:val="single" w:color="auto" w:sz="4" w:space="0"/>
            </w:tcBorders>
            <w:shd w:val="clear" w:color="auto" w:fill="FFFFFF"/>
            <w:noWrap/>
            <w:vAlign w:val="center"/>
          </w:tcPr>
          <w:p w14:paraId="4F6EF17F">
            <w:pPr>
              <w:widowControl/>
              <w:shd w:val="clear" w:color="auto" w:fill="FFFFFF"/>
              <w:jc w:val="center"/>
              <w:rPr>
                <w:rFonts w:ascii="仿宋" w:hAnsi="仿宋" w:eastAsia="仿宋" w:cs="仿宋"/>
                <w:color w:val="000000"/>
                <w:kern w:val="0"/>
                <w:szCs w:val="21"/>
              </w:rPr>
            </w:pPr>
            <w:r>
              <w:rPr>
                <w:rFonts w:hint="eastAsia" w:ascii="仿宋" w:hAnsi="仿宋" w:eastAsia="仿宋" w:cs="仿宋"/>
                <w:color w:val="000000"/>
                <w:kern w:val="0"/>
                <w:szCs w:val="21"/>
              </w:rPr>
              <w:t>套</w:t>
            </w:r>
          </w:p>
        </w:tc>
      </w:tr>
      <w:tr w14:paraId="41BF9B52">
        <w:tblPrEx>
          <w:tblCellMar>
            <w:top w:w="0" w:type="dxa"/>
            <w:left w:w="108" w:type="dxa"/>
            <w:bottom w:w="0" w:type="dxa"/>
            <w:right w:w="108" w:type="dxa"/>
          </w:tblCellMar>
        </w:tblPrEx>
        <w:trPr>
          <w:trHeight w:val="1380"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F25C6">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kern w:val="0"/>
                <w:szCs w:val="21"/>
              </w:rPr>
              <w:t>14</w:t>
            </w:r>
          </w:p>
        </w:tc>
        <w:tc>
          <w:tcPr>
            <w:tcW w:w="73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49667D5">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kern w:val="0"/>
                <w:szCs w:val="21"/>
              </w:rPr>
              <w:t>音箱</w:t>
            </w:r>
          </w:p>
        </w:tc>
        <w:tc>
          <w:tcPr>
            <w:tcW w:w="73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B15164">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kern w:val="0"/>
                <w:szCs w:val="21"/>
              </w:rPr>
              <w:t>1、音箱采用准确的相位校正技术，专业的单元位置排列，从而使音箱无需处理延时就能实现准确的频率响应。灵活多变的吊挂音箱设计，实现横、竖等多种不同吊挂方式·外型美观流畅、小巧轻便而又功能强大的专业电教功放设计，使整个系统简洁而又实现各种功能的调用。</w:t>
            </w:r>
          </w:p>
          <w:p w14:paraId="7AB4E245">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kern w:val="0"/>
                <w:szCs w:val="21"/>
              </w:rPr>
              <w:t>2、音色特性：声音清晰、明亮、细腻而柔和，同时又不缺乏穿透力。从而可以满足不同环境的各种电教需求。</w:t>
            </w:r>
          </w:p>
          <w:p w14:paraId="114F06A3">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kern w:val="0"/>
                <w:szCs w:val="21"/>
              </w:rPr>
              <w:t>3、额定功率：≥80W；</w:t>
            </w:r>
          </w:p>
          <w:p w14:paraId="144C507C">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kern w:val="0"/>
                <w:szCs w:val="21"/>
              </w:rPr>
              <w:t>4、阻抗：8Ω；</w:t>
            </w:r>
          </w:p>
          <w:p w14:paraId="2D126BDE">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kern w:val="0"/>
                <w:szCs w:val="21"/>
              </w:rPr>
              <w:t>5、灵敏度：95dB/M/W；</w:t>
            </w:r>
          </w:p>
          <w:p w14:paraId="37AE14AA">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kern w:val="0"/>
                <w:szCs w:val="21"/>
              </w:rPr>
              <w:t>6、有效频率范围：80Hz-20kHz；</w:t>
            </w:r>
          </w:p>
          <w:p w14:paraId="1016D7B1">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kern w:val="0"/>
                <w:szCs w:val="21"/>
              </w:rPr>
              <w:t>7、单元尺寸：6.5"x2+3"x1。</w:t>
            </w:r>
          </w:p>
        </w:tc>
        <w:tc>
          <w:tcPr>
            <w:tcW w:w="709" w:type="dxa"/>
            <w:tcBorders>
              <w:top w:val="nil"/>
              <w:left w:val="nil"/>
              <w:bottom w:val="single" w:color="000000" w:sz="4" w:space="0"/>
              <w:right w:val="single" w:color="auto" w:sz="4" w:space="0"/>
            </w:tcBorders>
            <w:shd w:val="clear" w:color="auto" w:fill="FFFFFF"/>
            <w:noWrap/>
            <w:vAlign w:val="center"/>
          </w:tcPr>
          <w:p w14:paraId="5A068F7E">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kern w:val="0"/>
                <w:szCs w:val="21"/>
              </w:rPr>
              <w:t>8</w:t>
            </w:r>
          </w:p>
        </w:tc>
        <w:tc>
          <w:tcPr>
            <w:tcW w:w="708" w:type="dxa"/>
            <w:tcBorders>
              <w:top w:val="nil"/>
              <w:left w:val="single" w:color="auto" w:sz="4" w:space="0"/>
              <w:bottom w:val="single" w:color="000000" w:sz="4" w:space="0"/>
              <w:right w:val="single" w:color="auto" w:sz="4" w:space="0"/>
            </w:tcBorders>
            <w:shd w:val="clear" w:color="auto" w:fill="FFFFFF"/>
            <w:noWrap/>
            <w:vAlign w:val="center"/>
          </w:tcPr>
          <w:p w14:paraId="7103A35D">
            <w:pPr>
              <w:widowControl/>
              <w:shd w:val="clear" w:color="auto" w:fill="FFFFFF"/>
              <w:jc w:val="center"/>
              <w:rPr>
                <w:rFonts w:ascii="仿宋" w:hAnsi="仿宋" w:eastAsia="仿宋" w:cs="仿宋"/>
                <w:color w:val="000000"/>
                <w:kern w:val="0"/>
                <w:szCs w:val="21"/>
              </w:rPr>
            </w:pPr>
            <w:r>
              <w:rPr>
                <w:rFonts w:hint="eastAsia" w:ascii="仿宋" w:hAnsi="仿宋" w:eastAsia="仿宋" w:cs="仿宋"/>
                <w:color w:val="000000"/>
                <w:kern w:val="0"/>
                <w:szCs w:val="21"/>
              </w:rPr>
              <w:t>对</w:t>
            </w:r>
          </w:p>
        </w:tc>
      </w:tr>
      <w:tr w14:paraId="40EAC9A2">
        <w:tblPrEx>
          <w:tblCellMar>
            <w:top w:w="0" w:type="dxa"/>
            <w:left w:w="108" w:type="dxa"/>
            <w:bottom w:w="0" w:type="dxa"/>
            <w:right w:w="108" w:type="dxa"/>
          </w:tblCellMar>
        </w:tblPrEx>
        <w:trPr>
          <w:trHeight w:val="958"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43AA5">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kern w:val="0"/>
                <w:szCs w:val="21"/>
              </w:rPr>
              <w:t>15</w:t>
            </w:r>
          </w:p>
        </w:tc>
        <w:tc>
          <w:tcPr>
            <w:tcW w:w="73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AEC7744">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kern w:val="0"/>
                <w:szCs w:val="21"/>
              </w:rPr>
              <w:t>话筒</w:t>
            </w:r>
          </w:p>
        </w:tc>
        <w:tc>
          <w:tcPr>
            <w:tcW w:w="73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7EA9A1">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kern w:val="0"/>
                <w:szCs w:val="21"/>
              </w:rPr>
              <w:t>1、载波频率：640-690MHz；距离：50~150米；信道数目：2*100CH；动态范围：&gt;100dB；谐波失真：&lt;0.5%；频率响应：60~15000Hz；信噪比：&gt;105dB(A)；音频插座：卡侬*2，混合6.5*1；天线插座：2BNC ,50Ω；音频输出电平：XLR：+8dBu max</w:t>
            </w:r>
          </w:p>
          <w:p w14:paraId="4598C52A">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kern w:val="0"/>
                <w:szCs w:val="21"/>
              </w:rPr>
              <w:t>2、接收机参数FIXED RECEIVER：电源电压：AC220V/50-60Hz，DC12V；镜像抑制：&gt;80dB；邻道干扰：&gt;80dB；灵敏度：&gt;5dBμ（SINAD=20dB）；</w:t>
            </w:r>
          </w:p>
          <w:p w14:paraId="091B2619">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kern w:val="0"/>
                <w:szCs w:val="21"/>
              </w:rPr>
              <w:t>3、发射器参数：发射功率：≥30mW；调制方式：FM,F3F；频率最大频偏：±25KHz。</w:t>
            </w:r>
          </w:p>
        </w:tc>
        <w:tc>
          <w:tcPr>
            <w:tcW w:w="709" w:type="dxa"/>
            <w:tcBorders>
              <w:top w:val="single" w:color="auto" w:sz="4" w:space="0"/>
              <w:left w:val="nil"/>
              <w:bottom w:val="single" w:color="000000" w:sz="4" w:space="0"/>
              <w:right w:val="single" w:color="auto" w:sz="4" w:space="0"/>
            </w:tcBorders>
            <w:shd w:val="clear" w:color="auto" w:fill="FFFFFF"/>
            <w:noWrap/>
            <w:vAlign w:val="center"/>
          </w:tcPr>
          <w:p w14:paraId="01BD3F17">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kern w:val="0"/>
                <w:szCs w:val="21"/>
              </w:rPr>
              <w:t>8</w:t>
            </w:r>
          </w:p>
        </w:tc>
        <w:tc>
          <w:tcPr>
            <w:tcW w:w="708" w:type="dxa"/>
            <w:tcBorders>
              <w:top w:val="single" w:color="auto" w:sz="4" w:space="0"/>
              <w:left w:val="single" w:color="auto" w:sz="4" w:space="0"/>
              <w:bottom w:val="single" w:color="000000" w:sz="4" w:space="0"/>
              <w:right w:val="single" w:color="auto" w:sz="4" w:space="0"/>
            </w:tcBorders>
            <w:shd w:val="clear" w:color="auto" w:fill="FFFFFF"/>
            <w:noWrap/>
            <w:vAlign w:val="center"/>
          </w:tcPr>
          <w:p w14:paraId="74B2F561">
            <w:pPr>
              <w:widowControl/>
              <w:shd w:val="clear" w:color="auto" w:fill="FFFFFF"/>
              <w:jc w:val="center"/>
              <w:rPr>
                <w:rFonts w:ascii="仿宋" w:hAnsi="仿宋" w:eastAsia="仿宋" w:cs="仿宋"/>
                <w:color w:val="000000"/>
                <w:kern w:val="0"/>
                <w:szCs w:val="21"/>
              </w:rPr>
            </w:pPr>
            <w:r>
              <w:rPr>
                <w:rFonts w:hint="eastAsia" w:ascii="仿宋" w:hAnsi="仿宋" w:eastAsia="仿宋" w:cs="仿宋"/>
                <w:color w:val="000000"/>
                <w:kern w:val="0"/>
                <w:szCs w:val="21"/>
              </w:rPr>
              <w:t>套</w:t>
            </w:r>
          </w:p>
        </w:tc>
      </w:tr>
      <w:tr w14:paraId="7CBA0BC8">
        <w:tblPrEx>
          <w:tblCellMar>
            <w:top w:w="0" w:type="dxa"/>
            <w:left w:w="108" w:type="dxa"/>
            <w:bottom w:w="0" w:type="dxa"/>
            <w:right w:w="108" w:type="dxa"/>
          </w:tblCellMar>
        </w:tblPrEx>
        <w:trPr>
          <w:trHeight w:val="395"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F7B70">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kern w:val="0"/>
                <w:szCs w:val="21"/>
              </w:rPr>
              <w:t>16</w:t>
            </w:r>
          </w:p>
        </w:tc>
        <w:tc>
          <w:tcPr>
            <w:tcW w:w="73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673E1D3">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kern w:val="0"/>
                <w:szCs w:val="21"/>
              </w:rPr>
              <w:t>多媒体交互控制工作站</w:t>
            </w:r>
          </w:p>
        </w:tc>
        <w:tc>
          <w:tcPr>
            <w:tcW w:w="73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5179A2">
            <w:pPr>
              <w:widowControl/>
              <w:jc w:val="left"/>
              <w:rPr>
                <w:rFonts w:ascii="仿宋" w:hAnsi="仿宋" w:eastAsia="仿宋" w:cs="仿宋"/>
                <w:bCs/>
                <w:color w:val="000000"/>
                <w:szCs w:val="21"/>
                <w:lang w:val="zh-CN"/>
              </w:rPr>
            </w:pPr>
            <w:r>
              <w:rPr>
                <w:rFonts w:hint="eastAsia" w:ascii="仿宋" w:hAnsi="仿宋" w:eastAsia="仿宋" w:cs="仿宋"/>
                <w:bCs/>
                <w:color w:val="000000"/>
                <w:szCs w:val="21"/>
                <w:lang w:val="zh-CN"/>
              </w:rPr>
              <w:t>1.CPU：CPU物理核心数≥8核，主频≥2.7GHz；</w:t>
            </w:r>
          </w:p>
          <w:p w14:paraId="10F0A5CE">
            <w:pPr>
              <w:widowControl/>
              <w:jc w:val="left"/>
              <w:rPr>
                <w:rFonts w:ascii="仿宋" w:hAnsi="仿宋" w:eastAsia="仿宋" w:cs="仿宋"/>
                <w:bCs/>
                <w:color w:val="000000"/>
                <w:szCs w:val="21"/>
                <w:lang w:val="zh-CN"/>
              </w:rPr>
            </w:pPr>
            <w:r>
              <w:rPr>
                <w:rFonts w:hint="eastAsia" w:ascii="仿宋" w:hAnsi="仿宋" w:eastAsia="仿宋" w:cs="仿宋"/>
                <w:bCs/>
                <w:color w:val="000000"/>
                <w:szCs w:val="21"/>
                <w:lang w:val="zh-CN"/>
              </w:rPr>
              <w:t>2.内存：配置≥8GB DDR4内存；≥2个内存插槽；</w:t>
            </w:r>
          </w:p>
          <w:p w14:paraId="45107CB2">
            <w:pPr>
              <w:widowControl/>
              <w:jc w:val="left"/>
              <w:rPr>
                <w:rFonts w:ascii="仿宋" w:hAnsi="仿宋" w:eastAsia="仿宋" w:cs="仿宋"/>
                <w:bCs/>
                <w:color w:val="000000"/>
                <w:szCs w:val="21"/>
                <w:lang w:val="zh-CN"/>
              </w:rPr>
            </w:pPr>
            <w:r>
              <w:rPr>
                <w:rFonts w:hint="eastAsia" w:ascii="仿宋" w:hAnsi="仿宋" w:eastAsia="仿宋" w:cs="仿宋"/>
                <w:bCs/>
                <w:color w:val="000000"/>
                <w:szCs w:val="21"/>
                <w:lang w:val="zh-CN"/>
              </w:rPr>
              <w:t>3.硬盘：配置≥512GB M.2；</w:t>
            </w:r>
          </w:p>
          <w:p w14:paraId="0235B6D7">
            <w:pPr>
              <w:widowControl/>
              <w:jc w:val="left"/>
              <w:rPr>
                <w:rFonts w:ascii="仿宋" w:hAnsi="仿宋" w:eastAsia="仿宋" w:cs="仿宋"/>
                <w:bCs/>
                <w:color w:val="000000"/>
                <w:szCs w:val="21"/>
                <w:lang w:val="zh-CN"/>
              </w:rPr>
            </w:pPr>
            <w:r>
              <w:rPr>
                <w:rFonts w:hint="eastAsia" w:ascii="仿宋" w:hAnsi="仿宋" w:eastAsia="仿宋" w:cs="仿宋"/>
                <w:bCs/>
                <w:color w:val="000000"/>
                <w:szCs w:val="21"/>
                <w:lang w:val="zh-CN"/>
              </w:rPr>
              <w:t>4.显卡:  集成显卡，至少支持 VGA、HDMI、DVI、DP、 Type-C 中2种显示接口，并与显示器接口相匹配；</w:t>
            </w:r>
          </w:p>
          <w:p w14:paraId="3095A9F9">
            <w:pPr>
              <w:widowControl/>
              <w:jc w:val="left"/>
              <w:rPr>
                <w:rFonts w:ascii="仿宋" w:hAnsi="仿宋" w:eastAsia="仿宋" w:cs="仿宋"/>
                <w:bCs/>
                <w:color w:val="000000"/>
                <w:szCs w:val="21"/>
                <w:lang w:val="zh-CN"/>
              </w:rPr>
            </w:pPr>
            <w:r>
              <w:rPr>
                <w:rFonts w:hint="eastAsia" w:ascii="仿宋" w:hAnsi="仿宋" w:eastAsia="仿宋" w:cs="仿宋"/>
                <w:bCs/>
                <w:color w:val="000000"/>
                <w:szCs w:val="21"/>
                <w:lang w:val="zh-CN"/>
              </w:rPr>
              <w:t>5.网卡: 配置≥1个千兆自适应有线网卡；</w:t>
            </w:r>
          </w:p>
          <w:p w14:paraId="4A8E101C">
            <w:pPr>
              <w:widowControl/>
              <w:jc w:val="left"/>
              <w:rPr>
                <w:rFonts w:ascii="仿宋" w:hAnsi="仿宋" w:eastAsia="仿宋" w:cs="仿宋"/>
                <w:bCs/>
                <w:color w:val="000000"/>
                <w:szCs w:val="21"/>
                <w:lang w:val="zh-CN"/>
              </w:rPr>
            </w:pPr>
            <w:r>
              <w:rPr>
                <w:rFonts w:hint="eastAsia" w:ascii="仿宋" w:hAnsi="仿宋" w:eastAsia="仿宋" w:cs="仿宋"/>
                <w:bCs/>
                <w:color w:val="000000"/>
                <w:szCs w:val="21"/>
                <w:lang w:val="zh-CN"/>
              </w:rPr>
              <w:t>6.IO接口：配置USB总数≥8个，含2个USB3.0</w:t>
            </w:r>
            <w:r>
              <w:rPr>
                <w:rFonts w:hint="eastAsia" w:ascii="仿宋" w:hAnsi="仿宋" w:eastAsia="仿宋" w:cs="仿宋"/>
                <w:bCs/>
                <w:color w:val="000000"/>
                <w:szCs w:val="21"/>
              </w:rPr>
              <w:t>或</w:t>
            </w:r>
            <w:r>
              <w:rPr>
                <w:rFonts w:hint="eastAsia" w:ascii="仿宋" w:hAnsi="仿宋" w:eastAsia="仿宋" w:cs="仿宋"/>
                <w:bCs/>
                <w:color w:val="000000"/>
                <w:szCs w:val="21"/>
                <w:lang w:val="zh-CN"/>
              </w:rPr>
              <w:t>以上接口，前后置各一组音频输入输出接口；</w:t>
            </w:r>
          </w:p>
          <w:p w14:paraId="67C435CC">
            <w:pPr>
              <w:widowControl/>
              <w:jc w:val="left"/>
              <w:rPr>
                <w:rFonts w:ascii="仿宋" w:hAnsi="仿宋" w:eastAsia="仿宋" w:cs="仿宋"/>
                <w:bCs/>
                <w:color w:val="000000"/>
                <w:szCs w:val="21"/>
                <w:lang w:val="zh-CN"/>
              </w:rPr>
            </w:pPr>
            <w:r>
              <w:rPr>
                <w:rFonts w:hint="eastAsia" w:ascii="仿宋" w:hAnsi="仿宋" w:eastAsia="仿宋" w:cs="仿宋"/>
                <w:bCs/>
                <w:color w:val="000000"/>
                <w:szCs w:val="21"/>
                <w:lang w:val="zh-CN"/>
              </w:rPr>
              <w:t>7.扩展接口：≥1个PCIE*16插槽，≥</w:t>
            </w:r>
            <w:r>
              <w:rPr>
                <w:rFonts w:hint="eastAsia" w:ascii="仿宋" w:hAnsi="仿宋" w:eastAsia="仿宋" w:cs="仿宋"/>
                <w:bCs/>
                <w:color w:val="000000"/>
                <w:szCs w:val="21"/>
              </w:rPr>
              <w:t>1</w:t>
            </w:r>
            <w:r>
              <w:rPr>
                <w:rFonts w:hint="eastAsia" w:ascii="仿宋" w:hAnsi="仿宋" w:eastAsia="仿宋" w:cs="仿宋"/>
                <w:bCs/>
                <w:color w:val="000000"/>
                <w:szCs w:val="21"/>
                <w:lang w:val="zh-CN"/>
              </w:rPr>
              <w:t>个PCIE*1插槽，≥</w:t>
            </w:r>
            <w:r>
              <w:rPr>
                <w:rFonts w:hint="eastAsia" w:ascii="仿宋" w:hAnsi="仿宋" w:eastAsia="仿宋" w:cs="仿宋"/>
                <w:bCs/>
                <w:color w:val="000000"/>
                <w:szCs w:val="21"/>
              </w:rPr>
              <w:t>1</w:t>
            </w:r>
            <w:r>
              <w:rPr>
                <w:rFonts w:hint="eastAsia" w:ascii="仿宋" w:hAnsi="仿宋" w:eastAsia="仿宋" w:cs="仿宋"/>
                <w:bCs/>
                <w:color w:val="000000"/>
                <w:szCs w:val="21"/>
                <w:lang w:val="zh-CN"/>
              </w:rPr>
              <w:t>个SATA3.0接口；</w:t>
            </w:r>
          </w:p>
          <w:p w14:paraId="10DEDF26">
            <w:pPr>
              <w:widowControl/>
              <w:jc w:val="left"/>
              <w:rPr>
                <w:rFonts w:ascii="仿宋" w:hAnsi="仿宋" w:eastAsia="仿宋" w:cs="仿宋"/>
                <w:bCs/>
                <w:color w:val="000000"/>
                <w:szCs w:val="21"/>
                <w:lang w:val="zh-CN"/>
              </w:rPr>
            </w:pPr>
            <w:r>
              <w:rPr>
                <w:rFonts w:hint="eastAsia" w:ascii="仿宋" w:hAnsi="仿宋" w:eastAsia="仿宋" w:cs="仿宋"/>
                <w:bCs/>
                <w:color w:val="000000"/>
                <w:szCs w:val="21"/>
                <w:lang w:val="zh-CN"/>
              </w:rPr>
              <w:t>8.键鼠：配置USB有线键盘鼠标；</w:t>
            </w:r>
          </w:p>
          <w:p w14:paraId="394F5CBF">
            <w:pPr>
              <w:widowControl/>
              <w:jc w:val="left"/>
              <w:rPr>
                <w:rFonts w:ascii="仿宋" w:hAnsi="仿宋" w:eastAsia="仿宋" w:cs="仿宋"/>
                <w:bCs/>
                <w:color w:val="000000"/>
                <w:szCs w:val="21"/>
                <w:lang w:val="zh-CN"/>
              </w:rPr>
            </w:pPr>
            <w:r>
              <w:rPr>
                <w:rFonts w:hint="eastAsia" w:ascii="仿宋" w:hAnsi="仿宋" w:eastAsia="仿宋" w:cs="仿宋"/>
                <w:bCs/>
                <w:color w:val="000000"/>
                <w:szCs w:val="21"/>
                <w:lang w:val="zh-CN"/>
              </w:rPr>
              <w:t>9.电源：配置≥200W高效电源；</w:t>
            </w:r>
          </w:p>
          <w:p w14:paraId="79A44AD6">
            <w:pPr>
              <w:widowControl/>
              <w:jc w:val="left"/>
              <w:rPr>
                <w:rFonts w:ascii="仿宋" w:hAnsi="仿宋" w:eastAsia="仿宋" w:cs="仿宋"/>
                <w:bCs/>
                <w:color w:val="000000"/>
                <w:szCs w:val="21"/>
                <w:lang w:val="zh-CN"/>
              </w:rPr>
            </w:pPr>
            <w:r>
              <w:rPr>
                <w:rFonts w:hint="eastAsia" w:ascii="仿宋" w:hAnsi="仿宋" w:eastAsia="仿宋" w:cs="仿宋"/>
                <w:bCs/>
                <w:color w:val="000000"/>
                <w:szCs w:val="21"/>
                <w:lang w:val="zh-CN"/>
              </w:rPr>
              <w:t>10.机箱：体积≥15L，顶置提手、电源底置设计；</w:t>
            </w:r>
          </w:p>
          <w:p w14:paraId="74BB91A5">
            <w:pPr>
              <w:widowControl/>
              <w:jc w:val="left"/>
              <w:rPr>
                <w:rFonts w:ascii="仿宋" w:hAnsi="仿宋" w:eastAsia="仿宋" w:cs="仿宋"/>
                <w:color w:val="000000"/>
                <w:kern w:val="0"/>
                <w:szCs w:val="21"/>
              </w:rPr>
            </w:pPr>
            <w:r>
              <w:rPr>
                <w:rFonts w:hint="eastAsia" w:ascii="仿宋" w:hAnsi="仿宋" w:eastAsia="仿宋" w:cs="仿宋"/>
                <w:bCs/>
                <w:color w:val="000000"/>
                <w:szCs w:val="21"/>
                <w:lang w:val="zh-CN"/>
              </w:rPr>
              <w:t>1</w:t>
            </w:r>
            <w:r>
              <w:rPr>
                <w:rFonts w:hint="eastAsia" w:ascii="仿宋" w:hAnsi="仿宋" w:eastAsia="仿宋" w:cs="仿宋"/>
                <w:color w:val="000000"/>
                <w:kern w:val="0"/>
                <w:szCs w:val="21"/>
                <w:lang w:val="zh-CN"/>
              </w:rPr>
              <w:t>1.显示器:配置≥23.8英寸，</w:t>
            </w:r>
            <w:r>
              <w:rPr>
                <w:rFonts w:hint="eastAsia" w:ascii="仿宋" w:hAnsi="仿宋" w:eastAsia="仿宋" w:cs="仿宋"/>
                <w:bCs/>
                <w:color w:val="000000"/>
                <w:szCs w:val="21"/>
                <w:lang w:val="zh-CN"/>
              </w:rPr>
              <w:t>屏占比≥85%，分辨率≥1920*1080，刷新率≥75Hz，至少支持 VGA、HDMI、DVI、DP、 Type-C 中 2种显示接口</w:t>
            </w:r>
          </w:p>
        </w:tc>
        <w:tc>
          <w:tcPr>
            <w:tcW w:w="709"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5824EAD3">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kern w:val="0"/>
                <w:szCs w:val="21"/>
              </w:rPr>
              <w:t>8</w:t>
            </w:r>
          </w:p>
        </w:tc>
        <w:tc>
          <w:tcPr>
            <w:tcW w:w="708" w:type="dxa"/>
            <w:tcBorders>
              <w:top w:val="single" w:color="000000" w:sz="4" w:space="0"/>
              <w:left w:val="single" w:color="auto" w:sz="4" w:space="0"/>
              <w:bottom w:val="single" w:color="000000" w:sz="4" w:space="0"/>
              <w:right w:val="single" w:color="auto" w:sz="4" w:space="0"/>
            </w:tcBorders>
            <w:shd w:val="clear" w:color="auto" w:fill="FFFFFF"/>
            <w:noWrap/>
            <w:vAlign w:val="center"/>
          </w:tcPr>
          <w:p w14:paraId="0F2EA2CA">
            <w:pPr>
              <w:widowControl/>
              <w:shd w:val="clear" w:color="auto" w:fill="FFFFFF"/>
              <w:jc w:val="center"/>
              <w:rPr>
                <w:rFonts w:ascii="仿宋" w:hAnsi="仿宋" w:eastAsia="仿宋" w:cs="仿宋"/>
                <w:color w:val="000000"/>
                <w:kern w:val="0"/>
                <w:szCs w:val="21"/>
              </w:rPr>
            </w:pPr>
            <w:r>
              <w:rPr>
                <w:rFonts w:hint="eastAsia" w:ascii="仿宋" w:hAnsi="仿宋" w:eastAsia="仿宋" w:cs="仿宋"/>
                <w:color w:val="000000"/>
                <w:kern w:val="0"/>
                <w:szCs w:val="21"/>
              </w:rPr>
              <w:t>台</w:t>
            </w:r>
          </w:p>
        </w:tc>
      </w:tr>
      <w:tr w14:paraId="707BD8DC">
        <w:tblPrEx>
          <w:tblCellMar>
            <w:top w:w="0" w:type="dxa"/>
            <w:left w:w="108" w:type="dxa"/>
            <w:bottom w:w="0" w:type="dxa"/>
            <w:right w:w="108" w:type="dxa"/>
          </w:tblCellMar>
        </w:tblPrEx>
        <w:trPr>
          <w:trHeight w:val="890"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B1D1A">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kern w:val="0"/>
                <w:szCs w:val="21"/>
              </w:rPr>
              <w:t>17</w:t>
            </w:r>
          </w:p>
        </w:tc>
        <w:tc>
          <w:tcPr>
            <w:tcW w:w="73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99459C2">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kern w:val="0"/>
                <w:szCs w:val="21"/>
              </w:rPr>
              <w:t>指法采集器</w:t>
            </w:r>
          </w:p>
        </w:tc>
        <w:tc>
          <w:tcPr>
            <w:tcW w:w="73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E27148">
            <w:pPr>
              <w:widowControl/>
              <w:numPr>
                <w:ilvl w:val="0"/>
                <w:numId w:val="10"/>
              </w:numPr>
              <w:shd w:val="clear" w:color="auto" w:fill="FFFFFF"/>
              <w:jc w:val="left"/>
              <w:rPr>
                <w:rFonts w:ascii="仿宋" w:hAnsi="仿宋" w:eastAsia="仿宋" w:cs="仿宋"/>
                <w:color w:val="000000"/>
                <w:kern w:val="0"/>
                <w:szCs w:val="21"/>
              </w:rPr>
            </w:pPr>
            <w:r>
              <w:rPr>
                <w:rFonts w:hint="eastAsia" w:ascii="仿宋" w:hAnsi="仿宋" w:eastAsia="仿宋" w:cs="仿宋"/>
                <w:color w:val="000000"/>
                <w:kern w:val="0"/>
                <w:szCs w:val="21"/>
              </w:rPr>
              <w:t>水平转动速度:0~20/S，上下转动速度:0~12/S。</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2、64个预置位，2条巡航轨迹。</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3、30倍光学变焦镜头，变焦速度最高可达2S。</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4、内置SONY CCD水平解析度高达700TVL</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5、支持中/英文OSD显示，色彩饱和度、清晰度可调；标准接口，兼容通用协议，便于二次开发</w:t>
            </w:r>
            <w:r>
              <w:rPr>
                <w:rFonts w:hint="eastAsia" w:ascii="仿宋" w:hAnsi="仿宋" w:eastAsia="仿宋" w:cs="仿宋"/>
                <w:color w:val="000000"/>
                <w:kern w:val="0"/>
                <w:szCs w:val="21"/>
              </w:rPr>
              <w:br w:type="textWrapping"/>
            </w:r>
            <w:r>
              <w:rPr>
                <w:rFonts w:hint="eastAsia" w:ascii="仿宋" w:hAnsi="仿宋" w:eastAsia="仿宋" w:cs="仿宋"/>
                <w:color w:val="000000"/>
                <w:kern w:val="0"/>
                <w:szCs w:val="21"/>
              </w:rPr>
              <w:t>6、教师指法采集器配套线材：教师专用视频电源线、信号线、控制线。</w:t>
            </w:r>
          </w:p>
          <w:p w14:paraId="78DB96B2">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kern w:val="0"/>
                <w:szCs w:val="21"/>
              </w:rPr>
              <w:t>7、可提供数字接口，图像信噪比更高；</w:t>
            </w:r>
          </w:p>
        </w:tc>
        <w:tc>
          <w:tcPr>
            <w:tcW w:w="709"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16F3C90B">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kern w:val="0"/>
                <w:szCs w:val="21"/>
              </w:rPr>
              <w:t>8</w:t>
            </w:r>
          </w:p>
        </w:tc>
        <w:tc>
          <w:tcPr>
            <w:tcW w:w="708" w:type="dxa"/>
            <w:tcBorders>
              <w:top w:val="single" w:color="000000" w:sz="4" w:space="0"/>
              <w:left w:val="single" w:color="auto" w:sz="4" w:space="0"/>
              <w:bottom w:val="single" w:color="000000" w:sz="4" w:space="0"/>
              <w:right w:val="single" w:color="auto" w:sz="4" w:space="0"/>
            </w:tcBorders>
            <w:shd w:val="clear" w:color="auto" w:fill="FFFFFF"/>
            <w:noWrap/>
            <w:vAlign w:val="center"/>
          </w:tcPr>
          <w:p w14:paraId="780EE31B">
            <w:pPr>
              <w:widowControl/>
              <w:shd w:val="clear" w:color="auto" w:fill="FFFFFF"/>
              <w:jc w:val="center"/>
              <w:rPr>
                <w:rFonts w:ascii="仿宋" w:hAnsi="仿宋" w:eastAsia="仿宋" w:cs="仿宋"/>
                <w:color w:val="000000"/>
                <w:kern w:val="0"/>
                <w:szCs w:val="21"/>
              </w:rPr>
            </w:pPr>
            <w:r>
              <w:rPr>
                <w:rFonts w:hint="eastAsia" w:ascii="仿宋" w:hAnsi="仿宋" w:eastAsia="仿宋" w:cs="仿宋"/>
                <w:color w:val="000000"/>
                <w:kern w:val="0"/>
                <w:szCs w:val="21"/>
              </w:rPr>
              <w:t>台</w:t>
            </w:r>
          </w:p>
        </w:tc>
      </w:tr>
      <w:tr w14:paraId="2BCB7565">
        <w:tblPrEx>
          <w:tblCellMar>
            <w:top w:w="0" w:type="dxa"/>
            <w:left w:w="108" w:type="dxa"/>
            <w:bottom w:w="0" w:type="dxa"/>
            <w:right w:w="108" w:type="dxa"/>
          </w:tblCellMar>
        </w:tblPrEx>
        <w:trPr>
          <w:trHeight w:val="1260"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F42B8">
            <w:pPr>
              <w:widowControl/>
              <w:shd w:val="clear" w:color="auto" w:fill="FFFFFF"/>
              <w:jc w:val="center"/>
              <w:rPr>
                <w:rFonts w:ascii="仿宋" w:hAnsi="仿宋" w:eastAsia="仿宋" w:cs="仿宋"/>
                <w:color w:val="000000"/>
                <w:kern w:val="0"/>
                <w:szCs w:val="21"/>
              </w:rPr>
            </w:pPr>
            <w:r>
              <w:rPr>
                <w:rFonts w:hint="eastAsia" w:ascii="仿宋" w:hAnsi="仿宋" w:eastAsia="仿宋" w:cs="仿宋"/>
                <w:color w:val="000000"/>
                <w:kern w:val="0"/>
                <w:szCs w:val="21"/>
              </w:rPr>
              <w:t>18</w:t>
            </w:r>
          </w:p>
        </w:tc>
        <w:tc>
          <w:tcPr>
            <w:tcW w:w="73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273AB4C3">
            <w:pPr>
              <w:widowControl/>
              <w:shd w:val="clear" w:color="auto" w:fill="FFFFFF"/>
              <w:jc w:val="center"/>
              <w:rPr>
                <w:rFonts w:ascii="仿宋" w:hAnsi="仿宋" w:eastAsia="仿宋" w:cs="仿宋"/>
                <w:color w:val="000000"/>
                <w:kern w:val="0"/>
                <w:szCs w:val="21"/>
              </w:rPr>
            </w:pPr>
            <w:r>
              <w:rPr>
                <w:rFonts w:hint="eastAsia" w:ascii="仿宋" w:hAnsi="仿宋" w:eastAsia="仿宋" w:cs="仿宋"/>
                <w:color w:val="000000"/>
                <w:kern w:val="0"/>
                <w:szCs w:val="21"/>
              </w:rPr>
              <w:t>课堂全景摄像机</w:t>
            </w:r>
          </w:p>
        </w:tc>
        <w:tc>
          <w:tcPr>
            <w:tcW w:w="73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E44B43">
            <w:pPr>
              <w:widowControl/>
              <w:shd w:val="clear" w:color="auto" w:fill="FFFFFF"/>
              <w:jc w:val="left"/>
              <w:rPr>
                <w:rFonts w:ascii="仿宋" w:hAnsi="仿宋" w:eastAsia="仿宋" w:cs="仿宋"/>
                <w:color w:val="000000"/>
              </w:rPr>
            </w:pPr>
            <w:r>
              <w:rPr>
                <w:rFonts w:hint="eastAsia" w:ascii="仿宋" w:hAnsi="仿宋" w:eastAsia="仿宋" w:cs="仿宋"/>
                <w:color w:val="000000"/>
              </w:rPr>
              <w:t>1</w:t>
            </w:r>
            <w:r>
              <w:rPr>
                <w:rFonts w:hint="eastAsia" w:ascii="仿宋" w:hAnsi="仿宋" w:eastAsia="仿宋" w:cs="仿宋"/>
                <w:color w:val="000000"/>
                <w:kern w:val="0"/>
                <w:szCs w:val="21"/>
              </w:rPr>
              <w:t>、</w:t>
            </w:r>
            <w:r>
              <w:rPr>
                <w:rFonts w:hint="eastAsia" w:ascii="仿宋" w:hAnsi="仿宋" w:eastAsia="仿宋" w:cs="仿宋"/>
                <w:color w:val="000000"/>
              </w:rPr>
              <w:t>传感器类型：1/2.7” Progressive Scan CMOS；</w:t>
            </w:r>
          </w:p>
          <w:p w14:paraId="7F66FF15">
            <w:pPr>
              <w:widowControl/>
              <w:shd w:val="clear" w:color="auto" w:fill="FFFFFF"/>
              <w:jc w:val="left"/>
              <w:rPr>
                <w:rFonts w:ascii="仿宋" w:hAnsi="仿宋" w:eastAsia="仿宋" w:cs="仿宋"/>
                <w:color w:val="000000"/>
              </w:rPr>
            </w:pPr>
            <w:r>
              <w:rPr>
                <w:rFonts w:hint="eastAsia" w:ascii="仿宋" w:hAnsi="仿宋" w:eastAsia="仿宋" w:cs="仿宋"/>
                <w:color w:val="000000"/>
              </w:rPr>
              <w:t>2</w:t>
            </w:r>
            <w:r>
              <w:rPr>
                <w:rFonts w:hint="eastAsia" w:ascii="仿宋" w:hAnsi="仿宋" w:eastAsia="仿宋" w:cs="仿宋"/>
                <w:color w:val="000000"/>
                <w:kern w:val="0"/>
                <w:szCs w:val="21"/>
              </w:rPr>
              <w:t>、</w:t>
            </w:r>
            <w:r>
              <w:rPr>
                <w:rFonts w:hint="eastAsia" w:ascii="仿宋" w:hAnsi="仿宋" w:eastAsia="仿宋" w:cs="仿宋"/>
                <w:color w:val="000000"/>
              </w:rPr>
              <w:t>镜头：2.8mm@F2.0, 水平视场角:106° 对角122°，4mm@F2.0, 水平视场角:86° 对角102°</w:t>
            </w:r>
          </w:p>
          <w:p w14:paraId="143D8F7F">
            <w:pPr>
              <w:widowControl/>
              <w:shd w:val="clear" w:color="auto" w:fill="FFFFFF"/>
              <w:jc w:val="left"/>
              <w:rPr>
                <w:rFonts w:ascii="仿宋" w:hAnsi="仿宋" w:eastAsia="仿宋" w:cs="仿宋"/>
                <w:color w:val="000000"/>
              </w:rPr>
            </w:pPr>
            <w:r>
              <w:rPr>
                <w:rFonts w:hint="eastAsia" w:ascii="仿宋" w:hAnsi="仿宋" w:eastAsia="仿宋" w:cs="仿宋"/>
                <w:color w:val="000000"/>
              </w:rPr>
              <w:t>3</w:t>
            </w:r>
            <w:r>
              <w:rPr>
                <w:rFonts w:hint="eastAsia" w:ascii="仿宋" w:hAnsi="仿宋" w:eastAsia="仿宋" w:cs="仿宋"/>
                <w:color w:val="000000"/>
                <w:kern w:val="0"/>
                <w:szCs w:val="21"/>
              </w:rPr>
              <w:t>、</w:t>
            </w:r>
            <w:r>
              <w:rPr>
                <w:rFonts w:hint="eastAsia" w:ascii="仿宋" w:hAnsi="仿宋" w:eastAsia="仿宋" w:cs="仿宋"/>
                <w:color w:val="000000"/>
              </w:rPr>
              <w:t>镜头接口类型：M12；</w:t>
            </w:r>
          </w:p>
          <w:p w14:paraId="6C8B411E">
            <w:pPr>
              <w:widowControl/>
              <w:shd w:val="clear" w:color="auto" w:fill="FFFFFF"/>
              <w:jc w:val="left"/>
              <w:rPr>
                <w:rFonts w:ascii="仿宋" w:hAnsi="仿宋" w:eastAsia="仿宋" w:cs="仿宋"/>
                <w:color w:val="000000"/>
              </w:rPr>
            </w:pPr>
            <w:r>
              <w:rPr>
                <w:rFonts w:hint="eastAsia" w:ascii="仿宋" w:hAnsi="仿宋" w:eastAsia="仿宋" w:cs="仿宋"/>
                <w:color w:val="000000"/>
              </w:rPr>
              <w:t>4</w:t>
            </w:r>
            <w:r>
              <w:rPr>
                <w:rFonts w:hint="eastAsia" w:ascii="仿宋" w:hAnsi="仿宋" w:eastAsia="仿宋" w:cs="仿宋"/>
                <w:color w:val="000000"/>
                <w:kern w:val="0"/>
                <w:szCs w:val="21"/>
              </w:rPr>
              <w:t>、</w:t>
            </w:r>
            <w:r>
              <w:rPr>
                <w:rFonts w:hint="eastAsia" w:ascii="仿宋" w:hAnsi="仿宋" w:eastAsia="仿宋" w:cs="仿宋"/>
                <w:color w:val="000000"/>
              </w:rPr>
              <w:t>数字降噪：3D数字降噪；</w:t>
            </w:r>
          </w:p>
          <w:p w14:paraId="7D36CF3F">
            <w:pPr>
              <w:widowControl/>
              <w:shd w:val="clear" w:color="auto" w:fill="FFFFFF"/>
              <w:jc w:val="left"/>
              <w:rPr>
                <w:rFonts w:ascii="仿宋" w:hAnsi="仿宋" w:eastAsia="仿宋" w:cs="仿宋"/>
                <w:color w:val="000000"/>
              </w:rPr>
            </w:pPr>
            <w:r>
              <w:rPr>
                <w:rFonts w:hint="eastAsia" w:ascii="仿宋" w:hAnsi="仿宋" w:eastAsia="仿宋" w:cs="仿宋"/>
                <w:color w:val="000000"/>
              </w:rPr>
              <w:t>5</w:t>
            </w:r>
            <w:r>
              <w:rPr>
                <w:rFonts w:hint="eastAsia" w:ascii="仿宋" w:hAnsi="仿宋" w:eastAsia="仿宋" w:cs="仿宋"/>
                <w:color w:val="000000"/>
                <w:kern w:val="0"/>
                <w:szCs w:val="21"/>
              </w:rPr>
              <w:t>、</w:t>
            </w:r>
            <w:r>
              <w:rPr>
                <w:rFonts w:hint="eastAsia" w:ascii="仿宋" w:hAnsi="仿宋" w:eastAsia="仿宋" w:cs="仿宋"/>
                <w:color w:val="000000"/>
              </w:rPr>
              <w:t>宽动态范围：数字宽动态；</w:t>
            </w:r>
          </w:p>
          <w:p w14:paraId="468AAB1B">
            <w:pPr>
              <w:widowControl/>
              <w:shd w:val="clear" w:color="auto" w:fill="FFFFFF"/>
              <w:jc w:val="left"/>
              <w:rPr>
                <w:rFonts w:ascii="仿宋" w:hAnsi="仿宋" w:eastAsia="仿宋" w:cs="仿宋"/>
                <w:color w:val="000000"/>
              </w:rPr>
            </w:pPr>
            <w:r>
              <w:rPr>
                <w:rFonts w:hint="eastAsia" w:ascii="仿宋" w:hAnsi="仿宋" w:eastAsia="仿宋" w:cs="仿宋"/>
                <w:color w:val="000000"/>
              </w:rPr>
              <w:t>6、视频压缩标准：H.265/H.264；</w:t>
            </w:r>
          </w:p>
          <w:p w14:paraId="51DEC8EB">
            <w:pPr>
              <w:widowControl/>
              <w:shd w:val="clear" w:color="auto" w:fill="FFFFFF"/>
              <w:jc w:val="left"/>
              <w:rPr>
                <w:rFonts w:ascii="仿宋" w:hAnsi="仿宋" w:eastAsia="仿宋" w:cs="仿宋"/>
                <w:color w:val="000000"/>
              </w:rPr>
            </w:pPr>
            <w:r>
              <w:rPr>
                <w:rFonts w:hint="eastAsia" w:ascii="仿宋" w:hAnsi="仿宋" w:eastAsia="仿宋" w:cs="仿宋"/>
                <w:color w:val="000000"/>
              </w:rPr>
              <w:t>7、视频压缩码率：超清、高清和标清三档，码率自适应；</w:t>
            </w:r>
          </w:p>
          <w:p w14:paraId="1337AC34">
            <w:pPr>
              <w:widowControl/>
              <w:shd w:val="clear" w:color="auto" w:fill="FFFFFF"/>
              <w:jc w:val="left"/>
              <w:rPr>
                <w:rFonts w:ascii="仿宋" w:hAnsi="仿宋" w:eastAsia="仿宋" w:cs="仿宋"/>
                <w:color w:val="000000"/>
              </w:rPr>
            </w:pPr>
            <w:r>
              <w:rPr>
                <w:rFonts w:hint="eastAsia" w:ascii="仿宋" w:hAnsi="仿宋" w:eastAsia="仿宋" w:cs="仿宋"/>
                <w:color w:val="000000"/>
              </w:rPr>
              <w:t>8、音频压缩码率：码率自适应；</w:t>
            </w:r>
          </w:p>
          <w:p w14:paraId="7F80F547">
            <w:pPr>
              <w:widowControl/>
              <w:shd w:val="clear" w:color="auto" w:fill="FFFFFF"/>
              <w:jc w:val="left"/>
              <w:rPr>
                <w:rFonts w:ascii="仿宋" w:hAnsi="仿宋" w:eastAsia="仿宋" w:cs="仿宋"/>
                <w:color w:val="000000"/>
              </w:rPr>
            </w:pPr>
            <w:r>
              <w:rPr>
                <w:rFonts w:hint="eastAsia" w:ascii="仿宋" w:hAnsi="仿宋" w:eastAsia="仿宋" w:cs="仿宋"/>
                <w:color w:val="000000"/>
              </w:rPr>
              <w:t>9、音频输入：内置高灵敏度麦克风；</w:t>
            </w:r>
          </w:p>
          <w:p w14:paraId="25F34D31">
            <w:pPr>
              <w:widowControl/>
              <w:shd w:val="clear" w:color="auto" w:fill="FFFFFF"/>
              <w:jc w:val="left"/>
              <w:rPr>
                <w:rFonts w:ascii="仿宋" w:hAnsi="仿宋" w:eastAsia="仿宋" w:cs="仿宋"/>
                <w:color w:val="000000"/>
              </w:rPr>
            </w:pPr>
            <w:r>
              <w:rPr>
                <w:rFonts w:hint="eastAsia" w:ascii="仿宋" w:hAnsi="仿宋" w:eastAsia="仿宋" w:cs="仿宋"/>
                <w:color w:val="000000"/>
              </w:rPr>
              <w:t>10、音频输出：支持SPK；</w:t>
            </w:r>
            <w:r>
              <w:rPr>
                <w:rFonts w:hint="eastAsia" w:ascii="仿宋" w:hAnsi="仿宋" w:eastAsia="仿宋" w:cs="仿宋"/>
                <w:color w:val="000000"/>
              </w:rPr>
              <w:tab/>
            </w:r>
          </w:p>
          <w:p w14:paraId="253F6364">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rPr>
              <w:t>11、工作温度,湿度：-10℃ ~ 45℃,湿度小于95% (无凝结)。</w:t>
            </w:r>
          </w:p>
        </w:tc>
        <w:tc>
          <w:tcPr>
            <w:tcW w:w="709"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82E77E1">
            <w:pPr>
              <w:widowControl/>
              <w:shd w:val="clear" w:color="auto" w:fill="FFFFFF"/>
              <w:rPr>
                <w:rFonts w:ascii="仿宋" w:hAnsi="仿宋" w:eastAsia="仿宋" w:cs="仿宋"/>
                <w:color w:val="000000"/>
                <w:kern w:val="0"/>
                <w:szCs w:val="21"/>
              </w:rPr>
            </w:pPr>
          </w:p>
          <w:p w14:paraId="12AE01EE">
            <w:pPr>
              <w:widowControl/>
              <w:shd w:val="clear" w:color="auto" w:fill="FFFFFF"/>
              <w:ind w:firstLine="210" w:firstLineChars="100"/>
              <w:rPr>
                <w:rFonts w:ascii="仿宋" w:hAnsi="仿宋" w:eastAsia="仿宋" w:cs="仿宋"/>
                <w:color w:val="000000"/>
                <w:kern w:val="0"/>
                <w:szCs w:val="21"/>
              </w:rPr>
            </w:pPr>
            <w:r>
              <w:rPr>
                <w:rFonts w:hint="eastAsia" w:ascii="仿宋" w:hAnsi="仿宋" w:eastAsia="仿宋" w:cs="仿宋"/>
                <w:color w:val="000000"/>
                <w:kern w:val="0"/>
                <w:szCs w:val="21"/>
              </w:rPr>
              <w:t>8</w:t>
            </w:r>
          </w:p>
          <w:p w14:paraId="01840978">
            <w:pPr>
              <w:widowControl/>
              <w:shd w:val="clear" w:color="auto" w:fill="FFFFFF"/>
              <w:jc w:val="center"/>
              <w:rPr>
                <w:rFonts w:ascii="仿宋" w:hAnsi="仿宋" w:eastAsia="仿宋" w:cs="仿宋"/>
                <w:color w:val="000000"/>
                <w:kern w:val="0"/>
                <w:szCs w:val="21"/>
              </w:rPr>
            </w:pPr>
          </w:p>
        </w:tc>
        <w:tc>
          <w:tcPr>
            <w:tcW w:w="708" w:type="dxa"/>
            <w:tcBorders>
              <w:top w:val="single" w:color="000000" w:sz="4" w:space="0"/>
              <w:left w:val="single" w:color="auto" w:sz="4" w:space="0"/>
              <w:bottom w:val="single" w:color="000000" w:sz="4" w:space="0"/>
              <w:right w:val="single" w:color="auto" w:sz="4" w:space="0"/>
            </w:tcBorders>
            <w:shd w:val="clear" w:color="auto" w:fill="FFFFFF"/>
            <w:noWrap/>
            <w:vAlign w:val="center"/>
          </w:tcPr>
          <w:p w14:paraId="0A20035D">
            <w:pPr>
              <w:widowControl/>
              <w:shd w:val="clear" w:color="auto" w:fill="FFFFFF"/>
              <w:jc w:val="center"/>
              <w:rPr>
                <w:rFonts w:ascii="仿宋" w:hAnsi="仿宋" w:eastAsia="仿宋" w:cs="仿宋"/>
                <w:color w:val="000000"/>
                <w:kern w:val="0"/>
                <w:szCs w:val="21"/>
              </w:rPr>
            </w:pPr>
            <w:r>
              <w:rPr>
                <w:rFonts w:hint="eastAsia" w:ascii="仿宋" w:hAnsi="仿宋" w:eastAsia="仿宋" w:cs="仿宋"/>
                <w:color w:val="000000"/>
                <w:kern w:val="0"/>
                <w:szCs w:val="21"/>
              </w:rPr>
              <w:t>台</w:t>
            </w:r>
          </w:p>
        </w:tc>
      </w:tr>
      <w:tr w14:paraId="1BA207A7">
        <w:tblPrEx>
          <w:tblCellMar>
            <w:top w:w="0" w:type="dxa"/>
            <w:left w:w="108" w:type="dxa"/>
            <w:bottom w:w="0" w:type="dxa"/>
            <w:right w:w="108" w:type="dxa"/>
          </w:tblCellMar>
        </w:tblPrEx>
        <w:trPr>
          <w:trHeight w:val="1260"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A63DB">
            <w:pPr>
              <w:widowControl/>
              <w:shd w:val="clear" w:color="auto" w:fill="FFFFFF"/>
              <w:jc w:val="center"/>
              <w:rPr>
                <w:rFonts w:ascii="仿宋" w:hAnsi="仿宋" w:eastAsia="仿宋" w:cs="仿宋"/>
                <w:color w:val="000000"/>
                <w:kern w:val="0"/>
                <w:szCs w:val="21"/>
              </w:rPr>
            </w:pPr>
            <w:r>
              <w:rPr>
                <w:rFonts w:hint="eastAsia" w:ascii="仿宋" w:hAnsi="仿宋" w:eastAsia="仿宋" w:cs="仿宋"/>
                <w:color w:val="000000"/>
                <w:kern w:val="0"/>
                <w:szCs w:val="21"/>
              </w:rPr>
              <w:t>19</w:t>
            </w:r>
          </w:p>
        </w:tc>
        <w:tc>
          <w:tcPr>
            <w:tcW w:w="73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68B2D1F">
            <w:pPr>
              <w:widowControl/>
              <w:shd w:val="clear" w:color="auto" w:fill="FFFFFF"/>
              <w:jc w:val="center"/>
              <w:rPr>
                <w:rFonts w:ascii="仿宋" w:hAnsi="仿宋" w:eastAsia="仿宋" w:cs="仿宋"/>
                <w:color w:val="000000"/>
                <w:kern w:val="0"/>
                <w:szCs w:val="21"/>
              </w:rPr>
            </w:pPr>
            <w:r>
              <w:rPr>
                <w:rFonts w:hint="eastAsia" w:ascii="仿宋" w:hAnsi="仿宋" w:eastAsia="仿宋" w:cs="仿宋"/>
                <w:color w:val="000000"/>
                <w:kern w:val="0"/>
                <w:szCs w:val="21"/>
              </w:rPr>
              <w:t>实训教学助手</w:t>
            </w:r>
          </w:p>
        </w:tc>
        <w:tc>
          <w:tcPr>
            <w:tcW w:w="73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E5C96D">
            <w:pPr>
              <w:widowControl/>
              <w:shd w:val="clear" w:color="auto" w:fill="FFFFFF"/>
              <w:jc w:val="left"/>
              <w:rPr>
                <w:rFonts w:ascii="仿宋" w:hAnsi="仿宋" w:eastAsia="仿宋" w:cs="仿宋"/>
                <w:color w:val="000000"/>
              </w:rPr>
            </w:pPr>
            <w:r>
              <w:rPr>
                <w:rFonts w:hint="eastAsia" w:ascii="仿宋" w:hAnsi="仿宋" w:eastAsia="仿宋" w:cs="仿宋"/>
                <w:color w:val="000000"/>
              </w:rPr>
              <w:t>1、移动数据终端配备5寸IPS全面显示屏；</w:t>
            </w:r>
          </w:p>
          <w:p w14:paraId="77009E48">
            <w:pPr>
              <w:widowControl/>
              <w:shd w:val="clear" w:color="auto" w:fill="FFFFFF"/>
              <w:jc w:val="left"/>
              <w:rPr>
                <w:rFonts w:ascii="仿宋" w:hAnsi="仿宋" w:eastAsia="仿宋" w:cs="仿宋"/>
                <w:color w:val="000000"/>
              </w:rPr>
            </w:pPr>
            <w:r>
              <w:rPr>
                <w:rFonts w:hint="eastAsia" w:ascii="仿宋" w:hAnsi="仿宋" w:eastAsia="仿宋" w:cs="仿宋"/>
                <w:color w:val="000000"/>
              </w:rPr>
              <w:t>2、800万像素(分辨率3264*2448)；</w:t>
            </w:r>
          </w:p>
          <w:p w14:paraId="6CD0DEDC">
            <w:pPr>
              <w:widowControl/>
              <w:shd w:val="clear" w:color="auto" w:fill="FFFFFF"/>
              <w:jc w:val="left"/>
              <w:rPr>
                <w:rFonts w:ascii="仿宋" w:hAnsi="仿宋" w:eastAsia="仿宋" w:cs="仿宋"/>
                <w:color w:val="000000"/>
              </w:rPr>
            </w:pPr>
            <w:r>
              <w:rPr>
                <w:rFonts w:hint="eastAsia" w:ascii="仿宋" w:hAnsi="仿宋" w:eastAsia="仿宋" w:cs="仿宋"/>
                <w:color w:val="000000"/>
              </w:rPr>
              <w:t>3、拍摄720P视频帧速率不低于25帧/秒；</w:t>
            </w:r>
          </w:p>
          <w:p w14:paraId="0D007580">
            <w:pPr>
              <w:widowControl/>
              <w:shd w:val="clear" w:color="auto" w:fill="FFFFFF"/>
              <w:jc w:val="left"/>
              <w:rPr>
                <w:rFonts w:ascii="仿宋" w:hAnsi="仿宋" w:eastAsia="仿宋" w:cs="仿宋"/>
                <w:color w:val="000000"/>
              </w:rPr>
            </w:pPr>
            <w:r>
              <w:rPr>
                <w:rFonts w:hint="eastAsia" w:ascii="仿宋" w:hAnsi="仿宋" w:eastAsia="仿宋" w:cs="仿宋"/>
                <w:color w:val="000000"/>
              </w:rPr>
              <w:t>4、采用万向软管式设计，360度任意方向可调；</w:t>
            </w:r>
          </w:p>
          <w:p w14:paraId="15FD9AAE">
            <w:pPr>
              <w:widowControl/>
              <w:shd w:val="clear" w:color="auto" w:fill="FFFFFF"/>
              <w:jc w:val="left"/>
              <w:rPr>
                <w:rFonts w:hint="eastAsia" w:ascii="仿宋" w:hAnsi="仿宋" w:eastAsia="仿宋" w:cs="仿宋"/>
                <w:color w:val="000000"/>
              </w:rPr>
            </w:pPr>
            <w:r>
              <w:rPr>
                <w:rFonts w:hint="eastAsia" w:ascii="仿宋" w:hAnsi="仿宋" w:eastAsia="仿宋" w:cs="仿宋"/>
                <w:color w:val="000000"/>
              </w:rPr>
              <w:t>5、连接方式：5G无线WiFi连接、以太网有线连接；提供功能页面截图加盖生产厂家公章加以佐证。</w:t>
            </w:r>
          </w:p>
          <w:p w14:paraId="734FA889">
            <w:pPr>
              <w:widowControl/>
              <w:shd w:val="clear" w:color="auto" w:fill="FFFFFF"/>
              <w:jc w:val="left"/>
              <w:rPr>
                <w:rFonts w:ascii="仿宋" w:hAnsi="仿宋" w:eastAsia="仿宋" w:cs="仿宋"/>
                <w:color w:val="000000"/>
              </w:rPr>
            </w:pPr>
            <w:r>
              <w:rPr>
                <w:rFonts w:hint="eastAsia" w:ascii="仿宋" w:hAnsi="仿宋" w:eastAsia="仿宋" w:cs="仿宋"/>
                <w:color w:val="000000"/>
              </w:rPr>
              <w:t>6、内置双3.5mm音频口，可接入设备采集实时设备内部的音频，及外接音箱输出视频播放的声音。</w:t>
            </w:r>
          </w:p>
          <w:p w14:paraId="71AE06F1">
            <w:pPr>
              <w:widowControl/>
              <w:shd w:val="clear" w:color="auto" w:fill="FFFFFF"/>
              <w:jc w:val="left"/>
              <w:rPr>
                <w:rFonts w:ascii="仿宋" w:hAnsi="仿宋" w:eastAsia="仿宋" w:cs="仿宋"/>
                <w:color w:val="000000"/>
              </w:rPr>
            </w:pPr>
            <w:r>
              <w:rPr>
                <w:rFonts w:hint="eastAsia" w:ascii="仿宋" w:hAnsi="仿宋" w:eastAsia="仿宋" w:cs="仿宋"/>
                <w:color w:val="000000"/>
              </w:rPr>
              <w:t>7、移动数据终端内置专用操作系统，实现拍照、录制、回看的功能。</w:t>
            </w:r>
          </w:p>
          <w:p w14:paraId="50538493">
            <w:pPr>
              <w:widowControl/>
              <w:shd w:val="clear" w:color="auto" w:fill="FFFFFF"/>
              <w:jc w:val="left"/>
              <w:rPr>
                <w:rFonts w:ascii="仿宋" w:hAnsi="仿宋" w:eastAsia="仿宋" w:cs="仿宋"/>
                <w:color w:val="000000"/>
              </w:rPr>
            </w:pPr>
            <w:r>
              <w:rPr>
                <w:rFonts w:hint="eastAsia" w:ascii="仿宋" w:hAnsi="仿宋" w:eastAsia="仿宋" w:cs="仿宋"/>
                <w:color w:val="000000"/>
              </w:rPr>
              <w:t>8.支持本机一键拍照，通过“拍照”功能，将展示的画面拍照留存，支持拍照前倒数和拍照后缩略图提醒功能，支持在回看界面查看拍摄的照片。</w:t>
            </w:r>
          </w:p>
          <w:p w14:paraId="69F401C7">
            <w:pPr>
              <w:widowControl/>
              <w:shd w:val="clear" w:color="auto" w:fill="FFFFFF"/>
              <w:jc w:val="left"/>
              <w:rPr>
                <w:rFonts w:ascii="仿宋" w:hAnsi="仿宋" w:eastAsia="仿宋" w:cs="仿宋"/>
                <w:color w:val="000000"/>
              </w:rPr>
            </w:pPr>
            <w:r>
              <w:rPr>
                <w:rFonts w:hint="eastAsia" w:ascii="仿宋" w:hAnsi="仿宋" w:eastAsia="仿宋" w:cs="仿宋"/>
                <w:color w:val="000000"/>
              </w:rPr>
              <w:t>9.▲支持本机一键录制，通过“录制”功能，将电钢琴弹奏指法与声音同步录制，形成MP4格式的视频文件，支持在回看界面查看录制的视频。（提供功能页面截图加盖生产厂家公章加以佐证）</w:t>
            </w:r>
          </w:p>
          <w:p w14:paraId="1D679BEC">
            <w:pPr>
              <w:widowControl/>
              <w:shd w:val="clear" w:color="auto" w:fill="FFFFFF"/>
              <w:jc w:val="left"/>
              <w:rPr>
                <w:rFonts w:ascii="仿宋" w:hAnsi="仿宋" w:eastAsia="仿宋" w:cs="仿宋"/>
                <w:color w:val="000000"/>
              </w:rPr>
            </w:pPr>
            <w:r>
              <w:rPr>
                <w:rFonts w:hint="eastAsia" w:ascii="仿宋" w:hAnsi="仿宋" w:eastAsia="仿宋" w:cs="仿宋"/>
                <w:color w:val="000000"/>
              </w:rPr>
              <w:t>10.支持本机查看录制的视频和拍摄的照片，通过“回看”功能，在回看界面支持分类查看视频与照片，支持翻页查看。</w:t>
            </w:r>
          </w:p>
          <w:p w14:paraId="4C42D49C">
            <w:pPr>
              <w:widowControl/>
              <w:shd w:val="clear" w:color="auto" w:fill="FFFFFF"/>
              <w:jc w:val="left"/>
              <w:rPr>
                <w:rFonts w:ascii="仿宋" w:hAnsi="仿宋" w:eastAsia="仿宋" w:cs="仿宋"/>
                <w:color w:val="000000"/>
              </w:rPr>
            </w:pPr>
            <w:r>
              <w:rPr>
                <w:rFonts w:hint="eastAsia" w:ascii="仿宋" w:hAnsi="仿宋" w:eastAsia="仿宋" w:cs="仿宋"/>
                <w:color w:val="000000"/>
              </w:rPr>
              <w:t>教学软件：</w:t>
            </w:r>
          </w:p>
          <w:p w14:paraId="0E4B7224">
            <w:pPr>
              <w:widowControl/>
              <w:shd w:val="clear" w:color="auto" w:fill="FFFFFF"/>
              <w:jc w:val="left"/>
              <w:rPr>
                <w:rFonts w:ascii="仿宋" w:hAnsi="仿宋" w:eastAsia="仿宋" w:cs="仿宋"/>
                <w:color w:val="000000"/>
              </w:rPr>
            </w:pPr>
            <w:r>
              <w:rPr>
                <w:rFonts w:hint="eastAsia" w:ascii="仿宋" w:hAnsi="仿宋" w:eastAsia="仿宋" w:cs="仿宋"/>
                <w:color w:val="000000"/>
              </w:rPr>
              <w:t>1.支持笔记本、台式机、一体机、电子白板同时无线接入观看实物展示。</w:t>
            </w:r>
          </w:p>
          <w:p w14:paraId="0831F550">
            <w:pPr>
              <w:widowControl/>
              <w:shd w:val="clear" w:color="auto" w:fill="FFFFFF"/>
              <w:jc w:val="left"/>
              <w:rPr>
                <w:rFonts w:ascii="仿宋" w:hAnsi="仿宋" w:eastAsia="仿宋" w:cs="仿宋"/>
                <w:color w:val="000000"/>
              </w:rPr>
            </w:pPr>
            <w:r>
              <w:rPr>
                <w:rFonts w:hint="eastAsia" w:ascii="仿宋" w:hAnsi="仿宋" w:eastAsia="仿宋" w:cs="仿宋"/>
                <w:color w:val="000000"/>
              </w:rPr>
              <w:t>2.支持放大，缩小，支持画面的动态即时旋转。</w:t>
            </w:r>
          </w:p>
          <w:p w14:paraId="6AE3AE5C">
            <w:pPr>
              <w:widowControl/>
              <w:shd w:val="clear" w:color="auto" w:fill="FFFFFF"/>
              <w:jc w:val="left"/>
              <w:rPr>
                <w:rFonts w:ascii="仿宋" w:hAnsi="仿宋" w:eastAsia="仿宋" w:cs="仿宋"/>
                <w:color w:val="000000"/>
              </w:rPr>
            </w:pPr>
            <w:r>
              <w:rPr>
                <w:rFonts w:hint="eastAsia" w:ascii="仿宋" w:hAnsi="仿宋" w:eastAsia="仿宋" w:cs="仿宋"/>
                <w:color w:val="000000"/>
              </w:rPr>
              <w:t>3.支持实时视频展示、本地图片展示、旋转、缩放、拍照等教学功能。</w:t>
            </w:r>
          </w:p>
          <w:p w14:paraId="4EFC8DFF">
            <w:pPr>
              <w:widowControl/>
              <w:shd w:val="clear" w:color="auto" w:fill="FFFFFF"/>
              <w:jc w:val="left"/>
              <w:rPr>
                <w:rFonts w:ascii="仿宋" w:hAnsi="仿宋" w:eastAsia="仿宋" w:cs="仿宋"/>
                <w:color w:val="000000"/>
              </w:rPr>
            </w:pPr>
            <w:r>
              <w:rPr>
                <w:rFonts w:hint="eastAsia" w:ascii="仿宋" w:hAnsi="仿宋" w:eastAsia="仿宋" w:cs="仿宋"/>
                <w:color w:val="000000"/>
              </w:rPr>
              <w:t>4.支持一体机或电脑使用本软件时，不影响一体机或电脑与外部网络连接。</w:t>
            </w:r>
          </w:p>
          <w:p w14:paraId="0CF734FD">
            <w:pPr>
              <w:widowControl/>
              <w:shd w:val="clear" w:color="auto" w:fill="FFFFFF"/>
              <w:jc w:val="left"/>
              <w:rPr>
                <w:rFonts w:ascii="仿宋" w:hAnsi="仿宋" w:eastAsia="仿宋" w:cs="仿宋"/>
                <w:color w:val="000000"/>
              </w:rPr>
            </w:pPr>
            <w:r>
              <w:rPr>
                <w:rFonts w:hint="eastAsia" w:ascii="仿宋" w:hAnsi="仿宋" w:eastAsia="仿宋" w:cs="仿宋"/>
                <w:color w:val="000000"/>
              </w:rPr>
              <w:t>5.支持电子白板讲解批注功能，支持画笔选择、一键清空、颜色、线宽，返回桌面、截图保存等功能。</w:t>
            </w:r>
          </w:p>
          <w:p w14:paraId="515F9A37">
            <w:pPr>
              <w:widowControl/>
              <w:shd w:val="clear" w:color="auto" w:fill="FFFFFF"/>
              <w:jc w:val="left"/>
              <w:rPr>
                <w:rFonts w:ascii="仿宋" w:hAnsi="仿宋" w:eastAsia="仿宋" w:cs="仿宋"/>
                <w:color w:val="000000"/>
              </w:rPr>
            </w:pPr>
            <w:r>
              <w:rPr>
                <w:rFonts w:hint="eastAsia" w:ascii="仿宋" w:hAnsi="仿宋" w:eastAsia="仿宋" w:cs="仿宋"/>
                <w:color w:val="000000"/>
              </w:rPr>
              <w:t>6.支持在软件画面和电脑桌面进行批注，支持对批注后的画面内容进行截图存储，支持在内容管理中进行查看</w:t>
            </w:r>
          </w:p>
          <w:p w14:paraId="3244B5D0">
            <w:pPr>
              <w:widowControl/>
              <w:shd w:val="clear" w:color="auto" w:fill="FFFFFF"/>
              <w:jc w:val="left"/>
              <w:rPr>
                <w:rFonts w:ascii="仿宋" w:hAnsi="仿宋" w:eastAsia="仿宋" w:cs="仿宋"/>
                <w:color w:val="000000"/>
              </w:rPr>
            </w:pPr>
            <w:r>
              <w:rPr>
                <w:rFonts w:hint="eastAsia" w:ascii="仿宋" w:hAnsi="仿宋" w:eastAsia="仿宋" w:cs="仿宋"/>
                <w:color w:val="000000"/>
              </w:rPr>
              <w:t>7.支持软件画面与电脑桌面的一键切换，方便老师在软件和其他使用界面之间进行快速切换。</w:t>
            </w:r>
          </w:p>
          <w:p w14:paraId="3C5BFDD0">
            <w:pPr>
              <w:widowControl/>
              <w:shd w:val="clear" w:color="auto" w:fill="FFFFFF"/>
              <w:jc w:val="left"/>
              <w:rPr>
                <w:rFonts w:hint="eastAsia" w:ascii="仿宋" w:hAnsi="仿宋" w:eastAsia="仿宋" w:cs="仿宋"/>
                <w:color w:val="000000"/>
              </w:rPr>
            </w:pPr>
            <w:r>
              <w:rPr>
                <w:rFonts w:hint="eastAsia" w:ascii="仿宋" w:hAnsi="仿宋" w:eastAsia="仿宋" w:cs="仿宋"/>
                <w:color w:val="000000"/>
              </w:rPr>
              <w:t xml:space="preserve">8、▲支持软件无线、有线调取电钢琴移动数据终端的实时音视频画面，声音画面同步展示。（提供功能页面截图加盖生产厂家公章加以佐证） </w:t>
            </w:r>
          </w:p>
          <w:p w14:paraId="078BC9B0">
            <w:pPr>
              <w:widowControl/>
              <w:shd w:val="clear" w:color="auto" w:fill="FFFFFF"/>
              <w:jc w:val="left"/>
              <w:rPr>
                <w:rFonts w:ascii="仿宋" w:hAnsi="仿宋" w:eastAsia="仿宋" w:cs="仿宋"/>
                <w:color w:val="000000"/>
              </w:rPr>
            </w:pPr>
            <w:r>
              <w:rPr>
                <w:rFonts w:hint="eastAsia" w:ascii="仿宋" w:hAnsi="仿宋" w:eastAsia="仿宋" w:cs="仿宋"/>
                <w:color w:val="000000"/>
              </w:rPr>
              <w:t>9.▲支持远程调用钢琴移动数据终端上录制的视频和拍摄的照片，通过微课平台，支持分类查看、下载、删除等操作。（提供功能页面截图加盖生产厂家公章加以佐证）</w:t>
            </w:r>
          </w:p>
          <w:p w14:paraId="028783A5">
            <w:pPr>
              <w:widowControl/>
              <w:shd w:val="clear" w:color="auto" w:fill="FFFFFF"/>
              <w:jc w:val="left"/>
              <w:rPr>
                <w:rFonts w:ascii="仿宋" w:hAnsi="仿宋" w:eastAsia="仿宋" w:cs="仿宋"/>
                <w:color w:val="000000"/>
              </w:rPr>
            </w:pPr>
            <w:r>
              <w:rPr>
                <w:rFonts w:hint="eastAsia" w:ascii="仿宋" w:hAnsi="仿宋" w:eastAsia="仿宋" w:cs="仿宋"/>
                <w:color w:val="000000"/>
              </w:rPr>
              <w:t>10.支持微课录制，录制成MP4格式的视频文件，录制的视频文件可导出。</w:t>
            </w:r>
          </w:p>
          <w:p w14:paraId="7D882235">
            <w:pPr>
              <w:widowControl/>
              <w:shd w:val="clear" w:color="auto" w:fill="FFFFFF"/>
              <w:jc w:val="left"/>
              <w:rPr>
                <w:rFonts w:ascii="仿宋" w:hAnsi="仿宋" w:eastAsia="仿宋" w:cs="仿宋"/>
                <w:color w:val="000000"/>
              </w:rPr>
            </w:pPr>
            <w:r>
              <w:rPr>
                <w:rFonts w:hint="eastAsia" w:ascii="仿宋" w:hAnsi="仿宋" w:eastAsia="仿宋" w:cs="仿宋"/>
                <w:color w:val="000000"/>
              </w:rPr>
              <w:t>11.微课录制支持全屏录制和局部录制，支持倒数提醒、暂停、继续录制、停止等功能。</w:t>
            </w:r>
          </w:p>
          <w:p w14:paraId="5D2E681C">
            <w:pPr>
              <w:widowControl/>
              <w:shd w:val="clear" w:color="auto" w:fill="FFFFFF"/>
              <w:jc w:val="left"/>
              <w:rPr>
                <w:rFonts w:ascii="仿宋" w:hAnsi="仿宋" w:eastAsia="仿宋" w:cs="仿宋"/>
                <w:color w:val="000000"/>
              </w:rPr>
            </w:pPr>
            <w:r>
              <w:rPr>
                <w:rFonts w:hint="eastAsia" w:ascii="仿宋" w:hAnsi="仿宋" w:eastAsia="仿宋" w:cs="仿宋"/>
                <w:color w:val="000000"/>
              </w:rPr>
              <w:t>12.支持内容分类管理，系统自动按照图片、视频、文摘等分类存档，图片及视频文件按生成的日期自动归档.</w:t>
            </w:r>
          </w:p>
          <w:p w14:paraId="1ED6282F">
            <w:pPr>
              <w:widowControl/>
              <w:shd w:val="clear" w:color="auto" w:fill="FFFFFF"/>
              <w:jc w:val="left"/>
              <w:rPr>
                <w:rFonts w:ascii="仿宋" w:hAnsi="仿宋" w:eastAsia="仿宋" w:cs="仿宋"/>
                <w:color w:val="000000"/>
              </w:rPr>
            </w:pPr>
            <w:r>
              <w:rPr>
                <w:rFonts w:hint="eastAsia" w:ascii="仿宋" w:hAnsi="仿宋" w:eastAsia="仿宋" w:cs="仿宋"/>
                <w:color w:val="000000"/>
              </w:rPr>
              <w:t>13.双软件：含智慧实训教学软件和微课宝视频编辑软件。</w:t>
            </w:r>
          </w:p>
          <w:p w14:paraId="5579B736">
            <w:pPr>
              <w:widowControl/>
              <w:shd w:val="clear" w:color="auto" w:fill="FFFFFF"/>
              <w:jc w:val="left"/>
              <w:rPr>
                <w:rFonts w:ascii="仿宋" w:hAnsi="仿宋" w:eastAsia="仿宋" w:cs="仿宋"/>
                <w:color w:val="000000"/>
              </w:rPr>
            </w:pPr>
            <w:r>
              <w:rPr>
                <w:rFonts w:hint="eastAsia" w:ascii="仿宋" w:hAnsi="仿宋" w:eastAsia="仿宋" w:cs="仿宋"/>
                <w:color w:val="000000"/>
              </w:rPr>
              <w:t>14.支持微课编辑功能：可以对录制的微课添加片头、片尾、水印、字幕等；</w:t>
            </w:r>
          </w:p>
          <w:p w14:paraId="4F435C78">
            <w:pPr>
              <w:widowControl/>
              <w:shd w:val="clear" w:color="auto" w:fill="FFFFFF"/>
              <w:jc w:val="left"/>
              <w:rPr>
                <w:rFonts w:ascii="仿宋" w:hAnsi="仿宋" w:eastAsia="仿宋" w:cs="仿宋"/>
                <w:color w:val="000000"/>
              </w:rPr>
            </w:pPr>
            <w:r>
              <w:rPr>
                <w:rFonts w:hint="eastAsia" w:ascii="仿宋" w:hAnsi="仿宋" w:eastAsia="仿宋" w:cs="仿宋"/>
                <w:color w:val="000000"/>
              </w:rPr>
              <w:t>15.可以对微课任意位置的视频和音频进行剪切，且剪切后的视频、音频可恢复。</w:t>
            </w:r>
          </w:p>
          <w:p w14:paraId="5235BB7E">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rPr>
              <w:t>16.▲</w:t>
            </w:r>
            <w:r>
              <w:rPr>
                <w:rFonts w:hint="eastAsia" w:ascii="仿宋" w:hAnsi="仿宋" w:eastAsia="仿宋" w:cs="仿宋"/>
                <w:color w:val="000000"/>
                <w:kern w:val="0"/>
                <w:szCs w:val="21"/>
              </w:rPr>
              <w:t>支持微课录制完成后，可根据微课语音中的普通话转化成声音同步的字幕。（提供功能页面截图加盖生产厂家公章加以佐证）</w:t>
            </w:r>
          </w:p>
          <w:p w14:paraId="09A7F264">
            <w:pPr>
              <w:widowControl/>
              <w:shd w:val="clear" w:color="auto" w:fill="FFFFFF"/>
              <w:jc w:val="left"/>
              <w:rPr>
                <w:rFonts w:ascii="仿宋" w:hAnsi="仿宋" w:eastAsia="仿宋" w:cs="仿宋"/>
                <w:color w:val="000000"/>
              </w:rPr>
            </w:pPr>
            <w:r>
              <w:rPr>
                <w:rFonts w:hint="eastAsia" w:ascii="仿宋" w:hAnsi="仿宋" w:eastAsia="仿宋" w:cs="仿宋"/>
                <w:color w:val="000000"/>
              </w:rPr>
              <w:t>17.支持片头、片尾、水印自定义文字大小、颜色、透明度，并可通过拖动鼠标来改变文字位置和大小</w:t>
            </w:r>
          </w:p>
          <w:p w14:paraId="00533D44">
            <w:pPr>
              <w:widowControl/>
              <w:shd w:val="clear" w:color="auto" w:fill="FFFFFF"/>
              <w:jc w:val="left"/>
              <w:rPr>
                <w:rFonts w:ascii="仿宋" w:hAnsi="仿宋" w:eastAsia="仿宋" w:cs="仿宋"/>
                <w:color w:val="000000"/>
              </w:rPr>
            </w:pPr>
            <w:r>
              <w:rPr>
                <w:rFonts w:hint="eastAsia" w:ascii="仿宋" w:hAnsi="仿宋" w:eastAsia="仿宋" w:cs="仿宋"/>
                <w:color w:val="000000"/>
              </w:rPr>
              <w:t>18.系统自动按照图片、微课等分类存档，微课按生成的日期自动归档，可以对图片、微课分类查看，</w:t>
            </w:r>
          </w:p>
          <w:p w14:paraId="67537070">
            <w:pPr>
              <w:widowControl/>
              <w:shd w:val="clear" w:color="auto" w:fill="FFFFFF"/>
              <w:jc w:val="left"/>
              <w:rPr>
                <w:rFonts w:ascii="仿宋" w:hAnsi="仿宋" w:eastAsia="仿宋" w:cs="仿宋"/>
                <w:color w:val="000000"/>
              </w:rPr>
            </w:pPr>
            <w:r>
              <w:rPr>
                <w:rFonts w:hint="eastAsia" w:ascii="仿宋" w:hAnsi="仿宋" w:eastAsia="仿宋" w:cs="仿宋"/>
                <w:color w:val="000000"/>
              </w:rPr>
              <w:t>19.可以对图片进行亮度、对比度、饱合度、智能裁边、剪裁、灰度、黑白、反相、浮雕、锐化等处理。</w:t>
            </w:r>
          </w:p>
        </w:tc>
        <w:tc>
          <w:tcPr>
            <w:tcW w:w="709"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2B6194BA">
            <w:pPr>
              <w:widowControl/>
              <w:shd w:val="clear" w:color="auto" w:fill="FFFFFF"/>
              <w:jc w:val="center"/>
              <w:rPr>
                <w:rFonts w:ascii="仿宋" w:hAnsi="仿宋" w:eastAsia="仿宋" w:cs="仿宋"/>
                <w:color w:val="000000"/>
                <w:kern w:val="0"/>
                <w:szCs w:val="21"/>
              </w:rPr>
            </w:pPr>
            <w:r>
              <w:rPr>
                <w:rFonts w:hint="eastAsia" w:ascii="仿宋" w:hAnsi="仿宋" w:eastAsia="仿宋" w:cs="仿宋"/>
                <w:color w:val="000000"/>
                <w:kern w:val="0"/>
                <w:szCs w:val="21"/>
              </w:rPr>
              <w:t>1</w:t>
            </w:r>
          </w:p>
        </w:tc>
        <w:tc>
          <w:tcPr>
            <w:tcW w:w="708" w:type="dxa"/>
            <w:tcBorders>
              <w:top w:val="single" w:color="000000" w:sz="4" w:space="0"/>
              <w:left w:val="single" w:color="auto" w:sz="4" w:space="0"/>
              <w:bottom w:val="single" w:color="000000" w:sz="4" w:space="0"/>
              <w:right w:val="single" w:color="auto" w:sz="4" w:space="0"/>
            </w:tcBorders>
            <w:shd w:val="clear" w:color="auto" w:fill="FFFFFF"/>
            <w:noWrap/>
            <w:vAlign w:val="center"/>
          </w:tcPr>
          <w:p w14:paraId="6F518509">
            <w:pPr>
              <w:widowControl/>
              <w:shd w:val="clear" w:color="auto" w:fill="FFFFFF"/>
              <w:jc w:val="center"/>
              <w:rPr>
                <w:rFonts w:ascii="仿宋" w:hAnsi="仿宋" w:eastAsia="仿宋" w:cs="仿宋"/>
                <w:color w:val="000000"/>
                <w:kern w:val="0"/>
                <w:szCs w:val="21"/>
              </w:rPr>
            </w:pPr>
            <w:r>
              <w:rPr>
                <w:rFonts w:hint="eastAsia" w:ascii="仿宋" w:hAnsi="仿宋" w:eastAsia="仿宋" w:cs="仿宋"/>
                <w:color w:val="000000"/>
                <w:kern w:val="0"/>
                <w:szCs w:val="21"/>
              </w:rPr>
              <w:t>套</w:t>
            </w:r>
          </w:p>
        </w:tc>
      </w:tr>
      <w:tr w14:paraId="46F7BBE0">
        <w:tblPrEx>
          <w:tblCellMar>
            <w:top w:w="0" w:type="dxa"/>
            <w:left w:w="108" w:type="dxa"/>
            <w:bottom w:w="0" w:type="dxa"/>
            <w:right w:w="108" w:type="dxa"/>
          </w:tblCellMar>
        </w:tblPrEx>
        <w:trPr>
          <w:trHeight w:val="1260"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AD1D6">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szCs w:val="21"/>
              </w:rPr>
              <w:t>20</w:t>
            </w:r>
          </w:p>
        </w:tc>
        <w:tc>
          <w:tcPr>
            <w:tcW w:w="736"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1FC09A6">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kern w:val="0"/>
                <w:szCs w:val="21"/>
              </w:rPr>
              <w:t>信号处理器</w:t>
            </w:r>
          </w:p>
        </w:tc>
        <w:tc>
          <w:tcPr>
            <w:tcW w:w="73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D5E8E1">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kern w:val="0"/>
                <w:szCs w:val="21"/>
              </w:rPr>
              <w:t>符合HDTVI、AHD、CVI等信号标准规范，支持HDTVI、AHD、CVI、模拟、网络五种混合信号接入：支持Smart264编码，相同分辨率，码率更低，支持一键开启/关闭模拟通道SMart：全路数支持高清720p实时编码录像盒预览。支持HDMI盒VGA同源输出分辨率可达1920*1080：支持4路回放；支持硬盘存储模式。TVI720p信号最高支持1200米可靠传输，支持传输控制信号，可进行云台及摄像机菜单控制，简单便捷，支持HDMI与VGA同源输出，支持高清1080p显示输出。</w:t>
            </w:r>
          </w:p>
        </w:tc>
        <w:tc>
          <w:tcPr>
            <w:tcW w:w="709" w:type="dxa"/>
            <w:tcBorders>
              <w:top w:val="single" w:color="000000" w:sz="4" w:space="0"/>
              <w:left w:val="single" w:color="000000" w:sz="4" w:space="0"/>
              <w:bottom w:val="single" w:color="000000" w:sz="4" w:space="0"/>
              <w:right w:val="single" w:color="auto" w:sz="4" w:space="0"/>
            </w:tcBorders>
            <w:shd w:val="clear" w:color="auto" w:fill="FFFFFF"/>
            <w:noWrap/>
            <w:vAlign w:val="center"/>
          </w:tcPr>
          <w:p w14:paraId="4E2BAD8F">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kern w:val="0"/>
                <w:szCs w:val="21"/>
              </w:rPr>
              <w:t>8</w:t>
            </w:r>
          </w:p>
        </w:tc>
        <w:tc>
          <w:tcPr>
            <w:tcW w:w="708" w:type="dxa"/>
            <w:tcBorders>
              <w:top w:val="single" w:color="000000" w:sz="4" w:space="0"/>
              <w:left w:val="single" w:color="auto" w:sz="4" w:space="0"/>
              <w:bottom w:val="single" w:color="000000" w:sz="4" w:space="0"/>
              <w:right w:val="single" w:color="auto" w:sz="4" w:space="0"/>
            </w:tcBorders>
            <w:shd w:val="clear" w:color="auto" w:fill="FFFFFF"/>
            <w:noWrap/>
            <w:vAlign w:val="center"/>
          </w:tcPr>
          <w:p w14:paraId="72EDFADB">
            <w:pPr>
              <w:widowControl/>
              <w:shd w:val="clear" w:color="auto" w:fill="FFFFFF"/>
              <w:jc w:val="center"/>
              <w:rPr>
                <w:rFonts w:ascii="仿宋" w:hAnsi="仿宋" w:eastAsia="仿宋" w:cs="仿宋"/>
                <w:color w:val="000000"/>
                <w:kern w:val="0"/>
                <w:szCs w:val="21"/>
              </w:rPr>
            </w:pPr>
            <w:r>
              <w:rPr>
                <w:rFonts w:hint="eastAsia" w:ascii="仿宋" w:hAnsi="仿宋" w:eastAsia="仿宋" w:cs="仿宋"/>
                <w:color w:val="000000"/>
                <w:kern w:val="0"/>
                <w:szCs w:val="21"/>
              </w:rPr>
              <w:t>台</w:t>
            </w:r>
          </w:p>
        </w:tc>
      </w:tr>
      <w:tr w14:paraId="69B2721F">
        <w:tblPrEx>
          <w:tblCellMar>
            <w:top w:w="0" w:type="dxa"/>
            <w:left w:w="108" w:type="dxa"/>
            <w:bottom w:w="0" w:type="dxa"/>
            <w:right w:w="108" w:type="dxa"/>
          </w:tblCellMar>
        </w:tblPrEx>
        <w:trPr>
          <w:trHeight w:val="828" w:hRule="atLeast"/>
        </w:trPr>
        <w:tc>
          <w:tcPr>
            <w:tcW w:w="654" w:type="dxa"/>
            <w:tcBorders>
              <w:top w:val="single" w:color="000000" w:sz="4" w:space="0"/>
              <w:left w:val="single" w:color="000000" w:sz="4" w:space="0"/>
              <w:bottom w:val="single" w:color="000000" w:sz="4" w:space="0"/>
              <w:right w:val="single" w:color="000000" w:sz="4" w:space="0"/>
            </w:tcBorders>
            <w:noWrap/>
            <w:vAlign w:val="center"/>
          </w:tcPr>
          <w:p w14:paraId="59F6516F">
            <w:pPr>
              <w:widowControl/>
              <w:shd w:val="clear" w:color="auto" w:fill="FFFFFF"/>
              <w:jc w:val="center"/>
              <w:rPr>
                <w:rFonts w:ascii="仿宋" w:hAnsi="仿宋" w:eastAsia="仿宋" w:cs="仿宋"/>
                <w:color w:val="000000"/>
                <w:kern w:val="0"/>
                <w:szCs w:val="21"/>
              </w:rPr>
            </w:pPr>
            <w:r>
              <w:rPr>
                <w:rFonts w:hint="eastAsia" w:ascii="仿宋" w:hAnsi="仿宋" w:eastAsia="仿宋" w:cs="仿宋"/>
                <w:color w:val="000000"/>
                <w:kern w:val="0"/>
                <w:szCs w:val="21"/>
              </w:rPr>
              <w:t>21</w:t>
            </w:r>
          </w:p>
        </w:tc>
        <w:tc>
          <w:tcPr>
            <w:tcW w:w="736" w:type="dxa"/>
            <w:tcBorders>
              <w:top w:val="single" w:color="000000" w:sz="4" w:space="0"/>
              <w:left w:val="single" w:color="000000" w:sz="4" w:space="0"/>
              <w:bottom w:val="single" w:color="000000" w:sz="4" w:space="0"/>
              <w:right w:val="single" w:color="auto" w:sz="4" w:space="0"/>
            </w:tcBorders>
            <w:noWrap/>
            <w:vAlign w:val="center"/>
          </w:tcPr>
          <w:p w14:paraId="6452F8E5">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szCs w:val="21"/>
              </w:rPr>
              <w:t>切换器</w:t>
            </w:r>
          </w:p>
        </w:tc>
        <w:tc>
          <w:tcPr>
            <w:tcW w:w="7399" w:type="dxa"/>
            <w:tcBorders>
              <w:top w:val="single" w:color="000000" w:sz="4" w:space="0"/>
              <w:left w:val="single" w:color="000000" w:sz="4" w:space="0"/>
              <w:bottom w:val="single" w:color="000000" w:sz="4" w:space="0"/>
              <w:right w:val="single" w:color="000000" w:sz="4" w:space="0"/>
            </w:tcBorders>
            <w:noWrap/>
            <w:vAlign w:val="center"/>
          </w:tcPr>
          <w:p w14:paraId="0B6397D0">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kern w:val="0"/>
                <w:szCs w:val="21"/>
              </w:rPr>
              <w:t>高清1080p画面，最高支持50/60Hz刷新率，支持30/36位深色，配红外线遥控器进行输入控制，两路视频信号输入，两路视频信号输出，4个HDMI接口，独立DC5V电源，坚固耐用金属材质。</w:t>
            </w:r>
          </w:p>
        </w:tc>
        <w:tc>
          <w:tcPr>
            <w:tcW w:w="709" w:type="dxa"/>
            <w:tcBorders>
              <w:top w:val="single" w:color="000000" w:sz="4" w:space="0"/>
              <w:left w:val="single" w:color="000000" w:sz="4" w:space="0"/>
              <w:bottom w:val="single" w:color="000000" w:sz="4" w:space="0"/>
              <w:right w:val="single" w:color="auto" w:sz="4" w:space="0"/>
            </w:tcBorders>
            <w:noWrap/>
            <w:vAlign w:val="center"/>
          </w:tcPr>
          <w:p w14:paraId="68A2DF32">
            <w:pPr>
              <w:widowControl/>
              <w:shd w:val="clear" w:color="auto" w:fill="FFFFFF"/>
              <w:jc w:val="center"/>
              <w:rPr>
                <w:rFonts w:ascii="仿宋" w:hAnsi="仿宋" w:eastAsia="仿宋" w:cs="仿宋"/>
                <w:color w:val="000000"/>
                <w:kern w:val="0"/>
                <w:szCs w:val="21"/>
              </w:rPr>
            </w:pPr>
            <w:r>
              <w:rPr>
                <w:rFonts w:hint="eastAsia" w:ascii="仿宋" w:hAnsi="仿宋" w:eastAsia="仿宋" w:cs="仿宋"/>
                <w:color w:val="000000"/>
                <w:kern w:val="0"/>
                <w:szCs w:val="21"/>
              </w:rPr>
              <w:t>8</w:t>
            </w:r>
          </w:p>
        </w:tc>
        <w:tc>
          <w:tcPr>
            <w:tcW w:w="708" w:type="dxa"/>
            <w:tcBorders>
              <w:top w:val="single" w:color="000000" w:sz="4" w:space="0"/>
              <w:left w:val="single" w:color="auto" w:sz="4" w:space="0"/>
              <w:bottom w:val="single" w:color="000000" w:sz="4" w:space="0"/>
              <w:right w:val="single" w:color="auto" w:sz="4" w:space="0"/>
            </w:tcBorders>
            <w:noWrap/>
            <w:vAlign w:val="center"/>
          </w:tcPr>
          <w:p w14:paraId="3A6972BF">
            <w:pPr>
              <w:widowControl/>
              <w:shd w:val="clear" w:color="auto" w:fill="FFFFFF"/>
              <w:jc w:val="center"/>
              <w:rPr>
                <w:rFonts w:ascii="仿宋" w:hAnsi="仿宋" w:eastAsia="仿宋" w:cs="仿宋"/>
                <w:color w:val="000000"/>
                <w:kern w:val="0"/>
                <w:szCs w:val="21"/>
              </w:rPr>
            </w:pPr>
            <w:r>
              <w:rPr>
                <w:rFonts w:hint="eastAsia" w:ascii="仿宋" w:hAnsi="仿宋" w:eastAsia="仿宋" w:cs="仿宋"/>
                <w:color w:val="000000"/>
                <w:kern w:val="0"/>
                <w:szCs w:val="21"/>
              </w:rPr>
              <w:t>个</w:t>
            </w:r>
          </w:p>
        </w:tc>
      </w:tr>
      <w:tr w14:paraId="47586289">
        <w:tblPrEx>
          <w:tblCellMar>
            <w:top w:w="0" w:type="dxa"/>
            <w:left w:w="108" w:type="dxa"/>
            <w:bottom w:w="0" w:type="dxa"/>
            <w:right w:w="108" w:type="dxa"/>
          </w:tblCellMar>
        </w:tblPrEx>
        <w:trPr>
          <w:trHeight w:val="506" w:hRule="atLeast"/>
        </w:trPr>
        <w:tc>
          <w:tcPr>
            <w:tcW w:w="654" w:type="dxa"/>
            <w:tcBorders>
              <w:top w:val="single" w:color="000000" w:sz="4" w:space="0"/>
              <w:left w:val="single" w:color="000000" w:sz="4" w:space="0"/>
              <w:bottom w:val="single" w:color="000000" w:sz="4" w:space="0"/>
              <w:right w:val="single" w:color="000000" w:sz="4" w:space="0"/>
            </w:tcBorders>
            <w:noWrap/>
            <w:vAlign w:val="center"/>
          </w:tcPr>
          <w:p w14:paraId="24DC5148">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szCs w:val="21"/>
              </w:rPr>
              <w:t>22</w:t>
            </w:r>
          </w:p>
        </w:tc>
        <w:tc>
          <w:tcPr>
            <w:tcW w:w="736" w:type="dxa"/>
            <w:tcBorders>
              <w:top w:val="single" w:color="000000" w:sz="4" w:space="0"/>
              <w:left w:val="single" w:color="000000" w:sz="4" w:space="0"/>
              <w:bottom w:val="single" w:color="000000" w:sz="4" w:space="0"/>
              <w:right w:val="single" w:color="auto" w:sz="4" w:space="0"/>
            </w:tcBorders>
            <w:noWrap/>
            <w:vAlign w:val="center"/>
          </w:tcPr>
          <w:p w14:paraId="5007DAA6">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szCs w:val="21"/>
              </w:rPr>
              <w:t>辅材</w:t>
            </w:r>
          </w:p>
        </w:tc>
        <w:tc>
          <w:tcPr>
            <w:tcW w:w="7399" w:type="dxa"/>
            <w:tcBorders>
              <w:top w:val="single" w:color="000000" w:sz="4" w:space="0"/>
              <w:left w:val="single" w:color="000000" w:sz="4" w:space="0"/>
              <w:bottom w:val="single" w:color="000000" w:sz="4" w:space="0"/>
              <w:right w:val="single" w:color="000000" w:sz="4" w:space="0"/>
            </w:tcBorders>
            <w:noWrap/>
            <w:vAlign w:val="center"/>
          </w:tcPr>
          <w:p w14:paraId="1F5206AB">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kern w:val="0"/>
                <w:szCs w:val="21"/>
              </w:rPr>
              <w:t>网线、电源线</w:t>
            </w:r>
          </w:p>
        </w:tc>
        <w:tc>
          <w:tcPr>
            <w:tcW w:w="709" w:type="dxa"/>
            <w:tcBorders>
              <w:top w:val="single" w:color="000000" w:sz="4" w:space="0"/>
              <w:left w:val="single" w:color="000000" w:sz="4" w:space="0"/>
              <w:bottom w:val="single" w:color="000000" w:sz="4" w:space="0"/>
              <w:right w:val="single" w:color="auto" w:sz="4" w:space="0"/>
            </w:tcBorders>
            <w:noWrap/>
            <w:vAlign w:val="center"/>
          </w:tcPr>
          <w:p w14:paraId="35100E1B">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kern w:val="0"/>
                <w:szCs w:val="21"/>
              </w:rPr>
              <w:t>1</w:t>
            </w:r>
          </w:p>
        </w:tc>
        <w:tc>
          <w:tcPr>
            <w:tcW w:w="708" w:type="dxa"/>
            <w:tcBorders>
              <w:top w:val="single" w:color="000000" w:sz="4" w:space="0"/>
              <w:left w:val="single" w:color="auto" w:sz="4" w:space="0"/>
              <w:bottom w:val="single" w:color="000000" w:sz="4" w:space="0"/>
              <w:right w:val="single" w:color="auto" w:sz="4" w:space="0"/>
            </w:tcBorders>
            <w:noWrap/>
            <w:vAlign w:val="center"/>
          </w:tcPr>
          <w:p w14:paraId="586194D5">
            <w:pPr>
              <w:widowControl/>
              <w:shd w:val="clear" w:color="auto" w:fill="FFFFFF"/>
              <w:jc w:val="center"/>
              <w:rPr>
                <w:rFonts w:ascii="仿宋" w:hAnsi="仿宋" w:eastAsia="仿宋" w:cs="仿宋"/>
                <w:color w:val="000000"/>
                <w:kern w:val="0"/>
                <w:szCs w:val="21"/>
              </w:rPr>
            </w:pPr>
            <w:r>
              <w:rPr>
                <w:rFonts w:hint="eastAsia" w:ascii="仿宋" w:hAnsi="仿宋" w:eastAsia="仿宋" w:cs="仿宋"/>
                <w:color w:val="000000"/>
                <w:kern w:val="0"/>
                <w:szCs w:val="21"/>
              </w:rPr>
              <w:t>批</w:t>
            </w:r>
          </w:p>
        </w:tc>
      </w:tr>
      <w:tr w14:paraId="034ADCDC">
        <w:tblPrEx>
          <w:tblCellMar>
            <w:top w:w="0" w:type="dxa"/>
            <w:left w:w="108" w:type="dxa"/>
            <w:bottom w:w="0" w:type="dxa"/>
            <w:right w:w="108" w:type="dxa"/>
          </w:tblCellMar>
        </w:tblPrEx>
        <w:trPr>
          <w:trHeight w:val="828" w:hRule="atLeast"/>
        </w:trPr>
        <w:tc>
          <w:tcPr>
            <w:tcW w:w="654" w:type="dxa"/>
            <w:tcBorders>
              <w:top w:val="single" w:color="000000" w:sz="4" w:space="0"/>
              <w:left w:val="single" w:color="000000" w:sz="4" w:space="0"/>
              <w:bottom w:val="single" w:color="000000" w:sz="4" w:space="0"/>
              <w:right w:val="single" w:color="000000" w:sz="4" w:space="0"/>
            </w:tcBorders>
            <w:noWrap/>
            <w:vAlign w:val="center"/>
          </w:tcPr>
          <w:p w14:paraId="671EB2E6">
            <w:pPr>
              <w:widowControl/>
              <w:shd w:val="clear" w:color="auto" w:fill="FFFFFF"/>
              <w:jc w:val="center"/>
              <w:rPr>
                <w:rFonts w:ascii="仿宋" w:hAnsi="仿宋" w:eastAsia="仿宋" w:cs="仿宋"/>
                <w:color w:val="000000"/>
                <w:kern w:val="0"/>
                <w:szCs w:val="21"/>
              </w:rPr>
            </w:pPr>
            <w:r>
              <w:rPr>
                <w:rFonts w:hint="eastAsia" w:ascii="仿宋" w:hAnsi="仿宋" w:eastAsia="仿宋" w:cs="仿宋"/>
                <w:color w:val="000000"/>
                <w:kern w:val="0"/>
                <w:szCs w:val="21"/>
              </w:rPr>
              <w:t>23</w:t>
            </w:r>
          </w:p>
        </w:tc>
        <w:tc>
          <w:tcPr>
            <w:tcW w:w="736" w:type="dxa"/>
            <w:tcBorders>
              <w:top w:val="single" w:color="000000" w:sz="4" w:space="0"/>
              <w:left w:val="single" w:color="000000" w:sz="4" w:space="0"/>
              <w:bottom w:val="single" w:color="000000" w:sz="4" w:space="0"/>
              <w:right w:val="single" w:color="auto" w:sz="4" w:space="0"/>
            </w:tcBorders>
            <w:noWrap/>
            <w:vAlign w:val="center"/>
          </w:tcPr>
          <w:p w14:paraId="220609BE">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szCs w:val="21"/>
              </w:rPr>
              <w:t>课件服务</w:t>
            </w:r>
          </w:p>
        </w:tc>
        <w:tc>
          <w:tcPr>
            <w:tcW w:w="7399" w:type="dxa"/>
            <w:tcBorders>
              <w:top w:val="single" w:color="000000" w:sz="4" w:space="0"/>
              <w:left w:val="single" w:color="000000" w:sz="4" w:space="0"/>
              <w:bottom w:val="single" w:color="000000" w:sz="4" w:space="0"/>
              <w:right w:val="single" w:color="000000" w:sz="4" w:space="0"/>
            </w:tcBorders>
            <w:noWrap/>
            <w:vAlign w:val="center"/>
          </w:tcPr>
          <w:p w14:paraId="071E3142">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kern w:val="0"/>
                <w:szCs w:val="21"/>
              </w:rPr>
              <w:t>根据学校教学需求，为学校定制专属教学课件，与学校教材配套的教材课件私有化定制服务，定制工作不超过15个工作日。</w:t>
            </w:r>
          </w:p>
        </w:tc>
        <w:tc>
          <w:tcPr>
            <w:tcW w:w="709" w:type="dxa"/>
            <w:tcBorders>
              <w:top w:val="single" w:color="000000" w:sz="4" w:space="0"/>
              <w:left w:val="single" w:color="000000" w:sz="4" w:space="0"/>
              <w:bottom w:val="single" w:color="000000" w:sz="4" w:space="0"/>
              <w:right w:val="single" w:color="auto" w:sz="4" w:space="0"/>
            </w:tcBorders>
            <w:noWrap/>
            <w:vAlign w:val="center"/>
          </w:tcPr>
          <w:p w14:paraId="59EC9F2E">
            <w:pPr>
              <w:widowControl/>
              <w:shd w:val="clear" w:color="auto" w:fill="FFFFFF"/>
              <w:jc w:val="center"/>
              <w:rPr>
                <w:rFonts w:ascii="仿宋" w:hAnsi="仿宋" w:eastAsia="仿宋" w:cs="仿宋"/>
                <w:color w:val="000000"/>
                <w:kern w:val="0"/>
                <w:szCs w:val="21"/>
              </w:rPr>
            </w:pPr>
            <w:r>
              <w:rPr>
                <w:rFonts w:hint="eastAsia" w:ascii="仿宋" w:hAnsi="仿宋" w:eastAsia="仿宋" w:cs="仿宋"/>
                <w:color w:val="000000"/>
                <w:kern w:val="0"/>
                <w:szCs w:val="21"/>
              </w:rPr>
              <w:t>1</w:t>
            </w:r>
          </w:p>
        </w:tc>
        <w:tc>
          <w:tcPr>
            <w:tcW w:w="708" w:type="dxa"/>
            <w:tcBorders>
              <w:top w:val="single" w:color="000000" w:sz="4" w:space="0"/>
              <w:left w:val="single" w:color="auto" w:sz="4" w:space="0"/>
              <w:bottom w:val="single" w:color="000000" w:sz="4" w:space="0"/>
              <w:right w:val="single" w:color="auto" w:sz="4" w:space="0"/>
            </w:tcBorders>
            <w:noWrap/>
            <w:vAlign w:val="center"/>
          </w:tcPr>
          <w:p w14:paraId="5900C261">
            <w:pPr>
              <w:widowControl/>
              <w:shd w:val="clear" w:color="auto" w:fill="FFFFFF"/>
              <w:jc w:val="center"/>
              <w:rPr>
                <w:rFonts w:ascii="仿宋" w:hAnsi="仿宋" w:eastAsia="仿宋" w:cs="仿宋"/>
                <w:color w:val="000000"/>
                <w:kern w:val="0"/>
                <w:szCs w:val="21"/>
              </w:rPr>
            </w:pPr>
            <w:r>
              <w:rPr>
                <w:rFonts w:hint="eastAsia" w:ascii="仿宋" w:hAnsi="仿宋" w:eastAsia="仿宋" w:cs="仿宋"/>
                <w:color w:val="000000"/>
                <w:kern w:val="0"/>
                <w:szCs w:val="21"/>
              </w:rPr>
              <w:t>项</w:t>
            </w:r>
          </w:p>
        </w:tc>
      </w:tr>
      <w:tr w14:paraId="5FF413F2">
        <w:tblPrEx>
          <w:tblCellMar>
            <w:top w:w="0" w:type="dxa"/>
            <w:left w:w="108" w:type="dxa"/>
            <w:bottom w:w="0" w:type="dxa"/>
            <w:right w:w="108" w:type="dxa"/>
          </w:tblCellMar>
        </w:tblPrEx>
        <w:trPr>
          <w:trHeight w:val="828" w:hRule="atLeast"/>
        </w:trPr>
        <w:tc>
          <w:tcPr>
            <w:tcW w:w="654" w:type="dxa"/>
            <w:tcBorders>
              <w:top w:val="single" w:color="000000" w:sz="4" w:space="0"/>
              <w:left w:val="single" w:color="000000" w:sz="4" w:space="0"/>
              <w:bottom w:val="single" w:color="000000" w:sz="4" w:space="0"/>
              <w:right w:val="single" w:color="000000" w:sz="4" w:space="0"/>
            </w:tcBorders>
            <w:noWrap/>
            <w:vAlign w:val="center"/>
          </w:tcPr>
          <w:p w14:paraId="2DE78AEC">
            <w:pPr>
              <w:widowControl/>
              <w:shd w:val="clear" w:color="auto" w:fill="FFFFFF"/>
              <w:jc w:val="center"/>
              <w:rPr>
                <w:rFonts w:ascii="仿宋" w:hAnsi="仿宋" w:eastAsia="仿宋" w:cs="仿宋"/>
                <w:color w:val="000000"/>
                <w:kern w:val="0"/>
                <w:szCs w:val="21"/>
              </w:rPr>
            </w:pPr>
            <w:r>
              <w:rPr>
                <w:rFonts w:hint="eastAsia" w:ascii="仿宋" w:hAnsi="仿宋" w:eastAsia="仿宋" w:cs="仿宋"/>
                <w:color w:val="000000"/>
                <w:kern w:val="0"/>
                <w:szCs w:val="21"/>
              </w:rPr>
              <w:t>24</w:t>
            </w:r>
          </w:p>
        </w:tc>
        <w:tc>
          <w:tcPr>
            <w:tcW w:w="736" w:type="dxa"/>
            <w:tcBorders>
              <w:top w:val="single" w:color="000000" w:sz="4" w:space="0"/>
              <w:left w:val="single" w:color="000000" w:sz="4" w:space="0"/>
              <w:bottom w:val="single" w:color="000000" w:sz="4" w:space="0"/>
              <w:right w:val="single" w:color="auto" w:sz="4" w:space="0"/>
            </w:tcBorders>
            <w:noWrap/>
            <w:vAlign w:val="center"/>
          </w:tcPr>
          <w:p w14:paraId="38B75693">
            <w:pPr>
              <w:widowControl/>
              <w:shd w:val="clear" w:color="auto" w:fill="FFFFFF"/>
              <w:jc w:val="center"/>
              <w:rPr>
                <w:rFonts w:ascii="仿宋" w:hAnsi="仿宋" w:eastAsia="仿宋" w:cs="仿宋"/>
                <w:color w:val="000000"/>
                <w:szCs w:val="21"/>
              </w:rPr>
            </w:pPr>
            <w:r>
              <w:rPr>
                <w:rFonts w:hint="eastAsia" w:ascii="仿宋" w:hAnsi="仿宋" w:eastAsia="仿宋" w:cs="仿宋"/>
                <w:color w:val="000000"/>
                <w:szCs w:val="21"/>
              </w:rPr>
              <w:t>OTA升级服务</w:t>
            </w:r>
          </w:p>
        </w:tc>
        <w:tc>
          <w:tcPr>
            <w:tcW w:w="7399" w:type="dxa"/>
            <w:tcBorders>
              <w:top w:val="single" w:color="000000" w:sz="4" w:space="0"/>
              <w:left w:val="single" w:color="000000" w:sz="4" w:space="0"/>
              <w:bottom w:val="single" w:color="000000" w:sz="4" w:space="0"/>
              <w:right w:val="single" w:color="000000" w:sz="4" w:space="0"/>
            </w:tcBorders>
            <w:noWrap/>
            <w:vAlign w:val="center"/>
          </w:tcPr>
          <w:p w14:paraId="397C4E33">
            <w:pPr>
              <w:widowControl/>
              <w:shd w:val="clear" w:color="auto" w:fill="FFFFFF"/>
              <w:jc w:val="left"/>
              <w:rPr>
                <w:rFonts w:ascii="仿宋" w:hAnsi="仿宋" w:eastAsia="仿宋" w:cs="仿宋"/>
                <w:color w:val="000000"/>
                <w:kern w:val="0"/>
                <w:szCs w:val="21"/>
              </w:rPr>
            </w:pPr>
            <w:r>
              <w:rPr>
                <w:rFonts w:hint="eastAsia" w:ascii="仿宋" w:hAnsi="仿宋" w:eastAsia="仿宋" w:cs="仿宋"/>
                <w:color w:val="000000"/>
                <w:kern w:val="0"/>
                <w:szCs w:val="21"/>
              </w:rPr>
              <w:t>设备使用期间，制造厂家收集使用人的个性化使用需求，并作出后期升级服务，使用人可享受无限次设备OTA免费功能升级。升级周期为30个工作日。</w:t>
            </w:r>
          </w:p>
        </w:tc>
        <w:tc>
          <w:tcPr>
            <w:tcW w:w="709" w:type="dxa"/>
            <w:tcBorders>
              <w:top w:val="single" w:color="000000" w:sz="4" w:space="0"/>
              <w:left w:val="single" w:color="000000" w:sz="4" w:space="0"/>
              <w:bottom w:val="single" w:color="000000" w:sz="4" w:space="0"/>
              <w:right w:val="single" w:color="auto" w:sz="4" w:space="0"/>
            </w:tcBorders>
            <w:noWrap/>
            <w:vAlign w:val="center"/>
          </w:tcPr>
          <w:p w14:paraId="12558C3C">
            <w:pPr>
              <w:widowControl/>
              <w:shd w:val="clear" w:color="auto" w:fill="FFFFFF"/>
              <w:jc w:val="center"/>
              <w:rPr>
                <w:rFonts w:ascii="仿宋" w:hAnsi="仿宋" w:eastAsia="仿宋" w:cs="仿宋"/>
                <w:color w:val="000000"/>
                <w:kern w:val="0"/>
                <w:szCs w:val="21"/>
              </w:rPr>
            </w:pPr>
            <w:r>
              <w:rPr>
                <w:rFonts w:hint="eastAsia" w:ascii="仿宋" w:hAnsi="仿宋" w:eastAsia="仿宋" w:cs="仿宋"/>
                <w:color w:val="000000"/>
                <w:kern w:val="0"/>
                <w:szCs w:val="21"/>
              </w:rPr>
              <w:t>1</w:t>
            </w:r>
          </w:p>
        </w:tc>
        <w:tc>
          <w:tcPr>
            <w:tcW w:w="708" w:type="dxa"/>
            <w:tcBorders>
              <w:top w:val="single" w:color="000000" w:sz="4" w:space="0"/>
              <w:left w:val="single" w:color="auto" w:sz="4" w:space="0"/>
              <w:bottom w:val="single" w:color="000000" w:sz="4" w:space="0"/>
              <w:right w:val="single" w:color="auto" w:sz="4" w:space="0"/>
            </w:tcBorders>
            <w:noWrap/>
            <w:vAlign w:val="center"/>
          </w:tcPr>
          <w:p w14:paraId="2DFA2824">
            <w:pPr>
              <w:widowControl/>
              <w:shd w:val="clear" w:color="auto" w:fill="FFFFFF"/>
              <w:jc w:val="center"/>
              <w:rPr>
                <w:rFonts w:ascii="仿宋" w:hAnsi="仿宋" w:eastAsia="仿宋" w:cs="仿宋"/>
                <w:color w:val="000000"/>
                <w:kern w:val="0"/>
                <w:szCs w:val="21"/>
              </w:rPr>
            </w:pPr>
            <w:r>
              <w:rPr>
                <w:rFonts w:hint="eastAsia" w:ascii="仿宋" w:hAnsi="仿宋" w:eastAsia="仿宋" w:cs="仿宋"/>
                <w:color w:val="000000"/>
                <w:kern w:val="0"/>
                <w:szCs w:val="21"/>
              </w:rPr>
              <w:t>项</w:t>
            </w:r>
          </w:p>
        </w:tc>
      </w:tr>
    </w:tbl>
    <w:p w14:paraId="50AA305C">
      <w:pPr>
        <w:widowControl/>
        <w:shd w:val="clear" w:color="auto" w:fill="FFFFFF"/>
        <w:jc w:val="left"/>
        <w:rPr>
          <w:rFonts w:hint="eastAsia" w:ascii="仿宋" w:hAnsi="仿宋" w:eastAsia="仿宋" w:cs="仿宋"/>
          <w:color w:val="000000"/>
          <w:kern w:val="0"/>
          <w:sz w:val="24"/>
          <w:szCs w:val="21"/>
        </w:rPr>
      </w:pPr>
      <w:r>
        <w:rPr>
          <w:rFonts w:hint="eastAsia" w:ascii="仿宋" w:hAnsi="仿宋" w:eastAsia="仿宋" w:cs="仿宋"/>
          <w:color w:val="000000"/>
          <w:kern w:val="0"/>
          <w:sz w:val="24"/>
          <w:szCs w:val="21"/>
        </w:rPr>
        <w:t>注：采购需求中技术参数为最低要求，不允许负偏离，否则为无效响应。</w:t>
      </w:r>
    </w:p>
    <w:p w14:paraId="62673932">
      <w:pPr>
        <w:pStyle w:val="14"/>
        <w:spacing w:line="360" w:lineRule="auto"/>
        <w:ind w:firstLine="241" w:firstLineChars="100"/>
        <w:rPr>
          <w:rFonts w:hint="eastAsia" w:ascii="仿宋" w:hAnsi="仿宋" w:eastAsia="仿宋" w:cs="微软雅黑"/>
          <w:b/>
          <w:color w:val="FF0000"/>
          <w:kern w:val="0"/>
          <w:sz w:val="24"/>
          <w:szCs w:val="28"/>
        </w:rPr>
      </w:pPr>
      <w:r>
        <w:rPr>
          <w:rFonts w:hint="eastAsia" w:ascii="仿宋" w:hAnsi="仿宋" w:eastAsia="仿宋" w:cs="仿宋_GB2312"/>
          <w:b/>
          <w:color w:val="FF0000"/>
          <w:sz w:val="24"/>
          <w:szCs w:val="28"/>
          <w:lang w:val="zh-CN"/>
        </w:rPr>
        <w:t>本次采购的核心产品：</w:t>
      </w:r>
      <w:r>
        <w:rPr>
          <w:rFonts w:hint="eastAsia" w:ascii="仿宋" w:hAnsi="仿宋" w:eastAsia="仿宋" w:cs="仿宋_GB2312"/>
          <w:b/>
          <w:color w:val="FF0000"/>
          <w:sz w:val="24"/>
          <w:szCs w:val="28"/>
          <w:lang w:val="en-US" w:eastAsia="zh-CN"/>
        </w:rPr>
        <w:t>教师</w:t>
      </w:r>
      <w:r>
        <w:rPr>
          <w:rFonts w:hint="eastAsia" w:ascii="仿宋" w:hAnsi="仿宋" w:eastAsia="仿宋" w:cs="仿宋_GB2312"/>
          <w:b/>
          <w:color w:val="FF0000"/>
          <w:sz w:val="24"/>
          <w:szCs w:val="28"/>
          <w:lang w:val="zh-CN"/>
        </w:rPr>
        <w:t>电钢琴、学生电钢琴</w:t>
      </w:r>
      <w:r>
        <w:rPr>
          <w:rFonts w:hint="eastAsia" w:ascii="仿宋" w:hAnsi="仿宋" w:eastAsia="仿宋" w:cs="微软雅黑"/>
          <w:b/>
          <w:color w:val="FF0000"/>
          <w:kern w:val="0"/>
          <w:sz w:val="24"/>
          <w:szCs w:val="28"/>
        </w:rPr>
        <w:t>；</w:t>
      </w:r>
    </w:p>
    <w:p w14:paraId="77B64FAB">
      <w:pPr>
        <w:pStyle w:val="14"/>
        <w:spacing w:line="360" w:lineRule="auto"/>
        <w:ind w:firstLine="241" w:firstLineChars="100"/>
        <w:rPr>
          <w:rFonts w:hint="eastAsia" w:ascii="仿宋" w:hAnsi="仿宋" w:eastAsia="仿宋" w:cs="仿宋_GB2312"/>
          <w:b/>
          <w:color w:val="FF0000"/>
          <w:sz w:val="24"/>
          <w:szCs w:val="28"/>
          <w:lang w:val="zh-CN"/>
        </w:rPr>
      </w:pPr>
      <w:r>
        <w:rPr>
          <w:rFonts w:hint="eastAsia" w:ascii="仿宋" w:hAnsi="仿宋" w:eastAsia="仿宋" w:cs="仿宋_GB2312"/>
          <w:b/>
          <w:color w:val="FF0000"/>
          <w:sz w:val="24"/>
          <w:szCs w:val="28"/>
          <w:lang w:val="zh-CN"/>
        </w:rPr>
        <w:t>采购标的对应的行业：工业；</w:t>
      </w:r>
    </w:p>
    <w:p w14:paraId="30467180">
      <w:pPr>
        <w:pStyle w:val="14"/>
        <w:spacing w:line="360" w:lineRule="auto"/>
        <w:ind w:firstLine="241" w:firstLineChars="100"/>
        <w:rPr>
          <w:rFonts w:hint="eastAsia" w:ascii="仿宋" w:hAnsi="仿宋" w:eastAsia="仿宋" w:cs="微软雅黑"/>
          <w:b/>
          <w:color w:val="FF0000"/>
          <w:kern w:val="0"/>
          <w:sz w:val="24"/>
          <w:szCs w:val="28"/>
        </w:rPr>
      </w:pPr>
      <w:r>
        <w:rPr>
          <w:rFonts w:hint="eastAsia" w:ascii="仿宋" w:hAnsi="仿宋" w:eastAsia="仿宋" w:cs="微软雅黑"/>
          <w:b/>
          <w:color w:val="FF0000"/>
          <w:kern w:val="0"/>
          <w:sz w:val="24"/>
          <w:szCs w:val="28"/>
        </w:rPr>
        <w:t>强制节能产品：无；网络安全产品：无。</w:t>
      </w:r>
    </w:p>
    <w:p w14:paraId="02810533">
      <w:pPr>
        <w:widowControl/>
        <w:shd w:val="clear" w:color="auto" w:fill="FFFFFF"/>
        <w:spacing w:line="360" w:lineRule="auto"/>
        <w:ind w:firstLine="211" w:firstLineChars="100"/>
        <w:jc w:val="left"/>
        <w:rPr>
          <w:rFonts w:hint="eastAsia" w:ascii="宋体" w:hAnsi="宋体"/>
          <w:b/>
          <w:bCs/>
          <w:sz w:val="21"/>
          <w:szCs w:val="21"/>
        </w:rPr>
      </w:pPr>
      <w:r>
        <w:rPr>
          <w:rFonts w:hint="eastAsia" w:ascii="宋体" w:hAnsi="宋体"/>
          <w:b/>
          <w:bCs/>
          <w:sz w:val="21"/>
          <w:szCs w:val="21"/>
        </w:rPr>
        <w:t xml:space="preserve">（三）采购标的执行标准：需执行的国家相关标准、规范。 </w:t>
      </w:r>
    </w:p>
    <w:p w14:paraId="028AC7B4">
      <w:pPr>
        <w:widowControl/>
        <w:shd w:val="clear" w:color="auto" w:fill="FFFFFF"/>
        <w:spacing w:line="360" w:lineRule="auto"/>
        <w:ind w:firstLine="211" w:firstLineChars="100"/>
        <w:jc w:val="left"/>
        <w:rPr>
          <w:rFonts w:hint="eastAsia" w:ascii="宋体" w:hAnsi="宋体"/>
          <w:b/>
          <w:bCs/>
          <w:sz w:val="21"/>
          <w:szCs w:val="21"/>
        </w:rPr>
      </w:pPr>
      <w:r>
        <w:rPr>
          <w:rFonts w:hint="eastAsia" w:ascii="宋体" w:hAnsi="宋体"/>
          <w:b/>
          <w:bCs/>
          <w:sz w:val="21"/>
          <w:szCs w:val="21"/>
        </w:rPr>
        <w:t>（四）服务标准、期限、效率等要求：</w:t>
      </w:r>
    </w:p>
    <w:p w14:paraId="3167ACA5">
      <w:pPr>
        <w:tabs>
          <w:tab w:val="left" w:pos="7095"/>
        </w:tabs>
        <w:spacing w:line="360" w:lineRule="auto"/>
        <w:ind w:firstLine="480" w:firstLineChars="200"/>
        <w:rPr>
          <w:rFonts w:ascii="仿宋" w:hAnsi="仿宋" w:eastAsia="仿宋" w:cs="宋体"/>
          <w:color w:val="000000"/>
          <w:sz w:val="24"/>
        </w:rPr>
      </w:pPr>
      <w:r>
        <w:rPr>
          <w:rFonts w:hint="eastAsia" w:ascii="仿宋" w:hAnsi="仿宋" w:eastAsia="仿宋" w:cs="宋体"/>
          <w:color w:val="000000"/>
          <w:sz w:val="24"/>
        </w:rPr>
        <w:t>1、响应文件中须有详细的实施（技术）方案。</w:t>
      </w:r>
    </w:p>
    <w:p w14:paraId="352F60D8">
      <w:pPr>
        <w:tabs>
          <w:tab w:val="left" w:pos="7095"/>
        </w:tabs>
        <w:spacing w:line="360" w:lineRule="auto"/>
        <w:ind w:firstLine="480" w:firstLineChars="200"/>
        <w:rPr>
          <w:rFonts w:ascii="仿宋" w:hAnsi="仿宋" w:eastAsia="仿宋" w:cs="宋体"/>
          <w:color w:val="000000"/>
          <w:sz w:val="24"/>
        </w:rPr>
      </w:pPr>
      <w:r>
        <w:rPr>
          <w:rFonts w:hint="eastAsia" w:ascii="仿宋" w:hAnsi="仿宋" w:eastAsia="仿宋" w:cs="宋体"/>
          <w:color w:val="000000"/>
          <w:sz w:val="24"/>
        </w:rPr>
        <w:t>2、产品必须符合国家相关标准和本招标文件规定标准。</w:t>
      </w:r>
    </w:p>
    <w:p w14:paraId="141E809B">
      <w:pPr>
        <w:tabs>
          <w:tab w:val="left" w:pos="7095"/>
        </w:tabs>
        <w:spacing w:line="360" w:lineRule="auto"/>
        <w:ind w:firstLine="480" w:firstLineChars="200"/>
        <w:rPr>
          <w:rFonts w:ascii="仿宋" w:hAnsi="仿宋" w:eastAsia="仿宋" w:cs="宋体"/>
          <w:color w:val="000000"/>
          <w:sz w:val="24"/>
        </w:rPr>
      </w:pPr>
      <w:r>
        <w:rPr>
          <w:rFonts w:hint="eastAsia" w:ascii="仿宋" w:hAnsi="仿宋" w:eastAsia="仿宋" w:cs="宋体"/>
          <w:color w:val="000000"/>
          <w:sz w:val="24"/>
        </w:rPr>
        <w:t>3、本项目为交钥匙工程，采购方不再承</w:t>
      </w:r>
      <w:r>
        <w:rPr>
          <w:rFonts w:hint="eastAsia" w:ascii="仿宋" w:hAnsi="仿宋" w:eastAsia="仿宋" w:cs="宋体"/>
          <w:color w:val="000000"/>
          <w:sz w:val="24"/>
          <w:lang w:val="en-US" w:eastAsia="zh-CN"/>
        </w:rPr>
        <w:t>担</w:t>
      </w:r>
      <w:r>
        <w:rPr>
          <w:rFonts w:hint="eastAsia" w:ascii="仿宋" w:hAnsi="仿宋" w:eastAsia="仿宋" w:cs="宋体"/>
          <w:color w:val="000000"/>
          <w:sz w:val="24"/>
        </w:rPr>
        <w:t>费用。</w:t>
      </w:r>
    </w:p>
    <w:p w14:paraId="546DAF34">
      <w:pPr>
        <w:tabs>
          <w:tab w:val="left" w:pos="7095"/>
        </w:tabs>
        <w:spacing w:line="360" w:lineRule="auto"/>
        <w:ind w:firstLine="480" w:firstLineChars="200"/>
        <w:rPr>
          <w:rFonts w:ascii="仿宋" w:hAnsi="仿宋" w:eastAsia="仿宋" w:cs="宋体"/>
          <w:color w:val="000000"/>
          <w:sz w:val="24"/>
        </w:rPr>
      </w:pPr>
      <w:r>
        <w:rPr>
          <w:rFonts w:hint="eastAsia" w:ascii="仿宋" w:hAnsi="仿宋" w:eastAsia="仿宋" w:cs="宋体"/>
          <w:color w:val="000000"/>
          <w:sz w:val="24"/>
        </w:rPr>
        <w:t>4、投标商应负责对买方操作人员进行使用培训，使其能够独立操作，并可以简单的维护和保养。</w:t>
      </w:r>
    </w:p>
    <w:p w14:paraId="66EF31A8">
      <w:pPr>
        <w:widowControl/>
        <w:shd w:val="clear" w:color="auto" w:fill="FFFFFF"/>
        <w:spacing w:line="560" w:lineRule="exact"/>
        <w:ind w:firstLine="211" w:firstLineChars="100"/>
        <w:jc w:val="left"/>
        <w:rPr>
          <w:rFonts w:hint="eastAsia" w:ascii="宋体" w:hAnsi="宋体"/>
          <w:b/>
          <w:bCs/>
          <w:sz w:val="21"/>
          <w:szCs w:val="21"/>
        </w:rPr>
      </w:pPr>
      <w:r>
        <w:rPr>
          <w:rFonts w:hint="eastAsia" w:ascii="宋体" w:hAnsi="宋体"/>
          <w:b/>
          <w:bCs/>
          <w:sz w:val="21"/>
          <w:szCs w:val="21"/>
        </w:rPr>
        <w:t>（五）采购标的其他技术、服务等要求</w:t>
      </w:r>
    </w:p>
    <w:p w14:paraId="0F0E0681">
      <w:pPr>
        <w:tabs>
          <w:tab w:val="left" w:pos="312"/>
        </w:tabs>
        <w:spacing w:after="120" w:line="360" w:lineRule="auto"/>
        <w:rPr>
          <w:rFonts w:ascii="仿宋" w:hAnsi="仿宋" w:eastAsia="仿宋"/>
          <w:color w:val="000000"/>
          <w:sz w:val="24"/>
        </w:rPr>
      </w:pPr>
      <w:r>
        <w:rPr>
          <w:rFonts w:hint="eastAsia" w:ascii="仿宋" w:hAnsi="仿宋" w:eastAsia="仿宋"/>
          <w:color w:val="000000"/>
          <w:sz w:val="24"/>
        </w:rPr>
        <w:t xml:space="preserve">    1</w:t>
      </w:r>
      <w:r>
        <w:rPr>
          <w:rFonts w:hint="eastAsia" w:ascii="仿宋" w:hAnsi="仿宋" w:eastAsia="仿宋" w:cs="宋体"/>
          <w:color w:val="000000"/>
          <w:sz w:val="24"/>
        </w:rPr>
        <w:t>.</w:t>
      </w:r>
      <w:r>
        <w:rPr>
          <w:rFonts w:hint="eastAsia" w:ascii="仿宋" w:hAnsi="仿宋" w:eastAsia="仿宋"/>
          <w:color w:val="000000"/>
          <w:sz w:val="24"/>
        </w:rPr>
        <w:t>投标方须明确投标产品的厂家、产地、品牌、型号等详细参数（序号23、24除外），否则为无效投标。</w:t>
      </w:r>
    </w:p>
    <w:p w14:paraId="4A74365B">
      <w:pPr>
        <w:numPr>
          <w:ilvl w:val="0"/>
          <w:numId w:val="11"/>
        </w:numPr>
        <w:spacing w:after="120" w:line="360" w:lineRule="auto"/>
        <w:ind w:firstLine="480" w:firstLineChars="200"/>
        <w:rPr>
          <w:rFonts w:ascii="仿宋" w:hAnsi="仿宋" w:eastAsia="仿宋" w:cs="宋体"/>
          <w:color w:val="000000"/>
          <w:sz w:val="24"/>
          <w:lang w:val="zh-CN"/>
        </w:rPr>
      </w:pPr>
      <w:r>
        <w:rPr>
          <w:rFonts w:hint="eastAsia" w:ascii="仿宋" w:hAnsi="仿宋" w:eastAsia="仿宋" w:cs="宋体"/>
          <w:color w:val="000000"/>
          <w:sz w:val="24"/>
          <w:lang w:val="zh-CN"/>
        </w:rPr>
        <w:t>供应商应就该项目完整投标（报价包括但不限于完成本项目材料费、人工费、管理费、维护费、保险费、利润、税费等所有费用），否则为无效投标。</w:t>
      </w:r>
    </w:p>
    <w:p w14:paraId="0FCEEEBB">
      <w:pPr>
        <w:widowControl/>
        <w:shd w:val="clear" w:color="auto" w:fill="FFFFFF"/>
        <w:spacing w:line="360" w:lineRule="auto"/>
        <w:ind w:firstLine="480" w:firstLineChars="200"/>
        <w:jc w:val="left"/>
        <w:rPr>
          <w:rFonts w:ascii="仿宋" w:hAnsi="仿宋" w:eastAsia="仿宋" w:cs="宋体"/>
          <w:color w:val="000000" w:themeColor="text1"/>
          <w:sz w:val="24"/>
          <w:lang w:val="zh-CN"/>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3.在合同维保期内，供应商接到通知后1小时进行响应，</w:t>
      </w:r>
      <w:r>
        <w:rPr>
          <w:rFonts w:hint="eastAsia" w:ascii="仿宋" w:hAnsi="仿宋" w:eastAsia="仿宋" w:cs="宋体"/>
          <w:color w:val="000000" w:themeColor="text1"/>
          <w:sz w:val="24"/>
          <w:lang w:val="en-US" w:eastAsia="zh-CN"/>
          <w14:textFill>
            <w14:solidFill>
              <w14:schemeClr w14:val="tx1"/>
            </w14:solidFill>
          </w14:textFill>
        </w:rPr>
        <w:t>4</w:t>
      </w:r>
      <w:r>
        <w:rPr>
          <w:rFonts w:hint="eastAsia" w:ascii="仿宋" w:hAnsi="仿宋" w:eastAsia="仿宋" w:cs="宋体"/>
          <w:color w:val="000000" w:themeColor="text1"/>
          <w:sz w:val="24"/>
          <w14:textFill>
            <w14:solidFill>
              <w14:schemeClr w14:val="tx1"/>
            </w14:solidFill>
          </w14:textFill>
        </w:rPr>
        <w:t>小时到达，12小时内处理问题，否则需提供备用机直至原设备修好为止。否则为无效响应文件。</w:t>
      </w:r>
    </w:p>
    <w:p w14:paraId="3AAD584E">
      <w:pPr>
        <w:widowControl/>
        <w:shd w:val="clear" w:color="auto" w:fill="FFFFFF"/>
        <w:spacing w:line="360" w:lineRule="auto"/>
        <w:ind w:firstLine="480" w:firstLineChars="200"/>
        <w:jc w:val="left"/>
        <w:rPr>
          <w:rFonts w:ascii="仿宋" w:hAnsi="仿宋" w:eastAsia="仿宋" w:cs="宋体"/>
          <w:bCs/>
          <w:color w:val="000000"/>
          <w:sz w:val="24"/>
          <w:lang w:val="zh-CN"/>
        </w:rPr>
      </w:pPr>
      <w:r>
        <w:rPr>
          <w:rFonts w:hint="eastAsia" w:ascii="仿宋" w:hAnsi="仿宋" w:eastAsia="仿宋" w:cs="宋体"/>
          <w:bCs/>
          <w:color w:val="000000"/>
          <w:sz w:val="24"/>
        </w:rPr>
        <w:t>4</w:t>
      </w:r>
      <w:r>
        <w:rPr>
          <w:rFonts w:hint="eastAsia" w:ascii="仿宋" w:hAnsi="仿宋" w:eastAsia="仿宋" w:cs="宋体"/>
          <w:bCs/>
          <w:color w:val="000000"/>
          <w:sz w:val="24"/>
          <w:lang w:val="zh-CN"/>
        </w:rPr>
        <w:t>.</w:t>
      </w:r>
      <w:r>
        <w:rPr>
          <w:rFonts w:hint="eastAsia" w:ascii="仿宋" w:hAnsi="仿宋" w:eastAsia="仿宋" w:cs="宋体"/>
          <w:bCs/>
          <w:color w:val="000000"/>
          <w:kern w:val="0"/>
          <w:sz w:val="24"/>
        </w:rPr>
        <w:t>中标企业于中标后第三日上午09:00向</w:t>
      </w:r>
      <w:r>
        <w:rPr>
          <w:rFonts w:hint="eastAsia" w:ascii="仿宋" w:hAnsi="仿宋" w:eastAsia="仿宋" w:cs="仿宋"/>
          <w:color w:val="000000"/>
          <w:kern w:val="0"/>
          <w:sz w:val="24"/>
        </w:rPr>
        <w:t>禹州市中等</w:t>
      </w:r>
      <w:r>
        <w:rPr>
          <w:rFonts w:hint="eastAsia" w:ascii="仿宋" w:hAnsi="仿宋" w:eastAsia="仿宋" w:cs="仿宋"/>
          <w:color w:val="000000"/>
          <w:kern w:val="0"/>
          <w:sz w:val="24"/>
          <w:lang w:val="en-US" w:eastAsia="zh-CN"/>
        </w:rPr>
        <w:t>专业</w:t>
      </w:r>
      <w:r>
        <w:rPr>
          <w:rFonts w:hint="eastAsia" w:ascii="仿宋" w:hAnsi="仿宋" w:eastAsia="仿宋" w:cs="仿宋"/>
          <w:color w:val="000000"/>
          <w:kern w:val="0"/>
          <w:sz w:val="24"/>
        </w:rPr>
        <w:t>学校提供投标文件中所</w:t>
      </w:r>
      <w:r>
        <w:rPr>
          <w:rFonts w:hint="eastAsia" w:ascii="仿宋" w:hAnsi="仿宋" w:eastAsia="仿宋" w:cs="宋体"/>
          <w:bCs/>
          <w:color w:val="000000"/>
          <w:sz w:val="24"/>
        </w:rPr>
        <w:t>有资质原件</w:t>
      </w:r>
      <w:r>
        <w:rPr>
          <w:rFonts w:hint="eastAsia" w:ascii="仿宋" w:hAnsi="仿宋" w:eastAsia="仿宋" w:cs="宋体"/>
          <w:bCs/>
          <w:color w:val="000000"/>
          <w:kern w:val="0"/>
          <w:sz w:val="24"/>
        </w:rPr>
        <w:t>。</w:t>
      </w:r>
      <w:r>
        <w:rPr>
          <w:rFonts w:hint="eastAsia" w:ascii="仿宋" w:hAnsi="仿宋" w:eastAsia="仿宋" w:cs="宋体"/>
          <w:bCs/>
          <w:color w:val="000000"/>
          <w:sz w:val="24"/>
        </w:rPr>
        <w:t>不符合或不能提供的，取消其中标资格并列入不良记录及信用中国</w:t>
      </w:r>
      <w:r>
        <w:rPr>
          <w:rFonts w:hint="eastAsia" w:ascii="仿宋" w:hAnsi="仿宋" w:eastAsia="仿宋" w:cs="宋体"/>
          <w:bCs/>
          <w:color w:val="000000"/>
          <w:kern w:val="0"/>
          <w:sz w:val="24"/>
        </w:rPr>
        <w:t>。</w:t>
      </w:r>
    </w:p>
    <w:p w14:paraId="7400B476">
      <w:pPr>
        <w:spacing w:after="120" w:line="360" w:lineRule="auto"/>
        <w:ind w:firstLine="422" w:firstLineChars="200"/>
        <w:rPr>
          <w:rFonts w:ascii="宋体" w:hAnsi="宋体"/>
          <w:b/>
          <w:bCs/>
          <w:sz w:val="21"/>
          <w:szCs w:val="21"/>
        </w:rPr>
      </w:pPr>
      <w:r>
        <w:rPr>
          <w:rFonts w:hint="eastAsia" w:ascii="宋体" w:hAnsi="宋体"/>
          <w:b/>
          <w:bCs/>
          <w:sz w:val="21"/>
          <w:szCs w:val="21"/>
        </w:rPr>
        <w:t>（六）验收标准</w:t>
      </w:r>
    </w:p>
    <w:p w14:paraId="2E6E1B65">
      <w:pPr>
        <w:widowControl/>
        <w:shd w:val="clear" w:color="auto" w:fill="FFFFFF"/>
        <w:spacing w:line="360" w:lineRule="auto"/>
        <w:ind w:firstLine="480" w:firstLineChars="200"/>
        <w:jc w:val="left"/>
        <w:rPr>
          <w:rFonts w:ascii="仿宋" w:hAnsi="仿宋" w:eastAsia="仿宋" w:cs="宋体"/>
          <w:color w:val="000000"/>
          <w:sz w:val="24"/>
          <w:lang w:val="zh-CN"/>
        </w:rPr>
      </w:pPr>
      <w:r>
        <w:rPr>
          <w:rFonts w:hint="eastAsia" w:ascii="仿宋" w:hAnsi="仿宋" w:eastAsia="仿宋" w:cs="宋体"/>
          <w:color w:val="000000"/>
          <w:sz w:val="24"/>
          <w:lang w:val="zh-CN"/>
        </w:rPr>
        <w:t>由采购人成立验收小组,按照采购合同的约定对中标人履约情况进行验收。验收时,按照采购合同的约定对每一项技术、服务、安全标准的履约情况进行确认。验收结束后由验收小组出具验收报告,列明各项标准的验收情况及项目总体评价,由验收双方共同签署。</w:t>
      </w:r>
    </w:p>
    <w:p w14:paraId="760E616D">
      <w:pPr>
        <w:widowControl/>
        <w:shd w:val="clear" w:color="auto" w:fill="FFFFFF"/>
        <w:spacing w:line="360" w:lineRule="auto"/>
        <w:ind w:firstLine="480" w:firstLineChars="200"/>
        <w:jc w:val="left"/>
        <w:rPr>
          <w:rFonts w:ascii="仿宋" w:hAnsi="仿宋" w:eastAsia="仿宋" w:cs="宋体"/>
          <w:color w:val="000000"/>
          <w:sz w:val="24"/>
          <w:lang w:val="zh-CN"/>
        </w:rPr>
      </w:pPr>
      <w:r>
        <w:rPr>
          <w:rFonts w:hint="eastAsia" w:ascii="仿宋" w:hAnsi="仿宋" w:eastAsia="仿宋" w:cs="宋体"/>
          <w:color w:val="000000"/>
          <w:sz w:val="24"/>
          <w:lang w:val="zh-CN"/>
        </w:rPr>
        <w:t>1、项目质量按照国家相关标准、行业标准、地方标准或者其他标准、规范验收；</w:t>
      </w:r>
    </w:p>
    <w:p w14:paraId="5856856F">
      <w:pPr>
        <w:widowControl/>
        <w:shd w:val="clear" w:color="auto" w:fill="FFFFFF"/>
        <w:spacing w:line="360" w:lineRule="auto"/>
        <w:ind w:firstLine="480" w:firstLineChars="200"/>
        <w:jc w:val="left"/>
        <w:rPr>
          <w:rFonts w:ascii="仿宋" w:hAnsi="仿宋" w:eastAsia="仿宋" w:cs="宋体"/>
          <w:color w:val="000000"/>
          <w:sz w:val="24"/>
          <w:lang w:val="zh-CN"/>
        </w:rPr>
      </w:pPr>
      <w:r>
        <w:rPr>
          <w:rFonts w:hint="eastAsia" w:ascii="仿宋" w:hAnsi="仿宋" w:eastAsia="仿宋" w:cs="宋体"/>
          <w:color w:val="000000"/>
          <w:sz w:val="24"/>
          <w:lang w:val="zh-CN"/>
        </w:rPr>
        <w:t>2、按照招标文件要求、投标文件响应和承诺验收；</w:t>
      </w:r>
    </w:p>
    <w:p w14:paraId="52E9A06B">
      <w:pPr>
        <w:widowControl/>
        <w:shd w:val="clear" w:color="auto" w:fill="FFFFFF"/>
        <w:spacing w:line="360" w:lineRule="auto"/>
        <w:ind w:firstLine="480" w:firstLineChars="200"/>
        <w:jc w:val="left"/>
        <w:rPr>
          <w:rFonts w:ascii="仿宋" w:hAnsi="仿宋" w:eastAsia="仿宋" w:cs="宋体"/>
          <w:color w:val="000000"/>
          <w:sz w:val="24"/>
          <w:lang w:val="zh-CN"/>
        </w:rPr>
      </w:pPr>
      <w:r>
        <w:rPr>
          <w:rFonts w:hint="eastAsia" w:ascii="仿宋" w:hAnsi="仿宋" w:eastAsia="仿宋" w:cs="宋体"/>
          <w:color w:val="000000"/>
          <w:sz w:val="24"/>
        </w:rPr>
        <w:t>3.</w:t>
      </w:r>
      <w:r>
        <w:rPr>
          <w:rFonts w:hint="eastAsia" w:ascii="仿宋" w:hAnsi="仿宋" w:eastAsia="仿宋" w:cs="宋体"/>
          <w:color w:val="000000"/>
          <w:sz w:val="24"/>
          <w:lang w:val="zh-CN"/>
        </w:rPr>
        <w:t>本项目验收如需要第三方验收，中标方将承担所有产生的费用。</w:t>
      </w:r>
    </w:p>
    <w:p w14:paraId="05836224">
      <w:pPr>
        <w:widowControl/>
        <w:shd w:val="clear" w:color="auto" w:fill="FFFFFF"/>
        <w:spacing w:line="360" w:lineRule="auto"/>
        <w:ind w:firstLine="480" w:firstLineChars="200"/>
        <w:jc w:val="left"/>
        <w:rPr>
          <w:rFonts w:hint="eastAsia" w:ascii="仿宋" w:hAnsi="仿宋" w:eastAsia="仿宋" w:cs="宋体"/>
          <w:color w:val="000000"/>
          <w:sz w:val="24"/>
          <w:lang w:val="zh-CN"/>
        </w:rPr>
      </w:pPr>
      <w:r>
        <w:rPr>
          <w:rFonts w:hint="eastAsia" w:ascii="仿宋" w:hAnsi="仿宋" w:eastAsia="仿宋" w:cs="宋体"/>
          <w:color w:val="000000"/>
          <w:sz w:val="24"/>
          <w:lang w:val="zh-CN" w:eastAsia="zh-CN"/>
        </w:rPr>
        <w:t>（</w:t>
      </w:r>
      <w:r>
        <w:rPr>
          <w:rFonts w:hint="eastAsia" w:ascii="仿宋" w:hAnsi="仿宋" w:eastAsia="仿宋" w:cs="宋体"/>
          <w:color w:val="000000"/>
          <w:sz w:val="24"/>
          <w:lang w:val="en-US" w:eastAsia="zh-CN"/>
        </w:rPr>
        <w:t>七</w:t>
      </w:r>
      <w:r>
        <w:rPr>
          <w:rFonts w:hint="eastAsia" w:ascii="仿宋" w:hAnsi="仿宋" w:eastAsia="仿宋" w:cs="宋体"/>
          <w:color w:val="000000"/>
          <w:sz w:val="24"/>
          <w:lang w:val="zh-CN" w:eastAsia="zh-CN"/>
        </w:rPr>
        <w:t>）</w:t>
      </w:r>
      <w:r>
        <w:rPr>
          <w:rFonts w:hint="eastAsia" w:ascii="仿宋" w:hAnsi="仿宋" w:eastAsia="仿宋" w:cs="宋体"/>
          <w:color w:val="000000"/>
          <w:sz w:val="24"/>
          <w:lang w:val="zh-CN"/>
        </w:rPr>
        <w:t>采购资金支付</w:t>
      </w:r>
    </w:p>
    <w:p w14:paraId="149EB758">
      <w:pPr>
        <w:widowControl/>
        <w:shd w:val="clear" w:color="auto" w:fill="FFFFFF"/>
        <w:spacing w:line="360" w:lineRule="auto"/>
        <w:ind w:firstLine="480" w:firstLineChars="200"/>
        <w:jc w:val="left"/>
        <w:rPr>
          <w:rFonts w:hint="eastAsia" w:ascii="仿宋" w:hAnsi="仿宋" w:eastAsia="仿宋" w:cs="宋体"/>
          <w:color w:val="000000"/>
          <w:sz w:val="24"/>
          <w:lang w:val="zh-CN"/>
        </w:rPr>
      </w:pPr>
      <w:r>
        <w:rPr>
          <w:rFonts w:hint="eastAsia" w:ascii="仿宋" w:hAnsi="仿宋" w:eastAsia="仿宋" w:cs="宋体"/>
          <w:color w:val="000000"/>
          <w:sz w:val="24"/>
          <w:lang w:val="en-US" w:eastAsia="zh-CN"/>
        </w:rPr>
        <w:t>1、</w:t>
      </w:r>
      <w:r>
        <w:rPr>
          <w:rFonts w:hint="eastAsia" w:ascii="仿宋" w:hAnsi="仿宋" w:eastAsia="仿宋" w:cs="宋体"/>
          <w:color w:val="000000"/>
          <w:sz w:val="24"/>
          <w:lang w:val="zh-CN"/>
        </w:rPr>
        <w:t>支付方式：财政支付，银行转账。</w:t>
      </w:r>
    </w:p>
    <w:p w14:paraId="73035F28">
      <w:pPr>
        <w:widowControl/>
        <w:shd w:val="clear" w:color="auto" w:fill="FFFFFF"/>
        <w:spacing w:line="360" w:lineRule="auto"/>
        <w:ind w:firstLine="480" w:firstLineChars="200"/>
        <w:jc w:val="left"/>
        <w:rPr>
          <w:rFonts w:hint="eastAsia" w:ascii="仿宋" w:hAnsi="仿宋" w:eastAsia="仿宋" w:cs="宋体"/>
          <w:color w:val="000000"/>
          <w:sz w:val="24"/>
          <w:lang w:val="zh-CN"/>
        </w:rPr>
      </w:pPr>
      <w:r>
        <w:rPr>
          <w:rFonts w:hint="eastAsia" w:ascii="仿宋" w:hAnsi="仿宋" w:eastAsia="仿宋" w:cs="宋体"/>
          <w:color w:val="000000"/>
          <w:sz w:val="24"/>
          <w:lang w:val="en-US" w:eastAsia="zh-CN"/>
        </w:rPr>
        <w:t>2、</w:t>
      </w:r>
      <w:r>
        <w:rPr>
          <w:rFonts w:hint="eastAsia" w:ascii="仿宋" w:hAnsi="仿宋" w:eastAsia="仿宋" w:cs="宋体"/>
          <w:color w:val="000000"/>
          <w:sz w:val="24"/>
          <w:lang w:val="zh-CN"/>
        </w:rPr>
        <w:t>支付时间及条件：经验收合格后，</w:t>
      </w:r>
      <w:r>
        <w:rPr>
          <w:rFonts w:hint="eastAsia" w:ascii="仿宋" w:hAnsi="仿宋" w:eastAsia="仿宋" w:cs="宋体"/>
          <w:color w:val="000000"/>
          <w:sz w:val="24"/>
          <w:lang w:val="en-US" w:eastAsia="zh-CN"/>
        </w:rPr>
        <w:t>按照合同约定</w:t>
      </w:r>
      <w:r>
        <w:rPr>
          <w:rFonts w:hint="eastAsia" w:ascii="仿宋" w:hAnsi="仿宋" w:eastAsia="仿宋" w:cs="宋体"/>
          <w:color w:val="000000"/>
          <w:sz w:val="24"/>
          <w:lang w:val="zh-CN"/>
        </w:rPr>
        <w:t>支付</w:t>
      </w:r>
      <w:r>
        <w:rPr>
          <w:rFonts w:hint="eastAsia" w:ascii="仿宋" w:hAnsi="仿宋" w:eastAsia="仿宋" w:cs="宋体"/>
          <w:b/>
          <w:bCs/>
          <w:color w:val="000000"/>
          <w:sz w:val="24"/>
          <w:lang w:val="zh-CN"/>
        </w:rPr>
        <w:t>。</w:t>
      </w:r>
    </w:p>
    <w:p w14:paraId="190A2B2A">
      <w:pPr>
        <w:widowControl/>
        <w:shd w:val="clear" w:color="auto" w:fill="FFFFFF"/>
        <w:spacing w:line="360" w:lineRule="auto"/>
        <w:ind w:firstLine="480" w:firstLineChars="200"/>
        <w:jc w:val="left"/>
        <w:rPr>
          <w:rFonts w:hint="eastAsia" w:ascii="仿宋" w:hAnsi="仿宋" w:eastAsia="仿宋" w:cs="宋体"/>
          <w:color w:val="000000"/>
          <w:sz w:val="24"/>
          <w:lang w:val="zh-CN"/>
        </w:rPr>
      </w:pPr>
    </w:p>
    <w:p w14:paraId="487E21CD">
      <w:pPr>
        <w:pStyle w:val="10"/>
      </w:pPr>
    </w:p>
    <w:p w14:paraId="45CCFBA8">
      <w:pPr>
        <w:widowControl/>
        <w:rPr>
          <w:rFonts w:cs="微软雅黑"/>
          <w:b/>
          <w:sz w:val="21"/>
          <w:szCs w:val="21"/>
        </w:rPr>
      </w:pPr>
    </w:p>
    <w:p w14:paraId="4341184F">
      <w:pPr>
        <w:widowControl/>
        <w:ind w:firstLine="1676" w:firstLineChars="795"/>
        <w:rPr>
          <w:rFonts w:hint="eastAsia" w:cs="微软雅黑"/>
          <w:b/>
          <w:sz w:val="21"/>
          <w:szCs w:val="21"/>
        </w:rPr>
      </w:pPr>
    </w:p>
    <w:p w14:paraId="5C251D15">
      <w:pPr>
        <w:widowControl/>
        <w:ind w:firstLine="1676" w:firstLineChars="795"/>
        <w:rPr>
          <w:rFonts w:hint="eastAsia" w:cs="微软雅黑"/>
          <w:b/>
          <w:sz w:val="21"/>
          <w:szCs w:val="21"/>
        </w:rPr>
      </w:pPr>
    </w:p>
    <w:p w14:paraId="08FD8B0B">
      <w:pPr>
        <w:widowControl/>
        <w:ind w:firstLine="1676" w:firstLineChars="795"/>
        <w:rPr>
          <w:rFonts w:hint="eastAsia" w:cs="微软雅黑"/>
          <w:b/>
          <w:sz w:val="21"/>
          <w:szCs w:val="21"/>
        </w:rPr>
      </w:pPr>
    </w:p>
    <w:p w14:paraId="2A21D9F8">
      <w:pPr>
        <w:widowControl/>
        <w:rPr>
          <w:rFonts w:hint="eastAsia" w:cs="微软雅黑"/>
          <w:b/>
          <w:szCs w:val="21"/>
        </w:rPr>
      </w:pPr>
    </w:p>
    <w:p w14:paraId="4F39C5DB">
      <w:pPr>
        <w:pStyle w:val="10"/>
        <w:rPr>
          <w:rFonts w:hint="eastAsia" w:cs="微软雅黑"/>
          <w:b/>
          <w:szCs w:val="21"/>
        </w:rPr>
      </w:pPr>
    </w:p>
    <w:p w14:paraId="15CD5153">
      <w:pPr>
        <w:pStyle w:val="10"/>
        <w:rPr>
          <w:rFonts w:hint="eastAsia" w:cs="微软雅黑"/>
          <w:b/>
          <w:szCs w:val="21"/>
        </w:rPr>
      </w:pPr>
    </w:p>
    <w:p w14:paraId="66857611">
      <w:pPr>
        <w:pStyle w:val="10"/>
        <w:rPr>
          <w:rFonts w:hint="eastAsia" w:cs="微软雅黑"/>
          <w:b/>
          <w:szCs w:val="21"/>
        </w:rPr>
      </w:pPr>
    </w:p>
    <w:p w14:paraId="6B7D8EC9">
      <w:pPr>
        <w:pStyle w:val="10"/>
        <w:rPr>
          <w:rFonts w:hint="eastAsia" w:cs="微软雅黑"/>
          <w:b/>
          <w:szCs w:val="21"/>
        </w:rPr>
      </w:pPr>
    </w:p>
    <w:p w14:paraId="14CEFA85">
      <w:pPr>
        <w:pStyle w:val="10"/>
        <w:rPr>
          <w:rFonts w:hint="eastAsia" w:cs="微软雅黑"/>
          <w:b/>
          <w:szCs w:val="21"/>
        </w:rPr>
      </w:pPr>
    </w:p>
    <w:p w14:paraId="530B53B8">
      <w:pPr>
        <w:pStyle w:val="10"/>
        <w:rPr>
          <w:rFonts w:hint="eastAsia" w:cs="微软雅黑"/>
          <w:b/>
          <w:szCs w:val="21"/>
        </w:rPr>
      </w:pPr>
    </w:p>
    <w:p w14:paraId="204EF6DF">
      <w:pPr>
        <w:pStyle w:val="10"/>
        <w:rPr>
          <w:rFonts w:hint="eastAsia" w:cs="微软雅黑"/>
          <w:b/>
          <w:szCs w:val="21"/>
        </w:rPr>
      </w:pPr>
    </w:p>
    <w:p w14:paraId="2CBC2016">
      <w:pPr>
        <w:widowControl/>
        <w:rPr>
          <w:rFonts w:hint="eastAsia" w:cs="宋体" w:asciiTheme="majorEastAsia" w:hAnsiTheme="majorEastAsia" w:eastAsiaTheme="majorEastAsia"/>
          <w:b/>
          <w:kern w:val="0"/>
          <w:sz w:val="32"/>
          <w:szCs w:val="32"/>
        </w:rPr>
      </w:pPr>
    </w:p>
    <w:p w14:paraId="183746E3">
      <w:pPr>
        <w:widowControl/>
        <w:rPr>
          <w:rFonts w:hint="eastAsia" w:cs="宋体" w:asciiTheme="majorEastAsia" w:hAnsiTheme="majorEastAsia" w:eastAsiaTheme="majorEastAsia"/>
          <w:b/>
          <w:kern w:val="0"/>
          <w:sz w:val="32"/>
          <w:szCs w:val="32"/>
        </w:rPr>
      </w:pPr>
    </w:p>
    <w:p w14:paraId="1B6B2A07">
      <w:pPr>
        <w:widowControl/>
        <w:ind w:firstLine="2570" w:firstLineChars="800"/>
        <w:rPr>
          <w:rFonts w:hint="eastAsia" w:cs="宋体" w:asciiTheme="majorEastAsia" w:hAnsiTheme="majorEastAsia" w:eastAsiaTheme="majorEastAsia"/>
          <w:b/>
          <w:kern w:val="0"/>
          <w:sz w:val="32"/>
          <w:szCs w:val="32"/>
        </w:rPr>
      </w:pPr>
    </w:p>
    <w:p w14:paraId="3036176B">
      <w:pPr>
        <w:widowControl/>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第三章 投标人须知前附表</w:t>
      </w:r>
    </w:p>
    <w:p w14:paraId="0BEB131B">
      <w:pPr>
        <w:autoSpaceDE w:val="0"/>
        <w:autoSpaceDN w:val="0"/>
        <w:adjustRightInd w:val="0"/>
        <w:spacing w:line="360" w:lineRule="auto"/>
        <w:ind w:right="-11"/>
        <w:jc w:val="left"/>
        <w:rPr>
          <w:rFonts w:cs="宋体" w:asciiTheme="minorEastAsia" w:hAnsiTheme="minorEastAsia"/>
          <w:b/>
          <w:kern w:val="0"/>
          <w:szCs w:val="21"/>
        </w:rPr>
      </w:pPr>
      <w:r>
        <w:rPr>
          <w:rFonts w:hint="eastAsia" w:cs="微软雅黑"/>
          <w:b/>
          <w:szCs w:val="21"/>
        </w:rPr>
        <w:t>招标文件中凡标有</w:t>
      </w:r>
      <w:r>
        <w:rPr>
          <w:rFonts w:hint="eastAsia" w:cs="微软雅黑" w:asciiTheme="minorEastAsia" w:hAnsiTheme="minorEastAsia"/>
          <w:b/>
          <w:szCs w:val="21"/>
        </w:rPr>
        <w:t>★</w:t>
      </w:r>
      <w:r>
        <w:rPr>
          <w:rFonts w:hint="eastAsia" w:cs="微软雅黑"/>
          <w:b/>
          <w:szCs w:val="21"/>
        </w:rPr>
        <w:t>条款均为实质性要求条款，投标文件须完全响应，未实质响应的，按照无效投标处理。</w:t>
      </w:r>
    </w:p>
    <w:tbl>
      <w:tblPr>
        <w:tblStyle w:val="24"/>
        <w:tblW w:w="98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2372"/>
        <w:gridCol w:w="6709"/>
      </w:tblGrid>
      <w:tr w14:paraId="4C22F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806" w:type="dxa"/>
            <w:vAlign w:val="center"/>
          </w:tcPr>
          <w:p w14:paraId="1902F884">
            <w:pPr>
              <w:autoSpaceDE w:val="0"/>
              <w:autoSpaceDN w:val="0"/>
              <w:adjustRightInd w:val="0"/>
              <w:spacing w:line="276" w:lineRule="auto"/>
              <w:jc w:val="center"/>
              <w:rPr>
                <w:rFonts w:cs="仿宋_GB2312" w:asciiTheme="minorEastAsia" w:hAnsiTheme="minorEastAsia"/>
                <w:b/>
                <w:szCs w:val="21"/>
              </w:rPr>
            </w:pPr>
            <w:r>
              <w:rPr>
                <w:rFonts w:hint="eastAsia" w:cs="仿宋_GB2312" w:asciiTheme="minorEastAsia" w:hAnsiTheme="minorEastAsia"/>
                <w:b/>
                <w:szCs w:val="21"/>
              </w:rPr>
              <w:t>序号</w:t>
            </w:r>
          </w:p>
        </w:tc>
        <w:tc>
          <w:tcPr>
            <w:tcW w:w="2372" w:type="dxa"/>
            <w:vAlign w:val="center"/>
          </w:tcPr>
          <w:p w14:paraId="4A1F2F7C">
            <w:pPr>
              <w:autoSpaceDE w:val="0"/>
              <w:autoSpaceDN w:val="0"/>
              <w:adjustRightInd w:val="0"/>
              <w:spacing w:line="276" w:lineRule="auto"/>
              <w:jc w:val="center"/>
              <w:rPr>
                <w:rFonts w:cs="仿宋_GB2312" w:asciiTheme="minorEastAsia" w:hAnsiTheme="minorEastAsia"/>
                <w:b/>
                <w:szCs w:val="21"/>
              </w:rPr>
            </w:pPr>
            <w:r>
              <w:rPr>
                <w:rFonts w:hint="eastAsia" w:cs="仿宋_GB2312" w:asciiTheme="minorEastAsia" w:hAnsiTheme="minorEastAsia"/>
                <w:b/>
                <w:szCs w:val="21"/>
              </w:rPr>
              <w:t>条款名称</w:t>
            </w:r>
          </w:p>
        </w:tc>
        <w:tc>
          <w:tcPr>
            <w:tcW w:w="6709" w:type="dxa"/>
            <w:vAlign w:val="center"/>
          </w:tcPr>
          <w:p w14:paraId="311F1261">
            <w:pPr>
              <w:autoSpaceDE w:val="0"/>
              <w:autoSpaceDN w:val="0"/>
              <w:adjustRightInd w:val="0"/>
              <w:spacing w:line="276" w:lineRule="auto"/>
              <w:jc w:val="center"/>
              <w:rPr>
                <w:rFonts w:cs="仿宋_GB2312" w:asciiTheme="minorEastAsia" w:hAnsiTheme="minorEastAsia"/>
                <w:b/>
                <w:szCs w:val="21"/>
              </w:rPr>
            </w:pPr>
            <w:r>
              <w:rPr>
                <w:rFonts w:hint="eastAsia" w:cs="仿宋_GB2312" w:asciiTheme="minorEastAsia" w:hAnsiTheme="minorEastAsia"/>
                <w:b/>
                <w:szCs w:val="21"/>
              </w:rPr>
              <w:t>说明和要求</w:t>
            </w:r>
          </w:p>
        </w:tc>
      </w:tr>
      <w:tr w14:paraId="6EFCE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8" w:hRule="atLeast"/>
          <w:jc w:val="center"/>
        </w:trPr>
        <w:tc>
          <w:tcPr>
            <w:tcW w:w="806" w:type="dxa"/>
            <w:vAlign w:val="center"/>
          </w:tcPr>
          <w:p w14:paraId="2E832407">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w:t>
            </w:r>
          </w:p>
        </w:tc>
        <w:tc>
          <w:tcPr>
            <w:tcW w:w="2372" w:type="dxa"/>
            <w:vAlign w:val="center"/>
          </w:tcPr>
          <w:p w14:paraId="1CBE4F58">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采购项目</w:t>
            </w:r>
          </w:p>
        </w:tc>
        <w:tc>
          <w:tcPr>
            <w:tcW w:w="6709" w:type="dxa"/>
          </w:tcPr>
          <w:p w14:paraId="5D81AEA0">
            <w:pPr>
              <w:keepNext w:val="0"/>
              <w:keepLines w:val="0"/>
              <w:pageBreakBefore w:val="0"/>
              <w:widowControl/>
              <w:shd w:val="clear" w:color="auto" w:fill="FFFFFF"/>
              <w:kinsoku/>
              <w:wordWrap/>
              <w:overflowPunct/>
              <w:topLinePunct w:val="0"/>
              <w:bidi w:val="0"/>
              <w:snapToGrid/>
              <w:spacing w:line="440" w:lineRule="exact"/>
              <w:jc w:val="both"/>
              <w:textAlignment w:val="auto"/>
              <w:rPr>
                <w:rFonts w:hint="eastAsia" w:asciiTheme="minorEastAsia" w:hAnsiTheme="minorEastAsia" w:eastAsiaTheme="minorEastAsia" w:cstheme="minorEastAsia"/>
                <w:kern w:val="2"/>
                <w:sz w:val="21"/>
                <w:szCs w:val="21"/>
                <w:lang w:val="en-US" w:eastAsia="zh-CN" w:bidi="ar-SA"/>
              </w:rPr>
            </w:pPr>
            <w:r>
              <w:rPr>
                <w:rFonts w:hint="eastAsia" w:cs="仿宋_GB2312" w:asciiTheme="minorEastAsia" w:hAnsiTheme="minorEastAsia" w:eastAsiaTheme="minorEastAsia"/>
                <w:kern w:val="2"/>
                <w:sz w:val="21"/>
                <w:szCs w:val="21"/>
                <w:lang w:val="en-US" w:eastAsia="zh-CN" w:bidi="ar-SA"/>
              </w:rPr>
              <w:t>项目名称：</w:t>
            </w:r>
            <w:r>
              <w:rPr>
                <w:rFonts w:hint="eastAsia" w:asciiTheme="minorEastAsia" w:hAnsiTheme="minorEastAsia" w:cstheme="minorEastAsia"/>
                <w:kern w:val="2"/>
                <w:sz w:val="21"/>
                <w:szCs w:val="21"/>
                <w:lang w:val="en-US" w:eastAsia="zh-CN" w:bidi="ar-SA"/>
              </w:rPr>
              <w:t>禹州市中等专业学校数字化电钢琴实训室设备采购及配套系统建设项目</w:t>
            </w:r>
          </w:p>
          <w:p w14:paraId="2347BDB4">
            <w:pPr>
              <w:keepNext w:val="0"/>
              <w:keepLines w:val="0"/>
              <w:pageBreakBefore w:val="0"/>
              <w:kinsoku/>
              <w:wordWrap/>
              <w:overflowPunct/>
              <w:topLinePunct w:val="0"/>
              <w:autoSpaceDE w:val="0"/>
              <w:autoSpaceDN w:val="0"/>
              <w:bidi w:val="0"/>
              <w:adjustRightInd w:val="0"/>
              <w:snapToGrid/>
              <w:spacing w:line="440" w:lineRule="exact"/>
              <w:jc w:val="left"/>
              <w:textAlignment w:val="auto"/>
              <w:rPr>
                <w:rFonts w:hint="default" w:cs="仿宋_GB2312" w:asciiTheme="minorEastAsia" w:hAnsiTheme="minorEastAsia" w:eastAsiaTheme="minorEastAsia"/>
                <w:szCs w:val="21"/>
                <w:lang w:val="en-US" w:eastAsia="zh-CN"/>
              </w:rPr>
            </w:pPr>
            <w:r>
              <w:rPr>
                <w:rFonts w:hint="eastAsia" w:cs="仿宋_GB2312" w:asciiTheme="minorEastAsia" w:hAnsiTheme="minorEastAsia"/>
                <w:szCs w:val="21"/>
              </w:rPr>
              <w:t>采购编号：YZCG-G202</w:t>
            </w:r>
            <w:r>
              <w:rPr>
                <w:rFonts w:hint="eastAsia" w:cs="仿宋_GB2312" w:asciiTheme="minorEastAsia" w:hAnsiTheme="minorEastAsia"/>
                <w:szCs w:val="21"/>
                <w:lang w:val="en-US" w:eastAsia="zh-CN"/>
              </w:rPr>
              <w:t>5030</w:t>
            </w:r>
          </w:p>
          <w:p w14:paraId="3ADD7C31">
            <w:pPr>
              <w:keepNext w:val="0"/>
              <w:keepLines w:val="0"/>
              <w:pageBreakBefore w:val="0"/>
              <w:kinsoku/>
              <w:wordWrap/>
              <w:overflowPunct/>
              <w:topLinePunct w:val="0"/>
              <w:autoSpaceDE w:val="0"/>
              <w:autoSpaceDN w:val="0"/>
              <w:bidi w:val="0"/>
              <w:adjustRightInd w:val="0"/>
              <w:snapToGrid/>
              <w:spacing w:line="440" w:lineRule="exact"/>
              <w:jc w:val="left"/>
              <w:textAlignment w:val="auto"/>
              <w:rPr>
                <w:rFonts w:hint="eastAsia" w:cs="仿宋_GB2312" w:asciiTheme="minorEastAsia" w:hAnsiTheme="minorEastAsia"/>
                <w:szCs w:val="21"/>
                <w:lang w:val="en-US" w:eastAsia="zh-CN"/>
              </w:rPr>
            </w:pPr>
            <w:r>
              <w:rPr>
                <w:rFonts w:hint="eastAsia" w:cs="仿宋_GB2312" w:asciiTheme="minorEastAsia" w:hAnsiTheme="minorEastAsia"/>
                <w:szCs w:val="21"/>
              </w:rPr>
              <w:t>交付（服务、完工）时间：</w:t>
            </w:r>
            <w:r>
              <w:rPr>
                <w:rFonts w:hint="eastAsia" w:asciiTheme="minorEastAsia" w:hAnsiTheme="minorEastAsia" w:cstheme="minorEastAsia"/>
                <w:kern w:val="2"/>
                <w:sz w:val="21"/>
                <w:szCs w:val="21"/>
                <w:lang w:val="en-US" w:eastAsia="zh-CN" w:bidi="ar-SA"/>
              </w:rPr>
              <w:t>自</w:t>
            </w:r>
            <w:r>
              <w:rPr>
                <w:rFonts w:hint="eastAsia" w:asciiTheme="minorEastAsia" w:hAnsiTheme="minorEastAsia" w:eastAsiaTheme="minorEastAsia" w:cstheme="minorEastAsia"/>
                <w:kern w:val="2"/>
                <w:sz w:val="21"/>
                <w:szCs w:val="21"/>
                <w:lang w:val="en-US" w:eastAsia="zh-CN" w:bidi="ar-SA"/>
              </w:rPr>
              <w:t>合同签订</w:t>
            </w:r>
            <w:r>
              <w:rPr>
                <w:rFonts w:hint="eastAsia" w:asciiTheme="minorEastAsia" w:hAnsiTheme="minorEastAsia" w:cstheme="minorEastAsia"/>
                <w:kern w:val="2"/>
                <w:sz w:val="21"/>
                <w:szCs w:val="21"/>
                <w:lang w:val="en-US" w:eastAsia="zh-CN" w:bidi="ar-SA"/>
              </w:rPr>
              <w:t>之日起30天</w:t>
            </w:r>
            <w:r>
              <w:rPr>
                <w:rFonts w:hint="eastAsia" w:asciiTheme="minorEastAsia" w:hAnsiTheme="minorEastAsia" w:eastAsiaTheme="minorEastAsia" w:cstheme="minorEastAsia"/>
                <w:kern w:val="2"/>
                <w:sz w:val="21"/>
                <w:szCs w:val="21"/>
                <w:lang w:val="en-US" w:eastAsia="zh-CN" w:bidi="ar-SA"/>
              </w:rPr>
              <w:t>内完成</w:t>
            </w:r>
          </w:p>
          <w:p w14:paraId="39177BD8">
            <w:pPr>
              <w:keepNext w:val="0"/>
              <w:keepLines w:val="0"/>
              <w:pageBreakBefore w:val="0"/>
              <w:widowControl/>
              <w:shd w:val="clear" w:color="auto" w:fill="FFFFFF"/>
              <w:kinsoku/>
              <w:wordWrap/>
              <w:overflowPunct/>
              <w:topLinePunct w:val="0"/>
              <w:bidi w:val="0"/>
              <w:snapToGrid/>
              <w:spacing w:line="440" w:lineRule="exact"/>
              <w:jc w:val="left"/>
              <w:textAlignment w:val="auto"/>
              <w:rPr>
                <w:rFonts w:hint="default" w:cs="仿宋_GB2312" w:asciiTheme="minorEastAsia" w:hAnsiTheme="minorEastAsia"/>
                <w:szCs w:val="21"/>
                <w:lang w:val="en-US" w:eastAsia="zh-CN"/>
              </w:rPr>
            </w:pPr>
            <w:r>
              <w:rPr>
                <w:rFonts w:hint="eastAsia" w:cs="仿宋_GB2312" w:asciiTheme="minorEastAsia" w:hAnsiTheme="minorEastAsia"/>
                <w:szCs w:val="21"/>
                <w:lang w:val="en-US" w:eastAsia="zh-CN"/>
              </w:rPr>
              <w:t>交付地点：</w:t>
            </w:r>
            <w:r>
              <w:rPr>
                <w:rFonts w:hint="eastAsia" w:asciiTheme="minorEastAsia" w:hAnsiTheme="minorEastAsia" w:cstheme="minorEastAsia"/>
                <w:kern w:val="2"/>
                <w:sz w:val="21"/>
                <w:szCs w:val="21"/>
                <w:lang w:val="en-US" w:eastAsia="zh-CN" w:bidi="ar-SA"/>
              </w:rPr>
              <w:t>禹州市中等专业学校</w:t>
            </w:r>
          </w:p>
        </w:tc>
      </w:tr>
      <w:tr w14:paraId="6BF89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7" w:hRule="atLeast"/>
          <w:jc w:val="center"/>
        </w:trPr>
        <w:tc>
          <w:tcPr>
            <w:tcW w:w="806" w:type="dxa"/>
            <w:vAlign w:val="center"/>
          </w:tcPr>
          <w:p w14:paraId="6C2AB9C3">
            <w:pPr>
              <w:autoSpaceDE w:val="0"/>
              <w:autoSpaceDN w:val="0"/>
              <w:adjustRightInd w:val="0"/>
              <w:spacing w:line="276" w:lineRule="auto"/>
              <w:jc w:val="center"/>
              <w:rPr>
                <w:rFonts w:cs="TimesNewRomanPSMT" w:asciiTheme="minorEastAsia" w:hAnsiTheme="minorEastAsia"/>
                <w:szCs w:val="21"/>
              </w:rPr>
            </w:pPr>
            <w:r>
              <w:rPr>
                <w:rFonts w:hint="eastAsia" w:cs="TimesNewRomanPSMT" w:asciiTheme="minorEastAsia" w:hAnsiTheme="minorEastAsia"/>
                <w:szCs w:val="21"/>
              </w:rPr>
              <w:t>2</w:t>
            </w:r>
          </w:p>
        </w:tc>
        <w:tc>
          <w:tcPr>
            <w:tcW w:w="2372" w:type="dxa"/>
            <w:vAlign w:val="center"/>
          </w:tcPr>
          <w:p w14:paraId="1134B1C6">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采购人</w:t>
            </w:r>
          </w:p>
        </w:tc>
        <w:tc>
          <w:tcPr>
            <w:tcW w:w="6709" w:type="dxa"/>
            <w:vAlign w:val="center"/>
          </w:tcPr>
          <w:p w14:paraId="0A96D820">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right="0"/>
              <w:jc w:val="left"/>
              <w:textAlignment w:val="auto"/>
              <w:rPr>
                <w:rFonts w:hint="eastAsia" w:asciiTheme="minorEastAsia" w:hAnsi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采购人名称：</w:t>
            </w:r>
            <w:r>
              <w:rPr>
                <w:rFonts w:hint="eastAsia" w:asciiTheme="minorEastAsia" w:hAnsiTheme="minorEastAsia" w:cstheme="minorEastAsia"/>
                <w:kern w:val="2"/>
                <w:sz w:val="21"/>
                <w:szCs w:val="21"/>
                <w:lang w:val="en-US" w:eastAsia="zh-CN" w:bidi="ar-SA"/>
              </w:rPr>
              <w:t>禹州市中等专业学校</w:t>
            </w:r>
          </w:p>
          <w:p w14:paraId="062A236A">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right="0"/>
              <w:jc w:val="left"/>
              <w:textAlignment w:val="auto"/>
              <w:rPr>
                <w:rFonts w:hint="default"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地址：禹州市药城路北段</w:t>
            </w:r>
          </w:p>
          <w:p w14:paraId="4C669945">
            <w:pPr>
              <w:keepNext w:val="0"/>
              <w:keepLines w:val="0"/>
              <w:pageBreakBefore w:val="0"/>
              <w:widowControl/>
              <w:shd w:val="clear" w:color="auto" w:fill="FFFFFF"/>
              <w:kinsoku/>
              <w:wordWrap/>
              <w:overflowPunct/>
              <w:topLinePunct w:val="0"/>
              <w:autoSpaceDE/>
              <w:autoSpaceDN/>
              <w:bidi w:val="0"/>
              <w:adjustRightInd/>
              <w:snapToGrid/>
              <w:spacing w:line="440" w:lineRule="exact"/>
              <w:jc w:val="left"/>
              <w:textAlignment w:val="auto"/>
              <w:rPr>
                <w:rFonts w:hint="default" w:cs="仿宋_GB2312" w:asciiTheme="minorEastAsia" w:hAnsiTheme="minorEastAsia" w:eastAsiaTheme="minorEastAsia"/>
                <w:szCs w:val="21"/>
                <w:lang w:val="en-US" w:eastAsia="zh-CN"/>
              </w:rPr>
            </w:pPr>
            <w:r>
              <w:rPr>
                <w:rFonts w:hint="eastAsia" w:asciiTheme="minorEastAsia" w:hAnsiTheme="minorEastAsia" w:eastAsiaTheme="minorEastAsia" w:cstheme="minorEastAsia"/>
                <w:color w:val="000000"/>
                <w:szCs w:val="21"/>
                <w:shd w:val="clear" w:color="auto" w:fill="FFFFFF"/>
              </w:rPr>
              <w:t>联系人：</w:t>
            </w:r>
            <w:r>
              <w:rPr>
                <w:rFonts w:hint="eastAsia" w:asciiTheme="minorEastAsia" w:hAnsiTheme="minorEastAsia" w:cstheme="minorEastAsia"/>
                <w:color w:val="000000"/>
                <w:szCs w:val="21"/>
                <w:shd w:val="clear" w:color="auto" w:fill="FFFFFF"/>
                <w:lang w:val="en-US" w:eastAsia="zh-CN"/>
              </w:rPr>
              <w:t xml:space="preserve">郭先生  </w:t>
            </w:r>
            <w:r>
              <w:rPr>
                <w:rFonts w:hint="eastAsia" w:asciiTheme="minorEastAsia" w:hAnsiTheme="minorEastAsia" w:eastAsiaTheme="minorEastAsia" w:cstheme="minorEastAsia"/>
                <w:color w:val="000000"/>
                <w:szCs w:val="21"/>
                <w:shd w:val="clear" w:color="auto" w:fill="FFFFFF"/>
              </w:rPr>
              <w:t xml:space="preserve">  联系电话：</w:t>
            </w:r>
            <w:r>
              <w:rPr>
                <w:rFonts w:hint="eastAsia" w:asciiTheme="minorEastAsia" w:hAnsiTheme="minorEastAsia" w:cstheme="minorEastAsia"/>
                <w:color w:val="000000"/>
                <w:szCs w:val="21"/>
                <w:shd w:val="clear" w:color="auto" w:fill="FFFFFF"/>
                <w:lang w:val="en-US" w:eastAsia="zh-CN"/>
              </w:rPr>
              <w:t>0374-8816982</w:t>
            </w:r>
          </w:p>
        </w:tc>
      </w:tr>
      <w:tr w14:paraId="09C62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9" w:hRule="atLeast"/>
          <w:jc w:val="center"/>
        </w:trPr>
        <w:tc>
          <w:tcPr>
            <w:tcW w:w="806" w:type="dxa"/>
            <w:vAlign w:val="center"/>
          </w:tcPr>
          <w:p w14:paraId="3F3B089C">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3</w:t>
            </w:r>
          </w:p>
        </w:tc>
        <w:tc>
          <w:tcPr>
            <w:tcW w:w="2372" w:type="dxa"/>
            <w:vAlign w:val="center"/>
          </w:tcPr>
          <w:p w14:paraId="1D8A8BF6">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代理机构</w:t>
            </w:r>
          </w:p>
        </w:tc>
        <w:tc>
          <w:tcPr>
            <w:tcW w:w="6709" w:type="dxa"/>
            <w:vAlign w:val="center"/>
          </w:tcPr>
          <w:p w14:paraId="08CCB98B">
            <w:pPr>
              <w:autoSpaceDE w:val="0"/>
              <w:autoSpaceDN w:val="0"/>
              <w:adjustRightInd w:val="0"/>
              <w:spacing w:line="360" w:lineRule="auto"/>
              <w:jc w:val="left"/>
              <w:rPr>
                <w:rFonts w:cs="仿宋_GB2312" w:asciiTheme="minorEastAsia" w:hAnsiTheme="minorEastAsia"/>
                <w:szCs w:val="21"/>
              </w:rPr>
            </w:pPr>
            <w:r>
              <w:rPr>
                <w:rFonts w:hint="eastAsia" w:cs="仿宋_GB2312" w:asciiTheme="minorEastAsia" w:hAnsiTheme="minorEastAsia"/>
                <w:szCs w:val="21"/>
              </w:rPr>
              <w:t>名称：禹州市政府采购中心</w:t>
            </w:r>
          </w:p>
          <w:p w14:paraId="2E4111F4">
            <w:pPr>
              <w:autoSpaceDE w:val="0"/>
              <w:autoSpaceDN w:val="0"/>
              <w:adjustRightInd w:val="0"/>
              <w:spacing w:line="360" w:lineRule="auto"/>
              <w:jc w:val="left"/>
              <w:rPr>
                <w:rFonts w:cs="仿宋_GB2312" w:asciiTheme="minorEastAsia" w:hAnsiTheme="minorEastAsia"/>
                <w:szCs w:val="21"/>
              </w:rPr>
            </w:pPr>
            <w:r>
              <w:rPr>
                <w:rFonts w:hint="eastAsia" w:cs="仿宋_GB2312" w:asciiTheme="minorEastAsia" w:hAnsiTheme="minorEastAsia"/>
                <w:szCs w:val="21"/>
              </w:rPr>
              <w:t>地址：</w:t>
            </w:r>
            <w:r>
              <w:rPr>
                <w:rFonts w:hint="eastAsia" w:asciiTheme="minorEastAsia" w:hAnsiTheme="minorEastAsia" w:eastAsiaTheme="minorEastAsia" w:cstheme="minorEastAsia"/>
                <w:kern w:val="2"/>
                <w:sz w:val="21"/>
                <w:szCs w:val="21"/>
                <w:lang w:val="en-US" w:eastAsia="zh-CN" w:bidi="ar-SA"/>
              </w:rPr>
              <w:t>禹州市行政服务中心8楼820室</w:t>
            </w:r>
          </w:p>
          <w:p w14:paraId="4CAFE855">
            <w:pPr>
              <w:autoSpaceDE w:val="0"/>
              <w:autoSpaceDN w:val="0"/>
              <w:adjustRightInd w:val="0"/>
              <w:spacing w:line="360" w:lineRule="auto"/>
              <w:jc w:val="left"/>
              <w:rPr>
                <w:rFonts w:cs="仿宋_GB2312" w:asciiTheme="minorEastAsia" w:hAnsiTheme="minorEastAsia"/>
                <w:szCs w:val="21"/>
              </w:rPr>
            </w:pPr>
            <w:r>
              <w:rPr>
                <w:rFonts w:hint="eastAsia" w:cs="仿宋_GB2312" w:asciiTheme="minorEastAsia" w:hAnsiTheme="minorEastAsia"/>
                <w:szCs w:val="21"/>
              </w:rPr>
              <w:t>联系人：</w:t>
            </w:r>
            <w:r>
              <w:rPr>
                <w:rFonts w:hint="eastAsia" w:cs="仿宋_GB2312" w:asciiTheme="minorEastAsia" w:hAnsiTheme="minorEastAsia"/>
                <w:szCs w:val="21"/>
                <w:lang w:val="en-US" w:eastAsia="zh-CN"/>
              </w:rPr>
              <w:t>方</w:t>
            </w:r>
            <w:r>
              <w:rPr>
                <w:rFonts w:hint="eastAsia" w:cs="仿宋_GB2312" w:asciiTheme="minorEastAsia" w:hAnsiTheme="minorEastAsia"/>
                <w:szCs w:val="21"/>
              </w:rPr>
              <w:t>女士               电话：0374-2077111</w:t>
            </w:r>
          </w:p>
        </w:tc>
      </w:tr>
      <w:tr w14:paraId="528B2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8" w:hRule="atLeast"/>
          <w:jc w:val="center"/>
        </w:trPr>
        <w:tc>
          <w:tcPr>
            <w:tcW w:w="806" w:type="dxa"/>
            <w:vAlign w:val="center"/>
          </w:tcPr>
          <w:p w14:paraId="042236D0">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4</w:t>
            </w:r>
          </w:p>
        </w:tc>
        <w:tc>
          <w:tcPr>
            <w:tcW w:w="2372" w:type="dxa"/>
            <w:vAlign w:val="center"/>
          </w:tcPr>
          <w:p w14:paraId="4BCB4B8E">
            <w:pPr>
              <w:autoSpaceDE w:val="0"/>
              <w:autoSpaceDN w:val="0"/>
              <w:adjustRightInd w:val="0"/>
              <w:spacing w:line="276" w:lineRule="auto"/>
              <w:jc w:val="center"/>
              <w:rPr>
                <w:rFonts w:cs="仿宋_GB2312" w:asciiTheme="minorEastAsia" w:hAnsiTheme="minorEastAsia"/>
                <w:szCs w:val="21"/>
              </w:rPr>
            </w:pPr>
            <w:r>
              <w:rPr>
                <w:rFonts w:hint="eastAsia" w:cs="微软雅黑" w:asciiTheme="minorEastAsia" w:hAnsiTheme="minorEastAsia"/>
                <w:b/>
                <w:szCs w:val="21"/>
              </w:rPr>
              <w:t>★</w:t>
            </w:r>
            <w:r>
              <w:rPr>
                <w:rFonts w:hint="eastAsia" w:cs="仿宋_GB2312" w:asciiTheme="minorEastAsia" w:hAnsiTheme="minorEastAsia"/>
                <w:szCs w:val="21"/>
              </w:rPr>
              <w:t>投标人资格</w:t>
            </w:r>
          </w:p>
        </w:tc>
        <w:tc>
          <w:tcPr>
            <w:tcW w:w="6709" w:type="dxa"/>
            <w:vAlign w:val="center"/>
          </w:tcPr>
          <w:p w14:paraId="122BFEF7">
            <w:pPr>
              <w:autoSpaceDE w:val="0"/>
              <w:autoSpaceDN w:val="0"/>
              <w:adjustRightInd w:val="0"/>
              <w:spacing w:line="360" w:lineRule="auto"/>
              <w:jc w:val="left"/>
              <w:rPr>
                <w:rFonts w:cs="仿宋_GB2312" w:asciiTheme="minorEastAsia" w:hAnsiTheme="minorEastAsia"/>
                <w:b/>
                <w:color w:val="FF0000"/>
                <w:szCs w:val="21"/>
                <w:shd w:val="clear" w:color="auto" w:fill="FFFFFF"/>
              </w:rPr>
            </w:pPr>
            <w:r>
              <w:rPr>
                <w:rFonts w:hint="eastAsia" w:cs="仿宋_GB2312" w:asciiTheme="minorEastAsia" w:hAnsiTheme="minorEastAsia"/>
                <w:b/>
                <w:color w:val="FF0000"/>
                <w:szCs w:val="21"/>
                <w:shd w:val="clear" w:color="auto" w:fill="FFFFFF"/>
              </w:rPr>
              <w:t>符合《</w:t>
            </w:r>
            <w:r>
              <w:rPr>
                <w:rFonts w:hint="eastAsia" w:cs="仿宋_GB2312" w:asciiTheme="minorEastAsia" w:hAnsiTheme="minorEastAsia"/>
                <w:b/>
                <w:color w:val="FF0000"/>
                <w:szCs w:val="21"/>
                <w:shd w:val="clear" w:color="auto" w:fill="FFFFFF"/>
                <w:lang w:val="en-US" w:eastAsia="zh-CN"/>
              </w:rPr>
              <w:t>中华人民共和国</w:t>
            </w:r>
            <w:r>
              <w:rPr>
                <w:rFonts w:hint="eastAsia" w:cs="仿宋_GB2312" w:asciiTheme="minorEastAsia" w:hAnsiTheme="minorEastAsia"/>
                <w:b/>
                <w:color w:val="FF0000"/>
                <w:szCs w:val="21"/>
                <w:shd w:val="clear" w:color="auto" w:fill="FFFFFF"/>
              </w:rPr>
              <w:t>政府采购法》第二十二条规定</w:t>
            </w:r>
          </w:p>
          <w:p w14:paraId="4BF43B97">
            <w:pPr>
              <w:autoSpaceDE w:val="0"/>
              <w:autoSpaceDN w:val="0"/>
              <w:adjustRightInd w:val="0"/>
              <w:spacing w:line="360" w:lineRule="auto"/>
              <w:rPr>
                <w:rFonts w:cs="宋体" w:asciiTheme="minorEastAsia" w:hAnsiTheme="minorEastAsia"/>
                <w:color w:val="FF0000"/>
                <w:szCs w:val="21"/>
              </w:rPr>
            </w:pPr>
            <w:r>
              <w:rPr>
                <w:rFonts w:hint="eastAsia" w:cs="宋体" w:asciiTheme="minorEastAsia" w:hAnsiTheme="minorEastAsia"/>
                <w:color w:val="FF0000"/>
                <w:szCs w:val="21"/>
              </w:rPr>
              <w:t>1．具有独立承担民事责任的能力；</w:t>
            </w:r>
          </w:p>
          <w:p w14:paraId="02864CFD">
            <w:pPr>
              <w:autoSpaceDE w:val="0"/>
              <w:autoSpaceDN w:val="0"/>
              <w:adjustRightInd w:val="0"/>
              <w:spacing w:line="360" w:lineRule="auto"/>
              <w:rPr>
                <w:rFonts w:cs="宋体" w:asciiTheme="minorEastAsia" w:hAnsiTheme="minorEastAsia"/>
                <w:color w:val="FF0000"/>
                <w:szCs w:val="21"/>
              </w:rPr>
            </w:pPr>
            <w:r>
              <w:rPr>
                <w:rFonts w:hint="eastAsia" w:cs="宋体" w:asciiTheme="minorEastAsia" w:hAnsiTheme="minorEastAsia"/>
                <w:color w:val="FF0000"/>
                <w:szCs w:val="21"/>
              </w:rPr>
              <w:t>2．具有良好的商业信誉和健全的财务会计制度；</w:t>
            </w:r>
          </w:p>
          <w:p w14:paraId="13AF92CB">
            <w:pPr>
              <w:autoSpaceDE w:val="0"/>
              <w:autoSpaceDN w:val="0"/>
              <w:adjustRightInd w:val="0"/>
              <w:spacing w:line="360" w:lineRule="auto"/>
              <w:rPr>
                <w:rFonts w:cs="宋体" w:asciiTheme="minorEastAsia" w:hAnsiTheme="minorEastAsia"/>
                <w:color w:val="FF0000"/>
                <w:szCs w:val="21"/>
              </w:rPr>
            </w:pPr>
            <w:r>
              <w:rPr>
                <w:rFonts w:hint="eastAsia" w:cs="宋体" w:asciiTheme="minorEastAsia" w:hAnsiTheme="minorEastAsia"/>
                <w:color w:val="FF0000"/>
                <w:szCs w:val="21"/>
              </w:rPr>
              <w:t>3．具有履行合同所必需的设备和专业技术能力；</w:t>
            </w:r>
          </w:p>
          <w:p w14:paraId="4DE63267">
            <w:pPr>
              <w:autoSpaceDE w:val="0"/>
              <w:autoSpaceDN w:val="0"/>
              <w:adjustRightInd w:val="0"/>
              <w:spacing w:line="360" w:lineRule="auto"/>
              <w:rPr>
                <w:rFonts w:cs="宋体" w:asciiTheme="minorEastAsia" w:hAnsiTheme="minorEastAsia"/>
                <w:color w:val="FF0000"/>
                <w:szCs w:val="21"/>
              </w:rPr>
            </w:pPr>
            <w:r>
              <w:rPr>
                <w:rFonts w:hint="eastAsia" w:cs="宋体" w:asciiTheme="minorEastAsia" w:hAnsiTheme="minorEastAsia"/>
                <w:color w:val="FF0000"/>
                <w:szCs w:val="21"/>
              </w:rPr>
              <w:t>4．具有依法缴纳税收和社会保障资金的良好记录；</w:t>
            </w:r>
          </w:p>
          <w:p w14:paraId="07D556AA">
            <w:pPr>
              <w:autoSpaceDE w:val="0"/>
              <w:autoSpaceDN w:val="0"/>
              <w:adjustRightInd w:val="0"/>
              <w:spacing w:line="360" w:lineRule="auto"/>
              <w:rPr>
                <w:rFonts w:cs="宋体" w:asciiTheme="minorEastAsia" w:hAnsiTheme="minorEastAsia"/>
                <w:color w:val="FF0000"/>
                <w:szCs w:val="21"/>
              </w:rPr>
            </w:pPr>
            <w:r>
              <w:rPr>
                <w:rFonts w:hint="eastAsia" w:cs="宋体" w:asciiTheme="minorEastAsia" w:hAnsiTheme="minorEastAsia"/>
                <w:color w:val="FF0000"/>
                <w:szCs w:val="21"/>
              </w:rPr>
              <w:t>5．参加政府采购活动前三年内，在经营活动中没有重大违法记录；</w:t>
            </w:r>
          </w:p>
          <w:p w14:paraId="088BC739">
            <w:pPr>
              <w:autoSpaceDE w:val="0"/>
              <w:autoSpaceDN w:val="0"/>
              <w:adjustRightInd w:val="0"/>
              <w:spacing w:line="276" w:lineRule="auto"/>
              <w:rPr>
                <w:rFonts w:cs="仿宋_GB2312" w:asciiTheme="minorEastAsia" w:hAnsiTheme="minorEastAsia"/>
                <w:b/>
                <w:color w:val="FF0000"/>
                <w:spacing w:val="-11"/>
                <w:szCs w:val="21"/>
              </w:rPr>
            </w:pPr>
            <w:r>
              <w:rPr>
                <w:rFonts w:hint="eastAsia" w:cs="仿宋_GB2312" w:asciiTheme="minorEastAsia" w:hAnsiTheme="minorEastAsia"/>
                <w:b/>
                <w:color w:val="FF0000"/>
                <w:spacing w:val="-11"/>
                <w:szCs w:val="21"/>
              </w:rPr>
              <w:t>注：</w:t>
            </w:r>
          </w:p>
          <w:p w14:paraId="0E747470">
            <w:pPr>
              <w:autoSpaceDE w:val="0"/>
              <w:autoSpaceDN w:val="0"/>
              <w:adjustRightInd w:val="0"/>
              <w:spacing w:line="276" w:lineRule="auto"/>
              <w:rPr>
                <w:rFonts w:cs="宋体" w:asciiTheme="minorEastAsia" w:hAnsiTheme="minorEastAsia"/>
                <w:color w:val="FF0000"/>
                <w:szCs w:val="21"/>
              </w:rPr>
            </w:pPr>
            <w:r>
              <w:rPr>
                <w:rFonts w:hint="eastAsia" w:cs="宋体" w:asciiTheme="minorEastAsia" w:hAnsiTheme="minorEastAsia"/>
                <w:color w:val="FF0000"/>
                <w:szCs w:val="21"/>
              </w:rPr>
              <w:t>1、供应商在投标时，提供《禹州市政府采购供应商信用承诺函》（详见招标文件第八章3.5格式），无需再提交上述证明材料。</w:t>
            </w:r>
          </w:p>
          <w:p w14:paraId="13824B8D">
            <w:pPr>
              <w:autoSpaceDE w:val="0"/>
              <w:autoSpaceDN w:val="0"/>
              <w:adjustRightInd w:val="0"/>
              <w:spacing w:line="276" w:lineRule="auto"/>
              <w:rPr>
                <w:rFonts w:cs="宋体" w:asciiTheme="minorEastAsia" w:hAnsiTheme="minorEastAsia"/>
                <w:color w:val="FF0000"/>
                <w:szCs w:val="21"/>
              </w:rPr>
            </w:pPr>
            <w:r>
              <w:rPr>
                <w:rFonts w:hint="eastAsia" w:cs="宋体" w:asciiTheme="minorEastAsia" w:hAnsiTheme="minorEastAsia"/>
                <w:color w:val="FF0000"/>
                <w:szCs w:val="21"/>
              </w:rPr>
              <w:t>2、采购人有权在签订合同前要求中标供应商提供相关证明材料以核实中标供应商承诺事项的真实性。</w:t>
            </w:r>
          </w:p>
          <w:p w14:paraId="0D8B7921">
            <w:pPr>
              <w:adjustRightInd w:val="0"/>
              <w:spacing w:line="360" w:lineRule="auto"/>
              <w:jc w:val="left"/>
              <w:rPr>
                <w:rFonts w:cs="仿宋_GB2312" w:asciiTheme="minorEastAsia" w:hAnsiTheme="minorEastAsia"/>
                <w:color w:val="FF0000"/>
                <w:szCs w:val="21"/>
              </w:rPr>
            </w:pPr>
            <w:r>
              <w:rPr>
                <w:rFonts w:hint="eastAsia" w:cs="宋体" w:asciiTheme="minorEastAsia" w:hAnsiTheme="minorEastAsia"/>
                <w:color w:val="FF0000"/>
                <w:szCs w:val="21"/>
              </w:rPr>
              <w:t>3、供应商对信用承诺内容的真实性、合法性、有效性负责。如作出虚假信用承诺，视同为“提供虚假材料谋取中标”的违法行为。</w:t>
            </w:r>
          </w:p>
        </w:tc>
      </w:tr>
      <w:tr w14:paraId="7E8F8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105FCBD1">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5</w:t>
            </w:r>
          </w:p>
        </w:tc>
        <w:tc>
          <w:tcPr>
            <w:tcW w:w="2372" w:type="dxa"/>
            <w:vAlign w:val="center"/>
          </w:tcPr>
          <w:p w14:paraId="05B53A0A">
            <w:pPr>
              <w:autoSpaceDE w:val="0"/>
              <w:autoSpaceDN w:val="0"/>
              <w:adjustRightInd w:val="0"/>
              <w:spacing w:line="276" w:lineRule="auto"/>
              <w:jc w:val="center"/>
              <w:rPr>
                <w:rFonts w:cs="宋体" w:asciiTheme="minorEastAsia" w:hAnsiTheme="minorEastAsia"/>
                <w:bCs/>
                <w:szCs w:val="21"/>
                <w:lang w:val="zh-CN"/>
              </w:rPr>
            </w:pPr>
            <w:r>
              <w:rPr>
                <w:rFonts w:hint="eastAsia" w:cs="微软雅黑" w:asciiTheme="minorEastAsia" w:hAnsiTheme="minorEastAsia"/>
                <w:b/>
                <w:szCs w:val="21"/>
              </w:rPr>
              <w:t>★</w:t>
            </w:r>
            <w:r>
              <w:rPr>
                <w:rFonts w:hint="eastAsia" w:cs="宋体" w:asciiTheme="minorEastAsia" w:hAnsiTheme="minorEastAsia"/>
                <w:bCs/>
                <w:szCs w:val="21"/>
                <w:lang w:val="zh-CN"/>
              </w:rPr>
              <w:t>联合体投标</w:t>
            </w:r>
          </w:p>
        </w:tc>
        <w:tc>
          <w:tcPr>
            <w:tcW w:w="6709" w:type="dxa"/>
            <w:vAlign w:val="center"/>
          </w:tcPr>
          <w:p w14:paraId="35A189B1">
            <w:pPr>
              <w:autoSpaceDE w:val="0"/>
              <w:autoSpaceDN w:val="0"/>
              <w:adjustRightInd w:val="0"/>
              <w:spacing w:line="276" w:lineRule="auto"/>
              <w:rPr>
                <w:rFonts w:cs="宋体" w:asciiTheme="minorEastAsia" w:hAnsiTheme="minorEastAsia"/>
                <w:bCs/>
                <w:szCs w:val="21"/>
                <w:lang w:val="zh-CN"/>
              </w:rPr>
            </w:pPr>
            <w:r>
              <w:rPr>
                <w:rFonts w:hint="eastAsia" w:cs="宋体" w:asciiTheme="minorEastAsia" w:hAnsiTheme="minorEastAsia"/>
                <w:kern w:val="0"/>
                <w:szCs w:val="21"/>
              </w:rPr>
              <w:t>本项目</w:t>
            </w:r>
            <w:r>
              <w:rPr>
                <w:rFonts w:cs="宋体" w:asciiTheme="minorEastAsia" w:hAnsiTheme="minorEastAsia"/>
                <w:b/>
                <w:kern w:val="0"/>
                <w:szCs w:val="21"/>
                <w:lang w:val="zh-CN"/>
              </w:rPr>
              <w:fldChar w:fldCharType="begin"/>
            </w:r>
            <w:r>
              <w:rPr>
                <w:rFonts w:hint="eastAsia" w:cs="宋体" w:asciiTheme="minorEastAsia" w:hAnsiTheme="minorEastAsia"/>
                <w:b/>
                <w:kern w:val="0"/>
                <w:szCs w:val="21"/>
                <w:lang w:val="zh-CN"/>
              </w:rPr>
              <w:instrText xml:space="preserve">eq \o\ac(□,</w:instrText>
            </w:r>
            <w:r>
              <w:rPr>
                <w:rFonts w:hint="eastAsia" w:cs="宋体" w:asciiTheme="minorEastAsia" w:hAnsiTheme="minorEastAsia"/>
                <w:b/>
                <w:kern w:val="0"/>
                <w:position w:val="2"/>
                <w:szCs w:val="21"/>
                <w:lang w:val="zh-CN"/>
              </w:rPr>
              <w:instrText xml:space="preserve">√</w:instrText>
            </w:r>
            <w:r>
              <w:rPr>
                <w:rFonts w:hint="eastAsia" w:cs="宋体" w:asciiTheme="minorEastAsia" w:hAnsiTheme="minorEastAsia"/>
                <w:b/>
                <w:kern w:val="0"/>
                <w:szCs w:val="21"/>
                <w:lang w:val="zh-CN"/>
              </w:rPr>
              <w:instrText xml:space="preserve">)</w:instrText>
            </w:r>
            <w:r>
              <w:rPr>
                <w:rFonts w:cs="宋体" w:asciiTheme="minorEastAsia" w:hAnsiTheme="minorEastAsia"/>
                <w:b/>
                <w:kern w:val="0"/>
                <w:szCs w:val="21"/>
                <w:lang w:val="zh-CN"/>
              </w:rPr>
              <w:fldChar w:fldCharType="end"/>
            </w:r>
            <w:r>
              <w:rPr>
                <w:rFonts w:hint="eastAsia" w:cs="宋体" w:asciiTheme="minorEastAsia" w:hAnsiTheme="minorEastAsia"/>
                <w:kern w:val="0"/>
                <w:szCs w:val="21"/>
              </w:rPr>
              <w:t>不接受</w:t>
            </w:r>
            <w:r>
              <w:rPr>
                <w:rFonts w:hint="eastAsia" w:cs="宋体" w:asciiTheme="minorEastAsia" w:hAnsiTheme="minorEastAsia"/>
                <w:bCs/>
                <w:szCs w:val="21"/>
                <w:lang w:val="zh-CN"/>
              </w:rPr>
              <w:t>□接受</w:t>
            </w:r>
            <w:r>
              <w:rPr>
                <w:rFonts w:hint="eastAsia" w:cs="宋体" w:asciiTheme="minorEastAsia" w:hAnsiTheme="minorEastAsia"/>
                <w:kern w:val="0"/>
                <w:szCs w:val="21"/>
              </w:rPr>
              <w:t>联合体投标</w:t>
            </w:r>
          </w:p>
        </w:tc>
      </w:tr>
      <w:tr w14:paraId="7A4AB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0AD34952">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6</w:t>
            </w:r>
          </w:p>
        </w:tc>
        <w:tc>
          <w:tcPr>
            <w:tcW w:w="2372" w:type="dxa"/>
            <w:vAlign w:val="center"/>
          </w:tcPr>
          <w:p w14:paraId="05AFAA2D">
            <w:pPr>
              <w:autoSpaceDE w:val="0"/>
              <w:autoSpaceDN w:val="0"/>
              <w:adjustRightInd w:val="0"/>
              <w:spacing w:line="276" w:lineRule="auto"/>
              <w:jc w:val="center"/>
              <w:rPr>
                <w:rFonts w:hint="eastAsia" w:cs="宋体" w:asciiTheme="minorEastAsia" w:hAnsiTheme="minorEastAsia"/>
                <w:bCs/>
                <w:szCs w:val="21"/>
                <w:lang w:val="zh-CN"/>
              </w:rPr>
            </w:pPr>
            <w:r>
              <w:rPr>
                <w:rFonts w:hint="eastAsia" w:cs="宋体" w:asciiTheme="minorEastAsia" w:hAnsiTheme="minorEastAsia"/>
                <w:bCs/>
                <w:szCs w:val="21"/>
                <w:lang w:val="zh-CN"/>
              </w:rPr>
              <w:t>★最高限价</w:t>
            </w:r>
          </w:p>
        </w:tc>
        <w:tc>
          <w:tcPr>
            <w:tcW w:w="6709" w:type="dxa"/>
            <w:vAlign w:val="center"/>
          </w:tcPr>
          <w:p w14:paraId="30503812">
            <w:pPr>
              <w:autoSpaceDE w:val="0"/>
              <w:autoSpaceDN w:val="0"/>
              <w:adjustRightInd w:val="0"/>
              <w:spacing w:line="276" w:lineRule="auto"/>
              <w:rPr>
                <w:rFonts w:cs="宋体" w:asciiTheme="minorEastAsia" w:hAnsiTheme="minorEastAsia"/>
                <w:bCs/>
                <w:szCs w:val="21"/>
                <w:lang w:val="zh-CN"/>
              </w:rPr>
            </w:pPr>
            <w:r>
              <w:rPr>
                <w:rFonts w:hint="eastAsia" w:cs="宋体" w:asciiTheme="minorEastAsia" w:hAnsiTheme="minorEastAsia"/>
                <w:bCs/>
                <w:szCs w:val="21"/>
                <w:lang w:val="en-US" w:eastAsia="zh-CN"/>
              </w:rPr>
              <w:t xml:space="preserve"> </w:t>
            </w:r>
            <w:r>
              <w:rPr>
                <w:rFonts w:hint="eastAsia" w:asciiTheme="minorEastAsia" w:hAnsiTheme="minorEastAsia" w:eastAsiaTheme="minorEastAsia" w:cstheme="minorEastAsia"/>
                <w:kern w:val="2"/>
                <w:sz w:val="21"/>
                <w:szCs w:val="21"/>
                <w:lang w:val="en-US" w:eastAsia="zh-CN" w:bidi="ar-SA"/>
              </w:rPr>
              <w:t>2069000.00</w:t>
            </w:r>
            <w:r>
              <w:rPr>
                <w:rFonts w:hint="eastAsia" w:asciiTheme="minorEastAsia" w:hAnsiTheme="minorEastAsia" w:cstheme="minorEastAsia"/>
                <w:kern w:val="2"/>
                <w:sz w:val="21"/>
                <w:szCs w:val="21"/>
                <w:lang w:val="en-US" w:eastAsia="zh-CN" w:bidi="ar-SA"/>
              </w:rPr>
              <w:t>元</w:t>
            </w:r>
            <w:r>
              <w:rPr>
                <w:rFonts w:hint="eastAsia" w:cs="宋体" w:asciiTheme="minorEastAsia" w:hAnsiTheme="minorEastAsia"/>
                <w:bCs/>
                <w:szCs w:val="21"/>
                <w:lang w:val="zh-CN"/>
              </w:rPr>
              <w:t>，超出最高限价的投标无效。</w:t>
            </w:r>
          </w:p>
        </w:tc>
      </w:tr>
      <w:tr w14:paraId="7BAAE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06" w:type="dxa"/>
            <w:vAlign w:val="center"/>
          </w:tcPr>
          <w:p w14:paraId="387B1BF8">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7</w:t>
            </w:r>
          </w:p>
        </w:tc>
        <w:tc>
          <w:tcPr>
            <w:tcW w:w="2372" w:type="dxa"/>
            <w:vAlign w:val="center"/>
          </w:tcPr>
          <w:p w14:paraId="352166A1">
            <w:pPr>
              <w:autoSpaceDE w:val="0"/>
              <w:autoSpaceDN w:val="0"/>
              <w:adjustRightInd w:val="0"/>
              <w:spacing w:line="276" w:lineRule="auto"/>
              <w:jc w:val="center"/>
              <w:rPr>
                <w:rFonts w:cs="宋体" w:asciiTheme="minorEastAsia" w:hAnsiTheme="minorEastAsia"/>
                <w:bCs/>
                <w:szCs w:val="21"/>
                <w:lang w:val="zh-CN"/>
              </w:rPr>
            </w:pPr>
            <w:r>
              <w:rPr>
                <w:rFonts w:cs="宋体" w:asciiTheme="minorEastAsia" w:hAnsiTheme="minorEastAsia"/>
                <w:bCs/>
                <w:szCs w:val="21"/>
                <w:lang w:val="zh-CN"/>
              </w:rPr>
              <w:t>现场考察</w:t>
            </w:r>
          </w:p>
        </w:tc>
        <w:tc>
          <w:tcPr>
            <w:tcW w:w="6709" w:type="dxa"/>
            <w:vAlign w:val="center"/>
          </w:tcPr>
          <w:p w14:paraId="5DBE1D24">
            <w:pPr>
              <w:autoSpaceDE w:val="0"/>
              <w:autoSpaceDN w:val="0"/>
              <w:adjustRightInd w:val="0"/>
              <w:spacing w:line="360" w:lineRule="auto"/>
              <w:rPr>
                <w:rFonts w:cs="宋体" w:asciiTheme="minorEastAsia" w:hAnsiTheme="minorEastAsia"/>
                <w:kern w:val="0"/>
                <w:szCs w:val="21"/>
                <w:lang w:val="zh-CN"/>
              </w:rPr>
            </w:pPr>
            <w:r>
              <w:rPr>
                <w:rFonts w:cs="宋体" w:asciiTheme="minorEastAsia" w:hAnsiTheme="minorEastAsia"/>
                <w:b/>
                <w:kern w:val="0"/>
                <w:szCs w:val="21"/>
                <w:lang w:val="zh-CN"/>
              </w:rPr>
              <w:fldChar w:fldCharType="begin"/>
            </w:r>
            <w:r>
              <w:rPr>
                <w:rFonts w:hint="eastAsia" w:cs="宋体" w:asciiTheme="minorEastAsia" w:hAnsiTheme="minorEastAsia"/>
                <w:b/>
                <w:kern w:val="0"/>
                <w:szCs w:val="21"/>
                <w:lang w:val="zh-CN"/>
              </w:rPr>
              <w:instrText xml:space="preserve">eq \o\ac(□,</w:instrText>
            </w:r>
            <w:r>
              <w:rPr>
                <w:rFonts w:hint="eastAsia" w:cs="宋体" w:asciiTheme="minorEastAsia" w:hAnsiTheme="minorEastAsia"/>
                <w:b/>
                <w:kern w:val="0"/>
                <w:position w:val="2"/>
                <w:szCs w:val="21"/>
                <w:lang w:val="zh-CN"/>
              </w:rPr>
              <w:instrText xml:space="preserve">√</w:instrText>
            </w:r>
            <w:r>
              <w:rPr>
                <w:rFonts w:hint="eastAsia" w:cs="宋体" w:asciiTheme="minorEastAsia" w:hAnsiTheme="minorEastAsia"/>
                <w:b/>
                <w:kern w:val="0"/>
                <w:szCs w:val="21"/>
                <w:lang w:val="zh-CN"/>
              </w:rPr>
              <w:instrText xml:space="preserve">)</w:instrText>
            </w:r>
            <w:r>
              <w:rPr>
                <w:rFonts w:cs="宋体" w:asciiTheme="minorEastAsia" w:hAnsiTheme="minorEastAsia"/>
                <w:b/>
                <w:kern w:val="0"/>
                <w:szCs w:val="21"/>
                <w:lang w:val="zh-CN"/>
              </w:rPr>
              <w:fldChar w:fldCharType="end"/>
            </w:r>
            <w:r>
              <w:rPr>
                <w:rFonts w:hint="eastAsia" w:cs="宋体" w:asciiTheme="minorEastAsia" w:hAnsiTheme="minorEastAsia"/>
                <w:bCs/>
                <w:szCs w:val="21"/>
                <w:lang w:val="zh-CN"/>
              </w:rPr>
              <w:t>不组织</w:t>
            </w:r>
          </w:p>
          <w:p w14:paraId="1EA1BBB8">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
                <w:bCs/>
                <w:szCs w:val="21"/>
                <w:lang w:val="zh-CN"/>
              </w:rPr>
              <w:t>□</w:t>
            </w:r>
            <w:r>
              <w:rPr>
                <w:rFonts w:hint="eastAsia" w:cs="宋体" w:asciiTheme="minorEastAsia" w:hAnsiTheme="minorEastAsia"/>
                <w:bCs/>
                <w:szCs w:val="21"/>
                <w:lang w:val="zh-CN"/>
              </w:rPr>
              <w:t>组织，时间：      地点：</w:t>
            </w:r>
          </w:p>
        </w:tc>
      </w:tr>
      <w:tr w14:paraId="612C1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806" w:type="dxa"/>
            <w:vAlign w:val="center"/>
          </w:tcPr>
          <w:p w14:paraId="2CC7FBC5">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8</w:t>
            </w:r>
          </w:p>
        </w:tc>
        <w:tc>
          <w:tcPr>
            <w:tcW w:w="2372" w:type="dxa"/>
            <w:vAlign w:val="center"/>
          </w:tcPr>
          <w:p w14:paraId="6CACAB89">
            <w:pPr>
              <w:autoSpaceDE w:val="0"/>
              <w:autoSpaceDN w:val="0"/>
              <w:adjustRightInd w:val="0"/>
              <w:spacing w:line="276" w:lineRule="auto"/>
              <w:jc w:val="center"/>
              <w:rPr>
                <w:rFonts w:cs="宋体" w:asciiTheme="minorEastAsia" w:hAnsiTheme="minorEastAsia"/>
                <w:bCs/>
                <w:szCs w:val="21"/>
                <w:lang w:val="zh-CN"/>
              </w:rPr>
            </w:pPr>
            <w:r>
              <w:rPr>
                <w:rFonts w:cs="宋体" w:asciiTheme="minorEastAsia" w:hAnsiTheme="minorEastAsia"/>
                <w:bCs/>
                <w:szCs w:val="21"/>
                <w:lang w:val="zh-CN"/>
              </w:rPr>
              <w:t>开标前答疑会</w:t>
            </w:r>
          </w:p>
        </w:tc>
        <w:tc>
          <w:tcPr>
            <w:tcW w:w="6709" w:type="dxa"/>
            <w:vAlign w:val="center"/>
          </w:tcPr>
          <w:p w14:paraId="45A70648">
            <w:pPr>
              <w:autoSpaceDE w:val="0"/>
              <w:autoSpaceDN w:val="0"/>
              <w:adjustRightInd w:val="0"/>
              <w:spacing w:line="360" w:lineRule="auto"/>
              <w:rPr>
                <w:rFonts w:cs="宋体" w:asciiTheme="minorEastAsia" w:hAnsiTheme="minorEastAsia"/>
                <w:kern w:val="0"/>
                <w:szCs w:val="21"/>
                <w:lang w:val="zh-CN"/>
              </w:rPr>
            </w:pPr>
            <w:r>
              <w:rPr>
                <w:rFonts w:cs="宋体" w:asciiTheme="minorEastAsia" w:hAnsiTheme="minorEastAsia"/>
                <w:b/>
                <w:kern w:val="0"/>
                <w:szCs w:val="21"/>
                <w:lang w:val="zh-CN"/>
              </w:rPr>
              <w:fldChar w:fldCharType="begin"/>
            </w:r>
            <w:r>
              <w:rPr>
                <w:rFonts w:hint="eastAsia" w:cs="宋体" w:asciiTheme="minorEastAsia" w:hAnsiTheme="minorEastAsia"/>
                <w:b/>
                <w:kern w:val="0"/>
                <w:szCs w:val="21"/>
                <w:lang w:val="zh-CN"/>
              </w:rPr>
              <w:instrText xml:space="preserve">eq \o\ac(□,</w:instrText>
            </w:r>
            <w:r>
              <w:rPr>
                <w:rFonts w:hint="eastAsia" w:cs="宋体" w:asciiTheme="minorEastAsia" w:hAnsiTheme="minorEastAsia"/>
                <w:b/>
                <w:kern w:val="0"/>
                <w:position w:val="2"/>
                <w:szCs w:val="21"/>
                <w:lang w:val="zh-CN"/>
              </w:rPr>
              <w:instrText xml:space="preserve">√</w:instrText>
            </w:r>
            <w:r>
              <w:rPr>
                <w:rFonts w:hint="eastAsia" w:cs="宋体" w:asciiTheme="minorEastAsia" w:hAnsiTheme="minorEastAsia"/>
                <w:b/>
                <w:kern w:val="0"/>
                <w:szCs w:val="21"/>
                <w:lang w:val="zh-CN"/>
              </w:rPr>
              <w:instrText xml:space="preserve">)</w:instrText>
            </w:r>
            <w:r>
              <w:rPr>
                <w:rFonts w:cs="宋体" w:asciiTheme="minorEastAsia" w:hAnsiTheme="minorEastAsia"/>
                <w:b/>
                <w:kern w:val="0"/>
                <w:szCs w:val="21"/>
                <w:lang w:val="zh-CN"/>
              </w:rPr>
              <w:fldChar w:fldCharType="end"/>
            </w:r>
            <w:r>
              <w:rPr>
                <w:rFonts w:hint="eastAsia" w:cs="宋体" w:asciiTheme="minorEastAsia" w:hAnsiTheme="minorEastAsia"/>
                <w:bCs/>
                <w:szCs w:val="21"/>
                <w:lang w:val="zh-CN"/>
              </w:rPr>
              <w:t>不召开</w:t>
            </w:r>
          </w:p>
          <w:p w14:paraId="198B5BAB">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Cs/>
                <w:szCs w:val="21"/>
                <w:lang w:val="zh-CN"/>
              </w:rPr>
              <w:t>□召开，时间：      地点：</w:t>
            </w:r>
          </w:p>
        </w:tc>
      </w:tr>
      <w:tr w14:paraId="083F7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6751F1B5">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9</w:t>
            </w:r>
          </w:p>
        </w:tc>
        <w:tc>
          <w:tcPr>
            <w:tcW w:w="2372" w:type="dxa"/>
            <w:vAlign w:val="center"/>
          </w:tcPr>
          <w:p w14:paraId="142C332B">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进口产品参与</w:t>
            </w:r>
          </w:p>
        </w:tc>
        <w:tc>
          <w:tcPr>
            <w:tcW w:w="6709" w:type="dxa"/>
            <w:vAlign w:val="center"/>
          </w:tcPr>
          <w:p w14:paraId="0CD87F09">
            <w:pPr>
              <w:autoSpaceDE w:val="0"/>
              <w:autoSpaceDN w:val="0"/>
              <w:adjustRightInd w:val="0"/>
              <w:spacing w:line="276" w:lineRule="auto"/>
              <w:rPr>
                <w:rFonts w:asciiTheme="minorEastAsia" w:hAnsiTheme="minorEastAsia"/>
                <w:szCs w:val="21"/>
              </w:rPr>
            </w:pPr>
            <w:r>
              <w:rPr>
                <w:rFonts w:cs="宋体" w:asciiTheme="minorEastAsia" w:hAnsiTheme="minorEastAsia"/>
                <w:b/>
                <w:kern w:val="0"/>
                <w:szCs w:val="21"/>
                <w:lang w:val="zh-CN"/>
              </w:rPr>
              <w:fldChar w:fldCharType="begin"/>
            </w:r>
            <w:r>
              <w:rPr>
                <w:rFonts w:hint="eastAsia" w:cs="宋体" w:asciiTheme="minorEastAsia" w:hAnsiTheme="minorEastAsia"/>
                <w:b/>
                <w:kern w:val="0"/>
                <w:szCs w:val="21"/>
                <w:lang w:val="zh-CN"/>
              </w:rPr>
              <w:instrText xml:space="preserve">eq \o\ac(□,</w:instrText>
            </w:r>
            <w:r>
              <w:rPr>
                <w:rFonts w:hint="eastAsia" w:cs="宋体" w:asciiTheme="minorEastAsia" w:hAnsiTheme="minorEastAsia"/>
                <w:b/>
                <w:kern w:val="0"/>
                <w:position w:val="2"/>
                <w:szCs w:val="21"/>
                <w:lang w:val="zh-CN"/>
              </w:rPr>
              <w:instrText xml:space="preserve">√</w:instrText>
            </w:r>
            <w:r>
              <w:rPr>
                <w:rFonts w:hint="eastAsia" w:cs="宋体" w:asciiTheme="minorEastAsia" w:hAnsiTheme="minorEastAsia"/>
                <w:b/>
                <w:kern w:val="0"/>
                <w:szCs w:val="21"/>
                <w:lang w:val="zh-CN"/>
              </w:rPr>
              <w:instrText xml:space="preserve">)</w:instrText>
            </w:r>
            <w:r>
              <w:rPr>
                <w:rFonts w:cs="宋体" w:asciiTheme="minorEastAsia" w:hAnsiTheme="minorEastAsia"/>
                <w:b/>
                <w:kern w:val="0"/>
                <w:szCs w:val="21"/>
                <w:lang w:val="zh-CN"/>
              </w:rPr>
              <w:fldChar w:fldCharType="end"/>
            </w:r>
            <w:r>
              <w:rPr>
                <w:rFonts w:hint="eastAsia" w:cs="宋体" w:asciiTheme="minorEastAsia" w:hAnsiTheme="minorEastAsia"/>
                <w:bCs/>
                <w:szCs w:val="21"/>
                <w:lang w:val="zh-CN"/>
              </w:rPr>
              <w:t xml:space="preserve">不允许    </w:t>
            </w:r>
            <w:r>
              <w:rPr>
                <w:rFonts w:hint="eastAsia" w:cs="宋体" w:asciiTheme="minorEastAsia" w:hAnsiTheme="minorEastAsia"/>
                <w:b/>
                <w:bCs/>
                <w:szCs w:val="21"/>
                <w:lang w:val="zh-CN"/>
              </w:rPr>
              <w:t>□</w:t>
            </w:r>
            <w:r>
              <w:rPr>
                <w:rFonts w:hint="eastAsia" w:asciiTheme="minorEastAsia" w:hAnsiTheme="minorEastAsia"/>
                <w:szCs w:val="21"/>
              </w:rPr>
              <w:t>允许</w:t>
            </w:r>
          </w:p>
        </w:tc>
      </w:tr>
      <w:tr w14:paraId="4D285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776C50C1">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10</w:t>
            </w:r>
          </w:p>
        </w:tc>
        <w:tc>
          <w:tcPr>
            <w:tcW w:w="2372" w:type="dxa"/>
            <w:vAlign w:val="center"/>
          </w:tcPr>
          <w:p w14:paraId="6C732B1A">
            <w:pPr>
              <w:autoSpaceDE w:val="0"/>
              <w:autoSpaceDN w:val="0"/>
              <w:adjustRightInd w:val="0"/>
              <w:spacing w:line="276" w:lineRule="auto"/>
              <w:jc w:val="center"/>
              <w:rPr>
                <w:rFonts w:cs="仿宋_GB2312" w:asciiTheme="minorEastAsia" w:hAnsiTheme="minorEastAsia"/>
                <w:szCs w:val="21"/>
              </w:rPr>
            </w:pPr>
            <w:r>
              <w:rPr>
                <w:rFonts w:hint="eastAsia" w:cs="微软雅黑" w:asciiTheme="minorEastAsia" w:hAnsiTheme="minorEastAsia"/>
                <w:b/>
                <w:szCs w:val="21"/>
              </w:rPr>
              <w:t>★</w:t>
            </w:r>
            <w:r>
              <w:rPr>
                <w:rFonts w:hint="eastAsia" w:cs="仿宋_GB2312" w:asciiTheme="minorEastAsia" w:hAnsiTheme="minorEastAsia"/>
                <w:szCs w:val="21"/>
              </w:rPr>
              <w:t>投标有效期</w:t>
            </w:r>
          </w:p>
        </w:tc>
        <w:tc>
          <w:tcPr>
            <w:tcW w:w="6709" w:type="dxa"/>
            <w:vAlign w:val="center"/>
          </w:tcPr>
          <w:p w14:paraId="127ECC0B">
            <w:pPr>
              <w:autoSpaceDE w:val="0"/>
              <w:autoSpaceDN w:val="0"/>
              <w:adjustRightInd w:val="0"/>
              <w:spacing w:line="360" w:lineRule="auto"/>
              <w:rPr>
                <w:rFonts w:cs="仿宋_GB2312" w:asciiTheme="minorEastAsia" w:hAnsiTheme="minorEastAsia"/>
                <w:szCs w:val="21"/>
              </w:rPr>
            </w:pPr>
            <w:r>
              <w:rPr>
                <w:rFonts w:hint="eastAsia" w:cs="仿宋_GB2312" w:asciiTheme="minorEastAsia" w:hAnsiTheme="minorEastAsia"/>
                <w:szCs w:val="21"/>
              </w:rPr>
              <w:t>90天（自</w:t>
            </w:r>
            <w:r>
              <w:rPr>
                <w:rFonts w:hint="eastAsia" w:cs="宋体" w:asciiTheme="minorEastAsia" w:hAnsiTheme="minorEastAsia"/>
                <w:kern w:val="0"/>
                <w:szCs w:val="21"/>
              </w:rPr>
              <w:t>提交投标文件的截止之日起算</w:t>
            </w:r>
            <w:r>
              <w:rPr>
                <w:rFonts w:hint="eastAsia" w:cs="仿宋_GB2312" w:asciiTheme="minorEastAsia" w:hAnsiTheme="minorEastAsia"/>
                <w:szCs w:val="21"/>
              </w:rPr>
              <w:t>）</w:t>
            </w:r>
          </w:p>
          <w:p w14:paraId="0F082180">
            <w:pPr>
              <w:autoSpaceDE w:val="0"/>
              <w:autoSpaceDN w:val="0"/>
              <w:adjustRightInd w:val="0"/>
              <w:spacing w:line="360" w:lineRule="auto"/>
              <w:rPr>
                <w:rFonts w:cs="仿宋_GB2312" w:asciiTheme="minorEastAsia" w:hAnsiTheme="minorEastAsia"/>
                <w:szCs w:val="21"/>
              </w:rPr>
            </w:pPr>
            <w:r>
              <w:rPr>
                <w:rFonts w:cs="仿宋_GB2312" w:asciiTheme="minorEastAsia" w:hAnsiTheme="minorEastAsia"/>
                <w:szCs w:val="21"/>
                <w:lang w:val="zh-CN"/>
              </w:rPr>
              <w:t>中标</w:t>
            </w:r>
            <w:r>
              <w:rPr>
                <w:rFonts w:hint="eastAsia" w:cs="仿宋_GB2312" w:asciiTheme="minorEastAsia" w:hAnsiTheme="minorEastAsia"/>
                <w:szCs w:val="21"/>
                <w:lang w:val="zh-CN"/>
              </w:rPr>
              <w:t>人投标</w:t>
            </w:r>
            <w:r>
              <w:rPr>
                <w:rFonts w:cs="仿宋_GB2312" w:asciiTheme="minorEastAsia" w:hAnsiTheme="minorEastAsia"/>
                <w:szCs w:val="21"/>
                <w:lang w:val="zh-CN"/>
              </w:rPr>
              <w:t>有效期延</w:t>
            </w:r>
            <w:r>
              <w:rPr>
                <w:rFonts w:hint="eastAsia" w:cs="仿宋_GB2312" w:asciiTheme="minorEastAsia" w:hAnsiTheme="minorEastAsia"/>
                <w:szCs w:val="21"/>
                <w:lang w:val="zh-CN"/>
              </w:rPr>
              <w:t>至合同</w:t>
            </w:r>
            <w:r>
              <w:rPr>
                <w:rFonts w:cs="仿宋_GB2312" w:asciiTheme="minorEastAsia" w:hAnsiTheme="minorEastAsia"/>
                <w:szCs w:val="21"/>
                <w:lang w:val="zh-CN"/>
              </w:rPr>
              <w:t>验收之日</w:t>
            </w:r>
            <w:r>
              <w:rPr>
                <w:rFonts w:hint="eastAsia" w:cs="仿宋_GB2312" w:asciiTheme="minorEastAsia" w:hAnsiTheme="minorEastAsia"/>
                <w:szCs w:val="21"/>
                <w:lang w:val="zh-CN"/>
              </w:rPr>
              <w:t>，</w:t>
            </w:r>
            <w:r>
              <w:rPr>
                <w:rFonts w:hint="eastAsia" w:cs="宋体" w:asciiTheme="minorEastAsia" w:hAnsiTheme="minorEastAsia"/>
                <w:kern w:val="0"/>
                <w:szCs w:val="21"/>
              </w:rPr>
              <w:t>中标人全部合同义务履行完毕为止。</w:t>
            </w:r>
          </w:p>
        </w:tc>
      </w:tr>
      <w:tr w14:paraId="082F8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4B00E56D">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11</w:t>
            </w:r>
          </w:p>
        </w:tc>
        <w:tc>
          <w:tcPr>
            <w:tcW w:w="2372" w:type="dxa"/>
            <w:vAlign w:val="center"/>
          </w:tcPr>
          <w:p w14:paraId="53E56494">
            <w:pPr>
              <w:autoSpaceDE w:val="0"/>
              <w:autoSpaceDN w:val="0"/>
              <w:adjustRightInd w:val="0"/>
              <w:spacing w:line="360" w:lineRule="auto"/>
              <w:rPr>
                <w:rFonts w:cs="仿宋_GB2312" w:asciiTheme="minorEastAsia" w:hAnsiTheme="minorEastAsia"/>
                <w:szCs w:val="21"/>
              </w:rPr>
            </w:pPr>
            <w:r>
              <w:rPr>
                <w:rFonts w:cs="宋体" w:asciiTheme="minorEastAsia" w:hAnsiTheme="minorEastAsia"/>
                <w:bCs/>
                <w:szCs w:val="21"/>
                <w:lang w:val="zh-CN"/>
              </w:rPr>
              <w:t>中标人将本项目非主体、非关键性工作分包</w:t>
            </w:r>
          </w:p>
        </w:tc>
        <w:tc>
          <w:tcPr>
            <w:tcW w:w="6709" w:type="dxa"/>
            <w:vAlign w:val="center"/>
          </w:tcPr>
          <w:p w14:paraId="5C093D12">
            <w:pPr>
              <w:autoSpaceDE w:val="0"/>
              <w:autoSpaceDN w:val="0"/>
              <w:adjustRightInd w:val="0"/>
              <w:spacing w:line="276" w:lineRule="auto"/>
              <w:rPr>
                <w:rFonts w:cs="仿宋_GB2312" w:asciiTheme="minorEastAsia" w:hAnsiTheme="minorEastAsia"/>
                <w:szCs w:val="21"/>
              </w:rPr>
            </w:pPr>
            <w:r>
              <w:rPr>
                <w:rFonts w:cs="宋体" w:asciiTheme="minorEastAsia" w:hAnsiTheme="minorEastAsia"/>
                <w:b/>
                <w:kern w:val="0"/>
                <w:szCs w:val="21"/>
                <w:lang w:val="zh-CN"/>
              </w:rPr>
              <w:fldChar w:fldCharType="begin"/>
            </w:r>
            <w:r>
              <w:rPr>
                <w:rFonts w:hint="eastAsia" w:cs="宋体" w:asciiTheme="minorEastAsia" w:hAnsiTheme="minorEastAsia"/>
                <w:b/>
                <w:kern w:val="0"/>
                <w:szCs w:val="21"/>
                <w:lang w:val="zh-CN"/>
              </w:rPr>
              <w:instrText xml:space="preserve">eq \o\ac(□,</w:instrText>
            </w:r>
            <w:r>
              <w:rPr>
                <w:rFonts w:hint="eastAsia" w:cs="宋体" w:asciiTheme="minorEastAsia" w:hAnsiTheme="minorEastAsia"/>
                <w:b/>
                <w:kern w:val="0"/>
                <w:position w:val="2"/>
                <w:szCs w:val="21"/>
                <w:lang w:val="zh-CN"/>
              </w:rPr>
              <w:instrText xml:space="preserve">√</w:instrText>
            </w:r>
            <w:r>
              <w:rPr>
                <w:rFonts w:hint="eastAsia" w:cs="宋体" w:asciiTheme="minorEastAsia" w:hAnsiTheme="minorEastAsia"/>
                <w:b/>
                <w:kern w:val="0"/>
                <w:szCs w:val="21"/>
                <w:lang w:val="zh-CN"/>
              </w:rPr>
              <w:instrText xml:space="preserve">)</w:instrText>
            </w:r>
            <w:r>
              <w:rPr>
                <w:rFonts w:cs="宋体" w:asciiTheme="minorEastAsia" w:hAnsiTheme="minorEastAsia"/>
                <w:b/>
                <w:kern w:val="0"/>
                <w:szCs w:val="21"/>
                <w:lang w:val="zh-CN"/>
              </w:rPr>
              <w:fldChar w:fldCharType="end"/>
            </w:r>
            <w:r>
              <w:rPr>
                <w:rFonts w:hint="eastAsia" w:cs="宋体" w:asciiTheme="minorEastAsia" w:hAnsiTheme="minorEastAsia"/>
                <w:bCs/>
                <w:szCs w:val="21"/>
                <w:lang w:val="zh-CN"/>
              </w:rPr>
              <w:t xml:space="preserve">不允许   </w:t>
            </w:r>
            <w:r>
              <w:rPr>
                <w:rFonts w:hint="eastAsia" w:cs="宋体" w:asciiTheme="minorEastAsia" w:hAnsiTheme="minorEastAsia"/>
                <w:b/>
                <w:bCs/>
                <w:szCs w:val="21"/>
                <w:lang w:val="zh-CN"/>
              </w:rPr>
              <w:t>□</w:t>
            </w:r>
            <w:r>
              <w:rPr>
                <w:rFonts w:hint="eastAsia" w:cs="仿宋_GB2312" w:asciiTheme="minorEastAsia" w:hAnsiTheme="minorEastAsia"/>
                <w:szCs w:val="21"/>
              </w:rPr>
              <w:t>允许</w:t>
            </w:r>
          </w:p>
        </w:tc>
      </w:tr>
      <w:tr w14:paraId="7CAB4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07FF8486">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12</w:t>
            </w:r>
          </w:p>
        </w:tc>
        <w:tc>
          <w:tcPr>
            <w:tcW w:w="2372" w:type="dxa"/>
            <w:vAlign w:val="center"/>
          </w:tcPr>
          <w:p w14:paraId="127360F0">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投标截止及开标时间</w:t>
            </w:r>
          </w:p>
        </w:tc>
        <w:tc>
          <w:tcPr>
            <w:tcW w:w="6709" w:type="dxa"/>
            <w:vAlign w:val="center"/>
          </w:tcPr>
          <w:p w14:paraId="3D12C764">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Cs/>
                <w:szCs w:val="21"/>
                <w:lang w:val="zh-CN"/>
              </w:rPr>
              <w:t>202</w:t>
            </w:r>
            <w:r>
              <w:rPr>
                <w:rFonts w:hint="eastAsia" w:cs="宋体" w:asciiTheme="minorEastAsia" w:hAnsiTheme="minorEastAsia"/>
                <w:bCs/>
                <w:szCs w:val="21"/>
                <w:lang w:val="en-US" w:eastAsia="zh-CN"/>
              </w:rPr>
              <w:t>5</w:t>
            </w:r>
            <w:r>
              <w:rPr>
                <w:rFonts w:hint="eastAsia" w:cs="宋体" w:asciiTheme="minorEastAsia" w:hAnsiTheme="minorEastAsia"/>
                <w:bCs/>
                <w:szCs w:val="21"/>
                <w:lang w:val="zh-CN"/>
              </w:rPr>
              <w:t>年</w:t>
            </w:r>
            <w:r>
              <w:rPr>
                <w:rFonts w:hint="eastAsia" w:cs="宋体" w:asciiTheme="minorEastAsia" w:hAnsiTheme="minorEastAsia"/>
                <w:bCs/>
                <w:szCs w:val="21"/>
                <w:lang w:val="en-US" w:eastAsia="zh-CN"/>
              </w:rPr>
              <w:t>12</w:t>
            </w:r>
            <w:r>
              <w:rPr>
                <w:rFonts w:hint="eastAsia" w:cs="宋体" w:asciiTheme="minorEastAsia" w:hAnsiTheme="minorEastAsia"/>
                <w:bCs/>
                <w:szCs w:val="21"/>
                <w:lang w:val="zh-CN"/>
              </w:rPr>
              <w:t>月</w:t>
            </w:r>
            <w:r>
              <w:rPr>
                <w:rFonts w:hint="eastAsia" w:cs="宋体" w:asciiTheme="minorEastAsia" w:hAnsiTheme="minorEastAsia"/>
                <w:bCs/>
                <w:szCs w:val="21"/>
                <w:lang w:val="en-US" w:eastAsia="zh-CN"/>
              </w:rPr>
              <w:t>9</w:t>
            </w:r>
            <w:r>
              <w:rPr>
                <w:rFonts w:hint="eastAsia" w:cs="宋体" w:asciiTheme="minorEastAsia" w:hAnsiTheme="minorEastAsia"/>
                <w:bCs/>
                <w:szCs w:val="21"/>
                <w:lang w:val="zh-CN"/>
              </w:rPr>
              <w:t xml:space="preserve">日8：30（北京时间） </w:t>
            </w:r>
          </w:p>
        </w:tc>
      </w:tr>
      <w:tr w14:paraId="144C0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2472425B">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13</w:t>
            </w:r>
          </w:p>
        </w:tc>
        <w:tc>
          <w:tcPr>
            <w:tcW w:w="2372" w:type="dxa"/>
            <w:vAlign w:val="center"/>
          </w:tcPr>
          <w:p w14:paraId="1F653E1A">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开标地点</w:t>
            </w:r>
          </w:p>
        </w:tc>
        <w:tc>
          <w:tcPr>
            <w:tcW w:w="6709" w:type="dxa"/>
            <w:vAlign w:val="center"/>
          </w:tcPr>
          <w:p w14:paraId="2F9100D1">
            <w:pPr>
              <w:autoSpaceDE w:val="0"/>
              <w:autoSpaceDN w:val="0"/>
              <w:adjustRightInd w:val="0"/>
              <w:spacing w:line="360" w:lineRule="auto"/>
              <w:rPr>
                <w:rFonts w:cs="宋体" w:asciiTheme="minorEastAsia" w:hAnsiTheme="minorEastAsia"/>
                <w:bCs/>
                <w:szCs w:val="21"/>
                <w:lang w:val="zh-CN"/>
              </w:rPr>
            </w:pPr>
            <w:r>
              <w:rPr>
                <w:rFonts w:hint="eastAsia" w:cs="仿宋_GB2312" w:asciiTheme="minorEastAsia" w:hAnsiTheme="minorEastAsia"/>
                <w:szCs w:val="21"/>
              </w:rPr>
              <w:t>开标地点：禹州市公共资源交易中心开标二室（</w:t>
            </w:r>
            <w:r>
              <w:rPr>
                <w:rFonts w:hint="eastAsia" w:cs="Arial" w:asciiTheme="minorEastAsia" w:hAnsiTheme="minorEastAsia"/>
                <w:b/>
                <w:szCs w:val="21"/>
              </w:rPr>
              <w:t>本项目采用远程不见面开标，投标人无须到交易中心现场</w:t>
            </w:r>
            <w:r>
              <w:rPr>
                <w:rFonts w:hint="eastAsia" w:cs="Arial" w:asciiTheme="minorEastAsia" w:hAnsiTheme="minorEastAsia"/>
                <w:szCs w:val="21"/>
              </w:rPr>
              <w:t>）</w:t>
            </w:r>
            <w:r>
              <w:rPr>
                <w:rFonts w:hint="eastAsia" w:cs="仿宋_GB2312" w:asciiTheme="minorEastAsia" w:hAnsiTheme="minorEastAsia"/>
                <w:szCs w:val="21"/>
              </w:rPr>
              <w:t>。</w:t>
            </w:r>
          </w:p>
        </w:tc>
      </w:tr>
      <w:tr w14:paraId="1C872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vAlign w:val="center"/>
          </w:tcPr>
          <w:p w14:paraId="395BDBB1">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14</w:t>
            </w:r>
          </w:p>
        </w:tc>
        <w:tc>
          <w:tcPr>
            <w:tcW w:w="2372" w:type="dxa"/>
            <w:vAlign w:val="center"/>
          </w:tcPr>
          <w:p w14:paraId="6927DAE4">
            <w:pPr>
              <w:autoSpaceDE w:val="0"/>
              <w:autoSpaceDN w:val="0"/>
              <w:adjustRightInd w:val="0"/>
              <w:spacing w:line="276" w:lineRule="auto"/>
              <w:jc w:val="center"/>
              <w:rPr>
                <w:rFonts w:cs="宋体" w:asciiTheme="minorEastAsia" w:hAnsiTheme="minorEastAsia"/>
                <w:bCs/>
                <w:szCs w:val="21"/>
                <w:lang w:val="zh-CN"/>
              </w:rPr>
            </w:pPr>
            <w:r>
              <w:rPr>
                <w:rFonts w:hint="eastAsia" w:cs="宋体" w:asciiTheme="minorEastAsia" w:hAnsiTheme="minorEastAsia"/>
                <w:kern w:val="0"/>
                <w:szCs w:val="21"/>
              </w:rPr>
              <w:t>投标保证金</w:t>
            </w:r>
          </w:p>
        </w:tc>
        <w:tc>
          <w:tcPr>
            <w:tcW w:w="6709" w:type="dxa"/>
            <w:vAlign w:val="center"/>
          </w:tcPr>
          <w:p w14:paraId="794CB4AB">
            <w:pPr>
              <w:tabs>
                <w:tab w:val="left" w:pos="1260"/>
              </w:tabs>
              <w:autoSpaceDE w:val="0"/>
              <w:autoSpaceDN w:val="0"/>
              <w:adjustRightInd w:val="0"/>
              <w:spacing w:line="360" w:lineRule="auto"/>
              <w:contextualSpacing/>
              <w:rPr>
                <w:rFonts w:cs="仿宋_GB2312" w:asciiTheme="minorEastAsia" w:hAnsiTheme="minorEastAsia"/>
                <w:szCs w:val="21"/>
                <w:lang w:val="zh-CN"/>
              </w:rPr>
            </w:pPr>
            <w:r>
              <w:rPr>
                <w:rFonts w:hint="eastAsia" w:cs="仿宋_GB2312" w:asciiTheme="minorEastAsia" w:hAnsiTheme="minorEastAsia"/>
                <w:szCs w:val="21"/>
                <w:lang w:val="zh-CN"/>
              </w:rPr>
              <w:t>本项目不收取。</w:t>
            </w:r>
          </w:p>
          <w:p w14:paraId="41516204">
            <w:pPr>
              <w:tabs>
                <w:tab w:val="left" w:pos="1260"/>
              </w:tabs>
              <w:autoSpaceDE w:val="0"/>
              <w:autoSpaceDN w:val="0"/>
              <w:adjustRightInd w:val="0"/>
              <w:spacing w:line="360" w:lineRule="auto"/>
              <w:contextualSpacing/>
              <w:rPr>
                <w:rFonts w:cs="仿宋_GB2312" w:asciiTheme="minorEastAsia" w:hAnsiTheme="minorEastAsia"/>
                <w:szCs w:val="21"/>
                <w:lang w:val="zh-CN"/>
              </w:rPr>
            </w:pPr>
            <w:r>
              <w:rPr>
                <w:rFonts w:hint="eastAsia" w:cs="仿宋_GB2312" w:asciiTheme="minorEastAsia" w:hAnsiTheme="minorEastAsia"/>
                <w:szCs w:val="21"/>
                <w:lang w:val="zh-CN"/>
              </w:rPr>
              <w:t>投标人应提供投标承诺函。</w:t>
            </w:r>
          </w:p>
        </w:tc>
      </w:tr>
      <w:tr w14:paraId="73907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806" w:type="dxa"/>
            <w:vAlign w:val="center"/>
          </w:tcPr>
          <w:p w14:paraId="428D4030">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15</w:t>
            </w:r>
          </w:p>
        </w:tc>
        <w:tc>
          <w:tcPr>
            <w:tcW w:w="2372" w:type="dxa"/>
            <w:vAlign w:val="center"/>
          </w:tcPr>
          <w:p w14:paraId="0C381FAA">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szCs w:val="21"/>
              </w:rPr>
              <w:t>公告发布</w:t>
            </w:r>
          </w:p>
        </w:tc>
        <w:tc>
          <w:tcPr>
            <w:tcW w:w="6709" w:type="dxa"/>
            <w:tcBorders>
              <w:top w:val="single" w:color="auto" w:sz="4" w:space="0"/>
            </w:tcBorders>
            <w:vAlign w:val="center"/>
          </w:tcPr>
          <w:p w14:paraId="4487B6F1">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szCs w:val="21"/>
              </w:rPr>
              <w:t>招标公告、中标公告、变更（更正）公告、现场勘察答复等相关信息同时在以下网站发布：《中国政府采购网》、《河南省政府采购网》、《许昌市政府采购网》、《全国公共资源交易平台（河南省·许昌市）》</w:t>
            </w:r>
          </w:p>
        </w:tc>
      </w:tr>
      <w:tr w14:paraId="75F0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4D418684">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16</w:t>
            </w:r>
          </w:p>
        </w:tc>
        <w:tc>
          <w:tcPr>
            <w:tcW w:w="2372" w:type="dxa"/>
            <w:vAlign w:val="center"/>
          </w:tcPr>
          <w:p w14:paraId="67FCACDE">
            <w:pPr>
              <w:autoSpaceDE w:val="0"/>
              <w:autoSpaceDN w:val="0"/>
              <w:adjustRightInd w:val="0"/>
              <w:spacing w:line="360" w:lineRule="auto"/>
              <w:jc w:val="center"/>
              <w:rPr>
                <w:rFonts w:cs="仿宋_GB2312" w:asciiTheme="minorEastAsia" w:hAnsiTheme="minorEastAsia"/>
                <w:szCs w:val="21"/>
              </w:rPr>
            </w:pPr>
            <w:r>
              <w:rPr>
                <w:rFonts w:hint="eastAsia" w:cs="仿宋_GB2312" w:asciiTheme="minorEastAsia" w:hAnsiTheme="minorEastAsia"/>
                <w:szCs w:val="21"/>
              </w:rPr>
              <w:t>采购人澄清或修改</w:t>
            </w:r>
          </w:p>
          <w:p w14:paraId="50F13D4F">
            <w:pPr>
              <w:autoSpaceDE w:val="0"/>
              <w:autoSpaceDN w:val="0"/>
              <w:adjustRightInd w:val="0"/>
              <w:spacing w:line="360" w:lineRule="auto"/>
              <w:jc w:val="center"/>
              <w:rPr>
                <w:rFonts w:cs="黑体" w:asciiTheme="minorEastAsia" w:hAnsiTheme="minorEastAsia"/>
                <w:szCs w:val="21"/>
              </w:rPr>
            </w:pPr>
            <w:r>
              <w:rPr>
                <w:rFonts w:hint="eastAsia" w:cs="仿宋_GB2312" w:asciiTheme="minorEastAsia" w:hAnsiTheme="minorEastAsia"/>
                <w:szCs w:val="21"/>
              </w:rPr>
              <w:t>招标文件时间</w:t>
            </w:r>
          </w:p>
        </w:tc>
        <w:tc>
          <w:tcPr>
            <w:tcW w:w="6709" w:type="dxa"/>
            <w:vAlign w:val="center"/>
          </w:tcPr>
          <w:p w14:paraId="6B5C8706">
            <w:pPr>
              <w:autoSpaceDE w:val="0"/>
              <w:autoSpaceDN w:val="0"/>
              <w:adjustRightInd w:val="0"/>
              <w:spacing w:line="360" w:lineRule="auto"/>
              <w:rPr>
                <w:rFonts w:hint="eastAsia" w:cs="仿宋_GB2312" w:asciiTheme="minorEastAsia" w:hAnsiTheme="minorEastAsia"/>
                <w:szCs w:val="21"/>
                <w:lang w:val="zh-CN"/>
              </w:rPr>
            </w:pPr>
            <w:r>
              <w:rPr>
                <w:rFonts w:hint="eastAsia" w:cs="宋体" w:asciiTheme="minorEastAsia" w:hAnsiTheme="minorEastAsia"/>
                <w:bCs/>
                <w:szCs w:val="21"/>
                <w:lang w:val="zh-CN"/>
              </w:rPr>
              <w:t>投标截止时间15日前（</w:t>
            </w:r>
            <w:r>
              <w:rPr>
                <w:rFonts w:hint="eastAsia" w:cs="仿宋_GB2312" w:asciiTheme="minorEastAsia" w:hAnsiTheme="minorEastAsia"/>
                <w:szCs w:val="21"/>
                <w:lang w:val="zh-CN"/>
              </w:rPr>
              <w:t>澄清内容可能影响投标文件编制的）</w:t>
            </w:r>
          </w:p>
        </w:tc>
      </w:tr>
      <w:tr w14:paraId="31FE6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00C0D0A4">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17</w:t>
            </w:r>
          </w:p>
        </w:tc>
        <w:tc>
          <w:tcPr>
            <w:tcW w:w="2372" w:type="dxa"/>
            <w:vAlign w:val="center"/>
          </w:tcPr>
          <w:p w14:paraId="1D00FC7F">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投标人对采购文件</w:t>
            </w:r>
          </w:p>
          <w:p w14:paraId="3CDF201B">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质疑截止时间</w:t>
            </w:r>
          </w:p>
        </w:tc>
        <w:tc>
          <w:tcPr>
            <w:tcW w:w="6709" w:type="dxa"/>
            <w:vAlign w:val="center"/>
          </w:tcPr>
          <w:p w14:paraId="32F3B55B">
            <w:pPr>
              <w:autoSpaceDE w:val="0"/>
              <w:autoSpaceDN w:val="0"/>
              <w:adjustRightInd w:val="0"/>
              <w:spacing w:line="360" w:lineRule="auto"/>
              <w:rPr>
                <w:rFonts w:hint="eastAsia" w:cs="宋体" w:asciiTheme="minorEastAsia" w:hAnsiTheme="minorEastAsia" w:eastAsiaTheme="minorEastAsia"/>
                <w:bCs/>
                <w:szCs w:val="21"/>
                <w:lang w:val="en-US" w:eastAsia="zh-CN"/>
              </w:rPr>
            </w:pPr>
            <w:r>
              <w:rPr>
                <w:rFonts w:hint="eastAsia" w:cs="宋体" w:asciiTheme="minorEastAsia" w:hAnsiTheme="minorEastAsia"/>
                <w:bCs/>
                <w:szCs w:val="21"/>
                <w:lang w:val="zh-CN"/>
              </w:rPr>
              <w:t>招标公告期满之日起七个工作日</w:t>
            </w:r>
          </w:p>
        </w:tc>
      </w:tr>
      <w:tr w14:paraId="631B0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79177929">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18</w:t>
            </w:r>
          </w:p>
        </w:tc>
        <w:tc>
          <w:tcPr>
            <w:tcW w:w="2372" w:type="dxa"/>
            <w:vAlign w:val="center"/>
          </w:tcPr>
          <w:p w14:paraId="2B46F1BB">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投标文件份数</w:t>
            </w:r>
          </w:p>
        </w:tc>
        <w:tc>
          <w:tcPr>
            <w:tcW w:w="6709" w:type="dxa"/>
            <w:vAlign w:val="center"/>
          </w:tcPr>
          <w:p w14:paraId="061769B4">
            <w:pPr>
              <w:autoSpaceDE w:val="0"/>
              <w:autoSpaceDN w:val="0"/>
              <w:adjustRightInd w:val="0"/>
              <w:spacing w:line="360" w:lineRule="auto"/>
              <w:rPr>
                <w:rFonts w:cs="宋体" w:asciiTheme="minorEastAsia" w:hAnsiTheme="minorEastAsia"/>
                <w:szCs w:val="21"/>
              </w:rPr>
            </w:pPr>
            <w:r>
              <w:rPr>
                <w:rFonts w:ascii="新宋体" w:hAnsi="新宋体" w:eastAsia="新宋体"/>
                <w:b/>
                <w:szCs w:val="21"/>
              </w:rPr>
              <w:fldChar w:fldCharType="begin"/>
            </w:r>
            <w:r>
              <w:rPr>
                <w:rFonts w:hint="eastAsia" w:ascii="新宋体" w:hAnsi="新宋体" w:eastAsia="新宋体"/>
                <w:b/>
                <w:szCs w:val="21"/>
              </w:rPr>
              <w:instrText xml:space="preserve">eq \o\ac(□,√)</w:instrText>
            </w:r>
            <w:r>
              <w:rPr>
                <w:rFonts w:ascii="新宋体" w:hAnsi="新宋体" w:eastAsia="新宋体"/>
                <w:b/>
                <w:szCs w:val="21"/>
              </w:rPr>
              <w:fldChar w:fldCharType="end"/>
            </w:r>
            <w:r>
              <w:rPr>
                <w:rFonts w:hint="eastAsia" w:ascii="新宋体" w:hAnsi="新宋体" w:eastAsia="新宋体"/>
                <w:szCs w:val="21"/>
              </w:rPr>
              <w:t>电子投标文件：成功上传至《全国公共资源交易平台（河南省·许昌市）》公共资源交易系统加密电子投标文件1份</w:t>
            </w:r>
            <w:r>
              <w:rPr>
                <w:rFonts w:hint="eastAsia" w:hAnsi="宋体" w:cs="宋体"/>
                <w:szCs w:val="21"/>
                <w:lang w:val="zh-CN"/>
              </w:rPr>
              <w:t>（文件格式为： XXX公司XXX项目编号.file）。</w:t>
            </w:r>
          </w:p>
          <w:p w14:paraId="3E1D2864">
            <w:pPr>
              <w:autoSpaceDE w:val="0"/>
              <w:autoSpaceDN w:val="0"/>
              <w:adjustRightInd w:val="0"/>
              <w:spacing w:line="360" w:lineRule="auto"/>
              <w:rPr>
                <w:rFonts w:ascii="新宋体" w:hAnsi="新宋体" w:eastAsia="新宋体"/>
                <w:szCs w:val="21"/>
              </w:rPr>
            </w:pPr>
            <w:r>
              <w:rPr>
                <w:rFonts w:hint="eastAsia" w:cs="宋体" w:asciiTheme="minorEastAsia" w:hAnsiTheme="minorEastAsia"/>
                <w:b/>
                <w:bCs/>
                <w:szCs w:val="21"/>
                <w:lang w:val="zh-CN"/>
              </w:rPr>
              <w:t>□</w:t>
            </w:r>
            <w:r>
              <w:rPr>
                <w:rFonts w:hint="eastAsia" w:ascii="新宋体" w:hAnsi="新宋体" w:eastAsia="新宋体"/>
                <w:szCs w:val="21"/>
              </w:rPr>
              <w:t>纸质投标文件：</w:t>
            </w:r>
            <w:r>
              <w:rPr>
                <w:rFonts w:hint="eastAsia" w:cs="仿宋_GB2312" w:asciiTheme="minorEastAsia" w:hAnsiTheme="minorEastAsia"/>
                <w:szCs w:val="21"/>
              </w:rPr>
              <w:t>正本</w:t>
            </w:r>
            <w:r>
              <w:rPr>
                <w:rFonts w:hint="eastAsia" w:cs="仿宋_GB2312" w:asciiTheme="minorEastAsia" w:hAnsiTheme="minorEastAsia"/>
                <w:b/>
                <w:szCs w:val="21"/>
              </w:rPr>
              <w:t>一</w:t>
            </w:r>
            <w:r>
              <w:rPr>
                <w:rFonts w:hint="eastAsia" w:cs="仿宋_GB2312" w:asciiTheme="minorEastAsia" w:hAnsiTheme="minorEastAsia"/>
                <w:szCs w:val="21"/>
              </w:rPr>
              <w:t>份，副本</w:t>
            </w:r>
            <w:r>
              <w:rPr>
                <w:rFonts w:hint="eastAsia" w:cs="仿宋_GB2312" w:asciiTheme="minorEastAsia" w:hAnsiTheme="minorEastAsia"/>
                <w:szCs w:val="21"/>
                <w:u w:val="single"/>
              </w:rPr>
              <w:t xml:space="preserve"> 一 </w:t>
            </w:r>
            <w:r>
              <w:rPr>
                <w:rFonts w:hint="eastAsia" w:cs="仿宋_GB2312" w:asciiTheme="minorEastAsia" w:hAnsiTheme="minorEastAsia"/>
                <w:szCs w:val="21"/>
              </w:rPr>
              <w:t>份。使用</w:t>
            </w:r>
            <w:r>
              <w:rPr>
                <w:rFonts w:hint="eastAsia" w:ascii="新宋体" w:hAnsi="新宋体" w:eastAsia="新宋体"/>
                <w:szCs w:val="21"/>
              </w:rPr>
              <w:t>格式为“投标文件（供打印）.PDF”的文件。</w:t>
            </w:r>
          </w:p>
          <w:p w14:paraId="040C6B8D">
            <w:pPr>
              <w:autoSpaceDE w:val="0"/>
              <w:autoSpaceDN w:val="0"/>
              <w:adjustRightInd w:val="0"/>
              <w:spacing w:line="360" w:lineRule="auto"/>
              <w:rPr>
                <w:rFonts w:cs="宋体" w:asciiTheme="minorEastAsia" w:hAnsiTheme="minorEastAsia"/>
                <w:bCs/>
                <w:szCs w:val="21"/>
                <w:highlight w:val="lightGray"/>
                <w:lang w:val="zh-CN"/>
              </w:rPr>
            </w:pPr>
            <w:r>
              <w:rPr>
                <w:rFonts w:hint="eastAsia" w:ascii="新宋体" w:hAnsi="新宋体" w:eastAsia="新宋体"/>
                <w:szCs w:val="21"/>
              </w:rPr>
              <w:t>电子投标文件和纸质投标文件的内容、格式、水印码、签章应一致。</w:t>
            </w:r>
          </w:p>
        </w:tc>
      </w:tr>
      <w:tr w14:paraId="47E7A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3676C9D7">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19</w:t>
            </w:r>
          </w:p>
        </w:tc>
        <w:tc>
          <w:tcPr>
            <w:tcW w:w="2372" w:type="dxa"/>
            <w:vAlign w:val="center"/>
          </w:tcPr>
          <w:p w14:paraId="70A8242B">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投标文件的</w:t>
            </w:r>
          </w:p>
          <w:p w14:paraId="3794FF2D">
            <w:pPr>
              <w:autoSpaceDE w:val="0"/>
              <w:autoSpaceDN w:val="0"/>
              <w:adjustRightInd w:val="0"/>
              <w:spacing w:line="360" w:lineRule="auto"/>
              <w:jc w:val="center"/>
              <w:rPr>
                <w:rFonts w:cs="黑体" w:asciiTheme="minorEastAsia" w:hAnsiTheme="minorEastAsia"/>
                <w:szCs w:val="21"/>
              </w:rPr>
            </w:pPr>
            <w:r>
              <w:rPr>
                <w:rFonts w:hint="eastAsia" w:cs="黑体" w:asciiTheme="minorEastAsia" w:hAnsiTheme="minorEastAsia"/>
                <w:szCs w:val="21"/>
              </w:rPr>
              <w:t>签署盖章</w:t>
            </w:r>
          </w:p>
        </w:tc>
        <w:tc>
          <w:tcPr>
            <w:tcW w:w="6709" w:type="dxa"/>
            <w:vAlign w:val="center"/>
          </w:tcPr>
          <w:p w14:paraId="50BDECDA">
            <w:pPr>
              <w:autoSpaceDE w:val="0"/>
              <w:autoSpaceDN w:val="0"/>
              <w:adjustRightInd w:val="0"/>
              <w:spacing w:line="420" w:lineRule="exact"/>
              <w:rPr>
                <w:rFonts w:ascii="新宋体" w:hAnsi="新宋体" w:eastAsia="新宋体"/>
                <w:szCs w:val="21"/>
              </w:rPr>
            </w:pPr>
            <w:r>
              <w:rPr>
                <w:rFonts w:ascii="新宋体" w:hAnsi="新宋体" w:eastAsia="新宋体"/>
                <w:b/>
                <w:szCs w:val="21"/>
              </w:rPr>
              <w:fldChar w:fldCharType="begin"/>
            </w:r>
            <w:r>
              <w:rPr>
                <w:rFonts w:hint="eastAsia" w:ascii="新宋体" w:hAnsi="新宋体" w:eastAsia="新宋体"/>
                <w:b/>
                <w:szCs w:val="21"/>
              </w:rPr>
              <w:instrText xml:space="preserve">eq \o\ac(□,√)</w:instrText>
            </w:r>
            <w:r>
              <w:rPr>
                <w:rFonts w:ascii="新宋体" w:hAnsi="新宋体" w:eastAsia="新宋体"/>
                <w:b/>
                <w:szCs w:val="21"/>
              </w:rPr>
              <w:fldChar w:fldCharType="end"/>
            </w:r>
            <w:r>
              <w:rPr>
                <w:rFonts w:hint="eastAsia" w:ascii="新宋体" w:hAnsi="新宋体" w:eastAsia="新宋体"/>
                <w:szCs w:val="21"/>
              </w:rPr>
              <w:t>电子投标文件：按招标文件要求加盖投标人电子印章和法人电子印章。</w:t>
            </w:r>
          </w:p>
          <w:p w14:paraId="2C117AD5">
            <w:pPr>
              <w:autoSpaceDE w:val="0"/>
              <w:autoSpaceDN w:val="0"/>
              <w:adjustRightInd w:val="0"/>
              <w:spacing w:line="420" w:lineRule="exact"/>
              <w:rPr>
                <w:rFonts w:cs="仿宋_GB2312" w:asciiTheme="minorEastAsia" w:hAnsiTheme="minorEastAsia"/>
                <w:szCs w:val="21"/>
                <w:highlight w:val="lightGray"/>
              </w:rPr>
            </w:pPr>
            <w:r>
              <w:rPr>
                <w:rFonts w:hint="eastAsia" w:cs="宋体" w:asciiTheme="minorEastAsia" w:hAnsiTheme="minorEastAsia"/>
                <w:b/>
                <w:bCs/>
                <w:szCs w:val="21"/>
                <w:lang w:val="zh-CN"/>
              </w:rPr>
              <w:t>□</w:t>
            </w:r>
            <w:r>
              <w:rPr>
                <w:rFonts w:hint="eastAsia" w:ascii="新宋体" w:hAnsi="新宋体" w:eastAsia="新宋体"/>
                <w:szCs w:val="21"/>
              </w:rPr>
              <w:t>纸质投标文件：投标文件封面加盖投标人公章（投标文件是指投标人电子投标文件制作完成后生成的后缀名为</w:t>
            </w:r>
            <w:r>
              <w:rPr>
                <w:rFonts w:hint="eastAsia" w:hAnsi="宋体"/>
                <w:szCs w:val="21"/>
              </w:rPr>
              <w:t>“.PDF”的文件</w:t>
            </w:r>
            <w:r>
              <w:rPr>
                <w:rFonts w:hint="eastAsia" w:ascii="新宋体" w:hAnsi="新宋体" w:eastAsia="新宋体"/>
                <w:szCs w:val="21"/>
              </w:rPr>
              <w:t>打印的纸质投标文件）。</w:t>
            </w:r>
          </w:p>
        </w:tc>
      </w:tr>
      <w:tr w14:paraId="0C4CB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5D2D21BF">
            <w:pPr>
              <w:autoSpaceDE w:val="0"/>
              <w:autoSpaceDN w:val="0"/>
              <w:adjustRightInd w:val="0"/>
              <w:spacing w:line="276" w:lineRule="auto"/>
              <w:jc w:val="center"/>
              <w:rPr>
                <w:rFonts w:cs="TimesNewRomanPSMT" w:asciiTheme="minorEastAsia" w:hAnsiTheme="minorEastAsia"/>
                <w:szCs w:val="21"/>
              </w:rPr>
            </w:pPr>
            <w:r>
              <w:rPr>
                <w:rFonts w:hint="eastAsia" w:cs="TimesNewRomanPSMT" w:asciiTheme="minorEastAsia" w:hAnsiTheme="minorEastAsia"/>
                <w:szCs w:val="21"/>
              </w:rPr>
              <w:t>20</w:t>
            </w:r>
          </w:p>
        </w:tc>
        <w:tc>
          <w:tcPr>
            <w:tcW w:w="2372" w:type="dxa"/>
            <w:vAlign w:val="center"/>
          </w:tcPr>
          <w:p w14:paraId="5A1AA5A8">
            <w:pPr>
              <w:autoSpaceDE w:val="0"/>
              <w:autoSpaceDN w:val="0"/>
              <w:adjustRightInd w:val="0"/>
              <w:spacing w:line="360" w:lineRule="auto"/>
              <w:jc w:val="center"/>
              <w:rPr>
                <w:rFonts w:cs="仿宋_GB2312" w:asciiTheme="minorEastAsia" w:hAnsiTheme="minorEastAsia"/>
                <w:szCs w:val="21"/>
              </w:rPr>
            </w:pPr>
            <w:r>
              <w:rPr>
                <w:rFonts w:hint="eastAsia" w:cs="黑体" w:asciiTheme="minorEastAsia" w:hAnsiTheme="minorEastAsia"/>
                <w:szCs w:val="21"/>
              </w:rPr>
              <w:t>评标委员会组建</w:t>
            </w:r>
          </w:p>
        </w:tc>
        <w:tc>
          <w:tcPr>
            <w:tcW w:w="6709" w:type="dxa"/>
            <w:vAlign w:val="center"/>
          </w:tcPr>
          <w:p w14:paraId="7A705FF7">
            <w:pPr>
              <w:autoSpaceDE w:val="0"/>
              <w:autoSpaceDN w:val="0"/>
              <w:adjustRightInd w:val="0"/>
              <w:spacing w:line="360" w:lineRule="auto"/>
              <w:rPr>
                <w:rFonts w:cs="仿宋_GB2312" w:asciiTheme="minorEastAsia" w:hAnsiTheme="minorEastAsia"/>
                <w:szCs w:val="21"/>
                <w:lang w:val="zh-CN"/>
              </w:rPr>
            </w:pPr>
            <w:r>
              <w:rPr>
                <w:rFonts w:ascii="新宋体" w:hAnsi="新宋体" w:eastAsia="新宋体"/>
                <w:b/>
                <w:szCs w:val="21"/>
              </w:rPr>
              <w:fldChar w:fldCharType="begin"/>
            </w:r>
            <w:r>
              <w:rPr>
                <w:rFonts w:hint="eastAsia" w:ascii="新宋体" w:hAnsi="新宋体" w:eastAsia="新宋体"/>
                <w:b/>
                <w:szCs w:val="21"/>
              </w:rPr>
              <w:instrText xml:space="preserve">eq \o\ac(□,√)</w:instrText>
            </w:r>
            <w:r>
              <w:rPr>
                <w:rFonts w:ascii="新宋体" w:hAnsi="新宋体" w:eastAsia="新宋体"/>
                <w:b/>
                <w:szCs w:val="21"/>
              </w:rPr>
              <w:fldChar w:fldCharType="end"/>
            </w:r>
            <w:r>
              <w:rPr>
                <w:rFonts w:hint="eastAsia" w:cs="仿宋_GB2312" w:asciiTheme="minorEastAsia" w:hAnsiTheme="minorEastAsia"/>
                <w:szCs w:val="21"/>
                <w:lang w:val="zh-CN"/>
              </w:rPr>
              <w:t>由采购人代表和评审专家组成，其中评审专家的人数不少于评标委员会成员总数的三分之二。评审专家从政府采购评审专家库中随机抽取。</w:t>
            </w:r>
          </w:p>
          <w:p w14:paraId="625FA181">
            <w:pPr>
              <w:autoSpaceDE w:val="0"/>
              <w:autoSpaceDN w:val="0"/>
              <w:adjustRightInd w:val="0"/>
              <w:spacing w:line="360" w:lineRule="auto"/>
              <w:rPr>
                <w:rFonts w:cs="宋体" w:asciiTheme="minorEastAsia" w:hAnsiTheme="minorEastAsia"/>
                <w:bCs/>
                <w:szCs w:val="21"/>
                <w:lang w:val="zh-CN"/>
              </w:rPr>
            </w:pPr>
            <w:r>
              <w:rPr>
                <w:rFonts w:hint="eastAsia" w:cs="仿宋_GB2312" w:asciiTheme="minorEastAsia" w:hAnsiTheme="minorEastAsia"/>
                <w:szCs w:val="21"/>
                <w:lang w:val="zh-CN"/>
              </w:rPr>
              <w:t>□由评审专家组成。评审专家从政府采购评审专家库中随机抽取。</w:t>
            </w:r>
          </w:p>
        </w:tc>
      </w:tr>
      <w:tr w14:paraId="777D4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2C374834">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21</w:t>
            </w:r>
          </w:p>
        </w:tc>
        <w:tc>
          <w:tcPr>
            <w:tcW w:w="2372" w:type="dxa"/>
            <w:vAlign w:val="center"/>
          </w:tcPr>
          <w:p w14:paraId="343420ED">
            <w:pPr>
              <w:autoSpaceDE w:val="0"/>
              <w:autoSpaceDN w:val="0"/>
              <w:adjustRightInd w:val="0"/>
              <w:spacing w:line="360" w:lineRule="auto"/>
              <w:jc w:val="center"/>
              <w:rPr>
                <w:rFonts w:cs="宋体" w:asciiTheme="minorEastAsia" w:hAnsiTheme="minorEastAsia"/>
                <w:bCs/>
                <w:szCs w:val="21"/>
                <w:lang w:val="zh-CN"/>
              </w:rPr>
            </w:pPr>
            <w:r>
              <w:rPr>
                <w:rFonts w:hint="eastAsia" w:cs="仿宋_GB2312" w:asciiTheme="minorEastAsia" w:hAnsiTheme="minorEastAsia"/>
                <w:szCs w:val="21"/>
              </w:rPr>
              <w:t>评标方法</w:t>
            </w:r>
          </w:p>
        </w:tc>
        <w:tc>
          <w:tcPr>
            <w:tcW w:w="6709" w:type="dxa"/>
            <w:vAlign w:val="center"/>
          </w:tcPr>
          <w:p w14:paraId="030416AE">
            <w:pPr>
              <w:autoSpaceDE w:val="0"/>
              <w:autoSpaceDN w:val="0"/>
              <w:adjustRightInd w:val="0"/>
              <w:spacing w:line="360" w:lineRule="auto"/>
              <w:rPr>
                <w:rFonts w:cs="宋体" w:asciiTheme="minorEastAsia" w:hAnsiTheme="minorEastAsia"/>
                <w:bCs/>
                <w:szCs w:val="21"/>
                <w:lang w:val="zh-CN"/>
              </w:rPr>
            </w:pPr>
            <w:r>
              <w:rPr>
                <w:rFonts w:cs="宋体" w:asciiTheme="minorEastAsia" w:hAnsiTheme="minorEastAsia"/>
                <w:b/>
                <w:kern w:val="0"/>
                <w:szCs w:val="21"/>
                <w:lang w:val="zh-CN"/>
              </w:rPr>
              <w:fldChar w:fldCharType="begin"/>
            </w:r>
            <w:r>
              <w:rPr>
                <w:rFonts w:hint="eastAsia" w:cs="宋体" w:asciiTheme="minorEastAsia" w:hAnsiTheme="minorEastAsia"/>
                <w:b/>
                <w:kern w:val="0"/>
                <w:szCs w:val="21"/>
                <w:lang w:val="zh-CN"/>
              </w:rPr>
              <w:instrText xml:space="preserve">eq \o\ac(□,</w:instrText>
            </w:r>
            <w:r>
              <w:rPr>
                <w:rFonts w:hint="eastAsia" w:cs="宋体" w:asciiTheme="minorEastAsia" w:hAnsiTheme="minorEastAsia"/>
                <w:b/>
                <w:kern w:val="0"/>
                <w:position w:val="2"/>
                <w:szCs w:val="21"/>
                <w:lang w:val="zh-CN"/>
              </w:rPr>
              <w:instrText xml:space="preserve">√</w:instrText>
            </w:r>
            <w:r>
              <w:rPr>
                <w:rFonts w:hint="eastAsia" w:cs="宋体" w:asciiTheme="minorEastAsia" w:hAnsiTheme="minorEastAsia"/>
                <w:b/>
                <w:kern w:val="0"/>
                <w:szCs w:val="21"/>
                <w:lang w:val="zh-CN"/>
              </w:rPr>
              <w:instrText xml:space="preserve">)</w:instrText>
            </w:r>
            <w:r>
              <w:rPr>
                <w:rFonts w:cs="宋体" w:asciiTheme="minorEastAsia" w:hAnsiTheme="minorEastAsia"/>
                <w:b/>
                <w:kern w:val="0"/>
                <w:szCs w:val="21"/>
                <w:lang w:val="zh-CN"/>
              </w:rPr>
              <w:fldChar w:fldCharType="end"/>
            </w:r>
            <w:r>
              <w:rPr>
                <w:rFonts w:hint="eastAsia" w:cs="宋体" w:asciiTheme="minorEastAsia" w:hAnsiTheme="minorEastAsia"/>
                <w:bCs/>
                <w:szCs w:val="21"/>
                <w:lang w:val="zh-CN"/>
              </w:rPr>
              <w:t>综合评分法</w:t>
            </w:r>
            <w:r>
              <w:rPr>
                <w:rFonts w:hint="eastAsia" w:cs="宋体" w:asciiTheme="minorEastAsia" w:hAnsiTheme="minorEastAsia"/>
                <w:b/>
                <w:bCs/>
                <w:szCs w:val="21"/>
                <w:lang w:val="zh-CN"/>
              </w:rPr>
              <w:t>□</w:t>
            </w:r>
            <w:r>
              <w:rPr>
                <w:rFonts w:hint="eastAsia" w:cs="仿宋_GB2312" w:asciiTheme="minorEastAsia" w:hAnsiTheme="minorEastAsia"/>
                <w:szCs w:val="21"/>
                <w:lang w:val="zh-CN"/>
              </w:rPr>
              <w:t>最低评标价法</w:t>
            </w:r>
          </w:p>
        </w:tc>
      </w:tr>
      <w:tr w14:paraId="46D87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02A30A69">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22</w:t>
            </w:r>
          </w:p>
        </w:tc>
        <w:tc>
          <w:tcPr>
            <w:tcW w:w="2372" w:type="dxa"/>
            <w:vAlign w:val="center"/>
          </w:tcPr>
          <w:p w14:paraId="02C2A1BA">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中小企业有关政策</w:t>
            </w:r>
          </w:p>
        </w:tc>
        <w:tc>
          <w:tcPr>
            <w:tcW w:w="6709" w:type="dxa"/>
            <w:vAlign w:val="center"/>
          </w:tcPr>
          <w:p w14:paraId="5EB54021">
            <w:pPr>
              <w:numPr>
                <w:ilvl w:val="0"/>
                <w:numId w:val="12"/>
              </w:numPr>
              <w:autoSpaceDE w:val="0"/>
              <w:autoSpaceDN w:val="0"/>
              <w:adjustRightInd w:val="0"/>
              <w:spacing w:line="360" w:lineRule="auto"/>
              <w:contextualSpacing/>
              <w:rPr>
                <w:rFonts w:ascii="ˎ̥" w:hAnsi="ˎ̥"/>
              </w:rPr>
            </w:pPr>
            <w:r>
              <w:rPr>
                <w:rFonts w:hint="eastAsia" w:ascii="ˎ̥" w:hAnsi="ˎ̥"/>
              </w:rPr>
              <w:t>根据工信部等部委发布的《关于印发中小企业划型标准规定的通知》（工信部联企业〔2011〕300号），按照本次采购标的所属行业的划型标准，</w:t>
            </w:r>
            <w:r>
              <w:rPr>
                <w:rFonts w:hint="eastAsia" w:ascii="ˎ̥" w:hAnsi="ˎ̥"/>
                <w:lang w:val="en-US" w:eastAsia="zh-CN"/>
              </w:rPr>
              <w:t>本</w:t>
            </w:r>
            <w:r>
              <w:rPr>
                <w:rFonts w:hint="eastAsia" w:ascii="ˎ̥" w:hAnsi="ˎ̥"/>
              </w:rPr>
              <w:t>符合条件的中小企业应按照谈判文件格式要求提供《中小企业声明函》，</w:t>
            </w:r>
            <w:r>
              <w:rPr>
                <w:rFonts w:ascii="ˎ̥" w:hAnsi="ˎ̥"/>
              </w:rPr>
              <w:t>否则不得享受相关中小企业扶持政策。</w:t>
            </w:r>
          </w:p>
          <w:p w14:paraId="5B6E8440">
            <w:pPr>
              <w:pStyle w:val="30"/>
              <w:rPr>
                <w:rFonts w:hint="default" w:ascii="ˎ̥" w:hAnsi="ˎ̥" w:eastAsiaTheme="minorEastAsia" w:cstheme="minorBidi"/>
                <w:kern w:val="2"/>
                <w:sz w:val="21"/>
                <w:szCs w:val="22"/>
                <w:lang w:val="en-US" w:eastAsia="zh-CN" w:bidi="ar-SA"/>
              </w:rPr>
            </w:pPr>
            <w:r>
              <w:rPr>
                <w:rFonts w:hint="eastAsia" w:ascii="ˎ̥" w:hAnsi="ˎ̥" w:eastAsiaTheme="minorEastAsia" w:cstheme="minorBidi"/>
                <w:kern w:val="2"/>
                <w:sz w:val="21"/>
                <w:szCs w:val="22"/>
                <w:lang w:val="en-US" w:eastAsia="zh-CN" w:bidi="ar-SA"/>
              </w:rPr>
              <w:t>2.本次采购标的对应的行业：工业</w:t>
            </w:r>
          </w:p>
          <w:p w14:paraId="4123F56F">
            <w:pPr>
              <w:autoSpaceDE w:val="0"/>
              <w:autoSpaceDN w:val="0"/>
              <w:adjustRightInd w:val="0"/>
              <w:spacing w:line="360" w:lineRule="auto"/>
              <w:contextualSpacing/>
              <w:rPr>
                <w:rFonts w:ascii="ˎ̥" w:hAnsi="ˎ̥"/>
              </w:rPr>
            </w:pPr>
            <w:r>
              <w:rPr>
                <w:rFonts w:hint="eastAsia" w:ascii="ˎ̥" w:hAnsi="ˎ̥"/>
                <w:lang w:val="en-US" w:eastAsia="zh-CN"/>
              </w:rPr>
              <w:t>3</w:t>
            </w:r>
            <w:r>
              <w:rPr>
                <w:rFonts w:hint="eastAsia" w:ascii="ˎ̥" w:hAnsi="ˎ̥"/>
              </w:rPr>
              <w:t>、根据财政部、工业和信息化部发布的《政府采购促进中小企业发展管理办法》（财库〔2020〕46号）、</w:t>
            </w:r>
            <w:r>
              <w:rPr>
                <w:rFonts w:hint="eastAsia" w:ascii="ˎ̥" w:hAnsi="ˎ̥"/>
                <w:color w:val="FF0000"/>
              </w:rPr>
              <w:t>《关于进一步加大政府采购支持中小企业力度的通知》（财库〔2022〕19号）规定，对小型和微型企业投标价格给予20%（10%—20%）</w:t>
            </w:r>
            <w:r>
              <w:rPr>
                <w:rFonts w:hint="eastAsia" w:ascii="ˎ̥" w:hAnsi="ˎ̥"/>
              </w:rPr>
              <w:t>的扣除，用扣除后的价格参与评审。</w:t>
            </w:r>
          </w:p>
          <w:p w14:paraId="59FAF504">
            <w:pPr>
              <w:spacing w:line="360" w:lineRule="auto"/>
              <w:contextualSpacing/>
              <w:rPr>
                <w:rFonts w:ascii="ˎ̥" w:hAnsi="ˎ̥"/>
              </w:rPr>
            </w:pPr>
            <w:r>
              <w:rPr>
                <w:rFonts w:hint="eastAsia" w:ascii="ˎ̥" w:hAnsi="ˎ̥"/>
                <w:lang w:val="en-US" w:eastAsia="zh-CN"/>
              </w:rPr>
              <w:t>4</w:t>
            </w:r>
            <w:r>
              <w:rPr>
                <w:rFonts w:hint="eastAsia" w:ascii="ˎ̥" w:hAnsi="ˎ̥"/>
              </w:rPr>
              <w:t>、</w:t>
            </w:r>
            <w:r>
              <w:rPr>
                <w:rFonts w:ascii="ˎ̥" w:hAnsi="ˎ̥"/>
              </w:rPr>
              <w:t>以联合体形式参加政府采购活动，联合体各方均为中小企业的，联合体视同中小企业。其中，联合体各方均为小微企业的，联合体视同小微企业。</w:t>
            </w:r>
          </w:p>
          <w:p w14:paraId="161C210A">
            <w:pPr>
              <w:autoSpaceDE w:val="0"/>
              <w:autoSpaceDN w:val="0"/>
              <w:adjustRightInd w:val="0"/>
              <w:spacing w:line="360" w:lineRule="auto"/>
              <w:contextualSpacing/>
              <w:rPr>
                <w:rFonts w:ascii="ˎ̥" w:hAnsi="ˎ̥"/>
              </w:rPr>
            </w:pPr>
            <w:r>
              <w:rPr>
                <w:rFonts w:hint="eastAsia" w:ascii="ˎ̥" w:hAnsi="ˎ̥"/>
                <w:lang w:val="en-US" w:eastAsia="zh-CN"/>
              </w:rPr>
              <w:t>5</w:t>
            </w:r>
            <w:r>
              <w:rPr>
                <w:rFonts w:hint="eastAsia" w:ascii="ˎ̥" w:hAnsi="ˎ̥"/>
              </w:rPr>
              <w:t>、</w:t>
            </w:r>
            <w:r>
              <w:rPr>
                <w:rFonts w:ascii="ˎ̥" w:hAnsi="ˎ̥"/>
              </w:rPr>
              <w:t>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w:t>
            </w:r>
            <w:r>
              <w:rPr>
                <w:rFonts w:hint="eastAsia" w:ascii="ˎ̥" w:hAnsi="ˎ̥"/>
              </w:rPr>
              <w:t>6</w:t>
            </w:r>
            <w:r>
              <w:rPr>
                <w:rFonts w:ascii="ˎ̥" w:hAnsi="ˎ̥"/>
                <w:color w:val="FF0000"/>
              </w:rPr>
              <w:t>%（</w:t>
            </w:r>
            <w:r>
              <w:rPr>
                <w:rFonts w:hint="eastAsia" w:ascii="ˎ̥" w:hAnsi="ˎ̥"/>
                <w:color w:val="FF0000"/>
              </w:rPr>
              <w:t>4%—6%</w:t>
            </w:r>
            <w:r>
              <w:rPr>
                <w:rFonts w:ascii="ˎ̥" w:hAnsi="ˎ̥"/>
                <w:color w:val="FF0000"/>
              </w:rPr>
              <w:t>）</w:t>
            </w:r>
            <w:r>
              <w:rPr>
                <w:rFonts w:ascii="ˎ̥" w:hAnsi="ˎ̥"/>
              </w:rPr>
              <w:t>的扣除，用扣除后的价格参加评审。组成联合体或者接受分包的小微企业与联合体内其他企业、分包企业之间存在直接控股、管理关系的，不享受价格扣除优惠政策。</w:t>
            </w:r>
          </w:p>
          <w:p w14:paraId="01D58B7D">
            <w:pPr>
              <w:autoSpaceDE w:val="0"/>
              <w:autoSpaceDN w:val="0"/>
              <w:adjustRightInd w:val="0"/>
              <w:spacing w:line="360" w:lineRule="auto"/>
              <w:contextualSpacing/>
              <w:rPr>
                <w:rFonts w:ascii="ˎ̥" w:hAnsi="ˎ̥"/>
              </w:rPr>
            </w:pPr>
            <w:r>
              <w:rPr>
                <w:rFonts w:hint="eastAsia" w:ascii="ˎ̥" w:hAnsi="ˎ̥"/>
                <w:lang w:val="en-US" w:eastAsia="zh-CN"/>
              </w:rPr>
              <w:t>6</w:t>
            </w:r>
            <w:r>
              <w:rPr>
                <w:rFonts w:hint="eastAsia" w:ascii="ˎ̥" w:hAnsi="ˎ̥"/>
              </w:rPr>
              <w:t>、提供由省级以上监狱管理局、戒毒管理局（含新疆生产建设兵团）出具的属于监狱企业证明文件的，视同为小型和微型企业。</w:t>
            </w:r>
          </w:p>
          <w:p w14:paraId="723C6913">
            <w:pPr>
              <w:autoSpaceDE w:val="0"/>
              <w:autoSpaceDN w:val="0"/>
              <w:adjustRightInd w:val="0"/>
              <w:spacing w:line="360" w:lineRule="auto"/>
              <w:contextualSpacing/>
              <w:rPr>
                <w:rFonts w:cs="宋体" w:asciiTheme="minorEastAsia" w:hAnsiTheme="minorEastAsia"/>
                <w:b/>
                <w:kern w:val="0"/>
                <w:szCs w:val="21"/>
                <w:lang w:val="zh-CN"/>
              </w:rPr>
            </w:pPr>
            <w:r>
              <w:rPr>
                <w:rFonts w:hint="eastAsia" w:ascii="ˎ̥" w:hAnsi="ˎ̥"/>
                <w:lang w:val="en-US" w:eastAsia="zh-CN"/>
              </w:rPr>
              <w:t>7</w:t>
            </w:r>
            <w:r>
              <w:rPr>
                <w:rFonts w:hint="eastAsia" w:ascii="ˎ̥" w:hAnsi="ˎ̥"/>
              </w:rPr>
              <w:t>、符合享受政府采购支持政策的残疾人福利性单位条件且提供《残疾人福利性单位声明函》的，视同为小型和微型企业。</w:t>
            </w:r>
          </w:p>
        </w:tc>
      </w:tr>
      <w:tr w14:paraId="3F4E8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22DAF4FB">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23</w:t>
            </w:r>
          </w:p>
        </w:tc>
        <w:tc>
          <w:tcPr>
            <w:tcW w:w="2372" w:type="dxa"/>
            <w:vAlign w:val="center"/>
          </w:tcPr>
          <w:p w14:paraId="206C598C">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节能环保要求</w:t>
            </w:r>
          </w:p>
        </w:tc>
        <w:tc>
          <w:tcPr>
            <w:tcW w:w="6709" w:type="dxa"/>
            <w:shd w:val="clear" w:color="auto" w:fill="auto"/>
            <w:vAlign w:val="center"/>
          </w:tcPr>
          <w:p w14:paraId="321511C3">
            <w:pPr>
              <w:autoSpaceDE w:val="0"/>
              <w:autoSpaceDN w:val="0"/>
              <w:adjustRightInd w:val="0"/>
              <w:spacing w:line="360" w:lineRule="auto"/>
              <w:rPr>
                <w:rFonts w:hint="default" w:cs="宋体" w:asciiTheme="minorEastAsia" w:hAnsiTheme="minorEastAsia" w:eastAsiaTheme="minorEastAsia"/>
                <w:bCs/>
                <w:szCs w:val="21"/>
                <w:lang w:val="en-US" w:eastAsia="zh-CN"/>
              </w:rPr>
            </w:pPr>
            <w:r>
              <w:rPr>
                <w:rFonts w:hint="eastAsia" w:cs="宋体" w:asciiTheme="minorEastAsia" w:hAnsiTheme="minorEastAsia"/>
                <w:bCs/>
                <w:szCs w:val="21"/>
                <w:lang w:val="zh-CN"/>
              </w:rPr>
              <w:t>本项目强制节能产品：</w:t>
            </w:r>
            <w:r>
              <w:rPr>
                <w:rFonts w:hint="eastAsia" w:cs="宋体" w:asciiTheme="minorEastAsia" w:hAnsiTheme="minorEastAsia"/>
                <w:bCs/>
                <w:szCs w:val="21"/>
                <w:lang w:val="en-US" w:eastAsia="zh-CN"/>
              </w:rPr>
              <w:t>无</w:t>
            </w:r>
          </w:p>
          <w:p w14:paraId="701DF452">
            <w:pPr>
              <w:autoSpaceDE w:val="0"/>
              <w:autoSpaceDN w:val="0"/>
              <w:adjustRightInd w:val="0"/>
              <w:spacing w:line="360" w:lineRule="auto"/>
              <w:rPr>
                <w:rFonts w:ascii="ˎ̥" w:hAnsi="ˎ̥" w:eastAsiaTheme="minorEastAsia" w:cstheme="minorBidi"/>
                <w:kern w:val="2"/>
                <w:sz w:val="21"/>
                <w:szCs w:val="22"/>
                <w:lang w:val="zh-CN" w:eastAsia="zh-CN" w:bidi="ar-SA"/>
              </w:rPr>
            </w:pPr>
            <w:r>
              <w:rPr>
                <w:rFonts w:hint="eastAsia" w:cs="宋体" w:asciiTheme="minorEastAsia" w:hAnsiTheme="minorEastAsia"/>
                <w:bCs/>
                <w:szCs w:val="21"/>
                <w:lang w:val="zh-CN"/>
              </w:rPr>
              <w:t>执行《财政部 发展改革委 生态环境部 市场监管总局关于调整优化节能产品、环境标志产品政府采购执行机制的通知》（财库〔2019〕9号）、关于印发节能产品政府采购品目清单的通知（财库〔2019〕19号）、关于印发环境标志产品政府采购品目清单的通知（财库〔2019〕18号）、市场监管总局关于发布参与实施政府采购节能产品、环境标志产品认证机构名录的公告（2019年第16号），本次投标产品属于政府强制采购产品的，须提供国家确定的认证机构出具的、处于有效期之内的节能产品认证证书，否则投标无效；属于政府优先采购产品的，须提供国家确定的认证机构出具的、处于有效期之内的节能产品、环境标志产品认证证书，否则不予认定。</w:t>
            </w:r>
          </w:p>
        </w:tc>
      </w:tr>
      <w:tr w14:paraId="3AE89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0615321A">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24</w:t>
            </w:r>
          </w:p>
        </w:tc>
        <w:tc>
          <w:tcPr>
            <w:tcW w:w="2372" w:type="dxa"/>
            <w:vAlign w:val="center"/>
          </w:tcPr>
          <w:p w14:paraId="0A4AA198">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信息安全要求</w:t>
            </w:r>
          </w:p>
        </w:tc>
        <w:tc>
          <w:tcPr>
            <w:tcW w:w="6709" w:type="dxa"/>
            <w:shd w:val="clear" w:color="auto" w:fill="auto"/>
            <w:vAlign w:val="center"/>
          </w:tcPr>
          <w:p w14:paraId="30A0C32B">
            <w:pPr>
              <w:autoSpaceDE w:val="0"/>
              <w:autoSpaceDN w:val="0"/>
              <w:adjustRightInd w:val="0"/>
              <w:spacing w:line="360" w:lineRule="auto"/>
              <w:rPr>
                <w:rFonts w:hint="eastAsia" w:cs="宋体" w:asciiTheme="minorEastAsia" w:hAnsiTheme="minorEastAsia" w:eastAsiaTheme="minorEastAsia"/>
                <w:bCs/>
                <w:szCs w:val="21"/>
                <w:lang w:val="en-US" w:eastAsia="zh-CN"/>
              </w:rPr>
            </w:pPr>
            <w:r>
              <w:rPr>
                <w:rFonts w:hint="eastAsia" w:cs="宋体" w:asciiTheme="minorEastAsia" w:hAnsiTheme="minorEastAsia"/>
                <w:bCs/>
                <w:szCs w:val="21"/>
                <w:lang w:val="en-US" w:eastAsia="zh-CN"/>
              </w:rPr>
              <w:t>1、</w:t>
            </w:r>
            <w:r>
              <w:rPr>
                <w:rFonts w:hint="eastAsia" w:cs="宋体" w:asciiTheme="minorEastAsia" w:hAnsiTheme="minorEastAsia"/>
                <w:bCs/>
                <w:szCs w:val="21"/>
                <w:lang w:val="zh-CN"/>
              </w:rPr>
              <w:t>本项目网络关键设备：</w:t>
            </w:r>
            <w:r>
              <w:rPr>
                <w:rFonts w:hint="eastAsia" w:cs="宋体" w:asciiTheme="minorEastAsia" w:hAnsiTheme="minorEastAsia"/>
                <w:bCs/>
                <w:szCs w:val="21"/>
                <w:lang w:val="en-US" w:eastAsia="zh-CN"/>
              </w:rPr>
              <w:t>无</w:t>
            </w:r>
            <w:r>
              <w:rPr>
                <w:rFonts w:hint="eastAsia" w:cs="宋体" w:asciiTheme="minorEastAsia" w:hAnsiTheme="minorEastAsia"/>
                <w:bCs/>
                <w:szCs w:val="21"/>
                <w:lang w:val="zh-CN"/>
              </w:rPr>
              <w:t>；网络安全专用产品：</w:t>
            </w:r>
            <w:r>
              <w:rPr>
                <w:rFonts w:hint="eastAsia" w:cs="宋体" w:asciiTheme="minorEastAsia" w:hAnsiTheme="minorEastAsia"/>
                <w:bCs/>
                <w:szCs w:val="21"/>
                <w:lang w:val="en-US" w:eastAsia="zh-CN"/>
              </w:rPr>
              <w:t>无</w:t>
            </w:r>
          </w:p>
          <w:p w14:paraId="1A03CE64">
            <w:pPr>
              <w:autoSpaceDE w:val="0"/>
              <w:autoSpaceDN w:val="0"/>
              <w:adjustRightInd w:val="0"/>
              <w:spacing w:line="360" w:lineRule="auto"/>
              <w:rPr>
                <w:rFonts w:hint="eastAsia" w:cs="宋体" w:asciiTheme="minorEastAsia" w:hAnsiTheme="minorEastAsia"/>
                <w:bCs/>
                <w:szCs w:val="21"/>
                <w:lang w:val="zh-CN"/>
              </w:rPr>
            </w:pPr>
            <w:r>
              <w:rPr>
                <w:rFonts w:hint="eastAsia" w:cs="宋体" w:asciiTheme="minorEastAsia" w:hAnsiTheme="minorEastAsia"/>
                <w:bCs/>
                <w:szCs w:val="21"/>
                <w:lang w:val="zh-CN"/>
              </w:rPr>
              <w:t>2、本项目中涉及网络关键设备或网络安全专用产品的，执行国家互联网信息办公室、工业和信息化部、公安部和国家认证认可监督管理委员会 2023 年第 2 号《关于调整&lt;网络关键设备和网络安全专用产品目录&gt;的公告》及国家互联网信息办公室、工业和信息化部、公安部、财政部和国家认证认可监督管理委员会 2023 年第 1 号《关于调整网络安全专用产品安全管理有关事项的公告》等相关文件要求，本次投标（响应）设备或产品至少符合以下条件之一：一是已由具备资格的机构安全认证合格或安全检测符合要求；二是已获得《计算机信息系统安全专用产品销售许可证》，且在有效期内。</w:t>
            </w:r>
          </w:p>
          <w:p w14:paraId="439FBDA0">
            <w:pPr>
              <w:autoSpaceDE w:val="0"/>
              <w:autoSpaceDN w:val="0"/>
              <w:adjustRightInd w:val="0"/>
              <w:spacing w:line="360" w:lineRule="auto"/>
              <w:rPr>
                <w:rFonts w:hint="eastAsia" w:cs="宋体" w:asciiTheme="minorEastAsia" w:hAnsiTheme="minorEastAsia"/>
                <w:bCs/>
                <w:szCs w:val="21"/>
                <w:lang w:val="zh-CN"/>
              </w:rPr>
            </w:pPr>
            <w:r>
              <w:rPr>
                <w:rFonts w:hint="eastAsia" w:cs="宋体" w:asciiTheme="minorEastAsia" w:hAnsiTheme="minorEastAsia"/>
                <w:bCs/>
                <w:szCs w:val="21"/>
                <w:lang w:val="zh-CN"/>
              </w:rPr>
              <w:t>3、提供资料（下列资料任意一项）</w:t>
            </w:r>
          </w:p>
          <w:p w14:paraId="2B6F0338">
            <w:pPr>
              <w:autoSpaceDE w:val="0"/>
              <w:autoSpaceDN w:val="0"/>
              <w:adjustRightInd w:val="0"/>
              <w:spacing w:line="360" w:lineRule="auto"/>
              <w:rPr>
                <w:rFonts w:hint="eastAsia" w:cs="宋体" w:asciiTheme="minorEastAsia" w:hAnsiTheme="minorEastAsia"/>
                <w:bCs/>
                <w:szCs w:val="21"/>
                <w:lang w:val="zh-CN"/>
              </w:rPr>
            </w:pPr>
            <w:r>
              <w:rPr>
                <w:rFonts w:hint="eastAsia" w:cs="宋体" w:asciiTheme="minorEastAsia" w:hAnsiTheme="minorEastAsia"/>
                <w:bCs/>
                <w:szCs w:val="21"/>
                <w:lang w:val="zh-CN"/>
              </w:rPr>
              <w:fldChar w:fldCharType="begin"/>
            </w:r>
            <w:r>
              <w:rPr>
                <w:rFonts w:hint="eastAsia" w:cs="宋体" w:asciiTheme="minorEastAsia" w:hAnsiTheme="minorEastAsia"/>
                <w:bCs/>
                <w:szCs w:val="21"/>
                <w:lang w:val="zh-CN"/>
              </w:rPr>
              <w:instrText xml:space="preserve"> = 1 \* GB3 </w:instrText>
            </w:r>
            <w:r>
              <w:rPr>
                <w:rFonts w:hint="eastAsia" w:cs="宋体" w:asciiTheme="minorEastAsia" w:hAnsiTheme="minorEastAsia"/>
                <w:bCs/>
                <w:szCs w:val="21"/>
                <w:lang w:val="zh-CN"/>
              </w:rPr>
              <w:fldChar w:fldCharType="separate"/>
            </w:r>
            <w:r>
              <w:rPr>
                <w:rFonts w:hint="eastAsia" w:cs="宋体" w:asciiTheme="minorEastAsia" w:hAnsiTheme="minorEastAsia"/>
                <w:bCs/>
                <w:szCs w:val="21"/>
                <w:lang w:val="zh-CN"/>
              </w:rPr>
              <w:t>①</w:t>
            </w:r>
            <w:r>
              <w:rPr>
                <w:rFonts w:hint="eastAsia" w:cs="宋体" w:asciiTheme="minorEastAsia" w:hAnsiTheme="minorEastAsia"/>
                <w:bCs/>
                <w:szCs w:val="21"/>
                <w:lang w:val="zh-CN"/>
              </w:rPr>
              <w:fldChar w:fldCharType="end"/>
            </w:r>
            <w:r>
              <w:rPr>
                <w:rFonts w:hint="eastAsia" w:cs="宋体" w:asciiTheme="minorEastAsia" w:hAnsiTheme="minorEastAsia"/>
                <w:bCs/>
                <w:szCs w:val="21"/>
                <w:lang w:val="zh-CN"/>
              </w:rPr>
              <w:t>网络关键设备和网络安全专用产品安全认证证书；</w:t>
            </w:r>
          </w:p>
          <w:p w14:paraId="359E144C">
            <w:pPr>
              <w:autoSpaceDE w:val="0"/>
              <w:autoSpaceDN w:val="0"/>
              <w:adjustRightInd w:val="0"/>
              <w:spacing w:line="360" w:lineRule="auto"/>
              <w:rPr>
                <w:rFonts w:hint="eastAsia" w:cs="宋体" w:asciiTheme="minorEastAsia" w:hAnsiTheme="minorEastAsia"/>
                <w:bCs/>
                <w:szCs w:val="21"/>
                <w:lang w:val="zh-CN"/>
              </w:rPr>
            </w:pPr>
            <w:r>
              <w:rPr>
                <w:rFonts w:hint="eastAsia" w:cs="宋体" w:asciiTheme="minorEastAsia" w:hAnsiTheme="minorEastAsia"/>
                <w:bCs/>
                <w:szCs w:val="21"/>
                <w:lang w:val="zh-CN"/>
              </w:rPr>
              <w:fldChar w:fldCharType="begin"/>
            </w:r>
            <w:r>
              <w:rPr>
                <w:rFonts w:hint="eastAsia" w:cs="宋体" w:asciiTheme="minorEastAsia" w:hAnsiTheme="minorEastAsia"/>
                <w:bCs/>
                <w:szCs w:val="21"/>
                <w:lang w:val="zh-CN"/>
              </w:rPr>
              <w:instrText xml:space="preserve"> = 2 \* GB3 </w:instrText>
            </w:r>
            <w:r>
              <w:rPr>
                <w:rFonts w:hint="eastAsia" w:cs="宋体" w:asciiTheme="minorEastAsia" w:hAnsiTheme="minorEastAsia"/>
                <w:bCs/>
                <w:szCs w:val="21"/>
                <w:lang w:val="zh-CN"/>
              </w:rPr>
              <w:fldChar w:fldCharType="separate"/>
            </w:r>
            <w:r>
              <w:rPr>
                <w:rFonts w:hint="eastAsia" w:cs="宋体" w:asciiTheme="minorEastAsia" w:hAnsiTheme="minorEastAsia"/>
                <w:bCs/>
                <w:szCs w:val="21"/>
                <w:lang w:val="zh-CN"/>
              </w:rPr>
              <w:t>②</w:t>
            </w:r>
            <w:r>
              <w:rPr>
                <w:rFonts w:hint="eastAsia" w:cs="宋体" w:asciiTheme="minorEastAsia" w:hAnsiTheme="minorEastAsia"/>
                <w:bCs/>
                <w:szCs w:val="21"/>
                <w:lang w:val="zh-CN"/>
              </w:rPr>
              <w:fldChar w:fldCharType="end"/>
            </w:r>
            <w:r>
              <w:rPr>
                <w:rFonts w:hint="eastAsia" w:cs="宋体" w:asciiTheme="minorEastAsia" w:hAnsiTheme="minorEastAsia"/>
                <w:bCs/>
                <w:szCs w:val="21"/>
                <w:lang w:val="zh-CN"/>
              </w:rPr>
              <w:t>网络关键设备安全检测证书、网络安全专用产品安全检测证书；</w:t>
            </w:r>
          </w:p>
          <w:p w14:paraId="448CC62D">
            <w:pPr>
              <w:autoSpaceDE w:val="0"/>
              <w:autoSpaceDN w:val="0"/>
              <w:adjustRightInd w:val="0"/>
              <w:spacing w:line="360" w:lineRule="auto"/>
              <w:rPr>
                <w:rFonts w:hint="eastAsia" w:cs="宋体" w:asciiTheme="minorEastAsia" w:hAnsiTheme="minorEastAsia"/>
                <w:bCs/>
                <w:szCs w:val="21"/>
                <w:lang w:val="zh-CN"/>
              </w:rPr>
            </w:pPr>
            <w:r>
              <w:rPr>
                <w:rFonts w:hint="eastAsia" w:cs="宋体" w:asciiTheme="minorEastAsia" w:hAnsiTheme="minorEastAsia"/>
                <w:bCs/>
                <w:szCs w:val="21"/>
                <w:lang w:val="zh-CN"/>
              </w:rPr>
              <w:fldChar w:fldCharType="begin"/>
            </w:r>
            <w:r>
              <w:rPr>
                <w:rFonts w:hint="eastAsia" w:cs="宋体" w:asciiTheme="minorEastAsia" w:hAnsiTheme="minorEastAsia"/>
                <w:bCs/>
                <w:szCs w:val="21"/>
                <w:lang w:val="zh-CN"/>
              </w:rPr>
              <w:instrText xml:space="preserve"> = 3 \* GB3 </w:instrText>
            </w:r>
            <w:r>
              <w:rPr>
                <w:rFonts w:hint="eastAsia" w:cs="宋体" w:asciiTheme="minorEastAsia" w:hAnsiTheme="minorEastAsia"/>
                <w:bCs/>
                <w:szCs w:val="21"/>
                <w:lang w:val="zh-CN"/>
              </w:rPr>
              <w:fldChar w:fldCharType="separate"/>
            </w:r>
            <w:r>
              <w:rPr>
                <w:rFonts w:hint="eastAsia" w:cs="宋体" w:asciiTheme="minorEastAsia" w:hAnsiTheme="minorEastAsia"/>
                <w:bCs/>
                <w:szCs w:val="21"/>
                <w:lang w:val="zh-CN"/>
              </w:rPr>
              <w:t>③</w:t>
            </w:r>
            <w:r>
              <w:rPr>
                <w:rFonts w:hint="eastAsia" w:cs="宋体" w:asciiTheme="minorEastAsia" w:hAnsiTheme="minorEastAsia"/>
                <w:bCs/>
                <w:szCs w:val="21"/>
                <w:lang w:val="zh-CN"/>
              </w:rPr>
              <w:fldChar w:fldCharType="end"/>
            </w:r>
            <w:r>
              <w:rPr>
                <w:rFonts w:hint="eastAsia" w:cs="宋体" w:asciiTheme="minorEastAsia" w:hAnsiTheme="minorEastAsia"/>
                <w:bCs/>
                <w:szCs w:val="21"/>
                <w:lang w:val="zh-CN"/>
              </w:rPr>
              <w:t>计算机信息系统安全专用产品销售许可证；</w:t>
            </w:r>
          </w:p>
          <w:p w14:paraId="7BD8F773">
            <w:pPr>
              <w:autoSpaceDE w:val="0"/>
              <w:autoSpaceDN w:val="0"/>
              <w:adjustRightInd w:val="0"/>
              <w:spacing w:line="360" w:lineRule="auto"/>
              <w:rPr>
                <w:rFonts w:hint="eastAsia" w:cs="宋体" w:asciiTheme="minorEastAsia" w:hAnsiTheme="minorEastAsia" w:eastAsiaTheme="minorEastAsia"/>
                <w:bCs/>
                <w:kern w:val="2"/>
                <w:sz w:val="21"/>
                <w:szCs w:val="21"/>
                <w:lang w:val="zh-CN" w:eastAsia="zh-CN" w:bidi="ar-SA"/>
              </w:rPr>
            </w:pPr>
            <w:r>
              <w:rPr>
                <w:rFonts w:hint="eastAsia" w:cs="宋体" w:asciiTheme="minorEastAsia" w:hAnsiTheme="minorEastAsia"/>
                <w:bCs/>
                <w:szCs w:val="21"/>
                <w:lang w:val="zh-CN"/>
              </w:rPr>
              <w:fldChar w:fldCharType="begin"/>
            </w:r>
            <w:r>
              <w:rPr>
                <w:rFonts w:hint="eastAsia" w:cs="宋体" w:asciiTheme="minorEastAsia" w:hAnsiTheme="minorEastAsia"/>
                <w:bCs/>
                <w:szCs w:val="21"/>
                <w:lang w:val="zh-CN"/>
              </w:rPr>
              <w:instrText xml:space="preserve"> = 4 \* GB3 </w:instrText>
            </w:r>
            <w:r>
              <w:rPr>
                <w:rFonts w:hint="eastAsia" w:cs="宋体" w:asciiTheme="minorEastAsia" w:hAnsiTheme="minorEastAsia"/>
                <w:bCs/>
                <w:szCs w:val="21"/>
                <w:lang w:val="zh-CN"/>
              </w:rPr>
              <w:fldChar w:fldCharType="separate"/>
            </w:r>
            <w:r>
              <w:rPr>
                <w:rFonts w:hint="eastAsia" w:cs="宋体" w:asciiTheme="minorEastAsia" w:hAnsiTheme="minorEastAsia"/>
                <w:bCs/>
                <w:szCs w:val="21"/>
                <w:lang w:val="zh-CN"/>
              </w:rPr>
              <w:t>④</w:t>
            </w:r>
            <w:r>
              <w:rPr>
                <w:rFonts w:hint="eastAsia" w:cs="宋体" w:asciiTheme="minorEastAsia" w:hAnsiTheme="minorEastAsia"/>
                <w:bCs/>
                <w:szCs w:val="21"/>
                <w:lang w:val="zh-CN"/>
              </w:rPr>
              <w:fldChar w:fldCharType="end"/>
            </w:r>
            <w:r>
              <w:rPr>
                <w:rFonts w:hint="eastAsia" w:cs="宋体" w:asciiTheme="minorEastAsia" w:hAnsiTheme="minorEastAsia"/>
                <w:bCs/>
                <w:szCs w:val="21"/>
                <w:lang w:val="zh-CN"/>
              </w:rPr>
              <w:t>中国网信网或工业和信息化部网站或公安部网站或国家认证认可监督管理委员会网站公布的认证、检测结果（提供公布安全认证、安全检测结果页面网址和安全认证、检测结果截图）。</w:t>
            </w:r>
          </w:p>
        </w:tc>
      </w:tr>
      <w:tr w14:paraId="6E290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1DD16547">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25</w:t>
            </w:r>
          </w:p>
        </w:tc>
        <w:tc>
          <w:tcPr>
            <w:tcW w:w="2372" w:type="dxa"/>
            <w:vAlign w:val="center"/>
          </w:tcPr>
          <w:p w14:paraId="3E9CE9C7">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履约保证金</w:t>
            </w:r>
          </w:p>
        </w:tc>
        <w:tc>
          <w:tcPr>
            <w:tcW w:w="6709" w:type="dxa"/>
            <w:vAlign w:val="center"/>
          </w:tcPr>
          <w:p w14:paraId="123B9B72">
            <w:pPr>
              <w:autoSpaceDE w:val="0"/>
              <w:autoSpaceDN w:val="0"/>
              <w:adjustRightInd w:val="0"/>
              <w:spacing w:line="360" w:lineRule="auto"/>
              <w:rPr>
                <w:rFonts w:cs="宋体" w:asciiTheme="minorEastAsia" w:hAnsiTheme="minorEastAsia"/>
                <w:kern w:val="0"/>
                <w:szCs w:val="21"/>
                <w:lang w:val="zh-CN"/>
              </w:rPr>
            </w:pPr>
            <w:r>
              <w:rPr>
                <w:rFonts w:cs="宋体" w:asciiTheme="minorEastAsia" w:hAnsiTheme="minorEastAsia"/>
                <w:b/>
                <w:kern w:val="0"/>
                <w:szCs w:val="21"/>
                <w:lang w:val="zh-CN"/>
              </w:rPr>
              <w:fldChar w:fldCharType="begin"/>
            </w:r>
            <w:r>
              <w:rPr>
                <w:rFonts w:hint="eastAsia" w:cs="宋体" w:asciiTheme="minorEastAsia" w:hAnsiTheme="minorEastAsia"/>
                <w:b/>
                <w:kern w:val="0"/>
                <w:szCs w:val="21"/>
                <w:lang w:val="zh-CN"/>
              </w:rPr>
              <w:instrText xml:space="preserve">eq \o\ac(□,</w:instrText>
            </w:r>
            <w:r>
              <w:rPr>
                <w:rFonts w:hint="eastAsia" w:cs="宋体" w:asciiTheme="minorEastAsia" w:hAnsiTheme="minorEastAsia"/>
                <w:b/>
                <w:kern w:val="0"/>
                <w:position w:val="2"/>
                <w:szCs w:val="21"/>
                <w:lang w:val="zh-CN"/>
              </w:rPr>
              <w:instrText xml:space="preserve">√</w:instrText>
            </w:r>
            <w:r>
              <w:rPr>
                <w:rFonts w:hint="eastAsia" w:cs="宋体" w:asciiTheme="minorEastAsia" w:hAnsiTheme="minorEastAsia"/>
                <w:b/>
                <w:kern w:val="0"/>
                <w:szCs w:val="21"/>
                <w:lang w:val="zh-CN"/>
              </w:rPr>
              <w:instrText xml:space="preserve">)</w:instrText>
            </w:r>
            <w:r>
              <w:rPr>
                <w:rFonts w:cs="宋体" w:asciiTheme="minorEastAsia" w:hAnsiTheme="minorEastAsia"/>
                <w:b/>
                <w:kern w:val="0"/>
                <w:szCs w:val="21"/>
                <w:lang w:val="zh-CN"/>
              </w:rPr>
              <w:fldChar w:fldCharType="end"/>
            </w:r>
            <w:r>
              <w:rPr>
                <w:rFonts w:hint="eastAsia" w:cs="宋体" w:asciiTheme="minorEastAsia" w:hAnsiTheme="minorEastAsia"/>
                <w:bCs/>
                <w:szCs w:val="21"/>
                <w:lang w:val="zh-CN"/>
              </w:rPr>
              <w:t>无要求</w:t>
            </w:r>
          </w:p>
          <w:p w14:paraId="6564B784">
            <w:pPr>
              <w:autoSpaceDE w:val="0"/>
              <w:autoSpaceDN w:val="0"/>
              <w:adjustRightInd w:val="0"/>
              <w:spacing w:line="360" w:lineRule="auto"/>
              <w:rPr>
                <w:rFonts w:cs="宋体" w:asciiTheme="minorEastAsia" w:hAnsiTheme="minorEastAsia"/>
                <w:bCs/>
                <w:szCs w:val="21"/>
                <w:lang w:val="zh-CN"/>
              </w:rPr>
            </w:pPr>
            <w:r>
              <w:rPr>
                <w:rFonts w:hint="eastAsia" w:cs="宋体" w:asciiTheme="minorEastAsia" w:hAnsiTheme="minorEastAsia"/>
                <w:b/>
                <w:bCs/>
                <w:szCs w:val="21"/>
                <w:lang w:val="zh-CN"/>
              </w:rPr>
              <w:t>□</w:t>
            </w:r>
            <w:r>
              <w:rPr>
                <w:rFonts w:hint="eastAsia" w:cs="宋体" w:asciiTheme="minorEastAsia" w:hAnsiTheme="minorEastAsia"/>
                <w:szCs w:val="21"/>
              </w:rPr>
              <w:t>要求提交。</w:t>
            </w:r>
            <w:r>
              <w:rPr>
                <w:rFonts w:hint="eastAsia" w:ascii="ˎ̥" w:hAnsi="ˎ̥"/>
              </w:rPr>
              <w:t>履约保证金的数额为合同金额的%（不超过政府采购合同金额的10%）</w:t>
            </w:r>
            <w:r>
              <w:rPr>
                <w:rFonts w:hint="eastAsia" w:cs="宋体" w:asciiTheme="minorEastAsia" w:hAnsiTheme="minorEastAsia"/>
                <w:bCs/>
                <w:szCs w:val="21"/>
                <w:lang w:val="zh-CN"/>
              </w:rPr>
              <w:t>。</w:t>
            </w:r>
            <w:r>
              <w:rPr>
                <w:rFonts w:hint="eastAsia" w:cs="宋体" w:asciiTheme="minorEastAsia" w:hAnsiTheme="minorEastAsia"/>
                <w:szCs w:val="21"/>
              </w:rPr>
              <w:t>中标人以支票、汇票、本票或者金融机构、担保机构出具的保函等非现金形式向采购人提交。</w:t>
            </w:r>
          </w:p>
        </w:tc>
      </w:tr>
      <w:tr w14:paraId="67B04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806" w:type="dxa"/>
            <w:vAlign w:val="center"/>
          </w:tcPr>
          <w:p w14:paraId="58B3D87B">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26</w:t>
            </w:r>
          </w:p>
        </w:tc>
        <w:tc>
          <w:tcPr>
            <w:tcW w:w="2372" w:type="dxa"/>
            <w:vAlign w:val="center"/>
          </w:tcPr>
          <w:p w14:paraId="5D20E9C7">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代理服务费</w:t>
            </w:r>
          </w:p>
        </w:tc>
        <w:tc>
          <w:tcPr>
            <w:tcW w:w="6709" w:type="dxa"/>
            <w:vAlign w:val="center"/>
          </w:tcPr>
          <w:p w14:paraId="6AC3D994">
            <w:pPr>
              <w:autoSpaceDE w:val="0"/>
              <w:autoSpaceDN w:val="0"/>
              <w:spacing w:line="360" w:lineRule="auto"/>
              <w:contextualSpacing/>
              <w:rPr>
                <w:rFonts w:cs="宋体" w:asciiTheme="minorEastAsia" w:hAnsiTheme="minorEastAsia"/>
                <w:bCs/>
                <w:szCs w:val="21"/>
                <w:lang w:val="zh-CN"/>
              </w:rPr>
            </w:pPr>
            <w:r>
              <w:rPr>
                <w:rFonts w:hint="eastAsia" w:cs="宋体" w:asciiTheme="minorEastAsia" w:hAnsiTheme="minorEastAsia"/>
                <w:bCs/>
                <w:szCs w:val="21"/>
                <w:lang w:val="zh-CN"/>
              </w:rPr>
              <w:t>不收取</w:t>
            </w:r>
          </w:p>
        </w:tc>
      </w:tr>
      <w:tr w14:paraId="559AF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07BCAAC9">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27</w:t>
            </w:r>
          </w:p>
        </w:tc>
        <w:tc>
          <w:tcPr>
            <w:tcW w:w="2372" w:type="dxa"/>
            <w:vAlign w:val="center"/>
          </w:tcPr>
          <w:p w14:paraId="3654A18F">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授权函</w:t>
            </w:r>
          </w:p>
        </w:tc>
        <w:tc>
          <w:tcPr>
            <w:tcW w:w="6709" w:type="dxa"/>
            <w:vAlign w:val="center"/>
          </w:tcPr>
          <w:p w14:paraId="21CB6F22">
            <w:pPr>
              <w:autoSpaceDE w:val="0"/>
              <w:autoSpaceDN w:val="0"/>
              <w:adjustRightInd w:val="0"/>
              <w:spacing w:line="360" w:lineRule="auto"/>
              <w:rPr>
                <w:rFonts w:cs="宋体" w:asciiTheme="minorEastAsia" w:hAnsiTheme="minorEastAsia"/>
                <w:bCs/>
                <w:szCs w:val="21"/>
                <w:lang w:val="zh-CN"/>
              </w:rPr>
            </w:pPr>
            <w:r>
              <w:rPr>
                <w:rFonts w:hint="eastAsia" w:cs="仿宋_GB2312" w:asciiTheme="minorEastAsia" w:hAnsiTheme="minorEastAsia"/>
                <w:szCs w:val="21"/>
                <w:lang w:val="zh-CN"/>
              </w:rPr>
              <w:t>采购单位委派代表参加资格审</w:t>
            </w:r>
            <w:r>
              <w:rPr>
                <w:rFonts w:hint="eastAsia" w:ascii="新宋体" w:hAnsi="新宋体" w:eastAsia="新宋体"/>
                <w:szCs w:val="21"/>
              </w:rPr>
              <w:t>查、</w:t>
            </w:r>
            <w:r>
              <w:rPr>
                <w:rFonts w:hint="eastAsia" w:cs="仿宋_GB2312" w:asciiTheme="minorEastAsia" w:hAnsiTheme="minorEastAsia"/>
                <w:szCs w:val="21"/>
                <w:lang w:val="zh-CN"/>
              </w:rPr>
              <w:t>评审委员会的，须向采购代理机构出具授权函。除授权代表外，采购单位委派纪检监察人员对评标过程实施监督的须进入禹州市公共资源交易中心九楼电子监督室，并向采购代理机构出具授权函，且不得超过2人。</w:t>
            </w:r>
          </w:p>
        </w:tc>
      </w:tr>
      <w:tr w14:paraId="68B9D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2095FBDF">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28</w:t>
            </w:r>
          </w:p>
        </w:tc>
        <w:tc>
          <w:tcPr>
            <w:tcW w:w="2372" w:type="dxa"/>
            <w:vAlign w:val="center"/>
          </w:tcPr>
          <w:p w14:paraId="61D1B157">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电子化采购模式</w:t>
            </w:r>
          </w:p>
        </w:tc>
        <w:tc>
          <w:tcPr>
            <w:tcW w:w="6709" w:type="dxa"/>
            <w:vAlign w:val="center"/>
          </w:tcPr>
          <w:p w14:paraId="53E91C7D">
            <w:pPr>
              <w:autoSpaceDE w:val="0"/>
              <w:autoSpaceDN w:val="0"/>
              <w:adjustRightInd w:val="0"/>
              <w:spacing w:line="360" w:lineRule="auto"/>
              <w:contextualSpacing/>
              <w:rPr>
                <w:rFonts w:hAnsi="宋体" w:cs="宋体"/>
                <w:szCs w:val="21"/>
                <w:lang w:val="zh-CN"/>
              </w:rPr>
            </w:pPr>
            <w:r>
              <w:rPr>
                <w:rFonts w:cs="宋体" w:asciiTheme="minorEastAsia" w:hAnsiTheme="minorEastAsia"/>
                <w:b/>
                <w:kern w:val="0"/>
                <w:szCs w:val="21"/>
                <w:lang w:val="zh-CN"/>
              </w:rPr>
              <w:fldChar w:fldCharType="begin"/>
            </w:r>
            <w:r>
              <w:rPr>
                <w:rFonts w:hint="eastAsia" w:cs="宋体" w:asciiTheme="minorEastAsia" w:hAnsiTheme="minorEastAsia"/>
                <w:b/>
                <w:kern w:val="0"/>
                <w:szCs w:val="21"/>
                <w:lang w:val="zh-CN"/>
              </w:rPr>
              <w:instrText xml:space="preserve">eq \o\ac(□,</w:instrText>
            </w:r>
            <w:r>
              <w:rPr>
                <w:rFonts w:hint="eastAsia" w:cs="宋体" w:asciiTheme="minorEastAsia" w:hAnsiTheme="minorEastAsia"/>
                <w:b/>
                <w:kern w:val="0"/>
                <w:position w:val="2"/>
                <w:szCs w:val="21"/>
                <w:lang w:val="zh-CN"/>
              </w:rPr>
              <w:instrText xml:space="preserve">√</w:instrText>
            </w:r>
            <w:r>
              <w:rPr>
                <w:rFonts w:hint="eastAsia" w:cs="宋体" w:asciiTheme="minorEastAsia" w:hAnsiTheme="minorEastAsia"/>
                <w:b/>
                <w:kern w:val="0"/>
                <w:szCs w:val="21"/>
                <w:lang w:val="zh-CN"/>
              </w:rPr>
              <w:instrText xml:space="preserve">)</w:instrText>
            </w:r>
            <w:r>
              <w:rPr>
                <w:rFonts w:cs="宋体" w:asciiTheme="minorEastAsia" w:hAnsiTheme="minorEastAsia"/>
                <w:b/>
                <w:kern w:val="0"/>
                <w:szCs w:val="21"/>
                <w:lang w:val="zh-CN"/>
              </w:rPr>
              <w:fldChar w:fldCharType="end"/>
            </w:r>
            <w:r>
              <w:rPr>
                <w:rFonts w:hint="eastAsia" w:cs="宋体" w:asciiTheme="minorEastAsia" w:hAnsiTheme="minorEastAsia"/>
                <w:bCs/>
                <w:szCs w:val="21"/>
                <w:lang w:val="zh-CN"/>
              </w:rPr>
              <w:t>是。</w:t>
            </w:r>
            <w:r>
              <w:rPr>
                <w:rFonts w:hint="eastAsia" w:hAnsi="宋体" w:cs="宋体"/>
                <w:szCs w:val="21"/>
                <w:lang w:val="zh-CN"/>
              </w:rPr>
              <w:t>投标人投标时须成功上传、解密电子投标文件。投标人资质、业绩、荣誉及相关人员证明材料等资料原件不再提交（本招标文件第六章另有要求提供原件的除外）。</w:t>
            </w:r>
          </w:p>
          <w:p w14:paraId="3A59C8E1">
            <w:pPr>
              <w:autoSpaceDE w:val="0"/>
              <w:autoSpaceDN w:val="0"/>
              <w:adjustRightInd w:val="0"/>
              <w:spacing w:line="360" w:lineRule="auto"/>
              <w:contextualSpacing/>
              <w:rPr>
                <w:rFonts w:cs="宋体" w:asciiTheme="minorEastAsia" w:hAnsiTheme="minorEastAsia"/>
                <w:bCs/>
                <w:szCs w:val="21"/>
                <w:lang w:val="zh-CN"/>
              </w:rPr>
            </w:pPr>
            <w:r>
              <w:rPr>
                <w:rFonts w:hint="eastAsia" w:hAnsi="宋体" w:cs="宋体"/>
                <w:szCs w:val="21"/>
                <w:lang w:val="zh-CN"/>
              </w:rPr>
              <w:t>□否。投标人投标时须提供纸质投标文件。投标人资质、业绩、荣誉及相关人员证明材料等资料原件根据招标文件要求提供。</w:t>
            </w:r>
          </w:p>
        </w:tc>
      </w:tr>
      <w:tr w14:paraId="7296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1C46156B">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szCs w:val="21"/>
              </w:rPr>
              <w:t>29</w:t>
            </w:r>
          </w:p>
        </w:tc>
        <w:tc>
          <w:tcPr>
            <w:tcW w:w="2372" w:type="dxa"/>
            <w:vAlign w:val="center"/>
          </w:tcPr>
          <w:p w14:paraId="636D939C">
            <w:pPr>
              <w:autoSpaceDE w:val="0"/>
              <w:autoSpaceDN w:val="0"/>
              <w:adjustRightInd w:val="0"/>
              <w:spacing w:line="360" w:lineRule="auto"/>
              <w:jc w:val="center"/>
              <w:rPr>
                <w:rFonts w:cs="宋体" w:asciiTheme="minorEastAsia" w:hAnsiTheme="minorEastAsia"/>
                <w:bCs/>
                <w:szCs w:val="21"/>
                <w:lang w:val="zh-CN"/>
              </w:rPr>
            </w:pPr>
            <w:r>
              <w:rPr>
                <w:rFonts w:hint="eastAsia" w:cs="宋体" w:asciiTheme="minorEastAsia" w:hAnsiTheme="minorEastAsia"/>
                <w:bCs/>
                <w:szCs w:val="21"/>
                <w:lang w:val="zh-CN"/>
              </w:rPr>
              <w:t>特别提示</w:t>
            </w:r>
          </w:p>
        </w:tc>
        <w:tc>
          <w:tcPr>
            <w:tcW w:w="6709" w:type="dxa"/>
            <w:vAlign w:val="center"/>
          </w:tcPr>
          <w:p w14:paraId="477055BB">
            <w:pPr>
              <w:autoSpaceDE w:val="0"/>
              <w:autoSpaceDN w:val="0"/>
              <w:adjustRightInd w:val="0"/>
              <w:spacing w:line="360" w:lineRule="auto"/>
              <w:contextualSpacing/>
              <w:rPr>
                <w:rFonts w:ascii="ˎ̥" w:hAnsi="ˎ̥"/>
              </w:rPr>
            </w:pPr>
            <w:r>
              <w:rPr>
                <w:rFonts w:hint="eastAsia" w:ascii="ˎ̥" w:hAnsi="ˎ̥"/>
              </w:rPr>
              <w:t>按照《关于推进全流程电子化交易和在线监管工作有关问题的通知》（许公管办[2019]3号）规定：</w:t>
            </w:r>
          </w:p>
          <w:p w14:paraId="30FBF47B">
            <w:pPr>
              <w:autoSpaceDE w:val="0"/>
              <w:autoSpaceDN w:val="0"/>
              <w:adjustRightInd w:val="0"/>
              <w:spacing w:line="360" w:lineRule="auto"/>
              <w:contextualSpacing/>
              <w:rPr>
                <w:rFonts w:ascii="ˎ̥" w:hAnsi="ˎ̥"/>
              </w:rPr>
            </w:pPr>
            <w:r>
              <w:rPr>
                <w:rFonts w:hint="eastAsia" w:ascii="ˎ̥" w:hAnsi="ˎ̥"/>
              </w:rPr>
              <w:t>不同供应商电子投标文件制作硬件特征码（网卡MAC地址、CPU序号、硬盘序列号）均一致时，视为‘</w:t>
            </w:r>
            <w:r>
              <w:rPr>
                <w:rFonts w:ascii="ˎ̥" w:hAnsi="ˎ̥"/>
              </w:rPr>
              <w:t>不同</w:t>
            </w:r>
            <w:r>
              <w:rPr>
                <w:rFonts w:hint="eastAsia" w:ascii="ˎ̥" w:hAnsi="ˎ̥"/>
              </w:rPr>
              <w:t>投标人的投标</w:t>
            </w:r>
            <w:r>
              <w:rPr>
                <w:rFonts w:ascii="ˎ̥" w:hAnsi="ˎ̥"/>
              </w:rPr>
              <w:t>文件由同一单位或者个人编制</w:t>
            </w:r>
            <w:r>
              <w:rPr>
                <w:rFonts w:hint="eastAsia" w:ascii="ˎ̥" w:hAnsi="ˎ̥"/>
              </w:rPr>
              <w:t>’或‘</w:t>
            </w:r>
            <w:r>
              <w:rPr>
                <w:rFonts w:ascii="ˎ̥" w:hAnsi="ˎ̥"/>
              </w:rPr>
              <w:t>不同</w:t>
            </w:r>
            <w:r>
              <w:rPr>
                <w:rFonts w:hint="eastAsia" w:ascii="ˎ̥" w:hAnsi="ˎ̥"/>
              </w:rPr>
              <w:t>投标人</w:t>
            </w:r>
            <w:r>
              <w:rPr>
                <w:rFonts w:ascii="ˎ̥" w:hAnsi="ˎ̥"/>
              </w:rPr>
              <w:t>委托同一单位或者个人办理</w:t>
            </w:r>
            <w:r>
              <w:rPr>
                <w:rFonts w:hint="eastAsia" w:ascii="ˎ̥" w:hAnsi="ˎ̥"/>
              </w:rPr>
              <w:t>响应</w:t>
            </w:r>
            <w:r>
              <w:rPr>
                <w:rFonts w:ascii="ˎ̥" w:hAnsi="ˎ̥"/>
              </w:rPr>
              <w:t>事宜</w:t>
            </w:r>
            <w:r>
              <w:rPr>
                <w:rFonts w:hint="eastAsia" w:ascii="ˎ̥" w:hAnsi="ˎ̥"/>
              </w:rPr>
              <w:t>’，其投标无效。</w:t>
            </w:r>
          </w:p>
          <w:p w14:paraId="052ADB53">
            <w:pPr>
              <w:autoSpaceDE w:val="0"/>
              <w:autoSpaceDN w:val="0"/>
              <w:adjustRightInd w:val="0"/>
              <w:spacing w:line="360" w:lineRule="auto"/>
              <w:contextualSpacing/>
              <w:rPr>
                <w:rFonts w:cs="宋体" w:asciiTheme="minorEastAsia" w:hAnsiTheme="minorEastAsia"/>
                <w:b/>
                <w:kern w:val="0"/>
                <w:szCs w:val="21"/>
                <w:lang w:val="zh-CN"/>
              </w:rPr>
            </w:pPr>
            <w:r>
              <w:rPr>
                <w:rFonts w:hint="eastAsia" w:ascii="ˎ̥" w:hAnsi="ˎ̥"/>
              </w:rPr>
              <w:t>评审专家应严格按照要求查看“硬件特征码”相关信息并进行评审，在评审报告中显示“不同投标人电子投标文件制作硬件特征码”是否雷同的分析及判定结果。</w:t>
            </w:r>
          </w:p>
        </w:tc>
      </w:tr>
      <w:tr w14:paraId="08D58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vAlign w:val="center"/>
          </w:tcPr>
          <w:p w14:paraId="54E45AE9">
            <w:pPr>
              <w:autoSpaceDE w:val="0"/>
              <w:autoSpaceDN w:val="0"/>
              <w:adjustRightInd w:val="0"/>
              <w:spacing w:line="276" w:lineRule="auto"/>
              <w:jc w:val="center"/>
              <w:rPr>
                <w:rFonts w:cs="黑体" w:asciiTheme="minorEastAsia" w:hAnsiTheme="minorEastAsia"/>
                <w:szCs w:val="21"/>
              </w:rPr>
            </w:pPr>
            <w:r>
              <w:rPr>
                <w:rFonts w:hint="eastAsia" w:cs="黑体" w:asciiTheme="minorEastAsia" w:hAnsiTheme="minorEastAsia"/>
                <w:color w:val="FF0000"/>
                <w:szCs w:val="21"/>
              </w:rPr>
              <w:t>30</w:t>
            </w:r>
          </w:p>
        </w:tc>
        <w:tc>
          <w:tcPr>
            <w:tcW w:w="2372" w:type="dxa"/>
            <w:vAlign w:val="center"/>
          </w:tcPr>
          <w:p w14:paraId="16579E17">
            <w:pPr>
              <w:autoSpaceDE w:val="0"/>
              <w:autoSpaceDN w:val="0"/>
              <w:adjustRightInd w:val="0"/>
              <w:spacing w:line="276" w:lineRule="auto"/>
              <w:jc w:val="center"/>
              <w:rPr>
                <w:rFonts w:cs="仿宋_GB2312" w:asciiTheme="minorEastAsia" w:hAnsiTheme="minorEastAsia"/>
                <w:szCs w:val="21"/>
              </w:rPr>
            </w:pPr>
            <w:r>
              <w:rPr>
                <w:rFonts w:hint="eastAsia" w:cs="仿宋_GB2312" w:asciiTheme="minorEastAsia" w:hAnsiTheme="minorEastAsia"/>
                <w:color w:val="FF0000"/>
                <w:szCs w:val="21"/>
              </w:rPr>
              <w:t>投标人资格核验</w:t>
            </w:r>
          </w:p>
        </w:tc>
        <w:tc>
          <w:tcPr>
            <w:tcW w:w="6709" w:type="dxa"/>
            <w:vAlign w:val="center"/>
          </w:tcPr>
          <w:p w14:paraId="04668EC4">
            <w:pPr>
              <w:autoSpaceDE w:val="0"/>
              <w:autoSpaceDN w:val="0"/>
              <w:adjustRightInd w:val="0"/>
              <w:spacing w:line="360" w:lineRule="auto"/>
              <w:ind w:right="-11"/>
              <w:rPr>
                <w:rFonts w:ascii="ˎ̥" w:hAnsi="ˎ̥"/>
                <w:color w:val="FF0000"/>
              </w:rPr>
            </w:pPr>
            <w:r>
              <w:rPr>
                <w:rFonts w:hint="eastAsia" w:ascii="ˎ̥" w:hAnsi="ˎ̥"/>
                <w:color w:val="FF0000"/>
              </w:rPr>
              <w:t>供应商在中标后，应将由《禹州市政府采购供应商信用承诺函》替代的证明材料提交采购人核验，经核验无误后，禹州市政府采购中心发出中标通知书。</w:t>
            </w:r>
          </w:p>
          <w:p w14:paraId="63C08D1D">
            <w:pPr>
              <w:autoSpaceDE w:val="0"/>
              <w:autoSpaceDN w:val="0"/>
              <w:adjustRightInd w:val="0"/>
              <w:spacing w:line="360" w:lineRule="auto"/>
              <w:ind w:right="-11"/>
              <w:rPr>
                <w:rFonts w:cs="宋体" w:asciiTheme="minorEastAsia" w:hAnsiTheme="minorEastAsia"/>
                <w:b/>
                <w:bCs/>
                <w:szCs w:val="21"/>
                <w:lang w:val="zh-CN"/>
              </w:rPr>
            </w:pPr>
            <w:r>
              <w:rPr>
                <w:rFonts w:hint="eastAsia" w:cs="宋体" w:asciiTheme="minorEastAsia" w:hAnsiTheme="minorEastAsia"/>
                <w:b/>
                <w:bCs/>
                <w:szCs w:val="21"/>
                <w:lang w:val="zh-CN"/>
              </w:rPr>
              <w:t>一、</w:t>
            </w:r>
            <w:r>
              <w:rPr>
                <w:rFonts w:cs="宋体" w:asciiTheme="minorEastAsia" w:hAnsiTheme="minorEastAsia"/>
                <w:b/>
                <w:bCs/>
                <w:szCs w:val="21"/>
                <w:lang w:val="zh-CN"/>
              </w:rPr>
              <w:t>法人或者其他组织的营业执照等证明文件，自然人的身份证明</w:t>
            </w:r>
          </w:p>
          <w:p w14:paraId="019F3AFB">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1、企业法人营业执照或营业执照。（企业投标提供）</w:t>
            </w:r>
          </w:p>
          <w:p w14:paraId="31A524CC">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2、事业单位法人证书。（事业单位投标提供）</w:t>
            </w:r>
          </w:p>
          <w:p w14:paraId="68509F4D">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3、执业许可证。（非企业专业服务机构投标提供）</w:t>
            </w:r>
          </w:p>
          <w:p w14:paraId="0957214D">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4、个体工商户营业执照。（个体工商户投标提供）</w:t>
            </w:r>
          </w:p>
          <w:p w14:paraId="6AE8437F">
            <w:pPr>
              <w:autoSpaceDE w:val="0"/>
              <w:autoSpaceDN w:val="0"/>
              <w:adjustRightInd w:val="0"/>
              <w:spacing w:line="360" w:lineRule="auto"/>
              <w:jc w:val="left"/>
              <w:rPr>
                <w:rFonts w:cs="宋体" w:asciiTheme="minorEastAsia" w:hAnsiTheme="minorEastAsia"/>
                <w:bCs/>
                <w:szCs w:val="21"/>
                <w:lang w:val="zh-CN"/>
              </w:rPr>
            </w:pPr>
            <w:r>
              <w:rPr>
                <w:rFonts w:hint="eastAsia" w:cs="宋体" w:asciiTheme="minorEastAsia" w:hAnsiTheme="minorEastAsia"/>
                <w:bCs/>
                <w:szCs w:val="21"/>
                <w:lang w:val="zh-CN"/>
              </w:rPr>
              <w:t>5、自然人身份证明。（自然人投标提供）</w:t>
            </w:r>
          </w:p>
          <w:p w14:paraId="48B8D276">
            <w:pPr>
              <w:autoSpaceDE w:val="0"/>
              <w:autoSpaceDN w:val="0"/>
              <w:adjustRightInd w:val="0"/>
              <w:spacing w:line="360" w:lineRule="auto"/>
              <w:jc w:val="left"/>
              <w:rPr>
                <w:rFonts w:cs="宋体" w:asciiTheme="minorEastAsia" w:hAnsiTheme="minorEastAsia"/>
                <w:bCs/>
                <w:szCs w:val="21"/>
                <w:lang w:val="zh-CN"/>
              </w:rPr>
            </w:pPr>
            <w:r>
              <w:rPr>
                <w:rFonts w:hint="eastAsia" w:cs="宋体" w:asciiTheme="minorEastAsia" w:hAnsiTheme="minorEastAsia"/>
                <w:bCs/>
                <w:szCs w:val="21"/>
                <w:lang w:val="zh-CN"/>
              </w:rPr>
              <w:t>6、民办非企业单位登记证书。（民办非企业单位投标提供）</w:t>
            </w:r>
          </w:p>
          <w:p w14:paraId="23D37278">
            <w:pPr>
              <w:autoSpaceDE w:val="0"/>
              <w:autoSpaceDN w:val="0"/>
              <w:adjustRightInd w:val="0"/>
              <w:spacing w:line="360" w:lineRule="auto"/>
              <w:jc w:val="left"/>
              <w:rPr>
                <w:rFonts w:cs="仿宋_GB2312" w:asciiTheme="minorEastAsia" w:hAnsiTheme="minorEastAsia"/>
                <w:b/>
                <w:szCs w:val="21"/>
              </w:rPr>
            </w:pPr>
            <w:r>
              <w:rPr>
                <w:rFonts w:hint="eastAsia" w:cs="仿宋_GB2312" w:asciiTheme="minorEastAsia" w:hAnsiTheme="minorEastAsia"/>
                <w:b/>
                <w:szCs w:val="21"/>
              </w:rPr>
              <w:t>二、财务状况报告相关材料</w:t>
            </w:r>
          </w:p>
          <w:p w14:paraId="3E1BAB79">
            <w:pPr>
              <w:spacing w:line="360" w:lineRule="auto"/>
              <w:rPr>
                <w:rFonts w:asciiTheme="minorEastAsia" w:hAnsiTheme="minorEastAsia"/>
                <w:bCs/>
                <w:szCs w:val="21"/>
              </w:rPr>
            </w:pPr>
            <w:r>
              <w:rPr>
                <w:rFonts w:hint="eastAsia" w:asciiTheme="minorEastAsia" w:hAnsiTheme="minorEastAsia"/>
                <w:bCs/>
                <w:szCs w:val="21"/>
              </w:rPr>
              <w:t>1、投标人是法人（法人包括企业法人、机关法人、事业单位法人和社会团体法人），提供本单位：</w:t>
            </w:r>
          </w:p>
          <w:p w14:paraId="341DEA9E">
            <w:pPr>
              <w:spacing w:line="360" w:lineRule="auto"/>
              <w:rPr>
                <w:rFonts w:asciiTheme="minorEastAsia" w:hAnsiTheme="minorEastAsia"/>
                <w:bCs/>
                <w:szCs w:val="21"/>
              </w:rPr>
            </w:pPr>
            <w:r>
              <w:rPr>
                <w:rFonts w:hint="eastAsia" w:asciiTheme="minorEastAsia" w:hAnsiTheme="minorEastAsia"/>
                <w:bCs/>
                <w:szCs w:val="21"/>
              </w:rPr>
              <w:t>①</w:t>
            </w:r>
            <w:r>
              <w:rPr>
                <w:rFonts w:hint="eastAsia" w:asciiTheme="minorEastAsia" w:hAnsiTheme="minorEastAsia"/>
                <w:b/>
                <w:bCs/>
                <w:szCs w:val="21"/>
              </w:rPr>
              <w:t>202</w:t>
            </w:r>
            <w:r>
              <w:rPr>
                <w:rFonts w:hint="eastAsia" w:asciiTheme="minorEastAsia" w:hAnsiTheme="minorEastAsia"/>
                <w:b/>
                <w:bCs/>
                <w:szCs w:val="21"/>
                <w:lang w:val="en-US" w:eastAsia="zh-CN"/>
              </w:rPr>
              <w:t>4</w:t>
            </w:r>
            <w:r>
              <w:rPr>
                <w:rFonts w:hint="eastAsia" w:asciiTheme="minorEastAsia" w:hAnsiTheme="minorEastAsia"/>
                <w:b/>
                <w:bCs/>
                <w:szCs w:val="21"/>
              </w:rPr>
              <w:t>年度经审计的财务报告</w:t>
            </w:r>
            <w:r>
              <w:rPr>
                <w:rFonts w:hint="eastAsia" w:asciiTheme="minorEastAsia" w:hAnsiTheme="minorEastAsia"/>
                <w:bCs/>
                <w:szCs w:val="21"/>
              </w:rPr>
              <w:t>，包括资产负债表、利润表、现金流量表、所有者权益变动表及其附注；</w:t>
            </w:r>
          </w:p>
          <w:p w14:paraId="59AD04D4">
            <w:pPr>
              <w:spacing w:line="360" w:lineRule="auto"/>
              <w:rPr>
                <w:rFonts w:asciiTheme="minorEastAsia" w:hAnsiTheme="minorEastAsia"/>
                <w:bCs/>
                <w:szCs w:val="21"/>
              </w:rPr>
            </w:pPr>
            <w:r>
              <w:rPr>
                <w:rFonts w:hint="eastAsia" w:asciiTheme="minorEastAsia" w:hAnsiTheme="minorEastAsia"/>
                <w:bCs/>
                <w:szCs w:val="21"/>
              </w:rPr>
              <w:t>②基本开户银行出具的资信证明；</w:t>
            </w:r>
          </w:p>
          <w:p w14:paraId="505CE1BE">
            <w:pPr>
              <w:spacing w:line="360" w:lineRule="auto"/>
              <w:rPr>
                <w:rFonts w:asciiTheme="minorEastAsia" w:hAnsiTheme="minorEastAsia"/>
                <w:bCs/>
                <w:szCs w:val="21"/>
              </w:rPr>
            </w:pPr>
            <w:r>
              <w:rPr>
                <w:rFonts w:hint="eastAsia" w:asciiTheme="minorEastAsia" w:hAnsiTheme="minorEastAsia"/>
                <w:bCs/>
                <w:szCs w:val="21"/>
              </w:rPr>
              <w:t>③财政部门认可的政府采购专业担保机构的证明文件和担保机构出具的投标担保函。</w:t>
            </w:r>
          </w:p>
          <w:p w14:paraId="31AFB183">
            <w:pPr>
              <w:spacing w:line="360" w:lineRule="auto"/>
              <w:rPr>
                <w:rFonts w:asciiTheme="minorEastAsia" w:hAnsiTheme="minorEastAsia"/>
                <w:bCs/>
                <w:szCs w:val="21"/>
              </w:rPr>
            </w:pPr>
            <w:r>
              <w:rPr>
                <w:rFonts w:hint="eastAsia" w:ascii="楷体" w:hAnsi="楷体" w:eastAsia="楷体" w:cs="仿宋_GB2312"/>
                <w:sz w:val="24"/>
                <w:szCs w:val="24"/>
                <w:lang w:val="zh-CN"/>
              </w:rPr>
              <w:t>注：仅需提供序号</w:t>
            </w:r>
            <w:r>
              <w:rPr>
                <w:rFonts w:hint="eastAsia" w:ascii="楷体" w:hAnsi="楷体" w:eastAsia="楷体"/>
                <w:sz w:val="24"/>
                <w:szCs w:val="24"/>
              </w:rPr>
              <w:t>①～③其中之一即可。</w:t>
            </w:r>
          </w:p>
          <w:p w14:paraId="1B3EB113">
            <w:pPr>
              <w:spacing w:line="360" w:lineRule="auto"/>
              <w:rPr>
                <w:rFonts w:asciiTheme="minorEastAsia" w:hAnsiTheme="minorEastAsia"/>
                <w:bCs/>
                <w:szCs w:val="21"/>
              </w:rPr>
            </w:pPr>
            <w:r>
              <w:rPr>
                <w:rFonts w:hint="eastAsia" w:asciiTheme="minorEastAsia" w:hAnsiTheme="minorEastAsia"/>
                <w:bCs/>
                <w:szCs w:val="21"/>
              </w:rPr>
              <w:t>2、投标人（其他组织和自然人）提供本单位：</w:t>
            </w:r>
          </w:p>
          <w:p w14:paraId="0158700A">
            <w:pPr>
              <w:spacing w:line="360" w:lineRule="auto"/>
              <w:rPr>
                <w:rFonts w:asciiTheme="minorEastAsia" w:hAnsiTheme="minorEastAsia"/>
                <w:bCs/>
                <w:szCs w:val="21"/>
              </w:rPr>
            </w:pPr>
            <w:r>
              <w:rPr>
                <w:rFonts w:hint="eastAsia" w:asciiTheme="minorEastAsia" w:hAnsiTheme="minorEastAsia"/>
                <w:bCs/>
                <w:szCs w:val="21"/>
              </w:rPr>
              <w:t>①</w:t>
            </w:r>
            <w:r>
              <w:rPr>
                <w:rFonts w:hint="eastAsia" w:asciiTheme="minorEastAsia" w:hAnsiTheme="minorEastAsia"/>
                <w:b/>
                <w:bCs/>
                <w:szCs w:val="21"/>
              </w:rPr>
              <w:t>202</w:t>
            </w:r>
            <w:r>
              <w:rPr>
                <w:rFonts w:hint="eastAsia" w:asciiTheme="minorEastAsia" w:hAnsiTheme="minorEastAsia"/>
                <w:b/>
                <w:bCs/>
                <w:szCs w:val="21"/>
                <w:lang w:val="en-US" w:eastAsia="zh-CN"/>
              </w:rPr>
              <w:t>4</w:t>
            </w:r>
            <w:r>
              <w:rPr>
                <w:rFonts w:hint="eastAsia" w:asciiTheme="minorEastAsia" w:hAnsiTheme="minorEastAsia"/>
                <w:b/>
                <w:bCs/>
                <w:szCs w:val="21"/>
              </w:rPr>
              <w:t>年度经审计的财务报告</w:t>
            </w:r>
            <w:r>
              <w:rPr>
                <w:rFonts w:hint="eastAsia" w:asciiTheme="minorEastAsia" w:hAnsiTheme="minorEastAsia"/>
                <w:bCs/>
                <w:szCs w:val="21"/>
              </w:rPr>
              <w:t>，包括资产负债表、利润表、现金流量表、所有者权益变动表及其附注；</w:t>
            </w:r>
          </w:p>
          <w:p w14:paraId="27F4A824">
            <w:pPr>
              <w:spacing w:line="360" w:lineRule="auto"/>
              <w:rPr>
                <w:rFonts w:asciiTheme="minorEastAsia" w:hAnsiTheme="minorEastAsia"/>
                <w:bCs/>
                <w:szCs w:val="21"/>
              </w:rPr>
            </w:pPr>
            <w:r>
              <w:rPr>
                <w:rFonts w:hint="eastAsia" w:asciiTheme="minorEastAsia" w:hAnsiTheme="minorEastAsia"/>
                <w:bCs/>
                <w:szCs w:val="21"/>
              </w:rPr>
              <w:t>②银行出具的资信证明；</w:t>
            </w:r>
          </w:p>
          <w:p w14:paraId="4699BD8B">
            <w:pPr>
              <w:spacing w:line="360" w:lineRule="auto"/>
              <w:rPr>
                <w:rFonts w:asciiTheme="minorEastAsia" w:hAnsiTheme="minorEastAsia"/>
                <w:bCs/>
                <w:szCs w:val="21"/>
              </w:rPr>
            </w:pPr>
            <w:r>
              <w:rPr>
                <w:rFonts w:hint="eastAsia" w:asciiTheme="minorEastAsia" w:hAnsiTheme="minorEastAsia"/>
                <w:bCs/>
                <w:szCs w:val="21"/>
              </w:rPr>
              <w:t>③财政部门认可的政府采购专业担保机构的证明文件和担保机构出具的投标担保函。</w:t>
            </w:r>
          </w:p>
          <w:p w14:paraId="45A0BD39">
            <w:pPr>
              <w:autoSpaceDE w:val="0"/>
              <w:autoSpaceDN w:val="0"/>
              <w:adjustRightInd w:val="0"/>
              <w:spacing w:line="360" w:lineRule="auto"/>
              <w:ind w:right="-11"/>
              <w:rPr>
                <w:rFonts w:cs="宋体" w:asciiTheme="minorEastAsia" w:hAnsiTheme="minorEastAsia"/>
                <w:bCs/>
                <w:szCs w:val="21"/>
                <w:lang w:val="zh-CN"/>
              </w:rPr>
            </w:pPr>
            <w:r>
              <w:rPr>
                <w:rFonts w:hint="eastAsia" w:ascii="楷体" w:hAnsi="楷体" w:eastAsia="楷体" w:cs="仿宋_GB2312"/>
                <w:sz w:val="24"/>
                <w:szCs w:val="24"/>
                <w:lang w:val="zh-CN"/>
              </w:rPr>
              <w:t>注：仅需提供序号</w:t>
            </w:r>
            <w:r>
              <w:rPr>
                <w:rFonts w:hint="eastAsia" w:ascii="楷体" w:hAnsi="楷体" w:eastAsia="楷体"/>
                <w:sz w:val="24"/>
                <w:szCs w:val="24"/>
              </w:rPr>
              <w:t>①～③其中之一即可。</w:t>
            </w:r>
          </w:p>
          <w:p w14:paraId="43573B2B">
            <w:pPr>
              <w:autoSpaceDE w:val="0"/>
              <w:autoSpaceDN w:val="0"/>
              <w:adjustRightInd w:val="0"/>
              <w:spacing w:line="360" w:lineRule="auto"/>
              <w:ind w:right="-11"/>
              <w:rPr>
                <w:rFonts w:cs="宋体" w:asciiTheme="minorEastAsia" w:hAnsiTheme="minorEastAsia"/>
                <w:bCs/>
                <w:szCs w:val="21"/>
                <w:lang w:val="zh-CN"/>
              </w:rPr>
            </w:pPr>
            <w:r>
              <w:rPr>
                <w:rFonts w:hint="eastAsia" w:cs="仿宋_GB2312" w:asciiTheme="minorEastAsia" w:hAnsiTheme="minorEastAsia"/>
                <w:b/>
                <w:szCs w:val="21"/>
              </w:rPr>
              <w:t>三、依法缴纳税收相关材料</w:t>
            </w:r>
          </w:p>
          <w:p w14:paraId="02D3E237">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参加本次政府采购项目投标截止时间前一年内任意一个月缴纳税收凭据。（依法免税的投标人，应提供相应文件证明依法免税）</w:t>
            </w:r>
          </w:p>
          <w:p w14:paraId="6DF3CC36">
            <w:pPr>
              <w:autoSpaceDE w:val="0"/>
              <w:autoSpaceDN w:val="0"/>
              <w:adjustRightInd w:val="0"/>
              <w:spacing w:line="360" w:lineRule="auto"/>
              <w:ind w:right="-11"/>
              <w:rPr>
                <w:rFonts w:cs="宋体" w:asciiTheme="minorEastAsia" w:hAnsiTheme="minorEastAsia"/>
                <w:b/>
                <w:bCs/>
                <w:szCs w:val="21"/>
                <w:lang w:val="zh-CN"/>
              </w:rPr>
            </w:pPr>
            <w:r>
              <w:rPr>
                <w:rFonts w:hint="eastAsia" w:cs="宋体" w:asciiTheme="minorEastAsia" w:hAnsiTheme="minorEastAsia"/>
                <w:b/>
                <w:bCs/>
                <w:szCs w:val="21"/>
                <w:lang w:val="zh-CN"/>
              </w:rPr>
              <w:t>四、依法缴纳社会保障资金的证明材料</w:t>
            </w:r>
          </w:p>
          <w:p w14:paraId="77BD327C">
            <w:pPr>
              <w:autoSpaceDE w:val="0"/>
              <w:autoSpaceDN w:val="0"/>
              <w:adjustRightInd w:val="0"/>
              <w:spacing w:line="360" w:lineRule="auto"/>
              <w:ind w:right="-11"/>
              <w:rPr>
                <w:rFonts w:cs="宋体" w:asciiTheme="minorEastAsia" w:hAnsiTheme="minorEastAsia"/>
                <w:bCs/>
                <w:szCs w:val="21"/>
                <w:lang w:val="zh-CN"/>
              </w:rPr>
            </w:pPr>
            <w:r>
              <w:rPr>
                <w:rFonts w:hint="eastAsia" w:cs="宋体" w:asciiTheme="minorEastAsia" w:hAnsiTheme="minorEastAsia"/>
                <w:bCs/>
                <w:szCs w:val="21"/>
                <w:lang w:val="zh-CN"/>
              </w:rPr>
              <w:t>参加本次政府采购项目投标截止时间前一年内任意一个月缴纳社会保险凭据。（依法不需要缴纳社会保障资金的投标人，应提供相应文件证明依法不需要缴纳社会保障资金）</w:t>
            </w:r>
          </w:p>
          <w:p w14:paraId="15060FB8">
            <w:pPr>
              <w:autoSpaceDE w:val="0"/>
              <w:autoSpaceDN w:val="0"/>
              <w:adjustRightInd w:val="0"/>
              <w:spacing w:line="360" w:lineRule="auto"/>
              <w:ind w:right="-11"/>
              <w:rPr>
                <w:rFonts w:cs="宋体" w:asciiTheme="minorEastAsia" w:hAnsiTheme="minorEastAsia"/>
                <w:b/>
                <w:bCs/>
                <w:szCs w:val="21"/>
                <w:lang w:val="zh-CN"/>
              </w:rPr>
            </w:pPr>
            <w:r>
              <w:rPr>
                <w:rFonts w:hint="eastAsia" w:cs="宋体" w:asciiTheme="minorEastAsia" w:hAnsiTheme="minorEastAsia"/>
                <w:b/>
                <w:bCs/>
                <w:szCs w:val="21"/>
                <w:lang w:val="zh-CN"/>
              </w:rPr>
              <w:t>五、履行合同所必须的设备和专业技术能力的证明材料</w:t>
            </w:r>
          </w:p>
          <w:p w14:paraId="768D4841">
            <w:pPr>
              <w:autoSpaceDE w:val="0"/>
              <w:autoSpaceDN w:val="0"/>
              <w:adjustRightInd w:val="0"/>
              <w:spacing w:line="360" w:lineRule="auto"/>
              <w:jc w:val="left"/>
              <w:rPr>
                <w:rFonts w:cs="宋体" w:asciiTheme="minorEastAsia" w:hAnsiTheme="minorEastAsia"/>
                <w:bCs/>
                <w:szCs w:val="21"/>
                <w:lang w:val="zh-CN"/>
              </w:rPr>
            </w:pPr>
            <w:r>
              <w:rPr>
                <w:rFonts w:hint="eastAsia" w:cs="宋体" w:asciiTheme="minorEastAsia" w:hAnsiTheme="minorEastAsia"/>
                <w:bCs/>
                <w:szCs w:val="21"/>
                <w:lang w:val="zh-CN"/>
              </w:rPr>
              <w:t>1、相关设备的购置发票、专业技术人员职称证书、用工合同等；</w:t>
            </w:r>
          </w:p>
          <w:p w14:paraId="44D06AEA">
            <w:pPr>
              <w:spacing w:line="360" w:lineRule="auto"/>
              <w:rPr>
                <w:rFonts w:asciiTheme="minorEastAsia" w:hAnsiTheme="minorEastAsia"/>
                <w:bCs/>
                <w:szCs w:val="21"/>
              </w:rPr>
            </w:pPr>
            <w:r>
              <w:rPr>
                <w:rFonts w:hint="eastAsia" w:asciiTheme="minorEastAsia" w:hAnsiTheme="minorEastAsia"/>
                <w:bCs/>
                <w:szCs w:val="21"/>
              </w:rPr>
              <w:t>2、投标人具备履行合同所必须的设备和专业技术能力承诺函或声明（承诺函或声明格式自拟）。</w:t>
            </w:r>
          </w:p>
          <w:p w14:paraId="45C24344">
            <w:pPr>
              <w:autoSpaceDE w:val="0"/>
              <w:autoSpaceDN w:val="0"/>
              <w:adjustRightInd w:val="0"/>
              <w:spacing w:line="360" w:lineRule="auto"/>
              <w:ind w:right="-11"/>
              <w:rPr>
                <w:rFonts w:ascii="楷体" w:hAnsi="楷体" w:eastAsia="楷体"/>
                <w:sz w:val="24"/>
                <w:szCs w:val="24"/>
              </w:rPr>
            </w:pPr>
            <w:r>
              <w:rPr>
                <w:rFonts w:hint="eastAsia" w:ascii="楷体" w:hAnsi="楷体" w:eastAsia="楷体" w:cs="仿宋_GB2312"/>
                <w:sz w:val="24"/>
                <w:szCs w:val="24"/>
                <w:lang w:val="zh-CN"/>
              </w:rPr>
              <w:t>注：仅需提供序号</w:t>
            </w:r>
            <w:r>
              <w:rPr>
                <w:rFonts w:hint="eastAsia" w:ascii="楷体" w:hAnsi="楷体" w:eastAsia="楷体"/>
                <w:sz w:val="24"/>
                <w:szCs w:val="24"/>
              </w:rPr>
              <w:t>1～2其中之一即可。</w:t>
            </w:r>
          </w:p>
          <w:p w14:paraId="09F5F725">
            <w:pPr>
              <w:autoSpaceDE w:val="0"/>
              <w:autoSpaceDN w:val="0"/>
              <w:adjustRightInd w:val="0"/>
              <w:spacing w:line="360" w:lineRule="auto"/>
              <w:ind w:right="-11"/>
              <w:rPr>
                <w:rFonts w:cs="宋体" w:asciiTheme="minorEastAsia" w:hAnsiTheme="minorEastAsia"/>
                <w:b/>
                <w:bCs/>
                <w:szCs w:val="21"/>
                <w:lang w:val="zh-CN"/>
              </w:rPr>
            </w:pPr>
            <w:r>
              <w:rPr>
                <w:rFonts w:hint="eastAsia" w:cs="宋体" w:asciiTheme="minorEastAsia" w:hAnsiTheme="minorEastAsia"/>
                <w:b/>
                <w:kern w:val="0"/>
                <w:szCs w:val="21"/>
              </w:rPr>
              <w:t>六、</w:t>
            </w:r>
            <w:r>
              <w:rPr>
                <w:rFonts w:cs="宋体" w:asciiTheme="minorEastAsia" w:hAnsiTheme="minorEastAsia"/>
                <w:b/>
                <w:bCs/>
                <w:szCs w:val="21"/>
                <w:lang w:val="zh-CN"/>
              </w:rPr>
              <w:t>参加政府采购活动前3年内在经营活动中没有重大违法记录的声明</w:t>
            </w:r>
          </w:p>
          <w:p w14:paraId="10D0C9CC">
            <w:pPr>
              <w:autoSpaceDE w:val="0"/>
              <w:autoSpaceDN w:val="0"/>
              <w:spacing w:line="360" w:lineRule="auto"/>
              <w:contextualSpacing/>
              <w:jc w:val="left"/>
              <w:rPr>
                <w:rFonts w:cs="宋体" w:asciiTheme="minorEastAsia" w:hAnsiTheme="minorEastAsia"/>
                <w:bCs/>
                <w:szCs w:val="21"/>
                <w:lang w:val="zh-CN"/>
              </w:rPr>
            </w:pPr>
            <w:r>
              <w:rPr>
                <w:rFonts w:hint="eastAsia" w:cs="宋体" w:asciiTheme="minorEastAsia" w:hAnsiTheme="minorEastAsia"/>
                <w:bCs/>
                <w:szCs w:val="21"/>
                <w:lang w:val="zh-CN"/>
              </w:rPr>
              <w:t>投标人“</w:t>
            </w:r>
            <w:r>
              <w:rPr>
                <w:rFonts w:cs="宋体" w:asciiTheme="minorEastAsia" w:hAnsiTheme="minorEastAsia"/>
                <w:bCs/>
                <w:szCs w:val="21"/>
                <w:lang w:val="zh-CN"/>
              </w:rPr>
              <w:t>参加政府采购活动前3年内在经营活动中没有重大违法记录的书面声明</w:t>
            </w:r>
            <w:r>
              <w:rPr>
                <w:rFonts w:hint="eastAsia" w:cs="宋体" w:asciiTheme="minorEastAsia" w:hAnsiTheme="minorEastAsia"/>
                <w:bCs/>
                <w:szCs w:val="21"/>
                <w:lang w:val="zh-CN"/>
              </w:rPr>
              <w:t>”。 重大违法记录，是指投标人因违法经营受到刑事处罚或者责令停产停业、吊销许可证或者执照、较大数额罚款等行政处罚。</w:t>
            </w:r>
          </w:p>
          <w:p w14:paraId="62CD5F9D">
            <w:pPr>
              <w:wordWrap w:val="0"/>
              <w:autoSpaceDE w:val="0"/>
              <w:autoSpaceDN w:val="0"/>
              <w:spacing w:line="360" w:lineRule="auto"/>
              <w:contextualSpacing/>
              <w:jc w:val="left"/>
              <w:rPr>
                <w:rFonts w:cs="宋体" w:asciiTheme="minorEastAsia" w:hAnsiTheme="minorEastAsia"/>
                <w:kern w:val="0"/>
                <w:szCs w:val="21"/>
              </w:rPr>
            </w:pPr>
            <w:r>
              <w:rPr>
                <w:rFonts w:hint="eastAsia" w:cs="宋体" w:asciiTheme="minorEastAsia" w:hAnsiTheme="minorEastAsia"/>
                <w:b/>
                <w:bCs/>
                <w:szCs w:val="21"/>
                <w:lang w:val="zh-CN"/>
              </w:rPr>
              <w:t>七、</w:t>
            </w:r>
            <w:r>
              <w:rPr>
                <w:rFonts w:cs="仿宋_GB2312" w:asciiTheme="minorEastAsia" w:hAnsiTheme="minorEastAsia"/>
                <w:b/>
                <w:szCs w:val="21"/>
                <w:shd w:val="clear" w:color="auto" w:fill="FFFFFF"/>
              </w:rPr>
              <w:t>未被列入“信用中国”网站(www.creditchina.gov.cn)失信被执行人、</w:t>
            </w:r>
            <w:r>
              <w:rPr>
                <w:rFonts w:hint="eastAsia" w:cs="仿宋_GB2312" w:asciiTheme="minorEastAsia" w:hAnsiTheme="minorEastAsia"/>
                <w:b/>
                <w:szCs w:val="21"/>
                <w:shd w:val="clear" w:color="auto" w:fill="FFFFFF"/>
              </w:rPr>
              <w:t>税收</w:t>
            </w:r>
            <w:r>
              <w:rPr>
                <w:rFonts w:cs="仿宋_GB2312" w:asciiTheme="minorEastAsia" w:hAnsiTheme="minorEastAsia"/>
                <w:b/>
                <w:szCs w:val="21"/>
                <w:shd w:val="clear" w:color="auto" w:fill="FFFFFF"/>
              </w:rPr>
              <w:t>违法黑名单的投标人；</w:t>
            </w:r>
            <w:r>
              <w:rPr>
                <w:rFonts w:hint="eastAsia" w:cs="仿宋_GB2312" w:asciiTheme="minorEastAsia" w:hAnsiTheme="minorEastAsia"/>
                <w:b/>
                <w:szCs w:val="21"/>
                <w:shd w:val="clear" w:color="auto" w:fill="FFFFFF"/>
              </w:rPr>
              <w:t>“</w:t>
            </w:r>
            <w:r>
              <w:rPr>
                <w:rFonts w:cs="仿宋_GB2312" w:asciiTheme="minorEastAsia" w:hAnsiTheme="minorEastAsia"/>
                <w:b/>
                <w:szCs w:val="21"/>
                <w:shd w:val="clear" w:color="auto" w:fill="FFFFFF"/>
              </w:rPr>
              <w:t>中国政府采购网</w:t>
            </w:r>
            <w:r>
              <w:rPr>
                <w:rFonts w:hint="eastAsia" w:cs="仿宋_GB2312" w:asciiTheme="minorEastAsia" w:hAnsiTheme="minorEastAsia"/>
                <w:b/>
                <w:szCs w:val="21"/>
                <w:shd w:val="clear" w:color="auto" w:fill="FFFFFF"/>
              </w:rPr>
              <w:t>”</w:t>
            </w:r>
            <w:r>
              <w:rPr>
                <w:rFonts w:cs="仿宋_GB2312" w:asciiTheme="minorEastAsia" w:hAnsiTheme="minorEastAsia"/>
                <w:b/>
                <w:szCs w:val="21"/>
                <w:shd w:val="clear" w:color="auto" w:fill="FFFFFF"/>
              </w:rPr>
              <w:t xml:space="preserve"> (www.ccgp.gov.cn)政府采购严重违法失信行为记录名单的投标人</w:t>
            </w:r>
            <w:r>
              <w:rPr>
                <w:rFonts w:hint="eastAsia" w:cs="宋体" w:asciiTheme="minorEastAsia" w:hAnsiTheme="minorEastAsia"/>
                <w:b/>
                <w:bCs/>
                <w:szCs w:val="21"/>
                <w:lang w:val="zh-CN"/>
              </w:rPr>
              <w:t>；</w:t>
            </w:r>
            <w:r>
              <w:rPr>
                <w:rFonts w:hint="eastAsia" w:cs="仿宋_GB2312" w:asciiTheme="minorEastAsia" w:hAnsiTheme="minorEastAsia"/>
                <w:b/>
                <w:szCs w:val="21"/>
                <w:shd w:val="clear" w:color="auto" w:fill="FFFFFF"/>
              </w:rPr>
              <w:t xml:space="preserve"> “中国社会组织政务服务平台”网站（</w:t>
            </w:r>
            <w:r>
              <w:rPr>
                <w:rFonts w:cs="仿宋_GB2312" w:asciiTheme="minorEastAsia" w:hAnsiTheme="minorEastAsia"/>
                <w:b/>
                <w:szCs w:val="21"/>
                <w:shd w:val="clear" w:color="auto" w:fill="FFFFFF"/>
              </w:rPr>
              <w:t>https://chinanpo.mca.gov.cn</w:t>
            </w:r>
            <w:r>
              <w:rPr>
                <w:rFonts w:hint="eastAsia" w:cs="仿宋_GB2312" w:asciiTheme="minorEastAsia" w:hAnsiTheme="minorEastAsia"/>
                <w:b/>
                <w:szCs w:val="21"/>
                <w:shd w:val="clear" w:color="auto" w:fill="FFFFFF"/>
              </w:rPr>
              <w:t>）严重违法失信社会组织（</w:t>
            </w:r>
            <w:r>
              <w:rPr>
                <w:rFonts w:hint="eastAsia" w:cs="宋体" w:asciiTheme="minorEastAsia" w:hAnsiTheme="minorEastAsia"/>
                <w:kern w:val="0"/>
                <w:szCs w:val="21"/>
              </w:rPr>
              <w:t>联合体形式投标的，联合体成员存在不良信用记录，视同联合体存在不良信用记录）。</w:t>
            </w:r>
          </w:p>
          <w:p w14:paraId="56AFA1C6">
            <w:pPr>
              <w:spacing w:line="360" w:lineRule="auto"/>
              <w:rPr>
                <w:rFonts w:cs="宋体" w:asciiTheme="minorEastAsia" w:hAnsiTheme="minorEastAsia"/>
                <w:kern w:val="0"/>
                <w:szCs w:val="21"/>
              </w:rPr>
            </w:pPr>
            <w:r>
              <w:rPr>
                <w:rFonts w:hint="eastAsia" w:cs="宋体" w:asciiTheme="minorEastAsia" w:hAnsiTheme="minorEastAsia"/>
                <w:kern w:val="0"/>
                <w:szCs w:val="21"/>
              </w:rPr>
              <w:t>1、查询渠道：</w:t>
            </w:r>
          </w:p>
          <w:p w14:paraId="77DC1B94">
            <w:pPr>
              <w:spacing w:line="360" w:lineRule="auto"/>
              <w:rPr>
                <w:rFonts w:cs="宋体" w:asciiTheme="minorEastAsia" w:hAnsiTheme="minorEastAsia"/>
                <w:kern w:val="0"/>
                <w:szCs w:val="21"/>
              </w:rPr>
            </w:pPr>
            <w:r>
              <w:rPr>
                <w:rFonts w:hint="eastAsia" w:cs="宋体" w:asciiTheme="minorEastAsia" w:hAnsiTheme="minorEastAsia"/>
                <w:kern w:val="0"/>
                <w:szCs w:val="21"/>
              </w:rPr>
              <w:t>①“信用中国”网站（</w:t>
            </w:r>
            <w:r>
              <w:fldChar w:fldCharType="begin"/>
            </w:r>
            <w:r>
              <w:instrText xml:space="preserve"> HYPERLINK "http://www.creditchina.gov.cn" </w:instrText>
            </w:r>
            <w:r>
              <w:fldChar w:fldCharType="separate"/>
            </w:r>
            <w:r>
              <w:rPr>
                <w:rFonts w:hint="eastAsia" w:cs="宋体"/>
                <w:kern w:val="0"/>
              </w:rPr>
              <w:t>www.creditchina.gov.cn</w:t>
            </w:r>
            <w:r>
              <w:rPr>
                <w:rFonts w:hint="eastAsia" w:cs="宋体"/>
                <w:kern w:val="0"/>
              </w:rPr>
              <w:fldChar w:fldCharType="end"/>
            </w:r>
            <w:r>
              <w:rPr>
                <w:rFonts w:hint="eastAsia" w:cs="宋体" w:asciiTheme="minorEastAsia" w:hAnsiTheme="minorEastAsia"/>
                <w:kern w:val="0"/>
                <w:szCs w:val="21"/>
              </w:rPr>
              <w:t>）</w:t>
            </w:r>
          </w:p>
          <w:p w14:paraId="51014550">
            <w:pPr>
              <w:spacing w:line="360" w:lineRule="auto"/>
              <w:rPr>
                <w:rFonts w:cs="宋体" w:asciiTheme="minorEastAsia" w:hAnsiTheme="minorEastAsia"/>
                <w:kern w:val="0"/>
                <w:szCs w:val="21"/>
              </w:rPr>
            </w:pPr>
            <w:r>
              <w:rPr>
                <w:rFonts w:hint="eastAsia" w:cs="宋体" w:asciiTheme="minorEastAsia" w:hAnsiTheme="minorEastAsia"/>
                <w:kern w:val="0"/>
                <w:szCs w:val="21"/>
              </w:rPr>
              <w:t>②“中国政府采购网”（www.ccgp.gov.cn）</w:t>
            </w:r>
          </w:p>
          <w:p w14:paraId="7FBA2844">
            <w:pPr>
              <w:spacing w:line="360" w:lineRule="auto"/>
              <w:rPr>
                <w:rFonts w:cs="宋体" w:asciiTheme="minorEastAsia" w:hAnsiTheme="minorEastAsia"/>
                <w:kern w:val="0"/>
                <w:szCs w:val="21"/>
              </w:rPr>
            </w:pPr>
            <w:r>
              <w:rPr>
                <w:rFonts w:hint="eastAsia" w:cs="宋体" w:asciiTheme="minorEastAsia" w:hAnsiTheme="minorEastAsia"/>
                <w:kern w:val="0"/>
                <w:szCs w:val="21"/>
              </w:rPr>
              <w:t>③“中国社会组织政务服务平台”网站（</w:t>
            </w:r>
            <w:r>
              <w:rPr>
                <w:rFonts w:cs="宋体" w:asciiTheme="minorEastAsia" w:hAnsiTheme="minorEastAsia"/>
                <w:kern w:val="0"/>
                <w:szCs w:val="21"/>
              </w:rPr>
              <w:t>https://chinanpo.mca.gov.cn</w:t>
            </w:r>
            <w:r>
              <w:rPr>
                <w:rFonts w:hint="eastAsia" w:cs="宋体" w:asciiTheme="minorEastAsia" w:hAnsiTheme="minorEastAsia"/>
                <w:kern w:val="0"/>
                <w:szCs w:val="21"/>
              </w:rPr>
              <w:t>）（仅查询社会组织）；</w:t>
            </w:r>
          </w:p>
          <w:p w14:paraId="1E218B0C">
            <w:pPr>
              <w:autoSpaceDE w:val="0"/>
              <w:autoSpaceDN w:val="0"/>
              <w:spacing w:line="360" w:lineRule="auto"/>
              <w:contextualSpacing/>
              <w:rPr>
                <w:rFonts w:cs="宋体" w:asciiTheme="minorEastAsia" w:hAnsiTheme="minorEastAsia"/>
                <w:color w:val="FF0000"/>
                <w:kern w:val="0"/>
                <w:szCs w:val="21"/>
              </w:rPr>
            </w:pPr>
            <w:r>
              <w:rPr>
                <w:rFonts w:hint="eastAsia" w:cs="宋体" w:asciiTheme="minorEastAsia" w:hAnsiTheme="minorEastAsia"/>
                <w:color w:val="FF0000"/>
                <w:kern w:val="0"/>
                <w:szCs w:val="21"/>
              </w:rPr>
              <w:t>2、截止时间：同投标截止时间；</w:t>
            </w:r>
          </w:p>
          <w:p w14:paraId="462D7BA6">
            <w:pPr>
              <w:autoSpaceDE w:val="0"/>
              <w:autoSpaceDN w:val="0"/>
              <w:spacing w:line="360" w:lineRule="auto"/>
              <w:contextualSpacing/>
              <w:rPr>
                <w:rFonts w:cs="宋体" w:asciiTheme="minorEastAsia" w:hAnsiTheme="minorEastAsia"/>
                <w:color w:val="FF0000"/>
                <w:kern w:val="0"/>
                <w:szCs w:val="21"/>
              </w:rPr>
            </w:pPr>
            <w:r>
              <w:rPr>
                <w:rFonts w:hint="eastAsia" w:cs="宋体" w:asciiTheme="minorEastAsia" w:hAnsiTheme="minorEastAsia"/>
                <w:color w:val="FF0000"/>
                <w:kern w:val="0"/>
                <w:szCs w:val="21"/>
              </w:rPr>
              <w:t>3、信用信息的使用原则：经采购人认定的被列入失信被执行人、税收违法黑名单、</w:t>
            </w:r>
            <w:r>
              <w:rPr>
                <w:rFonts w:cs="仿宋_GB2312" w:asciiTheme="minorEastAsia" w:hAnsiTheme="minorEastAsia"/>
                <w:color w:val="FF0000"/>
                <w:szCs w:val="21"/>
                <w:shd w:val="clear" w:color="auto" w:fill="FFFFFF"/>
              </w:rPr>
              <w:t>政府采购严重违法失信行为记录名单</w:t>
            </w:r>
            <w:r>
              <w:rPr>
                <w:rFonts w:hint="eastAsia" w:cs="仿宋_GB2312" w:asciiTheme="minorEastAsia" w:hAnsiTheme="minorEastAsia"/>
                <w:color w:val="FF0000"/>
                <w:szCs w:val="21"/>
                <w:shd w:val="clear" w:color="auto" w:fill="FFFFFF"/>
              </w:rPr>
              <w:t>的投标人、</w:t>
            </w:r>
            <w:r>
              <w:rPr>
                <w:rFonts w:hint="eastAsia" w:cs="宋体" w:asciiTheme="minorEastAsia" w:hAnsiTheme="minorEastAsia"/>
                <w:color w:val="FF0000"/>
                <w:kern w:val="0"/>
                <w:szCs w:val="21"/>
              </w:rPr>
              <w:t>严重违法失信社会组织，将拒绝其参与本次政府采购活动。</w:t>
            </w:r>
          </w:p>
        </w:tc>
      </w:tr>
    </w:tbl>
    <w:p w14:paraId="03A828CD">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6"/>
          <w:szCs w:val="36"/>
        </w:rPr>
      </w:pPr>
    </w:p>
    <w:p w14:paraId="292ABF7F">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14:paraId="497046BF">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14:paraId="339F74B4">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14:paraId="5666FDEC">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2094AF86">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3A6A7731">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6FC7F465">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563DC660">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10A9D5A5">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65D88C26">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2EAE22F1">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315ADC86">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48D95D9E">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第四章 投标人须知</w:t>
      </w:r>
    </w:p>
    <w:p w14:paraId="30658781">
      <w:pPr>
        <w:tabs>
          <w:tab w:val="left" w:pos="1260"/>
        </w:tabs>
        <w:autoSpaceDE w:val="0"/>
        <w:autoSpaceDN w:val="0"/>
        <w:adjustRightInd w:val="0"/>
        <w:spacing w:line="360" w:lineRule="auto"/>
        <w:contextualSpacing/>
        <w:jc w:val="center"/>
        <w:rPr>
          <w:rFonts w:cs="宋体" w:asciiTheme="minorEastAsia" w:hAnsiTheme="minorEastAsia"/>
          <w:b/>
          <w:kern w:val="0"/>
          <w:sz w:val="28"/>
          <w:szCs w:val="28"/>
        </w:rPr>
      </w:pPr>
    </w:p>
    <w:p w14:paraId="20F87AE9">
      <w:pPr>
        <w:tabs>
          <w:tab w:val="left" w:pos="1260"/>
        </w:tabs>
        <w:autoSpaceDE w:val="0"/>
        <w:autoSpaceDN w:val="0"/>
        <w:adjustRightInd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一、概念释义</w:t>
      </w:r>
    </w:p>
    <w:p w14:paraId="333AC858">
      <w:pPr>
        <w:pStyle w:val="42"/>
        <w:numPr>
          <w:ilvl w:val="0"/>
          <w:numId w:val="13"/>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适用范围</w:t>
      </w:r>
    </w:p>
    <w:p w14:paraId="178C0161">
      <w:pPr>
        <w:pStyle w:val="42"/>
        <w:numPr>
          <w:ilvl w:val="0"/>
          <w:numId w:val="14"/>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本招标文件仅适用于本次“投标邀请”中所述采购项目。</w:t>
      </w:r>
    </w:p>
    <w:p w14:paraId="1B54D8DF">
      <w:pPr>
        <w:pStyle w:val="42"/>
        <w:numPr>
          <w:ilvl w:val="1"/>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本招标文件解释权属于“投标邀请”所述的采购人。</w:t>
      </w:r>
    </w:p>
    <w:p w14:paraId="3001DC58">
      <w:pPr>
        <w:pStyle w:val="42"/>
        <w:autoSpaceDE w:val="0"/>
        <w:autoSpaceDN w:val="0"/>
        <w:spacing w:line="360" w:lineRule="auto"/>
        <w:ind w:left="780" w:firstLine="0" w:firstLineChars="0"/>
        <w:contextualSpacing/>
        <w:rPr>
          <w:rFonts w:cs="宋体" w:asciiTheme="minorEastAsia" w:hAnsiTheme="minorEastAsia"/>
          <w:kern w:val="0"/>
          <w:szCs w:val="21"/>
        </w:rPr>
      </w:pPr>
    </w:p>
    <w:p w14:paraId="21ECE8B3">
      <w:pPr>
        <w:pStyle w:val="42"/>
        <w:numPr>
          <w:ilvl w:val="0"/>
          <w:numId w:val="13"/>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定义</w:t>
      </w:r>
    </w:p>
    <w:p w14:paraId="551E334A">
      <w:pPr>
        <w:pStyle w:val="42"/>
        <w:numPr>
          <w:ilvl w:val="0"/>
          <w:numId w:val="14"/>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“采购项目”：“投标人须知前附表”中所述的采购项目。</w:t>
      </w:r>
    </w:p>
    <w:p w14:paraId="3D0B8C37">
      <w:pPr>
        <w:pStyle w:val="42"/>
        <w:numPr>
          <w:ilvl w:val="1"/>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“招标人”：“投标人须知前附表”中所述的组织本次招标的代理机构和采购人。</w:t>
      </w:r>
    </w:p>
    <w:p w14:paraId="3F2E3EFE">
      <w:pPr>
        <w:pStyle w:val="42"/>
        <w:numPr>
          <w:ilvl w:val="1"/>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“采购人”：是指依法进行政府采购的国家机关、事业单位、团体组织。采购人名称、     地址、电话、联系人见“投标人须知前附表”。</w:t>
      </w:r>
    </w:p>
    <w:p w14:paraId="30A07A95">
      <w:pPr>
        <w:pStyle w:val="42"/>
        <w:numPr>
          <w:ilvl w:val="1"/>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“代理机构”：接受采购人委托，代理采购项目的采购代理机构。代理机构名称、地址、 电话、联系人见“投标人须知前附表”。</w:t>
      </w:r>
    </w:p>
    <w:p w14:paraId="62E770BE">
      <w:pPr>
        <w:autoSpaceDE w:val="0"/>
        <w:autoSpaceDN w:val="0"/>
        <w:spacing w:line="360" w:lineRule="auto"/>
        <w:ind w:left="991" w:leftChars="450" w:hanging="46" w:hangingChars="22"/>
        <w:contextualSpacing/>
        <w:rPr>
          <w:rFonts w:cs="宋体" w:asciiTheme="minorEastAsia" w:hAnsiTheme="minorEastAsia"/>
          <w:kern w:val="0"/>
          <w:szCs w:val="21"/>
        </w:rPr>
      </w:pPr>
      <w:r>
        <w:rPr>
          <w:rFonts w:hint="eastAsia" w:cs="宋体" w:asciiTheme="minorEastAsia" w:hAnsiTheme="minorEastAsia"/>
          <w:kern w:val="0"/>
          <w:szCs w:val="21"/>
        </w:rPr>
        <w:t>采购代理机构及其分支机构不得在所代理的采购项目中投标或者代理投标，不得为所代理的采购项目的投标人参加本项目提供投标咨询。</w:t>
      </w:r>
    </w:p>
    <w:p w14:paraId="315D36BA">
      <w:pPr>
        <w:pStyle w:val="42"/>
        <w:numPr>
          <w:ilvl w:val="1"/>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“潜在投标人”指符合《中华人民共和国政府采购法》及相关法律法规和本招标文件的各项规定，且按照本项目招标公告及招标文件规定的方式获取招标文件的法人、其他组 织或者自然人。</w:t>
      </w:r>
    </w:p>
    <w:p w14:paraId="52ADACC7">
      <w:pPr>
        <w:pStyle w:val="42"/>
        <w:numPr>
          <w:ilvl w:val="1"/>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人”：是指符合《中华人民共和国政府采购法》及相关法律法规和本招标文件的各项规定，响应招标、参加投标竞争，从招标人处按规定获取招标文件，并按照招标文件要求向招标人提交投标文件的法人、其他组织或者自然人。</w:t>
      </w:r>
    </w:p>
    <w:p w14:paraId="5A0358D8">
      <w:pPr>
        <w:pStyle w:val="42"/>
        <w:numPr>
          <w:ilvl w:val="1"/>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进口产品”：是指通过中国海关报关验放进入中国境内且产自关境外的产品，包括已经进入中国境内的进口产品。详见《政府采购进口产品管理办法》(财库[2007]119号)、《关于政府采购进口产品管理有关问题的通知》（财办库［</w:t>
      </w:r>
      <w:r>
        <w:rPr>
          <w:rFonts w:cs="宋体" w:asciiTheme="minorEastAsia" w:hAnsiTheme="minorEastAsia"/>
          <w:kern w:val="0"/>
          <w:szCs w:val="21"/>
        </w:rPr>
        <w:t>2008</w:t>
      </w:r>
      <w:r>
        <w:rPr>
          <w:rFonts w:hint="eastAsia" w:cs="宋体" w:asciiTheme="minorEastAsia" w:hAnsiTheme="minorEastAsia"/>
          <w:kern w:val="0"/>
          <w:szCs w:val="21"/>
        </w:rPr>
        <w:t>］</w:t>
      </w:r>
      <w:r>
        <w:rPr>
          <w:rFonts w:cs="宋体" w:asciiTheme="minorEastAsia" w:hAnsiTheme="minorEastAsia"/>
          <w:kern w:val="0"/>
          <w:szCs w:val="21"/>
        </w:rPr>
        <w:t xml:space="preserve">248 </w:t>
      </w:r>
      <w:r>
        <w:rPr>
          <w:rFonts w:hint="eastAsia" w:cs="宋体" w:asciiTheme="minorEastAsia" w:hAnsiTheme="minorEastAsia"/>
          <w:kern w:val="0"/>
          <w:szCs w:val="21"/>
        </w:rPr>
        <w:t>号）。</w:t>
      </w:r>
    </w:p>
    <w:p w14:paraId="72504C52">
      <w:pPr>
        <w:autoSpaceDE w:val="0"/>
        <w:autoSpaceDN w:val="0"/>
        <w:spacing w:line="360" w:lineRule="auto"/>
        <w:ind w:left="1274" w:leftChars="1" w:hanging="1272" w:hangingChars="606"/>
        <w:contextualSpacing/>
        <w:rPr>
          <w:rFonts w:cs="宋体" w:asciiTheme="minorEastAsia" w:hAnsiTheme="minorEastAsia"/>
          <w:kern w:val="0"/>
          <w:szCs w:val="21"/>
        </w:rPr>
      </w:pPr>
      <w:r>
        <w:rPr>
          <w:rFonts w:hint="eastAsia" w:cs="宋体" w:asciiTheme="minorEastAsia" w:hAnsiTheme="minorEastAsia"/>
          <w:kern w:val="0"/>
          <w:szCs w:val="21"/>
        </w:rPr>
        <w:t xml:space="preserve">2.7.1    </w:t>
      </w:r>
      <w:r>
        <w:rPr>
          <w:rFonts w:cs="宋体" w:asciiTheme="minorEastAsia" w:hAnsiTheme="minorEastAsia"/>
          <w:kern w:val="0"/>
          <w:szCs w:val="21"/>
        </w:rPr>
        <w:t>招标文件列明不允许或未列明允许进口产品参加投标的，均视为拒绝进口产品参加投标。</w:t>
      </w:r>
    </w:p>
    <w:p w14:paraId="2FCE0A6B">
      <w:pPr>
        <w:autoSpaceDE w:val="0"/>
        <w:autoSpaceDN w:val="0"/>
        <w:spacing w:line="360" w:lineRule="auto"/>
        <w:ind w:left="991" w:leftChars="1" w:hanging="989" w:hangingChars="471"/>
        <w:contextualSpacing/>
        <w:rPr>
          <w:rFonts w:cs="宋体" w:asciiTheme="minorEastAsia" w:hAnsiTheme="minorEastAsia"/>
          <w:kern w:val="0"/>
          <w:szCs w:val="21"/>
        </w:rPr>
      </w:pPr>
      <w:r>
        <w:rPr>
          <w:rFonts w:hint="eastAsia" w:cs="宋体" w:asciiTheme="minorEastAsia" w:hAnsiTheme="minorEastAsia"/>
          <w:kern w:val="0"/>
          <w:szCs w:val="21"/>
        </w:rPr>
        <w:t xml:space="preserve">2.7.2    </w:t>
      </w:r>
      <w:r>
        <w:rPr>
          <w:rFonts w:cs="宋体" w:asciiTheme="minorEastAsia" w:hAnsiTheme="minorEastAsia"/>
          <w:kern w:val="0"/>
          <w:szCs w:val="21"/>
        </w:rPr>
        <w:t>如</w:t>
      </w:r>
      <w:r>
        <w:rPr>
          <w:rFonts w:hint="eastAsia" w:cs="宋体" w:asciiTheme="minorEastAsia" w:hAnsiTheme="minorEastAsia"/>
          <w:kern w:val="0"/>
          <w:szCs w:val="21"/>
        </w:rPr>
        <w:t>招标</w:t>
      </w:r>
      <w:r>
        <w:rPr>
          <w:rFonts w:cs="宋体" w:asciiTheme="minorEastAsia" w:hAnsiTheme="minorEastAsia"/>
          <w:kern w:val="0"/>
          <w:szCs w:val="21"/>
        </w:rPr>
        <w:t>文件中已说明，经财政部门审核同意，允许部分或全部产品采购进口产品，投标人既可提供本国产品，也可以提供进口产品。</w:t>
      </w:r>
    </w:p>
    <w:p w14:paraId="34C632FA">
      <w:pPr>
        <w:pStyle w:val="42"/>
        <w:numPr>
          <w:ilvl w:val="1"/>
          <w:numId w:val="13"/>
        </w:numPr>
        <w:autoSpaceDE w:val="0"/>
        <w:autoSpaceDN w:val="0"/>
        <w:spacing w:line="360" w:lineRule="auto"/>
        <w:ind w:left="991" w:leftChars="1" w:hanging="989" w:hangingChars="471"/>
        <w:contextualSpacing/>
        <w:rPr>
          <w:rFonts w:cs="宋体" w:asciiTheme="minorEastAsia" w:hAnsiTheme="minorEastAsia"/>
          <w:kern w:val="0"/>
          <w:szCs w:val="21"/>
        </w:rPr>
      </w:pPr>
      <w:r>
        <w:rPr>
          <w:rFonts w:hint="eastAsia" w:cs="宋体" w:asciiTheme="minorEastAsia" w:hAnsiTheme="minorEastAsia"/>
          <w:kern w:val="0"/>
          <w:szCs w:val="21"/>
        </w:rPr>
        <w:t>招标文件中凡标有“★”的条款均系实质性要求条款。</w:t>
      </w:r>
    </w:p>
    <w:p w14:paraId="0F0D4518">
      <w:pPr>
        <w:pStyle w:val="42"/>
        <w:autoSpaceDE w:val="0"/>
        <w:autoSpaceDN w:val="0"/>
        <w:spacing w:line="360" w:lineRule="auto"/>
        <w:ind w:left="964" w:firstLine="0" w:firstLineChars="0"/>
        <w:contextualSpacing/>
        <w:rPr>
          <w:rFonts w:cs="宋体" w:asciiTheme="minorEastAsia" w:hAnsiTheme="minorEastAsia"/>
          <w:kern w:val="0"/>
          <w:szCs w:val="21"/>
        </w:rPr>
      </w:pPr>
    </w:p>
    <w:p w14:paraId="6F16A3DA">
      <w:pPr>
        <w:pStyle w:val="42"/>
        <w:numPr>
          <w:ilvl w:val="0"/>
          <w:numId w:val="13"/>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合格的投标人</w:t>
      </w:r>
    </w:p>
    <w:p w14:paraId="1E08FA9A">
      <w:pPr>
        <w:pStyle w:val="42"/>
        <w:numPr>
          <w:ilvl w:val="0"/>
          <w:numId w:val="14"/>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在中华人民共和国境内注册，具有本项目生产、制造、供应或实施能力，符合、承认并承诺履行本招标文件各项规定的法人、其他组织或者自然人。</w:t>
      </w:r>
    </w:p>
    <w:p w14:paraId="740BD663">
      <w:pPr>
        <w:pStyle w:val="42"/>
        <w:numPr>
          <w:ilvl w:val="1"/>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符合本项目“投标邀请”和“投标人须知前附表”中规定的合格投标人所必须具备的条件。</w:t>
      </w:r>
    </w:p>
    <w:p w14:paraId="03E37D46">
      <w:pPr>
        <w:pStyle w:val="42"/>
        <w:numPr>
          <w:ilvl w:val="1"/>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ascii="宋体" w:hAnsi="宋体"/>
          <w:szCs w:val="21"/>
        </w:rPr>
        <w:t>按照财政部《</w:t>
      </w:r>
      <w:r>
        <w:rPr>
          <w:rFonts w:hint="eastAsia" w:ascii="宋体" w:hAnsi="宋体" w:cs="微软雅黑"/>
          <w:bCs/>
          <w:szCs w:val="21"/>
        </w:rPr>
        <w:t>关于在政府采购活动中查询及使用信用记录有关问题的通知</w:t>
      </w:r>
      <w:r>
        <w:rPr>
          <w:rFonts w:hint="eastAsia" w:ascii="宋体" w:hAnsi="宋体"/>
          <w:szCs w:val="21"/>
        </w:rPr>
        <w:t>》（财库</w:t>
      </w:r>
      <w:r>
        <w:rPr>
          <w:rFonts w:hint="eastAsia" w:ascii="宋体" w:hAnsi="宋体" w:cs="微软雅黑"/>
          <w:bCs/>
          <w:szCs w:val="21"/>
        </w:rPr>
        <w:t>〔2016〕</w:t>
      </w:r>
      <w:r>
        <w:rPr>
          <w:rFonts w:hint="eastAsia" w:ascii="宋体" w:hAnsi="宋体"/>
          <w:szCs w:val="21"/>
        </w:rPr>
        <w:t>125号）要求，</w:t>
      </w:r>
      <w:r>
        <w:rPr>
          <w:rFonts w:hint="eastAsia" w:cs="宋体" w:asciiTheme="minorEastAsia" w:hAnsiTheme="minorEastAsia"/>
          <w:kern w:val="0"/>
          <w:szCs w:val="21"/>
        </w:rPr>
        <w:t>政府采购活动中查询及使用投标人信用记录的具体要求为：投标人未被列入失信被执行人、税收违法黑名单、</w:t>
      </w:r>
      <w:r>
        <w:rPr>
          <w:rFonts w:cs="仿宋_GB2312" w:asciiTheme="minorEastAsia" w:hAnsiTheme="minorEastAsia"/>
          <w:szCs w:val="21"/>
          <w:shd w:val="clear" w:color="auto" w:fill="FFFFFF"/>
        </w:rPr>
        <w:t>政府采购严重违法失信行为记录名单</w:t>
      </w:r>
      <w:r>
        <w:rPr>
          <w:rFonts w:hint="eastAsia" w:cs="仿宋_GB2312" w:asciiTheme="minorEastAsia" w:hAnsiTheme="minorEastAsia"/>
          <w:szCs w:val="21"/>
          <w:shd w:val="clear" w:color="auto" w:fill="FFFFFF"/>
        </w:rPr>
        <w:t>、</w:t>
      </w:r>
      <w:r>
        <w:rPr>
          <w:rFonts w:hint="eastAsia" w:cs="宋体" w:asciiTheme="minorEastAsia" w:hAnsiTheme="minorEastAsia"/>
          <w:kern w:val="0"/>
          <w:szCs w:val="21"/>
        </w:rPr>
        <w:t>严重违法失信社会组织名单（联合体形式投标的，联合体成员存在不良信用记录，视同联合体存在不良信用记录）。</w:t>
      </w:r>
    </w:p>
    <w:p w14:paraId="78EEE819">
      <w:pPr>
        <w:pStyle w:val="42"/>
        <w:numPr>
          <w:ilvl w:val="0"/>
          <w:numId w:val="15"/>
        </w:numPr>
        <w:autoSpaceDE w:val="0"/>
        <w:autoSpaceDN w:val="0"/>
        <w:spacing w:line="360" w:lineRule="auto"/>
        <w:ind w:left="1418" w:hanging="1416" w:firstLineChars="0"/>
        <w:contextualSpacing/>
        <w:rPr>
          <w:rFonts w:cs="宋体" w:asciiTheme="minorEastAsia" w:hAnsiTheme="minorEastAsia"/>
          <w:kern w:val="0"/>
          <w:szCs w:val="21"/>
        </w:rPr>
      </w:pPr>
      <w:r>
        <w:rPr>
          <w:rFonts w:hint="eastAsia" w:cs="宋体" w:asciiTheme="minorEastAsia" w:hAnsiTheme="minorEastAsia"/>
          <w:kern w:val="0"/>
          <w:szCs w:val="21"/>
        </w:rPr>
        <w:t>查询渠道：“信用中国”网站（</w:t>
      </w:r>
      <w:r>
        <w:rPr>
          <w:rFonts w:cs="宋体" w:asciiTheme="minorEastAsia" w:hAnsiTheme="minorEastAsia"/>
          <w:kern w:val="0"/>
          <w:szCs w:val="21"/>
        </w:rPr>
        <w:t>www.creditchina.gov.cn</w:t>
      </w:r>
      <w:r>
        <w:rPr>
          <w:rFonts w:hint="eastAsia" w:cs="宋体" w:asciiTheme="minorEastAsia" w:hAnsiTheme="minorEastAsia"/>
          <w:kern w:val="0"/>
          <w:szCs w:val="21"/>
        </w:rPr>
        <w:t>）、“中国政府采购网”（</w:t>
      </w:r>
      <w:r>
        <w:rPr>
          <w:rFonts w:cs="宋体" w:asciiTheme="minorEastAsia" w:hAnsiTheme="minorEastAsia"/>
          <w:kern w:val="0"/>
          <w:szCs w:val="21"/>
        </w:rPr>
        <w:t>www.ccgp.gov.cn</w:t>
      </w:r>
      <w:r>
        <w:rPr>
          <w:rFonts w:hint="eastAsia" w:cs="宋体" w:asciiTheme="minorEastAsia" w:hAnsiTheme="minorEastAsia"/>
          <w:kern w:val="0"/>
          <w:szCs w:val="21"/>
        </w:rPr>
        <w:t>）、“中国社会组织政务服务平台”网站（</w:t>
      </w:r>
      <w:r>
        <w:fldChar w:fldCharType="begin"/>
      </w:r>
      <w:r>
        <w:instrText xml:space="preserve"> HYPERLINK "http://www.chinanpo.gov.cn" </w:instrText>
      </w:r>
      <w:r>
        <w:fldChar w:fldCharType="separate"/>
      </w:r>
      <w:r>
        <w:rPr>
          <w:rStyle w:val="29"/>
          <w:rFonts w:cs="宋体" w:asciiTheme="minorEastAsia" w:hAnsiTheme="minorEastAsia"/>
          <w:color w:val="auto"/>
          <w:kern w:val="0"/>
          <w:szCs w:val="21"/>
        </w:rPr>
        <w:t>https://chinanpo.mca.gov.cn</w:t>
      </w:r>
      <w:r>
        <w:rPr>
          <w:rStyle w:val="29"/>
          <w:rFonts w:cs="宋体" w:asciiTheme="minorEastAsia" w:hAnsiTheme="minorEastAsia"/>
          <w:color w:val="auto"/>
          <w:kern w:val="0"/>
          <w:szCs w:val="21"/>
        </w:rPr>
        <w:fldChar w:fldCharType="end"/>
      </w:r>
      <w:r>
        <w:rPr>
          <w:rFonts w:hint="eastAsia" w:cs="宋体" w:asciiTheme="minorEastAsia" w:hAnsiTheme="minorEastAsia"/>
          <w:kern w:val="0"/>
          <w:szCs w:val="21"/>
        </w:rPr>
        <w:t>）；</w:t>
      </w:r>
    </w:p>
    <w:p w14:paraId="75655366">
      <w:pPr>
        <w:pStyle w:val="42"/>
        <w:numPr>
          <w:ilvl w:val="0"/>
          <w:numId w:val="15"/>
        </w:numPr>
        <w:autoSpaceDE w:val="0"/>
        <w:autoSpaceDN w:val="0"/>
        <w:spacing w:line="360" w:lineRule="auto"/>
        <w:ind w:left="1418" w:hanging="1416" w:firstLineChars="0"/>
        <w:contextualSpacing/>
        <w:rPr>
          <w:rFonts w:cs="宋体" w:asciiTheme="minorEastAsia" w:hAnsiTheme="minorEastAsia"/>
          <w:kern w:val="0"/>
          <w:szCs w:val="21"/>
        </w:rPr>
      </w:pPr>
      <w:r>
        <w:rPr>
          <w:rFonts w:hint="eastAsia" w:cs="宋体" w:asciiTheme="minorEastAsia" w:hAnsiTheme="minorEastAsia"/>
          <w:kern w:val="0"/>
          <w:szCs w:val="21"/>
        </w:rPr>
        <w:t>截止时间：同投标截止时间；</w:t>
      </w:r>
    </w:p>
    <w:p w14:paraId="781866EA">
      <w:pPr>
        <w:pStyle w:val="42"/>
        <w:numPr>
          <w:ilvl w:val="0"/>
          <w:numId w:val="15"/>
        </w:numPr>
        <w:autoSpaceDE w:val="0"/>
        <w:autoSpaceDN w:val="0"/>
        <w:spacing w:line="360" w:lineRule="auto"/>
        <w:ind w:left="1418" w:hanging="1416" w:firstLineChars="0"/>
        <w:contextualSpacing/>
        <w:rPr>
          <w:rFonts w:cs="宋体" w:asciiTheme="minorEastAsia" w:hAnsiTheme="minorEastAsia"/>
          <w:kern w:val="0"/>
          <w:szCs w:val="21"/>
        </w:rPr>
      </w:pPr>
      <w:r>
        <w:rPr>
          <w:rFonts w:hint="eastAsia" w:cs="宋体" w:asciiTheme="minorEastAsia" w:hAnsiTheme="minorEastAsia"/>
          <w:kern w:val="0"/>
          <w:szCs w:val="21"/>
        </w:rPr>
        <w:t>信用信息查询记录和证据留存具体方式：经采购人确认的查询结果网页截图作为查询记录和证据，与其他采购文件一并保存；</w:t>
      </w:r>
    </w:p>
    <w:p w14:paraId="4D94B6D5">
      <w:pPr>
        <w:pStyle w:val="42"/>
        <w:numPr>
          <w:ilvl w:val="0"/>
          <w:numId w:val="15"/>
        </w:numPr>
        <w:autoSpaceDE w:val="0"/>
        <w:autoSpaceDN w:val="0"/>
        <w:spacing w:line="360" w:lineRule="auto"/>
        <w:ind w:left="1418" w:hanging="1416" w:firstLineChars="0"/>
        <w:contextualSpacing/>
        <w:rPr>
          <w:rFonts w:cs="宋体" w:asciiTheme="minorEastAsia" w:hAnsiTheme="minorEastAsia"/>
          <w:kern w:val="0"/>
          <w:szCs w:val="21"/>
        </w:rPr>
      </w:pPr>
      <w:r>
        <w:rPr>
          <w:rFonts w:hint="eastAsia" w:cs="宋体" w:asciiTheme="minorEastAsia" w:hAnsiTheme="minorEastAsia"/>
          <w:kern w:val="0"/>
          <w:szCs w:val="21"/>
        </w:rPr>
        <w:t>信用信息的使用原则：经采购人认定的被列入失信被执行人、税收违法黑名单、</w:t>
      </w:r>
      <w:r>
        <w:rPr>
          <w:rFonts w:cs="仿宋_GB2312" w:asciiTheme="minorEastAsia" w:hAnsiTheme="minorEastAsia"/>
          <w:szCs w:val="21"/>
          <w:shd w:val="clear" w:color="auto" w:fill="FFFFFF"/>
        </w:rPr>
        <w:t>政府采购严重违法失信行为记录名单</w:t>
      </w:r>
      <w:r>
        <w:rPr>
          <w:rFonts w:hint="eastAsia" w:cs="仿宋_GB2312" w:asciiTheme="minorEastAsia" w:hAnsiTheme="minorEastAsia"/>
          <w:szCs w:val="21"/>
          <w:shd w:val="clear" w:color="auto" w:fill="FFFFFF"/>
        </w:rPr>
        <w:t>的投标人、</w:t>
      </w:r>
      <w:r>
        <w:rPr>
          <w:rFonts w:hint="eastAsia" w:cs="宋体" w:asciiTheme="minorEastAsia" w:hAnsiTheme="minorEastAsia"/>
          <w:kern w:val="0"/>
          <w:szCs w:val="21"/>
        </w:rPr>
        <w:t>严重违法失信社会组织名单的社会组织，将拒绝其参与本次政府采购活动；</w:t>
      </w:r>
    </w:p>
    <w:p w14:paraId="2F1612A0">
      <w:pPr>
        <w:pStyle w:val="42"/>
        <w:numPr>
          <w:ilvl w:val="0"/>
          <w:numId w:val="15"/>
        </w:numPr>
        <w:autoSpaceDE w:val="0"/>
        <w:autoSpaceDN w:val="0"/>
        <w:spacing w:line="360" w:lineRule="auto"/>
        <w:ind w:left="1418" w:hanging="1416" w:firstLineChars="0"/>
        <w:contextualSpacing/>
        <w:rPr>
          <w:rFonts w:cs="宋体" w:asciiTheme="minorEastAsia" w:hAnsiTheme="minorEastAsia"/>
          <w:kern w:val="0"/>
          <w:szCs w:val="21"/>
        </w:rPr>
      </w:pPr>
      <w:r>
        <w:rPr>
          <w:rFonts w:hint="eastAsia" w:cs="宋体" w:asciiTheme="minorEastAsia" w:hAnsiTheme="minorEastAsia"/>
          <w:kern w:val="0"/>
          <w:szCs w:val="21"/>
        </w:rPr>
        <w:t>投标人无须提供</w:t>
      </w:r>
      <w:r>
        <w:rPr>
          <w:rFonts w:hint="eastAsia" w:ascii="宋体" w:hAnsi="宋体" w:cs="微软雅黑"/>
          <w:bCs/>
          <w:szCs w:val="21"/>
        </w:rPr>
        <w:t>信用记录查询结果网页截屏。</w:t>
      </w:r>
      <w:r>
        <w:rPr>
          <w:rFonts w:hint="eastAsia" w:cs="宋体" w:asciiTheme="minorEastAsia" w:hAnsiTheme="minorEastAsia"/>
          <w:kern w:val="0"/>
          <w:szCs w:val="21"/>
        </w:rPr>
        <w:t>投标人不良信用记录以采购人查询结果为准，采购人查询之后，网站信息发生的任何变更不再作为评审依据，投标人自行提供的与网站信息不一致的其他证明材料亦不作为评审依据。</w:t>
      </w:r>
    </w:p>
    <w:p w14:paraId="388E2886">
      <w:pPr>
        <w:pStyle w:val="42"/>
        <w:numPr>
          <w:ilvl w:val="1"/>
          <w:numId w:val="13"/>
        </w:numPr>
        <w:autoSpaceDE w:val="0"/>
        <w:autoSpaceDN w:val="0"/>
        <w:spacing w:line="360" w:lineRule="auto"/>
        <w:ind w:hanging="964" w:firstLineChars="0"/>
        <w:contextualSpacing/>
        <w:rPr>
          <w:rFonts w:ascii="宋体" w:hAnsi="宋体"/>
          <w:szCs w:val="21"/>
        </w:rPr>
      </w:pPr>
      <w:r>
        <w:rPr>
          <w:rFonts w:hint="eastAsia" w:ascii="宋体" w:hAnsi="宋体"/>
          <w:szCs w:val="21"/>
        </w:rPr>
        <w:t>单位负责人为同一人或者存在直接控股、管理关系的不同供应商，不得同时参加本项目投标。违反规定的，相关投标均无效。</w:t>
      </w:r>
    </w:p>
    <w:p w14:paraId="04C4B3BA">
      <w:pPr>
        <w:pStyle w:val="42"/>
        <w:numPr>
          <w:ilvl w:val="1"/>
          <w:numId w:val="13"/>
        </w:numPr>
        <w:autoSpaceDE w:val="0"/>
        <w:autoSpaceDN w:val="0"/>
        <w:spacing w:line="360" w:lineRule="auto"/>
        <w:ind w:hanging="964" w:firstLineChars="0"/>
        <w:contextualSpacing/>
        <w:rPr>
          <w:rFonts w:ascii="宋体" w:hAnsi="宋体"/>
          <w:szCs w:val="21"/>
        </w:rPr>
      </w:pPr>
      <w:r>
        <w:rPr>
          <w:rFonts w:hint="eastAsia" w:cs="宋体" w:asciiTheme="minorEastAsia" w:hAnsiTheme="minorEastAsia"/>
          <w:kern w:val="0"/>
          <w:szCs w:val="21"/>
        </w:rPr>
        <w:t>为采购项目提供整体设计、规范编制或者项目管理、监理、检测等服务的供应商，不得再参加该采购项目的其他采购活动。</w:t>
      </w:r>
    </w:p>
    <w:p w14:paraId="2F5FE957">
      <w:pPr>
        <w:pStyle w:val="42"/>
        <w:numPr>
          <w:ilvl w:val="1"/>
          <w:numId w:val="13"/>
        </w:numPr>
        <w:autoSpaceDE w:val="0"/>
        <w:autoSpaceDN w:val="0"/>
        <w:spacing w:line="360" w:lineRule="auto"/>
        <w:ind w:hanging="964" w:firstLineChars="0"/>
        <w:contextualSpacing/>
        <w:rPr>
          <w:rFonts w:ascii="宋体" w:hAnsi="宋体"/>
          <w:szCs w:val="21"/>
        </w:rPr>
      </w:pPr>
      <w:r>
        <w:rPr>
          <w:rFonts w:hint="eastAsia" w:cs="宋体" w:asciiTheme="minorEastAsia" w:hAnsiTheme="minorEastAsia"/>
          <w:kern w:val="0"/>
          <w:szCs w:val="21"/>
        </w:rPr>
        <w:t>“投标邀请”和“投标人须知前附表”规定接受联合体投标的，除应符合本章第</w:t>
      </w:r>
      <w:r>
        <w:rPr>
          <w:rFonts w:cs="宋体" w:asciiTheme="minorEastAsia" w:hAnsiTheme="minorEastAsia"/>
          <w:kern w:val="0"/>
          <w:szCs w:val="21"/>
        </w:rPr>
        <w:t>3.1</w:t>
      </w:r>
      <w:r>
        <w:rPr>
          <w:rFonts w:hint="eastAsia" w:cs="宋体" w:asciiTheme="minorEastAsia" w:hAnsiTheme="minorEastAsia"/>
          <w:kern w:val="0"/>
          <w:szCs w:val="21"/>
        </w:rPr>
        <w:t>项和3.2项要求外，还应遵守以下规定：</w:t>
      </w:r>
    </w:p>
    <w:p w14:paraId="18DD4731">
      <w:pPr>
        <w:pStyle w:val="42"/>
        <w:numPr>
          <w:ilvl w:val="0"/>
          <w:numId w:val="16"/>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在投标文件中向采购人提交联合体协议书，明确联合体各方承担的工作和义务；</w:t>
      </w:r>
    </w:p>
    <w:p w14:paraId="38B21F29">
      <w:pPr>
        <w:pStyle w:val="42"/>
        <w:numPr>
          <w:ilvl w:val="0"/>
          <w:numId w:val="16"/>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联合体中有同类资质的供应商按联合体分工承担相同工作的，应当按照资质等级较低的供应商确定资质等级；</w:t>
      </w:r>
    </w:p>
    <w:p w14:paraId="46C1D59A">
      <w:pPr>
        <w:pStyle w:val="42"/>
        <w:numPr>
          <w:ilvl w:val="0"/>
          <w:numId w:val="16"/>
        </w:numPr>
        <w:autoSpaceDE w:val="0"/>
        <w:autoSpaceDN w:val="0"/>
        <w:spacing w:line="360" w:lineRule="auto"/>
        <w:ind w:left="1418" w:hanging="1416" w:firstLineChars="0"/>
        <w:contextualSpacing/>
        <w:rPr>
          <w:rFonts w:cs="宋体" w:asciiTheme="minorEastAsia" w:hAnsiTheme="minorEastAsia"/>
          <w:kern w:val="0"/>
          <w:szCs w:val="21"/>
        </w:rPr>
      </w:pPr>
      <w:r>
        <w:rPr>
          <w:rFonts w:hint="eastAsia" w:cs="宋体" w:asciiTheme="minorEastAsia" w:hAnsiTheme="minorEastAsia"/>
          <w:kern w:val="0"/>
          <w:szCs w:val="21"/>
        </w:rPr>
        <w:t>招标人根据采购项目的特殊要求规定投标人特定条件的，联合体各方中至少应当有一方符合采购规定的特定条件。</w:t>
      </w:r>
    </w:p>
    <w:p w14:paraId="3E4E1F9E">
      <w:pPr>
        <w:pStyle w:val="42"/>
        <w:numPr>
          <w:ilvl w:val="0"/>
          <w:numId w:val="16"/>
        </w:numPr>
        <w:autoSpaceDE w:val="0"/>
        <w:autoSpaceDN w:val="0"/>
        <w:spacing w:line="360" w:lineRule="auto"/>
        <w:ind w:left="1418" w:hanging="1416" w:firstLineChars="0"/>
        <w:contextualSpacing/>
        <w:rPr>
          <w:rFonts w:cs="宋体" w:asciiTheme="minorEastAsia" w:hAnsiTheme="minorEastAsia"/>
          <w:kern w:val="0"/>
          <w:szCs w:val="21"/>
        </w:rPr>
      </w:pPr>
      <w:r>
        <w:rPr>
          <w:rFonts w:hint="eastAsia" w:cs="宋体" w:asciiTheme="minorEastAsia" w:hAnsiTheme="minorEastAsia"/>
          <w:kern w:val="0"/>
          <w:szCs w:val="21"/>
        </w:rPr>
        <w:t>联合体各方不得再单独参加或者与其他供应商另外组成联合体参加同一合同项下的政府采购活动。</w:t>
      </w:r>
    </w:p>
    <w:p w14:paraId="0B2803E0">
      <w:pPr>
        <w:pStyle w:val="42"/>
        <w:numPr>
          <w:ilvl w:val="0"/>
          <w:numId w:val="16"/>
        </w:numPr>
        <w:autoSpaceDE w:val="0"/>
        <w:autoSpaceDN w:val="0"/>
        <w:spacing w:line="360" w:lineRule="auto"/>
        <w:ind w:left="1418" w:hanging="1416" w:firstLineChars="0"/>
        <w:contextualSpacing/>
        <w:rPr>
          <w:rFonts w:cs="宋体" w:asciiTheme="minorEastAsia" w:hAnsiTheme="minorEastAsia"/>
          <w:kern w:val="0"/>
          <w:szCs w:val="21"/>
        </w:rPr>
      </w:pPr>
      <w:r>
        <w:rPr>
          <w:rFonts w:cs="宋体" w:asciiTheme="minorEastAsia" w:hAnsiTheme="minorEastAsia"/>
          <w:kern w:val="0"/>
          <w:szCs w:val="21"/>
        </w:rPr>
        <w:t>联合体各方应当共同与采购人签订采购合同，就采购合同约定的事项对采购人</w:t>
      </w:r>
      <w:r>
        <w:fldChar w:fldCharType="begin"/>
      </w:r>
      <w:r>
        <w:instrText xml:space="preserve"> HYPERLINK "https://baike.baidu.com/item/%E6%89%BF%E6%8B%85%E8%BF%9E%E5%B8%A6%E8%B4%A3%E4%BB%BB" \t "_blank" </w:instrText>
      </w:r>
      <w:r>
        <w:fldChar w:fldCharType="separate"/>
      </w:r>
      <w:r>
        <w:rPr>
          <w:rFonts w:cs="宋体" w:asciiTheme="minorEastAsia" w:hAnsiTheme="minorEastAsia"/>
          <w:kern w:val="0"/>
          <w:szCs w:val="21"/>
        </w:rPr>
        <w:t>承担连带责任</w:t>
      </w:r>
      <w:r>
        <w:rPr>
          <w:rFonts w:cs="宋体" w:asciiTheme="minorEastAsia" w:hAnsiTheme="minorEastAsia"/>
          <w:kern w:val="0"/>
          <w:szCs w:val="21"/>
        </w:rPr>
        <w:fldChar w:fldCharType="end"/>
      </w:r>
      <w:r>
        <w:rPr>
          <w:rFonts w:cs="宋体" w:asciiTheme="minorEastAsia" w:hAnsiTheme="minorEastAsia"/>
          <w:kern w:val="0"/>
          <w:szCs w:val="21"/>
        </w:rPr>
        <w:t>。</w:t>
      </w:r>
    </w:p>
    <w:p w14:paraId="4AF8C13C">
      <w:pPr>
        <w:pStyle w:val="42"/>
        <w:numPr>
          <w:ilvl w:val="0"/>
          <w:numId w:val="17"/>
        </w:numPr>
        <w:autoSpaceDE w:val="0"/>
        <w:autoSpaceDN w:val="0"/>
        <w:spacing w:line="360" w:lineRule="auto"/>
        <w:ind w:firstLineChars="0"/>
        <w:contextualSpacing/>
        <w:rPr>
          <w:rFonts w:cs="宋体" w:asciiTheme="minorEastAsia" w:hAnsiTheme="minorEastAsia"/>
          <w:kern w:val="0"/>
          <w:szCs w:val="21"/>
        </w:rPr>
      </w:pPr>
      <w:r>
        <w:rPr>
          <w:rFonts w:hint="eastAsia" w:cs="宋体" w:asciiTheme="minorEastAsia" w:hAnsiTheme="minorEastAsia"/>
          <w:kern w:val="0"/>
          <w:szCs w:val="21"/>
        </w:rPr>
        <w:t>法律、行政法规规定的其他条件。</w:t>
      </w:r>
    </w:p>
    <w:p w14:paraId="6B7D564D">
      <w:pPr>
        <w:pStyle w:val="42"/>
        <w:autoSpaceDE w:val="0"/>
        <w:autoSpaceDN w:val="0"/>
        <w:spacing w:line="360" w:lineRule="auto"/>
        <w:ind w:left="964" w:firstLine="0" w:firstLineChars="0"/>
        <w:contextualSpacing/>
        <w:rPr>
          <w:rFonts w:cs="宋体" w:asciiTheme="minorEastAsia" w:hAnsiTheme="minorEastAsia"/>
          <w:kern w:val="0"/>
          <w:szCs w:val="21"/>
        </w:rPr>
      </w:pPr>
    </w:p>
    <w:p w14:paraId="5FCDBADB">
      <w:pPr>
        <w:pStyle w:val="42"/>
        <w:numPr>
          <w:ilvl w:val="0"/>
          <w:numId w:val="13"/>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合格的货物和服务</w:t>
      </w:r>
    </w:p>
    <w:p w14:paraId="7B7D4CF1">
      <w:pPr>
        <w:pStyle w:val="42"/>
        <w:numPr>
          <w:ilvl w:val="0"/>
          <w:numId w:val="14"/>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人提供的货物应当符合招标文件的要求，并且其质量完全符合国家标准、行业标准或地方标准，均有标准的以高（严格）者为准。没有国家标准、行业标准和企业标准的，按照通常标准或者符合采购目的的特定标准确定。</w:t>
      </w:r>
    </w:p>
    <w:p w14:paraId="40792AFD">
      <w:pPr>
        <w:pStyle w:val="42"/>
        <w:numPr>
          <w:ilvl w:val="1"/>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投标人所提供的服务应当没有侵犯任何第三方的知识产权、技术秘密等合法权利。</w:t>
      </w:r>
    </w:p>
    <w:p w14:paraId="4A543B84">
      <w:pPr>
        <w:pStyle w:val="42"/>
        <w:numPr>
          <w:ilvl w:val="1"/>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bCs/>
          <w:szCs w:val="21"/>
          <w:lang w:val="en-US" w:eastAsia="zh-CN"/>
        </w:rPr>
        <w:t>根据</w:t>
      </w:r>
      <w:r>
        <w:rPr>
          <w:rFonts w:hint="eastAsia" w:cs="宋体" w:asciiTheme="minorEastAsia" w:hAnsiTheme="minorEastAsia"/>
          <w:bCs/>
          <w:szCs w:val="21"/>
          <w:lang w:val="zh-CN"/>
        </w:rPr>
        <w:t>《财政部 发展改革委 生态环境部 市场监管总局关于调整优化节能产品、环境标志产品政府采购执行机制的通知》（财库〔2019〕9号）、关于印发节能产品政府采购品目清单的通知（财库〔2019〕19号）、关于印发环境标志产品政府采购品目清单的通知（财库〔2019〕18号）、市场监管总局关于发布参与实施政府采购节能产品、环境标志产品认证机构名录的公告（2019年第16号），本次投标产品属于政府强制采购产品的，须提供国家确定的认证机构出具的、处于有效期之内的节能产品认证证书，否则投标无效；属于政府优先采购产品的，须提供国家确定的认证机构出具的、处于有效期之内的节能产品、环境标志产品认证证书，否则不予认定。</w:t>
      </w:r>
    </w:p>
    <w:p w14:paraId="1ADF2115">
      <w:pPr>
        <w:pStyle w:val="42"/>
        <w:numPr>
          <w:ilvl w:val="1"/>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根据财政部、工业和信息化部、国家质检总局、国家认监委联合发布</w:t>
      </w:r>
      <w:bookmarkStart w:id="2" w:name="baidusnap0"/>
      <w:bookmarkEnd w:id="2"/>
      <w:r>
        <w:rPr>
          <w:rFonts w:hint="eastAsia" w:cs="宋体" w:asciiTheme="minorEastAsia" w:hAnsiTheme="minorEastAsia"/>
          <w:kern w:val="0"/>
          <w:szCs w:val="21"/>
        </w:rPr>
        <w:t>《关于信息安全产品实施政府采购的通知》（财库[2010]48号）要求，投标人所投产品如被列入</w:t>
      </w:r>
      <w:r>
        <w:rPr>
          <w:rFonts w:cs="宋体" w:asciiTheme="minorEastAsia" w:hAnsiTheme="minorEastAsia"/>
          <w:kern w:val="0"/>
          <w:szCs w:val="21"/>
        </w:rPr>
        <w:t>《信息安全产品强制性认证目录》，</w:t>
      </w:r>
      <w:r>
        <w:rPr>
          <w:rFonts w:hint="eastAsia" w:cs="宋体" w:asciiTheme="minorEastAsia" w:hAnsiTheme="minorEastAsia"/>
          <w:kern w:val="0"/>
          <w:szCs w:val="21"/>
        </w:rPr>
        <w:t>则该产品应</w:t>
      </w:r>
      <w:r>
        <w:rPr>
          <w:rFonts w:cs="宋体" w:asciiTheme="minorEastAsia" w:hAnsiTheme="minorEastAsia"/>
          <w:kern w:val="0"/>
          <w:szCs w:val="21"/>
        </w:rPr>
        <w:t>具备</w:t>
      </w:r>
      <w:r>
        <w:rPr>
          <w:rFonts w:hint="eastAsia" w:cs="宋体" w:asciiTheme="minorEastAsia" w:hAnsiTheme="minorEastAsia"/>
          <w:kern w:val="0"/>
          <w:szCs w:val="21"/>
        </w:rPr>
        <w:t>中国信息安全认证中心</w:t>
      </w:r>
      <w:r>
        <w:rPr>
          <w:rFonts w:cs="宋体" w:asciiTheme="minorEastAsia" w:hAnsiTheme="minorEastAsia"/>
          <w:kern w:val="0"/>
          <w:szCs w:val="21"/>
        </w:rPr>
        <w:t>颁</w:t>
      </w:r>
      <w:r>
        <w:rPr>
          <w:rFonts w:hint="eastAsia" w:cs="宋体" w:asciiTheme="minorEastAsia" w:hAnsiTheme="minorEastAsia"/>
          <w:kern w:val="0"/>
          <w:szCs w:val="21"/>
        </w:rPr>
        <w:t>发的</w:t>
      </w:r>
      <w:r>
        <w:rPr>
          <w:rFonts w:cs="宋体" w:asciiTheme="minorEastAsia" w:hAnsiTheme="minorEastAsia"/>
          <w:kern w:val="0"/>
          <w:szCs w:val="21"/>
        </w:rPr>
        <w:t>《</w:t>
      </w:r>
      <w:r>
        <w:fldChar w:fldCharType="begin"/>
      </w:r>
      <w:r>
        <w:instrText xml:space="preserve"> HYPERLINK "http://www.cnca.gov.cn/cnca/zwxx/ggxx/images/2010/07/19/A6C32D2A507AC2A38326896013A67542.doc" \t "_blank" </w:instrText>
      </w:r>
      <w:r>
        <w:fldChar w:fldCharType="separate"/>
      </w:r>
      <w:r>
        <w:rPr>
          <w:rFonts w:hint="eastAsia" w:cs="宋体" w:asciiTheme="minorEastAsia" w:hAnsiTheme="minorEastAsia"/>
          <w:kern w:val="0"/>
          <w:szCs w:val="21"/>
        </w:rPr>
        <w:t>中国国家信息安全产品认证证书</w:t>
      </w:r>
      <w:r>
        <w:rPr>
          <w:rFonts w:hint="eastAsia" w:cs="宋体" w:asciiTheme="minorEastAsia" w:hAnsiTheme="minorEastAsia"/>
          <w:kern w:val="0"/>
          <w:szCs w:val="21"/>
        </w:rPr>
        <w:fldChar w:fldCharType="end"/>
      </w:r>
      <w:r>
        <w:rPr>
          <w:rFonts w:cs="宋体" w:asciiTheme="minorEastAsia" w:hAnsiTheme="minorEastAsia"/>
          <w:kern w:val="0"/>
          <w:szCs w:val="21"/>
        </w:rPr>
        <w:t>》。</w:t>
      </w:r>
      <w:r>
        <w:rPr>
          <w:rFonts w:hint="eastAsia" w:cs="宋体" w:asciiTheme="minorEastAsia" w:hAnsiTheme="minorEastAsia"/>
          <w:kern w:val="0"/>
          <w:szCs w:val="21"/>
        </w:rPr>
        <w:t>投标人</w:t>
      </w:r>
      <w:r>
        <w:rPr>
          <w:rFonts w:cs="宋体" w:asciiTheme="minorEastAsia" w:hAnsiTheme="minorEastAsia"/>
          <w:kern w:val="0"/>
          <w:szCs w:val="21"/>
        </w:rPr>
        <w:t>不能提供超出此目录范畴外的替代品</w:t>
      </w:r>
      <w:r>
        <w:rPr>
          <w:rFonts w:hint="eastAsia" w:cs="宋体" w:asciiTheme="minorEastAsia" w:hAnsiTheme="minorEastAsia"/>
          <w:kern w:val="0"/>
          <w:szCs w:val="21"/>
        </w:rPr>
        <w:t>。</w:t>
      </w:r>
    </w:p>
    <w:p w14:paraId="3BF8E2FF">
      <w:pPr>
        <w:pStyle w:val="42"/>
        <w:autoSpaceDE w:val="0"/>
        <w:autoSpaceDN w:val="0"/>
        <w:spacing w:line="360" w:lineRule="auto"/>
        <w:ind w:left="964" w:firstLine="0" w:firstLineChars="0"/>
        <w:contextualSpacing/>
        <w:rPr>
          <w:rFonts w:cs="宋体" w:asciiTheme="minorEastAsia" w:hAnsiTheme="minorEastAsia"/>
          <w:kern w:val="0"/>
          <w:szCs w:val="21"/>
        </w:rPr>
      </w:pPr>
    </w:p>
    <w:p w14:paraId="69A57640">
      <w:pPr>
        <w:pStyle w:val="42"/>
        <w:numPr>
          <w:ilvl w:val="0"/>
          <w:numId w:val="13"/>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投标费用</w:t>
      </w:r>
    </w:p>
    <w:p w14:paraId="6B240868">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不论投标的结果如何，投标人均应自行承担所有与投标有关的全部费用，招标人在任何情况下均无义务和责任承担这些费用。</w:t>
      </w:r>
    </w:p>
    <w:p w14:paraId="6FF4D369">
      <w:pPr>
        <w:autoSpaceDE w:val="0"/>
        <w:autoSpaceDN w:val="0"/>
        <w:spacing w:line="360" w:lineRule="auto"/>
        <w:ind w:left="964"/>
        <w:contextualSpacing/>
        <w:rPr>
          <w:rFonts w:cs="宋体" w:asciiTheme="minorEastAsia" w:hAnsiTheme="minorEastAsia"/>
          <w:kern w:val="0"/>
          <w:szCs w:val="21"/>
        </w:rPr>
      </w:pPr>
    </w:p>
    <w:p w14:paraId="0CCB1905">
      <w:pPr>
        <w:pStyle w:val="42"/>
        <w:numPr>
          <w:ilvl w:val="0"/>
          <w:numId w:val="13"/>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信息发布</w:t>
      </w:r>
    </w:p>
    <w:p w14:paraId="49778EEC">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本采购项目需要公开的有关信息，包括招标公告、招标文件澄清或修改公告、中标公告以及延长投标截止时间等与招标活动有关的通知，招标人均将通过在《中国政府采购网》、《河南省政府采购网》《许昌市政府采购网》和《全国公共资源交易平台（河南省·许昌市）》公开发布。投标人在参与本采购项目招投标活动期间，请及时关注以上媒体上的相关信息，投标人因没有及时关注而未能如期获取相关信息，及因此所产生的一切后果和责任，由投标人自行承担，招标人在任何情况下均不对此承担任何责任。</w:t>
      </w:r>
    </w:p>
    <w:p w14:paraId="73582FAA">
      <w:pPr>
        <w:autoSpaceDE w:val="0"/>
        <w:autoSpaceDN w:val="0"/>
        <w:spacing w:line="360" w:lineRule="auto"/>
        <w:ind w:left="964"/>
        <w:contextualSpacing/>
        <w:rPr>
          <w:rFonts w:cs="宋体" w:asciiTheme="minorEastAsia" w:hAnsiTheme="minorEastAsia"/>
          <w:kern w:val="0"/>
          <w:szCs w:val="21"/>
        </w:rPr>
      </w:pPr>
    </w:p>
    <w:p w14:paraId="275D88F2">
      <w:pPr>
        <w:pStyle w:val="42"/>
        <w:numPr>
          <w:ilvl w:val="0"/>
          <w:numId w:val="13"/>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采购代理机构代理费用收取标准和方式</w:t>
      </w:r>
    </w:p>
    <w:p w14:paraId="189DC60B">
      <w:pPr>
        <w:pStyle w:val="42"/>
        <w:autoSpaceDE w:val="0"/>
        <w:autoSpaceDN w:val="0"/>
        <w:spacing w:line="360" w:lineRule="auto"/>
        <w:ind w:left="964" w:firstLine="0" w:firstLineChars="0"/>
        <w:contextualSpacing/>
        <w:rPr>
          <w:rFonts w:cs="宋体" w:asciiTheme="minorEastAsia" w:hAnsiTheme="minorEastAsia"/>
          <w:kern w:val="0"/>
          <w:szCs w:val="21"/>
        </w:rPr>
      </w:pPr>
      <w:r>
        <w:rPr>
          <w:rFonts w:hint="eastAsia" w:cs="宋体" w:asciiTheme="minorEastAsia" w:hAnsiTheme="minorEastAsia"/>
          <w:kern w:val="0"/>
          <w:szCs w:val="21"/>
        </w:rPr>
        <w:t>本项目不收取代理费用。详见投标人须知前附表。</w:t>
      </w:r>
    </w:p>
    <w:p w14:paraId="4D0CEECE">
      <w:pPr>
        <w:pStyle w:val="42"/>
        <w:autoSpaceDE w:val="0"/>
        <w:autoSpaceDN w:val="0"/>
        <w:spacing w:line="360" w:lineRule="auto"/>
        <w:ind w:left="964" w:firstLine="0" w:firstLineChars="0"/>
        <w:contextualSpacing/>
        <w:rPr>
          <w:rFonts w:cs="宋体" w:asciiTheme="minorEastAsia" w:hAnsiTheme="minorEastAsia"/>
          <w:kern w:val="0"/>
          <w:szCs w:val="21"/>
        </w:rPr>
      </w:pPr>
    </w:p>
    <w:p w14:paraId="639DBB16">
      <w:pPr>
        <w:pStyle w:val="42"/>
        <w:numPr>
          <w:ilvl w:val="0"/>
          <w:numId w:val="13"/>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其他</w:t>
      </w:r>
    </w:p>
    <w:p w14:paraId="09499729">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本“投标人须知”的条款如与“投标邀请”、“项目需求”、“投标人须知前附表”和“资格审查与评标”就同一内容的表述不一致的，以“投标邀请”、“ 项目需求”、 “投标人须知前附表”和“资格审查与评标”中规定的内容为准。</w:t>
      </w:r>
    </w:p>
    <w:p w14:paraId="35E3BBFB">
      <w:pPr>
        <w:autoSpaceDE w:val="0"/>
        <w:autoSpaceDN w:val="0"/>
        <w:spacing w:line="360" w:lineRule="auto"/>
        <w:contextualSpacing/>
        <w:rPr>
          <w:rFonts w:cs="宋体" w:asciiTheme="minorEastAsia" w:hAnsiTheme="minorEastAsia"/>
          <w:kern w:val="0"/>
          <w:szCs w:val="21"/>
        </w:rPr>
      </w:pPr>
    </w:p>
    <w:p w14:paraId="5B19BB3C">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二、招标文件说明</w:t>
      </w:r>
    </w:p>
    <w:p w14:paraId="152D1857">
      <w:pPr>
        <w:pStyle w:val="42"/>
        <w:numPr>
          <w:ilvl w:val="0"/>
          <w:numId w:val="13"/>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招标文件构成</w:t>
      </w:r>
    </w:p>
    <w:p w14:paraId="1676EAD5">
      <w:pPr>
        <w:pStyle w:val="42"/>
        <w:numPr>
          <w:ilvl w:val="0"/>
          <w:numId w:val="1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招标文件由以下部分组成：</w:t>
      </w:r>
    </w:p>
    <w:p w14:paraId="7E152778">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（1）投标邀请（招标公告）</w:t>
      </w:r>
    </w:p>
    <w:p w14:paraId="26B04D8A">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（2）项目需求</w:t>
      </w:r>
    </w:p>
    <w:p w14:paraId="3E4C53DC">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（3）投标人须知前附表</w:t>
      </w:r>
    </w:p>
    <w:p w14:paraId="0C56A719">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（4）投标人须知</w:t>
      </w:r>
    </w:p>
    <w:p w14:paraId="5BDBFD2F">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（5）政府采购政策功能</w:t>
      </w:r>
    </w:p>
    <w:p w14:paraId="0261544D">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（6）资格审查与评标</w:t>
      </w:r>
    </w:p>
    <w:p w14:paraId="1FDE073A">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（7）拟签订的合同文本</w:t>
      </w:r>
    </w:p>
    <w:p w14:paraId="0ED9A0CE">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（8）投标文件有关格式</w:t>
      </w:r>
    </w:p>
    <w:p w14:paraId="0D01F42D">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（9）本项目招标文件的澄清、答复、修改、补充内容（如有的话）</w:t>
      </w:r>
    </w:p>
    <w:p w14:paraId="1B053682">
      <w:pPr>
        <w:pStyle w:val="42"/>
        <w:numPr>
          <w:ilvl w:val="1"/>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人应认真阅读、并充分理解招标文件的全部内容（包括所有的补充、修改内容、重要事项、格式、条款和技术规范、参数及要求等），按招标文件要求和规定编制投标文件，并保证所提供的全部资料的真实性，否则有可能导致投标被拒绝，其风险由投标人自行承担。</w:t>
      </w:r>
    </w:p>
    <w:p w14:paraId="470CEF0B">
      <w:pPr>
        <w:pStyle w:val="42"/>
        <w:numPr>
          <w:ilvl w:val="1"/>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人应认真了解本次招标的具体工作要求、工作范围以及职责，了解一切可能影响投标报价的资料。一经中标，不得以不完全了解项目要求、项目情况等为借口而提出额外补偿等要求，否则，由此引起的一切后果由中标人负责。</w:t>
      </w:r>
    </w:p>
    <w:p w14:paraId="3C50B795">
      <w:pPr>
        <w:pStyle w:val="42"/>
        <w:autoSpaceDE w:val="0"/>
        <w:autoSpaceDN w:val="0"/>
        <w:spacing w:line="360" w:lineRule="auto"/>
        <w:ind w:left="964" w:firstLine="0" w:firstLineChars="0"/>
        <w:contextualSpacing/>
        <w:rPr>
          <w:rFonts w:cs="宋体" w:asciiTheme="minorEastAsia" w:hAnsiTheme="minorEastAsia"/>
          <w:kern w:val="0"/>
          <w:szCs w:val="21"/>
        </w:rPr>
      </w:pPr>
    </w:p>
    <w:p w14:paraId="07346093">
      <w:pPr>
        <w:pStyle w:val="42"/>
        <w:numPr>
          <w:ilvl w:val="0"/>
          <w:numId w:val="13"/>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现场考察、开标前答疑会</w:t>
      </w:r>
    </w:p>
    <w:p w14:paraId="4B1AE322">
      <w:pPr>
        <w:pStyle w:val="42"/>
        <w:numPr>
          <w:ilvl w:val="0"/>
          <w:numId w:val="1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招标人根据采购项目的具体情况，可以在招标文件公告期满后，组织已获取招标文件的潜在投标人现场考察或者召开开标前答疑会。</w:t>
      </w:r>
    </w:p>
    <w:p w14:paraId="129C9406">
      <w:pPr>
        <w:autoSpaceDE w:val="0"/>
        <w:autoSpaceDN w:val="0"/>
        <w:spacing w:line="360" w:lineRule="auto"/>
        <w:ind w:left="964" w:firstLine="29"/>
        <w:contextualSpacing/>
        <w:rPr>
          <w:rFonts w:cs="宋体" w:asciiTheme="minorEastAsia" w:hAnsiTheme="minorEastAsia"/>
          <w:kern w:val="0"/>
          <w:szCs w:val="21"/>
        </w:rPr>
      </w:pPr>
      <w:r>
        <w:rPr>
          <w:rFonts w:hint="eastAsia" w:cs="宋体" w:asciiTheme="minorEastAsia" w:hAnsiTheme="minorEastAsia"/>
          <w:kern w:val="0"/>
          <w:szCs w:val="21"/>
        </w:rPr>
        <w:t>招标人组织现场考察或者召开开标前答疑会的，所有投标人应按“投标人须知前附表”规定的时间、地点前往参加现场考察或者开标前答疑会。投标人如不参加，其风险由投标人自行承担，招标人不承担任何责任。</w:t>
      </w:r>
    </w:p>
    <w:p w14:paraId="4428D667">
      <w:pPr>
        <w:pStyle w:val="42"/>
        <w:numPr>
          <w:ilvl w:val="1"/>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招标人组织现场考察或者召开答疑会的，应当在招标文件中载明，或者在招标文件公告期满后在财政部门指定的政府采购信息发布媒体和《全国公共资源交易平台（河南省·许昌市）》发布更正公告。</w:t>
      </w:r>
    </w:p>
    <w:p w14:paraId="31D1EA42">
      <w:pPr>
        <w:pStyle w:val="42"/>
        <w:numPr>
          <w:ilvl w:val="1"/>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招标人在考察现场和开标前答疑会口头介绍的情况，除招标人事后形成书面记录、并以澄清或修改公告的形式发布、构成招标文件的组成部分以外，其他内容仅供投标人在编制投标文件时参考，招标人不对投标人据此作出的判断和决策负责。</w:t>
      </w:r>
    </w:p>
    <w:p w14:paraId="34D0B1B0">
      <w:pPr>
        <w:pStyle w:val="42"/>
        <w:numPr>
          <w:ilvl w:val="1"/>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现场考察及参加开标前答疑会所发生的费用及一切责任由投标人自行承担。</w:t>
      </w:r>
    </w:p>
    <w:p w14:paraId="0BE62F5B">
      <w:pPr>
        <w:autoSpaceDE w:val="0"/>
        <w:autoSpaceDN w:val="0"/>
        <w:spacing w:line="360" w:lineRule="auto"/>
        <w:ind w:left="420"/>
        <w:contextualSpacing/>
        <w:rPr>
          <w:rFonts w:cs="宋体" w:asciiTheme="minorEastAsia" w:hAnsiTheme="minorEastAsia"/>
          <w:kern w:val="0"/>
          <w:szCs w:val="21"/>
        </w:rPr>
      </w:pPr>
    </w:p>
    <w:p w14:paraId="3E6327D1">
      <w:pPr>
        <w:pStyle w:val="42"/>
        <w:numPr>
          <w:ilvl w:val="0"/>
          <w:numId w:val="13"/>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招标文件的澄清或修改</w:t>
      </w:r>
    </w:p>
    <w:p w14:paraId="0F4352BF">
      <w:pPr>
        <w:pStyle w:val="42"/>
        <w:numPr>
          <w:ilvl w:val="0"/>
          <w:numId w:val="19"/>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在投标截止期前，无论出于何种原因，招标人可主动地或在解答潜在投标人提出的澄清问题时对招标文件进行修改。</w:t>
      </w:r>
    </w:p>
    <w:p w14:paraId="65DCFA25">
      <w:pPr>
        <w:pStyle w:val="42"/>
        <w:numPr>
          <w:ilvl w:val="1"/>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招标人可以对已发出的招标文件进行必要的澄清或者修改。澄清或者修改的内容可能影响投标文件编制的，招标人将在投标截止时间</w:t>
      </w:r>
      <w:r>
        <w:rPr>
          <w:rFonts w:cs="宋体" w:asciiTheme="minorEastAsia" w:hAnsiTheme="minorEastAsia"/>
          <w:kern w:val="0"/>
          <w:szCs w:val="21"/>
        </w:rPr>
        <w:t>15</w:t>
      </w:r>
      <w:r>
        <w:rPr>
          <w:rFonts w:hint="eastAsia" w:cs="宋体" w:asciiTheme="minorEastAsia" w:hAnsiTheme="minorEastAsia"/>
          <w:kern w:val="0"/>
          <w:szCs w:val="21"/>
        </w:rPr>
        <w:t>日前，在财政部门指定的政府采购信息发布媒体和《全国公共资源交易平台（河南省·许昌市）》发布更正公告。</w:t>
      </w:r>
    </w:p>
    <w:p w14:paraId="3490A00F">
      <w:pPr>
        <w:pStyle w:val="42"/>
        <w:numPr>
          <w:ilvl w:val="1"/>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澄清或修改公告的内容为招标文件的组成部分，并对投标人具有约束力。当招标文件与澄清或修改公告就同一内容的表述不一致时，以最后发出的文件内容为准。</w:t>
      </w:r>
    </w:p>
    <w:p w14:paraId="31745E0E">
      <w:pPr>
        <w:pStyle w:val="42"/>
        <w:numPr>
          <w:ilvl w:val="1"/>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如果澄清或者修改发出的时间距规定的投标截止时间不足15日，招标人将顺延提交投标文件的截止时间。</w:t>
      </w:r>
    </w:p>
    <w:p w14:paraId="3C14C713">
      <w:pPr>
        <w:autoSpaceDE w:val="0"/>
        <w:autoSpaceDN w:val="0"/>
        <w:spacing w:line="360" w:lineRule="auto"/>
        <w:contextualSpacing/>
        <w:rPr>
          <w:rFonts w:cs="宋体" w:asciiTheme="minorEastAsia" w:hAnsiTheme="minorEastAsia"/>
          <w:kern w:val="0"/>
          <w:szCs w:val="21"/>
        </w:rPr>
      </w:pPr>
    </w:p>
    <w:p w14:paraId="14A7B34F">
      <w:pPr>
        <w:autoSpaceDE w:val="0"/>
        <w:autoSpaceDN w:val="0"/>
        <w:spacing w:line="360" w:lineRule="auto"/>
        <w:contextualSpacing/>
        <w:rPr>
          <w:rFonts w:cs="宋体" w:asciiTheme="minorEastAsia" w:hAnsiTheme="minorEastAsia"/>
          <w:kern w:val="0"/>
          <w:szCs w:val="21"/>
        </w:rPr>
      </w:pPr>
    </w:p>
    <w:p w14:paraId="1F457160">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三、投标文件的编制</w:t>
      </w:r>
    </w:p>
    <w:p w14:paraId="2D1D0A47">
      <w:pPr>
        <w:pStyle w:val="42"/>
        <w:numPr>
          <w:ilvl w:val="0"/>
          <w:numId w:val="13"/>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投标的语言及计量单位</w:t>
      </w:r>
    </w:p>
    <w:p w14:paraId="54796A6A">
      <w:pPr>
        <w:pStyle w:val="42"/>
        <w:numPr>
          <w:ilvl w:val="0"/>
          <w:numId w:val="20"/>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投标人提交的投标文件以及投标人与招标人就有关投标事宜的所有来往书面文件均应使用中文。除签名、盖章、专用名称等特殊情形外，以中文以外的文字表述的投标文件视同未提供。</w:t>
      </w:r>
    </w:p>
    <w:p w14:paraId="5C215A24">
      <w:pPr>
        <w:pStyle w:val="42"/>
        <w:numPr>
          <w:ilvl w:val="1"/>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投标计量单位，招标文件已有明确规定的，使用招标文件规定的计量单位；招标文件没有规定的，一律采用中华人民共和国法定计量单位。</w:t>
      </w:r>
    </w:p>
    <w:p w14:paraId="6F63361B">
      <w:pPr>
        <w:pStyle w:val="42"/>
        <w:autoSpaceDE w:val="0"/>
        <w:autoSpaceDN w:val="0"/>
        <w:spacing w:line="360" w:lineRule="auto"/>
        <w:ind w:left="964" w:firstLine="0" w:firstLineChars="0"/>
        <w:contextualSpacing/>
        <w:rPr>
          <w:rFonts w:cs="宋体" w:asciiTheme="minorEastAsia" w:hAnsiTheme="minorEastAsia"/>
          <w:kern w:val="0"/>
          <w:szCs w:val="21"/>
        </w:rPr>
      </w:pPr>
    </w:p>
    <w:p w14:paraId="3F2FD9E6">
      <w:pPr>
        <w:pStyle w:val="42"/>
        <w:numPr>
          <w:ilvl w:val="0"/>
          <w:numId w:val="13"/>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投标报价</w:t>
      </w:r>
    </w:p>
    <w:p w14:paraId="73507F90">
      <w:pPr>
        <w:pStyle w:val="42"/>
        <w:numPr>
          <w:ilvl w:val="0"/>
          <w:numId w:val="20"/>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本次招标项目的投标均以人民币为计算单位。</w:t>
      </w:r>
    </w:p>
    <w:p w14:paraId="2FE1CBA5">
      <w:pPr>
        <w:pStyle w:val="42"/>
        <w:numPr>
          <w:ilvl w:val="1"/>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采购人不得向投标人索要或者接受其给予的赠品、回扣或者与采购无关的其他商品、服务。</w:t>
      </w:r>
    </w:p>
    <w:p w14:paraId="3FD498B2">
      <w:pPr>
        <w:pStyle w:val="42"/>
        <w:numPr>
          <w:ilvl w:val="1"/>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投标人应对项目要求的全部内容进行报价，少报漏报将导致其投标为非实质性响应予以拒绝。</w:t>
      </w:r>
    </w:p>
    <w:p w14:paraId="4EC8A76E">
      <w:pPr>
        <w:pStyle w:val="42"/>
        <w:numPr>
          <w:ilvl w:val="1"/>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人应当按照国家相关规定，结合自身服务水平和承受能力进行报价。投标报价应是履行合同的最终价格，除“项目需求”中另有说明外，投标报价应当是投标人为提供本项目所要求的全部服务所发生的一切成本、税费和利润，包括人工（含工资、社会统筹保险金、加班工资、工作餐、相关福利、关于人员聘用的费用等）、设备、国家规定检测、外发包、材料（含辅材）、管理、税费及利润等。</w:t>
      </w:r>
    </w:p>
    <w:p w14:paraId="35612CD9">
      <w:pPr>
        <w:pStyle w:val="42"/>
        <w:numPr>
          <w:ilvl w:val="1"/>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本项目所涉及的运输、施工、安装、集成、调试、验收、备品和工具等费用均包含在投标报价中。</w:t>
      </w:r>
    </w:p>
    <w:p w14:paraId="3C5B952E">
      <w:pPr>
        <w:pStyle w:val="42"/>
        <w:numPr>
          <w:ilvl w:val="1"/>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本次招标不接受可选择或可调整的投标方案和报价，任何有选择的或可调整的投标方案和报价将被视为非实质性响应投标而作无效投标处理。</w:t>
      </w:r>
    </w:p>
    <w:p w14:paraId="10FFBA45">
      <w:pPr>
        <w:pStyle w:val="42"/>
        <w:numPr>
          <w:ilvl w:val="1"/>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报价不得高于本项目最高限价，且不低于成本价。本次招标实行“最高限价（项目控制金额上限）”,投标人的投标报价高于最高限价（项目控制金额上限）的，该投标人的投标文件将被视为非实质性响应予以拒绝。</w:t>
      </w:r>
    </w:p>
    <w:p w14:paraId="6A7935B9">
      <w:pPr>
        <w:pStyle w:val="42"/>
        <w:numPr>
          <w:ilvl w:val="1"/>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最低报价不能作为中标的保证。</w:t>
      </w:r>
    </w:p>
    <w:p w14:paraId="399D151A">
      <w:pPr>
        <w:autoSpaceDE w:val="0"/>
        <w:autoSpaceDN w:val="0"/>
        <w:spacing w:line="360" w:lineRule="auto"/>
        <w:ind w:left="420"/>
        <w:contextualSpacing/>
        <w:rPr>
          <w:rFonts w:cs="宋体" w:asciiTheme="minorEastAsia" w:hAnsiTheme="minorEastAsia"/>
          <w:kern w:val="0"/>
          <w:szCs w:val="21"/>
        </w:rPr>
      </w:pPr>
    </w:p>
    <w:p w14:paraId="62863C94">
      <w:pPr>
        <w:pStyle w:val="42"/>
        <w:numPr>
          <w:ilvl w:val="0"/>
          <w:numId w:val="13"/>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投标有效期</w:t>
      </w:r>
    </w:p>
    <w:p w14:paraId="768AFC75">
      <w:pPr>
        <w:pStyle w:val="42"/>
        <w:numPr>
          <w:ilvl w:val="0"/>
          <w:numId w:val="20"/>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有效期从提交投标文件的截止之日起算。本项目投标有效期详见投标人须知前附表。投标文件中承诺的投标有效期应当不少于“投标人须知前附表”载明的投标有效期。投标有效期比招标文件规定短的属于非实质性响应，将被认定为无效投标。</w:t>
      </w:r>
    </w:p>
    <w:p w14:paraId="16B0577C">
      <w:pPr>
        <w:pStyle w:val="42"/>
        <w:numPr>
          <w:ilvl w:val="1"/>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投标有效期内投标人撤销投标文件的，投标人将承担违背投标承诺函的责任追究。</w:t>
      </w:r>
    </w:p>
    <w:p w14:paraId="1B83BBFF">
      <w:pPr>
        <w:pStyle w:val="42"/>
        <w:numPr>
          <w:ilvl w:val="1"/>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特殊情况下，在原投标有效期截止之前，招标人可要求投标人延长投标有效期。这种要求与答复均应以书面形式提交。投标人可拒绝招标人的这种要求，但其投标在原投标有效期期满后将不再有效。同意延长投标有效期的投标人将不会被要求和允许修正其投标，而只会被要求相应地延长其投标承诺函的有效期。在这种情况下，有关投标人违背投标承诺的责任追究措施将在延长了的有效期内继续有效。同意延期的投标人在原投标有效期内应享之权利及应负之责任也相应延续。</w:t>
      </w:r>
    </w:p>
    <w:p w14:paraId="03A639D3">
      <w:pPr>
        <w:pStyle w:val="42"/>
        <w:numPr>
          <w:ilvl w:val="1"/>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中标人的投标文件作为项目合同的附件，其有效期至中标人全部合同义务履行完毕为止。</w:t>
      </w:r>
    </w:p>
    <w:p w14:paraId="59E228BE">
      <w:pPr>
        <w:pStyle w:val="42"/>
        <w:autoSpaceDE w:val="0"/>
        <w:autoSpaceDN w:val="0"/>
        <w:spacing w:line="360" w:lineRule="auto"/>
        <w:ind w:left="964" w:firstLine="0" w:firstLineChars="0"/>
        <w:contextualSpacing/>
        <w:rPr>
          <w:rFonts w:cs="宋体" w:asciiTheme="minorEastAsia" w:hAnsiTheme="minorEastAsia"/>
          <w:kern w:val="0"/>
          <w:szCs w:val="21"/>
        </w:rPr>
      </w:pPr>
    </w:p>
    <w:p w14:paraId="2C3DBA1F">
      <w:pPr>
        <w:pStyle w:val="42"/>
        <w:numPr>
          <w:ilvl w:val="0"/>
          <w:numId w:val="13"/>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投标文件构成</w:t>
      </w:r>
    </w:p>
    <w:p w14:paraId="04121391">
      <w:pPr>
        <w:pStyle w:val="42"/>
        <w:numPr>
          <w:ilvl w:val="0"/>
          <w:numId w:val="20"/>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投标文件的构成应符合法律法规及招标文件的要求。</w:t>
      </w:r>
    </w:p>
    <w:p w14:paraId="479E9290">
      <w:pPr>
        <w:pStyle w:val="42"/>
        <w:numPr>
          <w:ilvl w:val="1"/>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投标人应当按照招标文件的要求编制投标文件。投标文件应当对招标文件提出的要求和条件作出明确响应。</w:t>
      </w:r>
    </w:p>
    <w:p w14:paraId="1C738AEB">
      <w:pPr>
        <w:pStyle w:val="42"/>
        <w:numPr>
          <w:ilvl w:val="1"/>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投标文件由资格证明材料、符合性证明材料、其它材料等组成。</w:t>
      </w:r>
    </w:p>
    <w:p w14:paraId="44349BD3">
      <w:pPr>
        <w:pStyle w:val="42"/>
        <w:numPr>
          <w:ilvl w:val="1"/>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p w14:paraId="0B6EF80B">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840" w:leftChars="0" w:right="0" w:rightChars="0" w:hanging="840" w:hangingChars="400"/>
        <w:jc w:val="both"/>
        <w:textAlignment w:val="auto"/>
        <w:rPr>
          <w:rFonts w:hint="eastAsia" w:cs="宋体" w:asciiTheme="minorEastAsia" w:hAnsiTheme="minorEastAsia" w:eastAsiaTheme="minorEastAsia"/>
          <w:color w:val="FF0000"/>
          <w:kern w:val="0"/>
          <w:sz w:val="21"/>
          <w:szCs w:val="21"/>
          <w:lang w:val="en-US" w:eastAsia="zh-CN" w:bidi="ar-SA"/>
        </w:rPr>
      </w:pPr>
      <w:r>
        <w:rPr>
          <w:rFonts w:hint="eastAsia" w:cs="宋体" w:asciiTheme="minorEastAsia" w:hAnsiTheme="minorEastAsia" w:eastAsiaTheme="minorEastAsia"/>
          <w:color w:val="FF0000"/>
          <w:kern w:val="0"/>
          <w:sz w:val="21"/>
          <w:szCs w:val="21"/>
          <w:lang w:val="en-US" w:eastAsia="zh-CN" w:bidi="ar-SA"/>
        </w:rPr>
        <w:t>15.5    投标人登录“全国公共资源交易平台（河南省·许昌市）”下载“新点投标文件制作软件（河南省版）”的最新版本，按所响应标段磋商文件的要求制作电子响应文件。一个标段对应生成2份电子响应文件（后缀格式为.XCSTF和.nXCSTF）,其中后缀格式为“.XCSTF”的加密电子响应文件用于上传至交易系统中投标。</w:t>
      </w:r>
    </w:p>
    <w:p w14:paraId="6442801B">
      <w:pPr>
        <w:pStyle w:val="22"/>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0" w:right="0" w:rightChars="0"/>
        <w:jc w:val="both"/>
        <w:textAlignment w:val="auto"/>
        <w:rPr>
          <w:rFonts w:cs="宋体" w:asciiTheme="minorEastAsia" w:hAnsiTheme="minorEastAsia"/>
          <w:kern w:val="0"/>
          <w:szCs w:val="21"/>
        </w:rPr>
      </w:pPr>
      <w:r>
        <w:rPr>
          <w:rFonts w:hint="eastAsia" w:cs="宋体" w:asciiTheme="minorEastAsia" w:hAnsiTheme="minorEastAsia" w:eastAsiaTheme="minorEastAsia"/>
          <w:color w:val="FF0000"/>
          <w:kern w:val="0"/>
          <w:sz w:val="21"/>
          <w:szCs w:val="21"/>
          <w:lang w:val="en-US" w:eastAsia="zh-CN" w:bidi="ar-SA"/>
        </w:rPr>
        <w:t>15.6     电子响应文件制作技术咨询：0374-2961598。</w:t>
      </w:r>
    </w:p>
    <w:p w14:paraId="40F98800">
      <w:pPr>
        <w:pStyle w:val="42"/>
        <w:numPr>
          <w:ilvl w:val="0"/>
          <w:numId w:val="13"/>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投标文件格式</w:t>
      </w:r>
    </w:p>
    <w:p w14:paraId="2CC009D0">
      <w:pPr>
        <w:pStyle w:val="42"/>
        <w:numPr>
          <w:ilvl w:val="0"/>
          <w:numId w:val="20"/>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为便于评审及规范统一，建议投标文件参照招标文件第八部分（投标文件有关格式）的内容要求、编排顺序和格式要求，以A4幅面编上唯一的连贯页码，并在投标文件封面上注明：所投项目名称、项目编号、投标人名称、日期等字样。</w:t>
      </w:r>
    </w:p>
    <w:p w14:paraId="0CABACD8">
      <w:pPr>
        <w:pStyle w:val="42"/>
        <w:numPr>
          <w:ilvl w:val="1"/>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招标文件未提供标准格式的投标人可自行拟定。</w:t>
      </w:r>
    </w:p>
    <w:p w14:paraId="2E8AB338">
      <w:pPr>
        <w:autoSpaceDE w:val="0"/>
        <w:autoSpaceDN w:val="0"/>
        <w:spacing w:line="360" w:lineRule="auto"/>
        <w:ind w:left="420"/>
        <w:contextualSpacing/>
        <w:rPr>
          <w:rFonts w:cs="宋体" w:asciiTheme="minorEastAsia" w:hAnsiTheme="minorEastAsia"/>
          <w:kern w:val="0"/>
          <w:szCs w:val="21"/>
        </w:rPr>
      </w:pPr>
    </w:p>
    <w:p w14:paraId="3D8904AB">
      <w:pPr>
        <w:pStyle w:val="42"/>
        <w:numPr>
          <w:ilvl w:val="0"/>
          <w:numId w:val="13"/>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投标保证金</w:t>
      </w:r>
    </w:p>
    <w:p w14:paraId="0989D474">
      <w:pPr>
        <w:pStyle w:val="42"/>
        <w:numPr>
          <w:ilvl w:val="0"/>
          <w:numId w:val="20"/>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本项目不收取投标保证金。</w:t>
      </w:r>
    </w:p>
    <w:p w14:paraId="11FF4220">
      <w:pPr>
        <w:pStyle w:val="42"/>
        <w:numPr>
          <w:ilvl w:val="1"/>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投标人应提供投标承诺函。</w:t>
      </w:r>
    </w:p>
    <w:p w14:paraId="5705B75A">
      <w:pPr>
        <w:pStyle w:val="42"/>
        <w:autoSpaceDE w:val="0"/>
        <w:autoSpaceDN w:val="0"/>
        <w:spacing w:line="360" w:lineRule="auto"/>
        <w:ind w:left="964" w:firstLine="0" w:firstLineChars="0"/>
        <w:contextualSpacing/>
        <w:rPr>
          <w:rFonts w:cs="宋体" w:asciiTheme="minorEastAsia" w:hAnsiTheme="minorEastAsia"/>
          <w:kern w:val="0"/>
          <w:szCs w:val="21"/>
        </w:rPr>
      </w:pPr>
    </w:p>
    <w:p w14:paraId="6094E855">
      <w:pPr>
        <w:pStyle w:val="42"/>
        <w:numPr>
          <w:ilvl w:val="0"/>
          <w:numId w:val="13"/>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投标文件的数量和签署盖章</w:t>
      </w:r>
    </w:p>
    <w:p w14:paraId="4CFD46CE">
      <w:pPr>
        <w:pStyle w:val="42"/>
        <w:numPr>
          <w:ilvl w:val="0"/>
          <w:numId w:val="20"/>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投标人应提交投标文件份数见“投标人须知前附表”。</w:t>
      </w:r>
    </w:p>
    <w:p w14:paraId="2E918311">
      <w:pPr>
        <w:pStyle w:val="42"/>
        <w:numPr>
          <w:ilvl w:val="1"/>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在招标文件中已明示需盖章及签名之处，电子投标文件应按招标文件要求加盖投标人电子印章和法人电子印章或授权代表电子印章。</w:t>
      </w:r>
    </w:p>
    <w:p w14:paraId="72379A9B">
      <w:pPr>
        <w:tabs>
          <w:tab w:val="left" w:pos="1260"/>
        </w:tabs>
        <w:autoSpaceDE w:val="0"/>
        <w:autoSpaceDN w:val="0"/>
        <w:spacing w:line="360" w:lineRule="auto"/>
        <w:contextualSpacing/>
        <w:rPr>
          <w:rFonts w:cs="仿宋_GB2312" w:asciiTheme="minorEastAsia" w:hAnsiTheme="minorEastAsia"/>
          <w:szCs w:val="21"/>
          <w:lang w:val="zh-CN"/>
        </w:rPr>
      </w:pPr>
    </w:p>
    <w:p w14:paraId="5E7B62AF">
      <w:pPr>
        <w:tabs>
          <w:tab w:val="left" w:pos="1260"/>
        </w:tabs>
        <w:autoSpaceDE w:val="0"/>
        <w:autoSpaceDN w:val="0"/>
        <w:spacing w:line="360" w:lineRule="auto"/>
        <w:contextualSpacing/>
        <w:rPr>
          <w:rFonts w:cs="仿宋_GB2312" w:asciiTheme="minorEastAsia" w:hAnsiTheme="minorEastAsia"/>
          <w:szCs w:val="21"/>
          <w:lang w:val="zh-CN"/>
        </w:rPr>
      </w:pPr>
    </w:p>
    <w:p w14:paraId="52266F2C">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四、投标文件的提交</w:t>
      </w:r>
    </w:p>
    <w:p w14:paraId="19D0A2DA">
      <w:pPr>
        <w:pStyle w:val="42"/>
        <w:numPr>
          <w:ilvl w:val="0"/>
          <w:numId w:val="13"/>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投标截止时间</w:t>
      </w:r>
    </w:p>
    <w:p w14:paraId="43E534AB">
      <w:pPr>
        <w:pStyle w:val="42"/>
        <w:numPr>
          <w:ilvl w:val="0"/>
          <w:numId w:val="20"/>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投标人必须在“投标邀请”和“投标人须知前附表”中规定的投标截止时间前，将</w:t>
      </w:r>
      <w:r>
        <w:rPr>
          <w:rFonts w:hint="eastAsia" w:cs="仿宋_GB2312" w:asciiTheme="minorEastAsia" w:hAnsiTheme="minorEastAsia"/>
          <w:szCs w:val="21"/>
        </w:rPr>
        <w:t>加密电子投标文件</w:t>
      </w:r>
      <w:r>
        <w:rPr>
          <w:rFonts w:hint="eastAsia" w:cs="宋体" w:asciiTheme="minorEastAsia" w:hAnsiTheme="minorEastAsia"/>
          <w:szCs w:val="21"/>
        </w:rPr>
        <w:t>（</w:t>
      </w:r>
      <w:r>
        <w:rPr>
          <w:rFonts w:hint="eastAsia" w:ascii="宋体" w:hAnsi="宋体" w:eastAsia="宋体" w:cs="宋体"/>
          <w:b w:val="0"/>
          <w:bCs w:val="0"/>
          <w:i w:val="0"/>
          <w:iCs w:val="0"/>
          <w:color w:val="FF0000"/>
          <w:spacing w:val="0"/>
          <w:w w:val="100"/>
          <w:sz w:val="21"/>
          <w:szCs w:val="21"/>
          <w:vertAlign w:val="baseline"/>
        </w:rPr>
        <w:t>后缀格式为.XCSTF</w:t>
      </w:r>
      <w:r>
        <w:rPr>
          <w:rFonts w:hint="eastAsia" w:cs="宋体" w:asciiTheme="minorEastAsia" w:hAnsiTheme="minorEastAsia"/>
          <w:szCs w:val="21"/>
        </w:rPr>
        <w:t>）</w:t>
      </w:r>
      <w:r>
        <w:rPr>
          <w:rFonts w:hint="eastAsia" w:cs="仿宋_GB2312" w:asciiTheme="minorEastAsia" w:hAnsiTheme="minorEastAsia"/>
          <w:szCs w:val="21"/>
        </w:rPr>
        <w:t>通过《全国公共资源交易平台(河南省</w:t>
      </w:r>
      <w:r>
        <w:rPr>
          <w:rFonts w:hint="eastAsia" w:ascii="MS Mincho" w:hAnsi="MS Mincho" w:eastAsia="MS Mincho" w:cs="MS Mincho"/>
          <w:szCs w:val="21"/>
        </w:rPr>
        <w:t>▪</w:t>
      </w:r>
      <w:r>
        <w:rPr>
          <w:rFonts w:hint="eastAsia" w:ascii="宋体" w:hAnsi="宋体" w:cs="宋体"/>
          <w:szCs w:val="21"/>
        </w:rPr>
        <w:t>许昌市</w:t>
      </w:r>
      <w:r>
        <w:rPr>
          <w:rFonts w:hint="eastAsia" w:cs="仿宋_GB2312" w:asciiTheme="minorEastAsia" w:hAnsiTheme="minorEastAsia"/>
          <w:szCs w:val="21"/>
        </w:rPr>
        <w:t>)》公共资源交易系统成功上传。</w:t>
      </w:r>
    </w:p>
    <w:p w14:paraId="132EB738">
      <w:pPr>
        <w:pStyle w:val="42"/>
        <w:numPr>
          <w:ilvl w:val="1"/>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招标人可以按本须知第14条规定，通过修改招标文件自行决定酌情延长投标截止期。在此情况下，招标人和投标人受投标截止期制约的所有权利和义务均应延长至新的截止日期和时间。投标人按招标人修改通知规定的时间提交投标文件。</w:t>
      </w:r>
    </w:p>
    <w:p w14:paraId="7DF78F15">
      <w:pPr>
        <w:pStyle w:val="42"/>
        <w:autoSpaceDE w:val="0"/>
        <w:autoSpaceDN w:val="0"/>
        <w:spacing w:line="360" w:lineRule="auto"/>
        <w:ind w:left="964" w:firstLine="0" w:firstLineChars="0"/>
        <w:contextualSpacing/>
        <w:rPr>
          <w:rFonts w:cs="宋体" w:asciiTheme="minorEastAsia" w:hAnsiTheme="minorEastAsia"/>
          <w:kern w:val="0"/>
          <w:szCs w:val="21"/>
        </w:rPr>
      </w:pPr>
    </w:p>
    <w:p w14:paraId="5A25A5A0">
      <w:pPr>
        <w:pStyle w:val="42"/>
        <w:numPr>
          <w:ilvl w:val="0"/>
          <w:numId w:val="13"/>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迟交的投标文件</w:t>
      </w:r>
    </w:p>
    <w:p w14:paraId="082EE258">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投标截止时间之后上传的投标文件，招标人将拒绝接收。</w:t>
      </w:r>
    </w:p>
    <w:p w14:paraId="4CCA6446">
      <w:pPr>
        <w:autoSpaceDE w:val="0"/>
        <w:autoSpaceDN w:val="0"/>
        <w:spacing w:line="360" w:lineRule="auto"/>
        <w:ind w:left="964"/>
        <w:contextualSpacing/>
        <w:rPr>
          <w:rFonts w:cs="宋体" w:asciiTheme="minorEastAsia" w:hAnsiTheme="minorEastAsia"/>
          <w:kern w:val="0"/>
          <w:szCs w:val="21"/>
        </w:rPr>
      </w:pPr>
    </w:p>
    <w:p w14:paraId="37CAACE9">
      <w:pPr>
        <w:pStyle w:val="42"/>
        <w:numPr>
          <w:ilvl w:val="0"/>
          <w:numId w:val="13"/>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投标文件的修改和撤回</w:t>
      </w:r>
    </w:p>
    <w:p w14:paraId="542C3C8F">
      <w:pPr>
        <w:pStyle w:val="42"/>
        <w:numPr>
          <w:ilvl w:val="0"/>
          <w:numId w:val="21"/>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投标人在投标截止时间前，对投标文件进行补充、修改或者撤回的，须书面通知招标人。</w:t>
      </w:r>
    </w:p>
    <w:p w14:paraId="1F09ED89">
      <w:pPr>
        <w:autoSpaceDE w:val="0"/>
        <w:autoSpaceDN w:val="0"/>
        <w:spacing w:line="360" w:lineRule="auto"/>
        <w:ind w:left="964" w:firstLine="29"/>
        <w:contextualSpacing/>
        <w:rPr>
          <w:rFonts w:cs="宋体" w:asciiTheme="minorEastAsia" w:hAnsiTheme="minorEastAsia"/>
          <w:kern w:val="0"/>
          <w:szCs w:val="21"/>
        </w:rPr>
      </w:pPr>
      <w:r>
        <w:rPr>
          <w:rFonts w:hint="eastAsia" w:cs="宋体" w:asciiTheme="minorEastAsia" w:hAnsiTheme="minorEastAsia"/>
          <w:kern w:val="0"/>
          <w:szCs w:val="21"/>
        </w:rPr>
        <w:t>投标人应当在投标截止时间前完成电子投标文件的提交，可以补充、修改或撤回。投标截止时间前未完成电子投标文件提交的，视为撤回投标文件。</w:t>
      </w:r>
    </w:p>
    <w:p w14:paraId="3F04EDFC">
      <w:pPr>
        <w:pStyle w:val="42"/>
        <w:numPr>
          <w:ilvl w:val="1"/>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投标人补充、修改的内容并作为投标文件的组成部分。补充或修改应当按招标文件要求签署、盖章、提交，并应注明“修改</w:t>
      </w:r>
      <w:r>
        <w:rPr>
          <w:rFonts w:cs="宋体" w:asciiTheme="minorEastAsia" w:hAnsiTheme="minorEastAsia"/>
          <w:kern w:val="0"/>
          <w:szCs w:val="21"/>
        </w:rPr>
        <w:t>”</w:t>
      </w:r>
      <w:r>
        <w:rPr>
          <w:rFonts w:hint="eastAsia" w:cs="宋体" w:asciiTheme="minorEastAsia" w:hAnsiTheme="minorEastAsia"/>
          <w:kern w:val="0"/>
          <w:szCs w:val="21"/>
        </w:rPr>
        <w:t>或“补充</w:t>
      </w:r>
      <w:r>
        <w:rPr>
          <w:rFonts w:cs="宋体" w:asciiTheme="minorEastAsia" w:hAnsiTheme="minorEastAsia"/>
          <w:kern w:val="0"/>
          <w:szCs w:val="21"/>
        </w:rPr>
        <w:t>”</w:t>
      </w:r>
      <w:r>
        <w:rPr>
          <w:rFonts w:hint="eastAsia" w:cs="宋体" w:asciiTheme="minorEastAsia" w:hAnsiTheme="minorEastAsia"/>
          <w:kern w:val="0"/>
          <w:szCs w:val="21"/>
        </w:rPr>
        <w:t>字样。</w:t>
      </w:r>
    </w:p>
    <w:p w14:paraId="74C03089">
      <w:pPr>
        <w:pStyle w:val="42"/>
        <w:numPr>
          <w:ilvl w:val="1"/>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投标人在提交投标文件后，可以撤回其投标，但投标人必须在规定的投标截止时间前以书面形式告知招标人。</w:t>
      </w:r>
    </w:p>
    <w:p w14:paraId="15773A20">
      <w:pPr>
        <w:pStyle w:val="42"/>
        <w:numPr>
          <w:ilvl w:val="1"/>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投标人不得在投标有效期内撤销投标文件，否则投标人将承担违背投标承诺函的责任追究。</w:t>
      </w:r>
    </w:p>
    <w:p w14:paraId="77428CDA">
      <w:pPr>
        <w:autoSpaceDE w:val="0"/>
        <w:autoSpaceDN w:val="0"/>
        <w:spacing w:line="360" w:lineRule="auto"/>
        <w:ind w:left="420"/>
        <w:contextualSpacing/>
        <w:rPr>
          <w:rFonts w:cs="宋体" w:asciiTheme="minorEastAsia" w:hAnsiTheme="minorEastAsia"/>
          <w:kern w:val="0"/>
          <w:szCs w:val="21"/>
        </w:rPr>
      </w:pPr>
    </w:p>
    <w:p w14:paraId="2CF34F5F">
      <w:pPr>
        <w:pStyle w:val="42"/>
        <w:numPr>
          <w:ilvl w:val="0"/>
          <w:numId w:val="13"/>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除投标人须知前附表另有规定外，投标人所提交的电子投标文件不予退还。</w:t>
      </w:r>
    </w:p>
    <w:p w14:paraId="02F3E134">
      <w:pPr>
        <w:autoSpaceDE w:val="0"/>
        <w:autoSpaceDN w:val="0"/>
        <w:spacing w:line="360" w:lineRule="auto"/>
        <w:contextualSpacing/>
        <w:rPr>
          <w:rFonts w:cs="宋体" w:asciiTheme="minorEastAsia" w:hAnsiTheme="minorEastAsia"/>
          <w:kern w:val="0"/>
          <w:szCs w:val="21"/>
        </w:rPr>
      </w:pPr>
    </w:p>
    <w:p w14:paraId="01D39EEE">
      <w:pPr>
        <w:autoSpaceDE w:val="0"/>
        <w:autoSpaceDN w:val="0"/>
        <w:spacing w:line="360" w:lineRule="auto"/>
        <w:contextualSpacing/>
        <w:rPr>
          <w:rFonts w:cs="宋体" w:asciiTheme="minorEastAsia" w:hAnsiTheme="minorEastAsia"/>
          <w:kern w:val="0"/>
          <w:szCs w:val="21"/>
        </w:rPr>
      </w:pPr>
    </w:p>
    <w:p w14:paraId="49EB058A">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五、开标和评标</w:t>
      </w:r>
    </w:p>
    <w:p w14:paraId="44A28D91">
      <w:pPr>
        <w:pStyle w:val="42"/>
        <w:numPr>
          <w:ilvl w:val="0"/>
          <w:numId w:val="13"/>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开标</w:t>
      </w:r>
    </w:p>
    <w:p w14:paraId="34B4486C">
      <w:pPr>
        <w:pStyle w:val="42"/>
        <w:numPr>
          <w:ilvl w:val="0"/>
          <w:numId w:val="22"/>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招标人将按招标文件规定的时间和地点组织远程不见面开标。开标由代理机构主持，投标人无须到现场。评标委员会成员不得参加开标活动。</w:t>
      </w:r>
    </w:p>
    <w:p w14:paraId="30C053BE">
      <w:pPr>
        <w:pStyle w:val="42"/>
        <w:numPr>
          <w:ilvl w:val="1"/>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招标人应当对开标、评标现场活动进行全程录音录像。录音录像应当清晰可辨，音像资料作为采购文件一并存档。</w:t>
      </w:r>
    </w:p>
    <w:p w14:paraId="0C799C35">
      <w:pPr>
        <w:pStyle w:val="42"/>
        <w:numPr>
          <w:ilvl w:val="1"/>
          <w:numId w:val="1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开标时，由代理机构开通远程不见面开标大厅及开启“文字互动”等功能；投标人、代理机构进行电子投标文件的解密。解密后</w:t>
      </w:r>
      <w:r>
        <w:rPr>
          <w:rFonts w:hint="eastAsia" w:asciiTheme="minorEastAsia" w:hAnsiTheme="minorEastAsia"/>
          <w:szCs w:val="21"/>
        </w:rPr>
        <w:t>投标人选择功能栏“开标记录”按钮可查看</w:t>
      </w:r>
      <w:r>
        <w:rPr>
          <w:rFonts w:hint="eastAsia" w:cs="宋体" w:asciiTheme="minorEastAsia" w:hAnsiTheme="minorEastAsia"/>
          <w:kern w:val="0"/>
          <w:szCs w:val="21"/>
        </w:rPr>
        <w:t>投标人名称、投标价格、修改和撤回投标的通知（如有的话）和招标文件规定的需要宣布的其他内容。</w:t>
      </w:r>
    </w:p>
    <w:p w14:paraId="3730BA47">
      <w:pPr>
        <w:pStyle w:val="42"/>
        <w:numPr>
          <w:ilvl w:val="1"/>
          <w:numId w:val="23"/>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电子投标文件的解密。全流程电子化交易项目电子投标文件采用双重加密。解密需分</w:t>
      </w:r>
    </w:p>
    <w:p w14:paraId="244211F1">
      <w:pPr>
        <w:autoSpaceDE w:val="0"/>
        <w:autoSpaceDN w:val="0"/>
        <w:spacing w:line="360" w:lineRule="auto"/>
        <w:ind w:left="1841" w:leftChars="671" w:hanging="432" w:hangingChars="206"/>
        <w:contextualSpacing/>
        <w:rPr>
          <w:rFonts w:cs="宋体" w:asciiTheme="minorEastAsia" w:hAnsiTheme="minorEastAsia"/>
          <w:kern w:val="0"/>
          <w:szCs w:val="21"/>
        </w:rPr>
      </w:pPr>
      <w:r>
        <w:rPr>
          <w:rFonts w:hint="eastAsia" w:cs="宋体" w:asciiTheme="minorEastAsia" w:hAnsiTheme="minorEastAsia"/>
          <w:kern w:val="0"/>
          <w:szCs w:val="21"/>
        </w:rPr>
        <w:t>标段进行两次解密。</w:t>
      </w:r>
    </w:p>
    <w:p w14:paraId="19BD7A0E">
      <w:pPr>
        <w:pStyle w:val="42"/>
        <w:numPr>
          <w:ilvl w:val="1"/>
          <w:numId w:val="24"/>
        </w:numPr>
        <w:autoSpaceDE w:val="0"/>
        <w:autoSpaceDN w:val="0"/>
        <w:spacing w:line="360" w:lineRule="auto"/>
        <w:ind w:left="1843" w:hanging="1843" w:firstLineChars="0"/>
        <w:contextualSpacing/>
        <w:rPr>
          <w:rFonts w:cs="宋体" w:asciiTheme="minorEastAsia" w:hAnsiTheme="minorEastAsia"/>
          <w:kern w:val="0"/>
          <w:szCs w:val="21"/>
        </w:rPr>
      </w:pPr>
      <w:r>
        <w:rPr>
          <w:rFonts w:hint="eastAsia" w:cs="宋体" w:asciiTheme="minorEastAsia" w:hAnsiTheme="minorEastAsia"/>
          <w:kern w:val="0"/>
          <w:szCs w:val="21"/>
        </w:rPr>
        <w:t>投标人解密：投标人使用本单位CA数字证书远程进行解密。</w:t>
      </w:r>
    </w:p>
    <w:p w14:paraId="1F15E6A0">
      <w:pPr>
        <w:autoSpaceDE w:val="0"/>
        <w:autoSpaceDN w:val="0"/>
        <w:spacing w:line="360" w:lineRule="auto"/>
        <w:ind w:left="1842" w:hanging="1841" w:hangingChars="877"/>
        <w:contextualSpacing/>
        <w:jc w:val="left"/>
        <w:rPr>
          <w:rFonts w:cs="宋体" w:asciiTheme="minorEastAsia" w:hAnsiTheme="minorEastAsia"/>
          <w:kern w:val="0"/>
          <w:szCs w:val="21"/>
        </w:rPr>
      </w:pPr>
      <w:r>
        <w:rPr>
          <w:rFonts w:hint="eastAsia" w:cs="宋体" w:asciiTheme="minorEastAsia" w:hAnsiTheme="minorEastAsia"/>
          <w:kern w:val="0"/>
          <w:szCs w:val="21"/>
        </w:rPr>
        <w:t>23.3.1.2         代理机构解密：代理机构</w:t>
      </w:r>
      <w:r>
        <w:rPr>
          <w:rFonts w:cs="宋体" w:asciiTheme="minorEastAsia" w:hAnsiTheme="minorEastAsia"/>
          <w:kern w:val="0"/>
          <w:szCs w:val="21"/>
        </w:rPr>
        <w:t>按</w:t>
      </w:r>
      <w:r>
        <w:rPr>
          <w:rFonts w:hint="eastAsia" w:cs="宋体" w:asciiTheme="minorEastAsia" w:hAnsiTheme="minorEastAsia"/>
          <w:kern w:val="0"/>
          <w:szCs w:val="21"/>
        </w:rPr>
        <w:t>电子</w:t>
      </w:r>
      <w:r>
        <w:rPr>
          <w:rFonts w:cs="宋体" w:asciiTheme="minorEastAsia" w:hAnsiTheme="minorEastAsia"/>
          <w:kern w:val="0"/>
          <w:szCs w:val="21"/>
        </w:rPr>
        <w:t>投标</w:t>
      </w:r>
      <w:r>
        <w:rPr>
          <w:rFonts w:hint="eastAsia" w:cs="宋体" w:asciiTheme="minorEastAsia" w:hAnsiTheme="minorEastAsia"/>
          <w:kern w:val="0"/>
          <w:szCs w:val="21"/>
        </w:rPr>
        <w:t>文件到达交易系统</w:t>
      </w:r>
      <w:r>
        <w:rPr>
          <w:rFonts w:cs="宋体" w:asciiTheme="minorEastAsia" w:hAnsiTheme="minorEastAsia"/>
          <w:kern w:val="0"/>
          <w:szCs w:val="21"/>
        </w:rPr>
        <w:t>的先后顺序</w:t>
      </w:r>
      <w:r>
        <w:rPr>
          <w:rFonts w:hint="eastAsia" w:cs="宋体" w:asciiTheme="minorEastAsia" w:hAnsiTheme="minorEastAsia"/>
          <w:kern w:val="0"/>
          <w:szCs w:val="21"/>
        </w:rPr>
        <w:t>，使用本单位CA数字证书进行再次解密。</w:t>
      </w:r>
    </w:p>
    <w:p w14:paraId="3DC05907">
      <w:pPr>
        <w:pStyle w:val="42"/>
        <w:numPr>
          <w:ilvl w:val="1"/>
          <w:numId w:val="25"/>
        </w:numPr>
        <w:autoSpaceDE w:val="0"/>
        <w:autoSpaceDN w:val="0"/>
        <w:spacing w:line="360" w:lineRule="auto"/>
        <w:ind w:left="1843" w:hanging="1843" w:firstLineChars="0"/>
        <w:contextualSpacing/>
        <w:rPr>
          <w:rFonts w:cs="宋体" w:asciiTheme="minorEastAsia" w:hAnsiTheme="minorEastAsia"/>
          <w:kern w:val="0"/>
          <w:szCs w:val="21"/>
        </w:rPr>
      </w:pPr>
      <w:r>
        <w:rPr>
          <w:rFonts w:hint="eastAsia" w:cs="宋体" w:asciiTheme="minorEastAsia" w:hAnsiTheme="minorEastAsia"/>
          <w:kern w:val="0"/>
          <w:szCs w:val="21"/>
        </w:rPr>
        <w:t>因投标人原因电子投标文件解密失败的，其投标将被拒绝。</w:t>
      </w:r>
    </w:p>
    <w:p w14:paraId="06E5449F">
      <w:pPr>
        <w:pStyle w:val="42"/>
        <w:numPr>
          <w:ilvl w:val="1"/>
          <w:numId w:val="23"/>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投标人不足3家的，不得开标。</w:t>
      </w:r>
    </w:p>
    <w:p w14:paraId="07D0F611">
      <w:pPr>
        <w:pStyle w:val="42"/>
        <w:numPr>
          <w:ilvl w:val="1"/>
          <w:numId w:val="26"/>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开标过程由采购代理机构负责记录，</w:t>
      </w:r>
      <w:r>
        <w:rPr>
          <w:rFonts w:hint="eastAsia" w:hAnsi="宋体"/>
          <w:szCs w:val="21"/>
        </w:rPr>
        <w:t>《开标记录表》经投标人进行电子签章、</w:t>
      </w:r>
      <w:r>
        <w:rPr>
          <w:rFonts w:hint="eastAsia" w:cs="宋体" w:asciiTheme="minorEastAsia" w:hAnsiTheme="minorEastAsia"/>
          <w:kern w:val="0"/>
          <w:szCs w:val="21"/>
        </w:rPr>
        <w:t>由参加开标相关工作人员签字确认后随采购文件一并存档。</w:t>
      </w:r>
      <w:r>
        <w:rPr>
          <w:rFonts w:hint="eastAsia" w:hAnsi="宋体"/>
          <w:szCs w:val="21"/>
        </w:rPr>
        <w:t>投标人未电子签章的，视同认可开标结果。</w:t>
      </w:r>
    </w:p>
    <w:p w14:paraId="553EE79A">
      <w:pPr>
        <w:pStyle w:val="42"/>
        <w:numPr>
          <w:ilvl w:val="1"/>
          <w:numId w:val="26"/>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投标人对开标过程和开标记录如有疑义，以及认为采购人、采购代理机构相关工作人员有需要回避的情形的，应在不见面开标大厅“文字互动”对话框或“新增质疑”处在线提出询问或者回避申请。采购人、采购代理机构对投标人代表提出的询问或者回避申请应当及时处理。</w:t>
      </w:r>
    </w:p>
    <w:p w14:paraId="7401DD73">
      <w:pPr>
        <w:pStyle w:val="42"/>
        <w:numPr>
          <w:ilvl w:val="1"/>
          <w:numId w:val="26"/>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项目远程不见面开标活动结束时，投标人应在《开标记录表》上进行电子签章。投标人未签章的，视同认可开标结果。</w:t>
      </w:r>
    </w:p>
    <w:p w14:paraId="2545E44D">
      <w:pPr>
        <w:pStyle w:val="42"/>
        <w:autoSpaceDE w:val="0"/>
        <w:autoSpaceDN w:val="0"/>
        <w:spacing w:line="360" w:lineRule="auto"/>
        <w:ind w:left="964" w:firstLine="0" w:firstLineChars="0"/>
        <w:contextualSpacing/>
        <w:rPr>
          <w:rFonts w:cs="宋体" w:asciiTheme="minorEastAsia" w:hAnsiTheme="minorEastAsia"/>
          <w:kern w:val="0"/>
          <w:szCs w:val="21"/>
        </w:rPr>
      </w:pPr>
    </w:p>
    <w:p w14:paraId="27EBA567">
      <w:pPr>
        <w:pStyle w:val="42"/>
        <w:numPr>
          <w:ilvl w:val="0"/>
          <w:numId w:val="2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资格审查</w:t>
      </w:r>
    </w:p>
    <w:p w14:paraId="6FD7920E">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开标结束后，采购人依法对投标人的资格进行审查。合格投标人不足3家的，不得评标。</w:t>
      </w:r>
    </w:p>
    <w:p w14:paraId="491789A3">
      <w:pPr>
        <w:autoSpaceDE w:val="0"/>
        <w:autoSpaceDN w:val="0"/>
        <w:spacing w:line="360" w:lineRule="auto"/>
        <w:ind w:left="964"/>
        <w:contextualSpacing/>
        <w:rPr>
          <w:rFonts w:cs="宋体" w:asciiTheme="minorEastAsia" w:hAnsiTheme="minorEastAsia"/>
          <w:kern w:val="0"/>
          <w:szCs w:val="21"/>
        </w:rPr>
      </w:pPr>
    </w:p>
    <w:p w14:paraId="7BA11890">
      <w:pPr>
        <w:pStyle w:val="42"/>
        <w:numPr>
          <w:ilvl w:val="0"/>
          <w:numId w:val="26"/>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评标委员会的组成</w:t>
      </w:r>
    </w:p>
    <w:p w14:paraId="19159668">
      <w:pPr>
        <w:pStyle w:val="42"/>
        <w:numPr>
          <w:ilvl w:val="0"/>
          <w:numId w:val="27"/>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招标人将依法组建评标委员会，评标委员会由采购人代表和评审专家组成，成员人数应当为5人以上单数，其中评审专家的人数不少于评标委员会成员总数的三分之二。评审专家依法从政府采购评审专家库中随机抽取。</w:t>
      </w:r>
    </w:p>
    <w:p w14:paraId="40212ED8">
      <w:pPr>
        <w:pStyle w:val="42"/>
        <w:numPr>
          <w:ilvl w:val="0"/>
          <w:numId w:val="28"/>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招标人将依法组建评标委员会，评标委员会由评审专家组成，成员人数应当为5人以上单数。评审专家依法从政府采购评审专家库中随机抽取。</w:t>
      </w:r>
    </w:p>
    <w:p w14:paraId="22B99C3B">
      <w:pPr>
        <w:pStyle w:val="42"/>
        <w:numPr>
          <w:ilvl w:val="0"/>
          <w:numId w:val="28"/>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采购项目符合下列情形之一的，评标委员会成员人数应当为7人以上单数：</w:t>
      </w:r>
    </w:p>
    <w:p w14:paraId="7B78FB46">
      <w:pPr>
        <w:pStyle w:val="42"/>
        <w:numPr>
          <w:ilvl w:val="0"/>
          <w:numId w:val="29"/>
        </w:numPr>
        <w:autoSpaceDE w:val="0"/>
        <w:autoSpaceDN w:val="0"/>
        <w:spacing w:line="360" w:lineRule="auto"/>
        <w:ind w:left="1843" w:hanging="1843" w:firstLineChars="0"/>
        <w:contextualSpacing/>
        <w:rPr>
          <w:rFonts w:cs="宋体" w:asciiTheme="minorEastAsia" w:hAnsiTheme="minorEastAsia"/>
          <w:kern w:val="0"/>
          <w:szCs w:val="21"/>
        </w:rPr>
      </w:pPr>
      <w:r>
        <w:rPr>
          <w:rFonts w:hint="eastAsia" w:cs="宋体" w:asciiTheme="minorEastAsia" w:hAnsiTheme="minorEastAsia"/>
          <w:kern w:val="0"/>
          <w:szCs w:val="21"/>
        </w:rPr>
        <w:t xml:space="preserve">  采购预算金额在1000万元以上；</w:t>
      </w:r>
    </w:p>
    <w:p w14:paraId="5B5A9B14">
      <w:pPr>
        <w:pStyle w:val="42"/>
        <w:numPr>
          <w:ilvl w:val="0"/>
          <w:numId w:val="29"/>
        </w:numPr>
        <w:autoSpaceDE w:val="0"/>
        <w:autoSpaceDN w:val="0"/>
        <w:spacing w:line="360" w:lineRule="auto"/>
        <w:ind w:left="1843" w:hanging="1843" w:firstLineChars="0"/>
        <w:contextualSpacing/>
        <w:rPr>
          <w:rFonts w:cs="宋体" w:asciiTheme="minorEastAsia" w:hAnsiTheme="minorEastAsia"/>
          <w:kern w:val="0"/>
          <w:szCs w:val="21"/>
        </w:rPr>
      </w:pPr>
      <w:r>
        <w:rPr>
          <w:rFonts w:hint="eastAsia" w:cs="宋体" w:asciiTheme="minorEastAsia" w:hAnsiTheme="minorEastAsia"/>
          <w:kern w:val="0"/>
          <w:szCs w:val="21"/>
        </w:rPr>
        <w:t xml:space="preserve">  技术复杂；</w:t>
      </w:r>
    </w:p>
    <w:p w14:paraId="26CF8A40">
      <w:pPr>
        <w:pStyle w:val="42"/>
        <w:numPr>
          <w:ilvl w:val="0"/>
          <w:numId w:val="29"/>
        </w:numPr>
        <w:autoSpaceDE w:val="0"/>
        <w:autoSpaceDN w:val="0"/>
        <w:spacing w:line="360" w:lineRule="auto"/>
        <w:ind w:left="1843" w:hanging="1843" w:firstLineChars="0"/>
        <w:contextualSpacing/>
        <w:rPr>
          <w:rFonts w:cs="宋体" w:asciiTheme="minorEastAsia" w:hAnsiTheme="minorEastAsia"/>
          <w:kern w:val="0"/>
          <w:szCs w:val="21"/>
        </w:rPr>
      </w:pPr>
      <w:r>
        <w:rPr>
          <w:rFonts w:hint="eastAsia" w:cs="宋体" w:asciiTheme="minorEastAsia" w:hAnsiTheme="minorEastAsia"/>
          <w:kern w:val="0"/>
          <w:szCs w:val="21"/>
        </w:rPr>
        <w:t xml:space="preserve">  社会影响较大。</w:t>
      </w:r>
    </w:p>
    <w:p w14:paraId="2C3A56F1">
      <w:pPr>
        <w:pStyle w:val="42"/>
        <w:numPr>
          <w:ilvl w:val="0"/>
          <w:numId w:val="28"/>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评审专家对本单位的采购项目只能作为采购人代表参与评标。采购代理机构工作人员不得参加由本机构代理的政府采购项目的评标。</w:t>
      </w:r>
    </w:p>
    <w:p w14:paraId="6C788E35">
      <w:pPr>
        <w:pStyle w:val="42"/>
        <w:numPr>
          <w:ilvl w:val="0"/>
          <w:numId w:val="30"/>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评审专家与投标人存在下列利害关系之一的,应当回避:</w:t>
      </w:r>
    </w:p>
    <w:p w14:paraId="6EAAD867">
      <w:pPr>
        <w:pStyle w:val="42"/>
        <w:numPr>
          <w:ilvl w:val="0"/>
          <w:numId w:val="31"/>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参加采购活动前三年内,与供应商存在劳动关系,或者担任过供应商的董事、监事,或者是供应商的控股股东或实际控制人；</w:t>
      </w:r>
    </w:p>
    <w:p w14:paraId="464F14AE">
      <w:pPr>
        <w:pStyle w:val="42"/>
        <w:numPr>
          <w:ilvl w:val="0"/>
          <w:numId w:val="31"/>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与供应商的法定代表人或者负责人有夫妻、直系血亲、三代以内旁系血亲或者近姻亲关系；</w:t>
      </w:r>
    </w:p>
    <w:p w14:paraId="184030F7">
      <w:pPr>
        <w:pStyle w:val="42"/>
        <w:numPr>
          <w:ilvl w:val="0"/>
          <w:numId w:val="31"/>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与供应商有其他可能影响政府采购活动公平、公正进行的关系。</w:t>
      </w:r>
    </w:p>
    <w:p w14:paraId="5963A8A4">
      <w:pPr>
        <w:pStyle w:val="42"/>
        <w:numPr>
          <w:ilvl w:val="1"/>
          <w:numId w:val="32"/>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评审专家发现本人与参加采购活动的供应商有利害关系的,应当主动提出回避。采购人或者代理机构发现评审专家与参加采购活动的供应商有利害关系的,应当要求其回避。</w:t>
      </w:r>
    </w:p>
    <w:p w14:paraId="563E4C34">
      <w:pPr>
        <w:pStyle w:val="42"/>
        <w:numPr>
          <w:ilvl w:val="1"/>
          <w:numId w:val="32"/>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采购人不得担任评标小组长。</w:t>
      </w:r>
    </w:p>
    <w:p w14:paraId="4683F0E5">
      <w:pPr>
        <w:pStyle w:val="42"/>
        <w:numPr>
          <w:ilvl w:val="1"/>
          <w:numId w:val="32"/>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采购人可以在评标前说明项目背景和采购需求，说明内容不得含有歧视性、倾向性意见，不得超出招标文件所述范围。说明应当提交书面材料，并随采购文件一并存档。</w:t>
      </w:r>
    </w:p>
    <w:p w14:paraId="4A143C80">
      <w:pPr>
        <w:pStyle w:val="42"/>
        <w:numPr>
          <w:ilvl w:val="1"/>
          <w:numId w:val="32"/>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评标委员会成员名单在评标结果公告前应当保密。</w:t>
      </w:r>
    </w:p>
    <w:p w14:paraId="72EA0917">
      <w:pPr>
        <w:autoSpaceDE w:val="0"/>
        <w:autoSpaceDN w:val="0"/>
        <w:spacing w:line="360" w:lineRule="auto"/>
        <w:ind w:left="420"/>
        <w:contextualSpacing/>
        <w:rPr>
          <w:rFonts w:cs="宋体" w:asciiTheme="minorEastAsia" w:hAnsiTheme="minorEastAsia"/>
          <w:kern w:val="0"/>
          <w:szCs w:val="21"/>
        </w:rPr>
      </w:pPr>
    </w:p>
    <w:p w14:paraId="64FB1288">
      <w:pPr>
        <w:pStyle w:val="42"/>
        <w:numPr>
          <w:ilvl w:val="0"/>
          <w:numId w:val="32"/>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符合性审查</w:t>
      </w:r>
    </w:p>
    <w:p w14:paraId="416E073A">
      <w:pPr>
        <w:pStyle w:val="42"/>
        <w:numPr>
          <w:ilvl w:val="0"/>
          <w:numId w:val="3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评标委员会依据有关法律法规和招标文件的规定，对符合资格的投标人的投标文件进行符合性审查，以确定其是否满足招标文件的实质性要求。</w:t>
      </w:r>
    </w:p>
    <w:p w14:paraId="633654CB">
      <w:pPr>
        <w:pStyle w:val="42"/>
        <w:numPr>
          <w:ilvl w:val="1"/>
          <w:numId w:val="34"/>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审查、评价投标文件是否符合招标文件的商务、技术等实质性要求。</w:t>
      </w:r>
    </w:p>
    <w:p w14:paraId="418EA1C3">
      <w:pPr>
        <w:pStyle w:val="42"/>
        <w:numPr>
          <w:ilvl w:val="1"/>
          <w:numId w:val="34"/>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可要求投标人对投标文件有关事项作出澄清或者说明。</w:t>
      </w:r>
    </w:p>
    <w:p w14:paraId="4E2D76FE">
      <w:pPr>
        <w:pStyle w:val="42"/>
        <w:autoSpaceDE w:val="0"/>
        <w:autoSpaceDN w:val="0"/>
        <w:spacing w:line="360" w:lineRule="auto"/>
        <w:ind w:left="964" w:firstLine="0" w:firstLineChars="0"/>
        <w:contextualSpacing/>
        <w:rPr>
          <w:rFonts w:cs="宋体" w:asciiTheme="minorEastAsia" w:hAnsiTheme="minorEastAsia"/>
          <w:kern w:val="0"/>
          <w:szCs w:val="21"/>
        </w:rPr>
      </w:pPr>
    </w:p>
    <w:p w14:paraId="668C29A2">
      <w:pPr>
        <w:pStyle w:val="42"/>
        <w:numPr>
          <w:ilvl w:val="0"/>
          <w:numId w:val="3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投标文件的澄清</w:t>
      </w:r>
    </w:p>
    <w:p w14:paraId="329BF5DD">
      <w:pPr>
        <w:pStyle w:val="42"/>
        <w:numPr>
          <w:ilvl w:val="0"/>
          <w:numId w:val="35"/>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对于投标文件中含义不明确、同类问题表述不一致或者有明显文字和计算错误的内容，评标委员会应当以书面形式要求投标人作出必要的澄清、说明或者补正。</w:t>
      </w:r>
    </w:p>
    <w:p w14:paraId="63EC659E">
      <w:pPr>
        <w:pStyle w:val="42"/>
        <w:numPr>
          <w:ilvl w:val="0"/>
          <w:numId w:val="36"/>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投标人的澄清、说明或者补正应当采用书面形式，并加盖公章，或者由法定代表人或其授权的代表签字。投标人的澄清、说明或者补正不得超出投标文件的范围或者改变投标文件的实质性内容。</w:t>
      </w:r>
    </w:p>
    <w:p w14:paraId="236E0D9B">
      <w:pPr>
        <w:pStyle w:val="42"/>
        <w:numPr>
          <w:ilvl w:val="0"/>
          <w:numId w:val="37"/>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投标人的澄清文件是其投标文件的组成部分。</w:t>
      </w:r>
    </w:p>
    <w:p w14:paraId="08A1C7B8">
      <w:pPr>
        <w:pStyle w:val="42"/>
        <w:autoSpaceDE w:val="0"/>
        <w:autoSpaceDN w:val="0"/>
        <w:spacing w:line="360" w:lineRule="auto"/>
        <w:ind w:left="964" w:firstLine="0" w:firstLineChars="0"/>
        <w:contextualSpacing/>
        <w:rPr>
          <w:rFonts w:cs="宋体" w:asciiTheme="minorEastAsia" w:hAnsiTheme="minorEastAsia"/>
          <w:kern w:val="0"/>
          <w:szCs w:val="21"/>
        </w:rPr>
      </w:pPr>
    </w:p>
    <w:p w14:paraId="3313713A">
      <w:pPr>
        <w:pStyle w:val="42"/>
        <w:numPr>
          <w:ilvl w:val="0"/>
          <w:numId w:val="3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投标文件报价出现前后不一致的修正</w:t>
      </w:r>
    </w:p>
    <w:p w14:paraId="4805CD5D">
      <w:pPr>
        <w:pStyle w:val="42"/>
        <w:numPr>
          <w:ilvl w:val="0"/>
          <w:numId w:val="3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投标文件中开标一览表(报价表)内容与投标文件中相应内容不一致的，以开标一览表(报价表)为准；</w:t>
      </w:r>
    </w:p>
    <w:p w14:paraId="192F3500">
      <w:pPr>
        <w:pStyle w:val="42"/>
        <w:numPr>
          <w:ilvl w:val="0"/>
          <w:numId w:val="3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大写金额和小写金额不一致的，以大写金额为准；</w:t>
      </w:r>
    </w:p>
    <w:p w14:paraId="67E875FD">
      <w:pPr>
        <w:pStyle w:val="42"/>
        <w:numPr>
          <w:ilvl w:val="0"/>
          <w:numId w:val="3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单价金额小数点或者百分比有明显错位的，以开标一览表的总价为准，并修改单价；</w:t>
      </w:r>
    </w:p>
    <w:p w14:paraId="24EB74A7">
      <w:pPr>
        <w:pStyle w:val="42"/>
        <w:numPr>
          <w:ilvl w:val="0"/>
          <w:numId w:val="3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总价金额与按单价汇总金额不一致的，以单价金额计算结果为准。同时出现两种以上不一致的，按照前款规定的顺序修正。修正后的报价按照“投标人须知”28.2规定经投标人确认后产生约束力，投标人不确认的，其投标无效。</w:t>
      </w:r>
    </w:p>
    <w:p w14:paraId="58E4376B">
      <w:pPr>
        <w:autoSpaceDE w:val="0"/>
        <w:autoSpaceDN w:val="0"/>
        <w:spacing w:line="360" w:lineRule="auto"/>
        <w:ind w:left="964"/>
        <w:contextualSpacing/>
        <w:rPr>
          <w:rFonts w:cs="宋体" w:asciiTheme="minorEastAsia" w:hAnsiTheme="minorEastAsia"/>
          <w:kern w:val="0"/>
          <w:szCs w:val="21"/>
        </w:rPr>
      </w:pPr>
    </w:p>
    <w:p w14:paraId="1C70E0BF">
      <w:pPr>
        <w:pStyle w:val="42"/>
        <w:numPr>
          <w:ilvl w:val="0"/>
          <w:numId w:val="3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投标无效情形</w:t>
      </w:r>
    </w:p>
    <w:p w14:paraId="7D52A200">
      <w:pPr>
        <w:pStyle w:val="42"/>
        <w:numPr>
          <w:ilvl w:val="0"/>
          <w:numId w:val="39"/>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投标文件属下列情况之一的，按照无效投标处理：</w:t>
      </w:r>
    </w:p>
    <w:p w14:paraId="0FC8439A">
      <w:pPr>
        <w:pStyle w:val="42"/>
        <w:numPr>
          <w:ilvl w:val="0"/>
          <w:numId w:val="40"/>
        </w:numPr>
        <w:autoSpaceDE w:val="0"/>
        <w:autoSpaceDN w:val="0"/>
        <w:spacing w:line="360" w:lineRule="auto"/>
        <w:ind w:left="1418" w:hanging="1418" w:firstLineChars="0"/>
        <w:contextualSpacing/>
        <w:rPr>
          <w:rFonts w:cs="宋体" w:asciiTheme="minorEastAsia" w:hAnsiTheme="minorEastAsia"/>
          <w:color w:val="FF0000"/>
          <w:kern w:val="0"/>
          <w:szCs w:val="21"/>
        </w:rPr>
      </w:pPr>
      <w:r>
        <w:rPr>
          <w:rFonts w:hint="eastAsia" w:cs="宋体" w:asciiTheme="minorEastAsia" w:hAnsiTheme="minorEastAsia"/>
          <w:color w:val="FF0000"/>
          <w:kern w:val="0"/>
          <w:szCs w:val="21"/>
        </w:rPr>
        <w:t>未按照招标文件的规定提交《禹州市政府采购供应商信用承诺函》的；</w:t>
      </w:r>
    </w:p>
    <w:p w14:paraId="76D14427">
      <w:pPr>
        <w:pStyle w:val="42"/>
        <w:numPr>
          <w:ilvl w:val="0"/>
          <w:numId w:val="40"/>
        </w:numPr>
        <w:autoSpaceDE w:val="0"/>
        <w:autoSpaceDN w:val="0"/>
        <w:spacing w:line="360" w:lineRule="auto"/>
        <w:ind w:left="1418" w:hanging="1418" w:firstLineChars="0"/>
        <w:contextualSpacing/>
        <w:rPr>
          <w:rFonts w:cs="宋体" w:asciiTheme="minorEastAsia" w:hAnsiTheme="minorEastAsia"/>
          <w:color w:val="FF0000"/>
          <w:kern w:val="0"/>
          <w:szCs w:val="21"/>
        </w:rPr>
      </w:pPr>
      <w:r>
        <w:rPr>
          <w:rFonts w:hint="eastAsia" w:cs="宋体" w:asciiTheme="minorEastAsia" w:hAnsiTheme="minorEastAsia"/>
          <w:color w:val="FF0000"/>
          <w:kern w:val="0"/>
          <w:szCs w:val="21"/>
        </w:rPr>
        <w:t>未按照招标文件的规定提交投标承诺函的；</w:t>
      </w:r>
    </w:p>
    <w:p w14:paraId="0C36C798">
      <w:pPr>
        <w:pStyle w:val="42"/>
        <w:numPr>
          <w:ilvl w:val="0"/>
          <w:numId w:val="40"/>
        </w:numPr>
        <w:autoSpaceDE w:val="0"/>
        <w:autoSpaceDN w:val="0"/>
        <w:spacing w:line="360" w:lineRule="auto"/>
        <w:ind w:left="1418" w:hanging="1418" w:firstLineChars="0"/>
        <w:contextualSpacing/>
        <w:rPr>
          <w:rFonts w:cs="宋体" w:asciiTheme="minorEastAsia" w:hAnsiTheme="minorEastAsia"/>
          <w:color w:val="FF0000"/>
          <w:kern w:val="0"/>
          <w:szCs w:val="21"/>
        </w:rPr>
      </w:pPr>
      <w:r>
        <w:rPr>
          <w:rFonts w:hint="eastAsia" w:cs="宋体" w:asciiTheme="minorEastAsia" w:hAnsiTheme="minorEastAsia"/>
          <w:color w:val="FF0000"/>
          <w:kern w:val="0"/>
          <w:szCs w:val="21"/>
        </w:rPr>
        <w:t>投标文件未按招标文件要求签署、盖章的；</w:t>
      </w:r>
    </w:p>
    <w:p w14:paraId="73D1C2B4">
      <w:pPr>
        <w:pStyle w:val="42"/>
        <w:numPr>
          <w:ilvl w:val="0"/>
          <w:numId w:val="40"/>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报价超过招标文件中规定的预算金额或者最高限价的；</w:t>
      </w:r>
    </w:p>
    <w:p w14:paraId="328952E0">
      <w:pPr>
        <w:pStyle w:val="42"/>
        <w:numPr>
          <w:ilvl w:val="0"/>
          <w:numId w:val="40"/>
        </w:numPr>
        <w:autoSpaceDE w:val="0"/>
        <w:autoSpaceDN w:val="0"/>
        <w:spacing w:line="360" w:lineRule="auto"/>
        <w:ind w:left="1418" w:hanging="1418" w:firstLineChars="0"/>
        <w:contextualSpacing/>
        <w:rPr>
          <w:rFonts w:cs="宋体" w:asciiTheme="minorEastAsia" w:hAnsiTheme="minorEastAsia"/>
          <w:kern w:val="0"/>
          <w:szCs w:val="21"/>
        </w:rPr>
      </w:pPr>
      <w:r>
        <w:rPr>
          <w:rFonts w:cs="宋体" w:asciiTheme="minorEastAsia" w:hAnsiTheme="minorEastAsia"/>
          <w:kern w:val="0"/>
          <w:szCs w:val="21"/>
        </w:rPr>
        <w:t>投标文件含有采购人不能接受的附加条件的</w:t>
      </w:r>
      <w:r>
        <w:rPr>
          <w:rFonts w:hint="eastAsia" w:cs="宋体" w:asciiTheme="minorEastAsia" w:hAnsiTheme="minorEastAsia"/>
          <w:kern w:val="0"/>
          <w:szCs w:val="21"/>
        </w:rPr>
        <w:t>。</w:t>
      </w:r>
    </w:p>
    <w:p w14:paraId="0EDAC67B">
      <w:pPr>
        <w:pStyle w:val="42"/>
        <w:numPr>
          <w:ilvl w:val="0"/>
          <w:numId w:val="41"/>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根据《河南省财政厅关于防范供应商串通投标促进政府采购公平竞争的通知》（豫财购﹝2021﹞6号）要求，参与同一个标段的供应商存在下列情形之一的，其投标文件无效：</w:t>
      </w:r>
    </w:p>
    <w:p w14:paraId="4E7A36CD">
      <w:pPr>
        <w:pStyle w:val="42"/>
        <w:numPr>
          <w:ilvl w:val="0"/>
          <w:numId w:val="42"/>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不同供应商的电子投标文件上传计算机的网卡MAC地址、CPU序列号和硬盘序列号等硬件信息相同的；</w:t>
      </w:r>
    </w:p>
    <w:p w14:paraId="4FAB679E">
      <w:pPr>
        <w:pStyle w:val="42"/>
        <w:numPr>
          <w:ilvl w:val="0"/>
          <w:numId w:val="43"/>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不同供应商的投标文件由同一电子设备编制、打印加密或者上传；</w:t>
      </w:r>
    </w:p>
    <w:p w14:paraId="108A0AEB">
      <w:pPr>
        <w:pStyle w:val="42"/>
        <w:numPr>
          <w:ilvl w:val="0"/>
          <w:numId w:val="44"/>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不同供应商的投标文件由同一电子设备打印、复印；</w:t>
      </w:r>
    </w:p>
    <w:p w14:paraId="35EEA056">
      <w:pPr>
        <w:pStyle w:val="42"/>
        <w:numPr>
          <w:ilvl w:val="0"/>
          <w:numId w:val="45"/>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不同供应商的投标文件由同一人送达或者分发，或者不同供应商联系人为同一人或不同联系人的联系电话一致的；</w:t>
      </w:r>
    </w:p>
    <w:p w14:paraId="31252233">
      <w:pPr>
        <w:pStyle w:val="42"/>
        <w:numPr>
          <w:ilvl w:val="0"/>
          <w:numId w:val="46"/>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不同供应商的投标文件的内容存在两处以上细节错误一致；</w:t>
      </w:r>
    </w:p>
    <w:p w14:paraId="4453A324">
      <w:pPr>
        <w:pStyle w:val="42"/>
        <w:numPr>
          <w:ilvl w:val="0"/>
          <w:numId w:val="47"/>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不同供应商的法定代表人、委托代理人、项目经理、项目负责人等由同一个单位缴纳社会保险或者领取报酬的；</w:t>
      </w:r>
    </w:p>
    <w:p w14:paraId="2636741E">
      <w:pPr>
        <w:pStyle w:val="42"/>
        <w:numPr>
          <w:ilvl w:val="0"/>
          <w:numId w:val="48"/>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不同供应商投标文件中法定代表人或者负责人签字出自同一人之手；</w:t>
      </w:r>
    </w:p>
    <w:p w14:paraId="3AC7894F">
      <w:pPr>
        <w:pStyle w:val="42"/>
        <w:numPr>
          <w:ilvl w:val="0"/>
          <w:numId w:val="49"/>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其它涉嫌串通的情形。</w:t>
      </w:r>
    </w:p>
    <w:p w14:paraId="6ADBC1DE">
      <w:pPr>
        <w:pStyle w:val="42"/>
        <w:numPr>
          <w:ilvl w:val="0"/>
          <w:numId w:val="50"/>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有下列情形之一的，视为投标人串通投标，其投标无效：</w:t>
      </w:r>
    </w:p>
    <w:p w14:paraId="68416FCD">
      <w:pPr>
        <w:pStyle w:val="42"/>
        <w:numPr>
          <w:ilvl w:val="0"/>
          <w:numId w:val="51"/>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不同投标人的投标文件由同一单位或者个人编制；</w:t>
      </w:r>
    </w:p>
    <w:p w14:paraId="445730F5">
      <w:pPr>
        <w:pStyle w:val="42"/>
        <w:numPr>
          <w:ilvl w:val="0"/>
          <w:numId w:val="52"/>
        </w:numPr>
        <w:autoSpaceDE w:val="0"/>
        <w:autoSpaceDN w:val="0"/>
        <w:spacing w:line="360" w:lineRule="auto"/>
        <w:ind w:hanging="1384" w:firstLineChars="0"/>
        <w:contextualSpacing/>
        <w:rPr>
          <w:rFonts w:cs="宋体" w:asciiTheme="minorEastAsia" w:hAnsiTheme="minorEastAsia"/>
          <w:kern w:val="0"/>
          <w:szCs w:val="21"/>
        </w:rPr>
      </w:pPr>
      <w:r>
        <w:rPr>
          <w:rFonts w:hint="eastAsia" w:cs="宋体" w:asciiTheme="minorEastAsia" w:hAnsiTheme="minorEastAsia"/>
          <w:kern w:val="0"/>
          <w:szCs w:val="21"/>
        </w:rPr>
        <w:t>不同投标人委托同一单位或者个人办理投标事宜；</w:t>
      </w:r>
    </w:p>
    <w:p w14:paraId="7294F89E">
      <w:pPr>
        <w:pStyle w:val="42"/>
        <w:numPr>
          <w:ilvl w:val="0"/>
          <w:numId w:val="53"/>
        </w:numPr>
        <w:autoSpaceDE w:val="0"/>
        <w:autoSpaceDN w:val="0"/>
        <w:spacing w:line="360" w:lineRule="auto"/>
        <w:ind w:hanging="1384" w:firstLineChars="0"/>
        <w:contextualSpacing/>
        <w:rPr>
          <w:rFonts w:cs="宋体" w:asciiTheme="minorEastAsia" w:hAnsiTheme="minorEastAsia"/>
          <w:kern w:val="0"/>
          <w:szCs w:val="21"/>
        </w:rPr>
      </w:pPr>
      <w:r>
        <w:rPr>
          <w:rFonts w:hint="eastAsia" w:cs="宋体" w:asciiTheme="minorEastAsia" w:hAnsiTheme="minorEastAsia"/>
          <w:kern w:val="0"/>
          <w:szCs w:val="21"/>
        </w:rPr>
        <w:t>不同投标人的投标文件载明的项目管理成员或者联系人员为同一人；</w:t>
      </w:r>
    </w:p>
    <w:p w14:paraId="08E204DD">
      <w:pPr>
        <w:pStyle w:val="42"/>
        <w:numPr>
          <w:ilvl w:val="0"/>
          <w:numId w:val="54"/>
        </w:numPr>
        <w:autoSpaceDE w:val="0"/>
        <w:autoSpaceDN w:val="0"/>
        <w:spacing w:line="360" w:lineRule="auto"/>
        <w:ind w:hanging="1384" w:firstLineChars="0"/>
        <w:contextualSpacing/>
        <w:rPr>
          <w:rFonts w:cs="宋体" w:asciiTheme="minorEastAsia" w:hAnsiTheme="minorEastAsia"/>
          <w:kern w:val="0"/>
          <w:szCs w:val="21"/>
        </w:rPr>
      </w:pPr>
      <w:r>
        <w:rPr>
          <w:rFonts w:hint="eastAsia" w:cs="宋体" w:asciiTheme="minorEastAsia" w:hAnsiTheme="minorEastAsia"/>
          <w:kern w:val="0"/>
          <w:szCs w:val="21"/>
        </w:rPr>
        <w:t>不同投标人的投标文件异常一致或者投标报价呈规律性差异；</w:t>
      </w:r>
    </w:p>
    <w:p w14:paraId="5AA12C84">
      <w:pPr>
        <w:pStyle w:val="42"/>
        <w:numPr>
          <w:ilvl w:val="0"/>
          <w:numId w:val="55"/>
        </w:numPr>
        <w:autoSpaceDE w:val="0"/>
        <w:autoSpaceDN w:val="0"/>
        <w:spacing w:line="360" w:lineRule="auto"/>
        <w:ind w:hanging="1384" w:firstLineChars="0"/>
        <w:contextualSpacing/>
        <w:rPr>
          <w:rFonts w:cs="宋体" w:asciiTheme="minorEastAsia" w:hAnsiTheme="minorEastAsia"/>
          <w:kern w:val="0"/>
          <w:szCs w:val="21"/>
        </w:rPr>
      </w:pPr>
      <w:r>
        <w:rPr>
          <w:rFonts w:hint="eastAsia" w:cs="宋体" w:asciiTheme="minorEastAsia" w:hAnsiTheme="minorEastAsia"/>
          <w:kern w:val="0"/>
          <w:szCs w:val="21"/>
        </w:rPr>
        <w:t>不同投标人的投标文件相互混装。</w:t>
      </w:r>
    </w:p>
    <w:p w14:paraId="16A184BF">
      <w:pPr>
        <w:pStyle w:val="42"/>
        <w:numPr>
          <w:ilvl w:val="0"/>
          <w:numId w:val="56"/>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w:t>
      </w:r>
    </w:p>
    <w:p w14:paraId="489D17EC">
      <w:pPr>
        <w:pStyle w:val="42"/>
        <w:numPr>
          <w:ilvl w:val="0"/>
          <w:numId w:val="57"/>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评标委员会认为投标人的报价明显低于其他通过符合性审查投标人的报价，有可能影响产品质量或者不能诚信履约的，应当要求其在评标期间合理的时间内提供书面说明，必要时提交相关证明材料；投标人不能证明其报价合理性的，评标委员会应当将其作为无效投标处理。</w:t>
      </w:r>
    </w:p>
    <w:p w14:paraId="5D8293F7">
      <w:pPr>
        <w:pStyle w:val="42"/>
        <w:numPr>
          <w:ilvl w:val="0"/>
          <w:numId w:val="58"/>
        </w:numPr>
        <w:autoSpaceDE w:val="0"/>
        <w:autoSpaceDN w:val="0"/>
        <w:spacing w:line="360" w:lineRule="auto"/>
        <w:ind w:hanging="964" w:firstLineChars="0"/>
        <w:contextualSpacing/>
        <w:rPr>
          <w:rFonts w:cs="宋体" w:asciiTheme="minorEastAsia" w:hAnsiTheme="minorEastAsia"/>
          <w:kern w:val="0"/>
          <w:szCs w:val="21"/>
        </w:rPr>
      </w:pPr>
      <w:r>
        <w:rPr>
          <w:rFonts w:hint="eastAsia" w:ascii="ˎ̥" w:hAnsi="ˎ̥"/>
        </w:rPr>
        <w:t>按照《关于推进全流程电子化交易和在线监管工作有关问题的通知》（许公管办[2019]3号）规定，不同投标人电子投标文件记录的网卡MAC地址、CPU序号、硬盘序列号等硬件特征码均相同时，视为‘</w:t>
      </w:r>
      <w:r>
        <w:rPr>
          <w:rFonts w:ascii="ˎ̥" w:hAnsi="ˎ̥"/>
        </w:rPr>
        <w:t>不同</w:t>
      </w:r>
      <w:r>
        <w:rPr>
          <w:rFonts w:hint="eastAsia" w:ascii="ˎ̥" w:hAnsi="ˎ̥"/>
        </w:rPr>
        <w:t>投标人</w:t>
      </w:r>
      <w:r>
        <w:rPr>
          <w:rFonts w:ascii="ˎ̥" w:hAnsi="ˎ̥"/>
        </w:rPr>
        <w:t>的</w:t>
      </w:r>
      <w:r>
        <w:rPr>
          <w:rFonts w:hint="eastAsia" w:ascii="ˎ̥" w:hAnsi="ˎ̥"/>
        </w:rPr>
        <w:t>投标</w:t>
      </w:r>
      <w:r>
        <w:rPr>
          <w:rFonts w:ascii="ˎ̥" w:hAnsi="ˎ̥"/>
        </w:rPr>
        <w:t>文件由同一单位或者个人编制</w:t>
      </w:r>
      <w:r>
        <w:rPr>
          <w:rFonts w:hint="eastAsia" w:ascii="ˎ̥" w:hAnsi="ˎ̥"/>
        </w:rPr>
        <w:t>’或‘</w:t>
      </w:r>
      <w:r>
        <w:rPr>
          <w:rFonts w:ascii="ˎ̥" w:hAnsi="ˎ̥"/>
        </w:rPr>
        <w:t>不同</w:t>
      </w:r>
      <w:r>
        <w:rPr>
          <w:rFonts w:hint="eastAsia" w:ascii="ˎ̥" w:hAnsi="ˎ̥"/>
        </w:rPr>
        <w:t>投标人</w:t>
      </w:r>
      <w:r>
        <w:rPr>
          <w:rFonts w:ascii="ˎ̥" w:hAnsi="ˎ̥"/>
        </w:rPr>
        <w:t>委托同一单位或者个人办理</w:t>
      </w:r>
      <w:r>
        <w:rPr>
          <w:rFonts w:hint="eastAsia" w:ascii="ˎ̥" w:hAnsi="ˎ̥"/>
        </w:rPr>
        <w:t>响应</w:t>
      </w:r>
      <w:r>
        <w:rPr>
          <w:rFonts w:ascii="ˎ̥" w:hAnsi="ˎ̥"/>
        </w:rPr>
        <w:t>事宜</w:t>
      </w:r>
      <w:r>
        <w:rPr>
          <w:rFonts w:hint="eastAsia" w:ascii="ˎ̥" w:hAnsi="ˎ̥"/>
        </w:rPr>
        <w:t>’，其投标无效。</w:t>
      </w:r>
    </w:p>
    <w:p w14:paraId="5763B782">
      <w:pPr>
        <w:pStyle w:val="42"/>
        <w:numPr>
          <w:ilvl w:val="0"/>
          <w:numId w:val="59"/>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法</w:t>
      </w:r>
      <w:r>
        <w:rPr>
          <w:rFonts w:cs="宋体" w:asciiTheme="minorEastAsia" w:hAnsiTheme="minorEastAsia"/>
          <w:kern w:val="0"/>
          <w:szCs w:val="21"/>
        </w:rPr>
        <w:t>律、法规和招标文件规定的其他无效情形。</w:t>
      </w:r>
    </w:p>
    <w:p w14:paraId="06ADCEA6">
      <w:pPr>
        <w:pStyle w:val="42"/>
        <w:autoSpaceDE w:val="0"/>
        <w:autoSpaceDN w:val="0"/>
        <w:spacing w:line="360" w:lineRule="auto"/>
        <w:ind w:left="964" w:firstLine="0" w:firstLineChars="0"/>
        <w:contextualSpacing/>
        <w:rPr>
          <w:rFonts w:cs="宋体" w:asciiTheme="minorEastAsia" w:hAnsiTheme="minorEastAsia"/>
          <w:kern w:val="0"/>
          <w:szCs w:val="21"/>
        </w:rPr>
      </w:pPr>
    </w:p>
    <w:p w14:paraId="41105D47">
      <w:pPr>
        <w:pStyle w:val="42"/>
        <w:numPr>
          <w:ilvl w:val="0"/>
          <w:numId w:val="3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相同品牌投标人的认定</w:t>
      </w:r>
      <w:r>
        <w:rPr>
          <w:rFonts w:cs="仿宋_GB2312" w:asciiTheme="minorEastAsia" w:hAnsiTheme="minorEastAsia"/>
          <w:b/>
          <w:bCs/>
          <w:szCs w:val="21"/>
          <w:lang w:val="zh-CN"/>
        </w:rPr>
        <w:t>（服务类项目不适用本条款规定）</w:t>
      </w:r>
    </w:p>
    <w:p w14:paraId="31747494">
      <w:pPr>
        <w:pStyle w:val="42"/>
        <w:numPr>
          <w:ilvl w:val="0"/>
          <w:numId w:val="60"/>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19CA3F1E">
      <w:pPr>
        <w:pStyle w:val="42"/>
        <w:numPr>
          <w:ilvl w:val="0"/>
          <w:numId w:val="61"/>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E416D35">
      <w:pPr>
        <w:pStyle w:val="42"/>
        <w:autoSpaceDE w:val="0"/>
        <w:autoSpaceDN w:val="0"/>
        <w:spacing w:line="360" w:lineRule="auto"/>
        <w:ind w:left="964" w:firstLine="0" w:firstLineChars="0"/>
        <w:contextualSpacing/>
        <w:rPr>
          <w:rFonts w:cs="宋体" w:asciiTheme="minorEastAsia" w:hAnsiTheme="minorEastAsia"/>
          <w:kern w:val="0"/>
          <w:szCs w:val="21"/>
        </w:rPr>
      </w:pPr>
    </w:p>
    <w:p w14:paraId="50106615">
      <w:pPr>
        <w:pStyle w:val="42"/>
        <w:numPr>
          <w:ilvl w:val="0"/>
          <w:numId w:val="3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投标文件的比较与评价</w:t>
      </w:r>
    </w:p>
    <w:p w14:paraId="2BD357D9">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评标委员会按照招标文件中规定的评标方法和标准，对符合性审查合格的投标文件进行商务和技术评估，综合比较与评价。</w:t>
      </w:r>
    </w:p>
    <w:p w14:paraId="57108771">
      <w:pPr>
        <w:autoSpaceDE w:val="0"/>
        <w:autoSpaceDN w:val="0"/>
        <w:spacing w:line="360" w:lineRule="auto"/>
        <w:ind w:left="964"/>
        <w:contextualSpacing/>
        <w:rPr>
          <w:rFonts w:cs="宋体" w:asciiTheme="minorEastAsia" w:hAnsiTheme="minorEastAsia"/>
          <w:kern w:val="0"/>
          <w:szCs w:val="21"/>
        </w:rPr>
      </w:pPr>
    </w:p>
    <w:p w14:paraId="09691254">
      <w:pPr>
        <w:pStyle w:val="42"/>
        <w:numPr>
          <w:ilvl w:val="0"/>
          <w:numId w:val="34"/>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评标方法、评标标准</w:t>
      </w:r>
    </w:p>
    <w:p w14:paraId="05D31B88">
      <w:pPr>
        <w:pStyle w:val="42"/>
        <w:numPr>
          <w:ilvl w:val="0"/>
          <w:numId w:val="62"/>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评标方法分为最低评标价法和综合评分法。</w:t>
      </w:r>
    </w:p>
    <w:p w14:paraId="7F296381">
      <w:pPr>
        <w:pStyle w:val="42"/>
        <w:numPr>
          <w:ilvl w:val="0"/>
          <w:numId w:val="63"/>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最低评标价法</w:t>
      </w:r>
    </w:p>
    <w:p w14:paraId="0A22362B">
      <w:pPr>
        <w:pStyle w:val="42"/>
        <w:numPr>
          <w:ilvl w:val="0"/>
          <w:numId w:val="64"/>
        </w:numPr>
        <w:autoSpaceDE w:val="0"/>
        <w:autoSpaceDN w:val="0"/>
        <w:spacing w:line="360" w:lineRule="auto"/>
        <w:ind w:left="1841" w:leftChars="1" w:hanging="1839" w:hangingChars="876"/>
        <w:contextualSpacing/>
        <w:rPr>
          <w:rFonts w:cs="宋体" w:asciiTheme="minorEastAsia" w:hAnsiTheme="minorEastAsia"/>
          <w:kern w:val="0"/>
          <w:szCs w:val="21"/>
        </w:rPr>
      </w:pPr>
      <w:r>
        <w:rPr>
          <w:rFonts w:hint="eastAsia" w:cs="宋体" w:asciiTheme="minorEastAsia" w:hAnsiTheme="minorEastAsia"/>
          <w:kern w:val="0"/>
          <w:szCs w:val="21"/>
        </w:rPr>
        <w:t>最低评标价法，是指投标文件满足招标文件全部实质性要求，且投标报价最低的投标人为中标候选人的评标方法。</w:t>
      </w:r>
    </w:p>
    <w:p w14:paraId="03B45668">
      <w:pPr>
        <w:pStyle w:val="42"/>
        <w:numPr>
          <w:ilvl w:val="0"/>
          <w:numId w:val="64"/>
        </w:numPr>
        <w:autoSpaceDE w:val="0"/>
        <w:autoSpaceDN w:val="0"/>
        <w:spacing w:line="360" w:lineRule="auto"/>
        <w:ind w:left="1841" w:leftChars="1" w:hanging="1839" w:hangingChars="876"/>
        <w:contextualSpacing/>
        <w:rPr>
          <w:rFonts w:cs="宋体" w:asciiTheme="minorEastAsia" w:hAnsiTheme="minorEastAsia"/>
          <w:kern w:val="0"/>
          <w:szCs w:val="21"/>
        </w:rPr>
      </w:pPr>
      <w:r>
        <w:rPr>
          <w:rFonts w:hint="eastAsia" w:cs="宋体" w:asciiTheme="minorEastAsia" w:hAnsiTheme="minorEastAsia"/>
          <w:kern w:val="0"/>
          <w:szCs w:val="21"/>
        </w:rPr>
        <w:t>采用最低评标价法评标时，除了算术修正和落实政府采购政策需进行的价格扣除外，不能对投标人的投标价格进行任何调整。</w:t>
      </w:r>
    </w:p>
    <w:p w14:paraId="0414FC69">
      <w:pPr>
        <w:pStyle w:val="42"/>
        <w:numPr>
          <w:ilvl w:val="0"/>
          <w:numId w:val="63"/>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综合评分法，是指投标文件满足招标文件全部实质性要求，且按照评审因素的量化指标评审得分最高的投标人为中标候选人的评标方法。</w:t>
      </w:r>
    </w:p>
    <w:p w14:paraId="42BFDF6E">
      <w:pPr>
        <w:pStyle w:val="42"/>
        <w:numPr>
          <w:ilvl w:val="0"/>
          <w:numId w:val="65"/>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价格分</w:t>
      </w:r>
    </w:p>
    <w:p w14:paraId="753D3EEE">
      <w:pPr>
        <w:pStyle w:val="42"/>
        <w:numPr>
          <w:ilvl w:val="0"/>
          <w:numId w:val="66"/>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价格分采用低价优先法计算，即满足招标文件要求且投标价格最低的投标报价为评标基准价，其价格分为满分。其他投标人的价格分统一按照下列公式计算：</w:t>
      </w:r>
    </w:p>
    <w:p w14:paraId="1901D5C2">
      <w:pPr>
        <w:autoSpaceDE w:val="0"/>
        <w:autoSpaceDN w:val="0"/>
        <w:spacing w:line="360" w:lineRule="auto"/>
        <w:ind w:left="964" w:firstLine="840" w:firstLineChars="400"/>
        <w:contextualSpacing/>
        <w:rPr>
          <w:rFonts w:cs="宋体" w:asciiTheme="minorEastAsia" w:hAnsiTheme="minorEastAsia"/>
          <w:kern w:val="0"/>
          <w:szCs w:val="21"/>
        </w:rPr>
      </w:pPr>
      <w:r>
        <w:rPr>
          <w:rFonts w:hint="eastAsia" w:cs="宋体" w:asciiTheme="minorEastAsia" w:hAnsiTheme="minorEastAsia"/>
          <w:kern w:val="0"/>
          <w:szCs w:val="21"/>
        </w:rPr>
        <w:t>投标报价得分=(评标基准价/投标报价)×100</w:t>
      </w:r>
    </w:p>
    <w:p w14:paraId="78D5CEF9">
      <w:pPr>
        <w:autoSpaceDE w:val="0"/>
        <w:autoSpaceDN w:val="0"/>
        <w:spacing w:line="360" w:lineRule="auto"/>
        <w:ind w:left="964" w:firstLine="840" w:firstLineChars="400"/>
        <w:contextualSpacing/>
        <w:rPr>
          <w:rFonts w:cs="宋体" w:asciiTheme="minorEastAsia" w:hAnsiTheme="minorEastAsia"/>
          <w:kern w:val="0"/>
          <w:szCs w:val="21"/>
        </w:rPr>
      </w:pPr>
      <w:r>
        <w:rPr>
          <w:rFonts w:hint="eastAsia" w:cs="宋体" w:asciiTheme="minorEastAsia" w:hAnsiTheme="minorEastAsia"/>
          <w:kern w:val="0"/>
          <w:szCs w:val="21"/>
        </w:rPr>
        <w:t>评标总得分=F1×A1+F2×A2+……+Fn×An</w:t>
      </w:r>
    </w:p>
    <w:p w14:paraId="1C8751E6">
      <w:pPr>
        <w:autoSpaceDE w:val="0"/>
        <w:autoSpaceDN w:val="0"/>
        <w:spacing w:line="360" w:lineRule="auto"/>
        <w:ind w:left="964" w:firstLine="840" w:firstLineChars="400"/>
        <w:contextualSpacing/>
        <w:rPr>
          <w:rFonts w:cs="宋体" w:asciiTheme="minorEastAsia" w:hAnsiTheme="minorEastAsia"/>
          <w:kern w:val="0"/>
          <w:szCs w:val="21"/>
        </w:rPr>
      </w:pPr>
      <w:r>
        <w:rPr>
          <w:rFonts w:hint="eastAsia" w:cs="宋体" w:asciiTheme="minorEastAsia" w:hAnsiTheme="minorEastAsia"/>
          <w:kern w:val="0"/>
          <w:szCs w:val="21"/>
        </w:rPr>
        <w:t>F1、F2……Fn分别为各项评审因素的得分;</w:t>
      </w:r>
    </w:p>
    <w:p w14:paraId="4448FFEC">
      <w:pPr>
        <w:autoSpaceDE w:val="0"/>
        <w:autoSpaceDN w:val="0"/>
        <w:spacing w:line="360" w:lineRule="auto"/>
        <w:ind w:left="964" w:firstLine="840" w:firstLineChars="400"/>
        <w:contextualSpacing/>
        <w:rPr>
          <w:rFonts w:cs="宋体" w:asciiTheme="minorEastAsia" w:hAnsiTheme="minorEastAsia"/>
          <w:kern w:val="0"/>
          <w:szCs w:val="21"/>
        </w:rPr>
      </w:pPr>
      <w:r>
        <w:rPr>
          <w:rFonts w:hint="eastAsia" w:cs="宋体" w:asciiTheme="minorEastAsia" w:hAnsiTheme="minorEastAsia"/>
          <w:kern w:val="0"/>
          <w:szCs w:val="21"/>
        </w:rPr>
        <w:t>A1、A2、……An 分别为各项评审因素所占的权重(A1+A2+……+An=1)。</w:t>
      </w:r>
    </w:p>
    <w:p w14:paraId="1B016D17">
      <w:pPr>
        <w:pStyle w:val="42"/>
        <w:numPr>
          <w:ilvl w:val="0"/>
          <w:numId w:val="66"/>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评标过程中，不得去掉报价中的最高报价和最低报价。</w:t>
      </w:r>
    </w:p>
    <w:p w14:paraId="5AA8E801">
      <w:pPr>
        <w:pStyle w:val="42"/>
        <w:numPr>
          <w:ilvl w:val="0"/>
          <w:numId w:val="66"/>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因落实政府采购政策进行价格调整的，以调整后的价格计算评标基准价和投标报价。</w:t>
      </w:r>
    </w:p>
    <w:p w14:paraId="6CA533D6">
      <w:pPr>
        <w:pStyle w:val="42"/>
        <w:numPr>
          <w:ilvl w:val="1"/>
          <w:numId w:val="67"/>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b/>
          <w:kern w:val="0"/>
          <w:szCs w:val="21"/>
        </w:rPr>
        <w:t>本次评标具体评标方法、评标标准见（第六章 资格审查与评标）</w:t>
      </w:r>
      <w:r>
        <w:rPr>
          <w:rFonts w:hint="eastAsia" w:cs="宋体" w:asciiTheme="minorEastAsia" w:hAnsiTheme="minorEastAsia"/>
          <w:kern w:val="0"/>
          <w:szCs w:val="21"/>
        </w:rPr>
        <w:t>。</w:t>
      </w:r>
    </w:p>
    <w:p w14:paraId="349DEBB7">
      <w:pPr>
        <w:pStyle w:val="42"/>
        <w:autoSpaceDE w:val="0"/>
        <w:autoSpaceDN w:val="0"/>
        <w:spacing w:line="360" w:lineRule="auto"/>
        <w:ind w:left="964" w:firstLine="0" w:firstLineChars="0"/>
        <w:contextualSpacing/>
        <w:rPr>
          <w:rFonts w:cs="宋体" w:asciiTheme="minorEastAsia" w:hAnsiTheme="minorEastAsia"/>
          <w:kern w:val="0"/>
          <w:szCs w:val="21"/>
        </w:rPr>
      </w:pPr>
    </w:p>
    <w:p w14:paraId="4DC0CEE3">
      <w:pPr>
        <w:pStyle w:val="42"/>
        <w:numPr>
          <w:ilvl w:val="0"/>
          <w:numId w:val="67"/>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推荐中标候选人</w:t>
      </w:r>
    </w:p>
    <w:p w14:paraId="29290C94">
      <w:pPr>
        <w:pStyle w:val="42"/>
        <w:numPr>
          <w:ilvl w:val="0"/>
          <w:numId w:val="62"/>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采用最低评标价法的，评标结果按投标报价由低到高顺序排列。投标报价相同的并列。投标文件满足招标文件全部实质性要求且投标报价最低的投标人为排名第一的中标候选人。</w:t>
      </w:r>
    </w:p>
    <w:p w14:paraId="080F9CE9">
      <w:pPr>
        <w:pStyle w:val="42"/>
        <w:numPr>
          <w:ilvl w:val="0"/>
          <w:numId w:val="68"/>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254CCDF7">
      <w:pPr>
        <w:pStyle w:val="42"/>
        <w:autoSpaceDE w:val="0"/>
        <w:autoSpaceDN w:val="0"/>
        <w:spacing w:line="360" w:lineRule="auto"/>
        <w:ind w:left="964" w:firstLine="0" w:firstLineChars="0"/>
        <w:contextualSpacing/>
        <w:rPr>
          <w:rFonts w:cs="宋体" w:asciiTheme="minorEastAsia" w:hAnsiTheme="minorEastAsia"/>
          <w:kern w:val="0"/>
          <w:szCs w:val="21"/>
        </w:rPr>
      </w:pPr>
    </w:p>
    <w:p w14:paraId="782E399D">
      <w:pPr>
        <w:pStyle w:val="42"/>
        <w:numPr>
          <w:ilvl w:val="0"/>
          <w:numId w:val="69"/>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评审意见无效情形</w:t>
      </w:r>
    </w:p>
    <w:p w14:paraId="4D165982">
      <w:pPr>
        <w:pStyle w:val="42"/>
        <w:numPr>
          <w:ilvl w:val="0"/>
          <w:numId w:val="70"/>
        </w:numPr>
        <w:autoSpaceDE w:val="0"/>
        <w:autoSpaceDN w:val="0"/>
        <w:spacing w:line="360" w:lineRule="auto"/>
        <w:ind w:left="993" w:hanging="993" w:firstLineChars="0"/>
        <w:contextualSpacing/>
        <w:rPr>
          <w:rFonts w:cs="宋体" w:asciiTheme="minorEastAsia" w:hAnsiTheme="minorEastAsia"/>
          <w:kern w:val="0"/>
          <w:szCs w:val="21"/>
        </w:rPr>
      </w:pPr>
      <w:r>
        <w:rPr>
          <w:rFonts w:hint="eastAsia" w:cs="宋体" w:asciiTheme="minorEastAsia" w:hAnsiTheme="minorEastAsia"/>
          <w:kern w:val="0"/>
          <w:szCs w:val="21"/>
        </w:rPr>
        <w:t>评标委员会及其成员有下列行为之一的，其评审意见无效：</w:t>
      </w:r>
    </w:p>
    <w:p w14:paraId="2406BAA0">
      <w:pPr>
        <w:pStyle w:val="42"/>
        <w:numPr>
          <w:ilvl w:val="0"/>
          <w:numId w:val="71"/>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确定参与评标至评标结束前私自接触投标人；</w:t>
      </w:r>
    </w:p>
    <w:p w14:paraId="6151AA7E">
      <w:pPr>
        <w:pStyle w:val="42"/>
        <w:numPr>
          <w:ilvl w:val="0"/>
          <w:numId w:val="71"/>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接受投标人提出的与投标文件不一致的澄清或者说明，《投标人须知》26条规定的情形除外；</w:t>
      </w:r>
    </w:p>
    <w:p w14:paraId="2801E75C">
      <w:pPr>
        <w:pStyle w:val="42"/>
        <w:numPr>
          <w:ilvl w:val="0"/>
          <w:numId w:val="71"/>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违反评标纪律发表倾向性意见或者征询采购人的倾向性意见；</w:t>
      </w:r>
    </w:p>
    <w:p w14:paraId="737AA6FE">
      <w:pPr>
        <w:pStyle w:val="42"/>
        <w:numPr>
          <w:ilvl w:val="0"/>
          <w:numId w:val="71"/>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对需要专业判断的主观评审因素协商评分；</w:t>
      </w:r>
    </w:p>
    <w:p w14:paraId="226EE13F">
      <w:pPr>
        <w:pStyle w:val="42"/>
        <w:numPr>
          <w:ilvl w:val="0"/>
          <w:numId w:val="71"/>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在评标过程中擅离职守，影响评标程序正常进行的；</w:t>
      </w:r>
    </w:p>
    <w:p w14:paraId="2723C3D3">
      <w:pPr>
        <w:pStyle w:val="42"/>
        <w:numPr>
          <w:ilvl w:val="0"/>
          <w:numId w:val="71"/>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记录、复制或者带走任何评标资料；</w:t>
      </w:r>
    </w:p>
    <w:p w14:paraId="0F49E755">
      <w:pPr>
        <w:pStyle w:val="42"/>
        <w:numPr>
          <w:ilvl w:val="0"/>
          <w:numId w:val="71"/>
        </w:numPr>
        <w:autoSpaceDE w:val="0"/>
        <w:autoSpaceDN w:val="0"/>
        <w:spacing w:line="360" w:lineRule="auto"/>
        <w:ind w:left="1418" w:hanging="1418" w:firstLineChars="0"/>
        <w:contextualSpacing/>
        <w:rPr>
          <w:rFonts w:cs="宋体" w:asciiTheme="minorEastAsia" w:hAnsiTheme="minorEastAsia"/>
          <w:kern w:val="0"/>
          <w:szCs w:val="21"/>
        </w:rPr>
      </w:pPr>
      <w:r>
        <w:rPr>
          <w:rFonts w:hint="eastAsia" w:cs="宋体" w:asciiTheme="minorEastAsia" w:hAnsiTheme="minorEastAsia"/>
          <w:kern w:val="0"/>
          <w:szCs w:val="21"/>
        </w:rPr>
        <w:t>其他不遵守评标纪律的行为。</w:t>
      </w:r>
    </w:p>
    <w:p w14:paraId="40ABE0C5">
      <w:pPr>
        <w:pStyle w:val="42"/>
        <w:autoSpaceDE w:val="0"/>
        <w:autoSpaceDN w:val="0"/>
        <w:spacing w:line="360" w:lineRule="auto"/>
        <w:ind w:left="1384" w:firstLine="0" w:firstLineChars="0"/>
        <w:contextualSpacing/>
        <w:rPr>
          <w:rFonts w:cs="宋体" w:asciiTheme="minorEastAsia" w:hAnsiTheme="minorEastAsia"/>
          <w:kern w:val="0"/>
          <w:szCs w:val="21"/>
        </w:rPr>
      </w:pPr>
    </w:p>
    <w:p w14:paraId="494454C7">
      <w:pPr>
        <w:autoSpaceDE w:val="0"/>
        <w:autoSpaceDN w:val="0"/>
        <w:spacing w:line="360" w:lineRule="auto"/>
        <w:ind w:left="964"/>
        <w:contextualSpacing/>
        <w:rPr>
          <w:rFonts w:cs="宋体" w:asciiTheme="minorEastAsia" w:hAnsiTheme="minorEastAsia"/>
          <w:kern w:val="0"/>
          <w:szCs w:val="21"/>
        </w:rPr>
      </w:pPr>
    </w:p>
    <w:p w14:paraId="708A14F6">
      <w:pPr>
        <w:pStyle w:val="42"/>
        <w:numPr>
          <w:ilvl w:val="0"/>
          <w:numId w:val="69"/>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保密</w:t>
      </w:r>
    </w:p>
    <w:p w14:paraId="1755F12B">
      <w:pPr>
        <w:pStyle w:val="42"/>
        <w:numPr>
          <w:ilvl w:val="0"/>
          <w:numId w:val="72"/>
        </w:numPr>
        <w:autoSpaceDE w:val="0"/>
        <w:autoSpaceDN w:val="0"/>
        <w:spacing w:line="360" w:lineRule="auto"/>
        <w:ind w:left="0" w:firstLine="0" w:firstLineChars="0"/>
        <w:contextualSpacing/>
        <w:rPr>
          <w:rFonts w:cs="宋体" w:asciiTheme="minorEastAsia" w:hAnsiTheme="minorEastAsia"/>
          <w:kern w:val="0"/>
          <w:szCs w:val="21"/>
        </w:rPr>
      </w:pPr>
      <w:r>
        <w:rPr>
          <w:rFonts w:hint="eastAsia" w:cs="宋体" w:asciiTheme="minorEastAsia" w:hAnsiTheme="minorEastAsia"/>
          <w:kern w:val="0"/>
          <w:szCs w:val="21"/>
        </w:rPr>
        <w:t>评审专家应当遵守评审工作纪律，不得泄露评审文件、评审情况和评审中获悉的商业秘密。</w:t>
      </w:r>
    </w:p>
    <w:p w14:paraId="7BBCFC27">
      <w:pPr>
        <w:autoSpaceDE w:val="0"/>
        <w:autoSpaceDN w:val="0"/>
        <w:spacing w:line="360" w:lineRule="auto"/>
        <w:contextualSpacing/>
        <w:rPr>
          <w:rFonts w:cs="宋体" w:asciiTheme="minorEastAsia" w:hAnsiTheme="minorEastAsia"/>
          <w:kern w:val="0"/>
          <w:szCs w:val="21"/>
        </w:rPr>
      </w:pPr>
      <w:r>
        <w:rPr>
          <w:rFonts w:hint="eastAsia" w:cs="宋体" w:asciiTheme="minorEastAsia" w:hAnsiTheme="minorEastAsia"/>
          <w:kern w:val="0"/>
          <w:szCs w:val="21"/>
        </w:rPr>
        <w:t>35.2    采购人、采购代理机构应当采取必要措施，保证评标在严格保密的情况下进行。有关人员对评标情况以及在评标过程中获悉的国家秘密、商业秘密负有保密责任。</w:t>
      </w:r>
    </w:p>
    <w:p w14:paraId="4F32DBE6">
      <w:pPr>
        <w:tabs>
          <w:tab w:val="left" w:pos="1260"/>
        </w:tabs>
        <w:autoSpaceDE w:val="0"/>
        <w:autoSpaceDN w:val="0"/>
        <w:spacing w:line="360" w:lineRule="auto"/>
        <w:contextualSpacing/>
        <w:rPr>
          <w:rFonts w:cs="仿宋_GB2312" w:asciiTheme="minorEastAsia" w:hAnsiTheme="minorEastAsia"/>
          <w:szCs w:val="21"/>
          <w:lang w:val="zh-CN"/>
        </w:rPr>
      </w:pPr>
    </w:p>
    <w:p w14:paraId="6010B312">
      <w:pPr>
        <w:tabs>
          <w:tab w:val="left" w:pos="1260"/>
        </w:tabs>
        <w:autoSpaceDE w:val="0"/>
        <w:autoSpaceDN w:val="0"/>
        <w:spacing w:line="360" w:lineRule="auto"/>
        <w:contextualSpacing/>
        <w:jc w:val="center"/>
        <w:rPr>
          <w:rFonts w:hint="eastAsia" w:cs="宋体" w:asciiTheme="minorEastAsia" w:hAnsiTheme="minorEastAsia"/>
          <w:b/>
          <w:kern w:val="0"/>
          <w:szCs w:val="21"/>
        </w:rPr>
      </w:pPr>
    </w:p>
    <w:p w14:paraId="3D54DD80">
      <w:pPr>
        <w:tabs>
          <w:tab w:val="left" w:pos="1260"/>
        </w:tabs>
        <w:autoSpaceDE w:val="0"/>
        <w:autoSpaceDN w:val="0"/>
        <w:spacing w:line="360" w:lineRule="auto"/>
        <w:contextualSpacing/>
        <w:jc w:val="center"/>
        <w:rPr>
          <w:rFonts w:hint="eastAsia" w:cs="宋体" w:asciiTheme="minorEastAsia" w:hAnsiTheme="minorEastAsia"/>
          <w:b/>
          <w:kern w:val="0"/>
          <w:szCs w:val="21"/>
        </w:rPr>
      </w:pPr>
    </w:p>
    <w:p w14:paraId="4F0BCF8A">
      <w:pPr>
        <w:tabs>
          <w:tab w:val="left" w:pos="1260"/>
        </w:tabs>
        <w:autoSpaceDE w:val="0"/>
        <w:autoSpaceDN w:val="0"/>
        <w:spacing w:line="360" w:lineRule="auto"/>
        <w:contextualSpacing/>
        <w:jc w:val="center"/>
        <w:rPr>
          <w:rFonts w:cs="宋体" w:asciiTheme="minorEastAsia" w:hAnsiTheme="minorEastAsia"/>
          <w:b/>
          <w:kern w:val="0"/>
          <w:szCs w:val="21"/>
        </w:rPr>
      </w:pPr>
      <w:r>
        <w:rPr>
          <w:rFonts w:hint="eastAsia" w:cs="宋体" w:asciiTheme="minorEastAsia" w:hAnsiTheme="minorEastAsia"/>
          <w:b/>
          <w:kern w:val="0"/>
          <w:szCs w:val="21"/>
        </w:rPr>
        <w:t>六、定标和授予合同</w:t>
      </w:r>
    </w:p>
    <w:p w14:paraId="1D6A858C">
      <w:pPr>
        <w:pStyle w:val="42"/>
        <w:numPr>
          <w:ilvl w:val="0"/>
          <w:numId w:val="69"/>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确定中标人</w:t>
      </w:r>
    </w:p>
    <w:p w14:paraId="795C8EEA">
      <w:pPr>
        <w:pStyle w:val="42"/>
        <w:numPr>
          <w:ilvl w:val="0"/>
          <w:numId w:val="7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采购人应当自收到评标报告之日起1个工作日内，在评标报告确定的中标候选人名单中按顺序确定中标人（核验中标供应商由《禹州市政府采购供应商信用承诺函》替代的证明材料）。中标候选人并列的，由采购人采取随机抽取的方式确定。</w:t>
      </w:r>
    </w:p>
    <w:p w14:paraId="2B8741D4">
      <w:pPr>
        <w:pStyle w:val="42"/>
        <w:numPr>
          <w:ilvl w:val="0"/>
          <w:numId w:val="74"/>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采购人在收到评标报告1个工作日内未按评标报告推荐的中标候选人顺序确定中标人，又不能说明合法理由的，视同按评标报告推荐的顺序确定排名第一的中标候选人为中标人。</w:t>
      </w:r>
    </w:p>
    <w:p w14:paraId="59E89E90">
      <w:pPr>
        <w:pStyle w:val="42"/>
        <w:numPr>
          <w:ilvl w:val="0"/>
          <w:numId w:val="69"/>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中标公告、发出中标通知书</w:t>
      </w:r>
    </w:p>
    <w:p w14:paraId="1580DC7F">
      <w:pPr>
        <w:pStyle w:val="42"/>
        <w:numPr>
          <w:ilvl w:val="0"/>
          <w:numId w:val="73"/>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采购人确认中标人后，1个工作日公告中标结果的同时，禹州市政府采购中心向中标人发出中标通知书。</w:t>
      </w:r>
    </w:p>
    <w:p w14:paraId="42382EB6">
      <w:pPr>
        <w:pStyle w:val="42"/>
        <w:numPr>
          <w:ilvl w:val="0"/>
          <w:numId w:val="75"/>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中标通知书发出后，采购人不得违法改变中标结果，中标人无正当理由不得放弃中标。</w:t>
      </w:r>
    </w:p>
    <w:p w14:paraId="1D61BB87">
      <w:pPr>
        <w:pStyle w:val="42"/>
        <w:numPr>
          <w:ilvl w:val="0"/>
          <w:numId w:val="76"/>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中标人在接到中标通知时，须向代理机构发送投标报价及分项报价一览表（包含主要中标标的的名称、规格型号、数量、单价、服务要求等）电子文档，并同时通知代理机构联系人。</w:t>
      </w:r>
    </w:p>
    <w:p w14:paraId="179F8806">
      <w:pPr>
        <w:pStyle w:val="42"/>
        <w:numPr>
          <w:ilvl w:val="0"/>
          <w:numId w:val="69"/>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质疑提出与答复</w:t>
      </w:r>
    </w:p>
    <w:p w14:paraId="0BDDF6AF">
      <w:pPr>
        <w:pStyle w:val="42"/>
        <w:numPr>
          <w:ilvl w:val="0"/>
          <w:numId w:val="77"/>
        </w:numPr>
        <w:autoSpaceDE w:val="0"/>
        <w:autoSpaceDN w:val="0"/>
        <w:spacing w:line="360" w:lineRule="auto"/>
        <w:ind w:hanging="964" w:firstLineChars="0"/>
        <w:contextualSpacing/>
        <w:rPr>
          <w:rFonts w:cs="宋体" w:asciiTheme="minorEastAsia" w:hAnsiTheme="minorEastAsia"/>
          <w:kern w:val="0"/>
          <w:szCs w:val="21"/>
        </w:rPr>
      </w:pPr>
      <w:r>
        <w:rPr>
          <w:rFonts w:hint="eastAsia" w:cs="宋体" w:asciiTheme="minorEastAsia" w:hAnsiTheme="minorEastAsia"/>
          <w:kern w:val="0"/>
          <w:szCs w:val="21"/>
        </w:rPr>
        <w:t>供应商认为采购文件、采购过程和中标结果使自己的权益受到损害的，可以按照《政府采购质疑和投诉办法》（财政部令第94号）提出质疑。</w:t>
      </w:r>
      <w:r>
        <w:rPr>
          <w:rFonts w:cs="宋体" w:asciiTheme="minorEastAsia" w:hAnsiTheme="minorEastAsia"/>
          <w:kern w:val="0"/>
          <w:szCs w:val="21"/>
        </w:rPr>
        <w:t>提出质疑的供应商应当是参与</w:t>
      </w:r>
      <w:r>
        <w:rPr>
          <w:rFonts w:hint="eastAsia" w:cs="宋体" w:asciiTheme="minorEastAsia" w:hAnsiTheme="minorEastAsia"/>
          <w:kern w:val="0"/>
          <w:szCs w:val="21"/>
        </w:rPr>
        <w:t>本</w:t>
      </w:r>
      <w:r>
        <w:rPr>
          <w:rFonts w:cs="宋体" w:asciiTheme="minorEastAsia" w:hAnsiTheme="minorEastAsia"/>
          <w:kern w:val="0"/>
          <w:szCs w:val="21"/>
        </w:rPr>
        <w:t>项目采购活动的供应商。</w:t>
      </w:r>
      <w:r>
        <w:rPr>
          <w:rFonts w:hint="eastAsia" w:cs="宋体" w:asciiTheme="minorEastAsia" w:hAnsiTheme="minorEastAsia"/>
          <w:kern w:val="0"/>
          <w:szCs w:val="21"/>
        </w:rPr>
        <w:t>提出时应按照《政府采购质疑和投诉办法》（财政部令第94号）第十二条规定提交质疑函和必要的证明材料，质疑提出后</w:t>
      </w:r>
      <w:r>
        <w:rPr>
          <w:rFonts w:cs="宋体" w:asciiTheme="minorEastAsia" w:hAnsiTheme="minorEastAsia"/>
          <w:kern w:val="0"/>
          <w:szCs w:val="21"/>
        </w:rPr>
        <w:t>潜在</w:t>
      </w:r>
      <w:r>
        <w:rPr>
          <w:rFonts w:hint="eastAsia" w:cs="宋体" w:asciiTheme="minorEastAsia" w:hAnsiTheme="minorEastAsia"/>
          <w:kern w:val="0"/>
          <w:szCs w:val="21"/>
        </w:rPr>
        <w:t>投标人应及时联系招标公告中集采机构联系人查看。如未提出视为全面接受。</w:t>
      </w:r>
    </w:p>
    <w:p w14:paraId="32D42D11">
      <w:pPr>
        <w:pStyle w:val="42"/>
        <w:numPr>
          <w:ilvl w:val="0"/>
          <w:numId w:val="78"/>
        </w:numPr>
        <w:autoSpaceDE w:val="0"/>
        <w:autoSpaceDN w:val="0"/>
        <w:spacing w:line="360" w:lineRule="auto"/>
        <w:ind w:hanging="1407" w:firstLineChars="0"/>
        <w:contextualSpacing/>
        <w:rPr>
          <w:rFonts w:cs="宋体" w:asciiTheme="minorEastAsia" w:hAnsiTheme="minorEastAsia"/>
          <w:kern w:val="0"/>
          <w:szCs w:val="21"/>
        </w:rPr>
      </w:pPr>
      <w:r>
        <w:rPr>
          <w:rFonts w:hint="eastAsia" w:cs="宋体" w:asciiTheme="minorEastAsia" w:hAnsiTheme="minorEastAsia"/>
          <w:kern w:val="0"/>
          <w:szCs w:val="21"/>
        </w:rPr>
        <w:t>对采购文件提出质疑的，</w:t>
      </w:r>
      <w:r>
        <w:rPr>
          <w:rFonts w:cs="宋体" w:asciiTheme="minorEastAsia" w:hAnsiTheme="minorEastAsia"/>
          <w:kern w:val="0"/>
          <w:szCs w:val="21"/>
        </w:rPr>
        <w:t>潜在</w:t>
      </w:r>
      <w:r>
        <w:rPr>
          <w:rFonts w:hint="eastAsia" w:cs="宋体" w:asciiTheme="minorEastAsia" w:hAnsiTheme="minorEastAsia"/>
          <w:kern w:val="0"/>
          <w:szCs w:val="21"/>
        </w:rPr>
        <w:t>投标人应</w:t>
      </w:r>
      <w:r>
        <w:rPr>
          <w:rFonts w:cs="宋体" w:asciiTheme="minorEastAsia" w:hAnsiTheme="minorEastAsia"/>
          <w:kern w:val="0"/>
          <w:szCs w:val="21"/>
        </w:rPr>
        <w:t>已依法获取采购文件</w:t>
      </w:r>
      <w:r>
        <w:rPr>
          <w:rFonts w:hint="eastAsia" w:cs="宋体" w:asciiTheme="minorEastAsia" w:hAnsiTheme="minorEastAsia"/>
          <w:kern w:val="0"/>
          <w:szCs w:val="21"/>
        </w:rPr>
        <w:t>，且应当在</w:t>
      </w:r>
      <w:r>
        <w:rPr>
          <w:rFonts w:cs="宋体" w:asciiTheme="minorEastAsia" w:hAnsiTheme="minorEastAsia"/>
          <w:kern w:val="0"/>
          <w:szCs w:val="21"/>
        </w:rPr>
        <w:t>获取采购文件或者采购文件公告期限届满之日起7个工作日内</w:t>
      </w:r>
      <w:r>
        <w:rPr>
          <w:rFonts w:hint="eastAsia" w:cs="宋体" w:asciiTheme="minorEastAsia" w:hAnsiTheme="minorEastAsia"/>
          <w:kern w:val="0"/>
          <w:szCs w:val="21"/>
        </w:rPr>
        <w:t>通过《全国公共资源交易平台（河南省·许昌市）》一次性提出。</w:t>
      </w:r>
    </w:p>
    <w:p w14:paraId="0A57412A">
      <w:pPr>
        <w:pStyle w:val="42"/>
        <w:numPr>
          <w:ilvl w:val="0"/>
          <w:numId w:val="78"/>
        </w:numPr>
        <w:autoSpaceDE w:val="0"/>
        <w:autoSpaceDN w:val="0"/>
        <w:spacing w:line="360" w:lineRule="auto"/>
        <w:ind w:hanging="1407" w:firstLineChars="0"/>
        <w:contextualSpacing/>
        <w:rPr>
          <w:rFonts w:cs="宋体" w:asciiTheme="minorEastAsia" w:hAnsiTheme="minorEastAsia"/>
          <w:kern w:val="0"/>
          <w:szCs w:val="21"/>
        </w:rPr>
      </w:pPr>
      <w:r>
        <w:rPr>
          <w:rFonts w:hint="eastAsia" w:cs="宋体" w:asciiTheme="minorEastAsia" w:hAnsiTheme="minorEastAsia"/>
          <w:kern w:val="0"/>
          <w:szCs w:val="21"/>
        </w:rPr>
        <w:t>对采购过程提出质疑的，为各采购程序环节结束之日起七个工作日内，投标人通过《全国公共资源交易平台（河南省·许昌市）》一次性提出；</w:t>
      </w:r>
    </w:p>
    <w:p w14:paraId="445855CD">
      <w:pPr>
        <w:pStyle w:val="42"/>
        <w:numPr>
          <w:ilvl w:val="0"/>
          <w:numId w:val="78"/>
        </w:numPr>
        <w:autoSpaceDE w:val="0"/>
        <w:autoSpaceDN w:val="0"/>
        <w:spacing w:line="360" w:lineRule="auto"/>
        <w:ind w:hanging="1407" w:firstLineChars="0"/>
        <w:contextualSpacing/>
        <w:rPr>
          <w:rFonts w:cs="宋体" w:asciiTheme="minorEastAsia" w:hAnsiTheme="minorEastAsia"/>
          <w:kern w:val="0"/>
          <w:szCs w:val="21"/>
        </w:rPr>
      </w:pPr>
      <w:r>
        <w:rPr>
          <w:rFonts w:hint="eastAsia" w:cs="宋体" w:asciiTheme="minorEastAsia" w:hAnsiTheme="minorEastAsia"/>
          <w:kern w:val="0"/>
          <w:szCs w:val="21"/>
        </w:rPr>
        <w:t>对中标结果提出质疑的，为中标结果公告期限届满之日起七个工作日内，投标人通过《全国公共资源交易平台（河南省·许昌市）》一次性提出。</w:t>
      </w:r>
    </w:p>
    <w:p w14:paraId="6467752A">
      <w:pPr>
        <w:autoSpaceDE w:val="0"/>
        <w:autoSpaceDN w:val="0"/>
        <w:spacing w:line="360" w:lineRule="auto"/>
        <w:ind w:left="1365" w:hanging="1365" w:hangingChars="650"/>
        <w:contextualSpacing/>
        <w:rPr>
          <w:rFonts w:hint="eastAsia" w:cs="宋体" w:asciiTheme="minorEastAsia" w:hAnsiTheme="minorEastAsia" w:eastAsiaTheme="minorEastAsia"/>
          <w:kern w:val="0"/>
          <w:szCs w:val="21"/>
          <w:lang w:val="en-US" w:eastAsia="zh-CN"/>
        </w:rPr>
      </w:pPr>
      <w:r>
        <w:rPr>
          <w:rFonts w:hint="eastAsia" w:cs="宋体" w:asciiTheme="minorEastAsia" w:hAnsiTheme="minorEastAsia"/>
          <w:kern w:val="0"/>
          <w:szCs w:val="21"/>
        </w:rPr>
        <w:t xml:space="preserve">38.2         </w:t>
      </w:r>
      <w:r>
        <w:rPr>
          <w:rFonts w:cs="宋体" w:asciiTheme="minorEastAsia" w:hAnsiTheme="minorEastAsia"/>
          <w:kern w:val="0"/>
          <w:szCs w:val="21"/>
        </w:rPr>
        <w:t>采购人、采购代理机构认为供应商质疑不成立，或者成立但未对中标结果构成影响的，</w:t>
      </w:r>
      <w:r>
        <w:rPr>
          <w:rFonts w:hint="eastAsia" w:cs="宋体" w:asciiTheme="minorEastAsia" w:hAnsiTheme="minorEastAsia"/>
          <w:kern w:val="0"/>
          <w:szCs w:val="21"/>
        </w:rPr>
        <w:t>在收到质疑函7个工作日内通过《全国公共资源交易平台（河南省·许昌市）》交易系统作出答复，并</w:t>
      </w:r>
      <w:r>
        <w:rPr>
          <w:rFonts w:cs="宋体" w:asciiTheme="minorEastAsia" w:hAnsiTheme="minorEastAsia"/>
          <w:kern w:val="0"/>
          <w:szCs w:val="21"/>
        </w:rPr>
        <w:t>继续开展采购活动；认为供应商质疑成立且影响或者可能影响中标结果的，</w:t>
      </w:r>
      <w:r>
        <w:rPr>
          <w:rFonts w:hint="eastAsia" w:cs="宋体" w:asciiTheme="minorEastAsia" w:hAnsiTheme="minorEastAsia"/>
          <w:kern w:val="0"/>
          <w:szCs w:val="21"/>
        </w:rPr>
        <w:t>在收到质疑函7个工作日内通过《全国公共资源交易平台（河南省·许昌市）》交易系统作出答复，并</w:t>
      </w:r>
      <w:r>
        <w:rPr>
          <w:rFonts w:cs="宋体" w:asciiTheme="minorEastAsia" w:hAnsiTheme="minorEastAsia"/>
          <w:kern w:val="0"/>
          <w:szCs w:val="21"/>
        </w:rPr>
        <w:t>按照下列情况处理</w:t>
      </w:r>
      <w:r>
        <w:rPr>
          <w:rFonts w:hint="eastAsia" w:cs="宋体" w:asciiTheme="minorEastAsia" w:hAnsiTheme="minorEastAsia"/>
          <w:kern w:val="0"/>
          <w:szCs w:val="21"/>
          <w:lang w:eastAsia="zh-CN"/>
        </w:rPr>
        <w:t>。</w:t>
      </w:r>
    </w:p>
    <w:p w14:paraId="01E4642C">
      <w:pPr>
        <w:pStyle w:val="42"/>
        <w:numPr>
          <w:ilvl w:val="0"/>
          <w:numId w:val="79"/>
        </w:numPr>
        <w:autoSpaceDE w:val="0"/>
        <w:autoSpaceDN w:val="0"/>
        <w:spacing w:line="360" w:lineRule="auto"/>
        <w:ind w:hanging="1384" w:firstLineChars="0"/>
        <w:contextualSpacing/>
        <w:rPr>
          <w:rFonts w:cs="宋体" w:asciiTheme="minorEastAsia" w:hAnsiTheme="minorEastAsia"/>
          <w:kern w:val="0"/>
          <w:szCs w:val="21"/>
        </w:rPr>
      </w:pPr>
      <w:r>
        <w:rPr>
          <w:rFonts w:cs="宋体" w:asciiTheme="minorEastAsia" w:hAnsiTheme="minorEastAsia"/>
          <w:kern w:val="0"/>
          <w:szCs w:val="21"/>
        </w:rPr>
        <w:t>对采购文件提出的质疑，依法通过澄清或者修改可以继续开展采购活动的，澄清或者修改采购文件后继续开展采购活动；否则应当修改采购文件后重新开展采购活动。</w:t>
      </w:r>
    </w:p>
    <w:p w14:paraId="3D87AF9B">
      <w:pPr>
        <w:pStyle w:val="42"/>
        <w:numPr>
          <w:ilvl w:val="0"/>
          <w:numId w:val="79"/>
        </w:numPr>
        <w:autoSpaceDE w:val="0"/>
        <w:autoSpaceDN w:val="0"/>
        <w:spacing w:line="360" w:lineRule="auto"/>
        <w:ind w:hanging="1384" w:firstLineChars="0"/>
        <w:contextualSpacing/>
        <w:rPr>
          <w:rFonts w:cs="宋体" w:asciiTheme="minorEastAsia" w:hAnsiTheme="minorEastAsia"/>
          <w:kern w:val="0"/>
          <w:szCs w:val="21"/>
        </w:rPr>
      </w:pPr>
      <w:r>
        <w:rPr>
          <w:rFonts w:cs="宋体" w:asciiTheme="minorEastAsia" w:hAnsiTheme="minorEastAsia"/>
          <w:kern w:val="0"/>
          <w:szCs w:val="21"/>
        </w:rPr>
        <w:t>对采购过程、中标结果提出的质疑，合格供应商符合法定数量时，可以从合格的中标</w:t>
      </w:r>
      <w:r>
        <w:rPr>
          <w:rFonts w:hint="eastAsia" w:cs="宋体" w:asciiTheme="minorEastAsia" w:hAnsiTheme="minorEastAsia"/>
          <w:kern w:val="0"/>
          <w:szCs w:val="21"/>
        </w:rPr>
        <w:t>候选人</w:t>
      </w:r>
      <w:r>
        <w:rPr>
          <w:rFonts w:cs="宋体" w:asciiTheme="minorEastAsia" w:hAnsiTheme="minorEastAsia"/>
          <w:kern w:val="0"/>
          <w:szCs w:val="21"/>
        </w:rPr>
        <w:t>中另行确定中标供应商的，应当依法另行确定中标供应商；否则应当重新开展采购活动</w:t>
      </w:r>
      <w:r>
        <w:rPr>
          <w:rFonts w:hint="eastAsia" w:cs="宋体" w:asciiTheme="minorEastAsia" w:hAnsiTheme="minorEastAsia"/>
          <w:kern w:val="0"/>
          <w:szCs w:val="21"/>
        </w:rPr>
        <w:t>。</w:t>
      </w:r>
    </w:p>
    <w:p w14:paraId="6A0D2B2D">
      <w:pPr>
        <w:autoSpaceDE w:val="0"/>
        <w:autoSpaceDN w:val="0"/>
        <w:spacing w:line="360" w:lineRule="auto"/>
        <w:ind w:left="964"/>
        <w:contextualSpacing/>
        <w:rPr>
          <w:rFonts w:cs="宋体" w:asciiTheme="minorEastAsia" w:hAnsiTheme="minorEastAsia"/>
          <w:kern w:val="0"/>
          <w:szCs w:val="21"/>
        </w:rPr>
      </w:pPr>
    </w:p>
    <w:p w14:paraId="4F4B6F58">
      <w:pPr>
        <w:pStyle w:val="42"/>
        <w:numPr>
          <w:ilvl w:val="0"/>
          <w:numId w:val="80"/>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签订合同与备案</w:t>
      </w:r>
    </w:p>
    <w:p w14:paraId="39ADD95C">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采购人应当自中标通知书发出之日起2日内，按照招标文件和中标人投标文件的规定，与中标人签订书面合同。所签订的合同不得对招标文件确定的事项和中标人投标文件作实质性修改。</w:t>
      </w:r>
    </w:p>
    <w:p w14:paraId="125B6FAF">
      <w:pPr>
        <w:autoSpaceDE w:val="0"/>
        <w:autoSpaceDN w:val="0"/>
        <w:spacing w:line="360" w:lineRule="auto"/>
        <w:ind w:left="964"/>
        <w:contextualSpacing/>
        <w:rPr>
          <w:rFonts w:cs="宋体" w:asciiTheme="minorEastAsia" w:hAnsiTheme="minorEastAsia"/>
          <w:kern w:val="0"/>
          <w:szCs w:val="21"/>
        </w:rPr>
      </w:pPr>
      <w:r>
        <w:rPr>
          <w:rFonts w:hint="eastAsia" w:cs="宋体" w:asciiTheme="minorEastAsia" w:hAnsiTheme="minorEastAsia"/>
          <w:kern w:val="0"/>
          <w:szCs w:val="21"/>
        </w:rPr>
        <w:t>采购人自采购合同签订之日起，1个</w:t>
      </w:r>
      <w:r>
        <w:rPr>
          <w:rFonts w:cs="宋体" w:asciiTheme="minorEastAsia" w:hAnsiTheme="minorEastAsia"/>
          <w:kern w:val="0"/>
          <w:szCs w:val="21"/>
        </w:rPr>
        <w:t>工作日内</w:t>
      </w:r>
      <w:r>
        <w:rPr>
          <w:rFonts w:hint="eastAsia" w:cs="宋体" w:asciiTheme="minorEastAsia" w:hAnsiTheme="minorEastAsia"/>
          <w:kern w:val="0"/>
          <w:szCs w:val="21"/>
        </w:rPr>
        <w:t>到禹州市政府采购监督管理办公室进行合同备案，并登陆“河南省政府采购网”进行网上备案。</w:t>
      </w:r>
    </w:p>
    <w:p w14:paraId="4466BAE1">
      <w:pPr>
        <w:autoSpaceDE w:val="0"/>
        <w:autoSpaceDN w:val="0"/>
        <w:spacing w:line="360" w:lineRule="auto"/>
        <w:ind w:left="964"/>
        <w:contextualSpacing/>
        <w:rPr>
          <w:rFonts w:cs="宋体" w:asciiTheme="minorEastAsia" w:hAnsiTheme="minorEastAsia"/>
          <w:kern w:val="0"/>
          <w:szCs w:val="21"/>
        </w:rPr>
      </w:pPr>
    </w:p>
    <w:p w14:paraId="387B5AE8">
      <w:pPr>
        <w:pStyle w:val="42"/>
        <w:numPr>
          <w:ilvl w:val="0"/>
          <w:numId w:val="80"/>
        </w:numPr>
        <w:autoSpaceDE w:val="0"/>
        <w:autoSpaceDN w:val="0"/>
        <w:spacing w:line="360" w:lineRule="auto"/>
        <w:ind w:firstLineChars="0"/>
        <w:contextualSpacing/>
        <w:rPr>
          <w:rFonts w:cs="宋体" w:asciiTheme="minorEastAsia" w:hAnsiTheme="minorEastAsia"/>
          <w:b/>
          <w:kern w:val="0"/>
          <w:szCs w:val="21"/>
        </w:rPr>
      </w:pPr>
      <w:r>
        <w:rPr>
          <w:rFonts w:hint="eastAsia" w:cs="宋体" w:asciiTheme="minorEastAsia" w:hAnsiTheme="minorEastAsia"/>
          <w:b/>
          <w:kern w:val="0"/>
          <w:szCs w:val="21"/>
        </w:rPr>
        <w:t>履约保证金</w:t>
      </w:r>
    </w:p>
    <w:p w14:paraId="39752069">
      <w:pPr>
        <w:autoSpaceDE w:val="0"/>
        <w:autoSpaceDN w:val="0"/>
        <w:spacing w:line="360" w:lineRule="auto"/>
        <w:ind w:left="964"/>
        <w:contextualSpacing/>
        <w:jc w:val="left"/>
        <w:rPr>
          <w:rFonts w:hint="eastAsia" w:cs="宋体" w:asciiTheme="minorEastAsia" w:hAnsiTheme="minorEastAsia" w:eastAsiaTheme="minorEastAsia"/>
          <w:kern w:val="0"/>
          <w:szCs w:val="21"/>
          <w:lang w:eastAsia="zh-CN"/>
        </w:rPr>
      </w:pPr>
      <w:r>
        <w:rPr>
          <w:rFonts w:hint="eastAsia" w:cs="宋体" w:asciiTheme="minorEastAsia" w:hAnsiTheme="minorEastAsia"/>
          <w:kern w:val="0"/>
          <w:szCs w:val="21"/>
        </w:rPr>
        <w:t>“投标人须知前附表”中规定中标人提交履约保证金的，中标人应当以支票、汇票、本票或者金融机构、担保机构出具的保函等非现金形式向采购人提交。履约保证金的数额不得超过政府采购合同金额的10%。</w:t>
      </w:r>
    </w:p>
    <w:p w14:paraId="398F7DFD">
      <w:pPr>
        <w:autoSpaceDE w:val="0"/>
        <w:autoSpaceDN w:val="0"/>
        <w:spacing w:line="360" w:lineRule="auto"/>
        <w:ind w:left="964"/>
        <w:contextualSpacing/>
        <w:jc w:val="left"/>
        <w:rPr>
          <w:rFonts w:hint="eastAsia" w:cs="宋体" w:asciiTheme="minorEastAsia" w:hAnsiTheme="minorEastAsia" w:eastAsiaTheme="minorEastAsia"/>
          <w:kern w:val="0"/>
          <w:szCs w:val="21"/>
          <w:lang w:eastAsia="zh-CN"/>
        </w:rPr>
      </w:pPr>
    </w:p>
    <w:p w14:paraId="3734034A">
      <w:pPr>
        <w:pStyle w:val="42"/>
        <w:numPr>
          <w:ilvl w:val="0"/>
          <w:numId w:val="80"/>
        </w:numPr>
        <w:autoSpaceDE w:val="0"/>
        <w:autoSpaceDN w:val="0"/>
        <w:spacing w:line="360" w:lineRule="auto"/>
        <w:ind w:firstLineChars="0"/>
        <w:contextualSpacing/>
        <w:rPr>
          <w:rFonts w:cs="宋体" w:asciiTheme="minorEastAsia" w:hAnsiTheme="minorEastAsia"/>
          <w:color w:val="FF99FF"/>
          <w:kern w:val="0"/>
          <w:szCs w:val="21"/>
        </w:rPr>
      </w:pPr>
      <w:r>
        <w:rPr>
          <w:rFonts w:hint="eastAsia" w:cs="宋体" w:asciiTheme="minorEastAsia" w:hAnsiTheme="minorEastAsia"/>
          <w:b/>
          <w:kern w:val="0"/>
          <w:szCs w:val="21"/>
        </w:rPr>
        <w:t>政府采购合同融资</w:t>
      </w:r>
    </w:p>
    <w:p w14:paraId="627D7670">
      <w:pPr>
        <w:pStyle w:val="42"/>
        <w:numPr>
          <w:ilvl w:val="0"/>
          <w:numId w:val="0"/>
        </w:numPr>
        <w:wordWrap w:val="0"/>
        <w:topLinePunct/>
        <w:autoSpaceDE w:val="0"/>
        <w:autoSpaceDN w:val="0"/>
        <w:adjustRightInd w:val="0"/>
        <w:spacing w:line="360" w:lineRule="auto"/>
        <w:ind w:leftChars="0"/>
        <w:contextualSpacing/>
        <w:outlineLvl w:val="3"/>
        <w:rPr>
          <w:rFonts w:cs="宋体" w:asciiTheme="minorEastAsia" w:hAnsiTheme="minorEastAsia"/>
          <w:kern w:val="0"/>
          <w:szCs w:val="21"/>
        </w:rPr>
      </w:pPr>
      <w:r>
        <w:rPr>
          <w:rFonts w:hint="eastAsia" w:cs="宋体" w:asciiTheme="minorEastAsia" w:hAnsiTheme="minorEastAsia"/>
          <w:kern w:val="0"/>
          <w:szCs w:val="21"/>
          <w:lang w:val="en-US" w:eastAsia="zh-CN"/>
        </w:rPr>
        <w:t xml:space="preserve">41.1  </w:t>
      </w:r>
      <w:r>
        <w:rPr>
          <w:rFonts w:hint="eastAsia" w:cs="宋体" w:asciiTheme="minorEastAsia" w:hAnsiTheme="minorEastAsia"/>
          <w:kern w:val="0"/>
          <w:szCs w:val="21"/>
        </w:rPr>
        <w:t>缓解中小企业融资难题</w:t>
      </w:r>
    </w:p>
    <w:p w14:paraId="09D16031">
      <w:pPr>
        <w:autoSpaceDE w:val="0"/>
        <w:autoSpaceDN w:val="0"/>
        <w:spacing w:line="360" w:lineRule="auto"/>
        <w:ind w:firstLine="420" w:firstLineChars="200"/>
        <w:contextualSpacing/>
        <w:jc w:val="left"/>
        <w:rPr>
          <w:rFonts w:cs="宋体" w:asciiTheme="minorEastAsia" w:hAnsiTheme="minorEastAsia"/>
          <w:color w:val="FF99FF"/>
          <w:kern w:val="0"/>
          <w:szCs w:val="21"/>
        </w:rPr>
      </w:pPr>
      <w:r>
        <w:rPr>
          <w:rFonts w:hint="eastAsia" w:cs="宋体" w:asciiTheme="minorEastAsia" w:hAnsiTheme="minorEastAsia"/>
          <w:kern w:val="0"/>
          <w:szCs w:val="21"/>
        </w:rPr>
        <w:t>政府采购合同融资是支持中小微企业发展，针对参与政府采购活动的供应商融资难、融资贵问题推出的一项融资政策。根据河南省财政厅《关于印发深入推进政府采购合同融资工作实施方案的通知》精神，我市目前已与以下金融机构合作开展政府采购信用融资业务，中标供应商可持政府采购合同，通过“许昌市政府采购网”向所选的金融机构申请贷款，无需抵押、担保，融资机构将根据《河南省政府采购合同融资工作实施方案》（豫财购〔2017〕10号），按照双方自愿的原则提供便捷、优惠的贷款服务。</w:t>
      </w:r>
    </w:p>
    <w:p w14:paraId="650FC8EA">
      <w:pPr>
        <w:autoSpaceDE w:val="0"/>
        <w:autoSpaceDN w:val="0"/>
        <w:spacing w:line="360" w:lineRule="auto"/>
        <w:contextualSpacing/>
        <w:jc w:val="left"/>
        <w:outlineLvl w:val="3"/>
        <w:rPr>
          <w:rFonts w:cs="宋体" w:asciiTheme="minorEastAsia" w:hAnsiTheme="minorEastAsia"/>
          <w:color w:val="FF99FF"/>
          <w:kern w:val="0"/>
          <w:szCs w:val="21"/>
        </w:rPr>
      </w:pPr>
      <w:r>
        <w:rPr>
          <w:rFonts w:hint="eastAsia" w:cs="宋体" w:asciiTheme="minorEastAsia" w:hAnsiTheme="minorEastAsia"/>
          <w:kern w:val="0"/>
          <w:szCs w:val="21"/>
          <w:lang w:val="en-US" w:eastAsia="zh-CN"/>
        </w:rPr>
        <w:t>41</w:t>
      </w:r>
      <w:r>
        <w:rPr>
          <w:rFonts w:hint="eastAsia" w:cs="宋体" w:asciiTheme="minorEastAsia" w:hAnsiTheme="minorEastAsia"/>
          <w:kern w:val="0"/>
          <w:szCs w:val="21"/>
        </w:rPr>
        <w:t>.2  合作金融机构（排名不分先后）</w:t>
      </w:r>
    </w:p>
    <w:p w14:paraId="6D0CB888">
      <w:pPr>
        <w:keepNext w:val="0"/>
        <w:keepLines w:val="0"/>
        <w:pageBreakBefore w:val="0"/>
        <w:kinsoku/>
        <w:overflowPunct/>
        <w:autoSpaceDE w:val="0"/>
        <w:autoSpaceDN w:val="0"/>
        <w:bidi w:val="0"/>
        <w:snapToGrid/>
        <w:spacing w:line="480" w:lineRule="exact"/>
        <w:ind w:firstLine="420" w:firstLineChars="200"/>
        <w:contextualSpacing/>
        <w:jc w:val="left"/>
        <w:textAlignment w:val="auto"/>
        <w:rPr>
          <w:rFonts w:cs="宋体" w:asciiTheme="minorEastAsia" w:hAnsiTheme="minorEastAsia"/>
          <w:color w:val="auto"/>
          <w:kern w:val="0"/>
          <w:szCs w:val="21"/>
          <w:highlight w:val="none"/>
        </w:rPr>
      </w:pPr>
      <w:r>
        <w:rPr>
          <w:rFonts w:hint="eastAsia" w:cs="宋体" w:asciiTheme="minorEastAsia" w:hAnsiTheme="minorEastAsia"/>
          <w:color w:val="auto"/>
          <w:kern w:val="0"/>
          <w:szCs w:val="21"/>
          <w:highlight w:val="none"/>
        </w:rPr>
        <w:t>1）合作金融机构名称：中原银行许昌分行（小微金融部）</w:t>
      </w:r>
    </w:p>
    <w:p w14:paraId="760E942E">
      <w:pPr>
        <w:keepNext w:val="0"/>
        <w:keepLines w:val="0"/>
        <w:pageBreakBefore w:val="0"/>
        <w:kinsoku/>
        <w:overflowPunct/>
        <w:autoSpaceDE w:val="0"/>
        <w:autoSpaceDN w:val="0"/>
        <w:bidi w:val="0"/>
        <w:snapToGrid/>
        <w:spacing w:line="480" w:lineRule="exact"/>
        <w:ind w:firstLine="420" w:firstLineChars="200"/>
        <w:contextualSpacing/>
        <w:jc w:val="left"/>
        <w:textAlignment w:val="auto"/>
        <w:rPr>
          <w:rFonts w:cs="宋体" w:asciiTheme="minorEastAsia" w:hAnsiTheme="minorEastAsia"/>
          <w:color w:val="auto"/>
          <w:kern w:val="0"/>
          <w:szCs w:val="21"/>
          <w:highlight w:val="none"/>
        </w:rPr>
      </w:pPr>
      <w:r>
        <w:rPr>
          <w:rFonts w:hint="eastAsia" w:cs="宋体" w:asciiTheme="minorEastAsia" w:hAnsiTheme="minorEastAsia"/>
          <w:color w:val="auto"/>
          <w:kern w:val="0"/>
          <w:szCs w:val="21"/>
          <w:highlight w:val="none"/>
        </w:rPr>
        <w:t>联系人及电话：陈阳 13137407575   方金龙  15836539901</w:t>
      </w:r>
    </w:p>
    <w:p w14:paraId="5FAEC6F3">
      <w:pPr>
        <w:keepNext w:val="0"/>
        <w:keepLines w:val="0"/>
        <w:pageBreakBefore w:val="0"/>
        <w:kinsoku/>
        <w:overflowPunct/>
        <w:autoSpaceDE w:val="0"/>
        <w:autoSpaceDN w:val="0"/>
        <w:bidi w:val="0"/>
        <w:snapToGrid/>
        <w:spacing w:line="480" w:lineRule="exact"/>
        <w:ind w:firstLine="420" w:firstLineChars="200"/>
        <w:contextualSpacing/>
        <w:jc w:val="left"/>
        <w:textAlignment w:val="auto"/>
        <w:rPr>
          <w:rFonts w:cs="宋体" w:asciiTheme="minorEastAsia" w:hAnsiTheme="minorEastAsia"/>
          <w:color w:val="auto"/>
          <w:kern w:val="0"/>
          <w:szCs w:val="21"/>
          <w:highlight w:val="none"/>
        </w:rPr>
      </w:pPr>
      <w:r>
        <w:rPr>
          <w:rFonts w:hint="eastAsia" w:cs="宋体" w:asciiTheme="minorEastAsia" w:hAnsiTheme="minorEastAsia"/>
          <w:color w:val="auto"/>
          <w:kern w:val="0"/>
          <w:szCs w:val="21"/>
          <w:highlight w:val="none"/>
        </w:rPr>
        <w:t>地址：许昌市建安大道与紫云路交汇处中原银行</w:t>
      </w:r>
    </w:p>
    <w:p w14:paraId="1449EE48">
      <w:pPr>
        <w:keepNext w:val="0"/>
        <w:keepLines w:val="0"/>
        <w:pageBreakBefore w:val="0"/>
        <w:kinsoku/>
        <w:overflowPunct/>
        <w:autoSpaceDE w:val="0"/>
        <w:autoSpaceDN w:val="0"/>
        <w:bidi w:val="0"/>
        <w:snapToGrid/>
        <w:spacing w:line="480" w:lineRule="exact"/>
        <w:ind w:firstLine="420" w:firstLineChars="200"/>
        <w:contextualSpacing/>
        <w:jc w:val="left"/>
        <w:textAlignment w:val="auto"/>
        <w:rPr>
          <w:rFonts w:cs="宋体" w:asciiTheme="minorEastAsia" w:hAnsiTheme="minorEastAsia"/>
          <w:color w:val="auto"/>
          <w:kern w:val="0"/>
          <w:szCs w:val="21"/>
          <w:highlight w:val="none"/>
        </w:rPr>
      </w:pPr>
      <w:r>
        <w:rPr>
          <w:rFonts w:hint="eastAsia" w:cs="宋体" w:asciiTheme="minorEastAsia" w:hAnsiTheme="minorEastAsia"/>
          <w:color w:val="auto"/>
          <w:kern w:val="0"/>
          <w:szCs w:val="21"/>
          <w:highlight w:val="none"/>
        </w:rPr>
        <w:t>2）合作金融机构名称：浦发银行许昌分行</w:t>
      </w:r>
    </w:p>
    <w:p w14:paraId="00DCBA27">
      <w:pPr>
        <w:keepNext w:val="0"/>
        <w:keepLines w:val="0"/>
        <w:pageBreakBefore w:val="0"/>
        <w:kinsoku/>
        <w:overflowPunct/>
        <w:autoSpaceDE w:val="0"/>
        <w:autoSpaceDN w:val="0"/>
        <w:bidi w:val="0"/>
        <w:snapToGrid/>
        <w:spacing w:line="480" w:lineRule="exact"/>
        <w:ind w:firstLine="420" w:firstLineChars="200"/>
        <w:contextualSpacing/>
        <w:jc w:val="left"/>
        <w:textAlignment w:val="auto"/>
        <w:rPr>
          <w:rFonts w:cs="宋体" w:asciiTheme="minorEastAsia" w:hAnsiTheme="minorEastAsia"/>
          <w:color w:val="auto"/>
          <w:kern w:val="0"/>
          <w:szCs w:val="21"/>
          <w:highlight w:val="none"/>
        </w:rPr>
      </w:pPr>
      <w:r>
        <w:rPr>
          <w:rFonts w:hint="eastAsia" w:cs="宋体" w:asciiTheme="minorEastAsia" w:hAnsiTheme="minorEastAsia"/>
          <w:color w:val="auto"/>
          <w:kern w:val="0"/>
          <w:szCs w:val="21"/>
          <w:highlight w:val="none"/>
        </w:rPr>
        <w:t>联系人及电话：赵勇  0374-7313569、7313502 18937459920</w:t>
      </w:r>
    </w:p>
    <w:p w14:paraId="342EE7A4">
      <w:pPr>
        <w:keepNext w:val="0"/>
        <w:keepLines w:val="0"/>
        <w:pageBreakBefore w:val="0"/>
        <w:kinsoku/>
        <w:overflowPunct/>
        <w:autoSpaceDE w:val="0"/>
        <w:autoSpaceDN w:val="0"/>
        <w:bidi w:val="0"/>
        <w:snapToGrid/>
        <w:spacing w:line="480" w:lineRule="exact"/>
        <w:ind w:firstLine="420" w:firstLineChars="200"/>
        <w:contextualSpacing/>
        <w:jc w:val="left"/>
        <w:textAlignment w:val="auto"/>
        <w:rPr>
          <w:rFonts w:cs="宋体" w:asciiTheme="minorEastAsia" w:hAnsiTheme="minorEastAsia"/>
          <w:color w:val="auto"/>
          <w:kern w:val="0"/>
          <w:szCs w:val="21"/>
          <w:highlight w:val="none"/>
        </w:rPr>
      </w:pPr>
      <w:r>
        <w:rPr>
          <w:rFonts w:hint="eastAsia" w:cs="宋体" w:asciiTheme="minorEastAsia" w:hAnsiTheme="minorEastAsia"/>
          <w:color w:val="auto"/>
          <w:kern w:val="0"/>
          <w:szCs w:val="21"/>
          <w:highlight w:val="none"/>
        </w:rPr>
        <w:t>地址：许昌市许继大道1163号许继花园</w:t>
      </w:r>
    </w:p>
    <w:p w14:paraId="51EBF63B">
      <w:pPr>
        <w:keepNext w:val="0"/>
        <w:keepLines w:val="0"/>
        <w:pageBreakBefore w:val="0"/>
        <w:kinsoku/>
        <w:overflowPunct/>
        <w:autoSpaceDE w:val="0"/>
        <w:autoSpaceDN w:val="0"/>
        <w:bidi w:val="0"/>
        <w:snapToGrid/>
        <w:spacing w:line="480" w:lineRule="exact"/>
        <w:ind w:firstLine="420" w:firstLineChars="200"/>
        <w:contextualSpacing/>
        <w:jc w:val="left"/>
        <w:textAlignment w:val="auto"/>
        <w:rPr>
          <w:rFonts w:cs="宋体" w:asciiTheme="minorEastAsia" w:hAnsiTheme="minorEastAsia"/>
          <w:color w:val="auto"/>
          <w:kern w:val="0"/>
          <w:szCs w:val="21"/>
          <w:highlight w:val="none"/>
        </w:rPr>
      </w:pPr>
      <w:r>
        <w:rPr>
          <w:rFonts w:hint="eastAsia" w:cs="宋体" w:asciiTheme="minorEastAsia" w:hAnsiTheme="minorEastAsia"/>
          <w:color w:val="auto"/>
          <w:kern w:val="0"/>
          <w:szCs w:val="21"/>
          <w:highlight w:val="none"/>
        </w:rPr>
        <w:t>3）合作金融机构名称：交通银行许昌分行</w:t>
      </w:r>
    </w:p>
    <w:p w14:paraId="66E5EE38">
      <w:pPr>
        <w:keepNext w:val="0"/>
        <w:keepLines w:val="0"/>
        <w:pageBreakBefore w:val="0"/>
        <w:kinsoku/>
        <w:overflowPunct/>
        <w:autoSpaceDE w:val="0"/>
        <w:autoSpaceDN w:val="0"/>
        <w:bidi w:val="0"/>
        <w:snapToGrid/>
        <w:spacing w:line="480" w:lineRule="exact"/>
        <w:ind w:firstLine="420" w:firstLineChars="200"/>
        <w:contextualSpacing/>
        <w:jc w:val="left"/>
        <w:textAlignment w:val="auto"/>
        <w:rPr>
          <w:rFonts w:cs="宋体" w:asciiTheme="minorEastAsia" w:hAnsiTheme="minorEastAsia"/>
          <w:color w:val="auto"/>
          <w:kern w:val="0"/>
          <w:szCs w:val="21"/>
          <w:highlight w:val="none"/>
        </w:rPr>
      </w:pPr>
      <w:r>
        <w:rPr>
          <w:rFonts w:hint="eastAsia" w:cs="宋体" w:asciiTheme="minorEastAsia" w:hAnsiTheme="minorEastAsia"/>
          <w:color w:val="auto"/>
          <w:kern w:val="0"/>
          <w:szCs w:val="21"/>
          <w:highlight w:val="none"/>
        </w:rPr>
        <w:t>联系人：宋纪刚  0374-2369912  13733951305</w:t>
      </w:r>
    </w:p>
    <w:p w14:paraId="07145FB4">
      <w:pPr>
        <w:keepNext w:val="0"/>
        <w:keepLines w:val="0"/>
        <w:pageBreakBefore w:val="0"/>
        <w:kinsoku/>
        <w:overflowPunct/>
        <w:autoSpaceDE w:val="0"/>
        <w:autoSpaceDN w:val="0"/>
        <w:bidi w:val="0"/>
        <w:snapToGrid/>
        <w:spacing w:line="480" w:lineRule="exact"/>
        <w:ind w:firstLine="420" w:firstLineChars="200"/>
        <w:contextualSpacing/>
        <w:jc w:val="left"/>
        <w:textAlignment w:val="auto"/>
        <w:rPr>
          <w:rFonts w:cs="宋体" w:asciiTheme="minorEastAsia" w:hAnsiTheme="minorEastAsia"/>
          <w:color w:val="auto"/>
          <w:kern w:val="0"/>
          <w:szCs w:val="21"/>
          <w:highlight w:val="none"/>
        </w:rPr>
      </w:pPr>
      <w:r>
        <w:rPr>
          <w:rFonts w:hint="eastAsia" w:cs="宋体" w:asciiTheme="minorEastAsia" w:hAnsiTheme="minorEastAsia"/>
          <w:color w:val="auto"/>
          <w:kern w:val="0"/>
          <w:szCs w:val="21"/>
          <w:highlight w:val="none"/>
        </w:rPr>
        <w:t>地址：许昌市莲城大道114号</w:t>
      </w:r>
    </w:p>
    <w:p w14:paraId="49DCCBB2">
      <w:pPr>
        <w:keepNext w:val="0"/>
        <w:keepLines w:val="0"/>
        <w:pageBreakBefore w:val="0"/>
        <w:kinsoku/>
        <w:overflowPunct/>
        <w:autoSpaceDE w:val="0"/>
        <w:autoSpaceDN w:val="0"/>
        <w:bidi w:val="0"/>
        <w:snapToGrid/>
        <w:spacing w:line="480" w:lineRule="exact"/>
        <w:ind w:firstLine="420" w:firstLineChars="200"/>
        <w:contextualSpacing/>
        <w:jc w:val="left"/>
        <w:textAlignment w:val="auto"/>
        <w:rPr>
          <w:rFonts w:cs="宋体" w:asciiTheme="minorEastAsia" w:hAnsiTheme="minorEastAsia"/>
          <w:color w:val="auto"/>
          <w:kern w:val="0"/>
          <w:szCs w:val="21"/>
          <w:highlight w:val="none"/>
        </w:rPr>
      </w:pPr>
      <w:r>
        <w:rPr>
          <w:rFonts w:hint="eastAsia" w:cs="宋体" w:asciiTheme="minorEastAsia" w:hAnsiTheme="minorEastAsia"/>
          <w:color w:val="auto"/>
          <w:kern w:val="0"/>
          <w:szCs w:val="21"/>
          <w:highlight w:val="none"/>
        </w:rPr>
        <w:t>4）合作金融机构名称：光大银行许昌分行</w:t>
      </w:r>
    </w:p>
    <w:p w14:paraId="4425589F">
      <w:pPr>
        <w:keepNext w:val="0"/>
        <w:keepLines w:val="0"/>
        <w:pageBreakBefore w:val="0"/>
        <w:kinsoku/>
        <w:overflowPunct/>
        <w:autoSpaceDE w:val="0"/>
        <w:autoSpaceDN w:val="0"/>
        <w:bidi w:val="0"/>
        <w:snapToGrid/>
        <w:spacing w:line="480" w:lineRule="exact"/>
        <w:ind w:firstLine="420" w:firstLineChars="200"/>
        <w:contextualSpacing/>
        <w:jc w:val="left"/>
        <w:textAlignment w:val="auto"/>
        <w:rPr>
          <w:rFonts w:cs="宋体" w:asciiTheme="minorEastAsia" w:hAnsiTheme="minorEastAsia"/>
          <w:color w:val="auto"/>
          <w:kern w:val="0"/>
          <w:szCs w:val="21"/>
          <w:highlight w:val="none"/>
        </w:rPr>
      </w:pPr>
      <w:r>
        <w:rPr>
          <w:rFonts w:hint="eastAsia" w:cs="宋体" w:asciiTheme="minorEastAsia" w:hAnsiTheme="minorEastAsia"/>
          <w:color w:val="auto"/>
          <w:kern w:val="0"/>
          <w:szCs w:val="21"/>
          <w:highlight w:val="none"/>
        </w:rPr>
        <w:t>联系人：李东磊  0374-2928168 18569936868</w:t>
      </w:r>
    </w:p>
    <w:p w14:paraId="3E745BA5">
      <w:pPr>
        <w:keepNext w:val="0"/>
        <w:keepLines w:val="0"/>
        <w:pageBreakBefore w:val="0"/>
        <w:kinsoku/>
        <w:overflowPunct/>
        <w:autoSpaceDE w:val="0"/>
        <w:autoSpaceDN w:val="0"/>
        <w:bidi w:val="0"/>
        <w:snapToGrid/>
        <w:spacing w:line="480" w:lineRule="exact"/>
        <w:ind w:firstLine="420" w:firstLineChars="200"/>
        <w:contextualSpacing/>
        <w:jc w:val="left"/>
        <w:textAlignment w:val="auto"/>
        <w:rPr>
          <w:rFonts w:cs="宋体" w:asciiTheme="minorEastAsia" w:hAnsiTheme="minorEastAsia"/>
          <w:color w:val="auto"/>
          <w:kern w:val="0"/>
          <w:szCs w:val="21"/>
          <w:highlight w:val="none"/>
        </w:rPr>
      </w:pPr>
      <w:r>
        <w:rPr>
          <w:rFonts w:hint="eastAsia" w:cs="宋体" w:asciiTheme="minorEastAsia" w:hAnsiTheme="minorEastAsia"/>
          <w:color w:val="auto"/>
          <w:kern w:val="0"/>
          <w:szCs w:val="21"/>
          <w:highlight w:val="none"/>
        </w:rPr>
        <w:t>地址：许昌市魏都区八一路文峰路交叉口西北角</w:t>
      </w:r>
    </w:p>
    <w:p w14:paraId="17627F5F">
      <w:pPr>
        <w:keepNext w:val="0"/>
        <w:keepLines w:val="0"/>
        <w:pageBreakBefore w:val="0"/>
        <w:kinsoku/>
        <w:overflowPunct/>
        <w:autoSpaceDE w:val="0"/>
        <w:autoSpaceDN w:val="0"/>
        <w:bidi w:val="0"/>
        <w:snapToGrid/>
        <w:spacing w:line="480" w:lineRule="exact"/>
        <w:ind w:firstLine="420" w:firstLineChars="200"/>
        <w:contextualSpacing/>
        <w:jc w:val="left"/>
        <w:textAlignment w:val="auto"/>
        <w:rPr>
          <w:rFonts w:cs="宋体" w:asciiTheme="minorEastAsia" w:hAnsiTheme="minorEastAsia"/>
          <w:color w:val="auto"/>
          <w:kern w:val="0"/>
          <w:szCs w:val="21"/>
          <w:highlight w:val="none"/>
        </w:rPr>
      </w:pPr>
      <w:r>
        <w:rPr>
          <w:rFonts w:hint="eastAsia" w:cs="宋体" w:asciiTheme="minorEastAsia" w:hAnsiTheme="minorEastAsia"/>
          <w:color w:val="auto"/>
          <w:kern w:val="0"/>
          <w:szCs w:val="21"/>
          <w:highlight w:val="none"/>
        </w:rPr>
        <w:t>5）合作金融机构名称：招商银行许昌分行</w:t>
      </w:r>
    </w:p>
    <w:p w14:paraId="59F28F36">
      <w:pPr>
        <w:keepNext w:val="0"/>
        <w:keepLines w:val="0"/>
        <w:pageBreakBefore w:val="0"/>
        <w:kinsoku/>
        <w:overflowPunct/>
        <w:autoSpaceDE w:val="0"/>
        <w:autoSpaceDN w:val="0"/>
        <w:bidi w:val="0"/>
        <w:snapToGrid/>
        <w:spacing w:line="480" w:lineRule="exact"/>
        <w:ind w:firstLine="420" w:firstLineChars="200"/>
        <w:contextualSpacing/>
        <w:jc w:val="left"/>
        <w:textAlignment w:val="auto"/>
        <w:rPr>
          <w:rFonts w:cs="宋体" w:asciiTheme="minorEastAsia" w:hAnsiTheme="minorEastAsia"/>
          <w:color w:val="auto"/>
          <w:kern w:val="0"/>
          <w:szCs w:val="21"/>
          <w:highlight w:val="none"/>
        </w:rPr>
      </w:pPr>
      <w:r>
        <w:rPr>
          <w:rFonts w:hint="eastAsia" w:cs="宋体" w:asciiTheme="minorEastAsia" w:hAnsiTheme="minorEastAsia"/>
          <w:color w:val="auto"/>
          <w:kern w:val="0"/>
          <w:szCs w:val="21"/>
          <w:highlight w:val="none"/>
        </w:rPr>
        <w:t>联系人及电话：崔星迪  0374-5376058  18839983051</w:t>
      </w:r>
    </w:p>
    <w:p w14:paraId="129ADCED">
      <w:pPr>
        <w:keepNext w:val="0"/>
        <w:keepLines w:val="0"/>
        <w:pageBreakBefore w:val="0"/>
        <w:kinsoku/>
        <w:overflowPunct/>
        <w:autoSpaceDE w:val="0"/>
        <w:autoSpaceDN w:val="0"/>
        <w:bidi w:val="0"/>
        <w:snapToGrid/>
        <w:spacing w:line="480" w:lineRule="exact"/>
        <w:ind w:firstLine="420" w:firstLineChars="200"/>
        <w:contextualSpacing/>
        <w:jc w:val="left"/>
        <w:textAlignment w:val="auto"/>
        <w:rPr>
          <w:rFonts w:cs="宋体" w:asciiTheme="minorEastAsia" w:hAnsiTheme="minorEastAsia"/>
          <w:color w:val="auto"/>
          <w:kern w:val="0"/>
          <w:szCs w:val="21"/>
          <w:highlight w:val="none"/>
        </w:rPr>
      </w:pPr>
      <w:r>
        <w:rPr>
          <w:rFonts w:hint="eastAsia" w:cs="宋体" w:asciiTheme="minorEastAsia" w:hAnsiTheme="minorEastAsia"/>
          <w:color w:val="auto"/>
          <w:kern w:val="0"/>
          <w:szCs w:val="21"/>
          <w:highlight w:val="none"/>
        </w:rPr>
        <w:t>地址：许昌市建安大道中段新天下AB座</w:t>
      </w:r>
    </w:p>
    <w:p w14:paraId="0EBADB5F">
      <w:pPr>
        <w:keepNext w:val="0"/>
        <w:keepLines w:val="0"/>
        <w:pageBreakBefore w:val="0"/>
        <w:kinsoku/>
        <w:overflowPunct/>
        <w:autoSpaceDE w:val="0"/>
        <w:autoSpaceDN w:val="0"/>
        <w:bidi w:val="0"/>
        <w:snapToGrid/>
        <w:spacing w:line="480" w:lineRule="exact"/>
        <w:ind w:firstLine="420" w:firstLineChars="200"/>
        <w:contextualSpacing/>
        <w:jc w:val="left"/>
        <w:textAlignment w:val="auto"/>
        <w:rPr>
          <w:rFonts w:cs="宋体" w:asciiTheme="minorEastAsia" w:hAnsiTheme="minorEastAsia"/>
          <w:color w:val="auto"/>
          <w:kern w:val="0"/>
          <w:szCs w:val="21"/>
          <w:highlight w:val="none"/>
        </w:rPr>
      </w:pPr>
      <w:r>
        <w:rPr>
          <w:rFonts w:hint="eastAsia" w:cs="宋体" w:asciiTheme="minorEastAsia" w:hAnsiTheme="minorEastAsia"/>
          <w:color w:val="auto"/>
          <w:kern w:val="0"/>
          <w:szCs w:val="21"/>
          <w:highlight w:val="none"/>
        </w:rPr>
        <w:t>6）合作金融机构名称：邮储银行许昌市分行</w:t>
      </w:r>
    </w:p>
    <w:p w14:paraId="793BAE38">
      <w:pPr>
        <w:keepNext w:val="0"/>
        <w:keepLines w:val="0"/>
        <w:pageBreakBefore w:val="0"/>
        <w:kinsoku/>
        <w:overflowPunct/>
        <w:autoSpaceDE w:val="0"/>
        <w:autoSpaceDN w:val="0"/>
        <w:bidi w:val="0"/>
        <w:snapToGrid/>
        <w:spacing w:line="480" w:lineRule="exact"/>
        <w:ind w:firstLine="420" w:firstLineChars="200"/>
        <w:contextualSpacing/>
        <w:jc w:val="left"/>
        <w:textAlignment w:val="auto"/>
        <w:rPr>
          <w:rFonts w:cs="宋体" w:asciiTheme="minorEastAsia" w:hAnsiTheme="minorEastAsia"/>
          <w:color w:val="auto"/>
          <w:kern w:val="0"/>
          <w:szCs w:val="21"/>
          <w:highlight w:val="none"/>
        </w:rPr>
      </w:pPr>
      <w:r>
        <w:rPr>
          <w:rFonts w:hint="eastAsia" w:cs="宋体" w:asciiTheme="minorEastAsia" w:hAnsiTheme="minorEastAsia"/>
          <w:color w:val="auto"/>
          <w:kern w:val="0"/>
          <w:szCs w:val="21"/>
          <w:highlight w:val="none"/>
        </w:rPr>
        <w:t>联系人及电话：张彦峰13839001972 武松涛18839902679</w:t>
      </w:r>
    </w:p>
    <w:p w14:paraId="3C19518D">
      <w:pPr>
        <w:keepNext w:val="0"/>
        <w:keepLines w:val="0"/>
        <w:pageBreakBefore w:val="0"/>
        <w:kinsoku/>
        <w:overflowPunct/>
        <w:autoSpaceDE w:val="0"/>
        <w:autoSpaceDN w:val="0"/>
        <w:bidi w:val="0"/>
        <w:snapToGrid/>
        <w:spacing w:line="480" w:lineRule="exact"/>
        <w:ind w:firstLine="420" w:firstLineChars="200"/>
        <w:contextualSpacing/>
        <w:jc w:val="left"/>
        <w:textAlignment w:val="auto"/>
        <w:rPr>
          <w:rFonts w:cs="宋体" w:asciiTheme="minorEastAsia" w:hAnsiTheme="minorEastAsia"/>
          <w:color w:val="auto"/>
          <w:kern w:val="0"/>
          <w:szCs w:val="21"/>
          <w:highlight w:val="none"/>
        </w:rPr>
      </w:pPr>
      <w:r>
        <w:rPr>
          <w:rFonts w:hint="eastAsia" w:cs="宋体" w:asciiTheme="minorEastAsia" w:hAnsiTheme="minorEastAsia"/>
          <w:color w:val="auto"/>
          <w:kern w:val="0"/>
          <w:szCs w:val="21"/>
          <w:highlight w:val="none"/>
        </w:rPr>
        <w:t>徐亚爽15038297574</w:t>
      </w:r>
    </w:p>
    <w:p w14:paraId="1A3FD695">
      <w:pPr>
        <w:keepNext w:val="0"/>
        <w:keepLines w:val="0"/>
        <w:pageBreakBefore w:val="0"/>
        <w:kinsoku/>
        <w:overflowPunct/>
        <w:autoSpaceDE w:val="0"/>
        <w:autoSpaceDN w:val="0"/>
        <w:bidi w:val="0"/>
        <w:snapToGrid/>
        <w:spacing w:line="480" w:lineRule="exact"/>
        <w:ind w:firstLine="420" w:firstLineChars="200"/>
        <w:contextualSpacing/>
        <w:jc w:val="left"/>
        <w:textAlignment w:val="auto"/>
        <w:rPr>
          <w:rFonts w:cs="宋体" w:asciiTheme="minorEastAsia" w:hAnsiTheme="minorEastAsia"/>
          <w:color w:val="auto"/>
          <w:kern w:val="0"/>
          <w:szCs w:val="21"/>
          <w:highlight w:val="none"/>
        </w:rPr>
      </w:pPr>
      <w:r>
        <w:rPr>
          <w:rFonts w:hint="eastAsia" w:cs="宋体" w:asciiTheme="minorEastAsia" w:hAnsiTheme="minorEastAsia"/>
          <w:color w:val="auto"/>
          <w:kern w:val="0"/>
          <w:szCs w:val="21"/>
          <w:highlight w:val="none"/>
        </w:rPr>
        <w:t>地址：许昌市莲城大道邮储银行莲城支行二楼</w:t>
      </w:r>
    </w:p>
    <w:p w14:paraId="35C4E2C9">
      <w:pPr>
        <w:keepNext w:val="0"/>
        <w:keepLines w:val="0"/>
        <w:pageBreakBefore w:val="0"/>
        <w:kinsoku/>
        <w:overflowPunct/>
        <w:autoSpaceDE w:val="0"/>
        <w:autoSpaceDN w:val="0"/>
        <w:bidi w:val="0"/>
        <w:snapToGrid/>
        <w:spacing w:line="480" w:lineRule="exact"/>
        <w:ind w:firstLine="420" w:firstLineChars="200"/>
        <w:contextualSpacing/>
        <w:jc w:val="left"/>
        <w:textAlignment w:val="auto"/>
        <w:rPr>
          <w:rFonts w:cs="宋体" w:asciiTheme="minorEastAsia" w:hAnsiTheme="minorEastAsia"/>
          <w:color w:val="auto"/>
          <w:kern w:val="0"/>
          <w:szCs w:val="21"/>
          <w:highlight w:val="none"/>
        </w:rPr>
      </w:pPr>
      <w:r>
        <w:rPr>
          <w:rFonts w:hint="eastAsia" w:cs="宋体" w:asciiTheme="minorEastAsia" w:hAnsiTheme="minorEastAsia"/>
          <w:color w:val="auto"/>
          <w:kern w:val="0"/>
          <w:szCs w:val="21"/>
          <w:highlight w:val="none"/>
        </w:rPr>
        <w:t>7）合作金融机构名称：中国银行许昌分行</w:t>
      </w:r>
    </w:p>
    <w:p w14:paraId="407C60F7">
      <w:pPr>
        <w:keepNext w:val="0"/>
        <w:keepLines w:val="0"/>
        <w:pageBreakBefore w:val="0"/>
        <w:kinsoku/>
        <w:overflowPunct/>
        <w:autoSpaceDE w:val="0"/>
        <w:autoSpaceDN w:val="0"/>
        <w:bidi w:val="0"/>
        <w:snapToGrid/>
        <w:spacing w:line="480" w:lineRule="exact"/>
        <w:ind w:firstLine="420" w:firstLineChars="200"/>
        <w:contextualSpacing/>
        <w:jc w:val="left"/>
        <w:textAlignment w:val="auto"/>
        <w:rPr>
          <w:rFonts w:cs="宋体" w:asciiTheme="minorEastAsia" w:hAnsiTheme="minorEastAsia"/>
          <w:color w:val="auto"/>
          <w:kern w:val="0"/>
          <w:szCs w:val="21"/>
          <w:highlight w:val="none"/>
        </w:rPr>
      </w:pPr>
      <w:r>
        <w:rPr>
          <w:rFonts w:hint="eastAsia" w:cs="宋体" w:asciiTheme="minorEastAsia" w:hAnsiTheme="minorEastAsia"/>
          <w:color w:val="auto"/>
          <w:kern w:val="0"/>
          <w:szCs w:val="21"/>
          <w:highlight w:val="none"/>
        </w:rPr>
        <w:t>联系人及电话：白炜 13938772680   刘晓飞  0374-3338596</w:t>
      </w:r>
    </w:p>
    <w:p w14:paraId="19EBD67E">
      <w:pPr>
        <w:keepNext w:val="0"/>
        <w:keepLines w:val="0"/>
        <w:pageBreakBefore w:val="0"/>
        <w:kinsoku/>
        <w:overflowPunct/>
        <w:autoSpaceDE w:val="0"/>
        <w:autoSpaceDN w:val="0"/>
        <w:bidi w:val="0"/>
        <w:snapToGrid/>
        <w:spacing w:line="480" w:lineRule="exact"/>
        <w:ind w:firstLine="420" w:firstLineChars="200"/>
        <w:contextualSpacing/>
        <w:jc w:val="left"/>
        <w:textAlignment w:val="auto"/>
        <w:rPr>
          <w:rFonts w:cs="宋体" w:asciiTheme="minorEastAsia" w:hAnsiTheme="minorEastAsia"/>
          <w:color w:val="auto"/>
          <w:kern w:val="0"/>
          <w:szCs w:val="21"/>
          <w:highlight w:val="none"/>
        </w:rPr>
      </w:pPr>
      <w:r>
        <w:rPr>
          <w:rFonts w:hint="eastAsia" w:cs="宋体" w:asciiTheme="minorEastAsia" w:hAnsiTheme="minorEastAsia"/>
          <w:color w:val="auto"/>
          <w:kern w:val="0"/>
          <w:szCs w:val="21"/>
          <w:highlight w:val="none"/>
        </w:rPr>
        <w:t>地址：许昌市魏都区建设路1488号</w:t>
      </w:r>
    </w:p>
    <w:p w14:paraId="27FBB5AA">
      <w:pPr>
        <w:keepNext w:val="0"/>
        <w:keepLines w:val="0"/>
        <w:pageBreakBefore w:val="0"/>
        <w:kinsoku/>
        <w:overflowPunct/>
        <w:autoSpaceDE w:val="0"/>
        <w:autoSpaceDN w:val="0"/>
        <w:bidi w:val="0"/>
        <w:snapToGrid/>
        <w:spacing w:line="480" w:lineRule="exact"/>
        <w:ind w:firstLine="420" w:firstLineChars="200"/>
        <w:contextualSpacing/>
        <w:jc w:val="left"/>
        <w:textAlignment w:val="auto"/>
        <w:rPr>
          <w:rFonts w:cs="宋体" w:asciiTheme="minorEastAsia" w:hAnsiTheme="minorEastAsia"/>
          <w:color w:val="auto"/>
          <w:kern w:val="0"/>
          <w:szCs w:val="21"/>
          <w:highlight w:val="none"/>
        </w:rPr>
      </w:pPr>
      <w:r>
        <w:rPr>
          <w:rFonts w:hint="eastAsia" w:cs="宋体" w:asciiTheme="minorEastAsia" w:hAnsiTheme="minorEastAsia"/>
          <w:color w:val="auto"/>
          <w:kern w:val="0"/>
          <w:szCs w:val="21"/>
          <w:highlight w:val="none"/>
        </w:rPr>
        <w:t>8）合作金融机构名称：中信银行郑州红专路支行</w:t>
      </w:r>
    </w:p>
    <w:p w14:paraId="2F8840DB">
      <w:pPr>
        <w:keepNext w:val="0"/>
        <w:keepLines w:val="0"/>
        <w:pageBreakBefore w:val="0"/>
        <w:kinsoku/>
        <w:overflowPunct/>
        <w:autoSpaceDE w:val="0"/>
        <w:autoSpaceDN w:val="0"/>
        <w:bidi w:val="0"/>
        <w:snapToGrid/>
        <w:spacing w:line="480" w:lineRule="exact"/>
        <w:ind w:firstLine="420" w:firstLineChars="200"/>
        <w:contextualSpacing/>
        <w:jc w:val="left"/>
        <w:textAlignment w:val="auto"/>
        <w:rPr>
          <w:rFonts w:cs="宋体" w:asciiTheme="minorEastAsia" w:hAnsiTheme="minorEastAsia"/>
          <w:color w:val="auto"/>
          <w:kern w:val="0"/>
          <w:szCs w:val="21"/>
          <w:highlight w:val="none"/>
        </w:rPr>
      </w:pPr>
      <w:r>
        <w:rPr>
          <w:rFonts w:hint="eastAsia" w:cs="宋体" w:asciiTheme="minorEastAsia" w:hAnsiTheme="minorEastAsia"/>
          <w:color w:val="auto"/>
          <w:kern w:val="0"/>
          <w:szCs w:val="21"/>
          <w:highlight w:val="none"/>
        </w:rPr>
        <w:t>联系人：韩晨  13253490679</w:t>
      </w:r>
    </w:p>
    <w:p w14:paraId="1DCE5006">
      <w:pPr>
        <w:keepNext w:val="0"/>
        <w:keepLines w:val="0"/>
        <w:pageBreakBefore w:val="0"/>
        <w:kinsoku/>
        <w:overflowPunct/>
        <w:autoSpaceDE w:val="0"/>
        <w:autoSpaceDN w:val="0"/>
        <w:bidi w:val="0"/>
        <w:snapToGrid/>
        <w:spacing w:line="480" w:lineRule="exact"/>
        <w:ind w:firstLine="420" w:firstLineChars="200"/>
        <w:contextualSpacing/>
        <w:jc w:val="left"/>
        <w:textAlignment w:val="auto"/>
        <w:rPr>
          <w:rFonts w:cs="宋体" w:asciiTheme="minorEastAsia" w:hAnsiTheme="minorEastAsia"/>
          <w:color w:val="auto"/>
          <w:kern w:val="0"/>
          <w:szCs w:val="21"/>
          <w:highlight w:val="none"/>
        </w:rPr>
      </w:pPr>
      <w:r>
        <w:rPr>
          <w:rFonts w:hint="eastAsia" w:cs="宋体" w:asciiTheme="minorEastAsia" w:hAnsiTheme="minorEastAsia"/>
          <w:color w:val="auto"/>
          <w:kern w:val="0"/>
          <w:szCs w:val="21"/>
          <w:highlight w:val="none"/>
        </w:rPr>
        <w:t>地址：郑州市金水区经三路北26号中信银行郑州红专路支行</w:t>
      </w:r>
    </w:p>
    <w:p w14:paraId="0510FAAE">
      <w:pPr>
        <w:keepNext w:val="0"/>
        <w:keepLines w:val="0"/>
        <w:pageBreakBefore w:val="0"/>
        <w:kinsoku/>
        <w:overflowPunct/>
        <w:autoSpaceDE w:val="0"/>
        <w:autoSpaceDN w:val="0"/>
        <w:bidi w:val="0"/>
        <w:snapToGrid/>
        <w:spacing w:line="480" w:lineRule="exact"/>
        <w:ind w:firstLine="420" w:firstLineChars="200"/>
        <w:contextualSpacing/>
        <w:jc w:val="left"/>
        <w:textAlignment w:val="auto"/>
        <w:rPr>
          <w:rFonts w:cs="宋体" w:asciiTheme="minorEastAsia" w:hAnsiTheme="minorEastAsia"/>
          <w:color w:val="auto"/>
          <w:kern w:val="0"/>
          <w:szCs w:val="21"/>
          <w:highlight w:val="none"/>
        </w:rPr>
      </w:pPr>
      <w:r>
        <w:rPr>
          <w:rFonts w:hint="eastAsia" w:cs="宋体" w:asciiTheme="minorEastAsia" w:hAnsiTheme="minorEastAsia"/>
          <w:color w:val="auto"/>
          <w:kern w:val="0"/>
          <w:szCs w:val="21"/>
          <w:highlight w:val="none"/>
        </w:rPr>
        <w:t xml:space="preserve">9）合作金融机构名称：郑州银行许昌分行 </w:t>
      </w:r>
    </w:p>
    <w:p w14:paraId="7D3FB8B7">
      <w:pPr>
        <w:keepNext w:val="0"/>
        <w:keepLines w:val="0"/>
        <w:pageBreakBefore w:val="0"/>
        <w:kinsoku/>
        <w:overflowPunct/>
        <w:autoSpaceDE w:val="0"/>
        <w:autoSpaceDN w:val="0"/>
        <w:bidi w:val="0"/>
        <w:snapToGrid/>
        <w:spacing w:line="480" w:lineRule="exact"/>
        <w:ind w:firstLine="420" w:firstLineChars="200"/>
        <w:contextualSpacing/>
        <w:jc w:val="left"/>
        <w:textAlignment w:val="auto"/>
        <w:rPr>
          <w:rFonts w:cs="宋体" w:asciiTheme="minorEastAsia" w:hAnsiTheme="minorEastAsia"/>
          <w:color w:val="auto"/>
          <w:kern w:val="0"/>
          <w:szCs w:val="21"/>
          <w:highlight w:val="none"/>
        </w:rPr>
      </w:pPr>
      <w:r>
        <w:rPr>
          <w:rFonts w:hint="eastAsia" w:cs="宋体" w:asciiTheme="minorEastAsia" w:hAnsiTheme="minorEastAsia"/>
          <w:color w:val="auto"/>
          <w:kern w:val="0"/>
          <w:szCs w:val="21"/>
          <w:highlight w:val="none"/>
        </w:rPr>
        <w:t xml:space="preserve">联系人：王晶 0374-2298011 18339062222 </w:t>
      </w:r>
    </w:p>
    <w:p w14:paraId="111B618C">
      <w:pPr>
        <w:keepNext w:val="0"/>
        <w:keepLines w:val="0"/>
        <w:pageBreakBefore w:val="0"/>
        <w:kinsoku/>
        <w:overflowPunct/>
        <w:autoSpaceDE w:val="0"/>
        <w:autoSpaceDN w:val="0"/>
        <w:bidi w:val="0"/>
        <w:snapToGrid/>
        <w:spacing w:line="480" w:lineRule="exact"/>
        <w:ind w:firstLine="420" w:firstLineChars="200"/>
        <w:contextualSpacing/>
        <w:jc w:val="left"/>
        <w:textAlignment w:val="auto"/>
        <w:rPr>
          <w:color w:val="auto"/>
          <w:highlight w:val="none"/>
        </w:rPr>
      </w:pPr>
      <w:r>
        <w:rPr>
          <w:rFonts w:hint="eastAsia" w:cs="宋体" w:asciiTheme="minorEastAsia" w:hAnsiTheme="minorEastAsia"/>
          <w:color w:val="auto"/>
          <w:kern w:val="0"/>
          <w:szCs w:val="21"/>
          <w:highlight w:val="none"/>
        </w:rPr>
        <w:t xml:space="preserve">地址：河南省许昌市魏都区莲城大道与魏文路交叉口西南角亨通君成国际大厦 </w:t>
      </w:r>
    </w:p>
    <w:p w14:paraId="22A973C6">
      <w:pPr>
        <w:numPr>
          <w:ilvl w:val="0"/>
          <w:numId w:val="0"/>
        </w:numPr>
        <w:wordWrap w:val="0"/>
        <w:topLinePunct/>
        <w:autoSpaceDE w:val="0"/>
        <w:autoSpaceDN w:val="0"/>
        <w:adjustRightInd w:val="0"/>
        <w:spacing w:line="360" w:lineRule="auto"/>
        <w:ind w:leftChars="0"/>
        <w:contextualSpacing/>
        <w:outlineLvl w:val="3"/>
        <w:rPr>
          <w:rFonts w:cs="宋体" w:asciiTheme="minorEastAsia" w:hAnsiTheme="minorEastAsia"/>
          <w:kern w:val="0"/>
          <w:szCs w:val="21"/>
        </w:rPr>
      </w:pPr>
      <w:r>
        <w:rPr>
          <w:rFonts w:hint="eastAsia" w:cs="宋体" w:asciiTheme="minorEastAsia" w:hAnsiTheme="minorEastAsia"/>
          <w:kern w:val="0"/>
          <w:szCs w:val="21"/>
          <w:lang w:val="en-US" w:eastAsia="zh-CN"/>
        </w:rPr>
        <w:t>41.3</w:t>
      </w:r>
      <w:r>
        <w:rPr>
          <w:rFonts w:hint="eastAsia" w:cs="宋体" w:asciiTheme="minorEastAsia" w:hAnsiTheme="minorEastAsia"/>
          <w:kern w:val="0"/>
          <w:szCs w:val="21"/>
        </w:rPr>
        <w:t xml:space="preserve"> “政府采购合同融资金融产品推介名录”链接</w:t>
      </w:r>
    </w:p>
    <w:p w14:paraId="0AEF08B6">
      <w:pPr>
        <w:keepNext w:val="0"/>
        <w:keepLines w:val="0"/>
        <w:widowControl/>
        <w:suppressLineNumbers w:val="0"/>
        <w:ind w:firstLine="400" w:firstLineChars="200"/>
        <w:jc w:val="left"/>
      </w:pPr>
      <w:r>
        <w:rPr>
          <w:rFonts w:hint="eastAsia" w:ascii="宋体" w:hAnsi="宋体" w:eastAsia="宋体" w:cs="宋体"/>
          <w:color w:val="0000FF"/>
          <w:kern w:val="0"/>
          <w:sz w:val="20"/>
          <w:szCs w:val="20"/>
          <w:lang w:val="en-US" w:eastAsia="zh-CN" w:bidi="ar"/>
        </w:rPr>
        <w:t>http://ccgp-henan.gov.cn/xuchang/content?infoId=1606365368231095</w:t>
      </w:r>
    </w:p>
    <w:p w14:paraId="41E28D20">
      <w:pPr>
        <w:numPr>
          <w:ilvl w:val="0"/>
          <w:numId w:val="0"/>
        </w:numPr>
        <w:autoSpaceDE w:val="0"/>
        <w:autoSpaceDN w:val="0"/>
        <w:spacing w:line="360" w:lineRule="auto"/>
        <w:ind w:leftChars="0"/>
        <w:contextualSpacing/>
        <w:outlineLvl w:val="2"/>
        <w:rPr>
          <w:rFonts w:cs="宋体" w:asciiTheme="minorEastAsia" w:hAnsiTheme="minorEastAsia"/>
          <w:b/>
          <w:kern w:val="0"/>
          <w:szCs w:val="21"/>
        </w:rPr>
      </w:pPr>
      <w:r>
        <w:rPr>
          <w:rFonts w:hint="eastAsia" w:cs="宋体" w:asciiTheme="minorEastAsia" w:hAnsiTheme="minorEastAsia"/>
          <w:b/>
          <w:kern w:val="0"/>
          <w:szCs w:val="21"/>
          <w:lang w:val="en-US" w:eastAsia="zh-CN"/>
        </w:rPr>
        <w:t xml:space="preserve">43  </w:t>
      </w:r>
      <w:r>
        <w:rPr>
          <w:rFonts w:hint="eastAsia" w:cs="宋体" w:asciiTheme="minorEastAsia" w:hAnsiTheme="minorEastAsia"/>
          <w:b/>
          <w:kern w:val="0"/>
          <w:szCs w:val="21"/>
        </w:rPr>
        <w:t>“采小帮”政府采购服务体系</w:t>
      </w:r>
    </w:p>
    <w:p w14:paraId="1B4E8D0A">
      <w:pPr>
        <w:autoSpaceDE w:val="0"/>
        <w:autoSpaceDN w:val="0"/>
        <w:spacing w:line="360" w:lineRule="auto"/>
        <w:ind w:left="964"/>
        <w:contextualSpacing/>
        <w:jc w:val="left"/>
        <w:rPr>
          <w:rFonts w:cs="宋体" w:asciiTheme="minorEastAsia" w:hAnsiTheme="minorEastAsia"/>
          <w:kern w:val="0"/>
          <w:szCs w:val="21"/>
        </w:rPr>
      </w:pPr>
      <w:r>
        <w:rPr>
          <w:rFonts w:hint="eastAsia" w:cs="宋体" w:asciiTheme="minorEastAsia" w:hAnsiTheme="minorEastAsia"/>
          <w:kern w:val="0"/>
          <w:szCs w:val="21"/>
        </w:rPr>
        <w:t>为持续优化我市政府采购营商环境,</w:t>
      </w:r>
      <w:r>
        <w:rPr>
          <w:rFonts w:hint="eastAsia"/>
        </w:rPr>
        <w:t xml:space="preserve"> </w:t>
      </w:r>
      <w:r>
        <w:rPr>
          <w:rFonts w:hint="eastAsia"/>
          <w:lang w:val="en-US" w:eastAsia="zh-CN"/>
        </w:rPr>
        <w:t>禹州</w:t>
      </w:r>
      <w:r>
        <w:rPr>
          <w:rFonts w:hint="eastAsia" w:cs="宋体" w:asciiTheme="minorEastAsia" w:hAnsiTheme="minorEastAsia"/>
          <w:kern w:val="0"/>
          <w:szCs w:val="21"/>
        </w:rPr>
        <w:t>市财政局政府采购监督管理办公室人员、</w:t>
      </w:r>
      <w:r>
        <w:rPr>
          <w:rFonts w:hint="eastAsia" w:cs="宋体" w:asciiTheme="minorEastAsia" w:hAnsiTheme="minorEastAsia"/>
          <w:kern w:val="0"/>
          <w:szCs w:val="21"/>
          <w:lang w:val="en-US" w:eastAsia="zh-CN"/>
        </w:rPr>
        <w:t>禹州市</w:t>
      </w:r>
      <w:r>
        <w:rPr>
          <w:rFonts w:hint="eastAsia" w:cs="宋体" w:asciiTheme="minorEastAsia" w:hAnsiTheme="minorEastAsia"/>
          <w:kern w:val="0"/>
          <w:szCs w:val="21"/>
        </w:rPr>
        <w:t>政府采购中心人员组成“采小帮”服务团队，提供政府采购政策咨询服务，以及项目实施全程跟踪提醒、监督预警服务。</w:t>
      </w:r>
    </w:p>
    <w:p w14:paraId="7987DB22">
      <w:pPr>
        <w:numPr>
          <w:ilvl w:val="0"/>
          <w:numId w:val="81"/>
        </w:numPr>
        <w:wordWrap w:val="0"/>
        <w:topLinePunct/>
        <w:autoSpaceDE w:val="0"/>
        <w:autoSpaceDN w:val="0"/>
        <w:adjustRightInd w:val="0"/>
        <w:spacing w:line="360" w:lineRule="auto"/>
        <w:contextualSpacing/>
        <w:rPr>
          <w:rFonts w:cs="宋体" w:asciiTheme="minorEastAsia" w:hAnsiTheme="minorEastAsia"/>
          <w:vanish/>
          <w:kern w:val="0"/>
          <w:szCs w:val="21"/>
        </w:rPr>
      </w:pPr>
    </w:p>
    <w:p w14:paraId="6C26F996">
      <w:pPr>
        <w:numPr>
          <w:ilvl w:val="0"/>
          <w:numId w:val="0"/>
        </w:numPr>
        <w:wordWrap w:val="0"/>
        <w:topLinePunct/>
        <w:autoSpaceDE w:val="0"/>
        <w:autoSpaceDN w:val="0"/>
        <w:adjustRightInd w:val="0"/>
        <w:spacing w:line="360" w:lineRule="auto"/>
        <w:ind w:leftChars="0"/>
        <w:contextualSpacing/>
        <w:rPr>
          <w:rFonts w:cs="宋体" w:asciiTheme="minorEastAsia" w:hAnsiTheme="minorEastAsia"/>
          <w:kern w:val="0"/>
          <w:szCs w:val="21"/>
        </w:rPr>
      </w:pPr>
      <w:r>
        <w:rPr>
          <w:rFonts w:hint="eastAsia" w:cs="宋体" w:asciiTheme="minorEastAsia" w:hAnsiTheme="minorEastAsia"/>
          <w:kern w:val="0"/>
          <w:szCs w:val="21"/>
          <w:lang w:val="en-US" w:eastAsia="zh-CN"/>
        </w:rPr>
        <w:t xml:space="preserve">43.1 </w:t>
      </w:r>
      <w:r>
        <w:rPr>
          <w:rFonts w:hint="eastAsia" w:cs="宋体" w:asciiTheme="minorEastAsia" w:hAnsiTheme="minorEastAsia"/>
          <w:kern w:val="0"/>
          <w:szCs w:val="21"/>
        </w:rPr>
        <w:t xml:space="preserve"> “采小帮”服务团队依据职责分工，向供应商提供个性化、精准化服务，包括政策咨询、   政策宣传、采购辅导、节点提醒、风险提示、问题反馈等。</w:t>
      </w:r>
    </w:p>
    <w:p w14:paraId="6F463F1D">
      <w:pPr>
        <w:numPr>
          <w:ilvl w:val="0"/>
          <w:numId w:val="0"/>
        </w:numPr>
        <w:wordWrap w:val="0"/>
        <w:topLinePunct/>
        <w:autoSpaceDE w:val="0"/>
        <w:autoSpaceDN w:val="0"/>
        <w:adjustRightInd w:val="0"/>
        <w:spacing w:line="360" w:lineRule="auto"/>
        <w:contextualSpacing/>
        <w:rPr>
          <w:rFonts w:hint="eastAsia" w:cs="宋体" w:asciiTheme="minorEastAsia" w:hAnsiTheme="minorEastAsia"/>
          <w:kern w:val="0"/>
          <w:szCs w:val="21"/>
          <w:lang w:val="en-US" w:eastAsia="zh-CN"/>
        </w:rPr>
      </w:pPr>
    </w:p>
    <w:p w14:paraId="0B18C3AD">
      <w:pPr>
        <w:numPr>
          <w:ilvl w:val="0"/>
          <w:numId w:val="0"/>
        </w:numPr>
        <w:wordWrap w:val="0"/>
        <w:topLinePunct/>
        <w:autoSpaceDE w:val="0"/>
        <w:autoSpaceDN w:val="0"/>
        <w:adjustRightInd w:val="0"/>
        <w:spacing w:line="360" w:lineRule="auto"/>
        <w:contextualSpacing/>
        <w:rPr>
          <w:rFonts w:cs="宋体" w:asciiTheme="minorEastAsia" w:hAnsiTheme="minorEastAsia"/>
          <w:kern w:val="0"/>
          <w:szCs w:val="21"/>
        </w:rPr>
      </w:pPr>
      <w:r>
        <w:rPr>
          <w:rFonts w:hint="eastAsia" w:cs="宋体" w:asciiTheme="minorEastAsia" w:hAnsiTheme="minorEastAsia"/>
          <w:kern w:val="0"/>
          <w:szCs w:val="21"/>
          <w:lang w:val="en-US" w:eastAsia="zh-CN"/>
        </w:rPr>
        <w:t xml:space="preserve">43.2 </w:t>
      </w:r>
      <w:r>
        <w:rPr>
          <w:rFonts w:hint="eastAsia" w:cs="宋体" w:asciiTheme="minorEastAsia" w:hAnsiTheme="minorEastAsia"/>
          <w:kern w:val="0"/>
          <w:szCs w:val="21"/>
        </w:rPr>
        <w:t>“采小帮”服务团队帮助供应商在政府采购活动中维护自身合法权益，及时发现和制止采购人利用自身优势地位拒绝或延迟支付款项，强制要求供应商接受不合理的付款期限、方式、条件，拒不按政府采购政策规定和采购合同约定履行责任等行为。</w:t>
      </w:r>
    </w:p>
    <w:p w14:paraId="6EFE0AD3">
      <w:pPr>
        <w:numPr>
          <w:ilvl w:val="0"/>
          <w:numId w:val="0"/>
        </w:numPr>
        <w:wordWrap w:val="0"/>
        <w:topLinePunct/>
        <w:autoSpaceDE w:val="0"/>
        <w:autoSpaceDN w:val="0"/>
        <w:adjustRightInd w:val="0"/>
        <w:spacing w:line="360" w:lineRule="auto"/>
        <w:ind w:leftChars="-472" w:firstLine="1050" w:firstLineChars="500"/>
        <w:contextualSpacing/>
        <w:rPr>
          <w:rFonts w:hint="eastAsia" w:cs="宋体" w:asciiTheme="minorEastAsia" w:hAnsiTheme="minorEastAsia"/>
          <w:kern w:val="0"/>
          <w:szCs w:val="21"/>
        </w:rPr>
      </w:pPr>
      <w:r>
        <w:rPr>
          <w:rFonts w:hint="eastAsia" w:cs="宋体" w:asciiTheme="minorEastAsia" w:hAnsiTheme="minorEastAsia"/>
          <w:kern w:val="0"/>
          <w:szCs w:val="21"/>
          <w:lang w:val="en-US" w:eastAsia="zh-CN"/>
        </w:rPr>
        <w:t xml:space="preserve">43.3 </w:t>
      </w:r>
      <w:r>
        <w:rPr>
          <w:rFonts w:hint="eastAsia" w:cs="宋体" w:asciiTheme="minorEastAsia" w:hAnsiTheme="minorEastAsia"/>
          <w:kern w:val="0"/>
          <w:szCs w:val="21"/>
        </w:rPr>
        <w:t>助手团队</w:t>
      </w:r>
    </w:p>
    <w:p w14:paraId="60359ACE">
      <w:pPr>
        <w:pStyle w:val="10"/>
      </w:pPr>
    </w:p>
    <w:p w14:paraId="2D2A71A3">
      <w:pPr>
        <w:pStyle w:val="10"/>
      </w:pPr>
    </w:p>
    <w:p w14:paraId="7854094C">
      <w:pPr>
        <w:pStyle w:val="10"/>
      </w:pPr>
    </w:p>
    <w:p w14:paraId="4CE5C70C">
      <w:pPr>
        <w:pStyle w:val="10"/>
      </w:pPr>
    </w:p>
    <w:p w14:paraId="0C5C699C">
      <w:pPr>
        <w:pStyle w:val="10"/>
      </w:pPr>
    </w:p>
    <w:tbl>
      <w:tblPr>
        <w:tblStyle w:val="25"/>
        <w:tblpPr w:leftFromText="180" w:rightFromText="180" w:vertAnchor="text" w:horzAnchor="page" w:tblpX="1905" w:tblpY="44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1"/>
        <w:gridCol w:w="1544"/>
        <w:gridCol w:w="2136"/>
        <w:gridCol w:w="3031"/>
      </w:tblGrid>
      <w:tr w14:paraId="63B81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noWrap w:val="0"/>
            <w:vAlign w:val="top"/>
          </w:tcPr>
          <w:p w14:paraId="6C0BC690">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部门</w:t>
            </w:r>
          </w:p>
        </w:tc>
        <w:tc>
          <w:tcPr>
            <w:tcW w:w="1544" w:type="dxa"/>
            <w:noWrap w:val="0"/>
            <w:vAlign w:val="top"/>
          </w:tcPr>
          <w:p w14:paraId="2DA438EB">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姓名</w:t>
            </w:r>
          </w:p>
        </w:tc>
        <w:tc>
          <w:tcPr>
            <w:tcW w:w="2136" w:type="dxa"/>
            <w:noWrap w:val="0"/>
            <w:vAlign w:val="top"/>
          </w:tcPr>
          <w:p w14:paraId="123C138E">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联系方式</w:t>
            </w:r>
          </w:p>
        </w:tc>
        <w:tc>
          <w:tcPr>
            <w:tcW w:w="3031" w:type="dxa"/>
            <w:noWrap w:val="0"/>
            <w:vAlign w:val="top"/>
          </w:tcPr>
          <w:p w14:paraId="607C93EA">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服务领域</w:t>
            </w:r>
          </w:p>
        </w:tc>
      </w:tr>
      <w:tr w14:paraId="38138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1" w:type="dxa"/>
            <w:noWrap w:val="0"/>
            <w:vAlign w:val="center"/>
          </w:tcPr>
          <w:p w14:paraId="5A565540">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val="en-US" w:eastAsia="zh-CN"/>
              </w:rPr>
              <w:t>禹州</w:t>
            </w:r>
            <w:r>
              <w:rPr>
                <w:rFonts w:hint="eastAsia" w:asciiTheme="minorEastAsia" w:hAnsiTheme="minorEastAsia" w:eastAsiaTheme="minorEastAsia" w:cstheme="minorEastAsia"/>
                <w:sz w:val="21"/>
                <w:szCs w:val="21"/>
              </w:rPr>
              <w:t>市政府采购监督管理办公室</w:t>
            </w:r>
          </w:p>
        </w:tc>
        <w:tc>
          <w:tcPr>
            <w:tcW w:w="1544" w:type="dxa"/>
            <w:noWrap w:val="0"/>
            <w:vAlign w:val="top"/>
          </w:tcPr>
          <w:p w14:paraId="22E86566">
            <w:pPr>
              <w:spacing w:line="360" w:lineRule="auto"/>
              <w:jc w:val="center"/>
              <w:rPr>
                <w:rFonts w:hint="eastAsia" w:asciiTheme="minorEastAsia" w:hAnsiTheme="minorEastAsia" w:eastAsiaTheme="minorEastAsia" w:cstheme="minorEastAsia"/>
                <w:sz w:val="21"/>
                <w:szCs w:val="21"/>
                <w:lang w:eastAsia="zh-CN"/>
              </w:rPr>
            </w:pPr>
          </w:p>
          <w:p w14:paraId="30B93435">
            <w:pPr>
              <w:spacing w:line="36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乔娜</w:t>
            </w:r>
          </w:p>
          <w:p w14:paraId="7DE43134">
            <w:pPr>
              <w:spacing w:line="36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赵纪伟</w:t>
            </w:r>
          </w:p>
          <w:p w14:paraId="1074694D">
            <w:pPr>
              <w:spacing w:line="36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邢琳琳</w:t>
            </w:r>
          </w:p>
        </w:tc>
        <w:tc>
          <w:tcPr>
            <w:tcW w:w="2136" w:type="dxa"/>
            <w:noWrap w:val="0"/>
            <w:vAlign w:val="center"/>
          </w:tcPr>
          <w:p w14:paraId="08822E01">
            <w:pPr>
              <w:spacing w:line="36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0374-</w:t>
            </w:r>
            <w:r>
              <w:rPr>
                <w:rFonts w:hint="eastAsia" w:asciiTheme="minorEastAsia" w:hAnsiTheme="minorEastAsia" w:eastAsiaTheme="minorEastAsia" w:cstheme="minorEastAsia"/>
                <w:sz w:val="21"/>
                <w:szCs w:val="21"/>
                <w:lang w:val="en-US" w:eastAsia="zh-CN"/>
              </w:rPr>
              <w:t>8112523</w:t>
            </w:r>
          </w:p>
        </w:tc>
        <w:tc>
          <w:tcPr>
            <w:tcW w:w="3031" w:type="dxa"/>
            <w:noWrap w:val="0"/>
            <w:vAlign w:val="center"/>
          </w:tcPr>
          <w:p w14:paraId="127937B4">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政府采购政策制度、支持中小企业发展、政府采购信息系统、</w:t>
            </w:r>
            <w:r>
              <w:rPr>
                <w:rFonts w:hint="eastAsia" w:asciiTheme="minorEastAsia" w:hAnsiTheme="minorEastAsia" w:eastAsiaTheme="minorEastAsia" w:cstheme="minorEastAsia"/>
                <w:sz w:val="21"/>
                <w:szCs w:val="21"/>
                <w:lang w:eastAsia="zh-CN"/>
              </w:rPr>
              <w:t>合同备案管理、</w:t>
            </w:r>
            <w:r>
              <w:rPr>
                <w:rFonts w:hint="eastAsia" w:asciiTheme="minorEastAsia" w:hAnsiTheme="minorEastAsia" w:eastAsiaTheme="minorEastAsia" w:cstheme="minorEastAsia"/>
                <w:sz w:val="21"/>
                <w:szCs w:val="21"/>
              </w:rPr>
              <w:t>供应商监管、网上商城管理、832平台</w:t>
            </w:r>
            <w:r>
              <w:rPr>
                <w:rFonts w:hint="eastAsia" w:asciiTheme="minorEastAsia" w:hAnsiTheme="minorEastAsia" w:eastAsiaTheme="minorEastAsia" w:cstheme="minorEastAsia"/>
                <w:sz w:val="21"/>
                <w:szCs w:val="21"/>
                <w:lang w:eastAsia="zh-CN"/>
              </w:rPr>
              <w:t>管理、质</w:t>
            </w:r>
            <w:r>
              <w:rPr>
                <w:rFonts w:hint="eastAsia" w:asciiTheme="minorEastAsia" w:hAnsiTheme="minorEastAsia" w:eastAsiaTheme="minorEastAsia" w:cstheme="minorEastAsia"/>
                <w:sz w:val="21"/>
                <w:szCs w:val="21"/>
              </w:rPr>
              <w:t>疑投诉处理</w:t>
            </w:r>
          </w:p>
        </w:tc>
      </w:tr>
      <w:tr w14:paraId="63DAC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trPr>
        <w:tc>
          <w:tcPr>
            <w:tcW w:w="1811" w:type="dxa"/>
            <w:noWrap w:val="0"/>
            <w:vAlign w:val="center"/>
          </w:tcPr>
          <w:p w14:paraId="35B1348A">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禹州</w:t>
            </w:r>
            <w:r>
              <w:rPr>
                <w:rFonts w:hint="eastAsia" w:asciiTheme="minorEastAsia" w:hAnsiTheme="minorEastAsia" w:eastAsiaTheme="minorEastAsia" w:cstheme="minorEastAsia"/>
                <w:sz w:val="21"/>
                <w:szCs w:val="21"/>
              </w:rPr>
              <w:t>市政府采购中心</w:t>
            </w:r>
          </w:p>
        </w:tc>
        <w:tc>
          <w:tcPr>
            <w:tcW w:w="1544" w:type="dxa"/>
            <w:noWrap w:val="0"/>
            <w:vAlign w:val="center"/>
          </w:tcPr>
          <w:p w14:paraId="236D537E">
            <w:pPr>
              <w:spacing w:line="360" w:lineRule="auto"/>
              <w:jc w:val="center"/>
              <w:rPr>
                <w:rFonts w:hint="eastAsia" w:asciiTheme="minorEastAsia" w:hAnsiTheme="minorEastAsia" w:cstheme="minorEastAsia"/>
                <w:sz w:val="21"/>
                <w:szCs w:val="21"/>
                <w:lang w:val="en-US" w:eastAsia="zh-CN"/>
              </w:rPr>
            </w:pPr>
            <w:r>
              <w:rPr>
                <w:rFonts w:hint="eastAsia" w:asciiTheme="minorEastAsia" w:hAnsiTheme="minorEastAsia" w:cstheme="minorEastAsia"/>
                <w:sz w:val="21"/>
                <w:szCs w:val="21"/>
                <w:lang w:val="en-US" w:eastAsia="zh-CN"/>
              </w:rPr>
              <w:t>李朝峰</w:t>
            </w:r>
          </w:p>
          <w:p w14:paraId="309B755F">
            <w:pPr>
              <w:spacing w:line="360" w:lineRule="auto"/>
              <w:jc w:val="center"/>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lang w:eastAsia="zh-CN"/>
              </w:rPr>
              <w:t>方诗涵</w:t>
            </w:r>
          </w:p>
          <w:p w14:paraId="07405F3B">
            <w:pPr>
              <w:spacing w:line="360" w:lineRule="auto"/>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cstheme="minorEastAsia"/>
                <w:sz w:val="21"/>
                <w:szCs w:val="21"/>
                <w:lang w:val="en-US" w:eastAsia="zh-CN"/>
              </w:rPr>
              <w:t>朱俊铭</w:t>
            </w:r>
          </w:p>
        </w:tc>
        <w:tc>
          <w:tcPr>
            <w:tcW w:w="2136" w:type="dxa"/>
            <w:noWrap w:val="0"/>
            <w:vAlign w:val="center"/>
          </w:tcPr>
          <w:p w14:paraId="3F074F6F">
            <w:pPr>
              <w:spacing w:line="360" w:lineRule="auto"/>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0374-2077111</w:t>
            </w:r>
          </w:p>
        </w:tc>
        <w:tc>
          <w:tcPr>
            <w:tcW w:w="3031" w:type="dxa"/>
            <w:noWrap w:val="0"/>
            <w:vAlign w:val="center"/>
          </w:tcPr>
          <w:p w14:paraId="78A60369">
            <w:pPr>
              <w:spacing w:line="36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采购</w:t>
            </w:r>
            <w:r>
              <w:rPr>
                <w:rFonts w:hint="eastAsia" w:asciiTheme="minorEastAsia" w:hAnsiTheme="minorEastAsia" w:eastAsiaTheme="minorEastAsia" w:cstheme="minorEastAsia"/>
                <w:sz w:val="21"/>
                <w:szCs w:val="21"/>
              </w:rPr>
              <w:t>文件编制、核验，信息（公告、文件）发布，确认场地时间，集采项目答疑</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交易数据统计。</w:t>
            </w:r>
          </w:p>
        </w:tc>
      </w:tr>
    </w:tbl>
    <w:p w14:paraId="06343A56">
      <w:pPr>
        <w:numPr>
          <w:ilvl w:val="0"/>
          <w:numId w:val="0"/>
        </w:numPr>
        <w:wordWrap w:val="0"/>
        <w:topLinePunct/>
        <w:autoSpaceDE w:val="0"/>
        <w:autoSpaceDN w:val="0"/>
        <w:adjustRightInd w:val="0"/>
        <w:spacing w:line="360" w:lineRule="auto"/>
        <w:ind w:leftChars="-472"/>
        <w:contextualSpacing/>
        <w:rPr>
          <w:rFonts w:hint="default" w:cs="宋体" w:asciiTheme="minorEastAsia" w:hAnsiTheme="minorEastAsia" w:eastAsiaTheme="minorEastAsia"/>
          <w:kern w:val="0"/>
          <w:szCs w:val="21"/>
          <w:lang w:val="en-US" w:eastAsia="zh-CN"/>
        </w:rPr>
      </w:pPr>
      <w:r>
        <w:rPr>
          <w:rFonts w:hint="eastAsia" w:cs="宋体" w:asciiTheme="minorEastAsia" w:hAnsiTheme="minorEastAsia"/>
          <w:kern w:val="0"/>
          <w:szCs w:val="21"/>
          <w:lang w:val="en-US" w:eastAsia="zh-CN"/>
        </w:rPr>
        <w:t xml:space="preserve">     </w:t>
      </w:r>
    </w:p>
    <w:p w14:paraId="64E210A9">
      <w:pPr>
        <w:numPr>
          <w:ilvl w:val="0"/>
          <w:numId w:val="0"/>
        </w:numPr>
        <w:wordWrap w:val="0"/>
        <w:topLinePunct/>
        <w:autoSpaceDE w:val="0"/>
        <w:autoSpaceDN w:val="0"/>
        <w:adjustRightInd w:val="0"/>
        <w:spacing w:line="360" w:lineRule="auto"/>
        <w:ind w:left="210" w:leftChars="0" w:firstLine="210" w:firstLineChars="100"/>
        <w:contextualSpacing/>
        <w:rPr>
          <w:rFonts w:cs="宋体" w:asciiTheme="minorEastAsia" w:hAnsiTheme="minorEastAsia"/>
          <w:kern w:val="0"/>
          <w:szCs w:val="21"/>
        </w:rPr>
      </w:pPr>
      <w:r>
        <w:rPr>
          <w:rFonts w:hint="eastAsia" w:cs="宋体" w:asciiTheme="minorEastAsia" w:hAnsiTheme="minorEastAsia"/>
          <w:kern w:val="0"/>
          <w:szCs w:val="21"/>
          <w:lang w:val="en-US" w:eastAsia="zh-CN"/>
        </w:rPr>
        <w:t xml:space="preserve">43.4  </w:t>
      </w:r>
      <w:r>
        <w:rPr>
          <w:rFonts w:hint="eastAsia" w:cs="宋体" w:asciiTheme="minorEastAsia" w:hAnsiTheme="minorEastAsia"/>
          <w:kern w:val="0"/>
          <w:szCs w:val="21"/>
        </w:rPr>
        <w:t xml:space="preserve">咨询途径： </w:t>
      </w:r>
    </w:p>
    <w:p w14:paraId="0F89F0DE">
      <w:pPr>
        <w:autoSpaceDE w:val="0"/>
        <w:autoSpaceDN w:val="0"/>
        <w:spacing w:line="360" w:lineRule="auto"/>
        <w:ind w:left="964" w:firstLine="27" w:firstLineChars="13"/>
        <w:contextualSpacing/>
        <w:jc w:val="left"/>
        <w:rPr>
          <w:rFonts w:cs="宋体" w:asciiTheme="minorEastAsia" w:hAnsiTheme="minorEastAsia"/>
          <w:kern w:val="0"/>
          <w:szCs w:val="21"/>
        </w:rPr>
      </w:pPr>
      <w:r>
        <w:rPr>
          <w:rFonts w:hint="eastAsia" w:cs="宋体" w:asciiTheme="minorEastAsia" w:hAnsiTheme="minorEastAsia"/>
          <w:kern w:val="0"/>
          <w:szCs w:val="21"/>
        </w:rPr>
        <w:t>（1）电话咨询：采购人、供应商对照助手团队人员，通过电话方式直接咨询。</w:t>
      </w:r>
    </w:p>
    <w:p w14:paraId="63909E71">
      <w:pPr>
        <w:autoSpaceDE w:val="0"/>
        <w:autoSpaceDN w:val="0"/>
        <w:spacing w:line="360" w:lineRule="auto"/>
        <w:ind w:left="993"/>
        <w:contextualSpacing/>
        <w:jc w:val="left"/>
        <w:outlineLvl w:val="3"/>
        <w:rPr>
          <w:rFonts w:cs="宋体" w:asciiTheme="minorEastAsia" w:hAnsiTheme="minorEastAsia"/>
          <w:kern w:val="0"/>
          <w:szCs w:val="21"/>
        </w:rPr>
      </w:pPr>
      <w:r>
        <w:rPr>
          <w:rFonts w:hint="eastAsia" w:cs="宋体" w:asciiTheme="minorEastAsia" w:hAnsiTheme="minorEastAsia"/>
          <w:kern w:val="0"/>
          <w:szCs w:val="21"/>
        </w:rPr>
        <w:t>（2）邮箱咨询：</w:t>
      </w:r>
    </w:p>
    <w:p w14:paraId="2CC5C9D4">
      <w:pPr>
        <w:wordWrap w:val="0"/>
        <w:autoSpaceDE w:val="0"/>
        <w:autoSpaceDN w:val="0"/>
        <w:spacing w:line="360" w:lineRule="auto"/>
        <w:ind w:left="1418"/>
        <w:contextualSpacing/>
        <w:jc w:val="left"/>
        <w:rPr>
          <w:rFonts w:cs="宋体" w:asciiTheme="minorEastAsia" w:hAnsiTheme="minorEastAsia"/>
          <w:kern w:val="0"/>
          <w:szCs w:val="21"/>
        </w:rPr>
      </w:pPr>
      <w:r>
        <w:rPr>
          <w:rFonts w:hint="eastAsia" w:cs="宋体" w:asciiTheme="minorEastAsia" w:hAnsiTheme="minorEastAsia"/>
          <w:kern w:val="0"/>
          <w:szCs w:val="21"/>
        </w:rPr>
        <w:t>①发送电子邮件至</w:t>
      </w:r>
      <w:r>
        <w:rPr>
          <w:rFonts w:hint="eastAsia" w:cs="宋体" w:asciiTheme="minorEastAsia" w:hAnsiTheme="minorEastAsia"/>
          <w:kern w:val="0"/>
          <w:szCs w:val="21"/>
          <w:lang w:val="en-US" w:eastAsia="zh-CN"/>
        </w:rPr>
        <w:t>禹州</w:t>
      </w:r>
      <w:r>
        <w:rPr>
          <w:rFonts w:hint="eastAsia" w:cs="宋体" w:asciiTheme="minorEastAsia" w:hAnsiTheme="minorEastAsia"/>
          <w:kern w:val="0"/>
          <w:szCs w:val="21"/>
        </w:rPr>
        <w:t>市政府采购监督管理办公室咨询邮箱，邮箱地址：</w:t>
      </w:r>
      <w:r>
        <w:fldChar w:fldCharType="begin"/>
      </w:r>
      <w:r>
        <w:instrText xml:space="preserve"> HYPERLINK "mailto:xcscgb@126.com" </w:instrText>
      </w:r>
      <w:r>
        <w:fldChar w:fldCharType="separate"/>
      </w:r>
      <w:r>
        <w:rPr>
          <w:rFonts w:hint="eastAsia" w:cs="宋体" w:asciiTheme="minorEastAsia" w:hAnsiTheme="minorEastAsia"/>
          <w:color w:val="0000FF"/>
          <w:kern w:val="0"/>
          <w:szCs w:val="21"/>
          <w:u w:val="single"/>
          <w:lang w:val="en-US" w:eastAsia="zh-CN"/>
        </w:rPr>
        <w:t>yzscgb2523</w:t>
      </w:r>
      <w:r>
        <w:rPr>
          <w:rFonts w:hint="eastAsia" w:cs="宋体" w:asciiTheme="minorEastAsia" w:hAnsiTheme="minorEastAsia"/>
          <w:color w:val="0000FF"/>
          <w:kern w:val="0"/>
          <w:szCs w:val="21"/>
          <w:u w:val="single"/>
        </w:rPr>
        <w:t>@</w:t>
      </w:r>
      <w:r>
        <w:rPr>
          <w:rFonts w:hint="eastAsia" w:cs="宋体" w:asciiTheme="minorEastAsia" w:hAnsiTheme="minorEastAsia"/>
          <w:color w:val="0000FF"/>
          <w:kern w:val="0"/>
          <w:szCs w:val="21"/>
          <w:u w:val="single"/>
          <w:lang w:val="en-US" w:eastAsia="zh-CN"/>
        </w:rPr>
        <w:t>163</w:t>
      </w:r>
      <w:r>
        <w:rPr>
          <w:rFonts w:hint="eastAsia" w:cs="宋体" w:asciiTheme="minorEastAsia" w:hAnsiTheme="minorEastAsia"/>
          <w:color w:val="0000FF"/>
          <w:kern w:val="0"/>
          <w:szCs w:val="21"/>
          <w:u w:val="single"/>
        </w:rPr>
        <w:t>.com</w:t>
      </w:r>
      <w:r>
        <w:rPr>
          <w:rFonts w:hint="eastAsia" w:cs="宋体" w:asciiTheme="minorEastAsia" w:hAnsiTheme="minorEastAsia"/>
          <w:color w:val="0000FF"/>
          <w:kern w:val="0"/>
          <w:szCs w:val="21"/>
          <w:u w:val="single"/>
        </w:rPr>
        <w:fldChar w:fldCharType="end"/>
      </w:r>
      <w:r>
        <w:rPr>
          <w:rFonts w:hint="eastAsia" w:cs="宋体" w:asciiTheme="minorEastAsia" w:hAnsiTheme="minorEastAsia"/>
          <w:kern w:val="0"/>
          <w:szCs w:val="21"/>
        </w:rPr>
        <w:t>；</w:t>
      </w:r>
    </w:p>
    <w:p w14:paraId="0424B501">
      <w:pPr>
        <w:autoSpaceDE w:val="0"/>
        <w:autoSpaceDN w:val="0"/>
        <w:spacing w:line="360" w:lineRule="auto"/>
        <w:ind w:left="964" w:firstLine="453" w:firstLineChars="216"/>
        <w:contextualSpacing/>
        <w:jc w:val="left"/>
        <w:rPr>
          <w:rFonts w:hint="eastAsia" w:cs="宋体" w:asciiTheme="minorEastAsia" w:hAnsiTheme="minorEastAsia" w:eastAsiaTheme="minorEastAsia"/>
          <w:kern w:val="0"/>
          <w:szCs w:val="21"/>
          <w:lang w:val="en-US" w:eastAsia="zh-CN"/>
        </w:rPr>
      </w:pPr>
      <w:r>
        <w:rPr>
          <w:rFonts w:hint="eastAsia" w:cs="宋体" w:asciiTheme="minorEastAsia" w:hAnsiTheme="minorEastAsia"/>
          <w:kern w:val="0"/>
          <w:szCs w:val="21"/>
        </w:rPr>
        <w:t>②发送电子邮件至</w:t>
      </w:r>
      <w:r>
        <w:rPr>
          <w:rFonts w:hint="eastAsia" w:cs="宋体" w:asciiTheme="minorEastAsia" w:hAnsiTheme="minorEastAsia"/>
          <w:kern w:val="0"/>
          <w:szCs w:val="21"/>
          <w:lang w:val="en-US" w:eastAsia="zh-CN"/>
        </w:rPr>
        <w:t>禹州</w:t>
      </w:r>
      <w:r>
        <w:rPr>
          <w:rFonts w:hint="eastAsia" w:cs="宋体" w:asciiTheme="minorEastAsia" w:hAnsiTheme="minorEastAsia"/>
          <w:kern w:val="0"/>
          <w:szCs w:val="21"/>
        </w:rPr>
        <w:t>市政府采购中心咨询邮箱，邮箱地址：</w:t>
      </w:r>
      <w:r>
        <w:fldChar w:fldCharType="begin"/>
      </w:r>
      <w:r>
        <w:instrText xml:space="preserve"> HYPERLINK "mailto:xcszfcgzx@126.com" </w:instrText>
      </w:r>
      <w:r>
        <w:fldChar w:fldCharType="separate"/>
      </w:r>
      <w:r>
        <w:rPr>
          <w:rFonts w:hint="eastAsia"/>
          <w:lang w:val="en-US" w:eastAsia="zh-CN"/>
        </w:rPr>
        <w:t>ztbjyglzx</w:t>
      </w:r>
      <w:r>
        <w:rPr>
          <w:rFonts w:hint="eastAsia" w:cs="宋体" w:asciiTheme="minorEastAsia" w:hAnsiTheme="minorEastAsia"/>
          <w:color w:val="0000FF"/>
          <w:kern w:val="0"/>
          <w:szCs w:val="21"/>
          <w:u w:val="single"/>
        </w:rPr>
        <w:t>@1</w:t>
      </w:r>
      <w:r>
        <w:rPr>
          <w:rFonts w:hint="eastAsia" w:cs="宋体" w:asciiTheme="minorEastAsia" w:hAnsiTheme="minorEastAsia"/>
          <w:color w:val="0000FF"/>
          <w:kern w:val="0"/>
          <w:szCs w:val="21"/>
          <w:u w:val="single"/>
          <w:lang w:val="en-US" w:eastAsia="zh-CN"/>
        </w:rPr>
        <w:t>63</w:t>
      </w:r>
      <w:r>
        <w:rPr>
          <w:rFonts w:hint="eastAsia" w:cs="宋体" w:asciiTheme="minorEastAsia" w:hAnsiTheme="minorEastAsia"/>
          <w:color w:val="0000FF"/>
          <w:kern w:val="0"/>
          <w:szCs w:val="21"/>
          <w:u w:val="single"/>
        </w:rPr>
        <w:t>.com</w:t>
      </w:r>
      <w:r>
        <w:rPr>
          <w:rFonts w:hint="eastAsia" w:cs="宋体" w:asciiTheme="minorEastAsia" w:hAnsiTheme="minorEastAsia"/>
          <w:color w:val="0000FF"/>
          <w:kern w:val="0"/>
          <w:szCs w:val="21"/>
          <w:u w:val="single"/>
        </w:rPr>
        <w:fldChar w:fldCharType="end"/>
      </w:r>
      <w:r>
        <w:rPr>
          <w:rFonts w:hint="eastAsia" w:cs="宋体" w:asciiTheme="minorEastAsia" w:hAnsiTheme="minorEastAsia"/>
          <w:color w:val="0000FF"/>
          <w:kern w:val="0"/>
          <w:szCs w:val="21"/>
          <w:u w:val="single"/>
          <w:lang w:val="en-US" w:eastAsia="zh-CN"/>
        </w:rPr>
        <w:t>.</w:t>
      </w:r>
    </w:p>
    <w:p w14:paraId="4A67DB9D">
      <w:pPr>
        <w:autoSpaceDE w:val="0"/>
        <w:autoSpaceDN w:val="0"/>
        <w:spacing w:line="360" w:lineRule="auto"/>
        <w:ind w:left="964"/>
        <w:contextualSpacing/>
        <w:jc w:val="left"/>
        <w:rPr>
          <w:rFonts w:cs="宋体" w:asciiTheme="majorEastAsia" w:hAnsiTheme="majorEastAsia" w:eastAsiaTheme="majorEastAsia"/>
          <w:b/>
          <w:kern w:val="0"/>
          <w:sz w:val="32"/>
          <w:szCs w:val="32"/>
        </w:rPr>
      </w:pPr>
    </w:p>
    <w:p w14:paraId="638DCA5A">
      <w:pPr>
        <w:autoSpaceDE w:val="0"/>
        <w:autoSpaceDN w:val="0"/>
        <w:spacing w:line="360" w:lineRule="auto"/>
        <w:contextualSpacing/>
        <w:jc w:val="left"/>
        <w:rPr>
          <w:rFonts w:cs="宋体" w:asciiTheme="majorEastAsia" w:hAnsiTheme="majorEastAsia" w:eastAsiaTheme="majorEastAsia"/>
          <w:b/>
          <w:kern w:val="0"/>
          <w:sz w:val="32"/>
          <w:szCs w:val="32"/>
        </w:rPr>
      </w:pPr>
    </w:p>
    <w:p w14:paraId="3CF966BA">
      <w:pPr>
        <w:autoSpaceDE w:val="0"/>
        <w:autoSpaceDN w:val="0"/>
        <w:spacing w:line="360" w:lineRule="auto"/>
        <w:contextualSpacing/>
        <w:jc w:val="left"/>
        <w:rPr>
          <w:rFonts w:hint="eastAsia" w:cs="宋体" w:asciiTheme="majorEastAsia" w:hAnsiTheme="majorEastAsia" w:eastAsiaTheme="majorEastAsia"/>
          <w:b/>
          <w:kern w:val="0"/>
          <w:sz w:val="32"/>
          <w:szCs w:val="32"/>
        </w:rPr>
      </w:pPr>
    </w:p>
    <w:p w14:paraId="4A6C9DE7">
      <w:pPr>
        <w:widowControl/>
        <w:jc w:val="left"/>
        <w:rPr>
          <w:rFonts w:cs="宋体" w:asciiTheme="majorEastAsia" w:hAnsiTheme="majorEastAsia" w:eastAsiaTheme="majorEastAsia"/>
          <w:b/>
          <w:kern w:val="0"/>
          <w:sz w:val="36"/>
          <w:szCs w:val="36"/>
        </w:rPr>
      </w:pPr>
      <w:r>
        <w:rPr>
          <w:rFonts w:cs="宋体" w:asciiTheme="majorEastAsia" w:hAnsiTheme="majorEastAsia" w:eastAsiaTheme="majorEastAsia"/>
          <w:b/>
          <w:kern w:val="0"/>
          <w:sz w:val="32"/>
          <w:szCs w:val="32"/>
        </w:rPr>
        <w:br w:type="page"/>
      </w:r>
    </w:p>
    <w:p w14:paraId="1E876519">
      <w:pPr>
        <w:autoSpaceDE w:val="0"/>
        <w:autoSpaceDN w:val="0"/>
        <w:spacing w:line="360" w:lineRule="auto"/>
        <w:ind w:left="964"/>
        <w:contextualSpacing/>
        <w:jc w:val="center"/>
        <w:outlineLvl w:val="0"/>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第五章 政府采购政策功能</w:t>
      </w:r>
    </w:p>
    <w:p w14:paraId="67742B8B">
      <w:pPr>
        <w:jc w:val="center"/>
        <w:rPr>
          <w:rFonts w:cs="宋体" w:asciiTheme="majorEastAsia" w:hAnsiTheme="majorEastAsia" w:eastAsiaTheme="majorEastAsia"/>
          <w:b/>
          <w:kern w:val="0"/>
          <w:sz w:val="36"/>
          <w:szCs w:val="36"/>
        </w:rPr>
      </w:pPr>
    </w:p>
    <w:p w14:paraId="4476E400">
      <w:pPr>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根据《中华人民共和国政府采购法》《中华人民共和国政府采购法实施条例》《政府采购货物和服务招标投标管理办法》等规定，本项目落实节约能源、保护环境、促进中小企业发展、支持监狱企业发展、促进残疾人就业等政府采购政策。</w:t>
      </w:r>
    </w:p>
    <w:p w14:paraId="1759039A">
      <w:pPr>
        <w:pStyle w:val="14"/>
        <w:spacing w:line="360" w:lineRule="auto"/>
        <w:ind w:firstLine="422" w:firstLineChars="200"/>
        <w:contextualSpacing/>
        <w:outlineLvl w:val="1"/>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一、节约能源、保护环境</w:t>
      </w:r>
    </w:p>
    <w:p w14:paraId="07BF1728">
      <w:pPr>
        <w:pStyle w:val="14"/>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按照《财政部、发展改革委、生态环境部、市场监管总局关于调整优化节能产品、环境标志产品政府采购执行机制的通知》（财库〔2019〕9号）和</w:t>
      </w:r>
      <w:r>
        <w:rPr>
          <w:rFonts w:hint="eastAsia" w:cs="仿宋_GB2312" w:asciiTheme="minorEastAsia" w:hAnsiTheme="minorEastAsia" w:eastAsiaTheme="minorEastAsia"/>
          <w:sz w:val="21"/>
          <w:szCs w:val="21"/>
        </w:rPr>
        <w:t>财政部、生态环境部</w:t>
      </w:r>
      <w:r>
        <w:rPr>
          <w:rFonts w:hint="eastAsia" w:cs="仿宋_GB2312" w:asciiTheme="minorEastAsia" w:hAnsiTheme="minorEastAsia" w:eastAsiaTheme="minorEastAsia"/>
          <w:sz w:val="21"/>
          <w:szCs w:val="21"/>
          <w:lang w:val="zh-CN"/>
        </w:rPr>
        <w:t>《关于印发环境标志产品政府采购品目清单的通知》</w:t>
      </w:r>
      <w:r>
        <w:rPr>
          <w:rFonts w:hint="eastAsia" w:cs="仿宋_GB2312" w:asciiTheme="minorEastAsia" w:hAnsiTheme="minorEastAsia" w:eastAsiaTheme="minorEastAsia"/>
          <w:sz w:val="21"/>
          <w:szCs w:val="21"/>
        </w:rPr>
        <w:t>（财库[2019]18号）以及</w:t>
      </w:r>
      <w:r>
        <w:rPr>
          <w:rFonts w:hint="eastAsia" w:cs="仿宋_GB2312" w:asciiTheme="minorEastAsia" w:hAnsiTheme="minorEastAsia" w:eastAsiaTheme="minorEastAsia"/>
          <w:sz w:val="21"/>
          <w:szCs w:val="21"/>
          <w:lang w:val="zh-CN"/>
        </w:rPr>
        <w:t>财政部、发展改革委</w:t>
      </w:r>
      <w:r>
        <w:rPr>
          <w:rFonts w:hint="eastAsia" w:cs="仿宋_GB2312" w:asciiTheme="minorEastAsia" w:hAnsiTheme="minorEastAsia" w:eastAsiaTheme="minorEastAsia"/>
          <w:sz w:val="21"/>
          <w:szCs w:val="21"/>
        </w:rPr>
        <w:t>《关于印发节能产品政府采购品目清单的通知》（财库[2019]19号）</w:t>
      </w:r>
      <w:r>
        <w:rPr>
          <w:rFonts w:hint="eastAsia" w:cs="仿宋_GB2312" w:asciiTheme="minorEastAsia" w:hAnsiTheme="minorEastAsia" w:eastAsiaTheme="minorEastAsia"/>
          <w:sz w:val="21"/>
          <w:szCs w:val="21"/>
          <w:lang w:val="zh-CN"/>
        </w:rPr>
        <w:t>，</w:t>
      </w:r>
      <w:r>
        <w:rPr>
          <w:rFonts w:hint="eastAsia" w:cs="仿宋_GB2312" w:asciiTheme="minorEastAsia" w:hAnsiTheme="minorEastAsia" w:eastAsiaTheme="minorEastAsia"/>
          <w:sz w:val="21"/>
          <w:szCs w:val="21"/>
        </w:rPr>
        <w:t>采购政府强</w:t>
      </w:r>
      <w:r>
        <w:rPr>
          <w:rFonts w:hint="eastAsia" w:cs="仿宋_GB2312" w:asciiTheme="minorEastAsia" w:hAnsiTheme="minorEastAsia" w:eastAsiaTheme="minorEastAsia"/>
          <w:sz w:val="21"/>
          <w:szCs w:val="21"/>
          <w:lang w:val="zh-CN"/>
        </w:rPr>
        <w:t>制采购产品的，该产品必须具有国家确定的认证机构出具的、处于有效期之内的节能产品认证证书；采购政府优先采购产品的，该产品具有国家确定的认证机构出具的、处于有效期之内的节能产品、环境标志产品认证证书，应当优先采购。</w:t>
      </w:r>
    </w:p>
    <w:p w14:paraId="74DDBD5B">
      <w:pPr>
        <w:pStyle w:val="14"/>
        <w:spacing w:line="360" w:lineRule="auto"/>
        <w:ind w:firstLine="422" w:firstLineChars="200"/>
        <w:contextualSpacing/>
        <w:outlineLvl w:val="1"/>
        <w:rPr>
          <w:rFonts w:cs="仿宋_GB2312" w:asciiTheme="minorEastAsia" w:hAnsiTheme="minorEastAsia"/>
          <w:b/>
          <w:sz w:val="21"/>
          <w:szCs w:val="21"/>
          <w:lang w:val="zh-CN"/>
        </w:rPr>
      </w:pPr>
      <w:r>
        <w:rPr>
          <w:rFonts w:hint="eastAsia" w:cs="仿宋_GB2312" w:asciiTheme="minorEastAsia" w:hAnsiTheme="minorEastAsia" w:eastAsiaTheme="minorEastAsia"/>
          <w:b/>
          <w:sz w:val="21"/>
          <w:szCs w:val="21"/>
          <w:lang w:val="zh-CN"/>
        </w:rPr>
        <w:t>二、</w:t>
      </w:r>
      <w:r>
        <w:rPr>
          <w:rFonts w:hint="eastAsia" w:cs="仿宋_GB2312" w:asciiTheme="minorEastAsia" w:hAnsiTheme="minorEastAsia"/>
          <w:b/>
          <w:sz w:val="21"/>
          <w:szCs w:val="21"/>
          <w:lang w:val="zh-CN"/>
        </w:rPr>
        <w:t>促进中小企业发展（不含民办非企业）</w:t>
      </w:r>
    </w:p>
    <w:p w14:paraId="0BE01F56">
      <w:pPr>
        <w:topLinePunct/>
        <w:spacing w:line="360" w:lineRule="auto"/>
        <w:ind w:firstLine="420" w:firstLineChars="200"/>
        <w:contextualSpacing/>
        <w:rPr>
          <w:rFonts w:cs="仿宋_GB2312" w:asciiTheme="minorEastAsia" w:hAnsiTheme="minorEastAsia"/>
          <w:szCs w:val="21"/>
          <w:lang w:val="zh-CN"/>
        </w:rPr>
      </w:pPr>
      <w:r>
        <w:rPr>
          <w:rFonts w:hint="eastAsia" w:ascii="ˎ̥" w:hAnsi="ˎ̥"/>
        </w:rPr>
        <w:t>1、本</w:t>
      </w:r>
      <w:r>
        <w:rPr>
          <w:rFonts w:hint="eastAsia" w:cs="仿宋_GB2312" w:asciiTheme="minorEastAsia" w:hAnsiTheme="minorEastAsia"/>
          <w:szCs w:val="21"/>
          <w:lang w:val="zh-CN"/>
        </w:rPr>
        <w:t>项目为非专门面向中小企业采购的项目，根据财政部、工业和信息化部《政府采购促进中小企业发展管理办法》（财库[2020]46号）、《关于进一步加大政府采购支持中小企业力度的通知》（财库〔2022〕19号）规定，对符合该办法规定的小型和微型企业报价给予20%的扣除，用扣除后的价格参与评审。</w:t>
      </w:r>
    </w:p>
    <w:p w14:paraId="1967FD23">
      <w:pPr>
        <w:spacing w:line="360" w:lineRule="auto"/>
        <w:ind w:firstLine="420" w:firstLineChars="200"/>
        <w:contextualSpacing/>
        <w:rPr>
          <w:rFonts w:ascii="ˎ̥" w:hAnsi="ˎ̥"/>
        </w:rPr>
      </w:pPr>
      <w:r>
        <w:rPr>
          <w:rFonts w:hint="eastAsia" w:ascii="ˎ̥" w:hAnsi="ˎ̥"/>
        </w:rPr>
        <w:t>2、</w:t>
      </w:r>
      <w:r>
        <w:rPr>
          <w:rFonts w:ascii="ˎ̥" w:hAnsi="ˎ̥"/>
        </w:rPr>
        <w:t>在货物采购项目中，供应商提供的货物既有中小企业制造货物，也有大型企业制造货物的，不享受</w:t>
      </w:r>
      <w:r>
        <w:rPr>
          <w:rFonts w:hint="eastAsia" w:cs="仿宋_GB2312" w:asciiTheme="minorEastAsia" w:hAnsiTheme="minorEastAsia"/>
          <w:szCs w:val="21"/>
          <w:lang w:val="zh-CN"/>
        </w:rPr>
        <w:t>《政府采购促进中小企业发展管理办法》（财库[2020]46号）</w:t>
      </w:r>
      <w:r>
        <w:rPr>
          <w:rFonts w:ascii="ˎ̥" w:hAnsi="ˎ̥"/>
        </w:rPr>
        <w:t>规定的中小企业扶持政策。</w:t>
      </w:r>
    </w:p>
    <w:p w14:paraId="461FCFB6">
      <w:pPr>
        <w:spacing w:line="360" w:lineRule="auto"/>
        <w:ind w:firstLine="420" w:firstLineChars="200"/>
        <w:jc w:val="left"/>
        <w:rPr>
          <w:rFonts w:hint="eastAsia" w:ascii="宋体" w:hAnsi="宋体" w:eastAsiaTheme="minorEastAsia"/>
          <w:szCs w:val="21"/>
          <w:lang w:eastAsia="zh-CN"/>
        </w:rPr>
      </w:pPr>
      <w:r>
        <w:rPr>
          <w:rFonts w:hint="eastAsia" w:ascii="ˎ̥" w:hAnsi="ˎ̥"/>
        </w:rPr>
        <w:t>3、</w:t>
      </w:r>
      <w:r>
        <w:rPr>
          <w:rFonts w:ascii="ˎ̥" w:hAnsi="ˎ̥"/>
        </w:rPr>
        <w:t>以联合体形式参加政府采购活动，联合体各方均为中小企业的，联合体视同中小企业。其中，联合体各方均为小微企业的，联合体视同小微企业</w:t>
      </w:r>
      <w:r>
        <w:rPr>
          <w:rFonts w:hint="eastAsia" w:ascii="ˎ̥" w:hAnsi="ˎ̥"/>
          <w:lang w:eastAsia="zh-CN"/>
        </w:rPr>
        <w:t>。</w:t>
      </w:r>
    </w:p>
    <w:p w14:paraId="4D691172">
      <w:pPr>
        <w:spacing w:line="360" w:lineRule="auto"/>
        <w:ind w:firstLine="420" w:firstLineChars="200"/>
        <w:contextualSpacing/>
        <w:rPr>
          <w:rFonts w:ascii="ˎ̥" w:hAnsi="ˎ̥"/>
        </w:rPr>
      </w:pPr>
      <w:r>
        <w:rPr>
          <w:rFonts w:hint="eastAsia" w:ascii="ˎ̥" w:hAnsi="ˎ̥"/>
        </w:rPr>
        <w:t>4、</w:t>
      </w:r>
      <w:r>
        <w:rPr>
          <w:rFonts w:ascii="ˎ̥" w:hAnsi="ˎ̥"/>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w:t>
      </w:r>
      <w:r>
        <w:rPr>
          <w:rFonts w:hint="eastAsia" w:ascii="ˎ̥" w:hAnsi="ˎ̥"/>
        </w:rPr>
        <w:t>6</w:t>
      </w:r>
      <w:r>
        <w:rPr>
          <w:rFonts w:ascii="ˎ̥" w:hAnsi="ˎ̥"/>
        </w:rPr>
        <w:t>%的扣除，用扣除后的价格参加评审。组成联合体或者接受分包的小微企业与联合体内其他企业、分包企业之间存在直接控股、管理关系的，不享受价格扣除优惠政策。</w:t>
      </w:r>
    </w:p>
    <w:p w14:paraId="4F4BF875">
      <w:pPr>
        <w:topLinePunct/>
        <w:spacing w:line="360" w:lineRule="auto"/>
        <w:ind w:firstLine="420" w:firstLineChars="200"/>
        <w:contextualSpacing/>
        <w:rPr>
          <w:rFonts w:ascii="ˎ̥" w:hAnsi="ˎ̥"/>
        </w:rPr>
      </w:pPr>
      <w:r>
        <w:rPr>
          <w:rFonts w:hint="eastAsia" w:ascii="ˎ̥" w:hAnsi="ˎ̥"/>
        </w:rPr>
        <w:t>5、按照本次采购标的所属行业的划型标准，符合条件的中小企业应按照招标文件格式要求提供《中小企业声明函》，</w:t>
      </w:r>
      <w:r>
        <w:rPr>
          <w:rFonts w:ascii="ˎ̥" w:hAnsi="ˎ̥"/>
        </w:rPr>
        <w:t>否则不得享受相关中小企业扶持政策。</w:t>
      </w:r>
    </w:p>
    <w:p w14:paraId="74EBD185">
      <w:pPr>
        <w:topLinePunct/>
        <w:spacing w:line="360" w:lineRule="auto"/>
        <w:ind w:firstLine="422" w:firstLineChars="200"/>
        <w:contextualSpacing/>
        <w:outlineLvl w:val="1"/>
        <w:rPr>
          <w:rFonts w:cs="仿宋_GB2312" w:asciiTheme="minorEastAsia" w:hAnsiTheme="minorEastAsia"/>
          <w:b/>
          <w:szCs w:val="21"/>
          <w:lang w:val="zh-CN"/>
        </w:rPr>
      </w:pPr>
      <w:r>
        <w:rPr>
          <w:rFonts w:hint="eastAsia" w:cs="仿宋_GB2312" w:asciiTheme="minorEastAsia" w:hAnsiTheme="minorEastAsia"/>
          <w:b/>
          <w:szCs w:val="21"/>
          <w:lang w:val="zh-CN"/>
        </w:rPr>
        <w:t>三、支持监狱企业发展</w:t>
      </w:r>
    </w:p>
    <w:p w14:paraId="0AD80AFE">
      <w:pPr>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按照财政部、司法部发布的《关于政府采购支持监狱企业发展有关问题的通知》（</w:t>
      </w:r>
      <w:bookmarkStart w:id="3" w:name="OLE_LINK6"/>
      <w:r>
        <w:rPr>
          <w:rFonts w:hint="eastAsia" w:cs="仿宋_GB2312" w:asciiTheme="minorEastAsia" w:hAnsiTheme="minorEastAsia"/>
          <w:szCs w:val="21"/>
          <w:lang w:val="zh-CN"/>
        </w:rPr>
        <w:t>财库[2014]68号</w:t>
      </w:r>
      <w:bookmarkEnd w:id="3"/>
      <w:r>
        <w:rPr>
          <w:rFonts w:hint="eastAsia" w:cs="仿宋_GB2312" w:asciiTheme="minorEastAsia" w:hAnsiTheme="minorEastAsia"/>
          <w:szCs w:val="21"/>
          <w:lang w:val="zh-CN"/>
        </w:rPr>
        <w:t>）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14:paraId="620BD3DA">
      <w:pPr>
        <w:spacing w:line="360" w:lineRule="auto"/>
        <w:ind w:firstLine="422" w:firstLineChars="200"/>
        <w:contextualSpacing/>
        <w:outlineLvl w:val="1"/>
        <w:rPr>
          <w:rFonts w:cs="仿宋_GB2312" w:asciiTheme="minorEastAsia" w:hAnsiTheme="minorEastAsia"/>
          <w:b/>
          <w:szCs w:val="21"/>
          <w:lang w:val="zh-CN"/>
        </w:rPr>
      </w:pPr>
      <w:r>
        <w:rPr>
          <w:rFonts w:hint="eastAsia" w:cs="仿宋_GB2312" w:asciiTheme="minorEastAsia" w:hAnsiTheme="minorEastAsia"/>
          <w:b/>
          <w:szCs w:val="21"/>
          <w:lang w:val="zh-CN"/>
        </w:rPr>
        <w:t>四、促进残疾人就业</w:t>
      </w:r>
    </w:p>
    <w:p w14:paraId="71F8DD53">
      <w:pPr>
        <w:spacing w:line="360" w:lineRule="auto"/>
        <w:ind w:firstLine="420" w:firstLineChars="200"/>
        <w:rPr>
          <w:rFonts w:ascii="宋体" w:hAnsi="宋体"/>
          <w:szCs w:val="21"/>
          <w:lang w:val="en-GB"/>
        </w:rPr>
      </w:pPr>
      <w:r>
        <w:rPr>
          <w:rFonts w:hint="eastAsia" w:cs="仿宋_GB2312" w:asciiTheme="minorEastAsia" w:hAnsiTheme="minorEastAsia"/>
          <w:szCs w:val="21"/>
          <w:lang w:val="zh-CN"/>
        </w:rPr>
        <w:t>1、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除后的价格参与评审。</w:t>
      </w:r>
      <w:r>
        <w:rPr>
          <w:rFonts w:hint="eastAsia" w:asciiTheme="minorEastAsia" w:hAnsiTheme="minorEastAsia"/>
          <w:szCs w:val="21"/>
        </w:rPr>
        <w:t>残疾人福利性单位属于小型、微型企业的，不重复享受政策。</w:t>
      </w:r>
    </w:p>
    <w:p w14:paraId="0F19C128">
      <w:pPr>
        <w:pStyle w:val="14"/>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2、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函内容的材料。</w:t>
      </w:r>
    </w:p>
    <w:p w14:paraId="3DDD7EC5">
      <w:pPr>
        <w:pStyle w:val="14"/>
        <w:spacing w:line="360" w:lineRule="auto"/>
        <w:ind w:firstLine="420" w:firstLineChars="200"/>
        <w:contextualSpacing/>
        <w:rPr>
          <w:rFonts w:cs="仿宋_GB2312" w:asciiTheme="minorEastAsia" w:hAnsiTheme="minorEastAsia" w:eastAsiaTheme="minorEastAsia"/>
          <w:szCs w:val="24"/>
          <w:lang w:val="zh-CN"/>
        </w:rPr>
      </w:pPr>
      <w:r>
        <w:rPr>
          <w:rFonts w:hint="eastAsia" w:cs="仿宋_GB2312" w:asciiTheme="minorEastAsia" w:hAnsiTheme="minorEastAsia" w:eastAsiaTheme="minorEastAsia"/>
          <w:sz w:val="21"/>
          <w:szCs w:val="21"/>
          <w:lang w:val="zh-CN"/>
        </w:rPr>
        <w:t>3、中标人为残疾人福利性单位的，招标人应当随中标结果同时公告其《残疾人福利性单位声明函》，接受社会监督。</w:t>
      </w:r>
    </w:p>
    <w:p w14:paraId="05F24EC7">
      <w:pPr>
        <w:topLinePunct/>
        <w:spacing w:line="360" w:lineRule="auto"/>
        <w:ind w:firstLine="420" w:firstLineChars="200"/>
        <w:contextualSpacing/>
        <w:rPr>
          <w:rFonts w:cs="仿宋_GB2312" w:asciiTheme="minorEastAsia" w:hAnsiTheme="minorEastAsia"/>
          <w:szCs w:val="21"/>
          <w:lang w:val="zh-CN"/>
        </w:rPr>
      </w:pPr>
    </w:p>
    <w:p w14:paraId="7AE9AA2F">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14:paraId="0F1E7B80">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p>
    <w:p w14:paraId="0470C4BD">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7D1DA55D">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57D46E25">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第六章 资格审查与评标</w:t>
      </w:r>
    </w:p>
    <w:p w14:paraId="14ECB54B">
      <w:pPr>
        <w:pStyle w:val="14"/>
        <w:spacing w:line="360" w:lineRule="auto"/>
        <w:contextualSpacing/>
        <w:rPr>
          <w:rFonts w:cs="仿宋_GB2312" w:asciiTheme="minorEastAsia" w:hAnsiTheme="minorEastAsia"/>
          <w:lang w:val="zh-CN"/>
        </w:rPr>
      </w:pPr>
    </w:p>
    <w:p w14:paraId="24CF711E">
      <w:pPr>
        <w:pStyle w:val="14"/>
        <w:spacing w:line="360" w:lineRule="auto"/>
        <w:contextualSpacing/>
        <w:rPr>
          <w:rFonts w:asciiTheme="minorEastAsia" w:hAnsiTheme="minorEastAsia" w:eastAsiaTheme="minorEastAsia"/>
          <w:bCs/>
          <w:sz w:val="21"/>
          <w:szCs w:val="21"/>
        </w:rPr>
      </w:pPr>
      <w:r>
        <w:rPr>
          <w:rFonts w:cs="仿宋_GB2312" w:asciiTheme="minorEastAsia" w:hAnsiTheme="minorEastAsia" w:eastAsiaTheme="minorEastAsia"/>
          <w:b/>
          <w:sz w:val="21"/>
          <w:szCs w:val="21"/>
          <w:lang w:val="zh-CN"/>
        </w:rPr>
        <w:t>一、资格审查</w:t>
      </w:r>
    </w:p>
    <w:p w14:paraId="62F19CEC">
      <w:pPr>
        <w:spacing w:line="360" w:lineRule="auto"/>
        <w:ind w:right="420" w:rightChars="200" w:firstLine="420" w:firstLineChars="200"/>
        <w:contextualSpacing/>
        <w:rPr>
          <w:rFonts w:asciiTheme="minorEastAsia" w:hAnsiTheme="minorEastAsia"/>
          <w:bCs/>
          <w:szCs w:val="21"/>
        </w:rPr>
      </w:pPr>
      <w:r>
        <w:rPr>
          <w:rFonts w:hint="eastAsia" w:asciiTheme="minorEastAsia" w:hAnsiTheme="minorEastAsia"/>
          <w:bCs/>
          <w:szCs w:val="21"/>
        </w:rPr>
        <w:t>（一）</w:t>
      </w:r>
      <w:r>
        <w:rPr>
          <w:rFonts w:asciiTheme="minorEastAsia" w:hAnsiTheme="minorEastAsia"/>
          <w:bCs/>
          <w:szCs w:val="21"/>
        </w:rPr>
        <w:t>开标结束后，</w:t>
      </w:r>
      <w:r>
        <w:rPr>
          <w:rFonts w:hint="eastAsia" w:asciiTheme="minorEastAsia" w:hAnsiTheme="minorEastAsia"/>
          <w:bCs/>
          <w:szCs w:val="21"/>
        </w:rPr>
        <w:t>采购人（采购代理机构）依法对投标人资格进行审查</w:t>
      </w:r>
      <w:r>
        <w:rPr>
          <w:rFonts w:asciiTheme="minorEastAsia" w:hAnsiTheme="minorEastAsia"/>
          <w:bCs/>
          <w:szCs w:val="21"/>
        </w:rPr>
        <w:t>。</w:t>
      </w:r>
      <w:r>
        <w:rPr>
          <w:rFonts w:hint="eastAsia" w:asciiTheme="minorEastAsia" w:hAnsiTheme="minorEastAsia"/>
          <w:bCs/>
          <w:szCs w:val="21"/>
        </w:rPr>
        <w:t>确定符合资格的投标人不少于3家的，将组织评标委员会进行评标。</w:t>
      </w:r>
    </w:p>
    <w:p w14:paraId="4B4A534A">
      <w:pPr>
        <w:spacing w:line="360" w:lineRule="auto"/>
        <w:ind w:right="420" w:rightChars="200"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（二）资格证明材料（本栏所列内容为本项目的资格审查条件，如有一项不符合要求，则不能进入下一步评审）。</w:t>
      </w:r>
    </w:p>
    <w:p w14:paraId="4CFD3FB0">
      <w:pPr>
        <w:spacing w:line="360" w:lineRule="auto"/>
        <w:ind w:right="420" w:rightChars="200"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（三）资格审查中所涉及到的证书及材料，均须在电子投标文件中提供原件扫描件（或图片）。</w:t>
      </w:r>
    </w:p>
    <w:tbl>
      <w:tblPr>
        <w:tblStyle w:val="24"/>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410"/>
        <w:gridCol w:w="5954"/>
      </w:tblGrid>
      <w:tr w14:paraId="3190E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5" w:type="dxa"/>
            <w:vAlign w:val="center"/>
          </w:tcPr>
          <w:p w14:paraId="69382D49">
            <w:pPr>
              <w:spacing w:line="360" w:lineRule="auto"/>
              <w:jc w:val="center"/>
              <w:rPr>
                <w:rFonts w:asciiTheme="minorEastAsia" w:hAnsiTheme="minorEastAsia"/>
                <w:b/>
                <w:szCs w:val="21"/>
              </w:rPr>
            </w:pPr>
            <w:r>
              <w:rPr>
                <w:rFonts w:hint="eastAsia" w:asciiTheme="minorEastAsia" w:hAnsiTheme="minorEastAsia"/>
                <w:b/>
                <w:szCs w:val="21"/>
              </w:rPr>
              <w:t>序号</w:t>
            </w:r>
          </w:p>
        </w:tc>
        <w:tc>
          <w:tcPr>
            <w:tcW w:w="2410" w:type="dxa"/>
            <w:vAlign w:val="center"/>
          </w:tcPr>
          <w:p w14:paraId="432DC55D">
            <w:pPr>
              <w:spacing w:line="360" w:lineRule="auto"/>
              <w:jc w:val="center"/>
              <w:rPr>
                <w:rFonts w:asciiTheme="minorEastAsia" w:hAnsiTheme="minorEastAsia"/>
                <w:b/>
                <w:szCs w:val="21"/>
              </w:rPr>
            </w:pPr>
            <w:r>
              <w:rPr>
                <w:rFonts w:hint="eastAsia" w:asciiTheme="minorEastAsia" w:hAnsiTheme="minorEastAsia"/>
                <w:b/>
                <w:szCs w:val="21"/>
              </w:rPr>
              <w:t>资格审查</w:t>
            </w:r>
            <w:r>
              <w:rPr>
                <w:rFonts w:asciiTheme="minorEastAsia" w:hAnsiTheme="minorEastAsia"/>
                <w:b/>
                <w:szCs w:val="21"/>
              </w:rPr>
              <w:t>因素</w:t>
            </w:r>
          </w:p>
        </w:tc>
        <w:tc>
          <w:tcPr>
            <w:tcW w:w="5954" w:type="dxa"/>
            <w:vAlign w:val="center"/>
          </w:tcPr>
          <w:p w14:paraId="736977A3">
            <w:pPr>
              <w:spacing w:line="360" w:lineRule="auto"/>
              <w:jc w:val="center"/>
              <w:rPr>
                <w:rFonts w:asciiTheme="minorEastAsia" w:hAnsiTheme="minorEastAsia"/>
                <w:b/>
                <w:szCs w:val="21"/>
              </w:rPr>
            </w:pPr>
            <w:r>
              <w:rPr>
                <w:rFonts w:hint="eastAsia" w:asciiTheme="minorEastAsia" w:hAnsiTheme="minorEastAsia"/>
                <w:b/>
                <w:szCs w:val="21"/>
              </w:rPr>
              <w:t>说明与要求</w:t>
            </w:r>
          </w:p>
        </w:tc>
      </w:tr>
      <w:tr w14:paraId="332AD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5" w:type="dxa"/>
            <w:vAlign w:val="center"/>
          </w:tcPr>
          <w:p w14:paraId="75BB54CE">
            <w:pPr>
              <w:spacing w:line="360" w:lineRule="auto"/>
              <w:jc w:val="center"/>
              <w:rPr>
                <w:rFonts w:asciiTheme="minorEastAsia" w:hAnsiTheme="minorEastAsia"/>
                <w:b/>
                <w:szCs w:val="21"/>
              </w:rPr>
            </w:pPr>
            <w:r>
              <w:rPr>
                <w:rFonts w:hint="eastAsia" w:asciiTheme="minorEastAsia" w:hAnsiTheme="minorEastAsia"/>
                <w:b/>
                <w:szCs w:val="21"/>
              </w:rPr>
              <w:t>1</w:t>
            </w:r>
          </w:p>
        </w:tc>
        <w:tc>
          <w:tcPr>
            <w:tcW w:w="2410" w:type="dxa"/>
            <w:vAlign w:val="center"/>
          </w:tcPr>
          <w:p w14:paraId="6A99BCAC">
            <w:pPr>
              <w:spacing w:line="360" w:lineRule="auto"/>
              <w:jc w:val="center"/>
              <w:rPr>
                <w:rFonts w:asciiTheme="minorEastAsia" w:hAnsiTheme="minorEastAsia"/>
                <w:b/>
                <w:szCs w:val="21"/>
              </w:rPr>
            </w:pPr>
            <w:r>
              <w:rPr>
                <w:rFonts w:hint="eastAsia" w:asciiTheme="minorEastAsia" w:hAnsiTheme="minorEastAsia"/>
                <w:b/>
                <w:szCs w:val="21"/>
              </w:rPr>
              <w:t>投标函</w:t>
            </w:r>
          </w:p>
        </w:tc>
        <w:tc>
          <w:tcPr>
            <w:tcW w:w="5954" w:type="dxa"/>
            <w:vAlign w:val="center"/>
          </w:tcPr>
          <w:p w14:paraId="20B38A2D">
            <w:pPr>
              <w:spacing w:line="360" w:lineRule="auto"/>
              <w:rPr>
                <w:rFonts w:asciiTheme="minorEastAsia" w:hAnsiTheme="minorEastAsia"/>
                <w:b/>
                <w:szCs w:val="21"/>
              </w:rPr>
            </w:pPr>
            <w:r>
              <w:rPr>
                <w:rFonts w:hint="eastAsia" w:ascii="宋体" w:hAnsi="宋体" w:cs="微软雅黑"/>
                <w:bCs/>
                <w:szCs w:val="21"/>
              </w:rPr>
              <w:t>参考招标文件第八章3.1格式填写</w:t>
            </w:r>
          </w:p>
        </w:tc>
      </w:tr>
      <w:tr w14:paraId="74014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24EF677">
            <w:pPr>
              <w:spacing w:line="360" w:lineRule="auto"/>
              <w:jc w:val="center"/>
              <w:rPr>
                <w:rFonts w:hint="eastAsia" w:asciiTheme="minorEastAsia" w:hAnsiTheme="minorEastAsia" w:eastAsiaTheme="minorEastAsia"/>
                <w:b/>
                <w:bCs/>
                <w:szCs w:val="21"/>
                <w:lang w:val="en-US" w:eastAsia="zh-CN"/>
              </w:rPr>
            </w:pPr>
            <w:r>
              <w:rPr>
                <w:rFonts w:hint="eastAsia" w:asciiTheme="minorEastAsia" w:hAnsiTheme="minorEastAsia"/>
                <w:b/>
                <w:bCs/>
                <w:szCs w:val="21"/>
                <w:lang w:val="en-US" w:eastAsia="zh-CN"/>
              </w:rPr>
              <w:t>2</w:t>
            </w:r>
          </w:p>
        </w:tc>
        <w:tc>
          <w:tcPr>
            <w:tcW w:w="2410" w:type="dxa"/>
            <w:vAlign w:val="center"/>
          </w:tcPr>
          <w:p w14:paraId="0F157AE8">
            <w:pPr>
              <w:spacing w:line="360" w:lineRule="auto"/>
              <w:jc w:val="center"/>
              <w:rPr>
                <w:rFonts w:asciiTheme="minorEastAsia" w:hAnsiTheme="minorEastAsia"/>
                <w:b/>
                <w:color w:val="FF0000"/>
                <w:szCs w:val="21"/>
              </w:rPr>
            </w:pPr>
            <w:r>
              <w:rPr>
                <w:rFonts w:hint="eastAsia" w:asciiTheme="minorEastAsia" w:hAnsiTheme="minorEastAsia"/>
                <w:b/>
                <w:color w:val="FF0000"/>
                <w:szCs w:val="21"/>
              </w:rPr>
              <w:t>禹州</w:t>
            </w:r>
            <w:r>
              <w:rPr>
                <w:rFonts w:asciiTheme="minorEastAsia" w:hAnsiTheme="minorEastAsia"/>
                <w:b/>
                <w:color w:val="FF0000"/>
                <w:szCs w:val="21"/>
              </w:rPr>
              <w:t>市政府采购</w:t>
            </w:r>
          </w:p>
          <w:p w14:paraId="5ACD3170">
            <w:pPr>
              <w:spacing w:line="360" w:lineRule="auto"/>
              <w:jc w:val="center"/>
              <w:rPr>
                <w:rFonts w:asciiTheme="minorEastAsia" w:hAnsiTheme="minorEastAsia"/>
                <w:b/>
                <w:color w:val="FF0000"/>
                <w:szCs w:val="21"/>
              </w:rPr>
            </w:pPr>
            <w:r>
              <w:rPr>
                <w:rFonts w:asciiTheme="minorEastAsia" w:hAnsiTheme="minorEastAsia"/>
                <w:b/>
                <w:color w:val="FF0000"/>
                <w:szCs w:val="21"/>
              </w:rPr>
              <w:t>供应商信用承诺函</w:t>
            </w:r>
          </w:p>
        </w:tc>
        <w:tc>
          <w:tcPr>
            <w:tcW w:w="5954" w:type="dxa"/>
            <w:vAlign w:val="center"/>
          </w:tcPr>
          <w:p w14:paraId="66315F2D">
            <w:pPr>
              <w:spacing w:line="360" w:lineRule="auto"/>
              <w:jc w:val="left"/>
              <w:rPr>
                <w:rFonts w:asciiTheme="minorEastAsia" w:hAnsiTheme="minorEastAsia"/>
                <w:b/>
                <w:bCs/>
                <w:color w:val="FF0000"/>
                <w:szCs w:val="21"/>
              </w:rPr>
            </w:pPr>
            <w:r>
              <w:rPr>
                <w:rFonts w:hint="eastAsia" w:ascii="宋体" w:hAnsi="宋体" w:cs="微软雅黑"/>
                <w:bCs/>
                <w:color w:val="FF0000"/>
                <w:szCs w:val="21"/>
              </w:rPr>
              <w:t>按照招标文件第八章3.5格式填写</w:t>
            </w:r>
          </w:p>
        </w:tc>
      </w:tr>
      <w:tr w14:paraId="16791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DE73C6D">
            <w:pPr>
              <w:spacing w:line="360" w:lineRule="auto"/>
              <w:jc w:val="center"/>
              <w:rPr>
                <w:rFonts w:hint="eastAsia" w:asciiTheme="minorEastAsia" w:hAnsiTheme="minorEastAsia" w:eastAsiaTheme="minorEastAsia"/>
                <w:b/>
                <w:bCs/>
                <w:szCs w:val="21"/>
                <w:lang w:val="en-US" w:eastAsia="zh-CN"/>
              </w:rPr>
            </w:pPr>
            <w:r>
              <w:rPr>
                <w:rFonts w:hint="eastAsia" w:asciiTheme="minorEastAsia" w:hAnsiTheme="minorEastAsia"/>
                <w:b/>
                <w:bCs/>
                <w:szCs w:val="21"/>
                <w:lang w:val="en-US" w:eastAsia="zh-CN"/>
              </w:rPr>
              <w:t>3</w:t>
            </w:r>
          </w:p>
        </w:tc>
        <w:tc>
          <w:tcPr>
            <w:tcW w:w="2410" w:type="dxa"/>
            <w:vAlign w:val="center"/>
          </w:tcPr>
          <w:p w14:paraId="2C24DD0E">
            <w:pPr>
              <w:spacing w:line="360" w:lineRule="auto"/>
              <w:jc w:val="center"/>
              <w:rPr>
                <w:rFonts w:asciiTheme="minorEastAsia" w:hAnsiTheme="minorEastAsia"/>
                <w:b/>
                <w:bCs/>
                <w:szCs w:val="21"/>
              </w:rPr>
            </w:pPr>
            <w:r>
              <w:rPr>
                <w:rFonts w:hint="eastAsia" w:asciiTheme="minorEastAsia" w:hAnsiTheme="minorEastAsia"/>
                <w:b/>
                <w:bCs/>
                <w:szCs w:val="21"/>
              </w:rPr>
              <w:t>投标</w:t>
            </w:r>
            <w:r>
              <w:rPr>
                <w:rFonts w:hint="eastAsia" w:cs="仿宋_GB2312" w:asciiTheme="minorEastAsia" w:hAnsiTheme="minorEastAsia"/>
                <w:b/>
                <w:szCs w:val="21"/>
                <w:lang w:val="zh-CN"/>
              </w:rPr>
              <w:t>报价</w:t>
            </w:r>
          </w:p>
        </w:tc>
        <w:tc>
          <w:tcPr>
            <w:tcW w:w="5954" w:type="dxa"/>
          </w:tcPr>
          <w:p w14:paraId="31E30F03">
            <w:pPr>
              <w:spacing w:line="360" w:lineRule="auto"/>
              <w:rPr>
                <w:rFonts w:asciiTheme="minorEastAsia" w:hAnsiTheme="minorEastAsia"/>
                <w:b/>
                <w:bCs/>
                <w:szCs w:val="21"/>
              </w:rPr>
            </w:pPr>
            <w:r>
              <w:rPr>
                <w:rFonts w:hint="eastAsia" w:cs="仿宋_GB2312" w:asciiTheme="minorEastAsia" w:hAnsiTheme="minorEastAsia"/>
                <w:szCs w:val="21"/>
                <w:lang w:val="zh-CN"/>
              </w:rPr>
              <w:t>投标报价是否超出招标文件中规定的预算金额，超出预算金额的投标无效。如投标人须知前附表规定最高限价，则</w:t>
            </w:r>
            <w:r>
              <w:rPr>
                <w:rFonts w:hint="eastAsia" w:cs="宋体" w:asciiTheme="minorEastAsia" w:hAnsiTheme="minorEastAsia"/>
                <w:bCs/>
                <w:szCs w:val="21"/>
                <w:lang w:val="zh-CN"/>
              </w:rPr>
              <w:t>超出预算金额和最高限价的投标无效。</w:t>
            </w:r>
          </w:p>
        </w:tc>
      </w:tr>
      <w:tr w14:paraId="5736F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86DD918">
            <w:pPr>
              <w:spacing w:line="360" w:lineRule="auto"/>
              <w:jc w:val="center"/>
              <w:rPr>
                <w:rFonts w:hint="eastAsia" w:asciiTheme="minorEastAsia" w:hAnsiTheme="minorEastAsia" w:eastAsiaTheme="minorEastAsia"/>
                <w:b/>
                <w:bCs/>
                <w:szCs w:val="21"/>
                <w:lang w:val="en-US" w:eastAsia="zh-CN"/>
              </w:rPr>
            </w:pPr>
            <w:r>
              <w:rPr>
                <w:rFonts w:hint="eastAsia" w:asciiTheme="minorEastAsia" w:hAnsiTheme="minorEastAsia"/>
                <w:b/>
                <w:bCs/>
                <w:szCs w:val="21"/>
                <w:lang w:val="en-US" w:eastAsia="zh-CN"/>
              </w:rPr>
              <w:t>4</w:t>
            </w:r>
          </w:p>
        </w:tc>
        <w:tc>
          <w:tcPr>
            <w:tcW w:w="2410" w:type="dxa"/>
            <w:vAlign w:val="center"/>
          </w:tcPr>
          <w:p w14:paraId="7FC48AEE">
            <w:pPr>
              <w:spacing w:line="360" w:lineRule="auto"/>
              <w:jc w:val="center"/>
              <w:rPr>
                <w:rFonts w:asciiTheme="minorEastAsia" w:hAnsiTheme="minorEastAsia"/>
                <w:szCs w:val="21"/>
              </w:rPr>
            </w:pPr>
            <w:r>
              <w:rPr>
                <w:rFonts w:hint="eastAsia" w:asciiTheme="minorEastAsia" w:hAnsiTheme="minorEastAsia"/>
                <w:b/>
                <w:szCs w:val="21"/>
              </w:rPr>
              <w:t>投标承诺函</w:t>
            </w:r>
          </w:p>
        </w:tc>
        <w:tc>
          <w:tcPr>
            <w:tcW w:w="5954" w:type="dxa"/>
            <w:vAlign w:val="center"/>
          </w:tcPr>
          <w:p w14:paraId="539C1AF6">
            <w:pPr>
              <w:spacing w:line="360" w:lineRule="auto"/>
              <w:rPr>
                <w:rFonts w:asciiTheme="minorEastAsia" w:hAnsiTheme="minorEastAsia"/>
                <w:b/>
                <w:szCs w:val="21"/>
              </w:rPr>
            </w:pPr>
            <w:r>
              <w:rPr>
                <w:rFonts w:hint="eastAsia" w:asciiTheme="minorEastAsia" w:hAnsiTheme="minorEastAsia"/>
                <w:szCs w:val="21"/>
              </w:rPr>
              <w:t>投标人以投标承诺函的形式替代投标保证金。</w:t>
            </w:r>
          </w:p>
        </w:tc>
      </w:tr>
      <w:tr w14:paraId="39D75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60695C60">
            <w:pPr>
              <w:spacing w:line="360" w:lineRule="auto"/>
              <w:jc w:val="center"/>
              <w:rPr>
                <w:rFonts w:hint="eastAsia" w:asciiTheme="minorEastAsia" w:hAnsiTheme="minorEastAsia" w:eastAsiaTheme="minorEastAsia"/>
                <w:b/>
                <w:bCs/>
                <w:szCs w:val="21"/>
                <w:lang w:val="en-US" w:eastAsia="zh-CN"/>
              </w:rPr>
            </w:pPr>
            <w:r>
              <w:rPr>
                <w:rFonts w:hint="eastAsia" w:asciiTheme="minorEastAsia" w:hAnsiTheme="minorEastAsia"/>
                <w:b/>
                <w:bCs/>
                <w:szCs w:val="21"/>
                <w:lang w:val="en-US" w:eastAsia="zh-CN"/>
              </w:rPr>
              <w:t>5</w:t>
            </w:r>
          </w:p>
        </w:tc>
        <w:tc>
          <w:tcPr>
            <w:tcW w:w="2410" w:type="dxa"/>
            <w:vAlign w:val="center"/>
          </w:tcPr>
          <w:p w14:paraId="1B8F9858">
            <w:pPr>
              <w:spacing w:line="360" w:lineRule="auto"/>
              <w:jc w:val="center"/>
              <w:rPr>
                <w:rFonts w:asciiTheme="minorEastAsia" w:hAnsiTheme="minorEastAsia"/>
                <w:b/>
                <w:bCs/>
                <w:szCs w:val="21"/>
              </w:rPr>
            </w:pPr>
            <w:r>
              <w:rPr>
                <w:rFonts w:hint="eastAsia" w:asciiTheme="minorEastAsia" w:hAnsiTheme="minorEastAsia"/>
                <w:b/>
                <w:bCs/>
                <w:szCs w:val="21"/>
              </w:rPr>
              <w:t>联合体协议</w:t>
            </w:r>
          </w:p>
        </w:tc>
        <w:tc>
          <w:tcPr>
            <w:tcW w:w="5954" w:type="dxa"/>
          </w:tcPr>
          <w:p w14:paraId="0C1E8BD5">
            <w:pPr>
              <w:spacing w:line="360" w:lineRule="auto"/>
              <w:rPr>
                <w:rFonts w:asciiTheme="minorEastAsia" w:hAnsiTheme="minorEastAsia"/>
                <w:b/>
                <w:bCs/>
                <w:szCs w:val="21"/>
              </w:rPr>
            </w:pPr>
            <w:r>
              <w:rPr>
                <w:rFonts w:hint="eastAsia" w:asciiTheme="minorEastAsia" w:hAnsiTheme="minorEastAsia"/>
                <w:bCs/>
                <w:szCs w:val="21"/>
              </w:rPr>
              <w:t>招标文件接受联合体投标且投标人为联合体的，投标人应提供本协议；否则无须提供。</w:t>
            </w:r>
          </w:p>
        </w:tc>
      </w:tr>
      <w:tr w14:paraId="3C099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15FE0332">
            <w:pPr>
              <w:spacing w:line="360" w:lineRule="auto"/>
              <w:jc w:val="center"/>
              <w:rPr>
                <w:rFonts w:hint="eastAsia" w:asciiTheme="minorEastAsia" w:hAnsiTheme="minorEastAsia" w:eastAsiaTheme="minorEastAsia"/>
                <w:b/>
                <w:bCs/>
                <w:szCs w:val="21"/>
                <w:lang w:val="en-US" w:eastAsia="zh-CN"/>
              </w:rPr>
            </w:pPr>
            <w:r>
              <w:rPr>
                <w:rFonts w:hint="eastAsia" w:asciiTheme="minorEastAsia" w:hAnsiTheme="minorEastAsia"/>
                <w:b/>
                <w:bCs/>
                <w:szCs w:val="21"/>
                <w:lang w:val="en-US" w:eastAsia="zh-CN"/>
              </w:rPr>
              <w:t>6</w:t>
            </w:r>
          </w:p>
        </w:tc>
        <w:tc>
          <w:tcPr>
            <w:tcW w:w="2410" w:type="dxa"/>
            <w:vAlign w:val="center"/>
          </w:tcPr>
          <w:p w14:paraId="6CB8A8D3">
            <w:pPr>
              <w:spacing w:line="360" w:lineRule="auto"/>
              <w:contextualSpacing/>
              <w:jc w:val="center"/>
              <w:rPr>
                <w:rFonts w:asciiTheme="minorEastAsia" w:hAnsiTheme="minorEastAsia"/>
                <w:b/>
                <w:szCs w:val="21"/>
              </w:rPr>
            </w:pPr>
            <w:r>
              <w:rPr>
                <w:rFonts w:hint="eastAsia" w:asciiTheme="minorEastAsia" w:hAnsiTheme="minorEastAsia"/>
                <w:b/>
                <w:szCs w:val="21"/>
              </w:rPr>
              <w:t>投标人身份证明及授权</w:t>
            </w:r>
          </w:p>
        </w:tc>
        <w:tc>
          <w:tcPr>
            <w:tcW w:w="5954" w:type="dxa"/>
          </w:tcPr>
          <w:p w14:paraId="52862945">
            <w:pPr>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（1）法定代表人身份证明或提供法定代表人授权委托书及被授权人身份证明。（法人投标提供）</w:t>
            </w:r>
          </w:p>
          <w:p w14:paraId="42D37268">
            <w:pPr>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（2）单位负责人身份证明或提供单位负责人授权委托书及被授权人身份证明。（非法人投标提供）</w:t>
            </w:r>
          </w:p>
          <w:p w14:paraId="3D45AF50">
            <w:pPr>
              <w:spacing w:line="360" w:lineRule="auto"/>
              <w:rPr>
                <w:rFonts w:ascii="楷体" w:hAnsi="楷体" w:eastAsia="楷体" w:cs="仿宋_GB2312"/>
                <w:b/>
                <w:sz w:val="24"/>
                <w:szCs w:val="24"/>
                <w:lang w:val="zh-CN"/>
              </w:rPr>
            </w:pPr>
            <w:r>
              <w:rPr>
                <w:rFonts w:hint="eastAsia" w:ascii="楷体" w:hAnsi="楷体" w:eastAsia="楷体" w:cs="仿宋_GB2312"/>
                <w:b/>
                <w:sz w:val="24"/>
                <w:szCs w:val="24"/>
                <w:lang w:val="zh-CN"/>
              </w:rPr>
              <w:t>注：</w:t>
            </w:r>
          </w:p>
          <w:p w14:paraId="3F49FE2B">
            <w:pPr>
              <w:spacing w:line="360" w:lineRule="auto"/>
              <w:rPr>
                <w:rFonts w:asciiTheme="minorEastAsia" w:hAnsiTheme="minorEastAsia"/>
                <w:b/>
                <w:sz w:val="24"/>
                <w:szCs w:val="24"/>
              </w:rPr>
            </w:pPr>
            <w:r>
              <w:rPr>
                <w:rFonts w:hint="eastAsia" w:ascii="楷体" w:hAnsi="楷体" w:eastAsia="楷体"/>
                <w:sz w:val="24"/>
                <w:szCs w:val="24"/>
              </w:rPr>
              <w:t>①企业（银行、保险、石油石化、电力、电信等行业除外）、事业单位和社会团体投标人以法人身份参加投标的，法定代表人应与实际提交的“营业执照等证明文件”载明的一致。</w:t>
            </w:r>
          </w:p>
          <w:p w14:paraId="423A45AB">
            <w:pPr>
              <w:spacing w:line="360" w:lineRule="auto"/>
              <w:contextualSpacing/>
              <w:rPr>
                <w:rFonts w:ascii="楷体" w:hAnsi="楷体" w:eastAsia="楷体"/>
                <w:sz w:val="24"/>
                <w:szCs w:val="24"/>
              </w:rPr>
            </w:pPr>
            <w:r>
              <w:rPr>
                <w:rFonts w:hint="eastAsia" w:ascii="楷体" w:hAnsi="楷体" w:eastAsia="楷体"/>
                <w:sz w:val="24"/>
                <w:szCs w:val="24"/>
              </w:rPr>
              <w:t>②银行、保险、石油石化、电力、电信等行业：以法人身份参加投标的，法定代表人应与实际提交的“营业执照等证明文件”载明的一致；以非法人身份参加投标的，“单位负责人”指代表单位行使职权的主要负责人，应与实际提交的“营业执照等证明文件”载明的一致。</w:t>
            </w:r>
          </w:p>
          <w:p w14:paraId="58570E13">
            <w:pPr>
              <w:spacing w:line="360" w:lineRule="auto"/>
              <w:contextualSpacing/>
              <w:rPr>
                <w:rFonts w:asciiTheme="minorEastAsia" w:hAnsiTheme="minorEastAsia"/>
                <w:b/>
                <w:szCs w:val="21"/>
              </w:rPr>
            </w:pPr>
            <w:r>
              <w:rPr>
                <w:rFonts w:hint="eastAsia" w:ascii="楷体" w:hAnsi="楷体" w:eastAsia="楷体"/>
                <w:sz w:val="24"/>
                <w:szCs w:val="24"/>
              </w:rPr>
              <w:t>③</w:t>
            </w:r>
            <w:r>
              <w:rPr>
                <w:rFonts w:hint="eastAsia" w:ascii="楷体" w:hAnsi="楷体" w:eastAsia="楷体"/>
                <w:kern w:val="0"/>
                <w:sz w:val="24"/>
                <w:szCs w:val="24"/>
              </w:rPr>
              <w:t>投标人为自然人的，无需填写法定代表人授权书。</w:t>
            </w:r>
          </w:p>
        </w:tc>
      </w:tr>
      <w:tr w14:paraId="5F5E2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5308B7B8">
            <w:pPr>
              <w:spacing w:line="360" w:lineRule="auto"/>
              <w:jc w:val="center"/>
              <w:rPr>
                <w:rFonts w:hint="eastAsia" w:asciiTheme="minorEastAsia" w:hAnsiTheme="minorEastAsia" w:eastAsiaTheme="minorEastAsia"/>
                <w:b/>
                <w:bCs/>
                <w:szCs w:val="21"/>
                <w:lang w:val="en-US" w:eastAsia="zh-CN"/>
              </w:rPr>
            </w:pPr>
            <w:r>
              <w:rPr>
                <w:rFonts w:hint="eastAsia" w:asciiTheme="minorEastAsia" w:hAnsiTheme="minorEastAsia"/>
                <w:b/>
                <w:bCs/>
                <w:szCs w:val="21"/>
                <w:lang w:val="en-US" w:eastAsia="zh-CN"/>
              </w:rPr>
              <w:t>7</w:t>
            </w:r>
          </w:p>
        </w:tc>
        <w:tc>
          <w:tcPr>
            <w:tcW w:w="2410" w:type="dxa"/>
            <w:vAlign w:val="center"/>
          </w:tcPr>
          <w:p w14:paraId="734DCE6E">
            <w:pPr>
              <w:spacing w:line="360" w:lineRule="auto"/>
              <w:rPr>
                <w:rFonts w:asciiTheme="minorEastAsia" w:hAnsiTheme="minorEastAsia"/>
                <w:b/>
                <w:bCs/>
                <w:szCs w:val="21"/>
              </w:rPr>
            </w:pPr>
            <w:r>
              <w:rPr>
                <w:rFonts w:hint="eastAsia" w:asciiTheme="minorEastAsia" w:hAnsiTheme="minorEastAsia"/>
                <w:b/>
                <w:bCs/>
                <w:szCs w:val="21"/>
              </w:rPr>
              <w:t>单位负责人为同一人或者存在直接控股、管理关系的不同供应商，不得参加同一合同项下的政府采购活动</w:t>
            </w:r>
          </w:p>
        </w:tc>
        <w:tc>
          <w:tcPr>
            <w:tcW w:w="5954" w:type="dxa"/>
          </w:tcPr>
          <w:p w14:paraId="2E28E335">
            <w:pPr>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投标人提供与参加本项目投标的其他供应商之间，单位负责人不为同一人并且不存在直接控股、管理关系承诺函（承诺函格式自拟）。</w:t>
            </w:r>
          </w:p>
          <w:p w14:paraId="727CE5D6">
            <w:pPr>
              <w:spacing w:line="360" w:lineRule="auto"/>
              <w:rPr>
                <w:rFonts w:cs="仿宋_GB2312" w:asciiTheme="minorEastAsia" w:hAnsiTheme="minorEastAsia"/>
                <w:szCs w:val="21"/>
                <w:lang w:val="zh-CN"/>
              </w:rPr>
            </w:pPr>
          </w:p>
        </w:tc>
      </w:tr>
      <w:tr w14:paraId="456E6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AE33583">
            <w:pPr>
              <w:spacing w:line="360" w:lineRule="auto"/>
              <w:jc w:val="center"/>
              <w:rPr>
                <w:rFonts w:hint="eastAsia" w:asciiTheme="minorEastAsia" w:hAnsiTheme="minorEastAsia" w:eastAsiaTheme="minorEastAsia"/>
                <w:b/>
                <w:bCs/>
                <w:szCs w:val="21"/>
                <w:lang w:val="en-US" w:eastAsia="zh-CN"/>
              </w:rPr>
            </w:pPr>
            <w:r>
              <w:rPr>
                <w:rFonts w:hint="eastAsia" w:asciiTheme="minorEastAsia" w:hAnsiTheme="minorEastAsia"/>
                <w:b/>
                <w:bCs/>
                <w:szCs w:val="21"/>
                <w:lang w:val="en-US" w:eastAsia="zh-CN"/>
              </w:rPr>
              <w:t>8</w:t>
            </w:r>
          </w:p>
        </w:tc>
        <w:tc>
          <w:tcPr>
            <w:tcW w:w="2410" w:type="dxa"/>
            <w:vAlign w:val="center"/>
          </w:tcPr>
          <w:p w14:paraId="42E8B0D5">
            <w:pPr>
              <w:spacing w:line="360" w:lineRule="auto"/>
              <w:rPr>
                <w:rFonts w:asciiTheme="minorEastAsia" w:hAnsiTheme="minorEastAsia"/>
                <w:b/>
                <w:bCs/>
                <w:szCs w:val="21"/>
              </w:rPr>
            </w:pPr>
            <w:r>
              <w:rPr>
                <w:rFonts w:hint="eastAsia" w:asciiTheme="minorEastAsia" w:hAnsiTheme="minorEastAsia"/>
                <w:b/>
                <w:bCs/>
                <w:szCs w:val="21"/>
              </w:rPr>
              <w:t>为本项目提供整体设计、规范编制或者项目管理、监理、检测等服务的供应商不得参加本项目投标</w:t>
            </w:r>
          </w:p>
        </w:tc>
        <w:tc>
          <w:tcPr>
            <w:tcW w:w="5954" w:type="dxa"/>
          </w:tcPr>
          <w:p w14:paraId="34D0AB75">
            <w:pPr>
              <w:spacing w:line="360" w:lineRule="auto"/>
              <w:rPr>
                <w:rFonts w:cs="仿宋_GB2312" w:asciiTheme="minorEastAsia" w:hAnsiTheme="minorEastAsia"/>
                <w:szCs w:val="21"/>
                <w:lang w:val="zh-CN"/>
              </w:rPr>
            </w:pPr>
            <w:r>
              <w:rPr>
                <w:rFonts w:hint="eastAsia" w:cs="仿宋_GB2312" w:asciiTheme="minorEastAsia" w:hAnsiTheme="minorEastAsia"/>
                <w:szCs w:val="21"/>
                <w:lang w:val="zh-CN"/>
              </w:rPr>
              <w:t>投标人</w:t>
            </w:r>
            <w:bookmarkStart w:id="4" w:name="baidusnap2"/>
            <w:bookmarkEnd w:id="4"/>
            <w:r>
              <w:rPr>
                <w:rFonts w:hint="eastAsia" w:cs="仿宋_GB2312" w:asciiTheme="minorEastAsia" w:hAnsiTheme="minorEastAsia"/>
                <w:szCs w:val="21"/>
                <w:lang w:val="zh-CN"/>
              </w:rPr>
              <w:t>提供未为本项目提供整体设计、</w:t>
            </w:r>
            <w:bookmarkStart w:id="5" w:name="baidusnap9"/>
            <w:bookmarkEnd w:id="5"/>
            <w:r>
              <w:rPr>
                <w:rFonts w:hint="eastAsia" w:cs="仿宋_GB2312" w:asciiTheme="minorEastAsia" w:hAnsiTheme="minorEastAsia"/>
                <w:szCs w:val="21"/>
                <w:lang w:val="zh-CN"/>
              </w:rPr>
              <w:t>规范编制或者项目管理、监理、检测等服务承诺函（承诺函格式自拟）。</w:t>
            </w:r>
          </w:p>
          <w:p w14:paraId="6C6D3100">
            <w:pPr>
              <w:spacing w:line="360" w:lineRule="auto"/>
              <w:rPr>
                <w:rFonts w:asciiTheme="minorEastAsia" w:hAnsiTheme="minorEastAsia"/>
                <w:bCs/>
                <w:szCs w:val="21"/>
              </w:rPr>
            </w:pPr>
          </w:p>
        </w:tc>
      </w:tr>
    </w:tbl>
    <w:p w14:paraId="5D426807">
      <w:pPr>
        <w:pStyle w:val="14"/>
        <w:spacing w:line="360" w:lineRule="auto"/>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二、评标</w:t>
      </w:r>
    </w:p>
    <w:p w14:paraId="57FF5A73">
      <w:pPr>
        <w:pStyle w:val="14"/>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（一）评标方法</w:t>
      </w:r>
    </w:p>
    <w:p w14:paraId="2F706CCE">
      <w:pPr>
        <w:pStyle w:val="14"/>
        <w:spacing w:line="360" w:lineRule="auto"/>
        <w:ind w:firstLine="420" w:firstLineChars="200"/>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sz w:val="21"/>
          <w:szCs w:val="21"/>
          <w:lang w:val="zh-CN"/>
        </w:rPr>
        <w:t>本项目采用综合评分法。总分为100分。</w:t>
      </w:r>
    </w:p>
    <w:p w14:paraId="3C5E69CC">
      <w:pPr>
        <w:pStyle w:val="14"/>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（二）</w:t>
      </w:r>
      <w:r>
        <w:rPr>
          <w:rFonts w:cs="仿宋_GB2312" w:asciiTheme="minorEastAsia" w:hAnsiTheme="minorEastAsia" w:eastAsiaTheme="minorEastAsia"/>
          <w:b/>
          <w:sz w:val="21"/>
          <w:szCs w:val="21"/>
          <w:lang w:val="zh-CN"/>
        </w:rPr>
        <w:t>评标委员会负责具体评标事务，并独立履行下列职责</w:t>
      </w:r>
    </w:p>
    <w:p w14:paraId="2D4A6909">
      <w:pPr>
        <w:pStyle w:val="14"/>
        <w:spacing w:line="360" w:lineRule="auto"/>
        <w:ind w:firstLine="422" w:firstLineChars="200"/>
        <w:contextualSpacing/>
        <w:jc w:val="left"/>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1、</w:t>
      </w:r>
      <w:r>
        <w:rPr>
          <w:rFonts w:cs="仿宋_GB2312" w:asciiTheme="minorEastAsia" w:hAnsiTheme="minorEastAsia" w:eastAsiaTheme="minorEastAsia"/>
          <w:b/>
          <w:sz w:val="21"/>
          <w:szCs w:val="21"/>
          <w:lang w:val="zh-CN"/>
        </w:rPr>
        <w:t>审查、评价投标文件是否符合招标文件的商务、技术等实质性要求；</w:t>
      </w:r>
    </w:p>
    <w:p w14:paraId="342ABB67">
      <w:pPr>
        <w:pStyle w:val="14"/>
        <w:spacing w:line="360" w:lineRule="auto"/>
        <w:ind w:firstLine="420" w:firstLineChars="200"/>
        <w:contextualSpacing/>
        <w:jc w:val="left"/>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评标委员会对符合资格的投标人的投标文件进行符合性审查，以确定其是否满足招标文件的商务、技术等实质性要求。</w:t>
      </w:r>
    </w:p>
    <w:p w14:paraId="456C019B">
      <w:pPr>
        <w:pStyle w:val="14"/>
        <w:spacing w:line="360" w:lineRule="auto"/>
        <w:ind w:firstLine="420" w:firstLineChars="200"/>
        <w:contextualSpacing/>
        <w:jc w:val="left"/>
        <w:rPr>
          <w:rFonts w:cs="仿宋_GB2312" w:asciiTheme="minorEastAsia" w:hAnsiTheme="minorEastAsia"/>
          <w:sz w:val="21"/>
          <w:szCs w:val="21"/>
          <w:lang w:val="zh-CN"/>
        </w:rPr>
      </w:pPr>
      <w:r>
        <w:rPr>
          <w:rFonts w:hint="eastAsia" w:cs="仿宋_GB2312" w:asciiTheme="minorEastAsia" w:hAnsiTheme="minorEastAsia"/>
          <w:sz w:val="21"/>
          <w:szCs w:val="21"/>
          <w:lang w:val="zh-CN"/>
        </w:rPr>
        <w:t>注：符合性审查中所涉及到的证书及材料，均应在电子投标文件中提供原件扫描件（或图片）。</w:t>
      </w:r>
    </w:p>
    <w:p w14:paraId="7C2F5EB3">
      <w:pPr>
        <w:pStyle w:val="14"/>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2、</w:t>
      </w:r>
      <w:r>
        <w:rPr>
          <w:rFonts w:cs="仿宋_GB2312" w:asciiTheme="minorEastAsia" w:hAnsiTheme="minorEastAsia" w:eastAsiaTheme="minorEastAsia"/>
          <w:b/>
          <w:sz w:val="21"/>
          <w:szCs w:val="21"/>
          <w:lang w:val="zh-CN"/>
        </w:rPr>
        <w:t>要求投标人对投标文件有关事项作出澄清或者说明；</w:t>
      </w:r>
    </w:p>
    <w:p w14:paraId="176770EE">
      <w:pPr>
        <w:pStyle w:val="14"/>
        <w:spacing w:line="360" w:lineRule="auto"/>
        <w:ind w:firstLine="420" w:firstLineChars="200"/>
        <w:contextualSpacing/>
        <w:rPr>
          <w:rFonts w:cs="仿宋_GB2312" w:asciiTheme="minorEastAsia" w:hAnsiTheme="minorEastAsia" w:eastAsiaTheme="minorEastAsia"/>
          <w:sz w:val="21"/>
          <w:szCs w:val="21"/>
          <w:lang w:val="zh-CN"/>
        </w:rPr>
      </w:pPr>
      <w:r>
        <w:rPr>
          <w:rFonts w:cs="仿宋_GB2312" w:asciiTheme="minorEastAsia" w:hAnsiTheme="minorEastAsia" w:eastAsiaTheme="minorEastAsia"/>
          <w:sz w:val="21"/>
          <w:szCs w:val="21"/>
          <w:lang w:val="zh-CN"/>
        </w:rPr>
        <w:t>对于投标文件中含义不明确、同类问题表述不一致或者有明显文字和计算错误的内容，评标委员会应当以书面形式要求投标人作出必要的澄清、说明或者补正。</w:t>
      </w:r>
    </w:p>
    <w:p w14:paraId="19E88BB5">
      <w:pPr>
        <w:pStyle w:val="14"/>
        <w:spacing w:line="360" w:lineRule="auto"/>
        <w:ind w:firstLine="420" w:firstLineChars="200"/>
        <w:contextualSpacing/>
        <w:rPr>
          <w:rFonts w:cs="仿宋_GB2312" w:asciiTheme="minorEastAsia" w:hAnsiTheme="minorEastAsia" w:eastAsiaTheme="minorEastAsia"/>
          <w:sz w:val="21"/>
          <w:szCs w:val="21"/>
          <w:lang w:val="zh-CN"/>
        </w:rPr>
      </w:pPr>
      <w:r>
        <w:rPr>
          <w:rFonts w:cs="仿宋_GB2312" w:asciiTheme="minorEastAsia" w:hAnsiTheme="minorEastAsia" w:eastAsiaTheme="minorEastAsia"/>
          <w:sz w:val="21"/>
          <w:szCs w:val="21"/>
          <w:lang w:val="zh-CN"/>
        </w:rPr>
        <w:t>投标人的澄清、说明或者补正应当采用书面形式，并加盖公章，或者由法定代表人或其授权的代表签字。投标人的澄清、说明或者补正不得超出投标文件的范围或者改变投标文件的实质性内容。</w:t>
      </w:r>
    </w:p>
    <w:p w14:paraId="6B9078BE">
      <w:pPr>
        <w:pStyle w:val="14"/>
        <w:spacing w:line="360" w:lineRule="auto"/>
        <w:ind w:firstLine="465"/>
        <w:contextualSpacing/>
        <w:jc w:val="left"/>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3、</w:t>
      </w:r>
      <w:r>
        <w:rPr>
          <w:rFonts w:cs="仿宋_GB2312" w:asciiTheme="minorEastAsia" w:hAnsiTheme="minorEastAsia" w:eastAsiaTheme="minorEastAsia"/>
          <w:b/>
          <w:sz w:val="21"/>
          <w:szCs w:val="21"/>
          <w:lang w:val="zh-CN"/>
        </w:rPr>
        <w:t>对投标文件进行比较和评价；</w:t>
      </w:r>
    </w:p>
    <w:p w14:paraId="4EB0F3C1">
      <w:pPr>
        <w:pStyle w:val="14"/>
        <w:spacing w:line="360" w:lineRule="auto"/>
        <w:ind w:firstLine="420" w:firstLineChars="200"/>
        <w:contextualSpacing/>
        <w:rPr>
          <w:rFonts w:cs="仿宋_GB2312" w:asciiTheme="minorEastAsia" w:hAnsiTheme="minorEastAsia"/>
          <w:sz w:val="21"/>
          <w:szCs w:val="21"/>
          <w:lang w:val="zh-CN"/>
        </w:rPr>
      </w:pPr>
      <w:r>
        <w:rPr>
          <w:rFonts w:hint="eastAsia" w:cs="仿宋_GB2312" w:asciiTheme="minorEastAsia" w:hAnsiTheme="minorEastAsia" w:eastAsiaTheme="minorEastAsia"/>
          <w:sz w:val="21"/>
          <w:szCs w:val="21"/>
          <w:lang w:val="zh-CN"/>
        </w:rPr>
        <w:t>评标委员会按照招标文件中规定的评标方法和标准，对符合性审查合格的投标文件进行商务和技术评估，综合比较与评价。评标时，评标委员会各成员应当独立对每个投标人的投标文件进行评价，并汇总每个投标人的得分。</w:t>
      </w:r>
      <w:r>
        <w:rPr>
          <w:rFonts w:hint="eastAsia" w:cs="仿宋_GB2312" w:asciiTheme="minorEastAsia" w:hAnsiTheme="minorEastAsia"/>
          <w:sz w:val="21"/>
          <w:szCs w:val="21"/>
          <w:lang w:val="zh-CN"/>
        </w:rPr>
        <w:t>评标过程中，不得去掉报价中的最高报价和最低报价。</w:t>
      </w:r>
    </w:p>
    <w:p w14:paraId="1F463E6A">
      <w:pPr>
        <w:pStyle w:val="14"/>
        <w:spacing w:line="360" w:lineRule="auto"/>
        <w:ind w:firstLine="420" w:firstLineChars="200"/>
        <w:contextualSpacing/>
        <w:rPr>
          <w:rFonts w:cs="仿宋_GB2312" w:asciiTheme="minorEastAsia" w:hAnsiTheme="minorEastAsia"/>
          <w:sz w:val="21"/>
          <w:szCs w:val="21"/>
          <w:lang w:val="zh-CN"/>
        </w:rPr>
      </w:pPr>
      <w:r>
        <w:rPr>
          <w:rFonts w:hint="eastAsia" w:cs="仿宋_GB2312" w:asciiTheme="minorEastAsia" w:hAnsiTheme="minorEastAsia"/>
          <w:sz w:val="21"/>
          <w:szCs w:val="21"/>
          <w:lang w:val="zh-CN"/>
        </w:rPr>
        <w:t>注：评标标准中所涉及到的证书及材料，均应在电子投标文件中提供原件扫描件（或图片）。</w:t>
      </w:r>
    </w:p>
    <w:p w14:paraId="6A0E2753">
      <w:pPr>
        <w:pStyle w:val="14"/>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（1）价格分计算</w:t>
      </w:r>
    </w:p>
    <w:p w14:paraId="63942E07">
      <w:pPr>
        <w:pStyle w:val="14"/>
        <w:spacing w:line="360" w:lineRule="auto"/>
        <w:ind w:firstLine="420" w:firstLineChars="200"/>
        <w:contextualSpacing/>
        <w:rPr>
          <w:rFonts w:cs="仿宋_GB2312" w:asciiTheme="minorEastAsia" w:hAnsiTheme="minorEastAsia" w:eastAsiaTheme="minorEastAsia"/>
          <w:sz w:val="21"/>
          <w:szCs w:val="21"/>
          <w:lang w:val="zh-CN"/>
        </w:rPr>
      </w:pPr>
      <w:r>
        <w:rPr>
          <w:rFonts w:cs="仿宋_GB2312" w:asciiTheme="minorEastAsia" w:hAnsiTheme="minorEastAsia" w:eastAsiaTheme="minorEastAsia"/>
          <w:sz w:val="21"/>
          <w:szCs w:val="21"/>
          <w:lang w:val="zh-CN"/>
        </w:rPr>
        <w:t>价格分采用低价优先法计算，即满足招标文件要求且投标价格最低的投标报价为评标基准价，其价格分为满分。因落实政府采购政策进行价格调整的，以调整后的价格计算评标基准价和投标报价。</w:t>
      </w:r>
    </w:p>
    <w:p w14:paraId="0DE6F9F6">
      <w:pPr>
        <w:pStyle w:val="14"/>
        <w:numPr>
          <w:ilvl w:val="0"/>
          <w:numId w:val="82"/>
        </w:numPr>
        <w:spacing w:line="360" w:lineRule="auto"/>
        <w:ind w:firstLine="422" w:firstLineChars="200"/>
        <w:contextualSpacing/>
        <w:rPr>
          <w:rFonts w:hint="eastAsia" w:cs="仿宋_GB2312" w:asciiTheme="minorEastAsia" w:hAnsiTheme="minorEastAsia" w:eastAsiaTheme="minorEastAsia"/>
          <w:b/>
          <w:bCs/>
          <w:sz w:val="21"/>
          <w:szCs w:val="21"/>
          <w:lang w:val="en-US" w:eastAsia="zh-CN"/>
        </w:rPr>
      </w:pPr>
      <w:r>
        <w:rPr>
          <w:rFonts w:cs="仿宋_GB2312" w:asciiTheme="minorEastAsia" w:hAnsiTheme="minorEastAsia" w:eastAsiaTheme="minorEastAsia"/>
          <w:b/>
          <w:sz w:val="21"/>
          <w:szCs w:val="21"/>
          <w:lang w:val="zh-CN"/>
        </w:rPr>
        <w:t>关于相同品牌产品</w:t>
      </w:r>
      <w:r>
        <w:rPr>
          <w:rFonts w:cs="仿宋_GB2312" w:asciiTheme="minorEastAsia" w:hAnsiTheme="minorEastAsia" w:eastAsiaTheme="minorEastAsia"/>
          <w:b/>
          <w:bCs/>
          <w:sz w:val="21"/>
          <w:szCs w:val="21"/>
          <w:lang w:val="zh-CN"/>
        </w:rPr>
        <w:t>（服务类项目不适用本条款规定</w:t>
      </w:r>
      <w:r>
        <w:rPr>
          <w:rFonts w:hint="eastAsia" w:cs="仿宋_GB2312" w:asciiTheme="minorEastAsia" w:hAnsiTheme="minorEastAsia" w:eastAsiaTheme="minorEastAsia"/>
          <w:b/>
          <w:bCs/>
          <w:sz w:val="21"/>
          <w:szCs w:val="21"/>
          <w:lang w:val="en-US" w:eastAsia="zh-CN"/>
        </w:rPr>
        <w:t>)</w:t>
      </w:r>
    </w:p>
    <w:p w14:paraId="26A613E2">
      <w:pPr>
        <w:pStyle w:val="14"/>
        <w:numPr>
          <w:ilvl w:val="0"/>
          <w:numId w:val="82"/>
        </w:numPr>
        <w:spacing w:line="360" w:lineRule="auto"/>
        <w:ind w:firstLine="420" w:firstLineChars="200"/>
        <w:contextualSpacing/>
        <w:rPr>
          <w:rFonts w:cs="仿宋_GB2312" w:asciiTheme="minorEastAsia" w:hAnsiTheme="minorEastAsia" w:eastAsiaTheme="minorEastAsia"/>
          <w:sz w:val="21"/>
          <w:szCs w:val="21"/>
          <w:lang w:val="zh-CN"/>
        </w:rPr>
      </w:pPr>
      <w:r>
        <w:rPr>
          <w:rFonts w:cs="仿宋_GB2312" w:asciiTheme="minorEastAsia" w:hAnsiTheme="minorEastAsia" w:eastAsiaTheme="minorEastAsia"/>
          <w:sz w:val="21"/>
          <w:szCs w:val="21"/>
          <w:lang w:val="zh-CN"/>
        </w:rPr>
        <w:t>采用最低评标价法的，提供相同品牌产品的不同投标人参加同一合同项下投标的，以其中通过资格审查、符合性审查且报价最低的参加评标；报价相同的，由采购人或者采购人委托评标委员会</w:t>
      </w:r>
      <w:r>
        <w:rPr>
          <w:rFonts w:hint="eastAsia" w:cs="仿宋_GB2312" w:asciiTheme="minorEastAsia" w:hAnsiTheme="minorEastAsia" w:eastAsiaTheme="minorEastAsia"/>
          <w:sz w:val="21"/>
          <w:szCs w:val="21"/>
          <w:lang w:val="zh-CN"/>
        </w:rPr>
        <w:t>采取随机抽取</w:t>
      </w:r>
      <w:r>
        <w:rPr>
          <w:rFonts w:cs="仿宋_GB2312" w:asciiTheme="minorEastAsia" w:hAnsiTheme="minorEastAsia" w:eastAsiaTheme="minorEastAsia"/>
          <w:sz w:val="21"/>
          <w:szCs w:val="21"/>
          <w:lang w:val="zh-CN"/>
        </w:rPr>
        <w:t>方式确定一个参加评标的投标人，其他投标无效。</w:t>
      </w:r>
    </w:p>
    <w:p w14:paraId="38B4E811">
      <w:pPr>
        <w:pStyle w:val="14"/>
        <w:spacing w:line="360" w:lineRule="auto"/>
        <w:ind w:firstLine="465"/>
        <w:contextualSpacing/>
        <w:jc w:val="left"/>
        <w:rPr>
          <w:rFonts w:cs="仿宋_GB2312" w:asciiTheme="minorEastAsia" w:hAnsiTheme="minorEastAsia" w:eastAsiaTheme="minorEastAsia"/>
          <w:sz w:val="21"/>
          <w:szCs w:val="21"/>
          <w:lang w:val="zh-CN"/>
        </w:rPr>
      </w:pPr>
      <w:r>
        <w:rPr>
          <w:rFonts w:cs="仿宋_GB2312" w:asciiTheme="minorEastAsia" w:hAnsiTheme="minorEastAsia" w:eastAsiaTheme="minorEastAsia"/>
          <w:sz w:val="21"/>
          <w:szCs w:val="21"/>
          <w:lang w:val="zh-CN"/>
        </w:rPr>
        <w:t>采用综合评分法的，提供相同品牌产品</w:t>
      </w:r>
      <w:r>
        <w:rPr>
          <w:rFonts w:hint="eastAsia" w:cs="仿宋_GB2312" w:asciiTheme="minorEastAsia" w:hAnsiTheme="minorEastAsia" w:eastAsiaTheme="minorEastAsia"/>
          <w:sz w:val="21"/>
          <w:szCs w:val="21"/>
          <w:lang w:val="zh-CN"/>
        </w:rPr>
        <w:t>（</w:t>
      </w:r>
      <w:r>
        <w:rPr>
          <w:rFonts w:cs="仿宋_GB2312" w:asciiTheme="minorEastAsia" w:hAnsiTheme="minorEastAsia" w:eastAsiaTheme="minorEastAsia"/>
          <w:sz w:val="21"/>
          <w:szCs w:val="21"/>
          <w:lang w:val="zh-CN"/>
        </w:rPr>
        <w:t>非单一产品采购项目，多家投标人提供的核心产品品牌相同</w:t>
      </w:r>
      <w:r>
        <w:rPr>
          <w:rFonts w:hint="eastAsia" w:cs="仿宋_GB2312" w:asciiTheme="minorEastAsia" w:hAnsiTheme="minorEastAsia" w:eastAsiaTheme="minorEastAsia"/>
          <w:sz w:val="21"/>
          <w:szCs w:val="21"/>
          <w:lang w:val="zh-CN"/>
        </w:rPr>
        <w:t>）</w:t>
      </w:r>
      <w:r>
        <w:rPr>
          <w:rFonts w:cs="仿宋_GB2312" w:asciiTheme="minorEastAsia" w:hAnsiTheme="minorEastAsia" w:eastAsiaTheme="minorEastAsia"/>
          <w:sz w:val="21"/>
          <w:szCs w:val="21"/>
          <w:lang w:val="zh-CN"/>
        </w:rPr>
        <w:t>且通过资格审查、符合性审查的不同投标人参加同一合同项下投标的，按一家投标人计算，评审后得分最高的同品牌投标人作为中标候选人推荐；评审得分相同的，</w:t>
      </w:r>
      <w:r>
        <w:rPr>
          <w:rFonts w:hint="eastAsia" w:cs="仿宋_GB2312" w:asciiTheme="minorEastAsia" w:hAnsiTheme="minorEastAsia" w:eastAsiaTheme="minorEastAsia"/>
          <w:sz w:val="21"/>
          <w:szCs w:val="21"/>
          <w:lang w:val="zh-CN"/>
        </w:rPr>
        <w:t>由采购人或者采购人委托评标委员会</w:t>
      </w:r>
      <w:r>
        <w:rPr>
          <w:rFonts w:cs="仿宋_GB2312" w:asciiTheme="minorEastAsia" w:hAnsiTheme="minorEastAsia" w:eastAsiaTheme="minorEastAsia"/>
          <w:sz w:val="21"/>
          <w:szCs w:val="21"/>
          <w:lang w:val="zh-CN"/>
        </w:rPr>
        <w:t>采取随机抽取方式确定</w:t>
      </w:r>
      <w:r>
        <w:rPr>
          <w:rFonts w:hint="eastAsia" w:cs="仿宋_GB2312" w:asciiTheme="minorEastAsia" w:hAnsiTheme="minorEastAsia" w:eastAsiaTheme="minorEastAsia"/>
          <w:sz w:val="21"/>
          <w:szCs w:val="21"/>
          <w:lang w:val="zh-CN"/>
        </w:rPr>
        <w:t>一个投标人获得中标人推荐资格</w:t>
      </w:r>
      <w:r>
        <w:rPr>
          <w:rFonts w:cs="仿宋_GB2312" w:asciiTheme="minorEastAsia" w:hAnsiTheme="minorEastAsia" w:eastAsiaTheme="minorEastAsia"/>
          <w:sz w:val="21"/>
          <w:szCs w:val="21"/>
          <w:lang w:val="zh-CN"/>
        </w:rPr>
        <w:t>，其他同品牌投标人不作为中标候选人。</w:t>
      </w:r>
    </w:p>
    <w:p w14:paraId="6051B001">
      <w:pPr>
        <w:pStyle w:val="14"/>
        <w:spacing w:line="360" w:lineRule="auto"/>
        <w:ind w:firstLine="422" w:firstLineChars="200"/>
        <w:contextualSpacing/>
        <w:rPr>
          <w:rFonts w:cs="仿宋_GB2312" w:asciiTheme="minorEastAsia" w:hAnsiTheme="minorEastAsia" w:eastAsiaTheme="minorEastAsia"/>
          <w:b/>
          <w:sz w:val="21"/>
          <w:szCs w:val="21"/>
          <w:lang w:val="zh-CN"/>
        </w:rPr>
      </w:pPr>
      <w:r>
        <w:rPr>
          <w:rFonts w:hint="eastAsia" w:asciiTheme="minorEastAsia" w:hAnsiTheme="minorEastAsia" w:eastAsiaTheme="minorEastAsia"/>
          <w:b/>
          <w:sz w:val="21"/>
          <w:szCs w:val="21"/>
        </w:rPr>
        <w:t>（3）强制采购节能产品和优先采购节能产品、优先采购环保产品</w:t>
      </w:r>
    </w:p>
    <w:p w14:paraId="1EAF4021">
      <w:pPr>
        <w:pStyle w:val="14"/>
        <w:spacing w:line="360" w:lineRule="auto"/>
        <w:ind w:firstLine="465"/>
        <w:contextualSpacing/>
        <w:jc w:val="left"/>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1）对《节能产品政府采购品目清单》所列的政府强制采购节能产品</w:t>
      </w:r>
      <w:r>
        <w:rPr>
          <w:rFonts w:hint="eastAsia" w:cs="仿宋_GB2312" w:asciiTheme="minorEastAsia" w:hAnsiTheme="minorEastAsia" w:eastAsiaTheme="minorEastAsia"/>
          <w:sz w:val="21"/>
          <w:szCs w:val="21"/>
        </w:rPr>
        <w:t>，</w:t>
      </w:r>
      <w:r>
        <w:rPr>
          <w:rFonts w:hint="eastAsia" w:cs="仿宋_GB2312" w:asciiTheme="minorEastAsia" w:hAnsiTheme="minorEastAsia" w:eastAsiaTheme="minorEastAsia"/>
          <w:sz w:val="21"/>
          <w:szCs w:val="21"/>
          <w:lang w:val="zh-CN"/>
        </w:rPr>
        <w:t>投标人投标文件中应提供具有国家确定的认证机构出具的、处于有效期之内的节能产品认证证书，否则将承担其投标被视为非实质性响应投标的风险。</w:t>
      </w:r>
    </w:p>
    <w:p w14:paraId="1FFFF3E8">
      <w:pPr>
        <w:pStyle w:val="14"/>
        <w:spacing w:line="360" w:lineRule="auto"/>
        <w:ind w:firstLine="465"/>
        <w:contextualSpacing/>
        <w:jc w:val="left"/>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投标人所投产品若属于《节能产品政府采购品目清单》优先采购产品，</w:t>
      </w:r>
      <w:r>
        <w:rPr>
          <w:rFonts w:hint="eastAsia" w:cs="仿宋_GB2312" w:asciiTheme="minorEastAsia" w:hAnsiTheme="minorEastAsia"/>
          <w:sz w:val="21"/>
          <w:szCs w:val="21"/>
          <w:lang w:val="zh-CN"/>
        </w:rPr>
        <w:t>投标文件中应提供</w:t>
      </w:r>
      <w:r>
        <w:rPr>
          <w:rFonts w:hint="eastAsia" w:cs="仿宋_GB2312" w:asciiTheme="minorEastAsia" w:hAnsiTheme="minorEastAsia" w:eastAsiaTheme="minorEastAsia"/>
          <w:sz w:val="21"/>
          <w:szCs w:val="21"/>
          <w:lang w:val="zh-CN"/>
        </w:rPr>
        <w:t>具有国家确定的认证机构出具的、处于有效期之内的节能产品认证证书</w:t>
      </w:r>
      <w:r>
        <w:rPr>
          <w:rFonts w:hint="eastAsia" w:cs="仿宋_GB2312" w:asciiTheme="minorEastAsia" w:hAnsiTheme="minorEastAsia"/>
          <w:sz w:val="21"/>
          <w:szCs w:val="21"/>
          <w:lang w:val="zh-CN"/>
        </w:rPr>
        <w:t>，评标委员会根据本项目评标标准予以判定并赋分。</w:t>
      </w:r>
    </w:p>
    <w:p w14:paraId="4EC9C2EE">
      <w:pPr>
        <w:pStyle w:val="14"/>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eastAsiaTheme="minorEastAsia"/>
          <w:sz w:val="21"/>
          <w:szCs w:val="21"/>
          <w:lang w:val="zh-CN"/>
        </w:rPr>
        <w:t>2）</w:t>
      </w:r>
      <w:r>
        <w:rPr>
          <w:rFonts w:hint="eastAsia" w:cs="仿宋_GB2312" w:asciiTheme="minorEastAsia" w:hAnsiTheme="minorEastAsia"/>
          <w:sz w:val="21"/>
          <w:szCs w:val="21"/>
          <w:lang w:val="zh-CN"/>
        </w:rPr>
        <w:t>投标人所投产品若属于《环境标志产品政府采购品目清单》内产品，投标文件中应提供</w:t>
      </w:r>
      <w:r>
        <w:rPr>
          <w:rFonts w:hint="eastAsia" w:cs="仿宋_GB2312" w:asciiTheme="minorEastAsia" w:hAnsiTheme="minorEastAsia" w:eastAsiaTheme="minorEastAsia"/>
          <w:sz w:val="21"/>
          <w:szCs w:val="21"/>
          <w:lang w:val="zh-CN"/>
        </w:rPr>
        <w:t>具有国家确定的认证机构出具的、处于有效期之内的环境标志产品认证证书</w:t>
      </w:r>
      <w:r>
        <w:rPr>
          <w:rFonts w:hint="eastAsia" w:cs="仿宋_GB2312" w:asciiTheme="minorEastAsia" w:hAnsiTheme="minorEastAsia"/>
          <w:sz w:val="21"/>
          <w:szCs w:val="21"/>
          <w:lang w:val="zh-CN"/>
        </w:rPr>
        <w:t>，</w:t>
      </w:r>
      <w:r>
        <w:rPr>
          <w:rFonts w:hint="eastAsia" w:cs="仿宋_GB2312" w:asciiTheme="minorEastAsia" w:hAnsiTheme="minorEastAsia" w:eastAsiaTheme="minorEastAsia"/>
          <w:sz w:val="21"/>
          <w:szCs w:val="21"/>
          <w:lang w:val="zh-CN"/>
        </w:rPr>
        <w:t>评标委员会根据本项目评标标准予以判定并赋分。</w:t>
      </w:r>
    </w:p>
    <w:p w14:paraId="348E7818">
      <w:pPr>
        <w:pStyle w:val="14"/>
        <w:spacing w:line="360" w:lineRule="auto"/>
        <w:ind w:firstLine="465"/>
        <w:contextualSpacing/>
        <w:jc w:val="left"/>
        <w:rPr>
          <w:rFonts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（4）信息产品要求</w:t>
      </w:r>
    </w:p>
    <w:p w14:paraId="30A4B020">
      <w:pPr>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1）</w:t>
      </w:r>
      <w:r>
        <w:rPr>
          <w:rFonts w:hint="eastAsia" w:cs="宋体" w:asciiTheme="minorEastAsia" w:hAnsiTheme="minorEastAsia"/>
          <w:kern w:val="0"/>
          <w:szCs w:val="21"/>
        </w:rPr>
        <w:t>投标人所投产品如被列入</w:t>
      </w:r>
      <w:r>
        <w:rPr>
          <w:rFonts w:cs="宋体" w:asciiTheme="minorEastAsia" w:hAnsiTheme="minorEastAsia"/>
          <w:kern w:val="0"/>
          <w:szCs w:val="21"/>
        </w:rPr>
        <w:t>《信息安全产品强制性认证目录》</w:t>
      </w:r>
      <w:r>
        <w:rPr>
          <w:rFonts w:cs="仿宋_GB2312" w:asciiTheme="minorEastAsia" w:hAnsiTheme="minorEastAsia"/>
          <w:szCs w:val="21"/>
          <w:lang w:val="zh-CN"/>
        </w:rPr>
        <w:t>，</w:t>
      </w:r>
      <w:r>
        <w:rPr>
          <w:rFonts w:hint="eastAsia" w:cs="仿宋_GB2312" w:asciiTheme="minorEastAsia" w:hAnsiTheme="minorEastAsia"/>
          <w:szCs w:val="21"/>
          <w:lang w:val="zh-CN"/>
        </w:rPr>
        <w:t>应提供由中国信息安全认证中心按国家标准认证颁发的有效认证证书。</w:t>
      </w:r>
    </w:p>
    <w:p w14:paraId="71665A26">
      <w:pPr>
        <w:tabs>
          <w:tab w:val="left" w:pos="1260"/>
        </w:tabs>
        <w:autoSpaceDE w:val="0"/>
        <w:autoSpaceDN w:val="0"/>
        <w:spacing w:line="360" w:lineRule="auto"/>
        <w:ind w:firstLine="422" w:firstLineChars="200"/>
        <w:contextualSpacing/>
        <w:rPr>
          <w:rFonts w:cs="仿宋_GB2312" w:asciiTheme="minorEastAsia" w:hAnsiTheme="minorEastAsia"/>
          <w:b/>
          <w:szCs w:val="21"/>
          <w:lang w:val="zh-CN"/>
        </w:rPr>
      </w:pPr>
      <w:r>
        <w:rPr>
          <w:rFonts w:hint="eastAsia" w:cs="仿宋_GB2312" w:asciiTheme="minorEastAsia" w:hAnsiTheme="minorEastAsia"/>
          <w:b/>
          <w:szCs w:val="21"/>
          <w:lang w:val="zh-CN"/>
        </w:rPr>
        <w:t>（5）投标无效情形</w:t>
      </w:r>
    </w:p>
    <w:p w14:paraId="6A91CBA3">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1）投标人应当遵循公平竞争的原则，不得恶意串通，不得妨碍其他投标人的竞争行为，不得损害采购人或者其他投标人的合法权益。在评标过程中发现投标人有上述情形的，评标委员会应当认定其投标无效。</w:t>
      </w:r>
    </w:p>
    <w:p w14:paraId="16FD05A8">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2）符合性审查资料未按招标文件要求签署、盖章的；</w:t>
      </w:r>
    </w:p>
    <w:p w14:paraId="238800EE">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3）有下列情形之一的，视为投标人串通投标，其投标无效：</w:t>
      </w:r>
    </w:p>
    <w:p w14:paraId="29018A2C">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a.不同投标人的投标文件由同一单位或者个人编制；</w:t>
      </w:r>
    </w:p>
    <w:p w14:paraId="0174E1C3">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b.不同投标人委托同一单位或者个人办理投标事宜；</w:t>
      </w:r>
    </w:p>
    <w:p w14:paraId="401668D2">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c.不同投标人的投标文件载明的项目管理成员或者联系人员为同一人；</w:t>
      </w:r>
    </w:p>
    <w:p w14:paraId="3BCA3C4F">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d.不同投标人的投标文件异常一致或者投标报价呈规律性差异；</w:t>
      </w:r>
    </w:p>
    <w:p w14:paraId="2E040A10">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e.不同投标人的投标文件相互混装；</w:t>
      </w:r>
    </w:p>
    <w:p w14:paraId="18678775">
      <w:pPr>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4）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5FE7C72">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5）</w:t>
      </w:r>
      <w:r>
        <w:rPr>
          <w:rFonts w:cs="仿宋_GB2312" w:asciiTheme="minorEastAsia" w:hAnsiTheme="minorEastAsia"/>
          <w:szCs w:val="21"/>
          <w:lang w:val="zh-CN"/>
        </w:rPr>
        <w:t>法律、法规和招标文件规定的其他无效情形。</w:t>
      </w:r>
    </w:p>
    <w:p w14:paraId="343CED34">
      <w:pPr>
        <w:pStyle w:val="14"/>
        <w:spacing w:line="360" w:lineRule="auto"/>
        <w:ind w:firstLine="422" w:firstLineChars="200"/>
        <w:contextualSpacing/>
        <w:rPr>
          <w:rFonts w:hint="eastAsia" w:cs="仿宋_GB2312" w:asciiTheme="minorEastAsia" w:hAnsiTheme="minorEastAsia" w:eastAsiaTheme="minorEastAsia"/>
          <w:b/>
          <w:sz w:val="21"/>
          <w:szCs w:val="21"/>
          <w:lang w:val="zh-CN"/>
        </w:rPr>
      </w:pPr>
    </w:p>
    <w:p w14:paraId="6366E111">
      <w:pPr>
        <w:pStyle w:val="14"/>
        <w:spacing w:line="360" w:lineRule="auto"/>
        <w:ind w:firstLine="422" w:firstLineChars="200"/>
        <w:contextualSpacing/>
        <w:rPr>
          <w:rFonts w:hint="eastAsia" w:cs="仿宋_GB2312" w:asciiTheme="minorEastAsia" w:hAnsiTheme="minorEastAsia" w:eastAsiaTheme="minorEastAsia"/>
          <w:b/>
          <w:sz w:val="21"/>
          <w:szCs w:val="21"/>
          <w:lang w:val="zh-CN"/>
        </w:rPr>
      </w:pPr>
    </w:p>
    <w:p w14:paraId="2E359611">
      <w:pPr>
        <w:pStyle w:val="14"/>
        <w:spacing w:line="360" w:lineRule="auto"/>
        <w:ind w:firstLine="422" w:firstLineChars="200"/>
        <w:contextualSpacing/>
        <w:rPr>
          <w:rFonts w:hint="eastAsia" w:cs="仿宋_GB2312" w:asciiTheme="minorEastAsia" w:hAnsiTheme="minorEastAsia" w:eastAsiaTheme="minorEastAsia"/>
          <w:b/>
          <w:sz w:val="21"/>
          <w:szCs w:val="21"/>
          <w:lang w:val="zh-CN"/>
        </w:rPr>
      </w:pPr>
    </w:p>
    <w:p w14:paraId="11039E58">
      <w:pPr>
        <w:pStyle w:val="14"/>
        <w:numPr>
          <w:ilvl w:val="0"/>
          <w:numId w:val="83"/>
        </w:numPr>
        <w:spacing w:line="360" w:lineRule="auto"/>
        <w:ind w:firstLine="422" w:firstLineChars="200"/>
        <w:contextualSpacing/>
        <w:rPr>
          <w:rFonts w:hint="eastAsia" w:cs="仿宋_GB2312" w:asciiTheme="minorEastAsia" w:hAnsiTheme="minorEastAsia" w:eastAsiaTheme="minorEastAsia"/>
          <w:b/>
          <w:sz w:val="21"/>
          <w:szCs w:val="21"/>
          <w:lang w:val="zh-CN"/>
        </w:rPr>
      </w:pPr>
      <w:r>
        <w:rPr>
          <w:rFonts w:hint="eastAsia" w:cs="仿宋_GB2312" w:asciiTheme="minorEastAsia" w:hAnsiTheme="minorEastAsia" w:eastAsiaTheme="minorEastAsia"/>
          <w:b/>
          <w:sz w:val="21"/>
          <w:szCs w:val="21"/>
          <w:lang w:val="zh-CN"/>
        </w:rPr>
        <w:t>评标</w:t>
      </w:r>
      <w:r>
        <w:rPr>
          <w:rFonts w:hint="eastAsia" w:cs="仿宋_GB2312" w:asciiTheme="minorEastAsia" w:hAnsiTheme="minorEastAsia" w:eastAsiaTheme="minorEastAsia"/>
          <w:b/>
          <w:sz w:val="21"/>
          <w:szCs w:val="21"/>
          <w:lang w:val="en-US" w:eastAsia="zh-CN"/>
        </w:rPr>
        <w:t>方法和评标</w:t>
      </w:r>
      <w:r>
        <w:rPr>
          <w:rFonts w:hint="eastAsia" w:cs="仿宋_GB2312" w:asciiTheme="minorEastAsia" w:hAnsiTheme="minorEastAsia" w:eastAsiaTheme="minorEastAsia"/>
          <w:b/>
          <w:sz w:val="21"/>
          <w:szCs w:val="21"/>
          <w:lang w:val="zh-CN"/>
        </w:rPr>
        <w:t>标准：</w:t>
      </w:r>
      <w:r>
        <w:rPr>
          <w:rFonts w:hint="eastAsia" w:cs="仿宋_GB2312" w:asciiTheme="minorEastAsia" w:hAnsiTheme="minorEastAsia" w:eastAsiaTheme="minorEastAsia"/>
          <w:b/>
          <w:sz w:val="21"/>
          <w:szCs w:val="21"/>
          <w:lang w:val="en-US" w:eastAsia="zh-CN"/>
        </w:rPr>
        <w:t>综合评分法</w:t>
      </w:r>
    </w:p>
    <w:tbl>
      <w:tblPr>
        <w:tblStyle w:val="2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649"/>
        <w:gridCol w:w="6492"/>
        <w:gridCol w:w="919"/>
      </w:tblGrid>
      <w:tr w14:paraId="6B712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5000" w:type="pct"/>
            <w:gridSpan w:val="3"/>
            <w:shd w:val="clear" w:color="auto" w:fill="auto"/>
            <w:vAlign w:val="center"/>
          </w:tcPr>
          <w:p w14:paraId="52B312D3">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评标标准</w:t>
            </w:r>
          </w:p>
        </w:tc>
      </w:tr>
      <w:tr w14:paraId="5E933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910" w:type="pct"/>
            <w:vMerge w:val="restart"/>
            <w:shd w:val="clear" w:color="auto" w:fill="auto"/>
            <w:vAlign w:val="center"/>
          </w:tcPr>
          <w:p w14:paraId="6B13B5D2">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分值构成</w:t>
            </w:r>
            <w:r>
              <w:rPr>
                <w:rFonts w:hint="eastAsia" w:ascii="仿宋" w:hAnsi="仿宋" w:eastAsia="仿宋" w:cs="仿宋"/>
                <w:b/>
                <w:bCs/>
                <w:i w:val="0"/>
                <w:iCs w:val="0"/>
                <w:color w:val="auto"/>
                <w:kern w:val="0"/>
                <w:sz w:val="22"/>
                <w:szCs w:val="22"/>
                <w:u w:val="none"/>
                <w:lang w:val="en-US" w:eastAsia="zh-CN" w:bidi="ar"/>
              </w:rPr>
              <w:br w:type="textWrapping"/>
            </w:r>
            <w:r>
              <w:rPr>
                <w:rFonts w:hint="eastAsia" w:ascii="仿宋" w:hAnsi="仿宋" w:eastAsia="仿宋" w:cs="仿宋"/>
                <w:b/>
                <w:bCs/>
                <w:i w:val="0"/>
                <w:iCs w:val="0"/>
                <w:color w:val="auto"/>
                <w:kern w:val="0"/>
                <w:sz w:val="22"/>
                <w:szCs w:val="22"/>
                <w:u w:val="none"/>
                <w:lang w:val="en-US" w:eastAsia="zh-CN" w:bidi="ar"/>
              </w:rPr>
              <w:t>(总分100分)</w:t>
            </w:r>
          </w:p>
        </w:tc>
        <w:tc>
          <w:tcPr>
            <w:tcW w:w="3583" w:type="pct"/>
            <w:shd w:val="clear" w:color="auto" w:fill="auto"/>
            <w:vAlign w:val="center"/>
          </w:tcPr>
          <w:p w14:paraId="689890F9">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价格分值：</w:t>
            </w:r>
          </w:p>
        </w:tc>
        <w:tc>
          <w:tcPr>
            <w:tcW w:w="506" w:type="pct"/>
            <w:shd w:val="clear" w:color="auto" w:fill="auto"/>
            <w:vAlign w:val="center"/>
          </w:tcPr>
          <w:p w14:paraId="013444AE">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50分</w:t>
            </w:r>
          </w:p>
        </w:tc>
      </w:tr>
      <w:tr w14:paraId="4E403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910" w:type="pct"/>
            <w:vMerge w:val="continue"/>
            <w:shd w:val="clear" w:color="auto" w:fill="auto"/>
            <w:vAlign w:val="center"/>
          </w:tcPr>
          <w:p w14:paraId="4FD7B1FE">
            <w:pPr>
              <w:spacing w:line="360" w:lineRule="auto"/>
              <w:jc w:val="center"/>
              <w:rPr>
                <w:rFonts w:hint="eastAsia" w:ascii="仿宋" w:hAnsi="仿宋" w:eastAsia="仿宋" w:cs="仿宋"/>
                <w:b/>
                <w:bCs/>
                <w:i w:val="0"/>
                <w:iCs w:val="0"/>
                <w:color w:val="auto"/>
                <w:sz w:val="22"/>
                <w:szCs w:val="22"/>
                <w:u w:val="none"/>
              </w:rPr>
            </w:pPr>
          </w:p>
        </w:tc>
        <w:tc>
          <w:tcPr>
            <w:tcW w:w="3583" w:type="pct"/>
            <w:shd w:val="clear" w:color="auto" w:fill="auto"/>
            <w:vAlign w:val="center"/>
          </w:tcPr>
          <w:p w14:paraId="70085BDC">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商务部分：</w:t>
            </w:r>
          </w:p>
        </w:tc>
        <w:tc>
          <w:tcPr>
            <w:tcW w:w="506" w:type="pct"/>
            <w:shd w:val="clear" w:color="auto" w:fill="auto"/>
            <w:vAlign w:val="center"/>
          </w:tcPr>
          <w:p w14:paraId="0185E96B">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13分</w:t>
            </w:r>
          </w:p>
        </w:tc>
      </w:tr>
      <w:tr w14:paraId="228D5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910" w:type="pct"/>
            <w:vMerge w:val="continue"/>
            <w:shd w:val="clear" w:color="auto" w:fill="auto"/>
            <w:vAlign w:val="center"/>
          </w:tcPr>
          <w:p w14:paraId="4CA2AA18">
            <w:pPr>
              <w:spacing w:line="360" w:lineRule="auto"/>
              <w:jc w:val="center"/>
              <w:rPr>
                <w:rFonts w:hint="eastAsia" w:ascii="仿宋" w:hAnsi="仿宋" w:eastAsia="仿宋" w:cs="仿宋"/>
                <w:b/>
                <w:bCs/>
                <w:i w:val="0"/>
                <w:iCs w:val="0"/>
                <w:color w:val="auto"/>
                <w:sz w:val="22"/>
                <w:szCs w:val="22"/>
                <w:u w:val="none"/>
              </w:rPr>
            </w:pPr>
          </w:p>
        </w:tc>
        <w:tc>
          <w:tcPr>
            <w:tcW w:w="3583" w:type="pct"/>
            <w:shd w:val="clear" w:color="auto" w:fill="auto"/>
            <w:vAlign w:val="center"/>
          </w:tcPr>
          <w:p w14:paraId="09AB5E5B">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技术部分：</w:t>
            </w:r>
          </w:p>
        </w:tc>
        <w:tc>
          <w:tcPr>
            <w:tcW w:w="506" w:type="pct"/>
            <w:shd w:val="clear" w:color="auto" w:fill="auto"/>
            <w:vAlign w:val="center"/>
          </w:tcPr>
          <w:p w14:paraId="359C63A3">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37分</w:t>
            </w:r>
          </w:p>
        </w:tc>
      </w:tr>
      <w:tr w14:paraId="493A3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5000" w:type="pct"/>
            <w:gridSpan w:val="3"/>
            <w:shd w:val="clear" w:color="auto" w:fill="auto"/>
            <w:vAlign w:val="center"/>
          </w:tcPr>
          <w:p w14:paraId="5B8EEE65">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价格部分（满分50分）</w:t>
            </w:r>
          </w:p>
        </w:tc>
      </w:tr>
      <w:tr w14:paraId="264AE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910" w:type="pct"/>
            <w:shd w:val="clear" w:color="auto" w:fill="auto"/>
            <w:vAlign w:val="center"/>
          </w:tcPr>
          <w:p w14:paraId="0600FF1D">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评分因素</w:t>
            </w:r>
          </w:p>
        </w:tc>
        <w:tc>
          <w:tcPr>
            <w:tcW w:w="3583" w:type="pct"/>
            <w:shd w:val="clear" w:color="auto" w:fill="auto"/>
            <w:vAlign w:val="center"/>
          </w:tcPr>
          <w:p w14:paraId="79026C89">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评分标准</w:t>
            </w:r>
          </w:p>
        </w:tc>
        <w:tc>
          <w:tcPr>
            <w:tcW w:w="506" w:type="pct"/>
            <w:shd w:val="clear" w:color="auto" w:fill="auto"/>
            <w:vAlign w:val="center"/>
          </w:tcPr>
          <w:p w14:paraId="2942AD8A">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分值</w:t>
            </w:r>
          </w:p>
        </w:tc>
      </w:tr>
      <w:tr w14:paraId="0C11C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65" w:hRule="atLeast"/>
        </w:trPr>
        <w:tc>
          <w:tcPr>
            <w:tcW w:w="910" w:type="pct"/>
            <w:shd w:val="clear" w:color="auto" w:fill="auto"/>
            <w:vAlign w:val="center"/>
          </w:tcPr>
          <w:p w14:paraId="4EDEADE8">
            <w:pPr>
              <w:spacing w:line="360" w:lineRule="auto"/>
              <w:ind w:firstLine="420" w:firstLineChars="200"/>
              <w:contextualSpacing/>
              <w:rPr>
                <w:rFonts w:ascii="仿宋" w:hAnsi="仿宋" w:eastAsia="仿宋" w:cs="仿宋"/>
                <w:szCs w:val="21"/>
                <w:lang w:val="zh-CN"/>
              </w:rPr>
            </w:pPr>
            <w:r>
              <w:rPr>
                <w:rFonts w:hint="eastAsia" w:ascii="仿宋" w:hAnsi="仿宋" w:eastAsia="仿宋" w:cs="仿宋"/>
                <w:szCs w:val="21"/>
                <w:lang w:val="zh-CN"/>
              </w:rPr>
              <w:t>投标报价</w:t>
            </w:r>
          </w:p>
          <w:p w14:paraId="6C1887B0">
            <w:pPr>
              <w:keepNext w:val="0"/>
              <w:keepLines w:val="0"/>
              <w:widowControl/>
              <w:suppressLineNumbers w:val="0"/>
              <w:spacing w:line="360" w:lineRule="auto"/>
              <w:jc w:val="center"/>
              <w:textAlignment w:val="center"/>
              <w:rPr>
                <w:rFonts w:hint="eastAsia" w:ascii="仿宋" w:hAnsi="仿宋" w:eastAsia="仿宋" w:cs="仿宋"/>
                <w:i w:val="0"/>
                <w:iCs w:val="0"/>
                <w:color w:val="auto"/>
                <w:sz w:val="22"/>
                <w:szCs w:val="22"/>
                <w:u w:val="none"/>
              </w:rPr>
            </w:pPr>
          </w:p>
        </w:tc>
        <w:tc>
          <w:tcPr>
            <w:tcW w:w="3583" w:type="pct"/>
            <w:shd w:val="clear" w:color="auto" w:fill="auto"/>
            <w:vAlign w:val="center"/>
          </w:tcPr>
          <w:p w14:paraId="16F4F981">
            <w:pPr>
              <w:spacing w:line="360" w:lineRule="auto"/>
              <w:ind w:firstLine="420" w:firstLineChars="200"/>
              <w:contextualSpacing/>
              <w:rPr>
                <w:rFonts w:ascii="仿宋" w:hAnsi="仿宋" w:eastAsia="仿宋" w:cs="仿宋"/>
                <w:szCs w:val="21"/>
                <w:lang w:val="zh-CN"/>
              </w:rPr>
            </w:pPr>
            <w:r>
              <w:rPr>
                <w:rFonts w:hint="eastAsia" w:ascii="仿宋" w:hAnsi="仿宋" w:eastAsia="仿宋" w:cs="仿宋"/>
                <w:szCs w:val="21"/>
                <w:lang w:val="zh-CN"/>
              </w:rPr>
              <w:t>投标报价分采用低价优先法计算，即满足招标文件要求且投标报价最低的为评审基准价，其报价分为满分。</w:t>
            </w:r>
          </w:p>
          <w:p w14:paraId="1D872BC7">
            <w:pPr>
              <w:spacing w:line="360" w:lineRule="auto"/>
              <w:ind w:firstLine="420" w:firstLineChars="200"/>
              <w:contextualSpacing/>
              <w:rPr>
                <w:rFonts w:ascii="仿宋" w:hAnsi="仿宋" w:eastAsia="仿宋" w:cs="仿宋"/>
                <w:szCs w:val="21"/>
              </w:rPr>
            </w:pPr>
            <w:r>
              <w:rPr>
                <w:rFonts w:hint="eastAsia" w:ascii="仿宋" w:hAnsi="仿宋" w:eastAsia="仿宋" w:cs="仿宋"/>
                <w:szCs w:val="21"/>
                <w:lang w:val="zh-CN"/>
              </w:rPr>
              <w:t>报价得分=（评审基准价/投标报价）×</w:t>
            </w:r>
            <w:r>
              <w:rPr>
                <w:rFonts w:hint="eastAsia" w:ascii="仿宋" w:hAnsi="仿宋" w:eastAsia="仿宋" w:cs="仿宋"/>
                <w:szCs w:val="21"/>
              </w:rPr>
              <w:t>50</w:t>
            </w:r>
          </w:p>
          <w:p w14:paraId="6FF18120">
            <w:pPr>
              <w:keepNext w:val="0"/>
              <w:keepLines w:val="0"/>
              <w:widowControl/>
              <w:suppressLineNumbers w:val="0"/>
              <w:spacing w:line="360" w:lineRule="auto"/>
              <w:jc w:val="left"/>
              <w:textAlignment w:val="center"/>
              <w:rPr>
                <w:rFonts w:hint="eastAsia" w:ascii="仿宋" w:hAnsi="仿宋" w:eastAsia="仿宋" w:cs="仿宋"/>
                <w:i w:val="0"/>
                <w:iCs w:val="0"/>
                <w:color w:val="auto"/>
                <w:sz w:val="22"/>
                <w:szCs w:val="22"/>
                <w:u w:val="none"/>
              </w:rPr>
            </w:pPr>
            <w:r>
              <w:rPr>
                <w:rFonts w:hint="eastAsia" w:ascii="仿宋" w:hAnsi="仿宋" w:eastAsia="仿宋" w:cs="仿宋"/>
                <w:szCs w:val="21"/>
                <w:lang w:val="zh-CN"/>
              </w:rPr>
              <w:t>注：分值计算保留小数点后两位，小数点后第三位“四舍五入”。</w:t>
            </w:r>
          </w:p>
        </w:tc>
        <w:tc>
          <w:tcPr>
            <w:tcW w:w="506" w:type="pct"/>
            <w:shd w:val="clear" w:color="auto" w:fill="auto"/>
            <w:vAlign w:val="center"/>
          </w:tcPr>
          <w:p w14:paraId="1627CBFA">
            <w:pPr>
              <w:keepNext w:val="0"/>
              <w:keepLines w:val="0"/>
              <w:widowControl/>
              <w:suppressLineNumbers w:val="0"/>
              <w:spacing w:line="360" w:lineRule="auto"/>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50分</w:t>
            </w:r>
          </w:p>
        </w:tc>
      </w:tr>
      <w:tr w14:paraId="3CCEB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5000" w:type="pct"/>
            <w:gridSpan w:val="3"/>
            <w:shd w:val="clear" w:color="auto" w:fill="auto"/>
            <w:vAlign w:val="center"/>
          </w:tcPr>
          <w:p w14:paraId="4EC23EEE">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二、商务部分（满分13分）</w:t>
            </w:r>
          </w:p>
        </w:tc>
      </w:tr>
      <w:tr w14:paraId="21177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910" w:type="pct"/>
            <w:shd w:val="clear" w:color="auto" w:fill="auto"/>
            <w:vAlign w:val="center"/>
          </w:tcPr>
          <w:p w14:paraId="2E8285EA">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评分因素</w:t>
            </w:r>
          </w:p>
        </w:tc>
        <w:tc>
          <w:tcPr>
            <w:tcW w:w="3583" w:type="pct"/>
            <w:shd w:val="clear" w:color="auto" w:fill="auto"/>
            <w:vAlign w:val="center"/>
          </w:tcPr>
          <w:p w14:paraId="6AB21946">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评分标准</w:t>
            </w:r>
          </w:p>
        </w:tc>
        <w:tc>
          <w:tcPr>
            <w:tcW w:w="506" w:type="pct"/>
            <w:shd w:val="clear" w:color="auto" w:fill="auto"/>
            <w:vAlign w:val="center"/>
          </w:tcPr>
          <w:p w14:paraId="34853B0A">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分值</w:t>
            </w:r>
          </w:p>
        </w:tc>
      </w:tr>
      <w:tr w14:paraId="1DCC3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59" w:hRule="atLeast"/>
        </w:trPr>
        <w:tc>
          <w:tcPr>
            <w:tcW w:w="910" w:type="pct"/>
            <w:shd w:val="clear" w:color="auto" w:fill="auto"/>
            <w:vAlign w:val="center"/>
          </w:tcPr>
          <w:p w14:paraId="6140EFAA">
            <w:pPr>
              <w:keepNext w:val="0"/>
              <w:keepLines w:val="0"/>
              <w:widowControl/>
              <w:suppressLineNumbers w:val="0"/>
              <w:spacing w:line="360" w:lineRule="auto"/>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szCs w:val="21"/>
                <w:lang w:val="zh-CN"/>
              </w:rPr>
              <w:t>业绩</w:t>
            </w:r>
          </w:p>
        </w:tc>
        <w:tc>
          <w:tcPr>
            <w:tcW w:w="3583" w:type="pct"/>
            <w:shd w:val="clear" w:color="auto" w:fill="auto"/>
            <w:vAlign w:val="center"/>
          </w:tcPr>
          <w:p w14:paraId="3B36358F">
            <w:pPr>
              <w:spacing w:line="360" w:lineRule="auto"/>
              <w:contextualSpacing/>
              <w:rPr>
                <w:rFonts w:ascii="仿宋" w:hAnsi="仿宋" w:eastAsia="仿宋" w:cs="仿宋"/>
                <w:szCs w:val="21"/>
                <w:lang w:val="zh-CN"/>
              </w:rPr>
            </w:pPr>
            <w:r>
              <w:rPr>
                <w:rFonts w:hint="eastAsia" w:ascii="仿宋" w:hAnsi="仿宋" w:eastAsia="仿宋" w:cs="仿宋"/>
                <w:szCs w:val="21"/>
                <w:lang w:val="zh-CN"/>
              </w:rPr>
              <w:t>投标人提供202</w:t>
            </w:r>
            <w:r>
              <w:rPr>
                <w:rFonts w:hint="eastAsia" w:ascii="仿宋" w:hAnsi="仿宋" w:eastAsia="仿宋" w:cs="仿宋"/>
                <w:szCs w:val="21"/>
              </w:rPr>
              <w:t>2</w:t>
            </w:r>
            <w:r>
              <w:rPr>
                <w:rFonts w:hint="eastAsia" w:ascii="仿宋" w:hAnsi="仿宋" w:eastAsia="仿宋" w:cs="仿宋"/>
                <w:szCs w:val="21"/>
                <w:lang w:val="zh-CN"/>
              </w:rPr>
              <w:t>年1月1日以来类似项目业绩，每有一份加</w:t>
            </w:r>
            <w:r>
              <w:rPr>
                <w:rFonts w:hint="eastAsia" w:ascii="仿宋" w:hAnsi="仿宋" w:eastAsia="仿宋" w:cs="仿宋"/>
                <w:szCs w:val="21"/>
              </w:rPr>
              <w:t>2</w:t>
            </w:r>
            <w:r>
              <w:rPr>
                <w:rFonts w:hint="eastAsia" w:ascii="仿宋" w:hAnsi="仿宋" w:eastAsia="仿宋" w:cs="仿宋"/>
                <w:szCs w:val="21"/>
                <w:lang w:val="zh-CN"/>
              </w:rPr>
              <w:t>分，最多得</w:t>
            </w:r>
            <w:r>
              <w:rPr>
                <w:rFonts w:hint="eastAsia" w:ascii="仿宋" w:hAnsi="仿宋" w:eastAsia="仿宋" w:cs="仿宋"/>
                <w:szCs w:val="21"/>
              </w:rPr>
              <w:t>4</w:t>
            </w:r>
            <w:r>
              <w:rPr>
                <w:rFonts w:hint="eastAsia" w:ascii="仿宋" w:hAnsi="仿宋" w:eastAsia="仿宋" w:cs="仿宋"/>
                <w:szCs w:val="21"/>
                <w:lang w:val="zh-CN"/>
              </w:rPr>
              <w:t>分。</w:t>
            </w:r>
          </w:p>
          <w:p w14:paraId="00314D9C">
            <w:pPr>
              <w:keepNext w:val="0"/>
              <w:keepLines w:val="0"/>
              <w:widowControl/>
              <w:suppressLineNumbers w:val="0"/>
              <w:spacing w:line="360" w:lineRule="auto"/>
              <w:jc w:val="left"/>
              <w:textAlignment w:val="center"/>
              <w:rPr>
                <w:rFonts w:hint="eastAsia" w:ascii="仿宋" w:hAnsi="仿宋" w:eastAsia="仿宋" w:cs="仿宋"/>
                <w:i w:val="0"/>
                <w:iCs w:val="0"/>
                <w:color w:val="auto"/>
                <w:sz w:val="22"/>
                <w:szCs w:val="22"/>
                <w:u w:val="none"/>
              </w:rPr>
            </w:pPr>
            <w:r>
              <w:rPr>
                <w:rFonts w:hint="eastAsia" w:ascii="仿宋" w:hAnsi="仿宋" w:eastAsia="仿宋" w:cs="仿宋"/>
                <w:color w:val="000000"/>
                <w:szCs w:val="21"/>
              </w:rPr>
              <w:t>注：投标文件中须附合同扫描件。</w:t>
            </w:r>
          </w:p>
        </w:tc>
        <w:tc>
          <w:tcPr>
            <w:tcW w:w="506" w:type="pct"/>
            <w:shd w:val="clear" w:color="auto" w:fill="auto"/>
            <w:vAlign w:val="center"/>
          </w:tcPr>
          <w:p w14:paraId="5210D9F4">
            <w:pPr>
              <w:keepNext w:val="0"/>
              <w:keepLines w:val="0"/>
              <w:widowControl/>
              <w:suppressLineNumbers w:val="0"/>
              <w:spacing w:line="360" w:lineRule="auto"/>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4分</w:t>
            </w:r>
          </w:p>
        </w:tc>
      </w:tr>
      <w:tr w14:paraId="670D0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780" w:hRule="atLeast"/>
        </w:trPr>
        <w:tc>
          <w:tcPr>
            <w:tcW w:w="910" w:type="pct"/>
            <w:shd w:val="clear" w:color="auto" w:fill="auto"/>
            <w:vAlign w:val="center"/>
          </w:tcPr>
          <w:p w14:paraId="5D40744A">
            <w:pPr>
              <w:spacing w:line="360" w:lineRule="auto"/>
              <w:ind w:firstLine="420" w:firstLineChars="200"/>
              <w:contextualSpacing/>
              <w:rPr>
                <w:rFonts w:ascii="仿宋" w:hAnsi="仿宋" w:eastAsia="仿宋" w:cs="仿宋"/>
                <w:color w:val="000000"/>
                <w:szCs w:val="21"/>
                <w:lang w:val="zh-CN"/>
              </w:rPr>
            </w:pPr>
            <w:r>
              <w:rPr>
                <w:rFonts w:hint="eastAsia" w:ascii="仿宋" w:hAnsi="仿宋" w:eastAsia="仿宋" w:cs="仿宋"/>
                <w:color w:val="000000"/>
                <w:szCs w:val="21"/>
                <w:lang w:val="zh-CN"/>
              </w:rPr>
              <w:t>企业实力</w:t>
            </w:r>
          </w:p>
          <w:p w14:paraId="2408448C">
            <w:pPr>
              <w:keepNext w:val="0"/>
              <w:keepLines w:val="0"/>
              <w:widowControl/>
              <w:suppressLineNumbers w:val="0"/>
              <w:spacing w:line="360" w:lineRule="auto"/>
              <w:jc w:val="center"/>
              <w:textAlignment w:val="center"/>
              <w:rPr>
                <w:rFonts w:hint="eastAsia" w:ascii="仿宋" w:hAnsi="仿宋" w:eastAsia="仿宋" w:cs="仿宋"/>
                <w:i w:val="0"/>
                <w:iCs w:val="0"/>
                <w:color w:val="auto"/>
                <w:sz w:val="22"/>
                <w:szCs w:val="22"/>
                <w:u w:val="none"/>
              </w:rPr>
            </w:pPr>
          </w:p>
        </w:tc>
        <w:tc>
          <w:tcPr>
            <w:tcW w:w="3583" w:type="pct"/>
            <w:shd w:val="clear" w:color="auto" w:fill="auto"/>
            <w:vAlign w:val="center"/>
          </w:tcPr>
          <w:p w14:paraId="2EF1AEAB">
            <w:pPr>
              <w:numPr>
                <w:ilvl w:val="0"/>
                <w:numId w:val="84"/>
              </w:numPr>
              <w:spacing w:line="360" w:lineRule="auto"/>
              <w:ind w:firstLine="420" w:firstLineChars="200"/>
              <w:contextualSpacing/>
              <w:rPr>
                <w:rFonts w:ascii="仿宋" w:hAnsi="仿宋" w:eastAsia="仿宋" w:cs="仿宋"/>
                <w:color w:val="000000"/>
                <w:szCs w:val="21"/>
                <w:lang w:val="zh-CN"/>
              </w:rPr>
            </w:pPr>
            <w:r>
              <w:rPr>
                <w:rFonts w:hint="eastAsia" w:ascii="仿宋" w:hAnsi="仿宋" w:eastAsia="仿宋" w:cs="仿宋"/>
                <w:color w:val="000000"/>
                <w:szCs w:val="21"/>
                <w:lang w:val="zh-CN"/>
              </w:rPr>
              <w:t>所投电钢琴生产企业具有ISO 9001、ISO 45001、ISO 14001、ISO 14025认证证书，并提供相关证书</w:t>
            </w:r>
            <w:r>
              <w:rPr>
                <w:rFonts w:hint="eastAsia" w:ascii="仿宋" w:hAnsi="仿宋" w:eastAsia="仿宋" w:cs="仿宋"/>
                <w:color w:val="000000"/>
                <w:szCs w:val="21"/>
              </w:rPr>
              <w:t>扫描件</w:t>
            </w:r>
            <w:r>
              <w:rPr>
                <w:rFonts w:hint="eastAsia" w:ascii="仿宋" w:hAnsi="仿宋" w:eastAsia="仿宋" w:cs="仿宋"/>
                <w:color w:val="000000"/>
                <w:szCs w:val="21"/>
                <w:lang w:val="zh-CN"/>
              </w:rPr>
              <w:t>加盖生产厂商公章的得</w:t>
            </w:r>
            <w:r>
              <w:rPr>
                <w:rFonts w:hint="eastAsia" w:ascii="仿宋" w:hAnsi="仿宋" w:eastAsia="仿宋" w:cs="仿宋"/>
                <w:color w:val="000000"/>
                <w:szCs w:val="21"/>
              </w:rPr>
              <w:t>0.5</w:t>
            </w:r>
            <w:r>
              <w:rPr>
                <w:rFonts w:hint="eastAsia" w:ascii="仿宋" w:hAnsi="仿宋" w:eastAsia="仿宋" w:cs="仿宋"/>
                <w:color w:val="000000"/>
                <w:szCs w:val="21"/>
                <w:lang w:val="zh-CN"/>
              </w:rPr>
              <w:t>分，</w:t>
            </w:r>
            <w:r>
              <w:rPr>
                <w:rFonts w:hint="eastAsia" w:ascii="仿宋" w:hAnsi="仿宋" w:eastAsia="仿宋" w:cs="仿宋"/>
                <w:color w:val="000000"/>
                <w:szCs w:val="21"/>
              </w:rPr>
              <w:t>共计2分，缺</w:t>
            </w:r>
            <w:r>
              <w:rPr>
                <w:rFonts w:hint="eastAsia" w:ascii="仿宋" w:hAnsi="仿宋" w:eastAsia="仿宋" w:cs="仿宋"/>
                <w:color w:val="000000"/>
                <w:szCs w:val="21"/>
                <w:lang w:val="zh-CN"/>
              </w:rPr>
              <w:t>项不得分。</w:t>
            </w:r>
          </w:p>
          <w:p w14:paraId="1EDB52F6">
            <w:pPr>
              <w:numPr>
                <w:ilvl w:val="0"/>
                <w:numId w:val="84"/>
              </w:numPr>
              <w:spacing w:line="360" w:lineRule="auto"/>
              <w:ind w:firstLine="420" w:firstLineChars="200"/>
              <w:contextualSpacing/>
              <w:rPr>
                <w:rFonts w:ascii="仿宋" w:hAnsi="仿宋" w:eastAsia="仿宋" w:cs="仿宋"/>
                <w:color w:val="000000"/>
                <w:szCs w:val="21"/>
                <w:lang w:val="zh-CN"/>
              </w:rPr>
            </w:pPr>
            <w:r>
              <w:rPr>
                <w:rFonts w:hint="eastAsia" w:ascii="仿宋" w:hAnsi="仿宋" w:eastAsia="仿宋" w:cs="仿宋"/>
                <w:color w:val="000000"/>
                <w:szCs w:val="21"/>
                <w:lang w:val="zh-CN"/>
              </w:rPr>
              <w:t>为保证产品质量和教学所需所投信创版电钢琴教室控制系统提供计算机软件著作权登记证书</w:t>
            </w:r>
            <w:r>
              <w:rPr>
                <w:rFonts w:hint="eastAsia" w:ascii="仿宋" w:hAnsi="仿宋" w:eastAsia="仿宋" w:cs="仿宋"/>
                <w:color w:val="000000"/>
                <w:szCs w:val="21"/>
              </w:rPr>
              <w:t>扫描件</w:t>
            </w:r>
            <w:r>
              <w:rPr>
                <w:rFonts w:hint="eastAsia" w:ascii="仿宋" w:hAnsi="仿宋" w:eastAsia="仿宋" w:cs="仿宋"/>
                <w:color w:val="000000"/>
                <w:szCs w:val="21"/>
                <w:lang w:val="zh-CN"/>
              </w:rPr>
              <w:t>加盖生产厂商公章的得1分；不提供不得分；</w:t>
            </w:r>
          </w:p>
          <w:p w14:paraId="09E476D2">
            <w:pPr>
              <w:numPr>
                <w:ilvl w:val="0"/>
                <w:numId w:val="84"/>
              </w:numPr>
              <w:spacing w:line="360" w:lineRule="auto"/>
              <w:ind w:firstLine="420" w:firstLineChars="200"/>
              <w:contextualSpacing/>
              <w:rPr>
                <w:rFonts w:ascii="仿宋" w:hAnsi="仿宋" w:eastAsia="仿宋" w:cs="仿宋"/>
                <w:color w:val="000000"/>
                <w:szCs w:val="21"/>
                <w:lang w:val="zh-CN"/>
              </w:rPr>
            </w:pPr>
            <w:r>
              <w:rPr>
                <w:rFonts w:hint="eastAsia" w:ascii="仿宋" w:hAnsi="仿宋" w:eastAsia="仿宋" w:cs="仿宋"/>
                <w:color w:val="000000"/>
                <w:szCs w:val="21"/>
                <w:lang w:val="zh-CN"/>
              </w:rPr>
              <w:t>为保证产品质量和教学所需所投数据交互中心管理器</w:t>
            </w:r>
            <w:r>
              <w:rPr>
                <w:rFonts w:hint="eastAsia" w:ascii="仿宋" w:hAnsi="仿宋" w:eastAsia="仿宋" w:cs="仿宋"/>
                <w:color w:val="000000"/>
                <w:szCs w:val="21"/>
              </w:rPr>
              <w:t>系统</w:t>
            </w:r>
            <w:r>
              <w:rPr>
                <w:rFonts w:hint="eastAsia" w:ascii="仿宋" w:hAnsi="仿宋" w:eastAsia="仿宋" w:cs="仿宋"/>
                <w:color w:val="000000"/>
                <w:szCs w:val="21"/>
                <w:lang w:val="zh-CN"/>
              </w:rPr>
              <w:t>提供计算机软件著作权登记证书</w:t>
            </w:r>
            <w:r>
              <w:rPr>
                <w:rFonts w:hint="eastAsia" w:ascii="仿宋" w:hAnsi="仿宋" w:eastAsia="仿宋" w:cs="仿宋"/>
                <w:color w:val="000000"/>
                <w:szCs w:val="21"/>
              </w:rPr>
              <w:t>扫描件</w:t>
            </w:r>
            <w:r>
              <w:rPr>
                <w:rFonts w:hint="eastAsia" w:ascii="仿宋" w:hAnsi="仿宋" w:eastAsia="仿宋" w:cs="仿宋"/>
                <w:color w:val="000000"/>
                <w:szCs w:val="21"/>
                <w:lang w:val="zh-CN"/>
              </w:rPr>
              <w:t>加盖生产厂商公章的得1分；不提供不得分；</w:t>
            </w:r>
          </w:p>
          <w:p w14:paraId="13D3B61C">
            <w:pPr>
              <w:numPr>
                <w:ilvl w:val="0"/>
                <w:numId w:val="84"/>
              </w:numPr>
              <w:spacing w:line="360" w:lineRule="auto"/>
              <w:ind w:firstLine="420" w:firstLineChars="200"/>
              <w:contextualSpacing/>
              <w:rPr>
                <w:rFonts w:ascii="仿宋" w:hAnsi="仿宋" w:eastAsia="仿宋" w:cs="仿宋"/>
                <w:color w:val="000000"/>
                <w:szCs w:val="21"/>
                <w:lang w:val="zh-CN"/>
              </w:rPr>
            </w:pPr>
            <w:r>
              <w:rPr>
                <w:rFonts w:hint="eastAsia" w:ascii="仿宋" w:hAnsi="仿宋" w:eastAsia="仿宋" w:cs="仿宋"/>
                <w:color w:val="000000"/>
                <w:szCs w:val="21"/>
                <w:lang w:val="zh-CN"/>
              </w:rPr>
              <w:t>为保证产品质量和教学所需所投数据交互处理器</w:t>
            </w:r>
            <w:r>
              <w:rPr>
                <w:rFonts w:hint="eastAsia" w:ascii="仿宋" w:hAnsi="仿宋" w:eastAsia="仿宋" w:cs="仿宋"/>
                <w:color w:val="000000"/>
                <w:szCs w:val="21"/>
              </w:rPr>
              <w:t>系统</w:t>
            </w:r>
            <w:r>
              <w:rPr>
                <w:rFonts w:hint="eastAsia" w:ascii="仿宋" w:hAnsi="仿宋" w:eastAsia="仿宋" w:cs="仿宋"/>
                <w:color w:val="000000"/>
                <w:szCs w:val="21"/>
                <w:lang w:val="zh-CN"/>
              </w:rPr>
              <w:t>提供计算机软件著作权登记证书</w:t>
            </w:r>
            <w:r>
              <w:rPr>
                <w:rFonts w:hint="eastAsia" w:ascii="仿宋" w:hAnsi="仿宋" w:eastAsia="仿宋" w:cs="仿宋"/>
                <w:color w:val="000000"/>
                <w:szCs w:val="21"/>
              </w:rPr>
              <w:t>扫描件</w:t>
            </w:r>
            <w:r>
              <w:rPr>
                <w:rFonts w:hint="eastAsia" w:ascii="仿宋" w:hAnsi="仿宋" w:eastAsia="仿宋" w:cs="仿宋"/>
                <w:color w:val="000000"/>
                <w:szCs w:val="21"/>
                <w:lang w:val="zh-CN"/>
              </w:rPr>
              <w:t>加盖生产厂商公章的得1分；不提供不得分；</w:t>
            </w:r>
          </w:p>
          <w:p w14:paraId="741AD53B">
            <w:pPr>
              <w:numPr>
                <w:ilvl w:val="0"/>
                <w:numId w:val="84"/>
              </w:numPr>
              <w:spacing w:line="360" w:lineRule="auto"/>
              <w:ind w:firstLine="420" w:firstLineChars="200"/>
              <w:contextualSpacing/>
              <w:rPr>
                <w:rFonts w:ascii="仿宋" w:hAnsi="仿宋" w:eastAsia="仿宋" w:cs="仿宋"/>
                <w:color w:val="000000"/>
                <w:szCs w:val="21"/>
                <w:lang w:val="zh-CN"/>
              </w:rPr>
            </w:pPr>
            <w:r>
              <w:rPr>
                <w:rFonts w:hint="eastAsia" w:ascii="仿宋" w:hAnsi="仿宋" w:eastAsia="仿宋" w:cs="仿宋"/>
                <w:color w:val="000000"/>
                <w:szCs w:val="21"/>
                <w:lang w:val="zh-CN"/>
              </w:rPr>
              <w:t>为保证产品质量和教学所需所投产品数字音乐教学互动平台提供音乐乐理教学交互式软件类型的计算机软件著作权登记证书、</w:t>
            </w:r>
            <w:r>
              <w:rPr>
                <w:rFonts w:hint="eastAsia" w:ascii="仿宋" w:hAnsi="仿宋" w:eastAsia="仿宋" w:cs="仿宋"/>
                <w:color w:val="000000"/>
                <w:szCs w:val="21"/>
              </w:rPr>
              <w:t>音程教学模块系统</w:t>
            </w:r>
            <w:r>
              <w:rPr>
                <w:rFonts w:hint="eastAsia" w:ascii="仿宋" w:hAnsi="仿宋" w:eastAsia="仿宋" w:cs="仿宋"/>
                <w:color w:val="000000"/>
                <w:szCs w:val="21"/>
                <w:lang w:val="zh-CN"/>
              </w:rPr>
              <w:t>类型</w:t>
            </w:r>
            <w:r>
              <w:rPr>
                <w:rFonts w:hint="eastAsia" w:ascii="仿宋" w:hAnsi="仿宋" w:eastAsia="仿宋" w:cs="仿宋"/>
                <w:color w:val="000000"/>
                <w:szCs w:val="21"/>
              </w:rPr>
              <w:t>的计算机软件著作权登记证书扫描件</w:t>
            </w:r>
            <w:r>
              <w:rPr>
                <w:rFonts w:hint="eastAsia" w:ascii="仿宋" w:hAnsi="仿宋" w:eastAsia="仿宋" w:cs="仿宋"/>
                <w:color w:val="000000"/>
                <w:szCs w:val="21"/>
                <w:lang w:val="zh-CN"/>
              </w:rPr>
              <w:t>加盖生产厂商公章的得</w:t>
            </w:r>
            <w:r>
              <w:rPr>
                <w:rFonts w:hint="eastAsia" w:ascii="仿宋" w:hAnsi="仿宋" w:eastAsia="仿宋" w:cs="仿宋"/>
                <w:color w:val="000000"/>
                <w:szCs w:val="21"/>
              </w:rPr>
              <w:t>2</w:t>
            </w:r>
            <w:r>
              <w:rPr>
                <w:rFonts w:hint="eastAsia" w:ascii="仿宋" w:hAnsi="仿宋" w:eastAsia="仿宋" w:cs="仿宋"/>
                <w:color w:val="000000"/>
                <w:szCs w:val="21"/>
                <w:lang w:val="zh-CN"/>
              </w:rPr>
              <w:t>分；</w:t>
            </w:r>
            <w:r>
              <w:rPr>
                <w:rFonts w:hint="eastAsia" w:ascii="仿宋" w:hAnsi="仿宋" w:eastAsia="仿宋" w:cs="仿宋"/>
                <w:color w:val="000000"/>
                <w:szCs w:val="21"/>
              </w:rPr>
              <w:t>缺</w:t>
            </w:r>
            <w:r>
              <w:rPr>
                <w:rFonts w:hint="eastAsia" w:ascii="仿宋" w:hAnsi="仿宋" w:eastAsia="仿宋" w:cs="仿宋"/>
                <w:color w:val="000000"/>
                <w:szCs w:val="21"/>
                <w:lang w:val="zh-CN"/>
              </w:rPr>
              <w:t>项不得分。</w:t>
            </w:r>
          </w:p>
          <w:p w14:paraId="0FABDF8D">
            <w:pPr>
              <w:numPr>
                <w:ilvl w:val="0"/>
                <w:numId w:val="84"/>
              </w:numPr>
              <w:spacing w:line="360" w:lineRule="auto"/>
              <w:ind w:firstLine="420" w:firstLineChars="200"/>
              <w:contextualSpacing/>
              <w:rPr>
                <w:rFonts w:ascii="仿宋" w:hAnsi="仿宋" w:eastAsia="仿宋" w:cs="仿宋"/>
                <w:color w:val="000000"/>
                <w:szCs w:val="21"/>
                <w:lang w:val="zh-CN"/>
              </w:rPr>
            </w:pPr>
            <w:r>
              <w:rPr>
                <w:rFonts w:hint="eastAsia" w:ascii="仿宋" w:hAnsi="仿宋" w:eastAsia="仿宋" w:cs="仿宋"/>
                <w:color w:val="000000"/>
                <w:szCs w:val="21"/>
                <w:lang w:val="zh-CN"/>
              </w:rPr>
              <w:t>为保证产品质量和教学所需所投产品多媒体交互控制工作站</w:t>
            </w:r>
            <w:r>
              <w:rPr>
                <w:rFonts w:hint="eastAsia" w:ascii="仿宋" w:hAnsi="仿宋" w:eastAsia="仿宋" w:cs="仿宋"/>
                <w:color w:val="000000"/>
                <w:szCs w:val="21"/>
              </w:rPr>
              <w:t>具备售后服务完善度认证证书（GB/T 27922）、信息系统建设和服务能力达到CS2级别登记证书</w:t>
            </w:r>
            <w:r>
              <w:rPr>
                <w:rFonts w:hint="eastAsia" w:ascii="仿宋" w:hAnsi="仿宋" w:eastAsia="仿宋" w:cs="仿宋"/>
                <w:color w:val="000000"/>
                <w:szCs w:val="21"/>
                <w:lang w:val="zh-CN"/>
              </w:rPr>
              <w:t>得</w:t>
            </w:r>
            <w:r>
              <w:rPr>
                <w:rFonts w:hint="eastAsia" w:ascii="仿宋" w:hAnsi="仿宋" w:eastAsia="仿宋" w:cs="仿宋"/>
                <w:color w:val="000000"/>
                <w:szCs w:val="21"/>
              </w:rPr>
              <w:t>2</w:t>
            </w:r>
            <w:r>
              <w:rPr>
                <w:rFonts w:hint="eastAsia" w:ascii="仿宋" w:hAnsi="仿宋" w:eastAsia="仿宋" w:cs="仿宋"/>
                <w:color w:val="000000"/>
                <w:szCs w:val="21"/>
                <w:lang w:val="zh-CN"/>
              </w:rPr>
              <w:t>分；</w:t>
            </w:r>
            <w:r>
              <w:rPr>
                <w:rFonts w:hint="eastAsia" w:ascii="仿宋" w:hAnsi="仿宋" w:eastAsia="仿宋" w:cs="仿宋"/>
                <w:color w:val="000000"/>
                <w:szCs w:val="21"/>
              </w:rPr>
              <w:t>缺</w:t>
            </w:r>
            <w:r>
              <w:rPr>
                <w:rFonts w:hint="eastAsia" w:ascii="仿宋" w:hAnsi="仿宋" w:eastAsia="仿宋" w:cs="仿宋"/>
                <w:color w:val="000000"/>
                <w:szCs w:val="21"/>
                <w:lang w:val="zh-CN"/>
              </w:rPr>
              <w:t>项不得分。</w:t>
            </w:r>
          </w:p>
          <w:p w14:paraId="08E0CAAB">
            <w:pPr>
              <w:keepNext w:val="0"/>
              <w:keepLines w:val="0"/>
              <w:widowControl/>
              <w:suppressLineNumbers w:val="0"/>
              <w:spacing w:line="360" w:lineRule="auto"/>
              <w:jc w:val="left"/>
              <w:textAlignment w:val="center"/>
              <w:rPr>
                <w:rFonts w:hint="eastAsia" w:ascii="仿宋" w:hAnsi="仿宋" w:eastAsia="仿宋" w:cs="仿宋"/>
                <w:i w:val="0"/>
                <w:iCs w:val="0"/>
                <w:color w:val="auto"/>
                <w:sz w:val="22"/>
                <w:szCs w:val="22"/>
                <w:u w:val="none"/>
              </w:rPr>
            </w:pPr>
            <w:r>
              <w:rPr>
                <w:rFonts w:hint="eastAsia" w:ascii="仿宋" w:hAnsi="仿宋" w:eastAsia="仿宋" w:cs="仿宋"/>
                <w:color w:val="000000"/>
                <w:szCs w:val="21"/>
              </w:rPr>
              <w:t>注：投标文件中须附证书扫描件并</w:t>
            </w:r>
            <w:r>
              <w:rPr>
                <w:rFonts w:hint="eastAsia" w:ascii="仿宋" w:hAnsi="仿宋" w:eastAsia="仿宋" w:cs="仿宋"/>
                <w:color w:val="000000"/>
                <w:szCs w:val="21"/>
                <w:lang w:val="zh-CN"/>
              </w:rPr>
              <w:t>加盖原厂公章</w:t>
            </w:r>
            <w:r>
              <w:rPr>
                <w:rFonts w:hint="eastAsia" w:ascii="仿宋" w:hAnsi="仿宋" w:eastAsia="仿宋" w:cs="仿宋"/>
                <w:color w:val="000000"/>
                <w:szCs w:val="21"/>
              </w:rPr>
              <w:t>。</w:t>
            </w:r>
          </w:p>
        </w:tc>
        <w:tc>
          <w:tcPr>
            <w:tcW w:w="506" w:type="pct"/>
            <w:shd w:val="clear" w:color="auto" w:fill="auto"/>
            <w:vAlign w:val="center"/>
          </w:tcPr>
          <w:p w14:paraId="70ED8366">
            <w:pPr>
              <w:keepNext w:val="0"/>
              <w:keepLines w:val="0"/>
              <w:widowControl/>
              <w:suppressLineNumbers w:val="0"/>
              <w:spacing w:line="360" w:lineRule="auto"/>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9分</w:t>
            </w:r>
          </w:p>
        </w:tc>
      </w:tr>
      <w:tr w14:paraId="46214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5000" w:type="pct"/>
            <w:gridSpan w:val="3"/>
            <w:shd w:val="clear" w:color="auto" w:fill="auto"/>
            <w:vAlign w:val="center"/>
          </w:tcPr>
          <w:p w14:paraId="186446AF">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三、技术部分（满分37分）</w:t>
            </w:r>
          </w:p>
        </w:tc>
      </w:tr>
      <w:tr w14:paraId="2AC99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0" w:hRule="atLeast"/>
        </w:trPr>
        <w:tc>
          <w:tcPr>
            <w:tcW w:w="910" w:type="pct"/>
            <w:shd w:val="clear" w:color="auto" w:fill="auto"/>
            <w:vAlign w:val="center"/>
          </w:tcPr>
          <w:p w14:paraId="7DAD2F2A">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评分因素</w:t>
            </w:r>
          </w:p>
        </w:tc>
        <w:tc>
          <w:tcPr>
            <w:tcW w:w="3583" w:type="pct"/>
            <w:shd w:val="clear" w:color="auto" w:fill="auto"/>
            <w:vAlign w:val="center"/>
          </w:tcPr>
          <w:p w14:paraId="4F5B2901">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评分标准</w:t>
            </w:r>
          </w:p>
        </w:tc>
        <w:tc>
          <w:tcPr>
            <w:tcW w:w="506" w:type="pct"/>
            <w:shd w:val="clear" w:color="auto" w:fill="auto"/>
            <w:vAlign w:val="center"/>
          </w:tcPr>
          <w:p w14:paraId="5F2FD3D6">
            <w:pPr>
              <w:keepNext w:val="0"/>
              <w:keepLines w:val="0"/>
              <w:widowControl/>
              <w:suppressLineNumbers w:val="0"/>
              <w:spacing w:line="360" w:lineRule="auto"/>
              <w:jc w:val="center"/>
              <w:textAlignment w:val="center"/>
              <w:rPr>
                <w:rFonts w:hint="eastAsia" w:ascii="仿宋" w:hAnsi="仿宋" w:eastAsia="仿宋" w:cs="仿宋"/>
                <w:b/>
                <w:bCs/>
                <w:i w:val="0"/>
                <w:iCs w:val="0"/>
                <w:color w:val="auto"/>
                <w:sz w:val="22"/>
                <w:szCs w:val="22"/>
                <w:u w:val="none"/>
              </w:rPr>
            </w:pPr>
            <w:r>
              <w:rPr>
                <w:rFonts w:hint="eastAsia" w:ascii="仿宋" w:hAnsi="仿宋" w:eastAsia="仿宋" w:cs="仿宋"/>
                <w:b/>
                <w:bCs/>
                <w:i w:val="0"/>
                <w:iCs w:val="0"/>
                <w:color w:val="auto"/>
                <w:kern w:val="0"/>
                <w:sz w:val="22"/>
                <w:szCs w:val="22"/>
                <w:u w:val="none"/>
                <w:lang w:val="en-US" w:eastAsia="zh-CN" w:bidi="ar"/>
              </w:rPr>
              <w:t>分值</w:t>
            </w:r>
          </w:p>
        </w:tc>
      </w:tr>
      <w:tr w14:paraId="6B38F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98" w:hRule="atLeast"/>
        </w:trPr>
        <w:tc>
          <w:tcPr>
            <w:tcW w:w="910" w:type="pct"/>
            <w:shd w:val="clear" w:color="auto" w:fill="auto"/>
            <w:vAlign w:val="center"/>
          </w:tcPr>
          <w:p w14:paraId="5FDBBA3F">
            <w:pPr>
              <w:keepNext w:val="0"/>
              <w:keepLines w:val="0"/>
              <w:widowControl/>
              <w:suppressLineNumbers w:val="0"/>
              <w:spacing w:line="360" w:lineRule="auto"/>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szCs w:val="21"/>
                <w:lang w:val="zh-CN"/>
              </w:rPr>
              <w:t>技术指标</w:t>
            </w:r>
            <w:r>
              <w:rPr>
                <w:rFonts w:hint="eastAsia" w:ascii="仿宋" w:hAnsi="仿宋" w:eastAsia="仿宋" w:cs="仿宋"/>
                <w:szCs w:val="21"/>
                <w:lang w:val="zh-CN"/>
              </w:rPr>
              <w:br w:type="textWrapping"/>
            </w:r>
            <w:r>
              <w:rPr>
                <w:rFonts w:hint="eastAsia" w:ascii="仿宋" w:hAnsi="仿宋" w:eastAsia="仿宋" w:cs="仿宋"/>
                <w:szCs w:val="21"/>
                <w:lang w:val="zh-CN"/>
              </w:rPr>
              <w:t>（</w:t>
            </w:r>
            <w:r>
              <w:rPr>
                <w:rFonts w:hint="eastAsia" w:ascii="仿宋" w:hAnsi="仿宋" w:eastAsia="仿宋" w:cs="仿宋"/>
                <w:szCs w:val="21"/>
              </w:rPr>
              <w:t>18</w:t>
            </w:r>
            <w:r>
              <w:rPr>
                <w:rFonts w:hint="eastAsia" w:ascii="仿宋" w:hAnsi="仿宋" w:eastAsia="仿宋" w:cs="仿宋"/>
                <w:szCs w:val="21"/>
                <w:lang w:val="zh-CN"/>
              </w:rPr>
              <w:t>分）</w:t>
            </w:r>
          </w:p>
        </w:tc>
        <w:tc>
          <w:tcPr>
            <w:tcW w:w="3583" w:type="pct"/>
            <w:shd w:val="clear" w:color="auto" w:fill="auto"/>
            <w:vAlign w:val="center"/>
          </w:tcPr>
          <w:p w14:paraId="48AA5C87">
            <w:pPr>
              <w:spacing w:line="360" w:lineRule="auto"/>
              <w:ind w:firstLine="420" w:firstLineChars="200"/>
              <w:contextualSpacing/>
              <w:rPr>
                <w:rFonts w:ascii="仿宋" w:hAnsi="仿宋" w:eastAsia="仿宋" w:cs="仿宋"/>
                <w:szCs w:val="21"/>
                <w:lang w:val="zh-CN"/>
              </w:rPr>
            </w:pPr>
            <w:r>
              <w:rPr>
                <w:rFonts w:hint="eastAsia" w:ascii="仿宋" w:hAnsi="仿宋" w:eastAsia="仿宋" w:cs="仿宋"/>
                <w:szCs w:val="21"/>
                <w:lang w:val="zh-CN"/>
              </w:rPr>
              <w:t>加“▲”项为关键技术参数，每满足一项并</w:t>
            </w:r>
            <w:r>
              <w:rPr>
                <w:rFonts w:hint="eastAsia" w:ascii="仿宋" w:hAnsi="仿宋" w:eastAsia="仿宋" w:cs="仿宋"/>
                <w:szCs w:val="21"/>
              </w:rPr>
              <w:t>提供招标文件中要求的佐证材料</w:t>
            </w:r>
            <w:r>
              <w:rPr>
                <w:rFonts w:hint="eastAsia" w:ascii="仿宋" w:hAnsi="仿宋" w:eastAsia="仿宋" w:cs="仿宋"/>
                <w:szCs w:val="21"/>
                <w:lang w:val="zh-CN"/>
              </w:rPr>
              <w:t>加1分，不提供不得分，该项满分为</w:t>
            </w:r>
            <w:r>
              <w:rPr>
                <w:rFonts w:hint="eastAsia" w:ascii="仿宋" w:hAnsi="仿宋" w:eastAsia="仿宋" w:cs="仿宋"/>
                <w:szCs w:val="21"/>
              </w:rPr>
              <w:t>18</w:t>
            </w:r>
            <w:r>
              <w:rPr>
                <w:rFonts w:hint="eastAsia" w:ascii="仿宋" w:hAnsi="仿宋" w:eastAsia="仿宋" w:cs="仿宋"/>
                <w:szCs w:val="21"/>
                <w:lang w:val="zh-CN"/>
              </w:rPr>
              <w:t>分。</w:t>
            </w:r>
          </w:p>
          <w:p w14:paraId="65B6FD1E">
            <w:pPr>
              <w:keepNext w:val="0"/>
              <w:keepLines w:val="0"/>
              <w:widowControl/>
              <w:suppressLineNumbers w:val="0"/>
              <w:spacing w:line="360" w:lineRule="auto"/>
              <w:jc w:val="left"/>
              <w:textAlignment w:val="center"/>
              <w:rPr>
                <w:rFonts w:hint="eastAsia" w:ascii="仿宋" w:hAnsi="仿宋" w:eastAsia="仿宋" w:cs="仿宋"/>
                <w:i w:val="0"/>
                <w:iCs w:val="0"/>
                <w:color w:val="auto"/>
                <w:sz w:val="22"/>
                <w:szCs w:val="22"/>
                <w:u w:val="none"/>
              </w:rPr>
            </w:pPr>
            <w:r>
              <w:rPr>
                <w:rFonts w:hint="eastAsia" w:ascii="仿宋" w:hAnsi="仿宋" w:eastAsia="仿宋" w:cs="仿宋"/>
                <w:szCs w:val="21"/>
              </w:rPr>
              <w:t>注：</w:t>
            </w:r>
            <w:r>
              <w:rPr>
                <w:rFonts w:hint="eastAsia" w:ascii="仿宋" w:hAnsi="仿宋" w:eastAsia="仿宋" w:cs="仿宋"/>
                <w:color w:val="000000"/>
                <w:szCs w:val="21"/>
              </w:rPr>
              <w:t>投标文件中须附</w:t>
            </w:r>
            <w:r>
              <w:rPr>
                <w:rFonts w:hint="eastAsia" w:ascii="仿宋" w:hAnsi="仿宋" w:eastAsia="仿宋" w:cs="仿宋"/>
                <w:szCs w:val="21"/>
              </w:rPr>
              <w:t>佐证材料</w:t>
            </w:r>
            <w:r>
              <w:rPr>
                <w:rFonts w:hint="eastAsia" w:ascii="仿宋" w:hAnsi="仿宋" w:eastAsia="仿宋" w:cs="仿宋"/>
                <w:color w:val="000000"/>
                <w:szCs w:val="21"/>
              </w:rPr>
              <w:t>扫描件并</w:t>
            </w:r>
            <w:r>
              <w:rPr>
                <w:rFonts w:hint="eastAsia" w:ascii="仿宋" w:hAnsi="仿宋" w:eastAsia="仿宋" w:cs="仿宋"/>
                <w:color w:val="000000"/>
                <w:szCs w:val="21"/>
                <w:lang w:val="zh-CN"/>
              </w:rPr>
              <w:t>加盖原厂公章</w:t>
            </w:r>
            <w:r>
              <w:rPr>
                <w:rFonts w:hint="eastAsia" w:ascii="仿宋" w:hAnsi="仿宋" w:eastAsia="仿宋" w:cs="仿宋"/>
                <w:color w:val="000000"/>
                <w:szCs w:val="21"/>
              </w:rPr>
              <w:t>。</w:t>
            </w:r>
          </w:p>
        </w:tc>
        <w:tc>
          <w:tcPr>
            <w:tcW w:w="506" w:type="pct"/>
            <w:shd w:val="clear" w:color="auto" w:fill="auto"/>
            <w:vAlign w:val="center"/>
          </w:tcPr>
          <w:p w14:paraId="4F09EBD6">
            <w:pPr>
              <w:keepNext w:val="0"/>
              <w:keepLines w:val="0"/>
              <w:widowControl/>
              <w:suppressLineNumbers w:val="0"/>
              <w:spacing w:line="360" w:lineRule="auto"/>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18分</w:t>
            </w:r>
          </w:p>
        </w:tc>
      </w:tr>
      <w:tr w14:paraId="230AD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440" w:hRule="atLeast"/>
        </w:trPr>
        <w:tc>
          <w:tcPr>
            <w:tcW w:w="910" w:type="pct"/>
            <w:shd w:val="clear" w:color="auto" w:fill="auto"/>
            <w:vAlign w:val="center"/>
          </w:tcPr>
          <w:p w14:paraId="00F22E17">
            <w:pPr>
              <w:spacing w:line="360" w:lineRule="auto"/>
              <w:contextualSpacing/>
              <w:jc w:val="center"/>
              <w:rPr>
                <w:rFonts w:ascii="仿宋" w:hAnsi="仿宋" w:eastAsia="仿宋" w:cs="仿宋"/>
                <w:szCs w:val="21"/>
                <w:lang w:val="zh-CN"/>
              </w:rPr>
            </w:pPr>
            <w:r>
              <w:rPr>
                <w:rFonts w:hint="eastAsia" w:ascii="仿宋" w:hAnsi="仿宋" w:eastAsia="仿宋" w:cs="仿宋"/>
                <w:szCs w:val="21"/>
                <w:lang w:val="zh-CN"/>
              </w:rPr>
              <w:t>技术方案</w:t>
            </w:r>
          </w:p>
          <w:p w14:paraId="184EAA61">
            <w:pPr>
              <w:keepNext w:val="0"/>
              <w:keepLines w:val="0"/>
              <w:widowControl/>
              <w:suppressLineNumbers w:val="0"/>
              <w:spacing w:line="360" w:lineRule="auto"/>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szCs w:val="21"/>
                <w:lang w:val="zh-CN"/>
              </w:rPr>
              <w:t>（10分）</w:t>
            </w:r>
          </w:p>
        </w:tc>
        <w:tc>
          <w:tcPr>
            <w:tcW w:w="3583" w:type="pct"/>
            <w:shd w:val="clear" w:color="auto" w:fill="auto"/>
            <w:vAlign w:val="center"/>
          </w:tcPr>
          <w:p w14:paraId="0DCA9120">
            <w:pPr>
              <w:keepNext w:val="0"/>
              <w:keepLines w:val="0"/>
              <w:widowControl/>
              <w:suppressLineNumbers w:val="0"/>
              <w:spacing w:line="360" w:lineRule="auto"/>
              <w:jc w:val="left"/>
              <w:textAlignment w:val="center"/>
              <w:rPr>
                <w:rFonts w:hint="eastAsia" w:ascii="仿宋" w:hAnsi="仿宋" w:eastAsia="仿宋" w:cs="仿宋"/>
                <w:i w:val="0"/>
                <w:iCs w:val="0"/>
                <w:color w:val="auto"/>
                <w:sz w:val="22"/>
                <w:szCs w:val="22"/>
                <w:u w:val="none"/>
              </w:rPr>
            </w:pPr>
            <w:r>
              <w:rPr>
                <w:rFonts w:hint="eastAsia" w:ascii="仿宋" w:hAnsi="仿宋" w:eastAsia="仿宋" w:cs="仿宋"/>
                <w:color w:val="000000"/>
                <w:szCs w:val="21"/>
                <w:lang w:val="zh-CN"/>
              </w:rPr>
              <w:t>投标人</w:t>
            </w:r>
            <w:r>
              <w:rPr>
                <w:rFonts w:hint="eastAsia" w:ascii="仿宋" w:hAnsi="仿宋" w:eastAsia="仿宋" w:cs="仿宋"/>
                <w:color w:val="000000"/>
                <w:szCs w:val="21"/>
              </w:rPr>
              <w:t>提供针对本项目的工作</w:t>
            </w:r>
            <w:r>
              <w:rPr>
                <w:rFonts w:hint="eastAsia" w:ascii="仿宋" w:hAnsi="仿宋" w:eastAsia="仿宋" w:cs="仿宋"/>
                <w:color w:val="000000"/>
                <w:szCs w:val="21"/>
                <w:lang w:val="zh-CN"/>
              </w:rPr>
              <w:t>方案，包括①供货进度、安装时间、货期保证；②运输协调、安装进度计划、平台架构功能设计③施工前期准备、人员技术培训 ④质量保证措施、施工方案。</w:t>
            </w:r>
            <w:r>
              <w:rPr>
                <w:rFonts w:hint="eastAsia" w:ascii="仿宋" w:hAnsi="仿宋" w:eastAsia="仿宋" w:cs="仿宋"/>
                <w:color w:val="000000"/>
                <w:szCs w:val="21"/>
              </w:rPr>
              <w:t>每项内容科学可行、有针对性且详细完整得 10 分，内容完整但简单、通用得5分，未提供对应项方案或方案内容不符合该项要求的不得分。</w:t>
            </w:r>
          </w:p>
        </w:tc>
        <w:tc>
          <w:tcPr>
            <w:tcW w:w="506" w:type="pct"/>
            <w:shd w:val="clear" w:color="auto" w:fill="auto"/>
            <w:vAlign w:val="center"/>
          </w:tcPr>
          <w:p w14:paraId="16F898E5">
            <w:pPr>
              <w:keepNext w:val="0"/>
              <w:keepLines w:val="0"/>
              <w:widowControl/>
              <w:suppressLineNumbers w:val="0"/>
              <w:spacing w:line="360" w:lineRule="auto"/>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10分</w:t>
            </w:r>
          </w:p>
        </w:tc>
      </w:tr>
      <w:tr w14:paraId="1CD9E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100" w:hRule="atLeast"/>
        </w:trPr>
        <w:tc>
          <w:tcPr>
            <w:tcW w:w="910" w:type="pct"/>
            <w:shd w:val="clear" w:color="auto" w:fill="auto"/>
            <w:vAlign w:val="center"/>
          </w:tcPr>
          <w:p w14:paraId="0E7D0968">
            <w:pPr>
              <w:spacing w:line="360" w:lineRule="auto"/>
              <w:ind w:firstLine="420" w:firstLineChars="200"/>
              <w:contextualSpacing/>
              <w:rPr>
                <w:rFonts w:ascii="仿宋" w:hAnsi="仿宋" w:eastAsia="仿宋" w:cs="仿宋"/>
                <w:szCs w:val="21"/>
                <w:lang w:val="zh-CN"/>
              </w:rPr>
            </w:pPr>
            <w:r>
              <w:rPr>
                <w:rFonts w:hint="eastAsia" w:ascii="仿宋" w:hAnsi="仿宋" w:eastAsia="仿宋" w:cs="仿宋"/>
                <w:szCs w:val="21"/>
                <w:lang w:val="zh-CN"/>
              </w:rPr>
              <w:t>售后服务</w:t>
            </w:r>
          </w:p>
          <w:p w14:paraId="266D64EF">
            <w:pPr>
              <w:keepNext w:val="0"/>
              <w:keepLines w:val="0"/>
              <w:widowControl/>
              <w:suppressLineNumbers w:val="0"/>
              <w:spacing w:line="360" w:lineRule="auto"/>
              <w:jc w:val="center"/>
              <w:textAlignment w:val="center"/>
              <w:rPr>
                <w:rFonts w:hint="eastAsia" w:ascii="仿宋" w:hAnsi="仿宋" w:eastAsia="仿宋" w:cs="仿宋"/>
                <w:i w:val="0"/>
                <w:iCs w:val="0"/>
                <w:color w:val="auto"/>
                <w:sz w:val="22"/>
                <w:szCs w:val="22"/>
                <w:u w:val="none"/>
              </w:rPr>
            </w:pPr>
          </w:p>
        </w:tc>
        <w:tc>
          <w:tcPr>
            <w:tcW w:w="3583" w:type="pct"/>
            <w:shd w:val="clear" w:color="auto" w:fill="auto"/>
            <w:vAlign w:val="center"/>
          </w:tcPr>
          <w:p w14:paraId="74E0C9D3">
            <w:pPr>
              <w:spacing w:line="360" w:lineRule="auto"/>
              <w:ind w:firstLine="420" w:firstLineChars="200"/>
              <w:contextualSpacing/>
              <w:rPr>
                <w:rFonts w:ascii="仿宋" w:hAnsi="仿宋" w:eastAsia="仿宋" w:cs="仿宋"/>
                <w:szCs w:val="21"/>
                <w:lang w:val="zh-CN"/>
              </w:rPr>
            </w:pPr>
            <w:r>
              <w:rPr>
                <w:rFonts w:hint="eastAsia" w:ascii="仿宋" w:hAnsi="仿宋" w:eastAsia="仿宋" w:cs="仿宋"/>
                <w:szCs w:val="21"/>
                <w:lang w:val="zh-CN"/>
              </w:rPr>
              <w:t>1、投标人提供</w:t>
            </w:r>
            <w:r>
              <w:rPr>
                <w:rFonts w:hint="eastAsia" w:ascii="仿宋" w:hAnsi="仿宋" w:eastAsia="仿宋" w:cs="仿宋"/>
                <w:szCs w:val="21"/>
              </w:rPr>
              <w:t>针对本项目的售后服务方案包括：①</w:t>
            </w:r>
            <w:r>
              <w:rPr>
                <w:rFonts w:hint="eastAsia" w:ascii="仿宋" w:hAnsi="仿宋" w:eastAsia="仿宋" w:cs="仿宋"/>
                <w:szCs w:val="21"/>
                <w:lang w:val="zh-CN"/>
              </w:rPr>
              <w:t>质保期内服务承诺</w:t>
            </w:r>
            <w:r>
              <w:rPr>
                <w:rFonts w:hint="eastAsia" w:ascii="仿宋" w:hAnsi="仿宋" w:eastAsia="仿宋" w:cs="仿宋"/>
                <w:szCs w:val="21"/>
              </w:rPr>
              <w:t>②</w:t>
            </w:r>
            <w:r>
              <w:rPr>
                <w:rFonts w:hint="eastAsia" w:ascii="仿宋" w:hAnsi="仿宋" w:eastAsia="仿宋" w:cs="仿宋"/>
                <w:szCs w:val="21"/>
                <w:lang w:val="zh-CN"/>
              </w:rPr>
              <w:t>响应时间</w:t>
            </w:r>
            <w:r>
              <w:rPr>
                <w:rFonts w:hint="eastAsia" w:ascii="仿宋" w:hAnsi="仿宋" w:eastAsia="仿宋" w:cs="仿宋"/>
                <w:szCs w:val="21"/>
              </w:rPr>
              <w:t>③</w:t>
            </w:r>
            <w:r>
              <w:rPr>
                <w:rFonts w:hint="eastAsia" w:ascii="仿宋" w:hAnsi="仿宋" w:eastAsia="仿宋" w:cs="仿宋"/>
                <w:szCs w:val="21"/>
                <w:lang w:val="zh-CN"/>
              </w:rPr>
              <w:t>售后服务地址，联系人及联系电话。</w:t>
            </w:r>
            <w:r>
              <w:rPr>
                <w:rFonts w:hint="eastAsia" w:ascii="仿宋" w:hAnsi="仿宋" w:eastAsia="仿宋" w:cs="仿宋"/>
                <w:szCs w:val="21"/>
              </w:rPr>
              <w:t>每项内容全面详细</w:t>
            </w:r>
            <w:r>
              <w:rPr>
                <w:rFonts w:hint="eastAsia" w:ascii="仿宋" w:hAnsi="仿宋" w:eastAsia="仿宋" w:cs="仿宋"/>
                <w:b w:val="0"/>
                <w:bCs w:val="0"/>
                <w:color w:val="000000" w:themeColor="text1"/>
                <w:szCs w:val="21"/>
                <w:lang w:val="zh-CN"/>
                <w14:textFill>
                  <w14:solidFill>
                    <w14:schemeClr w14:val="tx1"/>
                  </w14:solidFill>
                </w14:textFill>
              </w:rPr>
              <w:t>合理</w:t>
            </w:r>
            <w:r>
              <w:rPr>
                <w:rFonts w:hint="eastAsia" w:ascii="仿宋" w:hAnsi="仿宋" w:eastAsia="仿宋" w:cs="仿宋"/>
                <w:b w:val="0"/>
                <w:bCs w:val="0"/>
                <w:color w:val="000000" w:themeColor="text1"/>
                <w:szCs w:val="21"/>
                <w14:textFill>
                  <w14:solidFill>
                    <w14:schemeClr w14:val="tx1"/>
                  </w14:solidFill>
                </w14:textFill>
              </w:rPr>
              <w:t>可</w:t>
            </w:r>
            <w:r>
              <w:rPr>
                <w:rFonts w:hint="eastAsia" w:ascii="仿宋" w:hAnsi="仿宋" w:eastAsia="仿宋" w:cs="仿宋"/>
                <w:szCs w:val="21"/>
              </w:rPr>
              <w:t>行的得 5 分，不缺项且仅做简单描述得2分，缺项或不提供不得分。</w:t>
            </w:r>
          </w:p>
          <w:p w14:paraId="29329ACD">
            <w:pPr>
              <w:keepNext w:val="0"/>
              <w:keepLines w:val="0"/>
              <w:widowControl/>
              <w:suppressLineNumbers w:val="0"/>
              <w:spacing w:line="360" w:lineRule="auto"/>
              <w:jc w:val="left"/>
              <w:textAlignment w:val="center"/>
              <w:rPr>
                <w:rFonts w:hint="eastAsia" w:ascii="仿宋" w:hAnsi="仿宋" w:eastAsia="仿宋" w:cs="仿宋"/>
                <w:i w:val="0"/>
                <w:iCs w:val="0"/>
                <w:color w:val="auto"/>
                <w:sz w:val="22"/>
                <w:szCs w:val="22"/>
                <w:u w:val="none"/>
              </w:rPr>
            </w:pPr>
            <w:r>
              <w:rPr>
                <w:rFonts w:hint="eastAsia" w:ascii="仿宋" w:hAnsi="仿宋" w:eastAsia="仿宋" w:cs="仿宋"/>
                <w:szCs w:val="21"/>
              </w:rPr>
              <w:t>2</w:t>
            </w:r>
            <w:r>
              <w:rPr>
                <w:rFonts w:hint="eastAsia" w:ascii="仿宋" w:hAnsi="仿宋" w:eastAsia="仿宋" w:cs="仿宋"/>
                <w:szCs w:val="21"/>
                <w:lang w:val="zh-CN"/>
              </w:rPr>
              <w:t>、负责为采购人培训操作人员，并有完整的培训方案，</w:t>
            </w:r>
            <w:r>
              <w:rPr>
                <w:rFonts w:hint="eastAsia" w:ascii="仿宋" w:hAnsi="仿宋" w:eastAsia="仿宋" w:cs="仿宋"/>
                <w:szCs w:val="21"/>
              </w:rPr>
              <w:t>包括</w:t>
            </w:r>
            <w:r>
              <w:rPr>
                <w:rFonts w:hint="eastAsia" w:ascii="仿宋" w:hAnsi="仿宋" w:eastAsia="仿宋" w:cs="仿宋"/>
                <w:szCs w:val="21"/>
                <w:lang w:val="zh-CN"/>
              </w:rPr>
              <w:t>①培训内容②培训方式③人员安排等方案措施，科学合理内容完善得4分,仅有简单描述的得</w:t>
            </w:r>
            <w:r>
              <w:rPr>
                <w:rFonts w:hint="eastAsia" w:ascii="仿宋" w:hAnsi="仿宋" w:eastAsia="仿宋" w:cs="仿宋"/>
                <w:szCs w:val="21"/>
              </w:rPr>
              <w:t>2</w:t>
            </w:r>
            <w:r>
              <w:rPr>
                <w:rFonts w:hint="eastAsia" w:ascii="仿宋" w:hAnsi="仿宋" w:eastAsia="仿宋" w:cs="仿宋"/>
                <w:szCs w:val="21"/>
                <w:lang w:val="zh-CN"/>
              </w:rPr>
              <w:t>分，</w:t>
            </w:r>
            <w:r>
              <w:rPr>
                <w:rFonts w:hint="eastAsia" w:ascii="仿宋" w:hAnsi="仿宋" w:eastAsia="仿宋" w:cs="仿宋"/>
                <w:szCs w:val="21"/>
              </w:rPr>
              <w:t>缺项或不提供不得分。</w:t>
            </w:r>
          </w:p>
        </w:tc>
        <w:tc>
          <w:tcPr>
            <w:tcW w:w="506" w:type="pct"/>
            <w:shd w:val="clear" w:color="auto" w:fill="auto"/>
            <w:vAlign w:val="center"/>
          </w:tcPr>
          <w:p w14:paraId="5BC81030">
            <w:pPr>
              <w:keepNext w:val="0"/>
              <w:keepLines w:val="0"/>
              <w:widowControl/>
              <w:suppressLineNumbers w:val="0"/>
              <w:spacing w:line="360" w:lineRule="auto"/>
              <w:jc w:val="center"/>
              <w:textAlignment w:val="center"/>
              <w:rPr>
                <w:rFonts w:hint="eastAsia" w:ascii="仿宋" w:hAnsi="仿宋" w:eastAsia="仿宋" w:cs="仿宋"/>
                <w:i w:val="0"/>
                <w:iCs w:val="0"/>
                <w:color w:val="auto"/>
                <w:sz w:val="22"/>
                <w:szCs w:val="22"/>
                <w:u w:val="none"/>
              </w:rPr>
            </w:pPr>
            <w:r>
              <w:rPr>
                <w:rFonts w:hint="eastAsia" w:ascii="仿宋" w:hAnsi="仿宋" w:eastAsia="仿宋" w:cs="仿宋"/>
                <w:i w:val="0"/>
                <w:iCs w:val="0"/>
                <w:color w:val="auto"/>
                <w:kern w:val="0"/>
                <w:sz w:val="22"/>
                <w:szCs w:val="22"/>
                <w:u w:val="none"/>
                <w:lang w:val="en-US" w:eastAsia="zh-CN" w:bidi="ar"/>
              </w:rPr>
              <w:t>9分</w:t>
            </w:r>
          </w:p>
        </w:tc>
      </w:tr>
    </w:tbl>
    <w:p w14:paraId="6AE69B69">
      <w:pPr>
        <w:spacing w:line="360" w:lineRule="auto"/>
        <w:ind w:firstLine="420" w:firstLineChars="200"/>
        <w:contextualSpacing/>
        <w:rPr>
          <w:rFonts w:cs="仿宋_GB2312" w:asciiTheme="minorEastAsia" w:hAnsiTheme="minorEastAsia" w:eastAsiaTheme="minorEastAsia"/>
          <w:sz w:val="21"/>
          <w:szCs w:val="21"/>
          <w:lang w:val="zh-CN"/>
        </w:rPr>
      </w:pPr>
      <w:r>
        <w:rPr>
          <w:rFonts w:hint="eastAsia" w:cs="仿宋_GB2312" w:asciiTheme="minorEastAsia" w:hAnsiTheme="minorEastAsia"/>
          <w:szCs w:val="21"/>
          <w:lang w:val="zh-CN"/>
        </w:rPr>
        <w:t>（7）评标结果汇总完成后，除下列情形外，任何人不得修改评标结果：</w:t>
      </w:r>
    </w:p>
    <w:p w14:paraId="171DDD19">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 xml:space="preserve">1） </w:t>
      </w:r>
      <w:r>
        <w:rPr>
          <w:rFonts w:cs="仿宋_GB2312" w:asciiTheme="minorEastAsia" w:hAnsiTheme="minorEastAsia"/>
          <w:szCs w:val="21"/>
          <w:lang w:val="zh-CN"/>
        </w:rPr>
        <w:t>分值汇总计算错误的；</w:t>
      </w:r>
    </w:p>
    <w:p w14:paraId="40D8AD6E">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 xml:space="preserve">2） </w:t>
      </w:r>
      <w:r>
        <w:rPr>
          <w:rFonts w:cs="仿宋_GB2312" w:asciiTheme="minorEastAsia" w:hAnsiTheme="minorEastAsia"/>
          <w:szCs w:val="21"/>
          <w:lang w:val="zh-CN"/>
        </w:rPr>
        <w:t>分项评分超出评分标准范围的；</w:t>
      </w:r>
    </w:p>
    <w:p w14:paraId="278C6138">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 xml:space="preserve">3） </w:t>
      </w:r>
      <w:r>
        <w:rPr>
          <w:rFonts w:cs="仿宋_GB2312" w:asciiTheme="minorEastAsia" w:hAnsiTheme="minorEastAsia"/>
          <w:szCs w:val="21"/>
          <w:lang w:val="zh-CN"/>
        </w:rPr>
        <w:t>评标委员会成员对客观评审因素评分不一致的；</w:t>
      </w:r>
    </w:p>
    <w:p w14:paraId="7EB5B935">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 xml:space="preserve">4） </w:t>
      </w:r>
      <w:r>
        <w:rPr>
          <w:rFonts w:cs="仿宋_GB2312" w:asciiTheme="minorEastAsia" w:hAnsiTheme="minorEastAsia"/>
          <w:szCs w:val="21"/>
          <w:lang w:val="zh-CN"/>
        </w:rPr>
        <w:t>经评标委员会认定评分畸高、畸低的。</w:t>
      </w:r>
    </w:p>
    <w:p w14:paraId="27735B74">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cs="仿宋_GB2312" w:asciiTheme="minorEastAsia" w:hAnsiTheme="minorEastAsia"/>
          <w:szCs w:val="21"/>
          <w:lang w:val="zh-CN"/>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2CBF2C53">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cs="仿宋_GB2312" w:asciiTheme="minorEastAsia" w:hAnsiTheme="minorEastAsia"/>
          <w:szCs w:val="21"/>
          <w:lang w:val="zh-CN"/>
        </w:rPr>
        <w:t>投标人对本条第一款情形提出质疑的，采购人或者采购代理机构可以组织原评标委员会进行重新评审，重新评审改变评标结果的，应当书面报告本级财政部门。</w:t>
      </w:r>
    </w:p>
    <w:p w14:paraId="7B676B87">
      <w:pPr>
        <w:wordWrap w:val="0"/>
        <w:spacing w:line="360" w:lineRule="auto"/>
        <w:ind w:firstLine="420" w:firstLineChars="200"/>
        <w:contextualSpacing/>
        <w:rPr>
          <w:rFonts w:cs="仿宋_GB2312" w:asciiTheme="minorEastAsia" w:hAnsiTheme="minorEastAsia"/>
          <w:szCs w:val="21"/>
          <w:lang w:val="zh-CN"/>
        </w:rPr>
      </w:pPr>
      <w:r>
        <w:rPr>
          <w:rFonts w:hint="eastAsia" w:cs="仿宋_GB2312" w:asciiTheme="minorEastAsia" w:hAnsiTheme="minorEastAsia"/>
          <w:szCs w:val="21"/>
          <w:lang w:val="zh-CN"/>
        </w:rPr>
        <w:t>（8）按照《关于推进全流程电子化交易和在线监管工作有关问题的通知》（许公管办[2019]3号）规定：评标专家应严格按照要求查看“硬件特征码”相关信息并进行评审，在评审报告中显示“不同投标人电子投标文件制作硬件特征码”是否雷同的分析及判定结果。</w:t>
      </w:r>
    </w:p>
    <w:p w14:paraId="188CAFDB">
      <w:pPr>
        <w:tabs>
          <w:tab w:val="left" w:pos="1260"/>
        </w:tabs>
        <w:autoSpaceDE w:val="0"/>
        <w:autoSpaceDN w:val="0"/>
        <w:spacing w:line="360" w:lineRule="auto"/>
        <w:ind w:firstLine="422" w:firstLineChars="200"/>
        <w:contextualSpacing/>
        <w:rPr>
          <w:rFonts w:cs="仿宋_GB2312" w:asciiTheme="minorEastAsia" w:hAnsiTheme="minorEastAsia"/>
          <w:b/>
          <w:szCs w:val="21"/>
          <w:lang w:val="zh-CN"/>
        </w:rPr>
      </w:pPr>
      <w:r>
        <w:rPr>
          <w:rFonts w:hint="eastAsia" w:cs="仿宋_GB2312" w:asciiTheme="minorEastAsia" w:hAnsiTheme="minorEastAsia"/>
          <w:b/>
          <w:szCs w:val="21"/>
          <w:lang w:val="zh-CN"/>
        </w:rPr>
        <w:t>（9）</w:t>
      </w:r>
      <w:r>
        <w:rPr>
          <w:rFonts w:cs="仿宋_GB2312" w:asciiTheme="minorEastAsia" w:hAnsiTheme="minorEastAsia"/>
          <w:b/>
          <w:szCs w:val="21"/>
          <w:lang w:val="zh-CN"/>
        </w:rPr>
        <w:t>评标委员会</w:t>
      </w:r>
      <w:r>
        <w:rPr>
          <w:rFonts w:hint="eastAsia" w:cs="仿宋_GB2312" w:asciiTheme="minorEastAsia" w:hAnsiTheme="minorEastAsia"/>
          <w:b/>
          <w:szCs w:val="21"/>
          <w:lang w:val="zh-CN"/>
        </w:rPr>
        <w:t>争议处理</w:t>
      </w:r>
    </w:p>
    <w:p w14:paraId="0A9208A7">
      <w:pPr>
        <w:tabs>
          <w:tab w:val="left" w:pos="1260"/>
        </w:tabs>
        <w:autoSpaceDE w:val="0"/>
        <w:autoSpaceDN w:val="0"/>
        <w:spacing w:line="360" w:lineRule="auto"/>
        <w:ind w:firstLine="420" w:firstLineChars="200"/>
        <w:contextualSpacing/>
        <w:rPr>
          <w:rFonts w:cs="仿宋_GB2312" w:asciiTheme="minorEastAsia" w:hAnsiTheme="minorEastAsia"/>
          <w:szCs w:val="21"/>
          <w:lang w:val="zh-CN"/>
        </w:rPr>
      </w:pPr>
      <w:r>
        <w:rPr>
          <w:rFonts w:cs="仿宋_GB2312" w:asciiTheme="minorEastAsia" w:hAnsiTheme="minorEastAsia"/>
          <w:szCs w:val="21"/>
          <w:lang w:val="zh-CN"/>
        </w:rPr>
        <w:t>评标委员会成员对需要共同认定的事项存在争议的，应当按照少数服从多数的原则作出结论。持不同意见的评标委员会成员应当在评标报告上签署不同意见及理由，否则视为同意评标报告。</w:t>
      </w:r>
    </w:p>
    <w:p w14:paraId="2E773048">
      <w:pPr>
        <w:spacing w:line="360" w:lineRule="auto"/>
        <w:ind w:firstLine="422" w:firstLineChars="200"/>
        <w:contextualSpacing/>
        <w:rPr>
          <w:rFonts w:cs="宋体" w:asciiTheme="majorEastAsia" w:hAnsiTheme="majorEastAsia" w:eastAsiaTheme="majorEastAsia"/>
          <w:b/>
          <w:kern w:val="0"/>
          <w:sz w:val="32"/>
          <w:szCs w:val="32"/>
        </w:rPr>
      </w:pPr>
      <w:r>
        <w:rPr>
          <w:rFonts w:hint="eastAsia" w:cs="仿宋_GB2312" w:asciiTheme="minorEastAsia" w:hAnsiTheme="minorEastAsia"/>
          <w:b/>
          <w:szCs w:val="21"/>
          <w:lang w:val="zh-CN"/>
        </w:rPr>
        <w:t>4、</w:t>
      </w:r>
      <w:r>
        <w:rPr>
          <w:rFonts w:cs="仿宋_GB2312" w:asciiTheme="minorEastAsia" w:hAnsiTheme="minorEastAsia"/>
          <w:b/>
          <w:szCs w:val="21"/>
          <w:lang w:val="zh-CN"/>
        </w:rPr>
        <w:t>确定中标候选人名单，以及根据采购人委托直接确定中标人</w:t>
      </w:r>
      <w:r>
        <w:rPr>
          <w:rFonts w:hint="eastAsia" w:cs="仿宋_GB2312" w:asciiTheme="minorEastAsia" w:hAnsiTheme="minorEastAsia"/>
          <w:b/>
          <w:szCs w:val="21"/>
          <w:lang w:val="zh-CN"/>
        </w:rPr>
        <w:t>。</w:t>
      </w:r>
    </w:p>
    <w:p w14:paraId="597D89D2">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4DC1AA68">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04BEFCE4">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66E6EFB1">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494938EA">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pPr>
    </w:p>
    <w:p w14:paraId="3683B99A">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sectPr>
          <w:pgSz w:w="11906" w:h="16838"/>
          <w:pgMar w:top="2098" w:right="1474" w:bottom="1928" w:left="1588" w:header="851" w:footer="992" w:gutter="0"/>
          <w:cols w:space="425" w:num="1"/>
          <w:docGrid w:type="lines" w:linePitch="312" w:charSpace="0"/>
        </w:sectPr>
      </w:pPr>
    </w:p>
    <w:p w14:paraId="45B424BC">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第七章 拟签订的合同文本</w:t>
      </w:r>
    </w:p>
    <w:p w14:paraId="437827C4">
      <w:pPr>
        <w:pStyle w:val="14"/>
        <w:spacing w:line="360" w:lineRule="auto"/>
        <w:contextualSpacing/>
        <w:jc w:val="center"/>
        <w:rPr>
          <w:rFonts w:cs="宋体" w:asciiTheme="majorEastAsia" w:hAnsiTheme="majorEastAsia" w:eastAsiaTheme="majorEastAsia"/>
          <w:b/>
          <w:kern w:val="0"/>
          <w:sz w:val="36"/>
          <w:szCs w:val="36"/>
        </w:rPr>
      </w:pPr>
    </w:p>
    <w:p w14:paraId="12F3116C">
      <w:pPr>
        <w:spacing w:line="360" w:lineRule="auto"/>
        <w:jc w:val="center"/>
        <w:rPr>
          <w:rFonts w:ascii="宋体" w:hAnsi="宋体" w:cs="微软雅黑"/>
          <w:b/>
          <w:bCs/>
          <w:szCs w:val="21"/>
        </w:rPr>
      </w:pPr>
      <w:r>
        <w:rPr>
          <w:rFonts w:hint="eastAsia" w:ascii="宋体" w:hAnsi="宋体" w:cs="微软雅黑"/>
          <w:b/>
          <w:bCs/>
          <w:szCs w:val="21"/>
        </w:rPr>
        <w:t>（此合同仅供参考。以最终采购人与中标人签定的合同条款为准进行公示，</w:t>
      </w:r>
    </w:p>
    <w:p w14:paraId="7A206FA5">
      <w:pPr>
        <w:spacing w:line="360" w:lineRule="auto"/>
        <w:jc w:val="center"/>
        <w:rPr>
          <w:rFonts w:ascii="宋体" w:hAnsi="宋体" w:cs="微软雅黑"/>
          <w:b/>
          <w:bCs/>
          <w:szCs w:val="21"/>
        </w:rPr>
      </w:pPr>
      <w:r>
        <w:rPr>
          <w:rFonts w:hint="eastAsia" w:ascii="宋体" w:hAnsi="宋体" w:cs="微软雅黑"/>
          <w:b/>
          <w:bCs/>
          <w:szCs w:val="21"/>
        </w:rPr>
        <w:t>最终签定合同的主要条款不能与招标文件有冲突）</w:t>
      </w:r>
    </w:p>
    <w:p w14:paraId="7AD019F2">
      <w:pPr>
        <w:pStyle w:val="14"/>
        <w:spacing w:line="360" w:lineRule="auto"/>
        <w:contextualSpacing/>
        <w:jc w:val="center"/>
        <w:rPr>
          <w:rFonts w:cs="宋体" w:asciiTheme="majorEastAsia" w:hAnsiTheme="majorEastAsia" w:eastAsiaTheme="majorEastAsia"/>
          <w:b/>
          <w:kern w:val="0"/>
          <w:sz w:val="36"/>
          <w:szCs w:val="36"/>
        </w:rPr>
      </w:pPr>
    </w:p>
    <w:p w14:paraId="162F90CA">
      <w:pPr>
        <w:pStyle w:val="22"/>
        <w:spacing w:before="75" w:after="75" w:line="360" w:lineRule="auto"/>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甲方：</w:t>
      </w:r>
      <w:r>
        <w:rPr>
          <w:rFonts w:asciiTheme="minorEastAsia" w:hAnsiTheme="minorEastAsia" w:eastAsiaTheme="minorEastAsia"/>
          <w:color w:val="000000"/>
          <w:sz w:val="21"/>
          <w:szCs w:val="21"/>
          <w:u w:val="single"/>
        </w:rPr>
        <w:t>（采购人全称）</w:t>
      </w:r>
    </w:p>
    <w:p w14:paraId="00E470A1">
      <w:pPr>
        <w:pStyle w:val="22"/>
        <w:spacing w:before="75" w:after="75" w:line="360" w:lineRule="auto"/>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乙方：</w:t>
      </w:r>
      <w:r>
        <w:rPr>
          <w:rFonts w:asciiTheme="minorEastAsia" w:hAnsiTheme="minorEastAsia" w:eastAsiaTheme="minorEastAsia"/>
          <w:color w:val="000000"/>
          <w:sz w:val="21"/>
          <w:szCs w:val="21"/>
          <w:u w:val="single"/>
        </w:rPr>
        <w:t>（中标人全称）</w:t>
      </w:r>
    </w:p>
    <w:p w14:paraId="3FFC1367">
      <w:pPr>
        <w:pStyle w:val="22"/>
        <w:spacing w:before="75" w:after="75"/>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 </w:t>
      </w:r>
    </w:p>
    <w:p w14:paraId="4C41B726">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根据招标编号为</w:t>
      </w:r>
      <w:r>
        <w:rPr>
          <w:rFonts w:asciiTheme="minorEastAsia" w:hAnsiTheme="minorEastAsia" w:eastAsiaTheme="minorEastAsia"/>
          <w:color w:val="000000"/>
          <w:sz w:val="21"/>
          <w:szCs w:val="21"/>
          <w:u w:val="single"/>
        </w:rPr>
        <w:t>            </w:t>
      </w:r>
      <w:r>
        <w:rPr>
          <w:rFonts w:asciiTheme="minorEastAsia" w:hAnsiTheme="minorEastAsia" w:eastAsiaTheme="minorEastAsia"/>
          <w:color w:val="000000"/>
          <w:sz w:val="21"/>
          <w:szCs w:val="21"/>
        </w:rPr>
        <w:t>的</w:t>
      </w:r>
      <w:r>
        <w:rPr>
          <w:rFonts w:asciiTheme="minorEastAsia" w:hAnsiTheme="minorEastAsia" w:eastAsiaTheme="minorEastAsia"/>
          <w:color w:val="000000"/>
          <w:sz w:val="21"/>
          <w:szCs w:val="21"/>
          <w:u w:val="single"/>
        </w:rPr>
        <w:t>（填写“项目名称”）</w:t>
      </w:r>
      <w:r>
        <w:rPr>
          <w:rFonts w:asciiTheme="minorEastAsia" w:hAnsiTheme="minorEastAsia" w:eastAsiaTheme="minorEastAsia"/>
          <w:color w:val="000000"/>
          <w:sz w:val="21"/>
          <w:szCs w:val="21"/>
        </w:rPr>
        <w:t>项目（以下简称：“本项目”）的招标结果，乙方为中标人。现经甲乙双方友好协商，就以下事项达成一致并签订本合同：</w:t>
      </w:r>
    </w:p>
    <w:p w14:paraId="61F8B4B6">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1、下列合同文件是构成本合同不可分割的部分：</w:t>
      </w:r>
    </w:p>
    <w:p w14:paraId="63E27602">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1.1合同条款；</w:t>
      </w:r>
    </w:p>
    <w:p w14:paraId="43975CCF">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1.2招标文件、乙方的投标文件；</w:t>
      </w:r>
    </w:p>
    <w:p w14:paraId="410BCDD7">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1.3其他文件或材料：□无。□</w:t>
      </w:r>
      <w:r>
        <w:rPr>
          <w:rFonts w:asciiTheme="minorEastAsia" w:hAnsiTheme="minorEastAsia" w:eastAsiaTheme="minorEastAsia"/>
          <w:color w:val="000000"/>
          <w:sz w:val="21"/>
          <w:szCs w:val="21"/>
          <w:u w:val="single"/>
        </w:rPr>
        <w:t>（按照实际情况编制填写需要增加的内容）</w:t>
      </w:r>
      <w:r>
        <w:rPr>
          <w:rFonts w:asciiTheme="minorEastAsia" w:hAnsiTheme="minorEastAsia" w:eastAsiaTheme="minorEastAsia"/>
          <w:color w:val="000000"/>
          <w:sz w:val="21"/>
          <w:szCs w:val="21"/>
        </w:rPr>
        <w:t>。</w:t>
      </w:r>
    </w:p>
    <w:p w14:paraId="4D922249">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2、合同标的</w:t>
      </w:r>
    </w:p>
    <w:p w14:paraId="15562F4A">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u w:val="single"/>
        </w:rPr>
        <w:t>（按照实际情况编制填写，可以是表格或文字描述）</w:t>
      </w:r>
      <w:r>
        <w:rPr>
          <w:rFonts w:asciiTheme="minorEastAsia" w:hAnsiTheme="minorEastAsia" w:eastAsiaTheme="minorEastAsia"/>
          <w:color w:val="000000"/>
          <w:sz w:val="21"/>
          <w:szCs w:val="21"/>
        </w:rPr>
        <w:t>。</w:t>
      </w:r>
    </w:p>
    <w:p w14:paraId="07E562DA">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3、合同总金额</w:t>
      </w:r>
    </w:p>
    <w:p w14:paraId="7ED854C5">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3.1合同总金额为人民币大写：</w:t>
      </w:r>
      <w:r>
        <w:rPr>
          <w:rFonts w:asciiTheme="minorEastAsia" w:hAnsiTheme="minorEastAsia" w:eastAsiaTheme="minorEastAsia"/>
          <w:color w:val="000000"/>
          <w:sz w:val="21"/>
          <w:szCs w:val="21"/>
          <w:u w:val="single"/>
        </w:rPr>
        <w:t>           </w:t>
      </w:r>
      <w:r>
        <w:rPr>
          <w:rFonts w:asciiTheme="minorEastAsia" w:hAnsiTheme="minorEastAsia" w:eastAsiaTheme="minorEastAsia"/>
          <w:color w:val="000000"/>
          <w:sz w:val="21"/>
          <w:szCs w:val="21"/>
        </w:rPr>
        <w:t>元（￥</w:t>
      </w:r>
      <w:r>
        <w:rPr>
          <w:rFonts w:asciiTheme="minorEastAsia" w:hAnsiTheme="minorEastAsia" w:eastAsiaTheme="minorEastAsia"/>
          <w:color w:val="000000"/>
          <w:sz w:val="21"/>
          <w:szCs w:val="21"/>
          <w:u w:val="single"/>
        </w:rPr>
        <w:t>          </w:t>
      </w:r>
      <w:r>
        <w:rPr>
          <w:rFonts w:asciiTheme="minorEastAsia" w:hAnsiTheme="minorEastAsia" w:eastAsiaTheme="minorEastAsia"/>
          <w:color w:val="000000"/>
          <w:sz w:val="21"/>
          <w:szCs w:val="21"/>
        </w:rPr>
        <w:t>）。</w:t>
      </w:r>
    </w:p>
    <w:p w14:paraId="71790E56">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4、合同标的交付时间、地点和条件</w:t>
      </w:r>
    </w:p>
    <w:p w14:paraId="5A983A3F">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4.1交付时间：</w:t>
      </w:r>
      <w:r>
        <w:rPr>
          <w:rFonts w:asciiTheme="minorEastAsia" w:hAnsiTheme="minorEastAsia" w:eastAsiaTheme="minorEastAsia"/>
          <w:color w:val="000000"/>
          <w:sz w:val="21"/>
          <w:szCs w:val="21"/>
          <w:u w:val="single"/>
        </w:rPr>
        <w:t>                     </w:t>
      </w:r>
      <w:r>
        <w:rPr>
          <w:rFonts w:asciiTheme="minorEastAsia" w:hAnsiTheme="minorEastAsia" w:eastAsiaTheme="minorEastAsia"/>
          <w:color w:val="000000"/>
          <w:sz w:val="21"/>
          <w:szCs w:val="21"/>
        </w:rPr>
        <w:t>；</w:t>
      </w:r>
    </w:p>
    <w:p w14:paraId="4CD98C32">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4.2交付地点：</w:t>
      </w:r>
      <w:r>
        <w:rPr>
          <w:rFonts w:asciiTheme="minorEastAsia" w:hAnsiTheme="minorEastAsia" w:eastAsiaTheme="minorEastAsia"/>
          <w:color w:val="000000"/>
          <w:sz w:val="21"/>
          <w:szCs w:val="21"/>
          <w:u w:val="single"/>
        </w:rPr>
        <w:t>                     </w:t>
      </w:r>
      <w:r>
        <w:rPr>
          <w:rFonts w:asciiTheme="minorEastAsia" w:hAnsiTheme="minorEastAsia" w:eastAsiaTheme="minorEastAsia"/>
          <w:color w:val="000000"/>
          <w:sz w:val="21"/>
          <w:szCs w:val="21"/>
        </w:rPr>
        <w:t>；</w:t>
      </w:r>
    </w:p>
    <w:p w14:paraId="3910EB1C">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4.3交付条件：</w:t>
      </w:r>
      <w:r>
        <w:rPr>
          <w:rFonts w:asciiTheme="minorEastAsia" w:hAnsiTheme="minorEastAsia" w:eastAsiaTheme="minorEastAsia"/>
          <w:color w:val="000000"/>
          <w:sz w:val="21"/>
          <w:szCs w:val="21"/>
          <w:u w:val="single"/>
        </w:rPr>
        <w:t>                     </w:t>
      </w:r>
      <w:r>
        <w:rPr>
          <w:rFonts w:asciiTheme="minorEastAsia" w:hAnsiTheme="minorEastAsia" w:eastAsiaTheme="minorEastAsia"/>
          <w:color w:val="000000"/>
          <w:sz w:val="21"/>
          <w:szCs w:val="21"/>
        </w:rPr>
        <w:t>。</w:t>
      </w:r>
    </w:p>
    <w:p w14:paraId="02A4A277">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5、合同标的应符合招标文件、乙方投标文件的规定或约定，具体如下：</w:t>
      </w:r>
    </w:p>
    <w:p w14:paraId="5A3785E7">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u w:val="single"/>
        </w:rPr>
        <w:t>（按照实际情况编制填写，可以是表格或文字描述）</w:t>
      </w:r>
      <w:r>
        <w:rPr>
          <w:rFonts w:asciiTheme="minorEastAsia" w:hAnsiTheme="minorEastAsia" w:eastAsiaTheme="minorEastAsia"/>
          <w:color w:val="000000"/>
          <w:sz w:val="21"/>
          <w:szCs w:val="21"/>
        </w:rPr>
        <w:t>。</w:t>
      </w:r>
    </w:p>
    <w:p w14:paraId="20FC44B3">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6、验收</w:t>
      </w:r>
    </w:p>
    <w:p w14:paraId="0516C201">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6.1验收应按照招标文件、乙方投标文件的规定或约定进行，具体如下：</w:t>
      </w:r>
    </w:p>
    <w:p w14:paraId="7DB0FFD8">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u w:val="single"/>
        </w:rPr>
        <w:t>（按照实际情况编制填写，可以是表格或文字描述）</w:t>
      </w:r>
      <w:r>
        <w:rPr>
          <w:rFonts w:asciiTheme="minorEastAsia" w:hAnsiTheme="minorEastAsia" w:eastAsiaTheme="minorEastAsia"/>
          <w:color w:val="000000"/>
          <w:sz w:val="21"/>
          <w:szCs w:val="21"/>
        </w:rPr>
        <w:t>。</w:t>
      </w:r>
    </w:p>
    <w:p w14:paraId="33F6B538">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6.2本项目是否邀请其他投标人参与验收：</w:t>
      </w:r>
    </w:p>
    <w:p w14:paraId="6033484D">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□不邀请。□邀请，具体如下：</w:t>
      </w:r>
      <w:r>
        <w:rPr>
          <w:rFonts w:asciiTheme="minorEastAsia" w:hAnsiTheme="minorEastAsia" w:eastAsiaTheme="minorEastAsia"/>
          <w:color w:val="000000"/>
          <w:sz w:val="21"/>
          <w:szCs w:val="21"/>
          <w:u w:val="single"/>
        </w:rPr>
        <w:t>（按照招标文件规定填写）</w:t>
      </w:r>
      <w:r>
        <w:rPr>
          <w:rFonts w:asciiTheme="minorEastAsia" w:hAnsiTheme="minorEastAsia" w:eastAsiaTheme="minorEastAsia"/>
          <w:color w:val="000000"/>
          <w:sz w:val="21"/>
          <w:szCs w:val="21"/>
        </w:rPr>
        <w:t>。</w:t>
      </w:r>
    </w:p>
    <w:p w14:paraId="76542797">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7、合同款项的支付应按照招标文件的规定进行，具体如下：</w:t>
      </w:r>
    </w:p>
    <w:p w14:paraId="4C897CB9">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u w:val="single"/>
        </w:rPr>
        <w:t>（按照实际情况编制填写，可以是表格或文字描述，包括一次性支付或分期支付等）</w:t>
      </w:r>
      <w:r>
        <w:rPr>
          <w:rFonts w:asciiTheme="minorEastAsia" w:hAnsiTheme="minorEastAsia" w:eastAsiaTheme="minorEastAsia"/>
          <w:color w:val="000000"/>
          <w:sz w:val="21"/>
          <w:szCs w:val="21"/>
        </w:rPr>
        <w:t>。</w:t>
      </w:r>
    </w:p>
    <w:p w14:paraId="41BFE7AE">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8、履约保证金</w:t>
      </w:r>
    </w:p>
    <w:p w14:paraId="6ED1D187">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□无。□有，具体如下：</w:t>
      </w:r>
      <w:r>
        <w:rPr>
          <w:rFonts w:asciiTheme="minorEastAsia" w:hAnsiTheme="minorEastAsia" w:eastAsiaTheme="minorEastAsia"/>
          <w:color w:val="000000"/>
          <w:sz w:val="21"/>
          <w:szCs w:val="21"/>
          <w:u w:val="single"/>
        </w:rPr>
        <w:t>（按照招标文件规定填写）</w:t>
      </w:r>
      <w:r>
        <w:rPr>
          <w:rFonts w:asciiTheme="minorEastAsia" w:hAnsiTheme="minorEastAsia" w:eastAsiaTheme="minorEastAsia"/>
          <w:color w:val="000000"/>
          <w:sz w:val="21"/>
          <w:szCs w:val="21"/>
        </w:rPr>
        <w:t>。</w:t>
      </w:r>
    </w:p>
    <w:p w14:paraId="6721C9D7">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9、合同有效期</w:t>
      </w:r>
    </w:p>
    <w:p w14:paraId="528B11EB">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u w:val="single"/>
        </w:rPr>
        <w:t>（按照实际情况编制填写，可以是表格或文字描述）</w:t>
      </w:r>
      <w:r>
        <w:rPr>
          <w:rFonts w:asciiTheme="minorEastAsia" w:hAnsiTheme="minorEastAsia" w:eastAsiaTheme="minorEastAsia"/>
          <w:color w:val="000000"/>
          <w:sz w:val="21"/>
          <w:szCs w:val="21"/>
        </w:rPr>
        <w:t>。</w:t>
      </w:r>
    </w:p>
    <w:p w14:paraId="3C754F5E">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10、违约责任</w:t>
      </w:r>
    </w:p>
    <w:p w14:paraId="55A173C1">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u w:val="single"/>
        </w:rPr>
        <w:t>（按照实际情况编制填写，可以是表格或文字描述）</w:t>
      </w:r>
      <w:r>
        <w:rPr>
          <w:rFonts w:asciiTheme="minorEastAsia" w:hAnsiTheme="minorEastAsia" w:eastAsiaTheme="minorEastAsia"/>
          <w:color w:val="000000"/>
          <w:sz w:val="21"/>
          <w:szCs w:val="21"/>
        </w:rPr>
        <w:t>。</w:t>
      </w:r>
    </w:p>
    <w:p w14:paraId="70BE85F9">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11、知识产权</w:t>
      </w:r>
    </w:p>
    <w:p w14:paraId="21537113">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11.1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14:paraId="292B572B">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11.2若乙方提供的采购标的不符合国家知识产权法律、法规的规定或被有关主管机关认定为假冒伪劣品，则乙方中标资格将被取消；甲方还将按照有关法律、法规和规章的规定进行处理，具体如下：</w:t>
      </w:r>
      <w:r>
        <w:rPr>
          <w:rFonts w:asciiTheme="minorEastAsia" w:hAnsiTheme="minorEastAsia" w:eastAsiaTheme="minorEastAsia"/>
          <w:color w:val="000000"/>
          <w:sz w:val="21"/>
          <w:szCs w:val="21"/>
          <w:u w:val="single"/>
        </w:rPr>
        <w:t>（按照实际情况编制填写）</w:t>
      </w:r>
      <w:r>
        <w:rPr>
          <w:rFonts w:asciiTheme="minorEastAsia" w:hAnsiTheme="minorEastAsia" w:eastAsiaTheme="minorEastAsia"/>
          <w:color w:val="000000"/>
          <w:sz w:val="21"/>
          <w:szCs w:val="21"/>
        </w:rPr>
        <w:t>。</w:t>
      </w:r>
    </w:p>
    <w:p w14:paraId="5D10508A">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12、解决争议的方法</w:t>
      </w:r>
    </w:p>
    <w:p w14:paraId="640F6E14">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12.1甲、乙双方协商解决。</w:t>
      </w:r>
    </w:p>
    <w:p w14:paraId="61CB989B">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12.2若协商解决不成，则通过下列途径之一解决：</w:t>
      </w:r>
    </w:p>
    <w:p w14:paraId="5C37C64A">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□提交仲裁委员会仲裁，具体如下：</w:t>
      </w:r>
      <w:r>
        <w:rPr>
          <w:rFonts w:asciiTheme="minorEastAsia" w:hAnsiTheme="minorEastAsia" w:eastAsiaTheme="minorEastAsia"/>
          <w:color w:val="000000"/>
          <w:sz w:val="21"/>
          <w:szCs w:val="21"/>
          <w:u w:val="single"/>
        </w:rPr>
        <w:t>（按照实际情况编制填写）</w:t>
      </w:r>
      <w:r>
        <w:rPr>
          <w:rFonts w:asciiTheme="minorEastAsia" w:hAnsiTheme="minorEastAsia" w:eastAsiaTheme="minorEastAsia"/>
          <w:color w:val="000000"/>
          <w:sz w:val="21"/>
          <w:szCs w:val="21"/>
        </w:rPr>
        <w:t>。</w:t>
      </w:r>
    </w:p>
    <w:p w14:paraId="2F964722">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□向人民法院提起诉讼，具体如下：</w:t>
      </w:r>
      <w:r>
        <w:rPr>
          <w:rFonts w:asciiTheme="minorEastAsia" w:hAnsiTheme="minorEastAsia" w:eastAsiaTheme="minorEastAsia"/>
          <w:color w:val="000000"/>
          <w:sz w:val="21"/>
          <w:szCs w:val="21"/>
          <w:u w:val="single"/>
        </w:rPr>
        <w:t>（按照实际情况编制填写）</w:t>
      </w:r>
      <w:r>
        <w:rPr>
          <w:rFonts w:asciiTheme="minorEastAsia" w:hAnsiTheme="minorEastAsia" w:eastAsiaTheme="minorEastAsia"/>
          <w:color w:val="000000"/>
          <w:sz w:val="21"/>
          <w:szCs w:val="21"/>
        </w:rPr>
        <w:t>。</w:t>
      </w:r>
    </w:p>
    <w:p w14:paraId="1BE140E8">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13、不可抗力</w:t>
      </w:r>
    </w:p>
    <w:p w14:paraId="5B7682E4">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13.1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14:paraId="14F0CDA4">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13.2本合同中的不可抗力指不能预见、不能避免、不能克服的客观情况，包括但不限于：自然灾害如地震、台风、洪水、火灾及政府行为、法律规定或其适用的变化或其他任何无法预见、避免或控制的事件。</w:t>
      </w:r>
    </w:p>
    <w:p w14:paraId="7C4AE804">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14、合同条款</w:t>
      </w:r>
    </w:p>
    <w:p w14:paraId="223E7DB4">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u w:val="single"/>
        </w:rPr>
        <w:t>（按照实际情况编制填写。招标文件已有规定的，双方均不得变更或调整；招标文件未作规定的，双方可通过友好协商进行约定）</w:t>
      </w:r>
      <w:r>
        <w:rPr>
          <w:rFonts w:asciiTheme="minorEastAsia" w:hAnsiTheme="minorEastAsia" w:eastAsiaTheme="minorEastAsia"/>
          <w:color w:val="000000"/>
          <w:sz w:val="21"/>
          <w:szCs w:val="21"/>
        </w:rPr>
        <w:t>。</w:t>
      </w:r>
    </w:p>
    <w:p w14:paraId="09A796A5">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15、其他约定</w:t>
      </w:r>
    </w:p>
    <w:p w14:paraId="6C5AA0D1">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15.1合同文件与本合同具有同等法律效力。</w:t>
      </w:r>
    </w:p>
    <w:p w14:paraId="05BAA7CA">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15.2本合同未尽事宜，双方可另行补充。</w:t>
      </w:r>
    </w:p>
    <w:p w14:paraId="181E816D">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15.3合同生效：自签订之日起生效。</w:t>
      </w:r>
    </w:p>
    <w:p w14:paraId="2727B02D">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15.4本合同一式</w:t>
      </w:r>
      <w:r>
        <w:rPr>
          <w:rFonts w:asciiTheme="minorEastAsia" w:hAnsiTheme="minorEastAsia" w:eastAsiaTheme="minorEastAsia"/>
          <w:color w:val="000000"/>
          <w:sz w:val="21"/>
          <w:szCs w:val="21"/>
          <w:u w:val="single"/>
        </w:rPr>
        <w:t>（填写具体份数）</w:t>
      </w:r>
      <w:r>
        <w:rPr>
          <w:rFonts w:asciiTheme="minorEastAsia" w:hAnsiTheme="minorEastAsia" w:eastAsiaTheme="minorEastAsia"/>
          <w:color w:val="000000"/>
          <w:sz w:val="21"/>
          <w:szCs w:val="21"/>
        </w:rPr>
        <w:t>份，经双方授权代表签字并盖章后生效。甲方、乙方各执</w:t>
      </w:r>
      <w:r>
        <w:rPr>
          <w:rFonts w:asciiTheme="minorEastAsia" w:hAnsiTheme="minorEastAsia" w:eastAsiaTheme="minorEastAsia"/>
          <w:color w:val="000000"/>
          <w:sz w:val="21"/>
          <w:szCs w:val="21"/>
          <w:u w:val="single"/>
        </w:rPr>
        <w:t>（填写具体份数）</w:t>
      </w:r>
      <w:r>
        <w:rPr>
          <w:rFonts w:asciiTheme="minorEastAsia" w:hAnsiTheme="minorEastAsia" w:eastAsiaTheme="minorEastAsia"/>
          <w:color w:val="000000"/>
          <w:sz w:val="21"/>
          <w:szCs w:val="21"/>
        </w:rPr>
        <w:t>份，送</w:t>
      </w:r>
      <w:r>
        <w:rPr>
          <w:rFonts w:asciiTheme="minorEastAsia" w:hAnsiTheme="minorEastAsia" w:eastAsiaTheme="minorEastAsia"/>
          <w:color w:val="000000"/>
          <w:sz w:val="21"/>
          <w:szCs w:val="21"/>
          <w:u w:val="single"/>
        </w:rPr>
        <w:t>（填写需要备案的监管部门的全称）</w:t>
      </w:r>
      <w:r>
        <w:rPr>
          <w:rFonts w:asciiTheme="minorEastAsia" w:hAnsiTheme="minorEastAsia" w:eastAsiaTheme="minorEastAsia"/>
          <w:color w:val="000000"/>
          <w:sz w:val="21"/>
          <w:szCs w:val="21"/>
        </w:rPr>
        <w:t>备案</w:t>
      </w:r>
      <w:r>
        <w:rPr>
          <w:rFonts w:asciiTheme="minorEastAsia" w:hAnsiTheme="minorEastAsia" w:eastAsiaTheme="minorEastAsia"/>
          <w:color w:val="000000"/>
          <w:sz w:val="21"/>
          <w:szCs w:val="21"/>
          <w:u w:val="single"/>
        </w:rPr>
        <w:t>（填写具体份数）</w:t>
      </w:r>
      <w:r>
        <w:rPr>
          <w:rFonts w:asciiTheme="minorEastAsia" w:hAnsiTheme="minorEastAsia" w:eastAsiaTheme="minorEastAsia"/>
          <w:color w:val="000000"/>
          <w:sz w:val="21"/>
          <w:szCs w:val="21"/>
        </w:rPr>
        <w:t>份，具有同等效力。</w:t>
      </w:r>
    </w:p>
    <w:p w14:paraId="7274294C">
      <w:pPr>
        <w:pStyle w:val="22"/>
        <w:spacing w:before="75" w:after="75" w:line="360" w:lineRule="auto"/>
        <w:ind w:firstLine="482"/>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15.5其他：□无。□</w:t>
      </w:r>
      <w:r>
        <w:rPr>
          <w:rFonts w:asciiTheme="minorEastAsia" w:hAnsiTheme="minorEastAsia" w:eastAsiaTheme="minorEastAsia"/>
          <w:color w:val="000000"/>
          <w:sz w:val="21"/>
          <w:szCs w:val="21"/>
          <w:u w:val="single"/>
        </w:rPr>
        <w:t>（按照实际情况编制填写需要增加的内容）</w:t>
      </w:r>
      <w:r>
        <w:rPr>
          <w:rFonts w:asciiTheme="minorEastAsia" w:hAnsiTheme="minorEastAsia" w:eastAsiaTheme="minorEastAsia"/>
          <w:color w:val="000000"/>
          <w:sz w:val="21"/>
          <w:szCs w:val="21"/>
        </w:rPr>
        <w:t>。</w:t>
      </w:r>
    </w:p>
    <w:p w14:paraId="16AA01B2">
      <w:pPr>
        <w:pStyle w:val="22"/>
        <w:spacing w:before="75" w:after="75"/>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 </w:t>
      </w:r>
    </w:p>
    <w:p w14:paraId="6848B631">
      <w:pPr>
        <w:pStyle w:val="22"/>
        <w:spacing w:before="75" w:after="75"/>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 </w:t>
      </w:r>
    </w:p>
    <w:p w14:paraId="21EA0B97">
      <w:pPr>
        <w:pStyle w:val="22"/>
        <w:spacing w:before="75" w:after="75" w:line="360" w:lineRule="auto"/>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甲方：                        乙方：</w:t>
      </w:r>
    </w:p>
    <w:p w14:paraId="0461ACB5">
      <w:pPr>
        <w:pStyle w:val="22"/>
        <w:spacing w:before="75" w:after="75" w:line="360" w:lineRule="auto"/>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住所：                        住所：</w:t>
      </w:r>
    </w:p>
    <w:p w14:paraId="034F15C8">
      <w:pPr>
        <w:pStyle w:val="22"/>
        <w:spacing w:before="75" w:after="75" w:line="360" w:lineRule="auto"/>
        <w:rPr>
          <w:rFonts w:asciiTheme="minorEastAsia" w:hAnsiTheme="minorEastAsia" w:eastAsiaTheme="minorEastAsia"/>
          <w:color w:val="000000"/>
          <w:sz w:val="21"/>
          <w:szCs w:val="21"/>
        </w:rPr>
      </w:pPr>
      <w:r>
        <w:rPr>
          <w:rFonts w:hint="eastAsia" w:asciiTheme="minorEastAsia" w:hAnsiTheme="minorEastAsia" w:eastAsiaTheme="minorEastAsia"/>
          <w:color w:val="000000"/>
          <w:sz w:val="21"/>
          <w:szCs w:val="21"/>
        </w:rPr>
        <w:t>法定代表人（</w:t>
      </w:r>
      <w:r>
        <w:rPr>
          <w:rFonts w:asciiTheme="minorEastAsia" w:hAnsiTheme="minorEastAsia" w:eastAsiaTheme="minorEastAsia"/>
          <w:color w:val="000000"/>
          <w:sz w:val="21"/>
          <w:szCs w:val="21"/>
        </w:rPr>
        <w:t>单位负责人</w:t>
      </w:r>
      <w:r>
        <w:rPr>
          <w:rFonts w:hint="eastAsia" w:asciiTheme="minorEastAsia" w:hAnsiTheme="minorEastAsia" w:eastAsiaTheme="minorEastAsia"/>
          <w:color w:val="000000"/>
          <w:sz w:val="21"/>
          <w:szCs w:val="21"/>
        </w:rPr>
        <w:t>）</w:t>
      </w:r>
      <w:r>
        <w:rPr>
          <w:rFonts w:asciiTheme="minorEastAsia" w:hAnsiTheme="minorEastAsia" w:eastAsiaTheme="minorEastAsia"/>
          <w:color w:val="000000"/>
          <w:sz w:val="21"/>
          <w:szCs w:val="21"/>
        </w:rPr>
        <w:t>：            </w:t>
      </w:r>
      <w:r>
        <w:rPr>
          <w:rFonts w:hint="eastAsia" w:asciiTheme="minorEastAsia" w:hAnsiTheme="minorEastAsia" w:eastAsiaTheme="minorEastAsia"/>
          <w:color w:val="000000"/>
          <w:sz w:val="21"/>
          <w:szCs w:val="21"/>
        </w:rPr>
        <w:t xml:space="preserve">     法定代表人（</w:t>
      </w:r>
      <w:r>
        <w:rPr>
          <w:rFonts w:asciiTheme="minorEastAsia" w:hAnsiTheme="minorEastAsia" w:eastAsiaTheme="minorEastAsia"/>
          <w:color w:val="000000"/>
          <w:sz w:val="21"/>
          <w:szCs w:val="21"/>
        </w:rPr>
        <w:t>单位负责人</w:t>
      </w:r>
      <w:r>
        <w:rPr>
          <w:rFonts w:hint="eastAsia" w:asciiTheme="minorEastAsia" w:hAnsiTheme="minorEastAsia" w:eastAsiaTheme="minorEastAsia"/>
          <w:color w:val="000000"/>
          <w:sz w:val="21"/>
          <w:szCs w:val="21"/>
        </w:rPr>
        <w:t>）</w:t>
      </w:r>
      <w:r>
        <w:rPr>
          <w:rFonts w:asciiTheme="minorEastAsia" w:hAnsiTheme="minorEastAsia" w:eastAsiaTheme="minorEastAsia"/>
          <w:color w:val="000000"/>
          <w:sz w:val="21"/>
          <w:szCs w:val="21"/>
        </w:rPr>
        <w:t>：</w:t>
      </w:r>
    </w:p>
    <w:p w14:paraId="42D41ABF">
      <w:pPr>
        <w:pStyle w:val="22"/>
        <w:spacing w:before="75" w:after="75" w:line="360" w:lineRule="auto"/>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联系方法：                      联系方法：</w:t>
      </w:r>
    </w:p>
    <w:p w14:paraId="5B7BBC37">
      <w:pPr>
        <w:pStyle w:val="22"/>
        <w:spacing w:before="75" w:after="75" w:line="360" w:lineRule="auto"/>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开户银行：                      开户银行：</w:t>
      </w:r>
    </w:p>
    <w:p w14:paraId="3D39206D">
      <w:pPr>
        <w:pStyle w:val="22"/>
        <w:spacing w:before="75" w:after="75" w:line="360" w:lineRule="auto"/>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账号：                        账号：</w:t>
      </w:r>
    </w:p>
    <w:p w14:paraId="0EE10230">
      <w:pPr>
        <w:pStyle w:val="22"/>
        <w:spacing w:before="75" w:after="75" w:line="360" w:lineRule="auto"/>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 </w:t>
      </w:r>
    </w:p>
    <w:p w14:paraId="4F4882C9">
      <w:pPr>
        <w:pStyle w:val="22"/>
        <w:spacing w:before="75" w:after="75"/>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 </w:t>
      </w:r>
    </w:p>
    <w:p w14:paraId="671AFD0F">
      <w:pPr>
        <w:pStyle w:val="22"/>
        <w:spacing w:before="75" w:after="75" w:line="360" w:lineRule="auto"/>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签订地点：</w:t>
      </w:r>
      <w:r>
        <w:rPr>
          <w:rFonts w:asciiTheme="minorEastAsia" w:hAnsiTheme="minorEastAsia" w:eastAsiaTheme="minorEastAsia"/>
          <w:color w:val="000000"/>
          <w:sz w:val="21"/>
          <w:szCs w:val="21"/>
          <w:u w:val="single"/>
        </w:rPr>
        <w:t>                </w:t>
      </w:r>
    </w:p>
    <w:p w14:paraId="14FD3859">
      <w:pPr>
        <w:pStyle w:val="22"/>
        <w:spacing w:before="75" w:after="75" w:line="360" w:lineRule="auto"/>
        <w:rPr>
          <w:rFonts w:asciiTheme="minorEastAsia" w:hAnsiTheme="minorEastAsia" w:eastAsiaTheme="minorEastAsia"/>
          <w:color w:val="000000"/>
          <w:sz w:val="21"/>
          <w:szCs w:val="21"/>
        </w:rPr>
      </w:pPr>
      <w:r>
        <w:rPr>
          <w:rFonts w:asciiTheme="minorEastAsia" w:hAnsiTheme="minorEastAsia" w:eastAsiaTheme="minorEastAsia"/>
          <w:color w:val="000000"/>
          <w:sz w:val="21"/>
          <w:szCs w:val="21"/>
        </w:rPr>
        <w:t>签订日期：</w:t>
      </w:r>
      <w:r>
        <w:rPr>
          <w:rFonts w:asciiTheme="minorEastAsia" w:hAnsiTheme="minorEastAsia" w:eastAsiaTheme="minorEastAsia"/>
          <w:color w:val="000000"/>
          <w:sz w:val="21"/>
          <w:szCs w:val="21"/>
          <w:u w:val="single"/>
        </w:rPr>
        <w:t>    </w:t>
      </w:r>
      <w:r>
        <w:rPr>
          <w:rFonts w:asciiTheme="minorEastAsia" w:hAnsiTheme="minorEastAsia" w:eastAsiaTheme="minorEastAsia"/>
          <w:color w:val="000000"/>
          <w:sz w:val="21"/>
          <w:szCs w:val="21"/>
        </w:rPr>
        <w:t>年</w:t>
      </w:r>
      <w:r>
        <w:rPr>
          <w:rFonts w:asciiTheme="minorEastAsia" w:hAnsiTheme="minorEastAsia" w:eastAsiaTheme="minorEastAsia"/>
          <w:color w:val="000000"/>
          <w:sz w:val="21"/>
          <w:szCs w:val="21"/>
          <w:u w:val="single"/>
        </w:rPr>
        <w:t>   </w:t>
      </w:r>
      <w:r>
        <w:rPr>
          <w:rFonts w:asciiTheme="minorEastAsia" w:hAnsiTheme="minorEastAsia" w:eastAsiaTheme="minorEastAsia"/>
          <w:color w:val="000000"/>
          <w:sz w:val="21"/>
          <w:szCs w:val="21"/>
        </w:rPr>
        <w:t>月</w:t>
      </w:r>
      <w:r>
        <w:rPr>
          <w:rFonts w:asciiTheme="minorEastAsia" w:hAnsiTheme="minorEastAsia" w:eastAsiaTheme="minorEastAsia"/>
          <w:color w:val="000000"/>
          <w:sz w:val="21"/>
          <w:szCs w:val="21"/>
          <w:u w:val="single"/>
        </w:rPr>
        <w:t>   </w:t>
      </w:r>
      <w:r>
        <w:rPr>
          <w:rFonts w:asciiTheme="minorEastAsia" w:hAnsiTheme="minorEastAsia" w:eastAsiaTheme="minorEastAsia"/>
          <w:color w:val="000000"/>
          <w:sz w:val="21"/>
          <w:szCs w:val="21"/>
        </w:rPr>
        <w:t>日</w:t>
      </w:r>
    </w:p>
    <w:p w14:paraId="26FF9D22">
      <w:pPr>
        <w:pStyle w:val="14"/>
        <w:spacing w:line="360" w:lineRule="auto"/>
        <w:contextualSpacing/>
        <w:jc w:val="center"/>
        <w:rPr>
          <w:rFonts w:cs="宋体" w:asciiTheme="majorEastAsia" w:hAnsiTheme="majorEastAsia" w:eastAsiaTheme="majorEastAsia"/>
          <w:b/>
          <w:kern w:val="0"/>
          <w:sz w:val="36"/>
          <w:szCs w:val="36"/>
        </w:rPr>
      </w:pPr>
    </w:p>
    <w:p w14:paraId="3C118893">
      <w:pPr>
        <w:tabs>
          <w:tab w:val="left" w:pos="1260"/>
        </w:tabs>
        <w:autoSpaceDE w:val="0"/>
        <w:autoSpaceDN w:val="0"/>
        <w:adjustRightInd w:val="0"/>
        <w:spacing w:line="360" w:lineRule="auto"/>
        <w:contextualSpacing/>
        <w:jc w:val="center"/>
        <w:rPr>
          <w:rFonts w:hint="eastAsia" w:cs="宋体" w:asciiTheme="majorEastAsia" w:hAnsiTheme="majorEastAsia" w:eastAsiaTheme="majorEastAsia"/>
          <w:b/>
          <w:kern w:val="0"/>
          <w:sz w:val="32"/>
          <w:szCs w:val="32"/>
        </w:rPr>
        <w:sectPr>
          <w:pgSz w:w="11906" w:h="16838"/>
          <w:pgMar w:top="2098" w:right="1474" w:bottom="1928" w:left="1588" w:header="851" w:footer="992" w:gutter="0"/>
          <w:cols w:space="425" w:num="1"/>
          <w:docGrid w:type="lines" w:linePitch="312" w:charSpace="0"/>
        </w:sectPr>
      </w:pPr>
    </w:p>
    <w:p w14:paraId="401FFAD4">
      <w:pPr>
        <w:tabs>
          <w:tab w:val="left" w:pos="1260"/>
        </w:tabs>
        <w:autoSpaceDE w:val="0"/>
        <w:autoSpaceDN w:val="0"/>
        <w:adjustRightInd w:val="0"/>
        <w:spacing w:line="360" w:lineRule="auto"/>
        <w:contextualSpacing/>
        <w:jc w:val="center"/>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第八章 投标文件有关格式</w:t>
      </w:r>
    </w:p>
    <w:p w14:paraId="1E4A22C7">
      <w:pPr>
        <w:pStyle w:val="53"/>
        <w:numPr>
          <w:ilvl w:val="0"/>
          <w:numId w:val="0"/>
        </w:numPr>
        <w:tabs>
          <w:tab w:val="left" w:pos="660"/>
        </w:tabs>
        <w:snapToGrid w:val="0"/>
        <w:spacing w:before="0" w:line="400" w:lineRule="exact"/>
        <w:rPr>
          <w:rFonts w:cs="黑体" w:asciiTheme="minorEastAsia" w:hAnsiTheme="minorEastAsia" w:eastAsiaTheme="minorEastAsia"/>
          <w:color w:val="auto"/>
          <w:kern w:val="2"/>
          <w:sz w:val="28"/>
          <w:szCs w:val="28"/>
          <w:lang w:val="zh-CN"/>
        </w:rPr>
      </w:pPr>
      <w:bookmarkStart w:id="6" w:name="_Toc174185203"/>
      <w:bookmarkStart w:id="7" w:name="_Toc186274126"/>
      <w:bookmarkStart w:id="8" w:name="_Toc184023138"/>
      <w:r>
        <w:rPr>
          <w:rFonts w:hint="eastAsia" w:cs="黑体" w:asciiTheme="minorEastAsia" w:hAnsiTheme="minorEastAsia" w:eastAsiaTheme="minorEastAsia"/>
          <w:color w:val="auto"/>
          <w:kern w:val="2"/>
          <w:sz w:val="28"/>
          <w:szCs w:val="28"/>
          <w:lang w:val="zh-CN"/>
        </w:rPr>
        <w:t>一、投标人应答索引表</w:t>
      </w:r>
      <w:bookmarkEnd w:id="6"/>
      <w:bookmarkEnd w:id="7"/>
      <w:bookmarkEnd w:id="8"/>
    </w:p>
    <w:tbl>
      <w:tblPr>
        <w:tblStyle w:val="24"/>
        <w:tblW w:w="935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8"/>
        <w:gridCol w:w="3751"/>
        <w:gridCol w:w="1559"/>
        <w:gridCol w:w="1560"/>
        <w:gridCol w:w="2018"/>
      </w:tblGrid>
      <w:tr w14:paraId="00E7BC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8" w:type="dxa"/>
            <w:vAlign w:val="center"/>
          </w:tcPr>
          <w:p w14:paraId="401FF2A4">
            <w:pPr>
              <w:snapToGrid w:val="0"/>
              <w:spacing w:line="400" w:lineRule="exact"/>
              <w:jc w:val="center"/>
              <w:rPr>
                <w:rFonts w:ascii="宋体" w:hAnsi="宋体" w:cs="微软雅黑"/>
                <w:b/>
                <w:szCs w:val="21"/>
              </w:rPr>
            </w:pPr>
            <w:r>
              <w:rPr>
                <w:rFonts w:hint="eastAsia" w:ascii="宋体" w:hAnsi="宋体" w:cs="微软雅黑"/>
                <w:b/>
                <w:szCs w:val="21"/>
              </w:rPr>
              <w:t>序号</w:t>
            </w:r>
          </w:p>
        </w:tc>
        <w:tc>
          <w:tcPr>
            <w:tcW w:w="3751" w:type="dxa"/>
            <w:vAlign w:val="center"/>
          </w:tcPr>
          <w:p w14:paraId="07FBDA40">
            <w:pPr>
              <w:snapToGrid w:val="0"/>
              <w:spacing w:line="400" w:lineRule="exact"/>
              <w:jc w:val="center"/>
              <w:rPr>
                <w:rFonts w:ascii="宋体" w:hAnsi="宋体" w:cs="微软雅黑"/>
                <w:b/>
                <w:szCs w:val="21"/>
              </w:rPr>
            </w:pPr>
            <w:r>
              <w:rPr>
                <w:rFonts w:hint="eastAsia" w:ascii="宋体" w:hAnsi="宋体" w:cs="微软雅黑"/>
                <w:b/>
                <w:szCs w:val="21"/>
              </w:rPr>
              <w:t>项  目</w:t>
            </w:r>
          </w:p>
        </w:tc>
        <w:tc>
          <w:tcPr>
            <w:tcW w:w="1559" w:type="dxa"/>
            <w:vAlign w:val="center"/>
          </w:tcPr>
          <w:p w14:paraId="29A66856">
            <w:pPr>
              <w:snapToGrid w:val="0"/>
              <w:spacing w:line="400" w:lineRule="exact"/>
              <w:jc w:val="center"/>
              <w:rPr>
                <w:rFonts w:ascii="宋体" w:hAnsi="宋体" w:cs="微软雅黑"/>
                <w:b/>
                <w:szCs w:val="21"/>
              </w:rPr>
            </w:pPr>
            <w:r>
              <w:rPr>
                <w:rFonts w:hint="eastAsia" w:ascii="宋体" w:hAnsi="宋体" w:cs="微软雅黑"/>
                <w:b/>
                <w:szCs w:val="21"/>
              </w:rPr>
              <w:t>投标人应答</w:t>
            </w:r>
          </w:p>
          <w:p w14:paraId="5234A02E">
            <w:pPr>
              <w:snapToGrid w:val="0"/>
              <w:spacing w:line="400" w:lineRule="exact"/>
              <w:jc w:val="center"/>
              <w:rPr>
                <w:rFonts w:ascii="宋体" w:hAnsi="宋体" w:cs="微软雅黑"/>
                <w:b/>
                <w:szCs w:val="21"/>
              </w:rPr>
            </w:pPr>
            <w:r>
              <w:rPr>
                <w:rFonts w:hint="eastAsia" w:ascii="宋体" w:hAnsi="宋体" w:cs="微软雅黑"/>
                <w:b/>
                <w:szCs w:val="21"/>
              </w:rPr>
              <w:t>（有/没有）</w:t>
            </w:r>
          </w:p>
        </w:tc>
        <w:tc>
          <w:tcPr>
            <w:tcW w:w="1560" w:type="dxa"/>
            <w:vAlign w:val="center"/>
          </w:tcPr>
          <w:p w14:paraId="5796A9D8">
            <w:pPr>
              <w:snapToGrid w:val="0"/>
              <w:spacing w:line="400" w:lineRule="exact"/>
              <w:jc w:val="center"/>
              <w:rPr>
                <w:rFonts w:ascii="宋体" w:hAnsi="宋体" w:cs="微软雅黑"/>
                <w:b/>
                <w:szCs w:val="21"/>
              </w:rPr>
            </w:pPr>
            <w:r>
              <w:rPr>
                <w:rFonts w:hint="eastAsia" w:ascii="宋体" w:hAnsi="宋体" w:cs="微软雅黑"/>
                <w:b/>
                <w:szCs w:val="21"/>
              </w:rPr>
              <w:t>投标文件中所在页码</w:t>
            </w:r>
          </w:p>
        </w:tc>
        <w:tc>
          <w:tcPr>
            <w:tcW w:w="2018" w:type="dxa"/>
            <w:vAlign w:val="center"/>
          </w:tcPr>
          <w:p w14:paraId="320C92CD">
            <w:pPr>
              <w:snapToGrid w:val="0"/>
              <w:spacing w:line="400" w:lineRule="exact"/>
              <w:jc w:val="center"/>
              <w:rPr>
                <w:rFonts w:ascii="宋体" w:hAnsi="宋体" w:cs="微软雅黑"/>
                <w:b/>
                <w:szCs w:val="21"/>
              </w:rPr>
            </w:pPr>
            <w:r>
              <w:rPr>
                <w:rFonts w:hint="eastAsia" w:ascii="宋体" w:hAnsi="宋体" w:cs="微软雅黑"/>
                <w:b/>
                <w:szCs w:val="21"/>
              </w:rPr>
              <w:t>备注说明</w:t>
            </w:r>
          </w:p>
        </w:tc>
      </w:tr>
      <w:tr w14:paraId="055DAF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02BB5015">
            <w:pPr>
              <w:adjustRightInd w:val="0"/>
              <w:snapToGrid w:val="0"/>
              <w:spacing w:line="400" w:lineRule="exact"/>
              <w:jc w:val="center"/>
              <w:textAlignment w:val="baseline"/>
              <w:rPr>
                <w:rFonts w:ascii="宋体" w:hAnsi="宋体" w:cs="微软雅黑"/>
                <w:color w:val="FF0000"/>
                <w:szCs w:val="21"/>
              </w:rPr>
            </w:pPr>
            <w:r>
              <w:rPr>
                <w:rFonts w:hint="eastAsia" w:ascii="宋体" w:hAnsi="宋体" w:cs="微软雅黑"/>
                <w:color w:val="FF0000"/>
                <w:szCs w:val="21"/>
              </w:rPr>
              <w:t>1</w:t>
            </w:r>
          </w:p>
        </w:tc>
        <w:tc>
          <w:tcPr>
            <w:tcW w:w="3751" w:type="dxa"/>
            <w:vAlign w:val="center"/>
          </w:tcPr>
          <w:p w14:paraId="2D0BADC6">
            <w:pPr>
              <w:pStyle w:val="14"/>
              <w:kinsoku w:val="0"/>
              <w:overflowPunct w:val="0"/>
              <w:autoSpaceDE w:val="0"/>
              <w:autoSpaceDN w:val="0"/>
              <w:spacing w:line="320" w:lineRule="exact"/>
              <w:rPr>
                <w:rFonts w:hAnsi="宋体" w:cs="微软雅黑"/>
                <w:bCs/>
                <w:color w:val="FF0000"/>
                <w:kern w:val="0"/>
                <w:sz w:val="21"/>
                <w:szCs w:val="21"/>
              </w:rPr>
            </w:pPr>
            <w:r>
              <w:rPr>
                <w:rFonts w:hint="eastAsia" w:hAnsi="宋体"/>
                <w:color w:val="FF0000"/>
                <w:kern w:val="0"/>
                <w:sz w:val="21"/>
                <w:szCs w:val="21"/>
              </w:rPr>
              <w:t>投标人应答索引表</w:t>
            </w:r>
          </w:p>
        </w:tc>
        <w:tc>
          <w:tcPr>
            <w:tcW w:w="1559" w:type="dxa"/>
            <w:vAlign w:val="center"/>
          </w:tcPr>
          <w:p w14:paraId="7E5ACDF0">
            <w:pPr>
              <w:snapToGrid w:val="0"/>
              <w:spacing w:line="400" w:lineRule="exact"/>
              <w:jc w:val="center"/>
              <w:rPr>
                <w:rFonts w:ascii="宋体" w:hAnsi="宋体" w:cs="微软雅黑"/>
                <w:szCs w:val="21"/>
              </w:rPr>
            </w:pPr>
          </w:p>
        </w:tc>
        <w:tc>
          <w:tcPr>
            <w:tcW w:w="1560" w:type="dxa"/>
            <w:vAlign w:val="center"/>
          </w:tcPr>
          <w:p w14:paraId="03181C01">
            <w:pPr>
              <w:snapToGrid w:val="0"/>
              <w:spacing w:line="400" w:lineRule="exact"/>
              <w:rPr>
                <w:rFonts w:ascii="宋体" w:hAnsi="宋体" w:cs="微软雅黑"/>
                <w:szCs w:val="21"/>
              </w:rPr>
            </w:pPr>
          </w:p>
        </w:tc>
        <w:tc>
          <w:tcPr>
            <w:tcW w:w="2018" w:type="dxa"/>
            <w:vAlign w:val="center"/>
          </w:tcPr>
          <w:p w14:paraId="1890C6CD">
            <w:pPr>
              <w:snapToGrid w:val="0"/>
              <w:spacing w:line="400" w:lineRule="exact"/>
              <w:rPr>
                <w:rFonts w:ascii="宋体" w:hAnsi="宋体" w:cs="微软雅黑"/>
                <w:szCs w:val="21"/>
              </w:rPr>
            </w:pPr>
          </w:p>
        </w:tc>
      </w:tr>
      <w:tr w14:paraId="159A44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5FE2F024">
            <w:pPr>
              <w:adjustRightInd w:val="0"/>
              <w:snapToGrid w:val="0"/>
              <w:spacing w:line="400" w:lineRule="exact"/>
              <w:jc w:val="center"/>
              <w:textAlignment w:val="baseline"/>
              <w:rPr>
                <w:rFonts w:ascii="宋体" w:hAnsi="宋体" w:cs="微软雅黑"/>
                <w:color w:val="FF0000"/>
                <w:szCs w:val="21"/>
              </w:rPr>
            </w:pPr>
            <w:r>
              <w:rPr>
                <w:rFonts w:hint="eastAsia" w:ascii="宋体" w:hAnsi="宋体" w:cs="微软雅黑"/>
                <w:color w:val="FF0000"/>
                <w:szCs w:val="21"/>
              </w:rPr>
              <w:t>2</w:t>
            </w:r>
          </w:p>
        </w:tc>
        <w:tc>
          <w:tcPr>
            <w:tcW w:w="3751" w:type="dxa"/>
            <w:vAlign w:val="center"/>
          </w:tcPr>
          <w:p w14:paraId="18584EAC">
            <w:pPr>
              <w:pStyle w:val="14"/>
              <w:kinsoku w:val="0"/>
              <w:overflowPunct w:val="0"/>
              <w:autoSpaceDE w:val="0"/>
              <w:autoSpaceDN w:val="0"/>
              <w:spacing w:line="320" w:lineRule="exact"/>
              <w:rPr>
                <w:rFonts w:hAnsi="宋体"/>
                <w:color w:val="FF0000"/>
                <w:kern w:val="0"/>
                <w:sz w:val="21"/>
                <w:szCs w:val="21"/>
              </w:rPr>
            </w:pPr>
            <w:r>
              <w:rPr>
                <w:rFonts w:hint="eastAsia" w:hAnsi="宋体"/>
                <w:color w:val="FF0000"/>
                <w:kern w:val="0"/>
                <w:sz w:val="21"/>
                <w:szCs w:val="21"/>
              </w:rPr>
              <w:t>开标一览表</w:t>
            </w:r>
          </w:p>
        </w:tc>
        <w:tc>
          <w:tcPr>
            <w:tcW w:w="1559" w:type="dxa"/>
            <w:vAlign w:val="center"/>
          </w:tcPr>
          <w:p w14:paraId="0433C647">
            <w:pPr>
              <w:snapToGrid w:val="0"/>
              <w:spacing w:line="400" w:lineRule="exact"/>
              <w:jc w:val="center"/>
              <w:rPr>
                <w:rFonts w:ascii="宋体" w:hAnsi="宋体" w:cs="微软雅黑"/>
                <w:szCs w:val="21"/>
              </w:rPr>
            </w:pPr>
          </w:p>
        </w:tc>
        <w:tc>
          <w:tcPr>
            <w:tcW w:w="1560" w:type="dxa"/>
            <w:vAlign w:val="center"/>
          </w:tcPr>
          <w:p w14:paraId="69C4F1CE">
            <w:pPr>
              <w:snapToGrid w:val="0"/>
              <w:spacing w:line="400" w:lineRule="exact"/>
              <w:rPr>
                <w:rFonts w:ascii="宋体" w:hAnsi="宋体" w:cs="微软雅黑"/>
                <w:szCs w:val="21"/>
              </w:rPr>
            </w:pPr>
          </w:p>
        </w:tc>
        <w:tc>
          <w:tcPr>
            <w:tcW w:w="2018" w:type="dxa"/>
            <w:vAlign w:val="center"/>
          </w:tcPr>
          <w:p w14:paraId="38CEC9CF">
            <w:pPr>
              <w:snapToGrid w:val="0"/>
              <w:spacing w:line="400" w:lineRule="exact"/>
              <w:rPr>
                <w:rFonts w:ascii="宋体" w:hAnsi="宋体" w:cs="微软雅黑"/>
                <w:szCs w:val="21"/>
              </w:rPr>
            </w:pPr>
          </w:p>
        </w:tc>
      </w:tr>
      <w:tr w14:paraId="14E8B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641FFD84">
            <w:pPr>
              <w:adjustRightInd w:val="0"/>
              <w:snapToGrid w:val="0"/>
              <w:spacing w:line="400" w:lineRule="exact"/>
              <w:jc w:val="center"/>
              <w:textAlignment w:val="baseline"/>
              <w:rPr>
                <w:rFonts w:ascii="宋体" w:hAnsi="宋体" w:cs="微软雅黑"/>
                <w:color w:val="FF0000"/>
                <w:szCs w:val="21"/>
              </w:rPr>
            </w:pPr>
            <w:r>
              <w:rPr>
                <w:rFonts w:hint="eastAsia" w:ascii="宋体" w:hAnsi="宋体" w:cs="微软雅黑"/>
                <w:color w:val="FF0000"/>
                <w:szCs w:val="21"/>
              </w:rPr>
              <w:t>3</w:t>
            </w:r>
          </w:p>
        </w:tc>
        <w:tc>
          <w:tcPr>
            <w:tcW w:w="3751" w:type="dxa"/>
            <w:vAlign w:val="center"/>
          </w:tcPr>
          <w:p w14:paraId="0C6FA9FC">
            <w:pPr>
              <w:pStyle w:val="14"/>
              <w:kinsoku w:val="0"/>
              <w:overflowPunct w:val="0"/>
              <w:autoSpaceDE w:val="0"/>
              <w:autoSpaceDN w:val="0"/>
              <w:spacing w:line="320" w:lineRule="exact"/>
              <w:rPr>
                <w:rFonts w:hAnsi="宋体" w:cs="微软雅黑"/>
                <w:bCs/>
                <w:color w:val="FF0000"/>
                <w:kern w:val="0"/>
                <w:sz w:val="21"/>
                <w:szCs w:val="21"/>
              </w:rPr>
            </w:pPr>
            <w:r>
              <w:rPr>
                <w:rFonts w:hint="eastAsia" w:hAnsi="宋体"/>
                <w:color w:val="FF0000"/>
                <w:kern w:val="0"/>
                <w:sz w:val="21"/>
                <w:szCs w:val="21"/>
              </w:rPr>
              <w:t>投标函</w:t>
            </w:r>
          </w:p>
        </w:tc>
        <w:tc>
          <w:tcPr>
            <w:tcW w:w="1559" w:type="dxa"/>
            <w:vAlign w:val="center"/>
          </w:tcPr>
          <w:p w14:paraId="025AC40A">
            <w:pPr>
              <w:snapToGrid w:val="0"/>
              <w:spacing w:line="400" w:lineRule="exact"/>
              <w:jc w:val="center"/>
              <w:rPr>
                <w:rFonts w:ascii="宋体" w:hAnsi="宋体" w:cs="微软雅黑"/>
                <w:szCs w:val="21"/>
              </w:rPr>
            </w:pPr>
          </w:p>
        </w:tc>
        <w:tc>
          <w:tcPr>
            <w:tcW w:w="1560" w:type="dxa"/>
            <w:vAlign w:val="center"/>
          </w:tcPr>
          <w:p w14:paraId="19EA7B92">
            <w:pPr>
              <w:snapToGrid w:val="0"/>
              <w:spacing w:line="400" w:lineRule="exact"/>
              <w:rPr>
                <w:rFonts w:ascii="宋体" w:hAnsi="宋体" w:cs="微软雅黑"/>
                <w:szCs w:val="21"/>
              </w:rPr>
            </w:pPr>
          </w:p>
        </w:tc>
        <w:tc>
          <w:tcPr>
            <w:tcW w:w="2018" w:type="dxa"/>
            <w:vAlign w:val="center"/>
          </w:tcPr>
          <w:p w14:paraId="39206A2D">
            <w:pPr>
              <w:snapToGrid w:val="0"/>
              <w:spacing w:line="400" w:lineRule="exact"/>
              <w:rPr>
                <w:rFonts w:ascii="宋体" w:hAnsi="宋体" w:cs="微软雅黑"/>
                <w:szCs w:val="21"/>
              </w:rPr>
            </w:pPr>
          </w:p>
        </w:tc>
      </w:tr>
      <w:tr w14:paraId="3CBA3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10D634F5">
            <w:pPr>
              <w:adjustRightInd w:val="0"/>
              <w:snapToGrid w:val="0"/>
              <w:spacing w:line="400" w:lineRule="exact"/>
              <w:jc w:val="center"/>
              <w:textAlignment w:val="baseline"/>
              <w:rPr>
                <w:rFonts w:ascii="宋体" w:hAnsi="宋体" w:cs="微软雅黑"/>
                <w:color w:val="FF0000"/>
                <w:szCs w:val="21"/>
              </w:rPr>
            </w:pPr>
            <w:r>
              <w:rPr>
                <w:rFonts w:hint="eastAsia" w:ascii="宋体" w:hAnsi="宋体" w:cs="微软雅黑"/>
                <w:color w:val="FF0000"/>
                <w:szCs w:val="21"/>
              </w:rPr>
              <w:t>4</w:t>
            </w:r>
          </w:p>
        </w:tc>
        <w:tc>
          <w:tcPr>
            <w:tcW w:w="3751" w:type="dxa"/>
            <w:vAlign w:val="center"/>
          </w:tcPr>
          <w:p w14:paraId="6CA6E6AB">
            <w:pPr>
              <w:pStyle w:val="14"/>
              <w:kinsoku w:val="0"/>
              <w:overflowPunct w:val="0"/>
              <w:autoSpaceDE w:val="0"/>
              <w:autoSpaceDN w:val="0"/>
              <w:spacing w:line="320" w:lineRule="exact"/>
              <w:rPr>
                <w:rFonts w:hAnsi="宋体"/>
                <w:color w:val="FF0000"/>
                <w:kern w:val="0"/>
                <w:sz w:val="21"/>
                <w:szCs w:val="21"/>
              </w:rPr>
            </w:pPr>
            <w:r>
              <w:rPr>
                <w:rFonts w:hint="eastAsia" w:asciiTheme="majorEastAsia" w:hAnsiTheme="majorEastAsia" w:eastAsiaTheme="majorEastAsia" w:cstheme="majorEastAsia"/>
                <w:bCs/>
                <w:color w:val="FF0000"/>
                <w:sz w:val="21"/>
                <w:szCs w:val="21"/>
                <w:lang w:val="zh-CN"/>
              </w:rPr>
              <w:t>法定代表人（单位负责人）</w:t>
            </w:r>
            <w:r>
              <w:rPr>
                <w:rFonts w:asciiTheme="majorEastAsia" w:hAnsiTheme="majorEastAsia" w:eastAsiaTheme="majorEastAsia" w:cstheme="majorEastAsia"/>
                <w:bCs/>
                <w:color w:val="FF0000"/>
                <w:sz w:val="21"/>
                <w:szCs w:val="21"/>
                <w:lang w:val="zh-CN"/>
              </w:rPr>
              <w:t>资</w:t>
            </w:r>
            <w:r>
              <w:rPr>
                <w:rFonts w:hint="eastAsia" w:asciiTheme="majorEastAsia" w:hAnsiTheme="majorEastAsia" w:eastAsiaTheme="majorEastAsia" w:cstheme="majorEastAsia"/>
                <w:bCs/>
                <w:color w:val="FF0000"/>
                <w:sz w:val="21"/>
                <w:szCs w:val="21"/>
                <w:lang w:val="zh-CN"/>
              </w:rPr>
              <w:t>格</w:t>
            </w:r>
            <w:r>
              <w:rPr>
                <w:rFonts w:asciiTheme="majorEastAsia" w:hAnsiTheme="majorEastAsia" w:eastAsiaTheme="majorEastAsia" w:cstheme="majorEastAsia"/>
                <w:bCs/>
                <w:color w:val="FF0000"/>
                <w:sz w:val="21"/>
                <w:szCs w:val="21"/>
                <w:lang w:val="zh-CN"/>
              </w:rPr>
              <w:t>证</w:t>
            </w:r>
            <w:r>
              <w:rPr>
                <w:rFonts w:hint="eastAsia" w:asciiTheme="majorEastAsia" w:hAnsiTheme="majorEastAsia" w:eastAsiaTheme="majorEastAsia" w:cstheme="majorEastAsia"/>
                <w:bCs/>
                <w:color w:val="FF0000"/>
                <w:sz w:val="21"/>
                <w:szCs w:val="21"/>
                <w:lang w:val="zh-CN"/>
              </w:rPr>
              <w:t>明</w:t>
            </w:r>
            <w:r>
              <w:rPr>
                <w:rFonts w:asciiTheme="majorEastAsia" w:hAnsiTheme="majorEastAsia" w:eastAsiaTheme="majorEastAsia" w:cstheme="majorEastAsia"/>
                <w:bCs/>
                <w:color w:val="FF0000"/>
                <w:sz w:val="21"/>
                <w:szCs w:val="21"/>
                <w:lang w:val="zh-CN"/>
              </w:rPr>
              <w:t>书</w:t>
            </w:r>
          </w:p>
        </w:tc>
        <w:tc>
          <w:tcPr>
            <w:tcW w:w="1559" w:type="dxa"/>
            <w:vAlign w:val="center"/>
          </w:tcPr>
          <w:p w14:paraId="34F381E5">
            <w:pPr>
              <w:snapToGrid w:val="0"/>
              <w:spacing w:line="400" w:lineRule="exact"/>
              <w:jc w:val="center"/>
              <w:rPr>
                <w:rFonts w:ascii="宋体" w:hAnsi="宋体" w:cs="微软雅黑"/>
                <w:szCs w:val="21"/>
              </w:rPr>
            </w:pPr>
          </w:p>
        </w:tc>
        <w:tc>
          <w:tcPr>
            <w:tcW w:w="1560" w:type="dxa"/>
            <w:vAlign w:val="center"/>
          </w:tcPr>
          <w:p w14:paraId="17251CEA">
            <w:pPr>
              <w:snapToGrid w:val="0"/>
              <w:spacing w:line="400" w:lineRule="exact"/>
              <w:rPr>
                <w:rFonts w:ascii="宋体" w:hAnsi="宋体" w:cs="微软雅黑"/>
                <w:szCs w:val="21"/>
              </w:rPr>
            </w:pPr>
          </w:p>
        </w:tc>
        <w:tc>
          <w:tcPr>
            <w:tcW w:w="2018" w:type="dxa"/>
            <w:vAlign w:val="center"/>
          </w:tcPr>
          <w:p w14:paraId="63C62E8A">
            <w:pPr>
              <w:snapToGrid w:val="0"/>
              <w:spacing w:line="400" w:lineRule="exact"/>
              <w:rPr>
                <w:rFonts w:ascii="宋体" w:hAnsi="宋体" w:cs="微软雅黑"/>
                <w:szCs w:val="21"/>
              </w:rPr>
            </w:pPr>
          </w:p>
        </w:tc>
      </w:tr>
      <w:tr w14:paraId="6D592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764C8B76">
            <w:pPr>
              <w:adjustRightInd w:val="0"/>
              <w:snapToGrid w:val="0"/>
              <w:spacing w:line="400" w:lineRule="exact"/>
              <w:jc w:val="center"/>
              <w:textAlignment w:val="baseline"/>
              <w:rPr>
                <w:rFonts w:ascii="宋体" w:hAnsi="宋体" w:cs="微软雅黑"/>
                <w:color w:val="FF0000"/>
                <w:szCs w:val="21"/>
              </w:rPr>
            </w:pPr>
            <w:r>
              <w:rPr>
                <w:rFonts w:hint="eastAsia" w:ascii="宋体" w:hAnsi="宋体" w:cs="微软雅黑"/>
                <w:color w:val="FF0000"/>
                <w:szCs w:val="21"/>
              </w:rPr>
              <w:t>5</w:t>
            </w:r>
          </w:p>
        </w:tc>
        <w:tc>
          <w:tcPr>
            <w:tcW w:w="3751" w:type="dxa"/>
            <w:vAlign w:val="center"/>
          </w:tcPr>
          <w:p w14:paraId="40E945F1">
            <w:pPr>
              <w:pStyle w:val="14"/>
              <w:kinsoku w:val="0"/>
              <w:overflowPunct w:val="0"/>
              <w:autoSpaceDE w:val="0"/>
              <w:autoSpaceDN w:val="0"/>
              <w:spacing w:line="320" w:lineRule="exact"/>
              <w:rPr>
                <w:rFonts w:hAnsi="宋体"/>
                <w:color w:val="FF0000"/>
                <w:kern w:val="0"/>
                <w:sz w:val="21"/>
                <w:szCs w:val="21"/>
              </w:rPr>
            </w:pPr>
            <w:r>
              <w:rPr>
                <w:rFonts w:hint="eastAsia" w:hAnsi="宋体"/>
                <w:color w:val="FF0000"/>
                <w:kern w:val="0"/>
                <w:sz w:val="21"/>
                <w:szCs w:val="21"/>
              </w:rPr>
              <w:t>法定代表人（单位负责人）授权书</w:t>
            </w:r>
          </w:p>
        </w:tc>
        <w:tc>
          <w:tcPr>
            <w:tcW w:w="1559" w:type="dxa"/>
            <w:vAlign w:val="center"/>
          </w:tcPr>
          <w:p w14:paraId="39F728AE">
            <w:pPr>
              <w:snapToGrid w:val="0"/>
              <w:spacing w:line="400" w:lineRule="exact"/>
              <w:jc w:val="center"/>
              <w:rPr>
                <w:rFonts w:ascii="宋体" w:hAnsi="宋体" w:cs="微软雅黑"/>
                <w:szCs w:val="21"/>
              </w:rPr>
            </w:pPr>
          </w:p>
        </w:tc>
        <w:tc>
          <w:tcPr>
            <w:tcW w:w="1560" w:type="dxa"/>
            <w:vAlign w:val="center"/>
          </w:tcPr>
          <w:p w14:paraId="3B24591A">
            <w:pPr>
              <w:snapToGrid w:val="0"/>
              <w:spacing w:line="400" w:lineRule="exact"/>
              <w:rPr>
                <w:rFonts w:ascii="宋体" w:hAnsi="宋体" w:cs="微软雅黑"/>
                <w:szCs w:val="21"/>
              </w:rPr>
            </w:pPr>
          </w:p>
        </w:tc>
        <w:tc>
          <w:tcPr>
            <w:tcW w:w="2018" w:type="dxa"/>
            <w:vAlign w:val="center"/>
          </w:tcPr>
          <w:p w14:paraId="478B44B1">
            <w:pPr>
              <w:snapToGrid w:val="0"/>
              <w:spacing w:line="400" w:lineRule="exact"/>
              <w:rPr>
                <w:rFonts w:ascii="宋体" w:hAnsi="宋体" w:cs="微软雅黑"/>
                <w:szCs w:val="21"/>
              </w:rPr>
            </w:pPr>
          </w:p>
        </w:tc>
      </w:tr>
      <w:tr w14:paraId="549680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vAlign w:val="center"/>
          </w:tcPr>
          <w:p w14:paraId="5A0A1B29">
            <w:pPr>
              <w:adjustRightInd w:val="0"/>
              <w:snapToGrid w:val="0"/>
              <w:spacing w:line="400" w:lineRule="exact"/>
              <w:jc w:val="center"/>
              <w:textAlignment w:val="baseline"/>
              <w:rPr>
                <w:rFonts w:ascii="宋体" w:hAnsi="宋体" w:cs="微软雅黑"/>
                <w:color w:val="FF0000"/>
                <w:szCs w:val="21"/>
              </w:rPr>
            </w:pPr>
            <w:r>
              <w:rPr>
                <w:rFonts w:hint="eastAsia" w:ascii="宋体" w:hAnsi="宋体" w:cs="微软雅黑"/>
                <w:color w:val="FF0000"/>
                <w:szCs w:val="21"/>
              </w:rPr>
              <w:t>6</w:t>
            </w:r>
          </w:p>
        </w:tc>
        <w:tc>
          <w:tcPr>
            <w:tcW w:w="3751" w:type="dxa"/>
            <w:vAlign w:val="center"/>
          </w:tcPr>
          <w:p w14:paraId="64F00BCA">
            <w:pPr>
              <w:pStyle w:val="14"/>
              <w:kinsoku w:val="0"/>
              <w:overflowPunct w:val="0"/>
              <w:autoSpaceDE w:val="0"/>
              <w:autoSpaceDN w:val="0"/>
              <w:spacing w:line="320" w:lineRule="exact"/>
              <w:rPr>
                <w:rFonts w:hAnsi="宋体" w:cs="微软雅黑"/>
                <w:bCs/>
                <w:color w:val="FF0000"/>
                <w:kern w:val="0"/>
                <w:sz w:val="21"/>
                <w:szCs w:val="21"/>
              </w:rPr>
            </w:pPr>
            <w:r>
              <w:rPr>
                <w:rFonts w:hint="eastAsia" w:asciiTheme="majorEastAsia" w:hAnsiTheme="majorEastAsia" w:eastAsiaTheme="majorEastAsia" w:cstheme="majorEastAsia"/>
                <w:bCs/>
                <w:color w:val="FF0000"/>
                <w:sz w:val="21"/>
                <w:szCs w:val="21"/>
                <w:lang w:val="zh-CN"/>
              </w:rPr>
              <w:t>投标承诺函</w:t>
            </w:r>
          </w:p>
        </w:tc>
        <w:tc>
          <w:tcPr>
            <w:tcW w:w="1559" w:type="dxa"/>
            <w:vAlign w:val="center"/>
          </w:tcPr>
          <w:p w14:paraId="0CF3F682">
            <w:pPr>
              <w:snapToGrid w:val="0"/>
              <w:spacing w:line="400" w:lineRule="exact"/>
              <w:jc w:val="center"/>
              <w:rPr>
                <w:rFonts w:ascii="宋体" w:hAnsi="宋体" w:cs="微软雅黑"/>
                <w:szCs w:val="21"/>
              </w:rPr>
            </w:pPr>
          </w:p>
        </w:tc>
        <w:tc>
          <w:tcPr>
            <w:tcW w:w="1560" w:type="dxa"/>
            <w:vAlign w:val="center"/>
          </w:tcPr>
          <w:p w14:paraId="2A6DF5B9">
            <w:pPr>
              <w:snapToGrid w:val="0"/>
              <w:spacing w:line="400" w:lineRule="exact"/>
              <w:rPr>
                <w:rFonts w:ascii="宋体" w:hAnsi="宋体" w:cs="微软雅黑"/>
                <w:szCs w:val="21"/>
              </w:rPr>
            </w:pPr>
          </w:p>
        </w:tc>
        <w:tc>
          <w:tcPr>
            <w:tcW w:w="2018" w:type="dxa"/>
            <w:vAlign w:val="center"/>
          </w:tcPr>
          <w:p w14:paraId="5A03E75A">
            <w:pPr>
              <w:snapToGrid w:val="0"/>
              <w:spacing w:line="400" w:lineRule="exact"/>
              <w:rPr>
                <w:rFonts w:ascii="宋体" w:hAnsi="宋体" w:cs="微软雅黑"/>
                <w:szCs w:val="21"/>
              </w:rPr>
            </w:pPr>
          </w:p>
        </w:tc>
      </w:tr>
      <w:tr w14:paraId="1DF66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3603A070">
            <w:pPr>
              <w:adjustRightInd w:val="0"/>
              <w:snapToGrid w:val="0"/>
              <w:spacing w:line="400" w:lineRule="exact"/>
              <w:jc w:val="center"/>
              <w:textAlignment w:val="baseline"/>
              <w:rPr>
                <w:rFonts w:ascii="宋体" w:hAnsi="宋体" w:cs="微软雅黑"/>
                <w:color w:val="FF0000"/>
                <w:szCs w:val="21"/>
              </w:rPr>
            </w:pPr>
            <w:r>
              <w:rPr>
                <w:rFonts w:hint="eastAsia" w:ascii="宋体" w:hAnsi="宋体" w:cs="微软雅黑"/>
                <w:color w:val="FF0000"/>
                <w:szCs w:val="21"/>
              </w:rPr>
              <w:t>7</w:t>
            </w:r>
          </w:p>
        </w:tc>
        <w:tc>
          <w:tcPr>
            <w:tcW w:w="3751" w:type="dxa"/>
            <w:vAlign w:val="center"/>
          </w:tcPr>
          <w:p w14:paraId="5808904D">
            <w:pPr>
              <w:pStyle w:val="14"/>
              <w:kinsoku w:val="0"/>
              <w:overflowPunct w:val="0"/>
              <w:autoSpaceDE w:val="0"/>
              <w:autoSpaceDN w:val="0"/>
              <w:spacing w:line="320" w:lineRule="exact"/>
              <w:rPr>
                <w:rFonts w:hAnsi="宋体" w:cs="微软雅黑"/>
                <w:bCs/>
                <w:color w:val="FF0000"/>
                <w:kern w:val="0"/>
                <w:sz w:val="21"/>
                <w:szCs w:val="21"/>
              </w:rPr>
            </w:pPr>
            <w:r>
              <w:rPr>
                <w:rFonts w:hint="eastAsia" w:hAnsi="宋体"/>
                <w:color w:val="FF0000"/>
                <w:kern w:val="0"/>
                <w:sz w:val="21"/>
                <w:szCs w:val="21"/>
              </w:rPr>
              <w:t>禹州市政府采购供应商信用承诺函</w:t>
            </w:r>
          </w:p>
        </w:tc>
        <w:tc>
          <w:tcPr>
            <w:tcW w:w="1559" w:type="dxa"/>
            <w:vAlign w:val="center"/>
          </w:tcPr>
          <w:p w14:paraId="11654BF6">
            <w:pPr>
              <w:jc w:val="center"/>
              <w:rPr>
                <w:szCs w:val="21"/>
              </w:rPr>
            </w:pPr>
          </w:p>
        </w:tc>
        <w:tc>
          <w:tcPr>
            <w:tcW w:w="1560" w:type="dxa"/>
            <w:vAlign w:val="center"/>
          </w:tcPr>
          <w:p w14:paraId="080F1BEB">
            <w:pPr>
              <w:snapToGrid w:val="0"/>
              <w:spacing w:line="400" w:lineRule="exact"/>
              <w:rPr>
                <w:rFonts w:ascii="宋体" w:hAnsi="宋体" w:cs="微软雅黑"/>
                <w:szCs w:val="21"/>
              </w:rPr>
            </w:pPr>
          </w:p>
        </w:tc>
        <w:tc>
          <w:tcPr>
            <w:tcW w:w="2018" w:type="dxa"/>
            <w:vAlign w:val="center"/>
          </w:tcPr>
          <w:p w14:paraId="2762F6D2">
            <w:pPr>
              <w:snapToGrid w:val="0"/>
              <w:spacing w:line="400" w:lineRule="exact"/>
              <w:rPr>
                <w:rFonts w:ascii="宋体" w:hAnsi="宋体" w:cs="微软雅黑"/>
                <w:szCs w:val="21"/>
              </w:rPr>
            </w:pPr>
          </w:p>
        </w:tc>
      </w:tr>
      <w:tr w14:paraId="06833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5DFA33DB">
            <w:pPr>
              <w:adjustRightInd w:val="0"/>
              <w:snapToGrid w:val="0"/>
              <w:spacing w:line="400" w:lineRule="exact"/>
              <w:jc w:val="center"/>
              <w:textAlignment w:val="baseline"/>
              <w:rPr>
                <w:rFonts w:asciiTheme="majorEastAsia" w:hAnsiTheme="majorEastAsia" w:eastAsiaTheme="majorEastAsia" w:cstheme="majorEastAsia"/>
                <w:bCs/>
                <w:color w:val="FF0000"/>
                <w:szCs w:val="21"/>
                <w:lang w:val="zh-CN"/>
              </w:rPr>
            </w:pPr>
            <w:r>
              <w:rPr>
                <w:rFonts w:hint="eastAsia" w:asciiTheme="majorEastAsia" w:hAnsiTheme="majorEastAsia" w:eastAsiaTheme="majorEastAsia" w:cstheme="majorEastAsia"/>
                <w:bCs/>
                <w:color w:val="FF0000"/>
                <w:szCs w:val="21"/>
                <w:lang w:val="zh-CN"/>
              </w:rPr>
              <w:t>8</w:t>
            </w:r>
          </w:p>
        </w:tc>
        <w:tc>
          <w:tcPr>
            <w:tcW w:w="3751" w:type="dxa"/>
            <w:vAlign w:val="center"/>
          </w:tcPr>
          <w:p w14:paraId="49AB4521">
            <w:pPr>
              <w:pStyle w:val="14"/>
              <w:kinsoku w:val="0"/>
              <w:overflowPunct w:val="0"/>
              <w:autoSpaceDE w:val="0"/>
              <w:autoSpaceDN w:val="0"/>
              <w:spacing w:line="320" w:lineRule="exact"/>
              <w:rPr>
                <w:rFonts w:asciiTheme="majorEastAsia" w:hAnsiTheme="majorEastAsia" w:eastAsiaTheme="majorEastAsia" w:cstheme="majorEastAsia"/>
                <w:bCs/>
                <w:color w:val="FF0000"/>
                <w:sz w:val="21"/>
                <w:szCs w:val="21"/>
                <w:lang w:val="zh-CN"/>
              </w:rPr>
            </w:pPr>
            <w:r>
              <w:rPr>
                <w:rFonts w:hint="eastAsia" w:asciiTheme="majorEastAsia" w:hAnsiTheme="majorEastAsia" w:eastAsiaTheme="majorEastAsia" w:cstheme="majorEastAsia"/>
                <w:bCs/>
                <w:color w:val="FF0000"/>
                <w:sz w:val="21"/>
                <w:szCs w:val="21"/>
                <w:lang w:val="zh-CN"/>
              </w:rPr>
              <w:t>联合体协议</w:t>
            </w:r>
          </w:p>
        </w:tc>
        <w:tc>
          <w:tcPr>
            <w:tcW w:w="1559" w:type="dxa"/>
            <w:vAlign w:val="center"/>
          </w:tcPr>
          <w:p w14:paraId="5F3D1BEE">
            <w:pPr>
              <w:jc w:val="center"/>
              <w:rPr>
                <w:szCs w:val="21"/>
              </w:rPr>
            </w:pPr>
          </w:p>
        </w:tc>
        <w:tc>
          <w:tcPr>
            <w:tcW w:w="1560" w:type="dxa"/>
            <w:vAlign w:val="center"/>
          </w:tcPr>
          <w:p w14:paraId="4C58595C">
            <w:pPr>
              <w:snapToGrid w:val="0"/>
              <w:spacing w:line="400" w:lineRule="exact"/>
              <w:rPr>
                <w:rFonts w:ascii="宋体" w:hAnsi="宋体" w:cs="微软雅黑"/>
                <w:szCs w:val="21"/>
              </w:rPr>
            </w:pPr>
          </w:p>
        </w:tc>
        <w:tc>
          <w:tcPr>
            <w:tcW w:w="2018" w:type="dxa"/>
            <w:vAlign w:val="center"/>
          </w:tcPr>
          <w:p w14:paraId="48113912">
            <w:pPr>
              <w:snapToGrid w:val="0"/>
              <w:spacing w:line="400" w:lineRule="exact"/>
              <w:rPr>
                <w:rFonts w:ascii="宋体" w:hAnsi="宋体" w:cs="微软雅黑"/>
                <w:szCs w:val="21"/>
              </w:rPr>
            </w:pPr>
          </w:p>
        </w:tc>
      </w:tr>
      <w:tr w14:paraId="4B9C3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0D06DE4A">
            <w:pPr>
              <w:adjustRightInd w:val="0"/>
              <w:snapToGrid w:val="0"/>
              <w:spacing w:line="400" w:lineRule="exact"/>
              <w:jc w:val="center"/>
              <w:textAlignment w:val="baseline"/>
              <w:rPr>
                <w:rFonts w:asciiTheme="majorEastAsia" w:hAnsiTheme="majorEastAsia" w:eastAsiaTheme="majorEastAsia" w:cstheme="majorEastAsia"/>
                <w:bCs/>
                <w:color w:val="FF0000"/>
                <w:szCs w:val="21"/>
                <w:lang w:val="zh-CN"/>
              </w:rPr>
            </w:pPr>
            <w:r>
              <w:rPr>
                <w:rFonts w:hint="eastAsia" w:asciiTheme="majorEastAsia" w:hAnsiTheme="majorEastAsia" w:eastAsiaTheme="majorEastAsia" w:cstheme="majorEastAsia"/>
                <w:bCs/>
                <w:color w:val="FF0000"/>
                <w:szCs w:val="21"/>
                <w:lang w:val="zh-CN"/>
              </w:rPr>
              <w:t>9</w:t>
            </w:r>
          </w:p>
        </w:tc>
        <w:tc>
          <w:tcPr>
            <w:tcW w:w="3751" w:type="dxa"/>
            <w:vAlign w:val="center"/>
          </w:tcPr>
          <w:p w14:paraId="666624D1">
            <w:pPr>
              <w:pStyle w:val="14"/>
              <w:kinsoku w:val="0"/>
              <w:overflowPunct w:val="0"/>
              <w:autoSpaceDE w:val="0"/>
              <w:autoSpaceDN w:val="0"/>
              <w:spacing w:line="320" w:lineRule="exact"/>
              <w:rPr>
                <w:rFonts w:asciiTheme="majorEastAsia" w:hAnsiTheme="majorEastAsia" w:eastAsiaTheme="majorEastAsia" w:cstheme="majorEastAsia"/>
                <w:bCs/>
                <w:color w:val="FF0000"/>
                <w:sz w:val="21"/>
                <w:szCs w:val="21"/>
                <w:lang w:val="zh-CN"/>
              </w:rPr>
            </w:pPr>
            <w:r>
              <w:rPr>
                <w:rFonts w:hint="eastAsia" w:asciiTheme="majorEastAsia" w:hAnsiTheme="majorEastAsia" w:eastAsiaTheme="majorEastAsia" w:cstheme="majorEastAsia"/>
                <w:bCs/>
                <w:color w:val="FF0000"/>
                <w:sz w:val="21"/>
                <w:szCs w:val="21"/>
                <w:lang w:val="zh-CN"/>
              </w:rPr>
              <w:t>投标人与参加本项目投标的其他供应商之间，单位负责人不为同一人并且不存在直接控股、管理关系承诺函</w:t>
            </w:r>
          </w:p>
        </w:tc>
        <w:tc>
          <w:tcPr>
            <w:tcW w:w="1559" w:type="dxa"/>
            <w:vAlign w:val="center"/>
          </w:tcPr>
          <w:p w14:paraId="26103777">
            <w:pPr>
              <w:jc w:val="center"/>
              <w:rPr>
                <w:szCs w:val="21"/>
              </w:rPr>
            </w:pPr>
          </w:p>
        </w:tc>
        <w:tc>
          <w:tcPr>
            <w:tcW w:w="1560" w:type="dxa"/>
            <w:vAlign w:val="center"/>
          </w:tcPr>
          <w:p w14:paraId="3AB2A5C9">
            <w:pPr>
              <w:snapToGrid w:val="0"/>
              <w:spacing w:line="400" w:lineRule="exact"/>
              <w:rPr>
                <w:rFonts w:ascii="宋体" w:hAnsi="宋体" w:cs="微软雅黑"/>
                <w:szCs w:val="21"/>
              </w:rPr>
            </w:pPr>
          </w:p>
        </w:tc>
        <w:tc>
          <w:tcPr>
            <w:tcW w:w="2018" w:type="dxa"/>
            <w:vAlign w:val="center"/>
          </w:tcPr>
          <w:p w14:paraId="4FEEDAD1">
            <w:pPr>
              <w:snapToGrid w:val="0"/>
              <w:spacing w:line="400" w:lineRule="exact"/>
              <w:rPr>
                <w:rFonts w:ascii="宋体" w:hAnsi="宋体" w:cs="微软雅黑"/>
                <w:szCs w:val="21"/>
              </w:rPr>
            </w:pPr>
          </w:p>
        </w:tc>
      </w:tr>
      <w:tr w14:paraId="4B3D3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0EA17E2D">
            <w:pPr>
              <w:adjustRightInd w:val="0"/>
              <w:snapToGrid w:val="0"/>
              <w:spacing w:line="400" w:lineRule="exact"/>
              <w:jc w:val="center"/>
              <w:textAlignment w:val="baseline"/>
              <w:rPr>
                <w:rFonts w:asciiTheme="majorEastAsia" w:hAnsiTheme="majorEastAsia" w:eastAsiaTheme="majorEastAsia" w:cstheme="majorEastAsia"/>
                <w:bCs/>
                <w:color w:val="FF0000"/>
                <w:szCs w:val="21"/>
                <w:lang w:val="zh-CN"/>
              </w:rPr>
            </w:pPr>
            <w:r>
              <w:rPr>
                <w:rFonts w:hint="eastAsia" w:asciiTheme="majorEastAsia" w:hAnsiTheme="majorEastAsia" w:eastAsiaTheme="majorEastAsia" w:cstheme="majorEastAsia"/>
                <w:bCs/>
                <w:color w:val="FF0000"/>
                <w:szCs w:val="21"/>
                <w:lang w:val="zh-CN"/>
              </w:rPr>
              <w:t>10</w:t>
            </w:r>
          </w:p>
        </w:tc>
        <w:tc>
          <w:tcPr>
            <w:tcW w:w="3751" w:type="dxa"/>
            <w:vAlign w:val="center"/>
          </w:tcPr>
          <w:p w14:paraId="21629ADA">
            <w:pPr>
              <w:pStyle w:val="14"/>
              <w:kinsoku w:val="0"/>
              <w:overflowPunct w:val="0"/>
              <w:autoSpaceDE w:val="0"/>
              <w:autoSpaceDN w:val="0"/>
              <w:spacing w:line="320" w:lineRule="exact"/>
              <w:rPr>
                <w:rFonts w:asciiTheme="majorEastAsia" w:hAnsiTheme="majorEastAsia" w:eastAsiaTheme="majorEastAsia" w:cstheme="majorEastAsia"/>
                <w:bCs/>
                <w:color w:val="FF0000"/>
                <w:sz w:val="21"/>
                <w:szCs w:val="21"/>
                <w:lang w:val="zh-CN"/>
              </w:rPr>
            </w:pPr>
            <w:r>
              <w:rPr>
                <w:rFonts w:hint="eastAsia" w:cs="仿宋_GB2312" w:asciiTheme="minorEastAsia" w:hAnsiTheme="minorEastAsia"/>
                <w:color w:val="FF0000"/>
                <w:sz w:val="21"/>
                <w:szCs w:val="21"/>
                <w:lang w:val="zh-CN"/>
              </w:rPr>
              <w:t>投标人未为本项目提供整体设计、规范编制或者项目管理、监理、检测等服务承诺函</w:t>
            </w:r>
          </w:p>
        </w:tc>
        <w:tc>
          <w:tcPr>
            <w:tcW w:w="1559" w:type="dxa"/>
            <w:vAlign w:val="center"/>
          </w:tcPr>
          <w:p w14:paraId="5B0884C7">
            <w:pPr>
              <w:jc w:val="center"/>
              <w:rPr>
                <w:szCs w:val="21"/>
              </w:rPr>
            </w:pPr>
          </w:p>
        </w:tc>
        <w:tc>
          <w:tcPr>
            <w:tcW w:w="1560" w:type="dxa"/>
            <w:vAlign w:val="center"/>
          </w:tcPr>
          <w:p w14:paraId="17983581">
            <w:pPr>
              <w:snapToGrid w:val="0"/>
              <w:spacing w:line="400" w:lineRule="exact"/>
              <w:rPr>
                <w:rFonts w:ascii="宋体" w:hAnsi="宋体" w:cs="微软雅黑"/>
                <w:szCs w:val="21"/>
              </w:rPr>
            </w:pPr>
          </w:p>
        </w:tc>
        <w:tc>
          <w:tcPr>
            <w:tcW w:w="2018" w:type="dxa"/>
            <w:vAlign w:val="center"/>
          </w:tcPr>
          <w:p w14:paraId="6D03B3A3">
            <w:pPr>
              <w:snapToGrid w:val="0"/>
              <w:spacing w:line="400" w:lineRule="exact"/>
              <w:rPr>
                <w:rFonts w:ascii="宋体" w:hAnsi="宋体" w:cs="微软雅黑"/>
                <w:szCs w:val="21"/>
              </w:rPr>
            </w:pPr>
          </w:p>
        </w:tc>
      </w:tr>
      <w:tr w14:paraId="39898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tcBorders>
              <w:top w:val="double" w:color="auto" w:sz="4" w:space="0"/>
            </w:tcBorders>
            <w:vAlign w:val="center"/>
          </w:tcPr>
          <w:p w14:paraId="11AE9F3A">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11</w:t>
            </w:r>
          </w:p>
        </w:tc>
        <w:tc>
          <w:tcPr>
            <w:tcW w:w="3751" w:type="dxa"/>
            <w:tcBorders>
              <w:top w:val="double" w:color="auto" w:sz="4" w:space="0"/>
            </w:tcBorders>
            <w:vAlign w:val="center"/>
          </w:tcPr>
          <w:p w14:paraId="55136530">
            <w:pPr>
              <w:pStyle w:val="14"/>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投标分项报价表</w:t>
            </w:r>
          </w:p>
        </w:tc>
        <w:tc>
          <w:tcPr>
            <w:tcW w:w="1559" w:type="dxa"/>
            <w:tcBorders>
              <w:top w:val="double" w:color="auto" w:sz="4" w:space="0"/>
            </w:tcBorders>
            <w:vAlign w:val="center"/>
          </w:tcPr>
          <w:p w14:paraId="6D2E974F">
            <w:pPr>
              <w:jc w:val="center"/>
              <w:rPr>
                <w:szCs w:val="21"/>
              </w:rPr>
            </w:pPr>
          </w:p>
        </w:tc>
        <w:tc>
          <w:tcPr>
            <w:tcW w:w="1560" w:type="dxa"/>
            <w:tcBorders>
              <w:top w:val="double" w:color="auto" w:sz="4" w:space="0"/>
            </w:tcBorders>
            <w:vAlign w:val="center"/>
          </w:tcPr>
          <w:p w14:paraId="217553C8">
            <w:pPr>
              <w:snapToGrid w:val="0"/>
              <w:spacing w:line="400" w:lineRule="exact"/>
              <w:rPr>
                <w:rFonts w:ascii="宋体" w:hAnsi="宋体" w:cs="微软雅黑"/>
                <w:szCs w:val="21"/>
              </w:rPr>
            </w:pPr>
          </w:p>
        </w:tc>
        <w:tc>
          <w:tcPr>
            <w:tcW w:w="2018" w:type="dxa"/>
            <w:tcBorders>
              <w:top w:val="double" w:color="auto" w:sz="4" w:space="0"/>
            </w:tcBorders>
            <w:vAlign w:val="center"/>
          </w:tcPr>
          <w:p w14:paraId="5CEEB2FD">
            <w:pPr>
              <w:snapToGrid w:val="0"/>
              <w:spacing w:line="400" w:lineRule="exact"/>
              <w:rPr>
                <w:rFonts w:ascii="宋体" w:hAnsi="宋体" w:cs="微软雅黑"/>
                <w:szCs w:val="21"/>
              </w:rPr>
            </w:pPr>
          </w:p>
        </w:tc>
      </w:tr>
      <w:tr w14:paraId="0B7E38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4CAB6A90">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12</w:t>
            </w:r>
          </w:p>
        </w:tc>
        <w:tc>
          <w:tcPr>
            <w:tcW w:w="3751" w:type="dxa"/>
            <w:vAlign w:val="center"/>
          </w:tcPr>
          <w:p w14:paraId="071D5FDF">
            <w:pPr>
              <w:pStyle w:val="14"/>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技术规格偏离表</w:t>
            </w:r>
          </w:p>
        </w:tc>
        <w:tc>
          <w:tcPr>
            <w:tcW w:w="1559" w:type="dxa"/>
            <w:vAlign w:val="center"/>
          </w:tcPr>
          <w:p w14:paraId="22C502A7">
            <w:pPr>
              <w:jc w:val="center"/>
              <w:rPr>
                <w:szCs w:val="21"/>
              </w:rPr>
            </w:pPr>
          </w:p>
        </w:tc>
        <w:tc>
          <w:tcPr>
            <w:tcW w:w="1560" w:type="dxa"/>
            <w:vAlign w:val="center"/>
          </w:tcPr>
          <w:p w14:paraId="21E9604C">
            <w:pPr>
              <w:snapToGrid w:val="0"/>
              <w:spacing w:line="400" w:lineRule="exact"/>
              <w:rPr>
                <w:rFonts w:ascii="宋体" w:hAnsi="宋体" w:cs="微软雅黑"/>
                <w:szCs w:val="21"/>
              </w:rPr>
            </w:pPr>
          </w:p>
        </w:tc>
        <w:tc>
          <w:tcPr>
            <w:tcW w:w="2018" w:type="dxa"/>
            <w:vAlign w:val="center"/>
          </w:tcPr>
          <w:p w14:paraId="700FDE31">
            <w:pPr>
              <w:snapToGrid w:val="0"/>
              <w:spacing w:line="400" w:lineRule="exact"/>
              <w:rPr>
                <w:rFonts w:ascii="宋体" w:hAnsi="宋体" w:cs="微软雅黑"/>
                <w:szCs w:val="21"/>
              </w:rPr>
            </w:pPr>
          </w:p>
        </w:tc>
      </w:tr>
      <w:tr w14:paraId="1D6359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78A9B39C">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13</w:t>
            </w:r>
          </w:p>
        </w:tc>
        <w:tc>
          <w:tcPr>
            <w:tcW w:w="3751" w:type="dxa"/>
            <w:vAlign w:val="center"/>
          </w:tcPr>
          <w:p w14:paraId="5FF74248">
            <w:pPr>
              <w:pStyle w:val="14"/>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技术方案（实施方案）</w:t>
            </w:r>
          </w:p>
        </w:tc>
        <w:tc>
          <w:tcPr>
            <w:tcW w:w="1559" w:type="dxa"/>
            <w:vAlign w:val="center"/>
          </w:tcPr>
          <w:p w14:paraId="31AA76FD">
            <w:pPr>
              <w:jc w:val="center"/>
              <w:rPr>
                <w:szCs w:val="21"/>
              </w:rPr>
            </w:pPr>
          </w:p>
        </w:tc>
        <w:tc>
          <w:tcPr>
            <w:tcW w:w="1560" w:type="dxa"/>
            <w:tcBorders>
              <w:top w:val="single" w:color="auto" w:sz="4" w:space="0"/>
            </w:tcBorders>
            <w:vAlign w:val="center"/>
          </w:tcPr>
          <w:p w14:paraId="0F99CF65">
            <w:pPr>
              <w:snapToGrid w:val="0"/>
              <w:spacing w:line="400" w:lineRule="exact"/>
              <w:rPr>
                <w:rFonts w:ascii="宋体" w:hAnsi="宋体" w:cs="微软雅黑"/>
                <w:szCs w:val="21"/>
              </w:rPr>
            </w:pPr>
          </w:p>
        </w:tc>
        <w:tc>
          <w:tcPr>
            <w:tcW w:w="2018" w:type="dxa"/>
            <w:tcBorders>
              <w:top w:val="single" w:color="auto" w:sz="4" w:space="0"/>
            </w:tcBorders>
            <w:vAlign w:val="center"/>
          </w:tcPr>
          <w:p w14:paraId="3D42266A">
            <w:pPr>
              <w:snapToGrid w:val="0"/>
              <w:spacing w:line="400" w:lineRule="exact"/>
              <w:rPr>
                <w:rFonts w:ascii="宋体" w:hAnsi="宋体" w:cs="微软雅黑"/>
                <w:szCs w:val="21"/>
              </w:rPr>
            </w:pPr>
          </w:p>
        </w:tc>
      </w:tr>
      <w:tr w14:paraId="1B887C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11BD41F0">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14</w:t>
            </w:r>
          </w:p>
        </w:tc>
        <w:tc>
          <w:tcPr>
            <w:tcW w:w="3751" w:type="dxa"/>
            <w:vAlign w:val="center"/>
          </w:tcPr>
          <w:p w14:paraId="129C61D7">
            <w:pPr>
              <w:pStyle w:val="14"/>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售后服务方案</w:t>
            </w:r>
          </w:p>
        </w:tc>
        <w:tc>
          <w:tcPr>
            <w:tcW w:w="1559" w:type="dxa"/>
            <w:vAlign w:val="center"/>
          </w:tcPr>
          <w:p w14:paraId="7F4D3891">
            <w:pPr>
              <w:jc w:val="center"/>
              <w:rPr>
                <w:szCs w:val="21"/>
              </w:rPr>
            </w:pPr>
          </w:p>
        </w:tc>
        <w:tc>
          <w:tcPr>
            <w:tcW w:w="1560" w:type="dxa"/>
            <w:vAlign w:val="center"/>
          </w:tcPr>
          <w:p w14:paraId="1B2542A4">
            <w:pPr>
              <w:snapToGrid w:val="0"/>
              <w:spacing w:line="400" w:lineRule="exact"/>
              <w:rPr>
                <w:rFonts w:ascii="宋体" w:hAnsi="宋体" w:cs="微软雅黑"/>
                <w:szCs w:val="21"/>
              </w:rPr>
            </w:pPr>
          </w:p>
        </w:tc>
        <w:tc>
          <w:tcPr>
            <w:tcW w:w="2018" w:type="dxa"/>
            <w:vAlign w:val="center"/>
          </w:tcPr>
          <w:p w14:paraId="6DF7F48B">
            <w:pPr>
              <w:snapToGrid w:val="0"/>
              <w:spacing w:line="400" w:lineRule="exact"/>
              <w:rPr>
                <w:rFonts w:ascii="宋体" w:hAnsi="宋体" w:cs="微软雅黑"/>
                <w:szCs w:val="21"/>
              </w:rPr>
            </w:pPr>
          </w:p>
        </w:tc>
      </w:tr>
      <w:tr w14:paraId="1BA23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5F9C4886">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15</w:t>
            </w:r>
          </w:p>
        </w:tc>
        <w:tc>
          <w:tcPr>
            <w:tcW w:w="3751" w:type="dxa"/>
            <w:vAlign w:val="center"/>
          </w:tcPr>
          <w:p w14:paraId="4AF830EE">
            <w:pPr>
              <w:pStyle w:val="14"/>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业绩情况表</w:t>
            </w:r>
          </w:p>
        </w:tc>
        <w:tc>
          <w:tcPr>
            <w:tcW w:w="1559" w:type="dxa"/>
            <w:vAlign w:val="center"/>
          </w:tcPr>
          <w:p w14:paraId="0E93D1C1">
            <w:pPr>
              <w:jc w:val="center"/>
              <w:rPr>
                <w:szCs w:val="21"/>
              </w:rPr>
            </w:pPr>
          </w:p>
        </w:tc>
        <w:tc>
          <w:tcPr>
            <w:tcW w:w="1560" w:type="dxa"/>
            <w:vAlign w:val="center"/>
          </w:tcPr>
          <w:p w14:paraId="042CA9B7">
            <w:pPr>
              <w:snapToGrid w:val="0"/>
              <w:spacing w:line="400" w:lineRule="exact"/>
              <w:rPr>
                <w:rFonts w:ascii="宋体" w:hAnsi="宋体" w:cs="微软雅黑"/>
                <w:szCs w:val="21"/>
              </w:rPr>
            </w:pPr>
          </w:p>
        </w:tc>
        <w:tc>
          <w:tcPr>
            <w:tcW w:w="2018" w:type="dxa"/>
            <w:vAlign w:val="center"/>
          </w:tcPr>
          <w:p w14:paraId="0FA30A71">
            <w:pPr>
              <w:snapToGrid w:val="0"/>
              <w:spacing w:line="400" w:lineRule="exact"/>
              <w:rPr>
                <w:rFonts w:ascii="宋体" w:hAnsi="宋体" w:cs="微软雅黑"/>
                <w:szCs w:val="21"/>
              </w:rPr>
            </w:pPr>
          </w:p>
        </w:tc>
      </w:tr>
      <w:tr w14:paraId="2D772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2FB6CB97">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16</w:t>
            </w:r>
          </w:p>
        </w:tc>
        <w:tc>
          <w:tcPr>
            <w:tcW w:w="3751" w:type="dxa"/>
            <w:vAlign w:val="center"/>
          </w:tcPr>
          <w:p w14:paraId="1DE75E5B">
            <w:pPr>
              <w:pStyle w:val="14"/>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政府强制采购节能产品品目清单情况</w:t>
            </w:r>
          </w:p>
        </w:tc>
        <w:tc>
          <w:tcPr>
            <w:tcW w:w="1559" w:type="dxa"/>
            <w:vAlign w:val="center"/>
          </w:tcPr>
          <w:p w14:paraId="786C92E4">
            <w:pPr>
              <w:jc w:val="center"/>
              <w:rPr>
                <w:szCs w:val="21"/>
              </w:rPr>
            </w:pPr>
          </w:p>
        </w:tc>
        <w:tc>
          <w:tcPr>
            <w:tcW w:w="1560" w:type="dxa"/>
            <w:vAlign w:val="center"/>
          </w:tcPr>
          <w:p w14:paraId="05C3950E">
            <w:pPr>
              <w:snapToGrid w:val="0"/>
              <w:spacing w:line="400" w:lineRule="exact"/>
              <w:rPr>
                <w:rFonts w:ascii="宋体" w:hAnsi="宋体" w:cs="微软雅黑"/>
                <w:szCs w:val="21"/>
              </w:rPr>
            </w:pPr>
          </w:p>
        </w:tc>
        <w:tc>
          <w:tcPr>
            <w:tcW w:w="2018" w:type="dxa"/>
            <w:vAlign w:val="center"/>
          </w:tcPr>
          <w:p w14:paraId="3A434CCF">
            <w:pPr>
              <w:snapToGrid w:val="0"/>
              <w:spacing w:line="400" w:lineRule="exact"/>
              <w:rPr>
                <w:rFonts w:ascii="宋体" w:hAnsi="宋体" w:cs="微软雅黑"/>
                <w:szCs w:val="21"/>
              </w:rPr>
            </w:pPr>
          </w:p>
        </w:tc>
      </w:tr>
      <w:tr w14:paraId="39A6F0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3DA1EFB2">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17</w:t>
            </w:r>
          </w:p>
        </w:tc>
        <w:tc>
          <w:tcPr>
            <w:tcW w:w="3751" w:type="dxa"/>
            <w:vAlign w:val="center"/>
          </w:tcPr>
          <w:p w14:paraId="78E7E11A">
            <w:pPr>
              <w:pStyle w:val="14"/>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优先采购节能产品政府采购品目清单情况</w:t>
            </w:r>
          </w:p>
        </w:tc>
        <w:tc>
          <w:tcPr>
            <w:tcW w:w="1559" w:type="dxa"/>
            <w:vAlign w:val="center"/>
          </w:tcPr>
          <w:p w14:paraId="72127DF4">
            <w:pPr>
              <w:jc w:val="center"/>
              <w:rPr>
                <w:szCs w:val="21"/>
              </w:rPr>
            </w:pPr>
          </w:p>
        </w:tc>
        <w:tc>
          <w:tcPr>
            <w:tcW w:w="1560" w:type="dxa"/>
            <w:vAlign w:val="center"/>
          </w:tcPr>
          <w:p w14:paraId="61A7B5CA">
            <w:pPr>
              <w:snapToGrid w:val="0"/>
              <w:spacing w:line="400" w:lineRule="exact"/>
              <w:rPr>
                <w:rFonts w:ascii="宋体" w:hAnsi="宋体" w:cs="微软雅黑"/>
                <w:szCs w:val="21"/>
              </w:rPr>
            </w:pPr>
          </w:p>
        </w:tc>
        <w:tc>
          <w:tcPr>
            <w:tcW w:w="2018" w:type="dxa"/>
            <w:vAlign w:val="center"/>
          </w:tcPr>
          <w:p w14:paraId="4D1B3CA9">
            <w:pPr>
              <w:snapToGrid w:val="0"/>
              <w:spacing w:line="400" w:lineRule="exact"/>
              <w:rPr>
                <w:rFonts w:ascii="宋体" w:hAnsi="宋体" w:cs="微软雅黑"/>
                <w:szCs w:val="21"/>
              </w:rPr>
            </w:pPr>
          </w:p>
        </w:tc>
      </w:tr>
      <w:tr w14:paraId="35BC7C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1815118C">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18</w:t>
            </w:r>
          </w:p>
        </w:tc>
        <w:tc>
          <w:tcPr>
            <w:tcW w:w="3751" w:type="dxa"/>
            <w:vAlign w:val="center"/>
          </w:tcPr>
          <w:p w14:paraId="4FC921C8">
            <w:pPr>
              <w:pStyle w:val="14"/>
              <w:kinsoku w:val="0"/>
              <w:overflowPunct w:val="0"/>
              <w:autoSpaceDE w:val="0"/>
              <w:autoSpaceDN w:val="0"/>
              <w:spacing w:line="320" w:lineRule="exact"/>
              <w:rPr>
                <w:rFonts w:hAnsi="宋体" w:cs="微软雅黑"/>
                <w:bCs/>
                <w:kern w:val="0"/>
                <w:sz w:val="21"/>
                <w:szCs w:val="21"/>
              </w:rPr>
            </w:pPr>
            <w:r>
              <w:rPr>
                <w:rFonts w:hint="eastAsia" w:ascii="宋体" w:hAnsi="宋体"/>
                <w:sz w:val="21"/>
                <w:szCs w:val="21"/>
                <w:lang w:val="en-GB"/>
              </w:rPr>
              <w:t>优先采购环境标志产品政府采购品目清单情况</w:t>
            </w:r>
          </w:p>
        </w:tc>
        <w:tc>
          <w:tcPr>
            <w:tcW w:w="1559" w:type="dxa"/>
            <w:vAlign w:val="center"/>
          </w:tcPr>
          <w:p w14:paraId="185C3756">
            <w:pPr>
              <w:jc w:val="center"/>
              <w:rPr>
                <w:szCs w:val="21"/>
              </w:rPr>
            </w:pPr>
          </w:p>
        </w:tc>
        <w:tc>
          <w:tcPr>
            <w:tcW w:w="1560" w:type="dxa"/>
            <w:vAlign w:val="center"/>
          </w:tcPr>
          <w:p w14:paraId="6C897E5A">
            <w:pPr>
              <w:snapToGrid w:val="0"/>
              <w:spacing w:line="400" w:lineRule="exact"/>
              <w:rPr>
                <w:rFonts w:ascii="宋体" w:hAnsi="宋体" w:cs="微软雅黑"/>
                <w:szCs w:val="21"/>
              </w:rPr>
            </w:pPr>
          </w:p>
        </w:tc>
        <w:tc>
          <w:tcPr>
            <w:tcW w:w="2018" w:type="dxa"/>
            <w:vAlign w:val="center"/>
          </w:tcPr>
          <w:p w14:paraId="1B4E546F">
            <w:pPr>
              <w:snapToGrid w:val="0"/>
              <w:spacing w:line="400" w:lineRule="exact"/>
              <w:rPr>
                <w:rFonts w:ascii="宋体" w:hAnsi="宋体" w:cs="微软雅黑"/>
                <w:szCs w:val="21"/>
              </w:rPr>
            </w:pPr>
          </w:p>
        </w:tc>
      </w:tr>
      <w:tr w14:paraId="0F4A0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1EFFC00C">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19</w:t>
            </w:r>
          </w:p>
        </w:tc>
        <w:tc>
          <w:tcPr>
            <w:tcW w:w="3751" w:type="dxa"/>
            <w:vAlign w:val="center"/>
          </w:tcPr>
          <w:p w14:paraId="21A6E6BD">
            <w:pPr>
              <w:pStyle w:val="14"/>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中小企业声明函</w:t>
            </w:r>
          </w:p>
        </w:tc>
        <w:tc>
          <w:tcPr>
            <w:tcW w:w="1559" w:type="dxa"/>
            <w:vAlign w:val="center"/>
          </w:tcPr>
          <w:p w14:paraId="6A933175">
            <w:pPr>
              <w:jc w:val="center"/>
              <w:rPr>
                <w:szCs w:val="21"/>
              </w:rPr>
            </w:pPr>
          </w:p>
        </w:tc>
        <w:tc>
          <w:tcPr>
            <w:tcW w:w="1560" w:type="dxa"/>
            <w:vAlign w:val="center"/>
          </w:tcPr>
          <w:p w14:paraId="32902C29">
            <w:pPr>
              <w:snapToGrid w:val="0"/>
              <w:spacing w:line="400" w:lineRule="exact"/>
              <w:rPr>
                <w:rFonts w:ascii="宋体" w:hAnsi="宋体" w:cs="微软雅黑"/>
                <w:szCs w:val="21"/>
              </w:rPr>
            </w:pPr>
          </w:p>
        </w:tc>
        <w:tc>
          <w:tcPr>
            <w:tcW w:w="2018" w:type="dxa"/>
            <w:vAlign w:val="center"/>
          </w:tcPr>
          <w:p w14:paraId="291FAD4F">
            <w:pPr>
              <w:snapToGrid w:val="0"/>
              <w:spacing w:line="400" w:lineRule="exact"/>
              <w:rPr>
                <w:rFonts w:ascii="宋体" w:hAnsi="宋体" w:cs="微软雅黑"/>
                <w:szCs w:val="21"/>
              </w:rPr>
            </w:pPr>
          </w:p>
        </w:tc>
      </w:tr>
      <w:tr w14:paraId="58F3C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299549CC">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20</w:t>
            </w:r>
          </w:p>
        </w:tc>
        <w:tc>
          <w:tcPr>
            <w:tcW w:w="3751" w:type="dxa"/>
            <w:vAlign w:val="center"/>
          </w:tcPr>
          <w:p w14:paraId="58BCE190">
            <w:pPr>
              <w:pStyle w:val="14"/>
              <w:kinsoku w:val="0"/>
              <w:overflowPunct w:val="0"/>
              <w:autoSpaceDE w:val="0"/>
              <w:autoSpaceDN w:val="0"/>
              <w:spacing w:line="320" w:lineRule="exact"/>
              <w:rPr>
                <w:rFonts w:hAnsi="宋体" w:cs="微软雅黑"/>
                <w:bCs/>
                <w:kern w:val="0"/>
                <w:sz w:val="21"/>
                <w:szCs w:val="21"/>
              </w:rPr>
            </w:pPr>
            <w:r>
              <w:rPr>
                <w:rFonts w:hint="eastAsia" w:cs="仿宋_GB2312" w:asciiTheme="minorEastAsia" w:hAnsiTheme="minorEastAsia" w:eastAsiaTheme="minorEastAsia"/>
                <w:sz w:val="21"/>
                <w:szCs w:val="21"/>
                <w:lang w:val="zh-CN"/>
              </w:rPr>
              <w:t>残疾人福利性单位声明函</w:t>
            </w:r>
          </w:p>
        </w:tc>
        <w:tc>
          <w:tcPr>
            <w:tcW w:w="1559" w:type="dxa"/>
            <w:vAlign w:val="center"/>
          </w:tcPr>
          <w:p w14:paraId="6F58DF6F">
            <w:pPr>
              <w:jc w:val="center"/>
              <w:rPr>
                <w:szCs w:val="21"/>
              </w:rPr>
            </w:pPr>
          </w:p>
        </w:tc>
        <w:tc>
          <w:tcPr>
            <w:tcW w:w="1560" w:type="dxa"/>
            <w:vAlign w:val="center"/>
          </w:tcPr>
          <w:p w14:paraId="2CC302C2">
            <w:pPr>
              <w:snapToGrid w:val="0"/>
              <w:spacing w:line="400" w:lineRule="exact"/>
              <w:rPr>
                <w:rFonts w:ascii="宋体" w:hAnsi="宋体" w:cs="微软雅黑"/>
                <w:szCs w:val="21"/>
              </w:rPr>
            </w:pPr>
          </w:p>
        </w:tc>
        <w:tc>
          <w:tcPr>
            <w:tcW w:w="2018" w:type="dxa"/>
            <w:vAlign w:val="center"/>
          </w:tcPr>
          <w:p w14:paraId="3DE2AD64">
            <w:pPr>
              <w:snapToGrid w:val="0"/>
              <w:spacing w:line="400" w:lineRule="exact"/>
              <w:rPr>
                <w:rFonts w:ascii="宋体" w:hAnsi="宋体" w:cs="微软雅黑"/>
                <w:szCs w:val="21"/>
              </w:rPr>
            </w:pPr>
          </w:p>
        </w:tc>
      </w:tr>
      <w:tr w14:paraId="4C9989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vAlign w:val="center"/>
          </w:tcPr>
          <w:p w14:paraId="03924481">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21</w:t>
            </w:r>
          </w:p>
        </w:tc>
        <w:tc>
          <w:tcPr>
            <w:tcW w:w="3751" w:type="dxa"/>
            <w:vAlign w:val="center"/>
          </w:tcPr>
          <w:p w14:paraId="4EEBBC62">
            <w:pPr>
              <w:pStyle w:val="14"/>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监狱企业证明文件</w:t>
            </w:r>
          </w:p>
        </w:tc>
        <w:tc>
          <w:tcPr>
            <w:tcW w:w="1559" w:type="dxa"/>
            <w:vAlign w:val="center"/>
          </w:tcPr>
          <w:p w14:paraId="5CFB72DB">
            <w:pPr>
              <w:jc w:val="center"/>
              <w:rPr>
                <w:szCs w:val="21"/>
              </w:rPr>
            </w:pPr>
          </w:p>
        </w:tc>
        <w:tc>
          <w:tcPr>
            <w:tcW w:w="1560" w:type="dxa"/>
            <w:vAlign w:val="center"/>
          </w:tcPr>
          <w:p w14:paraId="703F933B">
            <w:pPr>
              <w:snapToGrid w:val="0"/>
              <w:spacing w:line="400" w:lineRule="exact"/>
              <w:rPr>
                <w:rFonts w:ascii="宋体" w:hAnsi="宋体" w:cs="微软雅黑"/>
                <w:szCs w:val="21"/>
              </w:rPr>
            </w:pPr>
          </w:p>
        </w:tc>
        <w:tc>
          <w:tcPr>
            <w:tcW w:w="2018" w:type="dxa"/>
            <w:vAlign w:val="center"/>
          </w:tcPr>
          <w:p w14:paraId="1707A145">
            <w:pPr>
              <w:snapToGrid w:val="0"/>
              <w:spacing w:line="400" w:lineRule="exact"/>
              <w:rPr>
                <w:rFonts w:ascii="宋体" w:hAnsi="宋体" w:cs="微软雅黑"/>
                <w:szCs w:val="21"/>
              </w:rPr>
            </w:pPr>
          </w:p>
        </w:tc>
      </w:tr>
      <w:tr w14:paraId="6BEBA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14" w:hRule="atLeast"/>
        </w:trPr>
        <w:tc>
          <w:tcPr>
            <w:tcW w:w="468" w:type="dxa"/>
            <w:vAlign w:val="center"/>
          </w:tcPr>
          <w:p w14:paraId="5678A9D4">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22</w:t>
            </w:r>
          </w:p>
        </w:tc>
        <w:tc>
          <w:tcPr>
            <w:tcW w:w="3751" w:type="dxa"/>
            <w:vAlign w:val="center"/>
          </w:tcPr>
          <w:p w14:paraId="2101854D">
            <w:pPr>
              <w:pStyle w:val="14"/>
              <w:kinsoku w:val="0"/>
              <w:overflowPunct w:val="0"/>
              <w:autoSpaceDE w:val="0"/>
              <w:autoSpaceDN w:val="0"/>
              <w:spacing w:line="320" w:lineRule="exact"/>
              <w:rPr>
                <w:rFonts w:asciiTheme="majorEastAsia" w:hAnsiTheme="majorEastAsia" w:eastAsiaTheme="majorEastAsia" w:cstheme="majorEastAsia"/>
                <w:bCs/>
                <w:sz w:val="21"/>
                <w:szCs w:val="21"/>
                <w:lang w:val="zh-CN"/>
              </w:rPr>
            </w:pPr>
            <w:r>
              <w:rPr>
                <w:rFonts w:hint="eastAsia" w:cs="宋体" w:asciiTheme="minorEastAsia" w:hAnsiTheme="minorEastAsia"/>
                <w:bCs/>
                <w:sz w:val="21"/>
                <w:szCs w:val="21"/>
                <w:lang w:val="zh-CN"/>
              </w:rPr>
              <w:t>中国信息安全认证中心按国家标准认证颁发的</w:t>
            </w:r>
            <w:r>
              <w:rPr>
                <w:rFonts w:cs="宋体" w:asciiTheme="minorEastAsia" w:hAnsiTheme="minorEastAsia"/>
                <w:kern w:val="0"/>
                <w:sz w:val="21"/>
                <w:szCs w:val="21"/>
              </w:rPr>
              <w:t>信息安全产品</w:t>
            </w:r>
            <w:r>
              <w:rPr>
                <w:rFonts w:hint="eastAsia" w:cs="宋体" w:asciiTheme="minorEastAsia" w:hAnsiTheme="minorEastAsia"/>
                <w:bCs/>
                <w:sz w:val="21"/>
                <w:szCs w:val="21"/>
                <w:lang w:val="zh-CN"/>
              </w:rPr>
              <w:t>有效认证证书</w:t>
            </w:r>
          </w:p>
        </w:tc>
        <w:tc>
          <w:tcPr>
            <w:tcW w:w="1559" w:type="dxa"/>
            <w:vAlign w:val="center"/>
          </w:tcPr>
          <w:p w14:paraId="7140EB9C">
            <w:pPr>
              <w:pStyle w:val="14"/>
              <w:rPr>
                <w:sz w:val="21"/>
                <w:szCs w:val="21"/>
              </w:rPr>
            </w:pPr>
          </w:p>
        </w:tc>
        <w:tc>
          <w:tcPr>
            <w:tcW w:w="1560" w:type="dxa"/>
            <w:vAlign w:val="center"/>
          </w:tcPr>
          <w:p w14:paraId="3C89571B">
            <w:pPr>
              <w:snapToGrid w:val="0"/>
              <w:spacing w:line="400" w:lineRule="exact"/>
              <w:rPr>
                <w:rFonts w:ascii="宋体" w:hAnsi="宋体" w:cs="微软雅黑"/>
                <w:szCs w:val="21"/>
              </w:rPr>
            </w:pPr>
          </w:p>
        </w:tc>
        <w:tc>
          <w:tcPr>
            <w:tcW w:w="2018" w:type="dxa"/>
            <w:vAlign w:val="center"/>
          </w:tcPr>
          <w:p w14:paraId="62F8ADA4">
            <w:pPr>
              <w:snapToGrid w:val="0"/>
              <w:spacing w:line="400" w:lineRule="exact"/>
              <w:rPr>
                <w:rFonts w:ascii="宋体" w:hAnsi="宋体" w:cs="微软雅黑"/>
                <w:szCs w:val="21"/>
              </w:rPr>
            </w:pPr>
          </w:p>
        </w:tc>
      </w:tr>
      <w:tr w14:paraId="6D38E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tcBorders>
              <w:bottom w:val="single" w:color="auto" w:sz="4" w:space="0"/>
            </w:tcBorders>
            <w:vAlign w:val="center"/>
          </w:tcPr>
          <w:p w14:paraId="64ABB207">
            <w:pPr>
              <w:adjustRightInd w:val="0"/>
              <w:snapToGrid w:val="0"/>
              <w:spacing w:line="400" w:lineRule="exact"/>
              <w:jc w:val="center"/>
              <w:textAlignment w:val="baseline"/>
              <w:rPr>
                <w:rFonts w:ascii="宋体" w:hAnsi="宋体" w:cs="微软雅黑"/>
                <w:szCs w:val="21"/>
              </w:rPr>
            </w:pPr>
            <w:r>
              <w:rPr>
                <w:rFonts w:hint="eastAsia" w:ascii="宋体" w:hAnsi="宋体" w:cs="微软雅黑"/>
                <w:szCs w:val="21"/>
              </w:rPr>
              <w:t>23</w:t>
            </w:r>
          </w:p>
        </w:tc>
        <w:tc>
          <w:tcPr>
            <w:tcW w:w="3751" w:type="dxa"/>
            <w:tcBorders>
              <w:bottom w:val="single" w:color="auto" w:sz="4" w:space="0"/>
            </w:tcBorders>
            <w:vAlign w:val="center"/>
          </w:tcPr>
          <w:p w14:paraId="6C0A1F8F">
            <w:pPr>
              <w:pStyle w:val="14"/>
              <w:kinsoku w:val="0"/>
              <w:overflowPunct w:val="0"/>
              <w:autoSpaceDE w:val="0"/>
              <w:autoSpaceDN w:val="0"/>
              <w:spacing w:line="320" w:lineRule="exact"/>
              <w:rPr>
                <w:rFonts w:hAnsi="宋体" w:cs="微软雅黑"/>
                <w:bCs/>
                <w:kern w:val="0"/>
                <w:sz w:val="21"/>
                <w:szCs w:val="21"/>
              </w:rPr>
            </w:pPr>
            <w:r>
              <w:rPr>
                <w:rFonts w:hint="eastAsia" w:hAnsi="宋体" w:cs="微软雅黑"/>
                <w:bCs/>
                <w:kern w:val="0"/>
                <w:sz w:val="21"/>
                <w:szCs w:val="21"/>
              </w:rPr>
              <w:t>其它资料</w:t>
            </w:r>
          </w:p>
        </w:tc>
        <w:tc>
          <w:tcPr>
            <w:tcW w:w="1559" w:type="dxa"/>
            <w:vAlign w:val="center"/>
          </w:tcPr>
          <w:p w14:paraId="42413ACC">
            <w:pPr>
              <w:pStyle w:val="14"/>
              <w:rPr>
                <w:szCs w:val="21"/>
              </w:rPr>
            </w:pPr>
          </w:p>
        </w:tc>
        <w:tc>
          <w:tcPr>
            <w:tcW w:w="1560" w:type="dxa"/>
            <w:vAlign w:val="center"/>
          </w:tcPr>
          <w:p w14:paraId="22BE6EF1">
            <w:pPr>
              <w:snapToGrid w:val="0"/>
              <w:spacing w:line="400" w:lineRule="exact"/>
              <w:rPr>
                <w:rFonts w:ascii="宋体" w:hAnsi="宋体" w:cs="微软雅黑"/>
                <w:szCs w:val="21"/>
              </w:rPr>
            </w:pPr>
          </w:p>
        </w:tc>
        <w:tc>
          <w:tcPr>
            <w:tcW w:w="2018" w:type="dxa"/>
            <w:vAlign w:val="center"/>
          </w:tcPr>
          <w:p w14:paraId="3751C3E3">
            <w:pPr>
              <w:snapToGrid w:val="0"/>
              <w:spacing w:line="400" w:lineRule="exact"/>
              <w:rPr>
                <w:rFonts w:ascii="宋体" w:hAnsi="宋体" w:cs="微软雅黑"/>
                <w:szCs w:val="21"/>
              </w:rPr>
            </w:pPr>
          </w:p>
        </w:tc>
      </w:tr>
    </w:tbl>
    <w:p w14:paraId="141C857C">
      <w:pPr>
        <w:pStyle w:val="14"/>
        <w:spacing w:line="360" w:lineRule="auto"/>
        <w:jc w:val="center"/>
        <w:rPr>
          <w:rFonts w:asciiTheme="majorEastAsia" w:hAnsiTheme="majorEastAsia" w:eastAsiaTheme="majorEastAsia"/>
          <w:b/>
          <w:snapToGrid w:val="0"/>
          <w:kern w:val="0"/>
          <w:sz w:val="28"/>
          <w:szCs w:val="28"/>
        </w:rPr>
      </w:pPr>
    </w:p>
    <w:p w14:paraId="1F8D5426">
      <w:pPr>
        <w:widowControl/>
        <w:jc w:val="left"/>
        <w:rPr>
          <w:rFonts w:asciiTheme="majorEastAsia" w:hAnsiTheme="majorEastAsia" w:eastAsiaTheme="majorEastAsia"/>
          <w:b/>
          <w:snapToGrid w:val="0"/>
          <w:kern w:val="0"/>
          <w:sz w:val="28"/>
          <w:szCs w:val="28"/>
        </w:rPr>
      </w:pPr>
      <w:r>
        <w:rPr>
          <w:rFonts w:asciiTheme="majorEastAsia" w:hAnsiTheme="majorEastAsia" w:eastAsiaTheme="majorEastAsia"/>
          <w:b/>
          <w:snapToGrid w:val="0"/>
          <w:kern w:val="0"/>
          <w:sz w:val="28"/>
          <w:szCs w:val="28"/>
        </w:rPr>
        <w:br w:type="page"/>
      </w:r>
    </w:p>
    <w:p w14:paraId="310195D6">
      <w:pPr>
        <w:pStyle w:val="14"/>
        <w:spacing w:line="360" w:lineRule="auto"/>
        <w:jc w:val="center"/>
        <w:rPr>
          <w:rFonts w:asciiTheme="majorEastAsia" w:hAnsiTheme="majorEastAsia" w:eastAsiaTheme="majorEastAsia"/>
          <w:b/>
          <w:snapToGrid w:val="0"/>
          <w:kern w:val="0"/>
          <w:sz w:val="28"/>
          <w:szCs w:val="28"/>
        </w:rPr>
      </w:pPr>
      <w:r>
        <w:rPr>
          <w:rFonts w:hint="eastAsia" w:asciiTheme="majorEastAsia" w:hAnsiTheme="majorEastAsia" w:eastAsiaTheme="majorEastAsia"/>
          <w:b/>
          <w:snapToGrid w:val="0"/>
          <w:kern w:val="0"/>
          <w:sz w:val="28"/>
          <w:szCs w:val="28"/>
        </w:rPr>
        <w:t>二、开标一览表</w:t>
      </w:r>
    </w:p>
    <w:p w14:paraId="0CD3972E">
      <w:pPr>
        <w:pStyle w:val="14"/>
        <w:spacing w:line="360" w:lineRule="auto"/>
        <w:jc w:val="center"/>
        <w:rPr>
          <w:rFonts w:asciiTheme="majorEastAsia" w:hAnsiTheme="majorEastAsia" w:eastAsiaTheme="majorEastAsia"/>
          <w:b/>
          <w:snapToGrid w:val="0"/>
          <w:kern w:val="0"/>
          <w:sz w:val="28"/>
          <w:szCs w:val="28"/>
        </w:rPr>
      </w:pPr>
    </w:p>
    <w:p w14:paraId="1AA90547">
      <w:pPr>
        <w:spacing w:before="50" w:afterLines="50" w:line="360" w:lineRule="auto"/>
        <w:contextualSpacing/>
        <w:jc w:val="left"/>
        <w:rPr>
          <w:rFonts w:asciiTheme="minorEastAsia" w:hAnsiTheme="minorEastAsia"/>
          <w:szCs w:val="21"/>
        </w:rPr>
      </w:pPr>
      <w:r>
        <w:rPr>
          <w:rFonts w:hint="eastAsia" w:asciiTheme="minorEastAsia" w:hAnsiTheme="minorEastAsia"/>
          <w:szCs w:val="21"/>
        </w:rPr>
        <w:t>采购编号：</w:t>
      </w:r>
    </w:p>
    <w:p w14:paraId="24F0F9F1">
      <w:pPr>
        <w:spacing w:line="360" w:lineRule="auto"/>
        <w:contextualSpacing/>
        <w:rPr>
          <w:rFonts w:asciiTheme="minorEastAsia" w:hAnsiTheme="minorEastAsia"/>
          <w:szCs w:val="21"/>
        </w:rPr>
      </w:pPr>
      <w:r>
        <w:rPr>
          <w:rFonts w:hint="eastAsia" w:asciiTheme="minorEastAsia" w:hAnsiTheme="minorEastAsia"/>
          <w:szCs w:val="21"/>
        </w:rPr>
        <w:t xml:space="preserve">项目名称：                                                      </w:t>
      </w:r>
      <w:r>
        <w:rPr>
          <w:rFonts w:hint="eastAsia" w:cs="Arial" w:asciiTheme="minorEastAsia" w:hAnsiTheme="minorEastAsia"/>
          <w:szCs w:val="21"/>
        </w:rPr>
        <w:t>单位：元（人民币）</w:t>
      </w:r>
    </w:p>
    <w:tbl>
      <w:tblPr>
        <w:tblStyle w:val="24"/>
        <w:tblW w:w="9180" w:type="dxa"/>
        <w:tblInd w:w="0" w:type="dxa"/>
        <w:tblLayout w:type="fixed"/>
        <w:tblCellMar>
          <w:top w:w="0" w:type="dxa"/>
          <w:left w:w="108" w:type="dxa"/>
          <w:bottom w:w="0" w:type="dxa"/>
          <w:right w:w="108" w:type="dxa"/>
        </w:tblCellMar>
      </w:tblPr>
      <w:tblGrid>
        <w:gridCol w:w="959"/>
        <w:gridCol w:w="1843"/>
        <w:gridCol w:w="3685"/>
        <w:gridCol w:w="1843"/>
        <w:gridCol w:w="850"/>
      </w:tblGrid>
      <w:tr w14:paraId="31DB3B97">
        <w:tblPrEx>
          <w:tblCellMar>
            <w:top w:w="0" w:type="dxa"/>
            <w:left w:w="108" w:type="dxa"/>
            <w:bottom w:w="0" w:type="dxa"/>
            <w:right w:w="108" w:type="dxa"/>
          </w:tblCellMar>
        </w:tblPrEx>
        <w:trPr>
          <w:trHeight w:val="851" w:hRule="atLeast"/>
        </w:trPr>
        <w:tc>
          <w:tcPr>
            <w:tcW w:w="959"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7C53B306">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标段</w:t>
            </w:r>
          </w:p>
        </w:tc>
        <w:tc>
          <w:tcPr>
            <w:tcW w:w="1843"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330D16B5">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项目名称</w:t>
            </w:r>
          </w:p>
        </w:tc>
        <w:tc>
          <w:tcPr>
            <w:tcW w:w="3685"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7D9795E2">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投标报价</w:t>
            </w:r>
          </w:p>
        </w:tc>
        <w:tc>
          <w:tcPr>
            <w:tcW w:w="1843"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609B3FF4">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交付日期</w:t>
            </w:r>
          </w:p>
        </w:tc>
        <w:tc>
          <w:tcPr>
            <w:tcW w:w="85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6D096062">
            <w:pPr>
              <w:autoSpaceDE w:val="0"/>
              <w:autoSpaceDN w:val="0"/>
              <w:adjustRightInd w:val="0"/>
              <w:spacing w:line="480" w:lineRule="exact"/>
              <w:jc w:val="center"/>
              <w:rPr>
                <w:rFonts w:cs="宋体" w:asciiTheme="minorEastAsia" w:hAnsiTheme="minorEastAsia"/>
                <w:b/>
                <w:szCs w:val="21"/>
                <w:lang w:val="zh-CN"/>
              </w:rPr>
            </w:pPr>
            <w:r>
              <w:rPr>
                <w:rFonts w:hint="eastAsia" w:cs="宋体" w:asciiTheme="minorEastAsia" w:hAnsiTheme="minorEastAsia"/>
                <w:b/>
                <w:szCs w:val="21"/>
                <w:lang w:val="zh-CN"/>
              </w:rPr>
              <w:t>备注</w:t>
            </w:r>
          </w:p>
        </w:tc>
      </w:tr>
      <w:tr w14:paraId="4453D69E">
        <w:tblPrEx>
          <w:tblCellMar>
            <w:top w:w="0" w:type="dxa"/>
            <w:left w:w="108" w:type="dxa"/>
            <w:bottom w:w="0" w:type="dxa"/>
            <w:right w:w="108" w:type="dxa"/>
          </w:tblCellMar>
        </w:tblPrEx>
        <w:trPr>
          <w:trHeight w:val="851" w:hRule="atLeast"/>
        </w:trPr>
        <w:tc>
          <w:tcPr>
            <w:tcW w:w="959" w:type="dxa"/>
            <w:tcBorders>
              <w:top w:val="single" w:color="auto" w:sz="6" w:space="0"/>
              <w:left w:val="single" w:color="auto" w:sz="6" w:space="0"/>
              <w:bottom w:val="single" w:color="auto" w:sz="6" w:space="0"/>
              <w:right w:val="single" w:color="auto" w:sz="6" w:space="0"/>
            </w:tcBorders>
            <w:vAlign w:val="center"/>
          </w:tcPr>
          <w:p w14:paraId="4814272A">
            <w:pPr>
              <w:autoSpaceDE w:val="0"/>
              <w:autoSpaceDN w:val="0"/>
              <w:adjustRightInd w:val="0"/>
              <w:spacing w:line="480" w:lineRule="exact"/>
              <w:ind w:firstLine="240"/>
              <w:rPr>
                <w:rFonts w:asciiTheme="minorEastAsia" w:hAnsiTheme="minorEastAsia"/>
                <w:szCs w:val="21"/>
              </w:rPr>
            </w:pPr>
          </w:p>
        </w:tc>
        <w:tc>
          <w:tcPr>
            <w:tcW w:w="1843" w:type="dxa"/>
            <w:tcBorders>
              <w:top w:val="single" w:color="auto" w:sz="6" w:space="0"/>
              <w:left w:val="single" w:color="auto" w:sz="6" w:space="0"/>
              <w:bottom w:val="single" w:color="auto" w:sz="6" w:space="0"/>
              <w:right w:val="single" w:color="auto" w:sz="6" w:space="0"/>
            </w:tcBorders>
            <w:vAlign w:val="center"/>
          </w:tcPr>
          <w:p w14:paraId="6D61F4C8">
            <w:pPr>
              <w:autoSpaceDE w:val="0"/>
              <w:autoSpaceDN w:val="0"/>
              <w:adjustRightInd w:val="0"/>
              <w:spacing w:line="480" w:lineRule="exact"/>
              <w:ind w:firstLine="240"/>
              <w:rPr>
                <w:rFonts w:asciiTheme="minorEastAsia" w:hAnsiTheme="minorEastAsia"/>
                <w:szCs w:val="21"/>
              </w:rPr>
            </w:pPr>
          </w:p>
        </w:tc>
        <w:tc>
          <w:tcPr>
            <w:tcW w:w="3685" w:type="dxa"/>
            <w:tcBorders>
              <w:top w:val="single" w:color="auto" w:sz="6" w:space="0"/>
              <w:left w:val="single" w:color="auto" w:sz="6" w:space="0"/>
              <w:bottom w:val="single" w:color="auto" w:sz="6" w:space="0"/>
              <w:right w:val="single" w:color="auto" w:sz="6" w:space="0"/>
            </w:tcBorders>
            <w:vAlign w:val="center"/>
          </w:tcPr>
          <w:p w14:paraId="61BB4CEA">
            <w:pPr>
              <w:autoSpaceDE w:val="0"/>
              <w:autoSpaceDN w:val="0"/>
              <w:adjustRightInd w:val="0"/>
              <w:spacing w:line="480" w:lineRule="exact"/>
              <w:rPr>
                <w:rFonts w:cs="宋体" w:asciiTheme="minorEastAsia" w:hAnsiTheme="minorEastAsia"/>
                <w:szCs w:val="21"/>
                <w:lang w:val="zh-CN"/>
              </w:rPr>
            </w:pPr>
            <w:r>
              <w:rPr>
                <w:rFonts w:hint="eastAsia" w:cs="宋体" w:asciiTheme="minorEastAsia" w:hAnsiTheme="minorEastAsia"/>
                <w:szCs w:val="21"/>
                <w:lang w:val="zh-CN"/>
              </w:rPr>
              <w:t>大写：　　　　　　小写：</w:t>
            </w:r>
          </w:p>
        </w:tc>
        <w:tc>
          <w:tcPr>
            <w:tcW w:w="1843" w:type="dxa"/>
            <w:tcBorders>
              <w:top w:val="single" w:color="auto" w:sz="6" w:space="0"/>
              <w:left w:val="single" w:color="auto" w:sz="6" w:space="0"/>
              <w:bottom w:val="single" w:color="auto" w:sz="6" w:space="0"/>
              <w:right w:val="single" w:color="auto" w:sz="6" w:space="0"/>
            </w:tcBorders>
            <w:vAlign w:val="center"/>
          </w:tcPr>
          <w:p w14:paraId="4B68529C">
            <w:pPr>
              <w:autoSpaceDE w:val="0"/>
              <w:autoSpaceDN w:val="0"/>
              <w:adjustRightInd w:val="0"/>
              <w:spacing w:line="480" w:lineRule="exact"/>
              <w:ind w:firstLine="240"/>
              <w:rPr>
                <w:rFonts w:cs="宋体" w:asciiTheme="minorEastAsia" w:hAnsiTheme="minorEastAsia"/>
                <w:szCs w:val="21"/>
                <w:lang w:val="zh-CN"/>
              </w:rPr>
            </w:pPr>
          </w:p>
        </w:tc>
        <w:tc>
          <w:tcPr>
            <w:tcW w:w="850" w:type="dxa"/>
            <w:tcBorders>
              <w:top w:val="single" w:color="auto" w:sz="6" w:space="0"/>
              <w:left w:val="single" w:color="auto" w:sz="6" w:space="0"/>
              <w:bottom w:val="single" w:color="auto" w:sz="6" w:space="0"/>
              <w:right w:val="single" w:color="auto" w:sz="6" w:space="0"/>
            </w:tcBorders>
            <w:vAlign w:val="center"/>
          </w:tcPr>
          <w:p w14:paraId="28B11AC3">
            <w:pPr>
              <w:autoSpaceDE w:val="0"/>
              <w:autoSpaceDN w:val="0"/>
              <w:adjustRightInd w:val="0"/>
              <w:spacing w:line="480" w:lineRule="exact"/>
              <w:ind w:firstLine="240"/>
              <w:rPr>
                <w:rFonts w:cs="宋体" w:asciiTheme="minorEastAsia" w:hAnsiTheme="minorEastAsia"/>
                <w:szCs w:val="21"/>
                <w:lang w:val="zh-CN"/>
              </w:rPr>
            </w:pPr>
          </w:p>
        </w:tc>
      </w:tr>
      <w:tr w14:paraId="3070AC6F">
        <w:trPr>
          <w:trHeight w:val="851" w:hRule="atLeast"/>
        </w:trPr>
        <w:tc>
          <w:tcPr>
            <w:tcW w:w="959" w:type="dxa"/>
            <w:tcBorders>
              <w:top w:val="single" w:color="auto" w:sz="6" w:space="0"/>
              <w:left w:val="single" w:color="auto" w:sz="6" w:space="0"/>
              <w:bottom w:val="single" w:color="auto" w:sz="6" w:space="0"/>
              <w:right w:val="single" w:color="auto" w:sz="6" w:space="0"/>
            </w:tcBorders>
            <w:vAlign w:val="center"/>
          </w:tcPr>
          <w:p w14:paraId="2E4C0384">
            <w:pPr>
              <w:autoSpaceDE w:val="0"/>
              <w:autoSpaceDN w:val="0"/>
              <w:adjustRightInd w:val="0"/>
              <w:spacing w:line="480" w:lineRule="exact"/>
              <w:ind w:firstLine="240"/>
              <w:rPr>
                <w:rFonts w:asciiTheme="minorEastAsia" w:hAnsiTheme="minorEastAsia"/>
                <w:szCs w:val="21"/>
              </w:rPr>
            </w:pPr>
            <w:r>
              <w:rPr>
                <w:rFonts w:cs="Arial" w:asciiTheme="minorEastAsia" w:hAnsiTheme="minorEastAsia"/>
                <w:szCs w:val="21"/>
              </w:rPr>
              <w:t>…</w:t>
            </w:r>
          </w:p>
        </w:tc>
        <w:tc>
          <w:tcPr>
            <w:tcW w:w="1843" w:type="dxa"/>
            <w:tcBorders>
              <w:top w:val="single" w:color="auto" w:sz="6" w:space="0"/>
              <w:left w:val="single" w:color="auto" w:sz="6" w:space="0"/>
              <w:bottom w:val="single" w:color="auto" w:sz="6" w:space="0"/>
              <w:right w:val="single" w:color="auto" w:sz="6" w:space="0"/>
            </w:tcBorders>
            <w:vAlign w:val="center"/>
          </w:tcPr>
          <w:p w14:paraId="456F33BB">
            <w:pPr>
              <w:autoSpaceDE w:val="0"/>
              <w:autoSpaceDN w:val="0"/>
              <w:adjustRightInd w:val="0"/>
              <w:spacing w:line="480" w:lineRule="exact"/>
              <w:ind w:firstLine="240"/>
              <w:rPr>
                <w:rFonts w:asciiTheme="minorEastAsia" w:hAnsiTheme="minorEastAsia"/>
                <w:szCs w:val="21"/>
              </w:rPr>
            </w:pPr>
          </w:p>
        </w:tc>
        <w:tc>
          <w:tcPr>
            <w:tcW w:w="3685" w:type="dxa"/>
            <w:tcBorders>
              <w:top w:val="single" w:color="auto" w:sz="6" w:space="0"/>
              <w:left w:val="single" w:color="auto" w:sz="6" w:space="0"/>
              <w:bottom w:val="single" w:color="auto" w:sz="6" w:space="0"/>
              <w:right w:val="single" w:color="auto" w:sz="6" w:space="0"/>
            </w:tcBorders>
            <w:vAlign w:val="center"/>
          </w:tcPr>
          <w:p w14:paraId="40708153">
            <w:pPr>
              <w:autoSpaceDE w:val="0"/>
              <w:autoSpaceDN w:val="0"/>
              <w:adjustRightInd w:val="0"/>
              <w:spacing w:line="480" w:lineRule="exact"/>
              <w:rPr>
                <w:rFonts w:cs="宋体" w:asciiTheme="minorEastAsia" w:hAnsiTheme="minorEastAsia"/>
                <w:szCs w:val="21"/>
                <w:lang w:val="zh-CN"/>
              </w:rPr>
            </w:pPr>
            <w:r>
              <w:rPr>
                <w:rFonts w:hint="eastAsia" w:cs="宋体" w:asciiTheme="minorEastAsia" w:hAnsiTheme="minorEastAsia"/>
                <w:szCs w:val="21"/>
                <w:lang w:val="zh-CN"/>
              </w:rPr>
              <w:t>大写：　　　　　　小写：</w:t>
            </w:r>
          </w:p>
        </w:tc>
        <w:tc>
          <w:tcPr>
            <w:tcW w:w="1843" w:type="dxa"/>
            <w:tcBorders>
              <w:top w:val="single" w:color="auto" w:sz="6" w:space="0"/>
              <w:left w:val="single" w:color="auto" w:sz="6" w:space="0"/>
              <w:bottom w:val="single" w:color="auto" w:sz="6" w:space="0"/>
              <w:right w:val="single" w:color="auto" w:sz="6" w:space="0"/>
            </w:tcBorders>
            <w:vAlign w:val="center"/>
          </w:tcPr>
          <w:p w14:paraId="6AA7293F">
            <w:pPr>
              <w:autoSpaceDE w:val="0"/>
              <w:autoSpaceDN w:val="0"/>
              <w:adjustRightInd w:val="0"/>
              <w:spacing w:line="480" w:lineRule="exact"/>
              <w:ind w:firstLine="240"/>
              <w:rPr>
                <w:rFonts w:cs="宋体" w:asciiTheme="minorEastAsia" w:hAnsiTheme="minorEastAsia"/>
                <w:szCs w:val="21"/>
                <w:lang w:val="zh-CN"/>
              </w:rPr>
            </w:pPr>
          </w:p>
        </w:tc>
        <w:tc>
          <w:tcPr>
            <w:tcW w:w="850" w:type="dxa"/>
            <w:tcBorders>
              <w:top w:val="single" w:color="auto" w:sz="6" w:space="0"/>
              <w:left w:val="single" w:color="auto" w:sz="6" w:space="0"/>
              <w:bottom w:val="single" w:color="auto" w:sz="6" w:space="0"/>
              <w:right w:val="single" w:color="auto" w:sz="6" w:space="0"/>
            </w:tcBorders>
            <w:vAlign w:val="center"/>
          </w:tcPr>
          <w:p w14:paraId="3B68ED8E">
            <w:pPr>
              <w:autoSpaceDE w:val="0"/>
              <w:autoSpaceDN w:val="0"/>
              <w:adjustRightInd w:val="0"/>
              <w:spacing w:line="480" w:lineRule="exact"/>
              <w:ind w:firstLine="240"/>
              <w:rPr>
                <w:rFonts w:cs="宋体" w:asciiTheme="minorEastAsia" w:hAnsiTheme="minorEastAsia"/>
                <w:szCs w:val="21"/>
                <w:lang w:val="zh-CN"/>
              </w:rPr>
            </w:pPr>
          </w:p>
        </w:tc>
      </w:tr>
    </w:tbl>
    <w:p w14:paraId="5657412E">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投标人名称：</w:t>
      </w:r>
      <w:r>
        <w:rPr>
          <w:rFonts w:hint="eastAsia" w:cs="宋体" w:asciiTheme="minorEastAsia" w:hAnsiTheme="minorEastAsia"/>
          <w:szCs w:val="21"/>
          <w:u w:val="single"/>
          <w:lang w:val="zh-CN"/>
        </w:rPr>
        <w:t xml:space="preserve">     （全称）   </w:t>
      </w:r>
      <w:r>
        <w:rPr>
          <w:rFonts w:hint="eastAsia" w:cs="宋体" w:asciiTheme="minorEastAsia" w:hAnsiTheme="minorEastAsia"/>
          <w:szCs w:val="21"/>
          <w:lang w:val="zh-CN"/>
        </w:rPr>
        <w:t>（公章）：</w:t>
      </w:r>
    </w:p>
    <w:p w14:paraId="65C8B87C">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日期：年月日</w:t>
      </w:r>
    </w:p>
    <w:p w14:paraId="36CDC4C1">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注：1、交付日期指完成该项目的最终时间（日历天）。</w:t>
      </w:r>
    </w:p>
    <w:p w14:paraId="18B73CCE">
      <w:pPr>
        <w:autoSpaceDE w:val="0"/>
        <w:autoSpaceDN w:val="0"/>
        <w:adjustRightInd w:val="0"/>
        <w:spacing w:line="480" w:lineRule="auto"/>
        <w:ind w:firstLine="420" w:firstLineChars="200"/>
        <w:rPr>
          <w:rFonts w:cs="宋体" w:asciiTheme="minorEastAsia" w:hAnsiTheme="minorEastAsia"/>
          <w:szCs w:val="21"/>
          <w:lang w:val="zh-CN"/>
        </w:rPr>
      </w:pPr>
      <w:r>
        <w:rPr>
          <w:rFonts w:hint="eastAsia" w:cs="宋体" w:asciiTheme="minorEastAsia" w:hAnsiTheme="minorEastAsia"/>
          <w:szCs w:val="21"/>
          <w:lang w:val="zh-CN"/>
        </w:rPr>
        <w:t>2、如招标公告明确项目交付日期以年为单位，本表应填写完成该项目的年限。</w:t>
      </w:r>
    </w:p>
    <w:p w14:paraId="3582AA02">
      <w:pPr>
        <w:autoSpaceDE w:val="0"/>
        <w:autoSpaceDN w:val="0"/>
        <w:adjustRightInd w:val="0"/>
        <w:spacing w:line="360" w:lineRule="auto"/>
        <w:rPr>
          <w:rFonts w:ascii="宋体" w:cs="宋体"/>
          <w:sz w:val="24"/>
          <w:lang w:val="zh-CN"/>
        </w:rPr>
      </w:pPr>
    </w:p>
    <w:p w14:paraId="5EFD2999">
      <w:pPr>
        <w:autoSpaceDE w:val="0"/>
        <w:autoSpaceDN w:val="0"/>
        <w:adjustRightInd w:val="0"/>
        <w:spacing w:line="360" w:lineRule="auto"/>
        <w:rPr>
          <w:rFonts w:ascii="宋体" w:cs="宋体"/>
          <w:sz w:val="24"/>
          <w:lang w:val="zh-CN"/>
        </w:rPr>
      </w:pPr>
    </w:p>
    <w:p w14:paraId="6C8804C6">
      <w:pPr>
        <w:autoSpaceDE w:val="0"/>
        <w:autoSpaceDN w:val="0"/>
        <w:adjustRightInd w:val="0"/>
        <w:spacing w:line="360" w:lineRule="auto"/>
        <w:rPr>
          <w:rFonts w:ascii="宋体" w:cs="宋体"/>
          <w:sz w:val="24"/>
          <w:lang w:val="zh-CN"/>
        </w:rPr>
      </w:pPr>
    </w:p>
    <w:p w14:paraId="0D8E649B">
      <w:pPr>
        <w:autoSpaceDE w:val="0"/>
        <w:autoSpaceDN w:val="0"/>
        <w:adjustRightInd w:val="0"/>
        <w:spacing w:line="360" w:lineRule="auto"/>
        <w:rPr>
          <w:rFonts w:ascii="宋体" w:cs="宋体"/>
          <w:sz w:val="24"/>
          <w:lang w:val="zh-CN"/>
        </w:rPr>
      </w:pPr>
    </w:p>
    <w:p w14:paraId="25DFE87E">
      <w:pPr>
        <w:autoSpaceDE w:val="0"/>
        <w:autoSpaceDN w:val="0"/>
        <w:adjustRightInd w:val="0"/>
        <w:spacing w:line="360" w:lineRule="auto"/>
        <w:rPr>
          <w:rFonts w:ascii="宋体" w:cs="宋体"/>
          <w:sz w:val="24"/>
          <w:lang w:val="zh-CN"/>
        </w:rPr>
      </w:pPr>
    </w:p>
    <w:p w14:paraId="64695EAD">
      <w:pPr>
        <w:autoSpaceDE w:val="0"/>
        <w:autoSpaceDN w:val="0"/>
        <w:adjustRightInd w:val="0"/>
        <w:spacing w:line="360" w:lineRule="auto"/>
        <w:rPr>
          <w:rFonts w:ascii="宋体" w:cs="宋体"/>
          <w:sz w:val="24"/>
          <w:lang w:val="zh-CN"/>
        </w:rPr>
      </w:pPr>
    </w:p>
    <w:p w14:paraId="1E02EE72">
      <w:pPr>
        <w:autoSpaceDE w:val="0"/>
        <w:autoSpaceDN w:val="0"/>
        <w:adjustRightInd w:val="0"/>
        <w:spacing w:line="360" w:lineRule="auto"/>
        <w:rPr>
          <w:rFonts w:ascii="宋体" w:cs="宋体"/>
          <w:sz w:val="24"/>
          <w:lang w:val="zh-CN"/>
        </w:rPr>
      </w:pPr>
    </w:p>
    <w:p w14:paraId="298DC2A2">
      <w:pPr>
        <w:autoSpaceDE w:val="0"/>
        <w:autoSpaceDN w:val="0"/>
        <w:adjustRightInd w:val="0"/>
        <w:spacing w:line="360" w:lineRule="auto"/>
        <w:rPr>
          <w:rFonts w:ascii="宋体" w:cs="宋体"/>
          <w:sz w:val="24"/>
          <w:lang w:val="zh-CN"/>
        </w:rPr>
      </w:pPr>
    </w:p>
    <w:p w14:paraId="42D3BF6B">
      <w:pPr>
        <w:autoSpaceDE w:val="0"/>
        <w:autoSpaceDN w:val="0"/>
        <w:adjustRightInd w:val="0"/>
        <w:spacing w:line="360" w:lineRule="auto"/>
        <w:rPr>
          <w:rFonts w:ascii="宋体" w:cs="宋体"/>
          <w:sz w:val="24"/>
          <w:lang w:val="zh-CN"/>
        </w:rPr>
      </w:pPr>
    </w:p>
    <w:p w14:paraId="19ECEAF6">
      <w:pPr>
        <w:autoSpaceDE w:val="0"/>
        <w:autoSpaceDN w:val="0"/>
        <w:adjustRightInd w:val="0"/>
        <w:spacing w:line="360" w:lineRule="auto"/>
        <w:rPr>
          <w:rFonts w:ascii="宋体" w:cs="宋体"/>
          <w:sz w:val="24"/>
          <w:lang w:val="zh-CN"/>
        </w:rPr>
      </w:pPr>
    </w:p>
    <w:p w14:paraId="2FC66FDC">
      <w:pPr>
        <w:autoSpaceDE w:val="0"/>
        <w:autoSpaceDN w:val="0"/>
        <w:adjustRightInd w:val="0"/>
        <w:spacing w:line="360" w:lineRule="auto"/>
        <w:rPr>
          <w:rFonts w:cs="黑体" w:asciiTheme="minorEastAsia" w:hAnsiTheme="minorEastAsia"/>
          <w:b/>
          <w:bCs/>
          <w:sz w:val="44"/>
          <w:szCs w:val="44"/>
          <w:lang w:val="zh-CN"/>
        </w:rPr>
      </w:pPr>
    </w:p>
    <w:p w14:paraId="7CD6E367">
      <w:pPr>
        <w:autoSpaceDE w:val="0"/>
        <w:autoSpaceDN w:val="0"/>
        <w:adjustRightInd w:val="0"/>
        <w:spacing w:line="360" w:lineRule="auto"/>
        <w:jc w:val="center"/>
        <w:rPr>
          <w:rFonts w:cs="黑体" w:asciiTheme="minorEastAsia" w:hAnsiTheme="minorEastAsia"/>
          <w:b/>
          <w:bCs/>
          <w:sz w:val="28"/>
          <w:szCs w:val="28"/>
          <w:lang w:val="zh-CN"/>
        </w:rPr>
      </w:pPr>
      <w:r>
        <w:rPr>
          <w:rFonts w:hint="eastAsia" w:cs="黑体" w:asciiTheme="minorEastAsia" w:hAnsiTheme="minorEastAsia"/>
          <w:b/>
          <w:bCs/>
          <w:sz w:val="28"/>
          <w:szCs w:val="28"/>
          <w:lang w:val="zh-CN"/>
        </w:rPr>
        <w:t>三、资格审查证明材料</w:t>
      </w:r>
    </w:p>
    <w:p w14:paraId="159EA943">
      <w:pPr>
        <w:pStyle w:val="14"/>
        <w:spacing w:line="360" w:lineRule="auto"/>
        <w:jc w:val="center"/>
        <w:rPr>
          <w:rFonts w:asciiTheme="majorEastAsia" w:hAnsiTheme="majorEastAsia" w:eastAsiaTheme="majorEastAsia"/>
          <w:b/>
          <w:snapToGrid w:val="0"/>
          <w:kern w:val="0"/>
          <w:szCs w:val="24"/>
        </w:rPr>
      </w:pPr>
      <w:r>
        <w:rPr>
          <w:rFonts w:hint="eastAsia" w:asciiTheme="majorEastAsia" w:hAnsiTheme="majorEastAsia" w:eastAsiaTheme="majorEastAsia"/>
          <w:b/>
          <w:snapToGrid w:val="0"/>
          <w:kern w:val="0"/>
          <w:szCs w:val="24"/>
        </w:rPr>
        <w:t>3.1 投 标 函</w:t>
      </w:r>
    </w:p>
    <w:p w14:paraId="21A3B95C">
      <w:pPr>
        <w:pStyle w:val="14"/>
        <w:spacing w:line="360" w:lineRule="auto"/>
        <w:jc w:val="center"/>
        <w:rPr>
          <w:rFonts w:asciiTheme="majorEastAsia" w:hAnsiTheme="majorEastAsia" w:eastAsiaTheme="majorEastAsia"/>
          <w:b/>
          <w:snapToGrid w:val="0"/>
          <w:kern w:val="0"/>
          <w:sz w:val="28"/>
          <w:szCs w:val="28"/>
        </w:rPr>
      </w:pPr>
    </w:p>
    <w:p w14:paraId="32FA9831">
      <w:pPr>
        <w:adjustRightInd w:val="0"/>
        <w:spacing w:line="360" w:lineRule="auto"/>
        <w:contextualSpacing/>
        <w:rPr>
          <w:rFonts w:asciiTheme="minorEastAsia" w:hAnsiTheme="minorEastAsia"/>
          <w:b/>
          <w:snapToGrid w:val="0"/>
          <w:kern w:val="0"/>
          <w:szCs w:val="21"/>
        </w:rPr>
      </w:pPr>
      <w:r>
        <w:rPr>
          <w:rFonts w:hint="eastAsia" w:asciiTheme="minorEastAsia" w:hAnsiTheme="minorEastAsia"/>
          <w:snapToGrid w:val="0"/>
          <w:kern w:val="0"/>
          <w:szCs w:val="21"/>
        </w:rPr>
        <w:t>致：禹州市政府采购中心</w:t>
      </w:r>
    </w:p>
    <w:p w14:paraId="7C425028">
      <w:pPr>
        <w:adjustRightInd w:val="0"/>
        <w:spacing w:line="360" w:lineRule="auto"/>
        <w:ind w:firstLine="420" w:firstLineChars="200"/>
        <w:contextualSpacing/>
        <w:outlineLvl w:val="0"/>
        <w:rPr>
          <w:rFonts w:asciiTheme="minorEastAsia" w:hAnsiTheme="minorEastAsia"/>
          <w:snapToGrid w:val="0"/>
          <w:kern w:val="0"/>
          <w:szCs w:val="21"/>
        </w:rPr>
      </w:pPr>
      <w:r>
        <w:rPr>
          <w:rFonts w:hint="eastAsia" w:asciiTheme="minorEastAsia" w:hAnsiTheme="minorEastAsia"/>
          <w:snapToGrid w:val="0"/>
          <w:kern w:val="0"/>
          <w:szCs w:val="21"/>
        </w:rPr>
        <w:t>根据贵方_</w:t>
      </w:r>
      <w:r>
        <w:rPr>
          <w:rFonts w:hint="eastAsia" w:asciiTheme="minorEastAsia" w:hAnsiTheme="minorEastAsia"/>
          <w:snapToGrid w:val="0"/>
          <w:kern w:val="0"/>
          <w:szCs w:val="21"/>
          <w:u w:val="single"/>
        </w:rPr>
        <w:t xml:space="preserve">_    </w:t>
      </w:r>
      <w:r>
        <w:rPr>
          <w:rFonts w:hint="eastAsia" w:asciiTheme="minorEastAsia" w:hAnsiTheme="minorEastAsia"/>
          <w:snapToGrid w:val="0"/>
          <w:kern w:val="0"/>
          <w:szCs w:val="21"/>
        </w:rPr>
        <w:t>_（项目名称、招标编号）采购的招标公告及投标邀请，_______（姓名和职务）被正式授权并代表投标人（投标人名称、地址）提交。</w:t>
      </w:r>
    </w:p>
    <w:p w14:paraId="5065330E">
      <w:pPr>
        <w:pStyle w:val="14"/>
        <w:adjustRightInd w:val="0"/>
        <w:spacing w:line="360" w:lineRule="auto"/>
        <w:ind w:firstLine="420" w:firstLineChars="200"/>
        <w:contextualSpacing/>
        <w:rPr>
          <w:rFonts w:asciiTheme="minorEastAsia" w:hAnsiTheme="minorEastAsia" w:eastAsiaTheme="minorEastAsia"/>
          <w:snapToGrid w:val="0"/>
          <w:kern w:val="0"/>
          <w:sz w:val="21"/>
          <w:szCs w:val="21"/>
        </w:rPr>
      </w:pPr>
      <w:r>
        <w:rPr>
          <w:rFonts w:hint="eastAsia" w:asciiTheme="minorEastAsia" w:hAnsiTheme="minorEastAsia" w:eastAsiaTheme="minorEastAsia"/>
          <w:snapToGrid w:val="0"/>
          <w:kern w:val="0"/>
          <w:sz w:val="21"/>
          <w:szCs w:val="21"/>
        </w:rPr>
        <w:t>我方确认收到贵方提供的（项目名称、招标编号）招标文件的全部内容。</w:t>
      </w:r>
    </w:p>
    <w:p w14:paraId="60BE0BE3">
      <w:pPr>
        <w:pStyle w:val="14"/>
        <w:adjustRightInd w:val="0"/>
        <w:spacing w:line="360" w:lineRule="auto"/>
        <w:ind w:firstLine="420" w:firstLineChars="200"/>
        <w:contextualSpacing/>
        <w:rPr>
          <w:rFonts w:asciiTheme="minorEastAsia" w:hAnsiTheme="minorEastAsia" w:eastAsiaTheme="minorEastAsia"/>
          <w:snapToGrid w:val="0"/>
          <w:kern w:val="0"/>
          <w:sz w:val="21"/>
          <w:szCs w:val="21"/>
        </w:rPr>
      </w:pPr>
      <w:r>
        <w:rPr>
          <w:rFonts w:hint="eastAsia" w:asciiTheme="minorEastAsia" w:hAnsiTheme="minorEastAsia" w:eastAsiaTheme="minorEastAsia"/>
          <w:snapToGrid w:val="0"/>
          <w:kern w:val="0"/>
          <w:sz w:val="21"/>
          <w:szCs w:val="21"/>
        </w:rPr>
        <w:t>我方在参与投标前已详细研究了《招标文件》的所有内容，包括澄清、修改文件（如果有）和所有已提供的参考资料以及有关附件，我方完全明白并认为此招标文件没有倾向性，也不存在排斥潜在投标供应商的内容，我方同意招标文件的相关条款和</w:t>
      </w:r>
      <w:r>
        <w:rPr>
          <w:rFonts w:hint="eastAsia" w:asciiTheme="minorEastAsia" w:hAnsiTheme="minorEastAsia" w:eastAsiaTheme="minorEastAsia"/>
          <w:sz w:val="21"/>
          <w:szCs w:val="21"/>
        </w:rPr>
        <w:t>已完全理解并接受招标文件的各项规定和要求及资金支付规定，对招标文件的合理性、合法性不再有异议，</w:t>
      </w:r>
      <w:r>
        <w:rPr>
          <w:rFonts w:hint="eastAsia" w:ascii="宋体" w:hAnsi="宋体"/>
          <w:sz w:val="21"/>
          <w:szCs w:val="21"/>
        </w:rPr>
        <w:t>并承诺在发生争议时不会以对《招标文件》存在误解、不明白的条款为由，对贵中心行使任何法律上的抗辩权。</w:t>
      </w:r>
    </w:p>
    <w:p w14:paraId="443F36B4">
      <w:pPr>
        <w:adjustRightInd w:val="0"/>
        <w:spacing w:line="360" w:lineRule="auto"/>
        <w:ind w:firstLine="420" w:firstLineChars="200"/>
        <w:contextualSpacing/>
        <w:rPr>
          <w:rFonts w:cs="Courier New" w:asciiTheme="minorEastAsia" w:hAnsiTheme="minorEastAsia"/>
          <w:szCs w:val="21"/>
        </w:rPr>
      </w:pPr>
      <w:r>
        <w:rPr>
          <w:rFonts w:hint="eastAsia" w:cs="Courier New" w:asciiTheme="minorEastAsia" w:hAnsiTheme="minorEastAsia"/>
          <w:szCs w:val="21"/>
        </w:rPr>
        <w:t>我方已完全明白招标文件的所有条款要求，并申明如下：</w:t>
      </w:r>
    </w:p>
    <w:p w14:paraId="6FBB466E">
      <w:pPr>
        <w:adjustRightInd w:val="0"/>
        <w:spacing w:line="360" w:lineRule="auto"/>
        <w:ind w:firstLine="420" w:firstLineChars="200"/>
        <w:contextualSpacing/>
        <w:rPr>
          <w:rFonts w:cs="Courier New" w:asciiTheme="minorEastAsia" w:hAnsiTheme="minorEastAsia"/>
          <w:szCs w:val="21"/>
        </w:rPr>
      </w:pPr>
      <w:r>
        <w:rPr>
          <w:rFonts w:hint="eastAsia" w:cs="Courier New" w:asciiTheme="minorEastAsia" w:hAnsiTheme="minorEastAsia"/>
          <w:szCs w:val="21"/>
        </w:rPr>
        <w:t>一、按招标文件提供的全部货物与相关服务的投标总价详见《开标一览表》。</w:t>
      </w:r>
    </w:p>
    <w:p w14:paraId="11E8B828">
      <w:pPr>
        <w:adjustRightInd w:val="0"/>
        <w:spacing w:line="360" w:lineRule="auto"/>
        <w:ind w:firstLine="420" w:firstLineChars="200"/>
        <w:contextualSpacing/>
        <w:rPr>
          <w:rFonts w:cs="Courier New" w:asciiTheme="minorEastAsia" w:hAnsiTheme="minorEastAsia"/>
          <w:szCs w:val="21"/>
        </w:rPr>
      </w:pPr>
      <w:r>
        <w:rPr>
          <w:rFonts w:hint="eastAsia" w:cs="Courier New" w:asciiTheme="minorEastAsia" w:hAnsiTheme="minorEastAsia"/>
          <w:szCs w:val="21"/>
        </w:rPr>
        <w:t>二、</w:t>
      </w:r>
      <w:r>
        <w:rPr>
          <w:rFonts w:hint="eastAsia" w:ascii="宋体" w:hAnsi="宋体"/>
          <w:szCs w:val="21"/>
        </w:rPr>
        <w:t>我方同意在本项目招标文件中规定的开标日起90天内遵守本投标文件中的承诺且在此期限期满之前均具有约束力。我方同意并遵守本招标文件“投标人须知”中第十四条第三款关于延长投标有效期的规定。</w:t>
      </w:r>
      <w:r>
        <w:rPr>
          <w:rFonts w:hint="eastAsia" w:cs="Courier New" w:asciiTheme="minorEastAsia" w:hAnsiTheme="minorEastAsia"/>
          <w:szCs w:val="21"/>
        </w:rPr>
        <w:t>如中标，有效期将延至供货终止日为止。在此提交的资格证明文件均至投标截止日有效，如有在投标有效期内失效的，我方承诺在中标后补齐一切手续，保证所有资格证明文件能在签订采购合同时直至采购合同终止日有效。</w:t>
      </w:r>
    </w:p>
    <w:p w14:paraId="33914D1B">
      <w:pPr>
        <w:pStyle w:val="22"/>
        <w:adjustRightInd w:val="0"/>
        <w:spacing w:line="360" w:lineRule="auto"/>
        <w:ind w:firstLine="420" w:firstLineChars="200"/>
        <w:contextualSpacing/>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三、我方明白并同意，在规定的开标日之后，投标有效期之内撤销投标的，则我方承担违背投标承诺的责任追究。</w:t>
      </w:r>
    </w:p>
    <w:p w14:paraId="0C924D85">
      <w:pPr>
        <w:pStyle w:val="22"/>
        <w:adjustRightInd w:val="0"/>
        <w:spacing w:line="360" w:lineRule="auto"/>
        <w:ind w:firstLine="420" w:firstLineChars="200"/>
        <w:contextualSpacing/>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四、我方同意按照贵方可能提出的要求而提供与投标有关的任何其它数据、信息或资料。</w:t>
      </w:r>
    </w:p>
    <w:p w14:paraId="7A5D6020">
      <w:pPr>
        <w:pStyle w:val="22"/>
        <w:adjustRightInd w:val="0"/>
        <w:spacing w:line="360" w:lineRule="auto"/>
        <w:ind w:firstLine="420" w:firstLineChars="200"/>
        <w:contextualSpacing/>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五、我方理解贵方不一定接受最低投标价或任何贵方可能收到的投标。</w:t>
      </w:r>
    </w:p>
    <w:p w14:paraId="003F1C1F">
      <w:pPr>
        <w:pStyle w:val="22"/>
        <w:adjustRightInd w:val="0"/>
        <w:spacing w:line="360" w:lineRule="auto"/>
        <w:ind w:firstLine="420" w:firstLineChars="200"/>
        <w:contextualSpacing/>
        <w:rPr>
          <w:rFonts w:cs="Courier New" w:asciiTheme="minorEastAsia" w:hAnsiTheme="minorEastAsia" w:eastAsiaTheme="minorEastAsia"/>
          <w:sz w:val="21"/>
          <w:szCs w:val="21"/>
        </w:rPr>
      </w:pPr>
      <w:r>
        <w:rPr>
          <w:rFonts w:hint="eastAsia" w:cs="Courier New" w:asciiTheme="minorEastAsia" w:hAnsiTheme="minorEastAsia" w:eastAsiaTheme="minorEastAsia"/>
          <w:sz w:val="21"/>
          <w:szCs w:val="21"/>
        </w:rPr>
        <w:t>六、我方如果中标，将保证履行招标文件及其澄清、修改文件（如果有）中的全部责任和义务，按质、按量、按期完成《项目需求》及《合同书》中的全部任务。</w:t>
      </w:r>
    </w:p>
    <w:p w14:paraId="54A404B4">
      <w:pPr>
        <w:pStyle w:val="22"/>
        <w:adjustRightInd w:val="0"/>
        <w:spacing w:line="360" w:lineRule="auto"/>
        <w:ind w:firstLine="420" w:firstLineChars="200"/>
        <w:contextualSpacing/>
        <w:rPr>
          <w:rFonts w:cs="宋体" w:asciiTheme="minorEastAsia" w:hAnsiTheme="minorEastAsia" w:eastAsiaTheme="minorEastAsia"/>
          <w:sz w:val="21"/>
          <w:szCs w:val="21"/>
        </w:rPr>
      </w:pPr>
      <w:r>
        <w:rPr>
          <w:rFonts w:hint="eastAsia" w:cs="Courier New" w:asciiTheme="minorEastAsia" w:hAnsiTheme="minorEastAsia" w:eastAsiaTheme="minorEastAsia"/>
          <w:sz w:val="21"/>
          <w:szCs w:val="21"/>
        </w:rPr>
        <w:t>七、我方在此保证所提交的所有文件和全部说明是真实的和正确的。</w:t>
      </w:r>
    </w:p>
    <w:p w14:paraId="41B0FFCE">
      <w:pPr>
        <w:pStyle w:val="14"/>
        <w:adjustRightInd w:val="0"/>
        <w:spacing w:line="360" w:lineRule="auto"/>
        <w:ind w:firstLine="420" w:firstLineChars="200"/>
        <w:contextualSpacing/>
        <w:rPr>
          <w:rFonts w:asciiTheme="minorEastAsia" w:hAnsiTheme="minorEastAsia" w:eastAsiaTheme="minorEastAsia"/>
          <w:sz w:val="21"/>
          <w:szCs w:val="21"/>
        </w:rPr>
      </w:pPr>
      <w:r>
        <w:rPr>
          <w:rFonts w:hint="eastAsia" w:asciiTheme="minorEastAsia" w:hAnsiTheme="minorEastAsia" w:eastAsiaTheme="minorEastAsia"/>
          <w:sz w:val="21"/>
          <w:szCs w:val="21"/>
        </w:rPr>
        <w:t xml:space="preserve">八、我方投标报价已包含应向知识产权所有权人支付的所有相关税费，并保证采购人在中国使用我方提供的货物时，如有第三方提出侵犯其知识产权主张的，责任由我方承担。 </w:t>
      </w:r>
    </w:p>
    <w:p w14:paraId="1FAB607C">
      <w:pPr>
        <w:pStyle w:val="14"/>
        <w:adjustRightInd w:val="0"/>
        <w:spacing w:line="360" w:lineRule="auto"/>
        <w:ind w:firstLine="420" w:firstLineChars="200"/>
        <w:contextualSpacing/>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九、我方具备《</w:t>
      </w:r>
      <w:r>
        <w:rPr>
          <w:rFonts w:hint="eastAsia" w:asciiTheme="minorEastAsia" w:hAnsiTheme="minorEastAsia" w:eastAsiaTheme="minorEastAsia" w:cstheme="minorEastAsia"/>
          <w:kern w:val="2"/>
          <w:sz w:val="21"/>
          <w:szCs w:val="21"/>
          <w:lang w:val="en-US" w:eastAsia="zh-CN" w:bidi="ar-SA"/>
        </w:rPr>
        <w:t>中华人民共和国</w:t>
      </w:r>
      <w:r>
        <w:rPr>
          <w:rFonts w:hint="eastAsia" w:cs="Arial" w:asciiTheme="minorEastAsia" w:hAnsiTheme="minorEastAsia" w:eastAsiaTheme="minorEastAsia"/>
          <w:sz w:val="21"/>
          <w:szCs w:val="21"/>
        </w:rPr>
        <w:t>政府采购法》第二十二条规定的条件；承诺如下：</w:t>
      </w:r>
    </w:p>
    <w:p w14:paraId="53F1F97D">
      <w:pPr>
        <w:pStyle w:val="14"/>
        <w:adjustRightInd w:val="0"/>
        <w:spacing w:line="360" w:lineRule="auto"/>
        <w:ind w:firstLine="420" w:firstLineChars="200"/>
        <w:contextualSpacing/>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1. 具有独立承担民事责任能力的在中华人民共和国境内注册的法人或其他组织或自然人，有效的营业执照（或事业法人登记证或身份证等相关证明）。</w:t>
      </w:r>
    </w:p>
    <w:p w14:paraId="5437A6BE">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2. 我方已依法缴纳了各项税费及社会保险费用，如有需要，可随时向采购人提供近三个月内的相关缴费证明，以便核查。</w:t>
      </w:r>
    </w:p>
    <w:p w14:paraId="72910D7A">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3. 我方已依法建立健全的财务会计制度，如有需要，可随时向采购人提供相关证明材料，以便核查。</w:t>
      </w:r>
    </w:p>
    <w:p w14:paraId="7CEDFEF8">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4. 参加政府采购活动前三年内，在经营活动中没有重大违法记录。</w:t>
      </w:r>
    </w:p>
    <w:p w14:paraId="2A8C55FB">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5. 符合法律、行政法规规定的其他条件。</w:t>
      </w:r>
    </w:p>
    <w:p w14:paraId="30AD819F">
      <w:pPr>
        <w:adjustRightInd w:val="0"/>
        <w:spacing w:line="360" w:lineRule="auto"/>
        <w:ind w:firstLine="441" w:firstLineChars="210"/>
        <w:contextualSpacing/>
        <w:rPr>
          <w:rFonts w:cs="Arial" w:asciiTheme="minorEastAsia" w:hAnsiTheme="minorEastAsia"/>
          <w:szCs w:val="21"/>
        </w:rPr>
      </w:pPr>
      <w:r>
        <w:rPr>
          <w:rFonts w:hint="eastAsia" w:cs="宋体" w:asciiTheme="minorEastAsia" w:hAnsiTheme="minorEastAsia"/>
          <w:szCs w:val="21"/>
        </w:rPr>
        <w:t>以上内容如有虚假或与事实不符的，评审委员会可将</w:t>
      </w:r>
      <w:r>
        <w:rPr>
          <w:rFonts w:hint="eastAsia" w:cs="Arial" w:asciiTheme="minorEastAsia" w:hAnsiTheme="minorEastAsia"/>
          <w:szCs w:val="21"/>
        </w:rPr>
        <w:t>我方做无效投标处理，我方愿意承担相应的法律责任。</w:t>
      </w:r>
    </w:p>
    <w:p w14:paraId="4AF3F8A6">
      <w:pPr>
        <w:pStyle w:val="14"/>
        <w:adjustRightInd w:val="0"/>
        <w:spacing w:line="360" w:lineRule="auto"/>
        <w:ind w:firstLine="420" w:firstLineChars="200"/>
        <w:contextualSpacing/>
        <w:rPr>
          <w:rFonts w:asciiTheme="minorEastAsia" w:hAnsiTheme="minorEastAsia" w:eastAsiaTheme="minorEastAsia"/>
          <w:sz w:val="21"/>
          <w:szCs w:val="21"/>
        </w:rPr>
      </w:pPr>
      <w:r>
        <w:rPr>
          <w:rFonts w:hint="eastAsia" w:asciiTheme="minorEastAsia" w:hAnsiTheme="minorEastAsia" w:eastAsiaTheme="minorEastAsia"/>
          <w:sz w:val="21"/>
          <w:szCs w:val="21"/>
        </w:rPr>
        <w:t>十、我方具备履行合同所必需的设备和专业技术能力。</w:t>
      </w:r>
    </w:p>
    <w:p w14:paraId="6C082462">
      <w:pPr>
        <w:pStyle w:val="14"/>
        <w:adjustRightInd w:val="0"/>
        <w:spacing w:line="360" w:lineRule="auto"/>
        <w:ind w:firstLine="420" w:firstLineChars="200"/>
        <w:contextualSpacing/>
        <w:rPr>
          <w:rFonts w:asciiTheme="minorEastAsia" w:hAnsiTheme="minorEastAsia" w:eastAsiaTheme="minorEastAsia"/>
          <w:sz w:val="21"/>
          <w:szCs w:val="21"/>
        </w:rPr>
      </w:pPr>
      <w:r>
        <w:rPr>
          <w:rFonts w:hint="eastAsia" w:asciiTheme="minorEastAsia" w:hAnsiTheme="minorEastAsia" w:eastAsiaTheme="minorEastAsia"/>
          <w:snapToGrid w:val="0"/>
          <w:kern w:val="0"/>
          <w:sz w:val="21"/>
          <w:szCs w:val="21"/>
        </w:rPr>
        <w:t>十一、</w:t>
      </w:r>
      <w:r>
        <w:rPr>
          <w:rFonts w:hint="eastAsia" w:asciiTheme="minorEastAsia" w:hAnsiTheme="minorEastAsia" w:eastAsiaTheme="minorEastAsia"/>
          <w:sz w:val="21"/>
          <w:szCs w:val="21"/>
        </w:rPr>
        <w:t>我方对在本函及投标文件中所作的所有承诺承担法律责任。</w:t>
      </w:r>
    </w:p>
    <w:p w14:paraId="73C6FDF1">
      <w:pPr>
        <w:pStyle w:val="14"/>
        <w:adjustRightInd w:val="0"/>
        <w:snapToGrid w:val="0"/>
        <w:spacing w:line="360" w:lineRule="auto"/>
        <w:rPr>
          <w:rFonts w:asciiTheme="minorEastAsia" w:hAnsiTheme="minorEastAsia" w:eastAsiaTheme="minorEastAsia"/>
          <w:sz w:val="21"/>
          <w:szCs w:val="21"/>
        </w:rPr>
      </w:pPr>
    </w:p>
    <w:p w14:paraId="0F98A844">
      <w:pPr>
        <w:pStyle w:val="14"/>
        <w:adjustRightInd w:val="0"/>
        <w:snapToGrid w:val="0"/>
        <w:spacing w:line="360" w:lineRule="auto"/>
        <w:rPr>
          <w:rFonts w:asciiTheme="minorEastAsia" w:hAnsiTheme="minorEastAsia" w:eastAsiaTheme="minorEastAsia"/>
          <w:sz w:val="21"/>
          <w:szCs w:val="21"/>
        </w:rPr>
      </w:pPr>
    </w:p>
    <w:p w14:paraId="01489364">
      <w:pPr>
        <w:pStyle w:val="14"/>
        <w:adjustRightInd w:val="0"/>
        <w:snapToGrid w:val="0"/>
        <w:spacing w:line="36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所有与本招标有关的一切正式往来请寄：</w:t>
      </w:r>
    </w:p>
    <w:p w14:paraId="131DD40C">
      <w:pPr>
        <w:adjustRightInd w:val="0"/>
        <w:snapToGrid w:val="0"/>
        <w:spacing w:line="360" w:lineRule="auto"/>
        <w:ind w:firstLine="420" w:firstLineChars="200"/>
        <w:rPr>
          <w:rFonts w:cs="宋体" w:asciiTheme="minorEastAsia" w:hAnsiTheme="minorEastAsia"/>
          <w:szCs w:val="21"/>
        </w:rPr>
      </w:pPr>
      <w:r>
        <w:rPr>
          <w:rFonts w:hint="eastAsia" w:cs="宋体" w:asciiTheme="minorEastAsia" w:hAnsiTheme="minorEastAsia"/>
          <w:szCs w:val="21"/>
        </w:rPr>
        <w:t>地    址：  邮政编码：</w:t>
      </w:r>
    </w:p>
    <w:p w14:paraId="3033BA57">
      <w:pPr>
        <w:adjustRightInd w:val="0"/>
        <w:snapToGrid w:val="0"/>
        <w:spacing w:line="360" w:lineRule="auto"/>
        <w:ind w:firstLine="420" w:firstLineChars="200"/>
        <w:rPr>
          <w:rFonts w:cs="宋体" w:asciiTheme="minorEastAsia" w:hAnsiTheme="minorEastAsia"/>
          <w:szCs w:val="21"/>
        </w:rPr>
      </w:pPr>
      <w:r>
        <w:rPr>
          <w:rFonts w:hint="eastAsia" w:cs="宋体" w:asciiTheme="minorEastAsia" w:hAnsiTheme="minorEastAsia"/>
          <w:szCs w:val="21"/>
        </w:rPr>
        <w:t>电    话：  传    真：</w:t>
      </w:r>
    </w:p>
    <w:p w14:paraId="28B20342">
      <w:pPr>
        <w:adjustRightInd w:val="0"/>
        <w:snapToGrid w:val="0"/>
        <w:spacing w:line="360" w:lineRule="auto"/>
        <w:ind w:firstLine="420" w:firstLineChars="200"/>
        <w:rPr>
          <w:rFonts w:cs="宋体" w:asciiTheme="minorEastAsia" w:hAnsiTheme="minorEastAsia"/>
          <w:szCs w:val="21"/>
          <w:u w:val="single"/>
        </w:rPr>
      </w:pPr>
      <w:r>
        <w:rPr>
          <w:rFonts w:hint="eastAsia" w:cs="宋体" w:asciiTheme="minorEastAsia" w:hAnsiTheme="minorEastAsia"/>
          <w:szCs w:val="21"/>
        </w:rPr>
        <w:t>投标人代表姓名：  职    务：</w:t>
      </w:r>
    </w:p>
    <w:p w14:paraId="2ED57352">
      <w:pPr>
        <w:adjustRightInd w:val="0"/>
        <w:snapToGrid w:val="0"/>
        <w:spacing w:line="360" w:lineRule="auto"/>
        <w:rPr>
          <w:rFonts w:cs="宋体" w:asciiTheme="minorEastAsia" w:hAnsiTheme="minorEastAsia"/>
          <w:szCs w:val="21"/>
          <w:u w:val="single"/>
        </w:rPr>
      </w:pPr>
    </w:p>
    <w:p w14:paraId="4B27DE63">
      <w:pPr>
        <w:adjustRightInd w:val="0"/>
        <w:snapToGrid w:val="0"/>
        <w:spacing w:line="360" w:lineRule="auto"/>
        <w:ind w:firstLine="4305" w:firstLineChars="2050"/>
        <w:rPr>
          <w:rFonts w:cs="宋体" w:asciiTheme="minorEastAsia" w:hAnsiTheme="minorEastAsia"/>
          <w:szCs w:val="21"/>
        </w:rPr>
      </w:pPr>
    </w:p>
    <w:p w14:paraId="2E6DA4FB">
      <w:pPr>
        <w:adjustRightInd w:val="0"/>
        <w:snapToGrid w:val="0"/>
        <w:spacing w:line="360" w:lineRule="auto"/>
        <w:ind w:firstLine="4305" w:firstLineChars="2050"/>
        <w:rPr>
          <w:rFonts w:cs="宋体" w:asciiTheme="minorEastAsia" w:hAnsiTheme="minorEastAsia"/>
          <w:szCs w:val="21"/>
        </w:rPr>
      </w:pPr>
    </w:p>
    <w:p w14:paraId="249D50FB">
      <w:pPr>
        <w:adjustRightInd w:val="0"/>
        <w:snapToGrid w:val="0"/>
        <w:spacing w:line="360" w:lineRule="auto"/>
        <w:ind w:firstLine="3885" w:firstLineChars="1850"/>
        <w:rPr>
          <w:rFonts w:cs="宋体" w:asciiTheme="minorEastAsia" w:hAnsiTheme="minorEastAsia"/>
          <w:szCs w:val="21"/>
        </w:rPr>
      </w:pPr>
      <w:r>
        <w:rPr>
          <w:rFonts w:hint="eastAsia" w:cs="宋体" w:asciiTheme="minorEastAsia" w:hAnsiTheme="minorEastAsia"/>
          <w:szCs w:val="21"/>
        </w:rPr>
        <w:t>投标人名称（并加盖公章）：</w:t>
      </w:r>
    </w:p>
    <w:p w14:paraId="4F9E5FD4">
      <w:pPr>
        <w:adjustRightInd w:val="0"/>
        <w:snapToGrid w:val="0"/>
        <w:spacing w:line="360" w:lineRule="auto"/>
        <w:ind w:firstLine="4305" w:firstLineChars="2050"/>
        <w:rPr>
          <w:rFonts w:cs="宋体" w:asciiTheme="minorEastAsia" w:hAnsiTheme="minorEastAsia"/>
          <w:szCs w:val="21"/>
        </w:rPr>
      </w:pPr>
    </w:p>
    <w:p w14:paraId="03219C80">
      <w:pPr>
        <w:adjustRightInd w:val="0"/>
        <w:snapToGrid w:val="0"/>
        <w:spacing w:line="360" w:lineRule="auto"/>
        <w:ind w:firstLine="3885" w:firstLineChars="1850"/>
        <w:rPr>
          <w:rFonts w:cs="宋体" w:asciiTheme="minorEastAsia" w:hAnsiTheme="minorEastAsia"/>
          <w:szCs w:val="21"/>
        </w:rPr>
      </w:pPr>
      <w:r>
        <w:rPr>
          <w:rFonts w:hint="eastAsia" w:cs="宋体" w:asciiTheme="minorEastAsia" w:hAnsiTheme="minorEastAsia"/>
          <w:szCs w:val="21"/>
        </w:rPr>
        <w:t>日期：年月 日</w:t>
      </w:r>
    </w:p>
    <w:p w14:paraId="7C348473">
      <w:pPr>
        <w:adjustRightInd w:val="0"/>
        <w:snapToGrid w:val="0"/>
        <w:spacing w:line="360" w:lineRule="auto"/>
        <w:ind w:firstLine="4305" w:firstLineChars="2050"/>
        <w:rPr>
          <w:rFonts w:cs="宋体" w:asciiTheme="minorEastAsia" w:hAnsiTheme="minorEastAsia"/>
          <w:szCs w:val="21"/>
        </w:rPr>
      </w:pPr>
    </w:p>
    <w:p w14:paraId="07FFC1A4">
      <w:pPr>
        <w:adjustRightInd w:val="0"/>
        <w:snapToGrid w:val="0"/>
        <w:spacing w:line="360" w:lineRule="auto"/>
        <w:ind w:firstLine="4305" w:firstLineChars="2050"/>
        <w:rPr>
          <w:rFonts w:cs="宋体" w:asciiTheme="minorEastAsia" w:hAnsiTheme="minorEastAsia"/>
          <w:szCs w:val="21"/>
        </w:rPr>
      </w:pPr>
    </w:p>
    <w:p w14:paraId="55BF7E14">
      <w:pPr>
        <w:adjustRightInd w:val="0"/>
        <w:snapToGrid w:val="0"/>
        <w:spacing w:line="360" w:lineRule="auto"/>
        <w:rPr>
          <w:rFonts w:cs="宋体" w:asciiTheme="minorEastAsia" w:hAnsiTheme="minorEastAsia"/>
          <w:szCs w:val="21"/>
        </w:rPr>
      </w:pPr>
    </w:p>
    <w:p w14:paraId="044F8D3D">
      <w:pPr>
        <w:spacing w:line="480" w:lineRule="exact"/>
        <w:jc w:val="center"/>
        <w:rPr>
          <w:rFonts w:asciiTheme="majorEastAsia" w:hAnsiTheme="majorEastAsia" w:eastAsiaTheme="majorEastAsia"/>
          <w:b/>
          <w:bCs/>
          <w:sz w:val="24"/>
          <w:szCs w:val="24"/>
        </w:rPr>
      </w:pPr>
      <w:r>
        <w:rPr>
          <w:rFonts w:hint="eastAsia" w:asciiTheme="majorEastAsia" w:hAnsiTheme="majorEastAsia" w:eastAsiaTheme="majorEastAsia"/>
          <w:b/>
          <w:bCs/>
          <w:sz w:val="24"/>
          <w:szCs w:val="24"/>
        </w:rPr>
        <w:t>3.2 法定代表人（单位负责人）</w:t>
      </w:r>
      <w:r>
        <w:rPr>
          <w:rFonts w:asciiTheme="majorEastAsia" w:hAnsiTheme="majorEastAsia" w:eastAsiaTheme="majorEastAsia"/>
          <w:b/>
          <w:bCs/>
          <w:sz w:val="24"/>
          <w:szCs w:val="24"/>
        </w:rPr>
        <w:t>资</w:t>
      </w:r>
      <w:r>
        <w:rPr>
          <w:rFonts w:hint="eastAsia" w:asciiTheme="majorEastAsia" w:hAnsiTheme="majorEastAsia" w:eastAsiaTheme="majorEastAsia"/>
          <w:b/>
          <w:bCs/>
          <w:sz w:val="24"/>
          <w:szCs w:val="24"/>
        </w:rPr>
        <w:t>格</w:t>
      </w:r>
      <w:r>
        <w:rPr>
          <w:rFonts w:asciiTheme="majorEastAsia" w:hAnsiTheme="majorEastAsia" w:eastAsiaTheme="majorEastAsia"/>
          <w:b/>
          <w:bCs/>
          <w:sz w:val="24"/>
          <w:szCs w:val="24"/>
        </w:rPr>
        <w:t>证</w:t>
      </w:r>
      <w:r>
        <w:rPr>
          <w:rFonts w:hint="eastAsia" w:asciiTheme="majorEastAsia" w:hAnsiTheme="majorEastAsia" w:eastAsiaTheme="majorEastAsia"/>
          <w:b/>
          <w:bCs/>
          <w:sz w:val="24"/>
          <w:szCs w:val="24"/>
        </w:rPr>
        <w:t>明</w:t>
      </w:r>
      <w:r>
        <w:rPr>
          <w:rFonts w:asciiTheme="majorEastAsia" w:hAnsiTheme="majorEastAsia" w:eastAsiaTheme="majorEastAsia"/>
          <w:b/>
          <w:bCs/>
          <w:sz w:val="24"/>
          <w:szCs w:val="24"/>
        </w:rPr>
        <w:t>书</w:t>
      </w:r>
    </w:p>
    <w:p w14:paraId="32A1161F">
      <w:pPr>
        <w:autoSpaceDE w:val="0"/>
        <w:autoSpaceDN w:val="0"/>
        <w:adjustRightInd w:val="0"/>
        <w:spacing w:line="480" w:lineRule="auto"/>
        <w:ind w:firstLine="616" w:firstLineChars="257"/>
        <w:rPr>
          <w:rFonts w:ascii="宋体" w:hAnsi="宋体"/>
          <w:sz w:val="24"/>
          <w:szCs w:val="24"/>
        </w:rPr>
      </w:pPr>
    </w:p>
    <w:p w14:paraId="56D09D1B">
      <w:pPr>
        <w:pStyle w:val="44"/>
        <w:spacing w:line="480" w:lineRule="auto"/>
        <w:ind w:firstLine="472" w:firstLineChars="225"/>
        <w:jc w:val="left"/>
        <w:rPr>
          <w:rFonts w:asciiTheme="minorEastAsia" w:hAnsiTheme="minorEastAsia"/>
          <w:sz w:val="21"/>
          <w:szCs w:val="21"/>
        </w:rPr>
      </w:pPr>
      <w:r>
        <w:rPr>
          <w:rFonts w:asciiTheme="minorEastAsia" w:hAnsiTheme="minorEastAsia"/>
          <w:sz w:val="21"/>
          <w:szCs w:val="21"/>
        </w:rPr>
        <w:t>单</w:t>
      </w:r>
      <w:r>
        <w:rPr>
          <w:rFonts w:hint="eastAsia" w:asciiTheme="minorEastAsia" w:hAnsiTheme="minorEastAsia"/>
          <w:sz w:val="21"/>
          <w:szCs w:val="21"/>
        </w:rPr>
        <w:t>位名</w:t>
      </w:r>
      <w:r>
        <w:rPr>
          <w:rFonts w:asciiTheme="minorEastAsia" w:hAnsiTheme="minorEastAsia"/>
          <w:sz w:val="21"/>
          <w:szCs w:val="21"/>
        </w:rPr>
        <w:t>称</w:t>
      </w:r>
      <w:r>
        <w:rPr>
          <w:rFonts w:hint="eastAsia" w:asciiTheme="minorEastAsia" w:hAnsiTheme="minorEastAsia"/>
          <w:sz w:val="21"/>
          <w:szCs w:val="21"/>
        </w:rPr>
        <w:t>：</w:t>
      </w:r>
    </w:p>
    <w:p w14:paraId="445D9B07">
      <w:pPr>
        <w:pStyle w:val="44"/>
        <w:spacing w:line="480" w:lineRule="auto"/>
        <w:ind w:firstLine="472" w:firstLineChars="225"/>
        <w:jc w:val="left"/>
        <w:rPr>
          <w:rFonts w:asciiTheme="minorEastAsia" w:hAnsiTheme="minorEastAsia"/>
          <w:sz w:val="21"/>
          <w:szCs w:val="21"/>
        </w:rPr>
      </w:pPr>
      <w:r>
        <w:rPr>
          <w:rFonts w:hint="eastAsia" w:asciiTheme="minorEastAsia" w:hAnsiTheme="minorEastAsia"/>
          <w:sz w:val="21"/>
          <w:szCs w:val="21"/>
        </w:rPr>
        <w:t>地址：</w:t>
      </w:r>
    </w:p>
    <w:p w14:paraId="530CC29C">
      <w:pPr>
        <w:pStyle w:val="44"/>
        <w:spacing w:line="480" w:lineRule="auto"/>
        <w:ind w:firstLine="472" w:firstLineChars="225"/>
        <w:jc w:val="left"/>
        <w:rPr>
          <w:rFonts w:asciiTheme="minorEastAsia" w:hAnsiTheme="minorEastAsia"/>
          <w:sz w:val="21"/>
          <w:szCs w:val="21"/>
        </w:rPr>
      </w:pPr>
      <w:r>
        <w:rPr>
          <w:rFonts w:hint="eastAsia" w:asciiTheme="minorEastAsia" w:hAnsiTheme="minorEastAsia"/>
          <w:sz w:val="21"/>
          <w:szCs w:val="21"/>
        </w:rPr>
        <w:t>姓名：       性</w:t>
      </w:r>
      <w:r>
        <w:rPr>
          <w:rFonts w:asciiTheme="minorEastAsia" w:hAnsiTheme="minorEastAsia"/>
          <w:sz w:val="21"/>
          <w:szCs w:val="21"/>
        </w:rPr>
        <w:t>别</w:t>
      </w:r>
      <w:r>
        <w:rPr>
          <w:rFonts w:hint="eastAsia" w:asciiTheme="minorEastAsia" w:hAnsiTheme="minorEastAsia"/>
          <w:sz w:val="21"/>
          <w:szCs w:val="21"/>
        </w:rPr>
        <w:t>：     年</w:t>
      </w:r>
      <w:r>
        <w:rPr>
          <w:rFonts w:asciiTheme="minorEastAsia" w:hAnsiTheme="minorEastAsia"/>
          <w:sz w:val="21"/>
          <w:szCs w:val="21"/>
        </w:rPr>
        <w:t>龄</w:t>
      </w:r>
      <w:r>
        <w:rPr>
          <w:rFonts w:hint="eastAsia" w:asciiTheme="minorEastAsia" w:hAnsiTheme="minorEastAsia"/>
          <w:sz w:val="21"/>
          <w:szCs w:val="21"/>
        </w:rPr>
        <w:t>：</w:t>
      </w:r>
      <w:r>
        <w:rPr>
          <w:rFonts w:asciiTheme="minorEastAsia" w:hAnsiTheme="minorEastAsia"/>
          <w:sz w:val="21"/>
          <w:szCs w:val="21"/>
        </w:rPr>
        <w:t xml:space="preserve">     职务</w:t>
      </w:r>
      <w:r>
        <w:rPr>
          <w:rFonts w:hint="eastAsia" w:asciiTheme="minorEastAsia" w:hAnsiTheme="minorEastAsia"/>
          <w:sz w:val="21"/>
          <w:szCs w:val="21"/>
        </w:rPr>
        <w:t xml:space="preserve">：        </w:t>
      </w:r>
    </w:p>
    <w:p w14:paraId="5B936339">
      <w:pPr>
        <w:pStyle w:val="44"/>
        <w:spacing w:line="480" w:lineRule="auto"/>
        <w:ind w:firstLine="472" w:firstLineChars="225"/>
        <w:jc w:val="left"/>
        <w:rPr>
          <w:rFonts w:asciiTheme="minorEastAsia" w:hAnsiTheme="minorEastAsia"/>
          <w:sz w:val="21"/>
          <w:szCs w:val="21"/>
        </w:rPr>
      </w:pPr>
      <w:r>
        <w:rPr>
          <w:rFonts w:hint="eastAsia" w:asciiTheme="minorEastAsia" w:hAnsiTheme="minorEastAsia"/>
          <w:sz w:val="21"/>
          <w:szCs w:val="21"/>
        </w:rPr>
        <w:t>本人系</w:t>
      </w:r>
      <w:r>
        <w:rPr>
          <w:rFonts w:hint="eastAsia" w:asciiTheme="minorEastAsia" w:hAnsiTheme="minorEastAsia"/>
          <w:i/>
          <w:snapToGrid w:val="0"/>
          <w:sz w:val="21"/>
          <w:szCs w:val="21"/>
          <w:u w:val="single"/>
        </w:rPr>
        <w:t>投</w:t>
      </w:r>
      <w:r>
        <w:rPr>
          <w:rFonts w:asciiTheme="minorEastAsia" w:hAnsiTheme="minorEastAsia"/>
          <w:i/>
          <w:snapToGrid w:val="0"/>
          <w:sz w:val="21"/>
          <w:szCs w:val="21"/>
          <w:u w:val="single"/>
        </w:rPr>
        <w:t>标</w:t>
      </w:r>
      <w:r>
        <w:rPr>
          <w:rFonts w:hint="eastAsia" w:asciiTheme="minorEastAsia" w:hAnsiTheme="minorEastAsia"/>
          <w:i/>
          <w:snapToGrid w:val="0"/>
          <w:sz w:val="21"/>
          <w:szCs w:val="21"/>
          <w:u w:val="single"/>
        </w:rPr>
        <w:t>人名</w:t>
      </w:r>
      <w:r>
        <w:rPr>
          <w:rFonts w:asciiTheme="minorEastAsia" w:hAnsiTheme="minorEastAsia"/>
          <w:i/>
          <w:snapToGrid w:val="0"/>
          <w:sz w:val="21"/>
          <w:szCs w:val="21"/>
          <w:u w:val="single"/>
        </w:rPr>
        <w:t>称</w:t>
      </w:r>
      <w:r>
        <w:rPr>
          <w:rFonts w:hint="eastAsia" w:asciiTheme="minorEastAsia" w:hAnsiTheme="minorEastAsia"/>
          <w:sz w:val="21"/>
          <w:szCs w:val="21"/>
        </w:rPr>
        <w:t>的法定代表人（单位负责人）。就</w:t>
      </w:r>
      <w:r>
        <w:rPr>
          <w:rFonts w:asciiTheme="minorEastAsia" w:hAnsiTheme="minorEastAsia"/>
          <w:sz w:val="21"/>
          <w:szCs w:val="21"/>
        </w:rPr>
        <w:t>参</w:t>
      </w:r>
      <w:r>
        <w:rPr>
          <w:rFonts w:hint="eastAsia" w:asciiTheme="minorEastAsia" w:hAnsiTheme="minorEastAsia"/>
          <w:sz w:val="21"/>
          <w:szCs w:val="21"/>
        </w:rPr>
        <w:t>加贵方招</w:t>
      </w:r>
      <w:r>
        <w:rPr>
          <w:rFonts w:asciiTheme="minorEastAsia" w:hAnsiTheme="minorEastAsia"/>
          <w:sz w:val="21"/>
          <w:szCs w:val="21"/>
        </w:rPr>
        <w:t>标编号为</w:t>
      </w:r>
      <w:r>
        <w:rPr>
          <w:rFonts w:asciiTheme="minorEastAsia" w:hAnsiTheme="minorEastAsia"/>
          <w:i/>
          <w:sz w:val="21"/>
          <w:szCs w:val="21"/>
          <w:u w:val="single"/>
        </w:rPr>
        <w:t>项目编号</w:t>
      </w:r>
      <w:r>
        <w:rPr>
          <w:rFonts w:hint="eastAsia" w:asciiTheme="minorEastAsia" w:hAnsiTheme="minorEastAsia"/>
          <w:sz w:val="21"/>
          <w:szCs w:val="21"/>
        </w:rPr>
        <w:t>的</w:t>
      </w:r>
      <w:r>
        <w:rPr>
          <w:rFonts w:asciiTheme="minorEastAsia" w:hAnsiTheme="minorEastAsia"/>
          <w:i/>
          <w:sz w:val="21"/>
          <w:szCs w:val="21"/>
          <w:u w:val="single"/>
        </w:rPr>
        <w:t>项目</w:t>
      </w:r>
      <w:r>
        <w:rPr>
          <w:rFonts w:hint="eastAsia" w:asciiTheme="minorEastAsia" w:hAnsiTheme="minorEastAsia"/>
          <w:i/>
          <w:sz w:val="21"/>
          <w:szCs w:val="21"/>
          <w:u w:val="single"/>
        </w:rPr>
        <w:t>名</w:t>
      </w:r>
      <w:r>
        <w:rPr>
          <w:rFonts w:asciiTheme="minorEastAsia" w:hAnsiTheme="minorEastAsia"/>
          <w:i/>
          <w:sz w:val="21"/>
          <w:szCs w:val="21"/>
          <w:u w:val="single"/>
        </w:rPr>
        <w:t>称</w:t>
      </w:r>
      <w:r>
        <w:rPr>
          <w:rFonts w:hint="eastAsia" w:asciiTheme="minorEastAsia" w:hAnsiTheme="minorEastAsia"/>
          <w:sz w:val="21"/>
          <w:szCs w:val="21"/>
        </w:rPr>
        <w:t>公</w:t>
      </w:r>
      <w:r>
        <w:rPr>
          <w:rFonts w:asciiTheme="minorEastAsia" w:hAnsiTheme="minorEastAsia"/>
          <w:sz w:val="21"/>
          <w:szCs w:val="21"/>
        </w:rPr>
        <w:t>开</w:t>
      </w:r>
      <w:r>
        <w:rPr>
          <w:rFonts w:hint="eastAsia" w:asciiTheme="minorEastAsia" w:hAnsiTheme="minorEastAsia"/>
          <w:sz w:val="21"/>
          <w:szCs w:val="21"/>
        </w:rPr>
        <w:t>招</w:t>
      </w:r>
      <w:r>
        <w:rPr>
          <w:rFonts w:asciiTheme="minorEastAsia" w:hAnsiTheme="minorEastAsia"/>
          <w:sz w:val="21"/>
          <w:szCs w:val="21"/>
        </w:rPr>
        <w:t>标项目</w:t>
      </w:r>
      <w:r>
        <w:rPr>
          <w:rFonts w:hint="eastAsia" w:asciiTheme="minorEastAsia" w:hAnsiTheme="minorEastAsia"/>
          <w:sz w:val="21"/>
          <w:szCs w:val="21"/>
        </w:rPr>
        <w:t>的投</w:t>
      </w:r>
      <w:r>
        <w:rPr>
          <w:rFonts w:asciiTheme="minorEastAsia" w:hAnsiTheme="minorEastAsia"/>
          <w:sz w:val="21"/>
          <w:szCs w:val="21"/>
        </w:rPr>
        <w:t>标报价</w:t>
      </w:r>
      <w:r>
        <w:rPr>
          <w:rFonts w:hint="eastAsia" w:asciiTheme="minorEastAsia" w:hAnsiTheme="minorEastAsia"/>
          <w:sz w:val="21"/>
          <w:szCs w:val="21"/>
        </w:rPr>
        <w:t>，</w:t>
      </w:r>
      <w:r>
        <w:rPr>
          <w:rFonts w:asciiTheme="minorEastAsia" w:hAnsiTheme="minorEastAsia"/>
          <w:sz w:val="21"/>
          <w:szCs w:val="21"/>
        </w:rPr>
        <w:t>签</w:t>
      </w:r>
      <w:r>
        <w:rPr>
          <w:rFonts w:hint="eastAsia" w:asciiTheme="minorEastAsia" w:hAnsiTheme="minorEastAsia"/>
          <w:sz w:val="21"/>
          <w:szCs w:val="21"/>
        </w:rPr>
        <w:t>署上</w:t>
      </w:r>
      <w:r>
        <w:rPr>
          <w:rFonts w:asciiTheme="minorEastAsia" w:hAnsiTheme="minorEastAsia"/>
          <w:sz w:val="21"/>
          <w:szCs w:val="21"/>
        </w:rPr>
        <w:t>述项目</w:t>
      </w:r>
      <w:r>
        <w:rPr>
          <w:rFonts w:hint="eastAsia" w:asciiTheme="minorEastAsia" w:hAnsiTheme="minorEastAsia"/>
          <w:sz w:val="21"/>
          <w:szCs w:val="21"/>
        </w:rPr>
        <w:t>的投</w:t>
      </w:r>
      <w:r>
        <w:rPr>
          <w:rFonts w:asciiTheme="minorEastAsia" w:hAnsiTheme="minorEastAsia"/>
          <w:sz w:val="21"/>
          <w:szCs w:val="21"/>
        </w:rPr>
        <w:t>标</w:t>
      </w:r>
      <w:r>
        <w:rPr>
          <w:rFonts w:hint="eastAsia" w:asciiTheme="minorEastAsia" w:hAnsiTheme="minorEastAsia"/>
          <w:sz w:val="21"/>
          <w:szCs w:val="21"/>
        </w:rPr>
        <w:t>文件及合同的</w:t>
      </w:r>
      <w:r>
        <w:rPr>
          <w:rFonts w:asciiTheme="minorEastAsia" w:hAnsiTheme="minorEastAsia"/>
          <w:sz w:val="21"/>
          <w:szCs w:val="21"/>
        </w:rPr>
        <w:t>执</w:t>
      </w:r>
      <w:r>
        <w:rPr>
          <w:rFonts w:hint="eastAsia" w:asciiTheme="minorEastAsia" w:hAnsiTheme="minorEastAsia"/>
          <w:sz w:val="21"/>
          <w:szCs w:val="21"/>
        </w:rPr>
        <w:t>行、完成、服</w:t>
      </w:r>
      <w:r>
        <w:rPr>
          <w:rFonts w:asciiTheme="minorEastAsia" w:hAnsiTheme="minorEastAsia"/>
          <w:sz w:val="21"/>
          <w:szCs w:val="21"/>
        </w:rPr>
        <w:t>务</w:t>
      </w:r>
      <w:r>
        <w:rPr>
          <w:rFonts w:hint="eastAsia" w:asciiTheme="minorEastAsia" w:hAnsiTheme="minorEastAsia"/>
          <w:sz w:val="21"/>
          <w:szCs w:val="21"/>
        </w:rPr>
        <w:t>和保修，</w:t>
      </w:r>
      <w:r>
        <w:rPr>
          <w:rFonts w:asciiTheme="minorEastAsia" w:hAnsiTheme="minorEastAsia"/>
          <w:sz w:val="21"/>
          <w:szCs w:val="21"/>
        </w:rPr>
        <w:t>签</w:t>
      </w:r>
      <w:r>
        <w:rPr>
          <w:rFonts w:hint="eastAsia" w:asciiTheme="minorEastAsia" w:hAnsiTheme="minorEastAsia"/>
          <w:sz w:val="21"/>
          <w:szCs w:val="21"/>
        </w:rPr>
        <w:t>署合同和</w:t>
      </w:r>
      <w:r>
        <w:rPr>
          <w:rFonts w:asciiTheme="minorEastAsia" w:hAnsiTheme="minorEastAsia"/>
          <w:sz w:val="21"/>
          <w:szCs w:val="21"/>
        </w:rPr>
        <w:t>处</w:t>
      </w:r>
      <w:r>
        <w:rPr>
          <w:rFonts w:hint="eastAsia" w:asciiTheme="minorEastAsia" w:hAnsiTheme="minorEastAsia"/>
          <w:sz w:val="21"/>
          <w:szCs w:val="21"/>
        </w:rPr>
        <w:t>理与之有</w:t>
      </w:r>
      <w:r>
        <w:rPr>
          <w:rFonts w:asciiTheme="minorEastAsia" w:hAnsiTheme="minorEastAsia"/>
          <w:sz w:val="21"/>
          <w:szCs w:val="21"/>
        </w:rPr>
        <w:t>关的</w:t>
      </w:r>
      <w:r>
        <w:rPr>
          <w:rFonts w:hint="eastAsia" w:asciiTheme="minorEastAsia" w:hAnsiTheme="minorEastAsia"/>
          <w:sz w:val="21"/>
          <w:szCs w:val="21"/>
        </w:rPr>
        <w:t>一切事</w:t>
      </w:r>
      <w:r>
        <w:rPr>
          <w:rFonts w:asciiTheme="minorEastAsia" w:hAnsiTheme="minorEastAsia"/>
          <w:sz w:val="21"/>
          <w:szCs w:val="21"/>
        </w:rPr>
        <w:t>务</w:t>
      </w:r>
      <w:r>
        <w:rPr>
          <w:rFonts w:hint="eastAsia" w:asciiTheme="minorEastAsia" w:hAnsiTheme="minorEastAsia"/>
          <w:sz w:val="21"/>
          <w:szCs w:val="21"/>
        </w:rPr>
        <w:t>。</w:t>
      </w:r>
    </w:p>
    <w:p w14:paraId="08F2651D">
      <w:pPr>
        <w:pStyle w:val="44"/>
        <w:spacing w:line="480" w:lineRule="auto"/>
        <w:ind w:firstLine="472" w:firstLineChars="225"/>
        <w:jc w:val="left"/>
        <w:rPr>
          <w:rFonts w:asciiTheme="minorEastAsia" w:hAnsiTheme="minorEastAsia"/>
          <w:sz w:val="21"/>
          <w:szCs w:val="21"/>
        </w:rPr>
      </w:pPr>
      <w:r>
        <w:rPr>
          <w:rFonts w:hint="eastAsia" w:asciiTheme="minorEastAsia" w:hAnsiTheme="minorEastAsia"/>
          <w:sz w:val="21"/>
          <w:szCs w:val="21"/>
        </w:rPr>
        <w:t>特此</w:t>
      </w:r>
      <w:r>
        <w:rPr>
          <w:rFonts w:asciiTheme="minorEastAsia" w:hAnsiTheme="minorEastAsia"/>
          <w:sz w:val="21"/>
          <w:szCs w:val="21"/>
        </w:rPr>
        <w:t>证</w:t>
      </w:r>
      <w:r>
        <w:rPr>
          <w:rFonts w:hint="eastAsia" w:asciiTheme="minorEastAsia" w:hAnsiTheme="minorEastAsia"/>
          <w:sz w:val="21"/>
          <w:szCs w:val="21"/>
        </w:rPr>
        <w:t>明。</w:t>
      </w:r>
    </w:p>
    <w:p w14:paraId="68BF4886">
      <w:pPr>
        <w:pStyle w:val="44"/>
        <w:spacing w:line="480" w:lineRule="auto"/>
        <w:ind w:firstLine="472" w:firstLineChars="225"/>
        <w:jc w:val="left"/>
        <w:rPr>
          <w:rFonts w:asciiTheme="minorEastAsia" w:hAnsiTheme="minorEastAsia"/>
          <w:sz w:val="21"/>
          <w:szCs w:val="21"/>
        </w:rPr>
      </w:pPr>
      <w:r>
        <w:rPr>
          <w:rFonts w:hint="eastAsia" w:asciiTheme="minorEastAsia" w:hAnsiTheme="minorEastAsia"/>
          <w:sz w:val="21"/>
          <w:szCs w:val="21"/>
        </w:rPr>
        <w:t>法定代表人（单位负责人）联系电话（手机）：</w:t>
      </w:r>
    </w:p>
    <w:p w14:paraId="40DB9394">
      <w:pPr>
        <w:pStyle w:val="44"/>
        <w:spacing w:line="480" w:lineRule="auto"/>
        <w:ind w:firstLine="472" w:firstLineChars="225"/>
        <w:jc w:val="left"/>
        <w:rPr>
          <w:rFonts w:asciiTheme="minorEastAsia" w:hAnsiTheme="minorEastAsia"/>
          <w:sz w:val="21"/>
          <w:szCs w:val="21"/>
        </w:rPr>
      </w:pPr>
    </w:p>
    <w:p w14:paraId="4BB45ADB">
      <w:pPr>
        <w:pStyle w:val="44"/>
        <w:spacing w:line="480" w:lineRule="auto"/>
        <w:ind w:left="-538" w:leftChars="-256" w:firstLine="539" w:firstLineChars="257"/>
        <w:jc w:val="center"/>
        <w:rPr>
          <w:rFonts w:asciiTheme="minorEastAsia" w:hAnsiTheme="minorEastAsia"/>
          <w:bCs/>
          <w:sz w:val="21"/>
          <w:szCs w:val="21"/>
        </w:rPr>
      </w:pPr>
      <w:r>
        <w:rPr>
          <w:rFonts w:hint="eastAsia" w:asciiTheme="minorEastAsia" w:hAnsiTheme="minorEastAsia"/>
          <w:bCs/>
          <w:sz w:val="21"/>
          <w:szCs w:val="21"/>
        </w:rPr>
        <w:t>【此</w:t>
      </w:r>
      <w:r>
        <w:rPr>
          <w:rFonts w:asciiTheme="minorEastAsia" w:hAnsiTheme="minorEastAsia"/>
          <w:bCs/>
          <w:sz w:val="21"/>
          <w:szCs w:val="21"/>
        </w:rPr>
        <w:t>处请</w:t>
      </w:r>
      <w:r>
        <w:rPr>
          <w:rFonts w:hint="eastAsia" w:asciiTheme="minorEastAsia" w:hAnsiTheme="minorEastAsia"/>
          <w:bCs/>
          <w:sz w:val="21"/>
          <w:szCs w:val="21"/>
        </w:rPr>
        <w:t>粘</w:t>
      </w:r>
      <w:r>
        <w:rPr>
          <w:rFonts w:asciiTheme="minorEastAsia" w:hAnsiTheme="minorEastAsia"/>
          <w:bCs/>
          <w:sz w:val="21"/>
          <w:szCs w:val="21"/>
        </w:rPr>
        <w:t>贴</w:t>
      </w:r>
      <w:r>
        <w:rPr>
          <w:rFonts w:hint="eastAsia" w:asciiTheme="minorEastAsia" w:hAnsiTheme="minorEastAsia"/>
          <w:bCs/>
          <w:sz w:val="21"/>
          <w:szCs w:val="21"/>
        </w:rPr>
        <w:t>法定代表人（单位负责人）身份</w:t>
      </w:r>
      <w:r>
        <w:rPr>
          <w:rFonts w:asciiTheme="minorEastAsia" w:hAnsiTheme="minorEastAsia"/>
          <w:bCs/>
          <w:sz w:val="21"/>
          <w:szCs w:val="21"/>
        </w:rPr>
        <w:t>证复</w:t>
      </w:r>
      <w:r>
        <w:rPr>
          <w:rFonts w:hint="eastAsia" w:asciiTheme="minorEastAsia" w:hAnsiTheme="minorEastAsia"/>
          <w:bCs/>
          <w:sz w:val="21"/>
          <w:szCs w:val="21"/>
        </w:rPr>
        <w:t>印件，需清晰反映身份证有效期限】</w:t>
      </w:r>
    </w:p>
    <w:p w14:paraId="23FA9C12">
      <w:pPr>
        <w:pStyle w:val="44"/>
        <w:spacing w:line="480" w:lineRule="auto"/>
        <w:ind w:left="-538" w:leftChars="-256" w:firstLine="539" w:firstLineChars="257"/>
        <w:jc w:val="center"/>
        <w:rPr>
          <w:rFonts w:asciiTheme="minorEastAsia" w:hAnsiTheme="minorEastAsia"/>
          <w:bCs/>
          <w:sz w:val="21"/>
          <w:szCs w:val="21"/>
        </w:rPr>
      </w:pPr>
    </w:p>
    <w:p w14:paraId="0F25DA4F">
      <w:pPr>
        <w:autoSpaceDE w:val="0"/>
        <w:autoSpaceDN w:val="0"/>
        <w:adjustRightInd w:val="0"/>
        <w:spacing w:line="360" w:lineRule="auto"/>
        <w:ind w:right="-11"/>
        <w:rPr>
          <w:rFonts w:cs="宋体" w:asciiTheme="minorEastAsia" w:hAnsiTheme="minorEastAsia"/>
          <w:szCs w:val="21"/>
          <w:lang w:val="zh-CN"/>
        </w:rPr>
      </w:pPr>
    </w:p>
    <w:p w14:paraId="0647701B">
      <w:pPr>
        <w:spacing w:line="480" w:lineRule="auto"/>
        <w:ind w:firstLine="3937" w:firstLineChars="1875"/>
        <w:rPr>
          <w:rFonts w:cs="Arial" w:asciiTheme="minorEastAsia" w:hAnsiTheme="minorEastAsia"/>
          <w:szCs w:val="21"/>
          <w:u w:val="single"/>
        </w:rPr>
      </w:pPr>
      <w:r>
        <w:rPr>
          <w:rFonts w:hint="eastAsia" w:cs="Arial" w:asciiTheme="minorEastAsia" w:hAnsiTheme="minorEastAsia"/>
          <w:szCs w:val="21"/>
        </w:rPr>
        <w:t>投标人名称（并加盖公章）：</w:t>
      </w:r>
    </w:p>
    <w:p w14:paraId="500FF1D3">
      <w:pPr>
        <w:pStyle w:val="47"/>
        <w:spacing w:before="60" w:line="480" w:lineRule="auto"/>
        <w:ind w:firstLine="3937" w:firstLineChars="1875"/>
        <w:rPr>
          <w:rFonts w:cs="Arial" w:asciiTheme="minorEastAsia" w:hAnsiTheme="minorEastAsia" w:eastAsiaTheme="minorEastAsia"/>
          <w:sz w:val="21"/>
          <w:szCs w:val="21"/>
        </w:rPr>
      </w:pPr>
      <w:r>
        <w:rPr>
          <w:rFonts w:hint="eastAsia" w:cs="Arial" w:asciiTheme="minorEastAsia" w:hAnsiTheme="minorEastAsia" w:eastAsiaTheme="minorEastAsia"/>
          <w:sz w:val="21"/>
          <w:szCs w:val="21"/>
        </w:rPr>
        <w:t>签署日期：   年   月  日</w:t>
      </w:r>
    </w:p>
    <w:p w14:paraId="795688A6">
      <w:pPr>
        <w:pStyle w:val="46"/>
        <w:spacing w:line="480" w:lineRule="auto"/>
        <w:rPr>
          <w:rFonts w:cs="Arial" w:asciiTheme="minorEastAsia" w:hAnsiTheme="minorEastAsia"/>
          <w:sz w:val="21"/>
          <w:szCs w:val="21"/>
        </w:rPr>
      </w:pPr>
    </w:p>
    <w:p w14:paraId="04D59FEA">
      <w:pPr>
        <w:rPr>
          <w:szCs w:val="21"/>
        </w:rPr>
      </w:pPr>
    </w:p>
    <w:p w14:paraId="69779A2A">
      <w:pPr>
        <w:spacing w:line="320" w:lineRule="exact"/>
        <w:ind w:firstLine="420" w:firstLineChars="200"/>
        <w:rPr>
          <w:rFonts w:asciiTheme="minorEastAsia" w:hAnsiTheme="minorEastAsia"/>
          <w:bCs/>
          <w:kern w:val="12"/>
          <w:szCs w:val="21"/>
        </w:rPr>
      </w:pPr>
      <w:r>
        <w:rPr>
          <w:rFonts w:hint="eastAsia" w:asciiTheme="minorEastAsia" w:hAnsiTheme="minorEastAsia"/>
          <w:bCs/>
          <w:kern w:val="12"/>
          <w:szCs w:val="21"/>
        </w:rPr>
        <w:t>说明：法定代表人（单位负责人）</w:t>
      </w:r>
      <w:r>
        <w:rPr>
          <w:rFonts w:asciiTheme="minorEastAsia" w:hAnsiTheme="minorEastAsia"/>
          <w:bCs/>
          <w:kern w:val="12"/>
          <w:szCs w:val="21"/>
        </w:rPr>
        <w:t>参</w:t>
      </w:r>
      <w:r>
        <w:rPr>
          <w:rFonts w:hint="eastAsia" w:asciiTheme="minorEastAsia" w:hAnsiTheme="minorEastAsia"/>
          <w:bCs/>
          <w:kern w:val="12"/>
          <w:szCs w:val="21"/>
        </w:rPr>
        <w:t>加本招</w:t>
      </w:r>
      <w:r>
        <w:rPr>
          <w:rFonts w:asciiTheme="minorEastAsia" w:hAnsiTheme="minorEastAsia"/>
          <w:bCs/>
          <w:kern w:val="12"/>
          <w:szCs w:val="21"/>
        </w:rPr>
        <w:t>标项目</w:t>
      </w:r>
      <w:r>
        <w:rPr>
          <w:rFonts w:hint="eastAsia" w:asciiTheme="minorEastAsia" w:hAnsiTheme="minorEastAsia"/>
          <w:bCs/>
          <w:kern w:val="12"/>
          <w:szCs w:val="21"/>
        </w:rPr>
        <w:t>投</w:t>
      </w:r>
      <w:r>
        <w:rPr>
          <w:rFonts w:asciiTheme="minorEastAsia" w:hAnsiTheme="minorEastAsia"/>
          <w:bCs/>
          <w:kern w:val="12"/>
          <w:szCs w:val="21"/>
        </w:rPr>
        <w:t>标</w:t>
      </w:r>
      <w:r>
        <w:rPr>
          <w:rFonts w:hint="eastAsia" w:asciiTheme="minorEastAsia" w:hAnsiTheme="minorEastAsia"/>
          <w:bCs/>
          <w:kern w:val="12"/>
          <w:szCs w:val="21"/>
        </w:rPr>
        <w:t>的，</w:t>
      </w:r>
      <w:r>
        <w:rPr>
          <w:rFonts w:asciiTheme="minorEastAsia" w:hAnsiTheme="minorEastAsia"/>
          <w:bCs/>
          <w:kern w:val="12"/>
          <w:szCs w:val="21"/>
        </w:rPr>
        <w:t>仅须</w:t>
      </w:r>
      <w:r>
        <w:rPr>
          <w:rFonts w:hint="eastAsia" w:asciiTheme="minorEastAsia" w:hAnsiTheme="minorEastAsia"/>
          <w:bCs/>
          <w:kern w:val="12"/>
          <w:szCs w:val="21"/>
        </w:rPr>
        <w:t>出具此</w:t>
      </w:r>
      <w:r>
        <w:rPr>
          <w:rFonts w:asciiTheme="minorEastAsia" w:hAnsiTheme="minorEastAsia"/>
          <w:bCs/>
          <w:kern w:val="12"/>
          <w:szCs w:val="21"/>
        </w:rPr>
        <w:t>证</w:t>
      </w:r>
      <w:r>
        <w:rPr>
          <w:rFonts w:hint="eastAsia" w:asciiTheme="minorEastAsia" w:hAnsiTheme="minorEastAsia"/>
          <w:bCs/>
          <w:kern w:val="12"/>
          <w:szCs w:val="21"/>
        </w:rPr>
        <w:t>明</w:t>
      </w:r>
      <w:r>
        <w:rPr>
          <w:rFonts w:asciiTheme="minorEastAsia" w:hAnsiTheme="minorEastAsia"/>
          <w:bCs/>
          <w:kern w:val="12"/>
          <w:szCs w:val="21"/>
        </w:rPr>
        <w:t>书</w:t>
      </w:r>
      <w:r>
        <w:rPr>
          <w:rFonts w:hint="eastAsia" w:asciiTheme="minorEastAsia" w:hAnsiTheme="minorEastAsia"/>
          <w:bCs/>
          <w:kern w:val="12"/>
          <w:szCs w:val="21"/>
        </w:rPr>
        <w:t>。</w:t>
      </w:r>
    </w:p>
    <w:p w14:paraId="5017698F">
      <w:pPr>
        <w:spacing w:line="480" w:lineRule="exact"/>
        <w:jc w:val="center"/>
        <w:rPr>
          <w:rFonts w:ascii="宋体" w:hAnsi="宋体"/>
          <w:b/>
          <w:bCs/>
          <w:sz w:val="36"/>
          <w:szCs w:val="36"/>
        </w:rPr>
      </w:pPr>
    </w:p>
    <w:p w14:paraId="0B7EA69C">
      <w:pPr>
        <w:widowControl/>
        <w:jc w:val="left"/>
        <w:rPr>
          <w:rFonts w:ascii="宋体" w:hAnsi="宋体"/>
          <w:b/>
          <w:bCs/>
          <w:sz w:val="24"/>
          <w:szCs w:val="24"/>
        </w:rPr>
      </w:pPr>
      <w:r>
        <w:rPr>
          <w:rFonts w:ascii="宋体" w:hAnsi="宋体"/>
          <w:b/>
          <w:bCs/>
          <w:sz w:val="24"/>
          <w:szCs w:val="24"/>
        </w:rPr>
        <w:br w:type="page"/>
      </w:r>
    </w:p>
    <w:p w14:paraId="10A95F5D">
      <w:pPr>
        <w:spacing w:line="480" w:lineRule="exact"/>
        <w:jc w:val="center"/>
        <w:rPr>
          <w:rFonts w:ascii="宋体" w:hAnsi="宋体"/>
          <w:b/>
          <w:bCs/>
          <w:sz w:val="24"/>
          <w:szCs w:val="24"/>
        </w:rPr>
      </w:pPr>
      <w:r>
        <w:rPr>
          <w:rFonts w:hint="eastAsia" w:ascii="宋体" w:hAnsi="宋体"/>
          <w:b/>
          <w:bCs/>
          <w:sz w:val="24"/>
          <w:szCs w:val="24"/>
        </w:rPr>
        <w:t>3.3 法定代表人（单位负责人）授权书</w:t>
      </w:r>
    </w:p>
    <w:p w14:paraId="6C3AB9CE">
      <w:pPr>
        <w:spacing w:line="480" w:lineRule="exact"/>
        <w:jc w:val="center"/>
        <w:rPr>
          <w:rFonts w:ascii="宋体" w:hAnsi="宋体"/>
          <w:b/>
          <w:bCs/>
          <w:sz w:val="36"/>
          <w:szCs w:val="36"/>
        </w:rPr>
      </w:pPr>
    </w:p>
    <w:p w14:paraId="6B62A521">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本人</w:t>
      </w:r>
      <w:r>
        <w:rPr>
          <w:rFonts w:hint="eastAsia" w:cs="Arial" w:asciiTheme="minorEastAsia" w:hAnsiTheme="minorEastAsia"/>
          <w:szCs w:val="21"/>
          <w:u w:val="single"/>
        </w:rPr>
        <w:t xml:space="preserve">　 </w:t>
      </w:r>
      <w:r>
        <w:rPr>
          <w:rFonts w:hint="eastAsia" w:asciiTheme="minorEastAsia" w:hAnsiTheme="minorEastAsia"/>
          <w:i/>
          <w:snapToGrid w:val="0"/>
          <w:szCs w:val="21"/>
          <w:u w:val="single"/>
        </w:rPr>
        <w:t>法人姓名</w:t>
      </w:r>
      <w:r>
        <w:rPr>
          <w:rFonts w:hint="eastAsia" w:cs="Arial" w:asciiTheme="minorEastAsia" w:hAnsiTheme="minorEastAsia"/>
          <w:szCs w:val="21"/>
        </w:rPr>
        <w:t>系</w:t>
      </w:r>
      <w:r>
        <w:rPr>
          <w:rFonts w:hint="eastAsia" w:cs="Arial" w:asciiTheme="minorEastAsia" w:hAnsiTheme="minorEastAsia"/>
          <w:szCs w:val="21"/>
          <w:u w:val="single"/>
        </w:rPr>
        <w:t>　</w:t>
      </w:r>
      <w:r>
        <w:rPr>
          <w:rFonts w:hint="eastAsia" w:asciiTheme="minorEastAsia" w:hAnsiTheme="minorEastAsia"/>
          <w:i/>
          <w:snapToGrid w:val="0"/>
          <w:szCs w:val="21"/>
          <w:u w:val="single"/>
        </w:rPr>
        <w:t xml:space="preserve">投标人名称  </w:t>
      </w:r>
      <w:r>
        <w:rPr>
          <w:rFonts w:hint="eastAsia" w:cs="Arial" w:asciiTheme="minorEastAsia" w:hAnsiTheme="minorEastAsia"/>
          <w:szCs w:val="21"/>
        </w:rPr>
        <w:t>的法定代表人（单位负责人），现委托</w:t>
      </w:r>
      <w:r>
        <w:rPr>
          <w:rFonts w:hint="eastAsia" w:cs="Arial" w:asciiTheme="minorEastAsia" w:hAnsiTheme="minorEastAsia"/>
          <w:szCs w:val="21"/>
          <w:u w:val="single"/>
        </w:rPr>
        <w:t xml:space="preserve">　 </w:t>
      </w:r>
      <w:r>
        <w:rPr>
          <w:rFonts w:hint="eastAsia" w:asciiTheme="minorEastAsia" w:hAnsiTheme="minorEastAsia"/>
          <w:i/>
          <w:snapToGrid w:val="0"/>
          <w:szCs w:val="21"/>
          <w:u w:val="single"/>
        </w:rPr>
        <w:t>姓名，职务</w:t>
      </w:r>
      <w:r>
        <w:rPr>
          <w:rFonts w:hint="eastAsia" w:cs="Arial" w:asciiTheme="minorEastAsia" w:hAnsiTheme="minorEastAsia"/>
          <w:szCs w:val="21"/>
        </w:rPr>
        <w:t>以我方的名义参加贵方______________________项目的投标活动，并代表我方全权办理针对上述项目的投标、开标、投标文件澄清、签约等一切具体事务和签署相关文件。</w:t>
      </w:r>
    </w:p>
    <w:p w14:paraId="21148484">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我方对被授权人的签名事项负全部责任。</w:t>
      </w:r>
    </w:p>
    <w:p w14:paraId="5AC9C6A6">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在贵方收到我方撤销授权的书面通知以前，本授权书一直有效。被授权人在授权书有效期内签署的所有文件不因授权的撤销而失效。除我方书面撤销授权外，本授权书自投标截止之日起直至我方的投标有效期结束前始终有效。</w:t>
      </w:r>
    </w:p>
    <w:p w14:paraId="4067B40E">
      <w:pPr>
        <w:adjustRightInd w:val="0"/>
        <w:spacing w:line="360" w:lineRule="auto"/>
        <w:ind w:firstLine="441" w:firstLineChars="210"/>
        <w:contextualSpacing/>
        <w:rPr>
          <w:rFonts w:cs="Arial" w:asciiTheme="minorEastAsia" w:hAnsiTheme="minorEastAsia"/>
          <w:szCs w:val="21"/>
        </w:rPr>
      </w:pPr>
      <w:r>
        <w:rPr>
          <w:rFonts w:hint="eastAsia" w:cs="Arial" w:asciiTheme="minorEastAsia" w:hAnsiTheme="minorEastAsia"/>
          <w:szCs w:val="21"/>
        </w:rPr>
        <w:t>被授权人无转委托权，特此委托。</w:t>
      </w:r>
    </w:p>
    <w:p w14:paraId="37B3318D">
      <w:pPr>
        <w:spacing w:line="480" w:lineRule="auto"/>
        <w:ind w:firstLine="420" w:firstLineChars="200"/>
        <w:rPr>
          <w:rFonts w:asciiTheme="minorEastAsia" w:hAnsiTheme="minorEastAsia"/>
          <w:szCs w:val="21"/>
        </w:rPr>
      </w:pPr>
      <w:r>
        <w:rPr>
          <w:rFonts w:hint="eastAsia" w:asciiTheme="minorEastAsia" w:hAnsiTheme="minorEastAsia"/>
          <w:szCs w:val="21"/>
        </w:rPr>
        <w:t xml:space="preserve">投标人名称： </w:t>
      </w:r>
      <w:r>
        <w:rPr>
          <w:rFonts w:hint="eastAsia" w:asciiTheme="minorEastAsia" w:hAnsiTheme="minorEastAsia"/>
          <w:szCs w:val="21"/>
          <w:u w:val="single"/>
        </w:rPr>
        <w:t xml:space="preserve">       （全称）       </w:t>
      </w:r>
      <w:r>
        <w:rPr>
          <w:rFonts w:hint="eastAsia" w:asciiTheme="minorEastAsia" w:hAnsiTheme="minorEastAsia"/>
          <w:szCs w:val="21"/>
        </w:rPr>
        <w:t xml:space="preserve"> （盖单位公章）</w:t>
      </w:r>
    </w:p>
    <w:p w14:paraId="0DD27219">
      <w:pPr>
        <w:spacing w:line="480" w:lineRule="auto"/>
        <w:ind w:firstLine="420" w:firstLineChars="200"/>
        <w:rPr>
          <w:rFonts w:cs="Arial" w:asciiTheme="minorEastAsia" w:hAnsiTheme="minorEastAsia"/>
          <w:szCs w:val="21"/>
        </w:rPr>
      </w:pPr>
      <w:r>
        <w:rPr>
          <w:rFonts w:hint="eastAsia" w:cs="Arial" w:asciiTheme="minorEastAsia" w:hAnsiTheme="minorEastAsia"/>
          <w:szCs w:val="21"/>
        </w:rPr>
        <w:t>法定代表人（单位负责人）： （签字或加盖名章）</w:t>
      </w:r>
    </w:p>
    <w:p w14:paraId="5AF36AC9">
      <w:pPr>
        <w:spacing w:line="480" w:lineRule="auto"/>
        <w:ind w:firstLine="420" w:firstLineChars="200"/>
        <w:rPr>
          <w:rFonts w:asciiTheme="minorEastAsia" w:hAnsiTheme="minorEastAsia"/>
          <w:szCs w:val="21"/>
        </w:rPr>
      </w:pPr>
      <w:r>
        <w:rPr>
          <w:rFonts w:hint="eastAsia" w:cs="Arial" w:asciiTheme="minorEastAsia" w:hAnsiTheme="minorEastAsia"/>
          <w:szCs w:val="21"/>
        </w:rPr>
        <w:t>法定代表人（单位负责人）</w:t>
      </w:r>
      <w:r>
        <w:rPr>
          <w:rFonts w:hint="eastAsia" w:asciiTheme="minorEastAsia" w:hAnsiTheme="minorEastAsia"/>
          <w:szCs w:val="21"/>
        </w:rPr>
        <w:t>授权代表：（签字或加盖名章）</w:t>
      </w:r>
    </w:p>
    <w:p w14:paraId="155D210D">
      <w:pPr>
        <w:spacing w:line="480" w:lineRule="auto"/>
        <w:ind w:firstLine="420" w:firstLineChars="200"/>
        <w:rPr>
          <w:rFonts w:asciiTheme="minorEastAsia" w:hAnsiTheme="minorEastAsia"/>
          <w:szCs w:val="21"/>
        </w:rPr>
      </w:pPr>
      <w:r>
        <w:rPr>
          <w:rFonts w:hint="eastAsia" w:cs="Arial" w:asciiTheme="minorEastAsia" w:hAnsiTheme="minorEastAsia"/>
          <w:szCs w:val="21"/>
        </w:rPr>
        <w:t>法定代表人（单位负责人）</w:t>
      </w:r>
      <w:r>
        <w:rPr>
          <w:rFonts w:hint="eastAsia" w:asciiTheme="minorEastAsia" w:hAnsiTheme="minorEastAsia"/>
          <w:szCs w:val="21"/>
        </w:rPr>
        <w:t>授权代表联系电话（手机）：</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7"/>
        <w:gridCol w:w="4478"/>
        <w:gridCol w:w="14"/>
      </w:tblGrid>
      <w:tr w14:paraId="1894C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636" w:hRule="atLeast"/>
        </w:trPr>
        <w:tc>
          <w:tcPr>
            <w:tcW w:w="4484" w:type="dxa"/>
            <w:vAlign w:val="center"/>
          </w:tcPr>
          <w:p w14:paraId="084EC1DE">
            <w:pPr>
              <w:jc w:val="center"/>
              <w:rPr>
                <w:rFonts w:asciiTheme="minorEastAsia" w:hAnsiTheme="minorEastAsia"/>
                <w:szCs w:val="21"/>
              </w:rPr>
            </w:pPr>
            <w:r>
              <w:rPr>
                <w:rFonts w:hint="eastAsia" w:asciiTheme="minorEastAsia" w:hAnsiTheme="minorEastAsia"/>
                <w:szCs w:val="21"/>
              </w:rPr>
              <w:t>法定代表人（单位负责人）身份证（正面）</w:t>
            </w:r>
          </w:p>
        </w:tc>
        <w:tc>
          <w:tcPr>
            <w:tcW w:w="4485" w:type="dxa"/>
            <w:gridSpan w:val="2"/>
            <w:vAlign w:val="center"/>
          </w:tcPr>
          <w:p w14:paraId="5A6DFDCC">
            <w:pPr>
              <w:jc w:val="center"/>
              <w:rPr>
                <w:rFonts w:asciiTheme="minorEastAsia" w:hAnsiTheme="minorEastAsia"/>
                <w:szCs w:val="21"/>
              </w:rPr>
            </w:pPr>
            <w:r>
              <w:rPr>
                <w:rFonts w:hint="eastAsia" w:asciiTheme="minorEastAsia" w:hAnsiTheme="minorEastAsia"/>
                <w:szCs w:val="21"/>
              </w:rPr>
              <w:t>法定代表人（单位负责人）身份证（反面）</w:t>
            </w:r>
          </w:p>
        </w:tc>
      </w:tr>
      <w:tr w14:paraId="552D7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1" w:hRule="atLeast"/>
        </w:trPr>
        <w:tc>
          <w:tcPr>
            <w:tcW w:w="4491" w:type="dxa"/>
            <w:gridSpan w:val="2"/>
            <w:vAlign w:val="center"/>
          </w:tcPr>
          <w:p w14:paraId="029F466F">
            <w:pPr>
              <w:jc w:val="center"/>
              <w:rPr>
                <w:rFonts w:asciiTheme="minorEastAsia" w:hAnsiTheme="minorEastAsia"/>
                <w:szCs w:val="21"/>
              </w:rPr>
            </w:pPr>
            <w:bookmarkStart w:id="9" w:name="_资格证明文件"/>
            <w:bookmarkEnd w:id="9"/>
            <w:bookmarkStart w:id="10" w:name="_Toc364329026"/>
            <w:r>
              <w:rPr>
                <w:rFonts w:hint="eastAsia" w:asciiTheme="minorEastAsia" w:hAnsiTheme="minorEastAsia"/>
                <w:szCs w:val="21"/>
              </w:rPr>
              <w:t>法定代表人（单位负责人）授权代表身份证</w:t>
            </w:r>
          </w:p>
          <w:p w14:paraId="005C20A4">
            <w:pPr>
              <w:jc w:val="center"/>
              <w:rPr>
                <w:rFonts w:asciiTheme="minorEastAsia" w:hAnsiTheme="minorEastAsia"/>
                <w:szCs w:val="21"/>
              </w:rPr>
            </w:pPr>
            <w:r>
              <w:rPr>
                <w:rFonts w:hint="eastAsia" w:asciiTheme="minorEastAsia" w:hAnsiTheme="minorEastAsia"/>
                <w:szCs w:val="21"/>
              </w:rPr>
              <w:t>（正面）</w:t>
            </w:r>
            <w:bookmarkEnd w:id="10"/>
          </w:p>
        </w:tc>
        <w:tc>
          <w:tcPr>
            <w:tcW w:w="4492" w:type="dxa"/>
            <w:gridSpan w:val="2"/>
            <w:vAlign w:val="center"/>
          </w:tcPr>
          <w:p w14:paraId="1231B578">
            <w:pPr>
              <w:jc w:val="center"/>
              <w:rPr>
                <w:rFonts w:asciiTheme="minorEastAsia" w:hAnsiTheme="minorEastAsia"/>
                <w:szCs w:val="21"/>
              </w:rPr>
            </w:pPr>
            <w:bookmarkStart w:id="11" w:name="_Toc364329027"/>
            <w:r>
              <w:rPr>
                <w:rFonts w:hint="eastAsia" w:asciiTheme="minorEastAsia" w:hAnsiTheme="minorEastAsia"/>
                <w:szCs w:val="21"/>
              </w:rPr>
              <w:t>法定代表人（单位负责人）授权代表身份证</w:t>
            </w:r>
          </w:p>
          <w:p w14:paraId="3A9E655C">
            <w:pPr>
              <w:jc w:val="center"/>
              <w:rPr>
                <w:rFonts w:asciiTheme="minorEastAsia" w:hAnsiTheme="minorEastAsia"/>
                <w:szCs w:val="21"/>
              </w:rPr>
            </w:pPr>
            <w:r>
              <w:rPr>
                <w:rFonts w:hint="eastAsia" w:asciiTheme="minorEastAsia" w:hAnsiTheme="minorEastAsia"/>
                <w:szCs w:val="21"/>
              </w:rPr>
              <w:t>（反面）</w:t>
            </w:r>
            <w:bookmarkEnd w:id="11"/>
          </w:p>
        </w:tc>
      </w:tr>
    </w:tbl>
    <w:p w14:paraId="751515C6">
      <w:pPr>
        <w:widowControl/>
        <w:spacing w:before="100" w:beforeAutospacing="1" w:after="100" w:afterAutospacing="1" w:line="360" w:lineRule="auto"/>
        <w:jc w:val="center"/>
        <w:rPr>
          <w:rFonts w:ascii="宋体" w:hAnsi="宋体"/>
          <w:b/>
          <w:bCs/>
          <w:sz w:val="24"/>
          <w:szCs w:val="24"/>
        </w:rPr>
      </w:pPr>
      <w:r>
        <w:rPr>
          <w:rFonts w:hint="eastAsia" w:ascii="宋体" w:hAnsi="宋体"/>
          <w:b/>
          <w:bCs/>
          <w:sz w:val="24"/>
          <w:szCs w:val="24"/>
        </w:rPr>
        <w:t>3.4 投标承诺函</w:t>
      </w:r>
    </w:p>
    <w:p w14:paraId="6B437623">
      <w:pPr>
        <w:autoSpaceDE w:val="0"/>
        <w:autoSpaceDN w:val="0"/>
        <w:snapToGrid w:val="0"/>
        <w:spacing w:line="360" w:lineRule="auto"/>
        <w:jc w:val="center"/>
        <w:rPr>
          <w:rFonts w:ascii="宋体" w:hAnsi="宋体"/>
          <w:b/>
          <w:bCs/>
          <w:sz w:val="24"/>
          <w:szCs w:val="24"/>
        </w:rPr>
      </w:pPr>
    </w:p>
    <w:p w14:paraId="6DC37633">
      <w:pPr>
        <w:spacing w:beforeLines="50" w:afterLines="50" w:line="360" w:lineRule="auto"/>
        <w:contextualSpacing/>
        <w:rPr>
          <w:rFonts w:ascii="宋体" w:hAnsi="宋体" w:eastAsia="宋体" w:cs="宋体"/>
          <w:szCs w:val="21"/>
          <w:lang w:val="zh-CN"/>
        </w:rPr>
      </w:pPr>
      <w:r>
        <w:rPr>
          <w:rFonts w:hint="eastAsia" w:ascii="宋体" w:hAnsi="宋体" w:eastAsia="宋体" w:cs="宋体"/>
          <w:szCs w:val="21"/>
          <w:lang w:val="zh-CN"/>
        </w:rPr>
        <w:t>禹州市政府采购中心</w:t>
      </w:r>
      <w:r>
        <w:rPr>
          <w:rFonts w:ascii="宋体" w:hAnsi="宋体" w:eastAsia="宋体" w:cs="宋体"/>
          <w:szCs w:val="21"/>
          <w:lang w:val="zh-CN"/>
        </w:rPr>
        <w:t>：</w:t>
      </w:r>
    </w:p>
    <w:p w14:paraId="13E8A21B">
      <w:pPr>
        <w:spacing w:beforeLines="50" w:afterLines="50" w:line="360" w:lineRule="auto"/>
        <w:ind w:firstLine="420" w:firstLineChars="200"/>
        <w:contextualSpacing/>
        <w:rPr>
          <w:rFonts w:cs="宋体" w:asciiTheme="minorEastAsia" w:hAnsiTheme="minorEastAsia"/>
          <w:szCs w:val="21"/>
          <w:lang w:val="zh-CN"/>
        </w:rPr>
      </w:pPr>
      <w:r>
        <w:rPr>
          <w:rFonts w:ascii="宋体" w:hAnsi="宋体" w:eastAsia="宋体" w:cs="宋体"/>
          <w:szCs w:val="21"/>
          <w:lang w:val="zh-CN"/>
        </w:rPr>
        <w:t>经研究，我</w:t>
      </w:r>
      <w:r>
        <w:rPr>
          <w:rFonts w:hint="eastAsia" w:cs="宋体" w:asciiTheme="minorEastAsia" w:hAnsiTheme="minorEastAsia"/>
          <w:szCs w:val="21"/>
          <w:lang w:val="zh-CN"/>
        </w:rPr>
        <w:t>方自愿参与贵方</w:t>
      </w:r>
      <w:r>
        <w:rPr>
          <w:rFonts w:ascii="宋体" w:hAnsi="宋体" w:eastAsia="宋体" w:cs="宋体"/>
          <w:szCs w:val="21"/>
          <w:lang w:val="zh-CN"/>
        </w:rPr>
        <w:t>____年____月____日________</w:t>
      </w:r>
      <w:r>
        <w:rPr>
          <w:rFonts w:hint="eastAsia" w:cs="宋体" w:asciiTheme="minorEastAsia" w:hAnsiTheme="minorEastAsia"/>
          <w:i/>
          <w:szCs w:val="21"/>
          <w:u w:val="single"/>
          <w:lang w:val="zh-CN"/>
        </w:rPr>
        <w:t>（招标编号、项目名称）</w:t>
      </w:r>
      <w:r>
        <w:rPr>
          <w:rFonts w:hint="eastAsia" w:cs="宋体" w:asciiTheme="minorEastAsia" w:hAnsiTheme="minorEastAsia"/>
          <w:szCs w:val="21"/>
          <w:lang w:val="zh-CN"/>
        </w:rPr>
        <w:t>的</w:t>
      </w:r>
      <w:r>
        <w:rPr>
          <w:rFonts w:ascii="宋体" w:hAnsi="宋体" w:eastAsia="宋体" w:cs="宋体"/>
          <w:szCs w:val="21"/>
          <w:lang w:val="zh-CN"/>
        </w:rPr>
        <w:t>投标，</w:t>
      </w:r>
      <w:r>
        <w:rPr>
          <w:rFonts w:hint="eastAsia" w:cs="宋体" w:asciiTheme="minorEastAsia" w:hAnsiTheme="minorEastAsia"/>
          <w:szCs w:val="21"/>
          <w:lang w:val="zh-CN"/>
        </w:rPr>
        <w:t>将</w:t>
      </w:r>
      <w:r>
        <w:rPr>
          <w:rFonts w:ascii="宋体" w:hAnsi="宋体" w:eastAsia="宋体" w:cs="宋体"/>
          <w:szCs w:val="21"/>
          <w:lang w:val="zh-CN"/>
        </w:rPr>
        <w:t>严格</w:t>
      </w:r>
      <w:r>
        <w:rPr>
          <w:rFonts w:hint="eastAsia" w:cs="宋体" w:asciiTheme="minorEastAsia" w:hAnsiTheme="minorEastAsia"/>
          <w:szCs w:val="21"/>
          <w:lang w:val="zh-CN"/>
        </w:rPr>
        <w:t>遵守</w:t>
      </w:r>
      <w:r>
        <w:rPr>
          <w:rFonts w:ascii="宋体" w:hAnsi="宋体" w:eastAsia="宋体" w:cs="宋体"/>
          <w:szCs w:val="21"/>
          <w:lang w:val="zh-CN"/>
        </w:rPr>
        <w:t>《</w:t>
      </w:r>
      <w:r>
        <w:rPr>
          <w:rFonts w:hint="eastAsia" w:cs="宋体" w:asciiTheme="minorEastAsia" w:hAnsiTheme="minorEastAsia"/>
          <w:szCs w:val="21"/>
          <w:lang w:val="zh-CN"/>
        </w:rPr>
        <w:t>中华人民共和国政府采购</w:t>
      </w:r>
      <w:r>
        <w:rPr>
          <w:rFonts w:ascii="宋体" w:hAnsi="宋体" w:eastAsia="宋体" w:cs="宋体"/>
          <w:szCs w:val="21"/>
          <w:lang w:val="zh-CN"/>
        </w:rPr>
        <w:t>法》等</w:t>
      </w:r>
      <w:r>
        <w:rPr>
          <w:rFonts w:hint="eastAsia" w:cs="宋体" w:asciiTheme="minorEastAsia" w:hAnsiTheme="minorEastAsia"/>
          <w:szCs w:val="21"/>
          <w:lang w:val="zh-CN"/>
        </w:rPr>
        <w:t>相关</w:t>
      </w:r>
      <w:r>
        <w:rPr>
          <w:rFonts w:ascii="宋体" w:hAnsi="宋体" w:eastAsia="宋体" w:cs="宋体"/>
          <w:szCs w:val="21"/>
          <w:lang w:val="zh-CN"/>
        </w:rPr>
        <w:t>法律法规</w:t>
      </w:r>
      <w:r>
        <w:rPr>
          <w:rFonts w:hint="eastAsia" w:cs="宋体" w:asciiTheme="minorEastAsia" w:hAnsiTheme="minorEastAsia"/>
          <w:szCs w:val="21"/>
          <w:lang w:val="zh-CN"/>
        </w:rPr>
        <w:t>规定</w:t>
      </w:r>
      <w:r>
        <w:rPr>
          <w:rFonts w:cs="宋体" w:asciiTheme="minorEastAsia" w:hAnsiTheme="minorEastAsia"/>
          <w:szCs w:val="21"/>
          <w:lang w:val="zh-CN"/>
        </w:rPr>
        <w:t>，并无条件地遵守本次采购活动各项规定。我们郑重承诺：</w:t>
      </w:r>
      <w:r>
        <w:rPr>
          <w:rFonts w:hint="eastAsia" w:cs="宋体" w:asciiTheme="minorEastAsia" w:hAnsiTheme="minorEastAsia"/>
          <w:szCs w:val="21"/>
          <w:lang w:val="zh-CN"/>
        </w:rPr>
        <w:t>我方</w:t>
      </w:r>
      <w:r>
        <w:rPr>
          <w:rFonts w:cs="宋体" w:asciiTheme="minorEastAsia" w:hAnsiTheme="minorEastAsia"/>
          <w:szCs w:val="21"/>
          <w:lang w:val="zh-CN"/>
        </w:rPr>
        <w:t>如果在本次</w:t>
      </w:r>
      <w:r>
        <w:rPr>
          <w:rFonts w:hint="eastAsia" w:cs="宋体" w:asciiTheme="minorEastAsia" w:hAnsiTheme="minorEastAsia"/>
          <w:szCs w:val="21"/>
          <w:lang w:val="zh-CN"/>
        </w:rPr>
        <w:t>投标</w:t>
      </w:r>
      <w:r>
        <w:rPr>
          <w:rFonts w:cs="宋体" w:asciiTheme="minorEastAsia" w:hAnsiTheme="minorEastAsia"/>
          <w:szCs w:val="21"/>
          <w:lang w:val="zh-CN"/>
        </w:rPr>
        <w:t>活动中有</w:t>
      </w:r>
      <w:r>
        <w:rPr>
          <w:rFonts w:hint="eastAsia" w:cs="宋体" w:asciiTheme="minorEastAsia" w:hAnsiTheme="minorEastAsia"/>
          <w:szCs w:val="21"/>
          <w:lang w:val="zh-CN"/>
        </w:rPr>
        <w:t>下列</w:t>
      </w:r>
      <w:r>
        <w:rPr>
          <w:rFonts w:cs="宋体" w:asciiTheme="minorEastAsia" w:hAnsiTheme="minorEastAsia"/>
          <w:szCs w:val="21"/>
          <w:lang w:val="zh-CN"/>
        </w:rPr>
        <w:t>情形</w:t>
      </w:r>
      <w:r>
        <w:rPr>
          <w:rFonts w:hint="eastAsia" w:cs="宋体" w:asciiTheme="minorEastAsia" w:hAnsiTheme="minorEastAsia"/>
          <w:szCs w:val="21"/>
          <w:lang w:val="zh-CN"/>
        </w:rPr>
        <w:t>之一</w:t>
      </w:r>
      <w:r>
        <w:rPr>
          <w:rFonts w:cs="宋体" w:asciiTheme="minorEastAsia" w:hAnsiTheme="minorEastAsia"/>
          <w:szCs w:val="21"/>
          <w:lang w:val="zh-CN"/>
        </w:rPr>
        <w:t>的，愿接受政府采购</w:t>
      </w:r>
      <w:r>
        <w:rPr>
          <w:rFonts w:hint="eastAsia" w:cs="宋体" w:asciiTheme="minorEastAsia" w:hAnsiTheme="minorEastAsia"/>
          <w:szCs w:val="21"/>
          <w:lang w:val="zh-CN"/>
        </w:rPr>
        <w:t>监督管理</w:t>
      </w:r>
      <w:r>
        <w:rPr>
          <w:rFonts w:cs="宋体" w:asciiTheme="minorEastAsia" w:hAnsiTheme="minorEastAsia"/>
          <w:szCs w:val="21"/>
          <w:lang w:val="zh-CN"/>
        </w:rPr>
        <w:t>部门给予相关处罚并</w:t>
      </w:r>
      <w:r>
        <w:rPr>
          <w:rFonts w:hint="eastAsia" w:cs="宋体" w:asciiTheme="minorEastAsia" w:hAnsiTheme="minorEastAsia"/>
          <w:szCs w:val="21"/>
          <w:lang w:val="zh-CN"/>
        </w:rPr>
        <w:t>承诺依法</w:t>
      </w:r>
      <w:r>
        <w:rPr>
          <w:rFonts w:cs="宋体" w:asciiTheme="minorEastAsia" w:hAnsiTheme="minorEastAsia"/>
          <w:szCs w:val="21"/>
          <w:lang w:val="zh-CN"/>
        </w:rPr>
        <w:t>承担</w:t>
      </w:r>
      <w:r>
        <w:rPr>
          <w:rFonts w:hint="eastAsia" w:cs="宋体" w:asciiTheme="minorEastAsia" w:hAnsiTheme="minorEastAsia"/>
          <w:szCs w:val="21"/>
          <w:lang w:val="zh-CN"/>
        </w:rPr>
        <w:t>相关的经济赔偿责任和</w:t>
      </w:r>
      <w:r>
        <w:rPr>
          <w:rFonts w:cs="宋体" w:asciiTheme="minorEastAsia" w:hAnsiTheme="minorEastAsia"/>
          <w:szCs w:val="21"/>
          <w:lang w:val="zh-CN"/>
        </w:rPr>
        <w:t>法律责任。</w:t>
      </w:r>
    </w:p>
    <w:p w14:paraId="04008B07">
      <w:pPr>
        <w:spacing w:beforeLines="50" w:afterLines="50" w:line="360" w:lineRule="auto"/>
        <w:ind w:firstLine="420" w:firstLineChars="200"/>
        <w:contextualSpacing/>
        <w:rPr>
          <w:rFonts w:cs="宋体" w:asciiTheme="minorEastAsia" w:hAnsiTheme="minorEastAsia"/>
          <w:szCs w:val="21"/>
          <w:lang w:val="zh-CN"/>
        </w:rPr>
      </w:pPr>
      <w:r>
        <w:rPr>
          <w:rFonts w:hint="eastAsia" w:cs="宋体" w:asciiTheme="minorEastAsia" w:hAnsiTheme="minorEastAsia"/>
          <w:szCs w:val="21"/>
          <w:lang w:val="zh-CN"/>
        </w:rPr>
        <w:t>一、在投标有效期内撤销投标文件；</w:t>
      </w:r>
    </w:p>
    <w:p w14:paraId="49545FF2">
      <w:pPr>
        <w:spacing w:beforeLines="50" w:afterLines="50" w:line="360" w:lineRule="auto"/>
        <w:ind w:firstLine="420" w:firstLineChars="200"/>
        <w:contextualSpacing/>
        <w:rPr>
          <w:rFonts w:cs="宋体" w:asciiTheme="minorEastAsia" w:hAnsiTheme="minorEastAsia"/>
          <w:szCs w:val="21"/>
          <w:lang w:val="zh-CN"/>
        </w:rPr>
      </w:pPr>
      <w:r>
        <w:rPr>
          <w:rFonts w:hint="eastAsia" w:cs="宋体" w:asciiTheme="minorEastAsia" w:hAnsiTheme="minorEastAsia"/>
          <w:szCs w:val="21"/>
          <w:lang w:val="zh-CN"/>
        </w:rPr>
        <w:t>二、在投标文件中提供虚假材料；</w:t>
      </w:r>
    </w:p>
    <w:p w14:paraId="18FF9A29">
      <w:pPr>
        <w:spacing w:beforeLines="50" w:afterLines="50" w:line="360" w:lineRule="auto"/>
        <w:ind w:firstLine="420" w:firstLineChars="200"/>
        <w:contextualSpacing/>
        <w:rPr>
          <w:rFonts w:cs="宋体" w:asciiTheme="minorEastAsia" w:hAnsiTheme="minorEastAsia"/>
          <w:szCs w:val="21"/>
          <w:lang w:val="zh-CN"/>
        </w:rPr>
      </w:pPr>
      <w:r>
        <w:rPr>
          <w:rFonts w:hint="eastAsia" w:cs="宋体" w:asciiTheme="minorEastAsia" w:hAnsiTheme="minorEastAsia"/>
          <w:szCs w:val="21"/>
          <w:lang w:val="zh-CN"/>
        </w:rPr>
        <w:t>三、除因不可抗力或招标文件认可的情形以外，中标后不与采购人签订合同；</w:t>
      </w:r>
    </w:p>
    <w:p w14:paraId="3FDEE2A4">
      <w:pPr>
        <w:spacing w:beforeLines="50" w:afterLines="50" w:line="360" w:lineRule="auto"/>
        <w:ind w:firstLine="420" w:firstLineChars="200"/>
        <w:contextualSpacing/>
        <w:rPr>
          <w:rFonts w:cs="宋体" w:asciiTheme="minorEastAsia" w:hAnsiTheme="minorEastAsia"/>
          <w:szCs w:val="21"/>
          <w:lang w:val="zh-CN"/>
        </w:rPr>
      </w:pPr>
      <w:r>
        <w:rPr>
          <w:rFonts w:hint="eastAsia" w:cs="宋体" w:asciiTheme="minorEastAsia" w:hAnsiTheme="minorEastAsia"/>
          <w:szCs w:val="21"/>
          <w:lang w:val="zh-CN"/>
        </w:rPr>
        <w:t>四、与采购人、其他投标人或者采购代理机构恶意串通；</w:t>
      </w:r>
    </w:p>
    <w:p w14:paraId="54FD2D6B">
      <w:pPr>
        <w:spacing w:beforeLines="50" w:afterLines="50" w:line="360" w:lineRule="auto"/>
        <w:ind w:firstLine="420" w:firstLineChars="200"/>
        <w:contextualSpacing/>
        <w:rPr>
          <w:rFonts w:cs="宋体" w:asciiTheme="minorEastAsia" w:hAnsiTheme="minorEastAsia"/>
          <w:szCs w:val="21"/>
          <w:lang w:val="zh-CN"/>
        </w:rPr>
      </w:pPr>
      <w:r>
        <w:rPr>
          <w:rFonts w:hint="eastAsia" w:cs="宋体" w:asciiTheme="minorEastAsia" w:hAnsiTheme="minorEastAsia"/>
          <w:szCs w:val="21"/>
          <w:lang w:val="zh-CN"/>
        </w:rPr>
        <w:t>五、法律法规及本招标文件规定的其他严重违法行为。</w:t>
      </w:r>
    </w:p>
    <w:p w14:paraId="0ECD70FF">
      <w:pPr>
        <w:rPr>
          <w:sz w:val="28"/>
          <w:szCs w:val="28"/>
          <w:u w:val="single"/>
        </w:rPr>
      </w:pPr>
    </w:p>
    <w:p w14:paraId="20677208">
      <w:pPr>
        <w:rPr>
          <w:sz w:val="28"/>
          <w:szCs w:val="28"/>
          <w:u w:val="single"/>
        </w:rPr>
      </w:pPr>
    </w:p>
    <w:p w14:paraId="354BCCF1">
      <w:pPr>
        <w:spacing w:line="480" w:lineRule="auto"/>
        <w:ind w:firstLine="4357" w:firstLineChars="2075"/>
        <w:rPr>
          <w:rFonts w:cs="Arial" w:asciiTheme="minorEastAsia" w:hAnsiTheme="minorEastAsia"/>
          <w:szCs w:val="21"/>
        </w:rPr>
      </w:pPr>
      <w:r>
        <w:rPr>
          <w:rFonts w:hint="eastAsia" w:cs="Arial" w:asciiTheme="minorEastAsia" w:hAnsiTheme="minorEastAsia"/>
          <w:szCs w:val="21"/>
        </w:rPr>
        <w:t>投标人名称（并加盖公章）：　　　　　　　　　</w:t>
      </w:r>
    </w:p>
    <w:p w14:paraId="486D0541">
      <w:pPr>
        <w:spacing w:line="480" w:lineRule="auto"/>
        <w:ind w:firstLine="4357" w:firstLineChars="2075"/>
        <w:rPr>
          <w:rFonts w:cs="Arial" w:asciiTheme="minorEastAsia" w:hAnsiTheme="minorEastAsia"/>
          <w:szCs w:val="21"/>
        </w:rPr>
      </w:pPr>
      <w:r>
        <w:rPr>
          <w:rFonts w:hint="eastAsia" w:cs="Arial" w:asciiTheme="minorEastAsia" w:hAnsiTheme="minorEastAsia"/>
          <w:szCs w:val="21"/>
        </w:rPr>
        <w:t>日　  期：      年    月    日</w:t>
      </w:r>
    </w:p>
    <w:p w14:paraId="7310B3CE">
      <w:pPr>
        <w:autoSpaceDE w:val="0"/>
        <w:autoSpaceDN w:val="0"/>
        <w:adjustRightInd w:val="0"/>
        <w:spacing w:line="360" w:lineRule="auto"/>
        <w:jc w:val="center"/>
        <w:outlineLvl w:val="0"/>
        <w:rPr>
          <w:rFonts w:hAnsi="宋体" w:eastAsia="宋体"/>
          <w:b/>
          <w:snapToGrid w:val="0"/>
          <w:kern w:val="0"/>
          <w:sz w:val="36"/>
          <w:szCs w:val="36"/>
        </w:rPr>
      </w:pPr>
    </w:p>
    <w:p w14:paraId="5A05A207">
      <w:pPr>
        <w:autoSpaceDE w:val="0"/>
        <w:autoSpaceDN w:val="0"/>
        <w:adjustRightInd w:val="0"/>
        <w:spacing w:line="360" w:lineRule="auto"/>
        <w:jc w:val="center"/>
        <w:rPr>
          <w:rFonts w:ascii="宋体" w:cs="宋体"/>
          <w:szCs w:val="21"/>
          <w:lang w:val="zh-CN"/>
        </w:rPr>
      </w:pPr>
    </w:p>
    <w:p w14:paraId="21684946">
      <w:pPr>
        <w:autoSpaceDE w:val="0"/>
        <w:autoSpaceDN w:val="0"/>
        <w:adjustRightInd w:val="0"/>
        <w:spacing w:line="360" w:lineRule="auto"/>
        <w:jc w:val="center"/>
        <w:rPr>
          <w:rFonts w:ascii="宋体" w:cs="宋体"/>
          <w:szCs w:val="21"/>
          <w:lang w:val="zh-CN"/>
        </w:rPr>
      </w:pPr>
    </w:p>
    <w:p w14:paraId="2F179C00">
      <w:pPr>
        <w:autoSpaceDE w:val="0"/>
        <w:autoSpaceDN w:val="0"/>
        <w:adjustRightInd w:val="0"/>
        <w:spacing w:line="360" w:lineRule="auto"/>
        <w:jc w:val="center"/>
        <w:rPr>
          <w:rFonts w:ascii="宋体" w:cs="宋体"/>
          <w:szCs w:val="21"/>
          <w:lang w:val="zh-CN"/>
        </w:rPr>
      </w:pPr>
    </w:p>
    <w:p w14:paraId="49C52767">
      <w:pPr>
        <w:autoSpaceDE w:val="0"/>
        <w:autoSpaceDN w:val="0"/>
        <w:adjustRightInd w:val="0"/>
        <w:spacing w:line="360" w:lineRule="auto"/>
        <w:jc w:val="center"/>
        <w:rPr>
          <w:rFonts w:ascii="宋体" w:cs="宋体"/>
          <w:szCs w:val="21"/>
          <w:lang w:val="zh-CN"/>
        </w:rPr>
      </w:pPr>
    </w:p>
    <w:p w14:paraId="7A28571B">
      <w:pPr>
        <w:autoSpaceDE w:val="0"/>
        <w:autoSpaceDN w:val="0"/>
        <w:adjustRightInd w:val="0"/>
        <w:spacing w:line="360" w:lineRule="auto"/>
        <w:jc w:val="center"/>
        <w:rPr>
          <w:rFonts w:ascii="宋体" w:cs="宋体"/>
          <w:szCs w:val="21"/>
          <w:lang w:val="zh-CN"/>
        </w:rPr>
      </w:pPr>
    </w:p>
    <w:p w14:paraId="18B46E27">
      <w:pPr>
        <w:autoSpaceDE w:val="0"/>
        <w:autoSpaceDN w:val="0"/>
        <w:adjustRightInd w:val="0"/>
        <w:spacing w:line="360" w:lineRule="auto"/>
        <w:ind w:right="-11"/>
        <w:rPr>
          <w:rFonts w:ascii="宋体" w:cs="宋体"/>
          <w:szCs w:val="21"/>
          <w:lang w:val="zh-CN"/>
        </w:rPr>
      </w:pPr>
    </w:p>
    <w:p w14:paraId="030A1645">
      <w:pPr>
        <w:autoSpaceDE w:val="0"/>
        <w:autoSpaceDN w:val="0"/>
        <w:adjustRightInd w:val="0"/>
        <w:spacing w:line="360" w:lineRule="auto"/>
        <w:jc w:val="center"/>
        <w:rPr>
          <w:rFonts w:cs="宋体" w:asciiTheme="minorEastAsia" w:hAnsiTheme="minorEastAsia"/>
          <w:sz w:val="24"/>
          <w:szCs w:val="24"/>
          <w:lang w:val="zh-CN"/>
        </w:rPr>
      </w:pPr>
    </w:p>
    <w:p w14:paraId="37BBF651">
      <w:pPr>
        <w:autoSpaceDE w:val="0"/>
        <w:autoSpaceDN w:val="0"/>
        <w:adjustRightInd w:val="0"/>
        <w:spacing w:line="360" w:lineRule="auto"/>
        <w:jc w:val="center"/>
        <w:rPr>
          <w:rFonts w:cs="宋体" w:asciiTheme="minorEastAsia" w:hAnsiTheme="minorEastAsia"/>
          <w:sz w:val="24"/>
          <w:szCs w:val="24"/>
          <w:lang w:val="zh-CN"/>
        </w:rPr>
      </w:pPr>
    </w:p>
    <w:p w14:paraId="2E27797A">
      <w:pPr>
        <w:spacing w:line="360" w:lineRule="auto"/>
        <w:jc w:val="center"/>
        <w:rPr>
          <w:rFonts w:ascii="宋体" w:hAnsi="宋体"/>
          <w:b/>
          <w:bCs/>
          <w:sz w:val="24"/>
          <w:szCs w:val="24"/>
        </w:rPr>
      </w:pPr>
      <w:r>
        <w:rPr>
          <w:rFonts w:hint="eastAsia" w:ascii="宋体" w:hAnsi="宋体"/>
          <w:b/>
          <w:bCs/>
          <w:sz w:val="24"/>
          <w:szCs w:val="24"/>
        </w:rPr>
        <w:t>3.5禹州市政府采购供应商信用承诺函</w:t>
      </w:r>
    </w:p>
    <w:p w14:paraId="7B91DBFF">
      <w:pPr>
        <w:rPr>
          <w:rFonts w:cs="宋体" w:asciiTheme="minorEastAsia" w:hAnsiTheme="minorEastAsia"/>
          <w:szCs w:val="21"/>
          <w:lang w:val="zh-CN"/>
        </w:rPr>
      </w:pPr>
    </w:p>
    <w:p w14:paraId="455E8B3C">
      <w:pPr>
        <w:spacing w:line="600" w:lineRule="exact"/>
        <w:rPr>
          <w:rFonts w:cs="宋体" w:asciiTheme="minorEastAsia" w:hAnsiTheme="minorEastAsia"/>
          <w:szCs w:val="21"/>
          <w:lang w:val="zh-CN"/>
        </w:rPr>
      </w:pPr>
      <w:r>
        <w:rPr>
          <w:rFonts w:cs="宋体" w:asciiTheme="minorEastAsia" w:hAnsiTheme="minorEastAsia"/>
          <w:szCs w:val="21"/>
          <w:lang w:val="zh-CN"/>
        </w:rPr>
        <w:t>致（采购人或采购代理机构）：</w:t>
      </w:r>
    </w:p>
    <w:p w14:paraId="0AC1B2DF">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单位名称（自然人姓名）:</w:t>
      </w:r>
    </w:p>
    <w:p w14:paraId="18CF4FD9">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统一社会信用代码（身份证号码）:</w:t>
      </w:r>
    </w:p>
    <w:p w14:paraId="1BBCB350">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法定代表人（负责人）:</w:t>
      </w:r>
    </w:p>
    <w:p w14:paraId="26658CB7">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联系地址和电话：</w:t>
      </w:r>
    </w:p>
    <w:p w14:paraId="04FB5E6E">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为维护公平、公正、公开的政府采购市场秩序，树立诚实守信的政府采购供应商形象，我单位（本人）自愿作出以下承诺：</w:t>
      </w:r>
    </w:p>
    <w:p w14:paraId="7FFBA53F">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一、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采购文件、本承诺书的条件：</w:t>
      </w:r>
    </w:p>
    <w:p w14:paraId="5F6B17B4">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（一）具有独立承担民事责任的能力；</w:t>
      </w:r>
    </w:p>
    <w:p w14:paraId="61350BEF">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（二）具有良好的商业信誉和健全的财务会计制度；</w:t>
      </w:r>
    </w:p>
    <w:p w14:paraId="2D8D9F4E">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（三）具有履行合同所必需的设备和专业技术能力；</w:t>
      </w:r>
    </w:p>
    <w:p w14:paraId="1330E369">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（四）有依法缴纳税收和社会保障资金的良好记录；</w:t>
      </w:r>
    </w:p>
    <w:p w14:paraId="1FBD4F66">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（五）参加政府采购活动前三年内，在经营活动中没有重大违法记录；</w:t>
      </w:r>
    </w:p>
    <w:p w14:paraId="3A28D647">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（六）未被列入经营异常名录或者严重违法失信名单、失信被执行人，重大税收违法案件当事人名单、政府采购严重违法失信行为记录名单；</w:t>
      </w:r>
    </w:p>
    <w:p w14:paraId="12F7E9D2">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（七）未被相关监管部门作出行政处罚且尚在处罚有效期的；</w:t>
      </w:r>
    </w:p>
    <w:p w14:paraId="1111E259">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（八）未曾作出虚假采购承诺；</w:t>
      </w:r>
    </w:p>
    <w:p w14:paraId="16A4F830">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（九）符合法律、行政法规规定的其他条件。</w:t>
      </w:r>
    </w:p>
    <w:p w14:paraId="563A86C4">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二、我单位（本人）保证上述承诺事项的真实性。如有弄虚作假或其他违法违规行为，自愿按照规定将违背承诺行为作为失信行为记录到社会信用信息平台，并视同为“提供虚假材料谋取中标、成交”按照《</w:t>
      </w:r>
      <w:r>
        <w:rPr>
          <w:rFonts w:hint="eastAsia" w:asciiTheme="minorEastAsia" w:hAnsiTheme="minorEastAsia" w:eastAsiaTheme="minorEastAsia" w:cstheme="minorEastAsia"/>
          <w:kern w:val="2"/>
          <w:sz w:val="21"/>
          <w:szCs w:val="21"/>
          <w:lang w:val="en-US" w:eastAsia="zh-CN" w:bidi="ar-SA"/>
        </w:rPr>
        <w:t>中华人民共和国</w:t>
      </w:r>
      <w:r>
        <w:rPr>
          <w:rFonts w:cs="宋体" w:asciiTheme="minorEastAsia" w:hAnsiTheme="minorEastAsia"/>
          <w:szCs w:val="21"/>
          <w:lang w:val="zh-CN"/>
        </w:rPr>
        <w:t>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151B8A5E">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供应商（电子章）:</w:t>
      </w:r>
    </w:p>
    <w:p w14:paraId="517CB5C8">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法定代表人、负责人、本人、或授权代表（签字或电子印章）:</w:t>
      </w:r>
    </w:p>
    <w:p w14:paraId="3E901114">
      <w:pPr>
        <w:spacing w:line="600" w:lineRule="exact"/>
        <w:ind w:firstLine="420" w:firstLineChars="200"/>
        <w:rPr>
          <w:rFonts w:cs="宋体" w:asciiTheme="minorEastAsia" w:hAnsiTheme="minorEastAsia"/>
          <w:szCs w:val="21"/>
          <w:lang w:val="zh-CN"/>
        </w:rPr>
      </w:pPr>
      <w:r>
        <w:rPr>
          <w:rFonts w:cs="宋体" w:asciiTheme="minorEastAsia" w:hAnsiTheme="minorEastAsia"/>
          <w:szCs w:val="21"/>
          <w:lang w:val="zh-CN"/>
        </w:rPr>
        <w:t>日期：年月日</w:t>
      </w:r>
    </w:p>
    <w:p w14:paraId="559E4BA9">
      <w:pPr>
        <w:rPr>
          <w:rFonts w:cs="宋体" w:asciiTheme="minorEastAsia" w:hAnsiTheme="minorEastAsia"/>
          <w:szCs w:val="21"/>
          <w:lang w:val="zh-CN"/>
        </w:rPr>
      </w:pPr>
    </w:p>
    <w:p w14:paraId="363BC290">
      <w:pPr>
        <w:rPr>
          <w:rFonts w:ascii="仿宋" w:hAnsi="仿宋" w:eastAsia="仿宋" w:cs="华文仿宋"/>
          <w:szCs w:val="21"/>
        </w:rPr>
      </w:pPr>
    </w:p>
    <w:p w14:paraId="46187B10">
      <w:pPr>
        <w:rPr>
          <w:rFonts w:ascii="仿宋" w:hAnsi="仿宋" w:eastAsia="仿宋"/>
        </w:rPr>
      </w:pPr>
      <w:r>
        <w:rPr>
          <w:rFonts w:ascii="仿宋" w:hAnsi="仿宋" w:eastAsia="仿宋" w:cs="华文仿宋"/>
          <w:szCs w:val="21"/>
        </w:rPr>
        <w:t>注：1.供应商须在</w:t>
      </w:r>
      <w:r>
        <w:rPr>
          <w:rFonts w:hint="eastAsia" w:ascii="仿宋" w:hAnsi="仿宋" w:eastAsia="仿宋" w:cs="华文仿宋"/>
          <w:szCs w:val="21"/>
        </w:rPr>
        <w:t>谈判</w:t>
      </w:r>
      <w:r>
        <w:rPr>
          <w:rFonts w:ascii="仿宋" w:hAnsi="仿宋" w:eastAsia="仿宋" w:cs="华文仿宋"/>
          <w:szCs w:val="21"/>
        </w:rPr>
        <w:t>文件中按此模板提供承诺函，未提供视为未实质性响应</w:t>
      </w:r>
      <w:r>
        <w:rPr>
          <w:rFonts w:hint="eastAsia" w:ascii="仿宋" w:hAnsi="仿宋" w:eastAsia="仿宋" w:cs="华文仿宋"/>
          <w:szCs w:val="21"/>
        </w:rPr>
        <w:t>谈判</w:t>
      </w:r>
      <w:r>
        <w:rPr>
          <w:rFonts w:ascii="仿宋" w:hAnsi="仿宋" w:eastAsia="仿宋" w:cs="华文仿宋"/>
          <w:szCs w:val="21"/>
        </w:rPr>
        <w:t>文件要求，按无效投标处理。</w:t>
      </w:r>
    </w:p>
    <w:p w14:paraId="72267FC0">
      <w:pPr>
        <w:rPr>
          <w:rFonts w:ascii="仿宋" w:hAnsi="仿宋" w:eastAsia="仿宋"/>
        </w:rPr>
      </w:pPr>
      <w:r>
        <w:rPr>
          <w:rFonts w:ascii="仿宋" w:hAnsi="仿宋" w:eastAsia="仿宋" w:cs="华文仿宋"/>
          <w:szCs w:val="21"/>
        </w:rPr>
        <w:t>2.供应商的法定代表人或者授权代表的签字或盖章应真实、有效，如由授权代表签字或盖章的，应提供“法定代表人授权书”。</w:t>
      </w:r>
    </w:p>
    <w:p w14:paraId="2BEA4DF6">
      <w:pPr>
        <w:rPr>
          <w:rFonts w:ascii="仿宋" w:hAnsi="仿宋" w:eastAsia="仿宋"/>
          <w:sz w:val="32"/>
          <w:szCs w:val="32"/>
        </w:rPr>
      </w:pPr>
    </w:p>
    <w:p w14:paraId="6F56305F">
      <w:pPr>
        <w:rPr>
          <w:rFonts w:ascii="仿宋" w:hAnsi="仿宋" w:eastAsia="仿宋"/>
          <w:sz w:val="32"/>
          <w:szCs w:val="32"/>
        </w:rPr>
      </w:pPr>
    </w:p>
    <w:p w14:paraId="39A414BD">
      <w:pPr>
        <w:rPr>
          <w:rFonts w:ascii="仿宋" w:hAnsi="仿宋" w:eastAsia="仿宋"/>
          <w:sz w:val="32"/>
          <w:szCs w:val="32"/>
        </w:rPr>
      </w:pPr>
    </w:p>
    <w:p w14:paraId="0023A595">
      <w:pPr>
        <w:rPr>
          <w:rFonts w:ascii="仿宋" w:hAnsi="仿宋" w:eastAsia="仿宋"/>
          <w:sz w:val="32"/>
          <w:szCs w:val="32"/>
        </w:rPr>
      </w:pPr>
    </w:p>
    <w:p w14:paraId="20DB1E69">
      <w:pPr>
        <w:rPr>
          <w:rFonts w:ascii="仿宋" w:hAnsi="仿宋" w:eastAsia="仿宋"/>
          <w:sz w:val="32"/>
          <w:szCs w:val="32"/>
        </w:rPr>
      </w:pPr>
    </w:p>
    <w:p w14:paraId="0F228377">
      <w:pPr>
        <w:pStyle w:val="10"/>
        <w:rPr>
          <w:rFonts w:ascii="宋体" w:cs="宋体"/>
          <w:sz w:val="24"/>
          <w:lang w:val="zh-CN"/>
        </w:rPr>
      </w:pPr>
    </w:p>
    <w:p w14:paraId="654C5B20">
      <w:pPr>
        <w:pStyle w:val="10"/>
        <w:rPr>
          <w:rFonts w:ascii="宋体" w:cs="宋体"/>
          <w:sz w:val="24"/>
          <w:lang w:val="zh-CN"/>
        </w:rPr>
      </w:pPr>
    </w:p>
    <w:p w14:paraId="5CE32BD6">
      <w:pPr>
        <w:pStyle w:val="10"/>
        <w:rPr>
          <w:rFonts w:ascii="宋体" w:cs="宋体"/>
          <w:sz w:val="24"/>
          <w:lang w:val="zh-CN"/>
        </w:rPr>
      </w:pPr>
    </w:p>
    <w:p w14:paraId="707894DC">
      <w:pPr>
        <w:spacing w:line="360" w:lineRule="auto"/>
        <w:rPr>
          <w:rFonts w:ascii="宋体" w:hAnsi="宋体"/>
          <w:b/>
          <w:bCs/>
          <w:sz w:val="24"/>
          <w:szCs w:val="24"/>
        </w:rPr>
      </w:pPr>
    </w:p>
    <w:p w14:paraId="2976DCD1">
      <w:pPr>
        <w:autoSpaceDE w:val="0"/>
        <w:autoSpaceDN w:val="0"/>
        <w:adjustRightInd w:val="0"/>
        <w:spacing w:line="360" w:lineRule="auto"/>
        <w:jc w:val="center"/>
        <w:outlineLvl w:val="2"/>
        <w:rPr>
          <w:rFonts w:ascii="宋体" w:hAnsi="宋体"/>
          <w:b/>
          <w:bCs/>
          <w:sz w:val="24"/>
          <w:szCs w:val="24"/>
        </w:rPr>
      </w:pPr>
      <w:r>
        <w:rPr>
          <w:rFonts w:hint="eastAsia" w:ascii="宋体" w:hAnsi="宋体"/>
          <w:b/>
          <w:bCs/>
          <w:sz w:val="24"/>
          <w:szCs w:val="24"/>
          <w:lang w:val="en-US" w:eastAsia="zh-CN"/>
        </w:rPr>
        <w:t>3.6</w:t>
      </w:r>
      <w:r>
        <w:rPr>
          <w:rFonts w:hint="eastAsia" w:ascii="宋体" w:hAnsi="宋体"/>
          <w:b/>
          <w:bCs/>
          <w:sz w:val="24"/>
          <w:szCs w:val="24"/>
        </w:rPr>
        <w:t xml:space="preserve"> </w:t>
      </w:r>
      <w:r>
        <w:rPr>
          <w:rFonts w:ascii="宋体" w:hAnsi="宋体"/>
          <w:b/>
          <w:bCs/>
          <w:sz w:val="24"/>
          <w:szCs w:val="24"/>
        </w:rPr>
        <w:t>中小企业声明函（货物）</w:t>
      </w:r>
    </w:p>
    <w:p w14:paraId="658E497A">
      <w:pPr>
        <w:spacing w:line="360" w:lineRule="auto"/>
        <w:jc w:val="center"/>
        <w:rPr>
          <w:rFonts w:ascii="宋体" w:hAnsi="宋体"/>
          <w:b/>
          <w:bCs/>
          <w:szCs w:val="21"/>
        </w:rPr>
      </w:pPr>
    </w:p>
    <w:p w14:paraId="2786FFE9">
      <w:pPr>
        <w:spacing w:line="360" w:lineRule="auto"/>
        <w:ind w:firstLine="707" w:firstLineChars="337"/>
        <w:jc w:val="left"/>
      </w:pPr>
      <w:r>
        <w:t>本公司（联合体）郑重声明，根据《政府采购促进中小企业发展管理办法》（财库﹝2020﹞46 号）的规定，本公司（联合体）参加</w:t>
      </w:r>
      <w:r>
        <w:rPr>
          <w:i/>
          <w:u w:val="single"/>
        </w:rPr>
        <w:t>（单位名称）</w:t>
      </w:r>
      <w:r>
        <w:t>的</w:t>
      </w:r>
      <w:r>
        <w:rPr>
          <w:i/>
          <w:u w:val="single"/>
        </w:rPr>
        <w:t>（项目名称）</w:t>
      </w:r>
      <w:r>
        <w:t>采购活动，提供的货物全部由符合政策要求的中小企业制造。相关企业（含联合体中的中小企业、签订分包意向协议的中小企业）的具体情况如下：</w:t>
      </w:r>
    </w:p>
    <w:p w14:paraId="3FFB4D02">
      <w:pPr>
        <w:spacing w:line="360" w:lineRule="auto"/>
        <w:ind w:firstLine="707" w:firstLineChars="337"/>
        <w:jc w:val="left"/>
      </w:pPr>
      <w:r>
        <w:t xml:space="preserve">1. </w:t>
      </w:r>
      <w:r>
        <w:rPr>
          <w:i/>
          <w:u w:val="single"/>
        </w:rPr>
        <w:t>（标的名称）</w:t>
      </w:r>
      <w:r>
        <w:t>，属于</w:t>
      </w:r>
      <w:r>
        <w:rPr>
          <w:i/>
          <w:u w:val="single"/>
        </w:rPr>
        <w:t>（采购文件中明确的所属行业）</w:t>
      </w:r>
      <w:r>
        <w:t>行业；制造商为</w:t>
      </w:r>
      <w:r>
        <w:rPr>
          <w:i/>
          <w:u w:val="single"/>
        </w:rPr>
        <w:t>（企业名称）</w:t>
      </w:r>
      <w:r>
        <w:t>，从业人员人，营业收入为万元，资产总额为万元，属于</w:t>
      </w:r>
      <w:r>
        <w:rPr>
          <w:i/>
          <w:u w:val="single"/>
        </w:rPr>
        <w:t>（中型企业、小型企业、微型企业）</w:t>
      </w:r>
      <w:r>
        <w:t>；</w:t>
      </w:r>
    </w:p>
    <w:p w14:paraId="2513B069">
      <w:pPr>
        <w:spacing w:line="360" w:lineRule="auto"/>
        <w:ind w:firstLine="707" w:firstLineChars="337"/>
        <w:jc w:val="left"/>
      </w:pPr>
      <w:r>
        <w:t xml:space="preserve">2. </w:t>
      </w:r>
      <w:r>
        <w:rPr>
          <w:i/>
          <w:u w:val="single"/>
        </w:rPr>
        <w:t>（标的名称）</w:t>
      </w:r>
      <w:r>
        <w:t>，属于</w:t>
      </w:r>
      <w:r>
        <w:rPr>
          <w:i/>
          <w:u w:val="single"/>
        </w:rPr>
        <w:t>（采购文件中明确的所属行业）</w:t>
      </w:r>
      <w:r>
        <w:t>行业；制造商为</w:t>
      </w:r>
      <w:r>
        <w:rPr>
          <w:i/>
          <w:u w:val="single"/>
        </w:rPr>
        <w:t>（企业名称）</w:t>
      </w:r>
      <w:r>
        <w:t>，从业人员人，营业收入为万元，资产总额为万元，属于</w:t>
      </w:r>
      <w:r>
        <w:rPr>
          <w:i/>
          <w:u w:val="single"/>
        </w:rPr>
        <w:t>（中型企业、小型企业、微型企业）</w:t>
      </w:r>
      <w:r>
        <w:t>；</w:t>
      </w:r>
    </w:p>
    <w:p w14:paraId="0CB3F46B">
      <w:pPr>
        <w:spacing w:line="360" w:lineRule="auto"/>
        <w:ind w:firstLine="707" w:firstLineChars="337"/>
        <w:jc w:val="left"/>
      </w:pPr>
      <w:r>
        <w:t xml:space="preserve">…… </w:t>
      </w:r>
    </w:p>
    <w:p w14:paraId="1CE56D83">
      <w:pPr>
        <w:spacing w:line="360" w:lineRule="auto"/>
        <w:ind w:firstLine="707" w:firstLineChars="337"/>
        <w:jc w:val="left"/>
      </w:pPr>
      <w:r>
        <w:t>以上企业，不属于大企业的分支机构，不存在控股股东为大企业的情形，也不存在与大企业的负责人为同一人的情形。</w:t>
      </w:r>
    </w:p>
    <w:p w14:paraId="39E50E58">
      <w:pPr>
        <w:spacing w:line="360" w:lineRule="auto"/>
        <w:ind w:firstLine="707" w:firstLineChars="337"/>
        <w:jc w:val="left"/>
      </w:pPr>
      <w:r>
        <w:t>本企业对上述声明内容的真实性负责。如有虚假，将依法承担相应责任。</w:t>
      </w:r>
    </w:p>
    <w:p w14:paraId="0E3B3BD4">
      <w:pPr>
        <w:spacing w:line="360" w:lineRule="auto"/>
        <w:ind w:firstLine="707" w:firstLineChars="337"/>
        <w:jc w:val="left"/>
      </w:pPr>
    </w:p>
    <w:p w14:paraId="06E59DD8">
      <w:pPr>
        <w:spacing w:line="360" w:lineRule="auto"/>
        <w:ind w:firstLine="707" w:firstLineChars="337"/>
        <w:jc w:val="left"/>
      </w:pPr>
    </w:p>
    <w:p w14:paraId="2FAD802E">
      <w:pPr>
        <w:spacing w:line="480" w:lineRule="auto"/>
        <w:ind w:firstLine="5957" w:firstLineChars="2837"/>
        <w:jc w:val="left"/>
      </w:pPr>
      <w:r>
        <w:t>企业名称（盖章）：</w:t>
      </w:r>
    </w:p>
    <w:p w14:paraId="55A0843B">
      <w:pPr>
        <w:spacing w:line="480" w:lineRule="auto"/>
        <w:ind w:firstLine="5957" w:firstLineChars="2837"/>
        <w:jc w:val="left"/>
        <w:rPr>
          <w:rFonts w:cs="Arial" w:asciiTheme="minorEastAsia" w:hAnsiTheme="minorEastAsia"/>
          <w:szCs w:val="21"/>
        </w:rPr>
      </w:pPr>
      <w:r>
        <w:t>日期：</w:t>
      </w:r>
    </w:p>
    <w:p w14:paraId="58D20664">
      <w:pPr>
        <w:spacing w:line="480" w:lineRule="auto"/>
        <w:ind w:left="4358" w:leftChars="2075"/>
        <w:rPr>
          <w:rFonts w:cs="Arial" w:asciiTheme="minorEastAsia" w:hAnsiTheme="minorEastAsia"/>
          <w:szCs w:val="21"/>
        </w:rPr>
      </w:pPr>
    </w:p>
    <w:p w14:paraId="3B48D8F7">
      <w:pPr>
        <w:widowControl/>
        <w:spacing w:before="100" w:beforeAutospacing="1" w:after="100" w:afterAutospacing="1" w:line="360" w:lineRule="auto"/>
        <w:contextualSpacing/>
        <w:jc w:val="left"/>
        <w:rPr>
          <w:rFonts w:ascii="宋体" w:hAnsi="宋体"/>
          <w:szCs w:val="21"/>
        </w:rPr>
      </w:pPr>
      <w:r>
        <w:rPr>
          <w:rFonts w:hint="eastAsia" w:ascii="宋体" w:hAnsi="宋体"/>
          <w:szCs w:val="21"/>
        </w:rPr>
        <w:t>说明：</w:t>
      </w:r>
    </w:p>
    <w:p w14:paraId="5FF2D648">
      <w:pPr>
        <w:widowControl/>
        <w:spacing w:before="100" w:beforeAutospacing="1" w:after="100" w:afterAutospacing="1" w:line="360" w:lineRule="auto"/>
        <w:contextualSpacing/>
        <w:jc w:val="left"/>
        <w:rPr>
          <w:rFonts w:ascii="宋体" w:hAnsi="宋体" w:cs="Arial"/>
          <w:kern w:val="0"/>
          <w:szCs w:val="21"/>
        </w:rPr>
      </w:pPr>
      <w:r>
        <w:rPr>
          <w:rFonts w:hint="eastAsia" w:ascii="宋体" w:hAnsi="宋体" w:cs="Arial"/>
          <w:kern w:val="0"/>
          <w:szCs w:val="21"/>
        </w:rPr>
        <w:t>1、</w:t>
      </w:r>
      <w:r>
        <w:t>从业人员、营业收入、资产总额填报上一年度数据，无上一年度数据的新成立企业可不填报。</w:t>
      </w:r>
    </w:p>
    <w:p w14:paraId="3CA04156">
      <w:pPr>
        <w:widowControl/>
        <w:spacing w:before="100" w:beforeAutospacing="1" w:after="100" w:afterAutospacing="1" w:line="360" w:lineRule="auto"/>
        <w:contextualSpacing/>
        <w:jc w:val="left"/>
        <w:rPr>
          <w:rFonts w:ascii="宋体" w:hAnsi="宋体" w:cs="Arial"/>
          <w:kern w:val="0"/>
          <w:szCs w:val="21"/>
        </w:rPr>
      </w:pPr>
      <w:r>
        <w:rPr>
          <w:rFonts w:hint="eastAsia" w:ascii="宋体" w:hAnsi="宋体" w:cs="Arial"/>
          <w:kern w:val="0"/>
          <w:szCs w:val="21"/>
        </w:rPr>
        <w:t>2、</w:t>
      </w:r>
      <w:r>
        <w:rPr>
          <w:rFonts w:ascii="宋体" w:hAnsi="宋体" w:cs="Arial"/>
          <w:kern w:val="0"/>
          <w:szCs w:val="21"/>
        </w:rPr>
        <w:t>中小企业参加政府采购活动，应当出具</w:t>
      </w:r>
      <w:r>
        <w:t>《中小企业声明函》，否则不得享受相关中小企业扶持政</w:t>
      </w:r>
      <w:r>
        <w:rPr>
          <w:rFonts w:ascii="宋体" w:hAnsi="宋体" w:cs="Arial"/>
          <w:kern w:val="0"/>
          <w:szCs w:val="21"/>
        </w:rPr>
        <w:t>策。</w:t>
      </w:r>
    </w:p>
    <w:p w14:paraId="0A16FC49">
      <w:pPr>
        <w:widowControl/>
        <w:spacing w:before="100" w:beforeAutospacing="1" w:after="100" w:afterAutospacing="1" w:line="360" w:lineRule="auto"/>
        <w:contextualSpacing/>
        <w:jc w:val="left"/>
        <w:rPr>
          <w:rFonts w:ascii="宋体" w:hAnsi="宋体" w:cs="Arial"/>
          <w:kern w:val="0"/>
          <w:szCs w:val="21"/>
        </w:rPr>
      </w:pPr>
    </w:p>
    <w:p w14:paraId="47807E42">
      <w:pPr>
        <w:widowControl/>
        <w:jc w:val="left"/>
        <w:rPr>
          <w:rFonts w:ascii="宋体" w:hAnsi="宋体"/>
          <w:b/>
          <w:bCs/>
          <w:sz w:val="24"/>
          <w:szCs w:val="24"/>
        </w:rPr>
      </w:pPr>
      <w:r>
        <w:rPr>
          <w:rFonts w:ascii="宋体" w:hAnsi="宋体"/>
          <w:b/>
          <w:bCs/>
          <w:sz w:val="24"/>
          <w:szCs w:val="24"/>
        </w:rPr>
        <w:br w:type="page"/>
      </w:r>
    </w:p>
    <w:p w14:paraId="3893BFEF">
      <w:pPr>
        <w:autoSpaceDE w:val="0"/>
        <w:autoSpaceDN w:val="0"/>
        <w:adjustRightInd w:val="0"/>
        <w:spacing w:line="360" w:lineRule="auto"/>
        <w:jc w:val="center"/>
        <w:outlineLvl w:val="2"/>
        <w:rPr>
          <w:rFonts w:ascii="宋体" w:hAnsi="宋体"/>
          <w:b/>
          <w:bCs/>
          <w:sz w:val="24"/>
          <w:szCs w:val="24"/>
        </w:rPr>
      </w:pPr>
      <w:r>
        <w:rPr>
          <w:rFonts w:hint="eastAsia" w:ascii="宋体" w:hAnsi="宋体"/>
          <w:b/>
          <w:bCs/>
          <w:sz w:val="24"/>
          <w:szCs w:val="24"/>
          <w:lang w:val="en-US" w:eastAsia="zh-CN"/>
        </w:rPr>
        <w:t>3.7</w:t>
      </w:r>
      <w:r>
        <w:rPr>
          <w:rFonts w:hint="eastAsia" w:ascii="宋体" w:hAnsi="宋体"/>
          <w:b/>
          <w:bCs/>
          <w:sz w:val="24"/>
          <w:szCs w:val="24"/>
        </w:rPr>
        <w:t xml:space="preserve"> 残疾人福利性单位声明函</w:t>
      </w:r>
    </w:p>
    <w:p w14:paraId="35A316DA">
      <w:pPr>
        <w:spacing w:line="360" w:lineRule="auto"/>
        <w:rPr>
          <w:rFonts w:ascii="宋体" w:hAnsi="宋体"/>
          <w:szCs w:val="21"/>
        </w:rPr>
      </w:pPr>
    </w:p>
    <w:p w14:paraId="0E2D127C">
      <w:pPr>
        <w:spacing w:line="360" w:lineRule="auto"/>
        <w:ind w:firstLine="420" w:firstLineChars="200"/>
        <w:rPr>
          <w:rFonts w:ascii="宋体" w:hAnsi="宋体"/>
          <w:szCs w:val="21"/>
        </w:rPr>
      </w:pPr>
      <w:r>
        <w:rPr>
          <w:rFonts w:hint="eastAsia" w:ascii="宋体" w:hAnsi="宋体"/>
          <w:szCs w:val="21"/>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6E2D68D0">
      <w:pPr>
        <w:spacing w:line="360" w:lineRule="auto"/>
        <w:ind w:firstLine="420" w:firstLineChars="200"/>
        <w:rPr>
          <w:rFonts w:ascii="宋体" w:hAnsi="宋体"/>
          <w:szCs w:val="21"/>
        </w:rPr>
      </w:pPr>
      <w:r>
        <w:rPr>
          <w:rFonts w:hint="eastAsia" w:ascii="宋体" w:hAnsi="宋体"/>
          <w:szCs w:val="21"/>
        </w:rPr>
        <w:t>本单位对上述声明的真实性负责。如有虚假，将依法承担相应责任。</w:t>
      </w:r>
    </w:p>
    <w:p w14:paraId="0E824CF3">
      <w:pPr>
        <w:spacing w:line="360" w:lineRule="auto"/>
        <w:rPr>
          <w:rFonts w:ascii="宋体" w:hAnsi="宋体"/>
          <w:szCs w:val="21"/>
        </w:rPr>
      </w:pPr>
    </w:p>
    <w:p w14:paraId="5FF9E31D">
      <w:pPr>
        <w:spacing w:line="360" w:lineRule="auto"/>
        <w:rPr>
          <w:rFonts w:ascii="宋体" w:hAnsi="宋体"/>
          <w:szCs w:val="21"/>
        </w:rPr>
      </w:pPr>
    </w:p>
    <w:p w14:paraId="6345456B">
      <w:pPr>
        <w:spacing w:line="360" w:lineRule="auto"/>
        <w:rPr>
          <w:rFonts w:ascii="宋体" w:hAnsi="宋体"/>
          <w:szCs w:val="21"/>
        </w:rPr>
      </w:pPr>
    </w:p>
    <w:p w14:paraId="647C085A">
      <w:pPr>
        <w:adjustRightInd w:val="0"/>
        <w:snapToGrid w:val="0"/>
        <w:spacing w:line="360" w:lineRule="auto"/>
        <w:ind w:firstLine="3150" w:firstLineChars="1500"/>
        <w:rPr>
          <w:rFonts w:cs="宋体" w:asciiTheme="minorEastAsia" w:hAnsiTheme="minorEastAsia"/>
          <w:szCs w:val="21"/>
        </w:rPr>
      </w:pPr>
      <w:r>
        <w:rPr>
          <w:rFonts w:hint="eastAsia" w:ascii="宋体" w:hAnsi="宋体"/>
          <w:szCs w:val="21"/>
        </w:rPr>
        <w:t>单位名称（盖章）</w:t>
      </w:r>
      <w:r>
        <w:rPr>
          <w:rFonts w:hint="eastAsia" w:cs="宋体" w:asciiTheme="minorEastAsia" w:hAnsiTheme="minorEastAsia"/>
          <w:szCs w:val="21"/>
        </w:rPr>
        <w:t>：</w:t>
      </w:r>
    </w:p>
    <w:p w14:paraId="48C2AC70">
      <w:pPr>
        <w:spacing w:line="480" w:lineRule="auto"/>
        <w:ind w:left="4358" w:leftChars="2075"/>
        <w:rPr>
          <w:rFonts w:cs="Arial" w:asciiTheme="minorEastAsia" w:hAnsiTheme="minorEastAsia"/>
          <w:szCs w:val="21"/>
        </w:rPr>
      </w:pPr>
      <w:r>
        <w:rPr>
          <w:rFonts w:hint="eastAsia" w:cs="Arial" w:asciiTheme="minorEastAsia" w:hAnsiTheme="minorEastAsia"/>
          <w:szCs w:val="21"/>
        </w:rPr>
        <w:t xml:space="preserve"> 日    期：      年    月    日</w:t>
      </w:r>
    </w:p>
    <w:p w14:paraId="74355A1E">
      <w:pPr>
        <w:spacing w:line="480" w:lineRule="auto"/>
        <w:ind w:left="4358" w:leftChars="2075"/>
        <w:rPr>
          <w:rFonts w:cs="Arial" w:asciiTheme="minorEastAsia" w:hAnsiTheme="minorEastAsia"/>
          <w:szCs w:val="21"/>
        </w:rPr>
      </w:pPr>
    </w:p>
    <w:p w14:paraId="5C2D743B"/>
    <w:p w14:paraId="384565CD"/>
    <w:p w14:paraId="55F30C5D"/>
    <w:p w14:paraId="606DF9A5"/>
    <w:p w14:paraId="1392E1FC"/>
    <w:p w14:paraId="7A0E64D5"/>
    <w:p w14:paraId="71686F6B"/>
    <w:p w14:paraId="0006E6A8"/>
    <w:p w14:paraId="435898F1"/>
    <w:p w14:paraId="363A82CF"/>
    <w:p w14:paraId="389D4B29"/>
    <w:p w14:paraId="36038F17"/>
    <w:p w14:paraId="0768E51D"/>
    <w:p w14:paraId="5A0FB0C1"/>
    <w:p w14:paraId="424E2F20"/>
    <w:p w14:paraId="37674812"/>
    <w:p w14:paraId="1B980C1E"/>
    <w:p w14:paraId="216C2793"/>
    <w:p w14:paraId="4863FDF5">
      <w:pPr>
        <w:autoSpaceDE w:val="0"/>
        <w:autoSpaceDN w:val="0"/>
        <w:adjustRightInd w:val="0"/>
        <w:spacing w:line="360" w:lineRule="auto"/>
        <w:jc w:val="center"/>
        <w:rPr>
          <w:rFonts w:cs="黑体" w:asciiTheme="minorEastAsia" w:hAnsiTheme="minorEastAsia"/>
          <w:b/>
          <w:bCs/>
          <w:sz w:val="15"/>
          <w:szCs w:val="15"/>
          <w:lang w:val="zh-CN"/>
        </w:rPr>
      </w:pPr>
    </w:p>
    <w:p w14:paraId="5C48B227">
      <w:pPr>
        <w:autoSpaceDE w:val="0"/>
        <w:autoSpaceDN w:val="0"/>
        <w:adjustRightInd w:val="0"/>
        <w:spacing w:line="360" w:lineRule="auto"/>
        <w:rPr>
          <w:rFonts w:cs="黑体" w:asciiTheme="minorEastAsia" w:hAnsiTheme="minorEastAsia"/>
          <w:b/>
          <w:bCs/>
          <w:sz w:val="15"/>
          <w:szCs w:val="15"/>
          <w:lang w:val="zh-CN"/>
        </w:rPr>
      </w:pPr>
    </w:p>
    <w:p w14:paraId="28951B71">
      <w:pPr>
        <w:spacing w:line="360" w:lineRule="auto"/>
        <w:jc w:val="center"/>
        <w:rPr>
          <w:rFonts w:hint="eastAsia" w:ascii="宋体" w:hAnsi="宋体"/>
          <w:b/>
          <w:bCs/>
          <w:sz w:val="24"/>
          <w:szCs w:val="24"/>
        </w:rPr>
      </w:pPr>
    </w:p>
    <w:p w14:paraId="393A30AD">
      <w:pPr>
        <w:spacing w:line="360" w:lineRule="auto"/>
        <w:jc w:val="center"/>
        <w:rPr>
          <w:rFonts w:hint="eastAsia" w:ascii="宋体" w:hAnsi="宋体"/>
          <w:b/>
          <w:bCs/>
          <w:sz w:val="24"/>
          <w:szCs w:val="24"/>
        </w:rPr>
      </w:pPr>
    </w:p>
    <w:p w14:paraId="009F29AE">
      <w:pPr>
        <w:spacing w:line="360" w:lineRule="auto"/>
        <w:jc w:val="center"/>
        <w:rPr>
          <w:rFonts w:hint="eastAsia" w:ascii="宋体" w:hAnsi="宋体"/>
          <w:b/>
          <w:bCs/>
          <w:sz w:val="24"/>
          <w:szCs w:val="24"/>
        </w:rPr>
      </w:pPr>
    </w:p>
    <w:p w14:paraId="55F5E596">
      <w:pPr>
        <w:spacing w:line="360" w:lineRule="auto"/>
        <w:jc w:val="center"/>
        <w:rPr>
          <w:rFonts w:ascii="宋体" w:hAnsi="宋体"/>
          <w:b/>
          <w:bCs/>
          <w:sz w:val="24"/>
          <w:szCs w:val="24"/>
        </w:rPr>
      </w:pPr>
      <w:r>
        <w:rPr>
          <w:rFonts w:hint="eastAsia" w:ascii="宋体" w:hAnsi="宋体"/>
          <w:b/>
          <w:bCs/>
          <w:sz w:val="24"/>
          <w:szCs w:val="24"/>
        </w:rPr>
        <w:t>3.</w:t>
      </w:r>
      <w:r>
        <w:rPr>
          <w:rFonts w:hint="eastAsia" w:ascii="宋体" w:hAnsi="宋体"/>
          <w:b/>
          <w:bCs/>
          <w:sz w:val="24"/>
          <w:szCs w:val="24"/>
          <w:lang w:val="en-US" w:eastAsia="zh-CN"/>
        </w:rPr>
        <w:t>8</w:t>
      </w:r>
      <w:r>
        <w:rPr>
          <w:rFonts w:hint="eastAsia" w:ascii="宋体" w:hAnsi="宋体"/>
          <w:b/>
          <w:bCs/>
          <w:sz w:val="24"/>
          <w:szCs w:val="24"/>
        </w:rPr>
        <w:t>投标人提供与参加本项目投标的其他供应商之间，单位负责人不为同一人并且不存在直接控股、管理关系承诺函</w:t>
      </w:r>
    </w:p>
    <w:p w14:paraId="61678A31">
      <w:pPr>
        <w:spacing w:line="360" w:lineRule="auto"/>
        <w:jc w:val="center"/>
        <w:rPr>
          <w:rFonts w:ascii="宋体" w:hAnsi="宋体"/>
          <w:bCs/>
          <w:sz w:val="24"/>
          <w:szCs w:val="24"/>
        </w:rPr>
      </w:pPr>
      <w:r>
        <w:rPr>
          <w:rFonts w:hint="eastAsia" w:ascii="宋体" w:hAnsi="宋体"/>
          <w:bCs/>
          <w:sz w:val="24"/>
          <w:szCs w:val="24"/>
        </w:rPr>
        <w:t>（承诺函格式自拟）</w:t>
      </w:r>
    </w:p>
    <w:p w14:paraId="3307A057">
      <w:pPr>
        <w:autoSpaceDE w:val="0"/>
        <w:autoSpaceDN w:val="0"/>
        <w:adjustRightInd w:val="0"/>
        <w:spacing w:line="360" w:lineRule="auto"/>
        <w:jc w:val="center"/>
        <w:outlineLvl w:val="9"/>
        <w:rPr>
          <w:rFonts w:ascii="宋体" w:hAnsi="宋体"/>
          <w:b/>
          <w:bCs/>
          <w:sz w:val="24"/>
          <w:szCs w:val="24"/>
        </w:rPr>
      </w:pPr>
    </w:p>
    <w:p w14:paraId="753CCCB5">
      <w:pPr>
        <w:autoSpaceDE w:val="0"/>
        <w:autoSpaceDN w:val="0"/>
        <w:adjustRightInd w:val="0"/>
        <w:spacing w:line="360" w:lineRule="auto"/>
        <w:jc w:val="center"/>
        <w:outlineLvl w:val="9"/>
        <w:rPr>
          <w:rFonts w:ascii="宋体" w:hAnsi="宋体"/>
          <w:b/>
          <w:bCs/>
          <w:sz w:val="24"/>
          <w:szCs w:val="24"/>
        </w:rPr>
      </w:pPr>
    </w:p>
    <w:p w14:paraId="7814DB79">
      <w:pPr>
        <w:widowControl/>
        <w:jc w:val="left"/>
        <w:rPr>
          <w:rFonts w:ascii="宋体" w:hAnsi="宋体"/>
          <w:b/>
          <w:bCs/>
          <w:sz w:val="24"/>
          <w:szCs w:val="24"/>
        </w:rPr>
      </w:pPr>
      <w:r>
        <w:rPr>
          <w:rFonts w:ascii="宋体" w:hAnsi="宋体"/>
          <w:b/>
          <w:bCs/>
          <w:sz w:val="24"/>
          <w:szCs w:val="24"/>
        </w:rPr>
        <w:br w:type="page"/>
      </w:r>
    </w:p>
    <w:p w14:paraId="4CA0DDFA">
      <w:pPr>
        <w:spacing w:line="360" w:lineRule="auto"/>
        <w:jc w:val="center"/>
        <w:rPr>
          <w:rFonts w:ascii="宋体" w:hAnsi="宋体"/>
          <w:b/>
          <w:bCs/>
          <w:sz w:val="24"/>
          <w:szCs w:val="24"/>
        </w:rPr>
      </w:pPr>
      <w:r>
        <w:rPr>
          <w:rFonts w:hint="eastAsia" w:ascii="宋体" w:hAnsi="宋体"/>
          <w:b/>
          <w:bCs/>
          <w:sz w:val="24"/>
          <w:szCs w:val="24"/>
        </w:rPr>
        <w:t>3.</w:t>
      </w:r>
      <w:r>
        <w:rPr>
          <w:rFonts w:hint="eastAsia" w:ascii="宋体" w:hAnsi="宋体"/>
          <w:b/>
          <w:bCs/>
          <w:sz w:val="24"/>
          <w:szCs w:val="24"/>
          <w:lang w:val="en-US" w:eastAsia="zh-CN"/>
        </w:rPr>
        <w:t>9</w:t>
      </w:r>
      <w:r>
        <w:rPr>
          <w:rFonts w:hint="eastAsia" w:ascii="宋体" w:hAnsi="宋体"/>
          <w:b/>
          <w:bCs/>
          <w:sz w:val="24"/>
          <w:szCs w:val="24"/>
        </w:rPr>
        <w:t>投标人提供未为本项目提供整体设计、规范编制或者项目管理、监理、检测等服务承诺函</w:t>
      </w:r>
    </w:p>
    <w:p w14:paraId="6F4AF306">
      <w:pPr>
        <w:spacing w:line="360" w:lineRule="auto"/>
        <w:jc w:val="center"/>
        <w:rPr>
          <w:rFonts w:ascii="宋体" w:hAnsi="宋体"/>
          <w:bCs/>
          <w:sz w:val="24"/>
          <w:szCs w:val="24"/>
        </w:rPr>
      </w:pPr>
      <w:r>
        <w:rPr>
          <w:rFonts w:hint="eastAsia" w:ascii="宋体" w:hAnsi="宋体"/>
          <w:bCs/>
          <w:sz w:val="24"/>
          <w:szCs w:val="24"/>
        </w:rPr>
        <w:t>（承诺函格式自拟）</w:t>
      </w:r>
    </w:p>
    <w:p w14:paraId="2D200A2B">
      <w:pPr>
        <w:autoSpaceDE w:val="0"/>
        <w:autoSpaceDN w:val="0"/>
        <w:adjustRightInd w:val="0"/>
        <w:spacing w:line="360" w:lineRule="auto"/>
        <w:jc w:val="center"/>
        <w:outlineLvl w:val="9"/>
        <w:rPr>
          <w:rFonts w:ascii="宋体" w:hAnsi="宋体"/>
          <w:b/>
          <w:bCs/>
          <w:sz w:val="24"/>
          <w:szCs w:val="24"/>
        </w:rPr>
      </w:pPr>
    </w:p>
    <w:p w14:paraId="5A26C0B5">
      <w:pPr>
        <w:autoSpaceDE w:val="0"/>
        <w:autoSpaceDN w:val="0"/>
        <w:adjustRightInd w:val="0"/>
        <w:spacing w:line="360" w:lineRule="auto"/>
        <w:jc w:val="center"/>
        <w:outlineLvl w:val="9"/>
        <w:rPr>
          <w:rFonts w:ascii="宋体" w:hAnsi="宋体"/>
          <w:b/>
          <w:bCs/>
          <w:sz w:val="24"/>
          <w:szCs w:val="24"/>
        </w:rPr>
      </w:pPr>
    </w:p>
    <w:p w14:paraId="79BDBAD6">
      <w:pPr>
        <w:autoSpaceDE w:val="0"/>
        <w:autoSpaceDN w:val="0"/>
        <w:adjustRightInd w:val="0"/>
        <w:spacing w:line="360" w:lineRule="auto"/>
        <w:jc w:val="center"/>
        <w:outlineLvl w:val="9"/>
        <w:rPr>
          <w:rFonts w:ascii="宋体" w:hAnsi="宋体"/>
          <w:b/>
          <w:bCs/>
          <w:sz w:val="24"/>
          <w:szCs w:val="24"/>
        </w:rPr>
      </w:pPr>
    </w:p>
    <w:p w14:paraId="58351B2C">
      <w:pPr>
        <w:widowControl/>
        <w:jc w:val="left"/>
        <w:rPr>
          <w:rFonts w:ascii="宋体" w:hAnsi="宋体"/>
          <w:b/>
          <w:bCs/>
          <w:sz w:val="24"/>
          <w:szCs w:val="24"/>
        </w:rPr>
      </w:pPr>
      <w:r>
        <w:rPr>
          <w:rFonts w:ascii="宋体" w:hAnsi="宋体"/>
          <w:b/>
          <w:bCs/>
          <w:sz w:val="24"/>
          <w:szCs w:val="24"/>
        </w:rPr>
        <w:br w:type="page"/>
      </w:r>
    </w:p>
    <w:p w14:paraId="370C4201">
      <w:pPr>
        <w:autoSpaceDE w:val="0"/>
        <w:autoSpaceDN w:val="0"/>
        <w:adjustRightInd w:val="0"/>
        <w:spacing w:line="360" w:lineRule="auto"/>
        <w:jc w:val="center"/>
        <w:outlineLvl w:val="3"/>
        <w:rPr>
          <w:rFonts w:ascii="宋体" w:hAnsi="宋体"/>
          <w:b/>
          <w:bCs/>
          <w:sz w:val="24"/>
          <w:szCs w:val="24"/>
        </w:rPr>
      </w:pPr>
      <w:r>
        <w:rPr>
          <w:rFonts w:hint="eastAsia" w:ascii="宋体" w:hAnsi="宋体"/>
          <w:b/>
          <w:bCs/>
          <w:sz w:val="24"/>
          <w:szCs w:val="24"/>
        </w:rPr>
        <w:t>3.</w:t>
      </w:r>
      <w:r>
        <w:rPr>
          <w:rFonts w:hint="eastAsia" w:ascii="宋体" w:hAnsi="宋体"/>
          <w:b/>
          <w:bCs/>
          <w:sz w:val="24"/>
          <w:szCs w:val="24"/>
          <w:lang w:val="en-US" w:eastAsia="zh-CN"/>
        </w:rPr>
        <w:t>10</w:t>
      </w:r>
      <w:r>
        <w:rPr>
          <w:rFonts w:hint="eastAsia" w:ascii="宋体" w:hAnsi="宋体"/>
          <w:b/>
          <w:bCs/>
          <w:sz w:val="24"/>
          <w:szCs w:val="24"/>
        </w:rPr>
        <w:t xml:space="preserve"> 其他资格证书或材料 </w:t>
      </w:r>
    </w:p>
    <w:p w14:paraId="7527EF5F">
      <w:pPr>
        <w:autoSpaceDE w:val="0"/>
        <w:autoSpaceDN w:val="0"/>
        <w:adjustRightInd w:val="0"/>
        <w:spacing w:line="360" w:lineRule="auto"/>
        <w:jc w:val="center"/>
        <w:outlineLvl w:val="9"/>
        <w:rPr>
          <w:rFonts w:hAnsi="宋体" w:eastAsia="宋体"/>
          <w:b/>
          <w:snapToGrid w:val="0"/>
          <w:kern w:val="0"/>
          <w:sz w:val="36"/>
          <w:szCs w:val="36"/>
        </w:rPr>
      </w:pPr>
    </w:p>
    <w:p w14:paraId="0081ED68">
      <w:pPr>
        <w:autoSpaceDE w:val="0"/>
        <w:autoSpaceDN w:val="0"/>
        <w:adjustRightInd w:val="0"/>
        <w:spacing w:line="360" w:lineRule="auto"/>
        <w:jc w:val="center"/>
        <w:outlineLvl w:val="9"/>
        <w:rPr>
          <w:rFonts w:hAnsi="宋体" w:eastAsia="宋体"/>
          <w:b/>
          <w:snapToGrid w:val="0"/>
          <w:kern w:val="0"/>
          <w:sz w:val="36"/>
          <w:szCs w:val="36"/>
        </w:rPr>
      </w:pPr>
    </w:p>
    <w:p w14:paraId="0567C16F">
      <w:pPr>
        <w:autoSpaceDE w:val="0"/>
        <w:autoSpaceDN w:val="0"/>
        <w:adjustRightInd w:val="0"/>
        <w:spacing w:line="360" w:lineRule="auto"/>
        <w:jc w:val="center"/>
        <w:outlineLvl w:val="9"/>
        <w:rPr>
          <w:rFonts w:hAnsi="宋体" w:eastAsia="宋体"/>
          <w:b/>
          <w:snapToGrid w:val="0"/>
          <w:kern w:val="0"/>
          <w:sz w:val="36"/>
          <w:szCs w:val="36"/>
        </w:rPr>
      </w:pPr>
    </w:p>
    <w:p w14:paraId="00B11291">
      <w:pPr>
        <w:autoSpaceDE w:val="0"/>
        <w:autoSpaceDN w:val="0"/>
        <w:adjustRightInd w:val="0"/>
        <w:spacing w:line="360" w:lineRule="auto"/>
        <w:jc w:val="center"/>
        <w:outlineLvl w:val="9"/>
        <w:rPr>
          <w:rFonts w:hAnsi="宋体" w:eastAsia="宋体"/>
          <w:b/>
          <w:snapToGrid w:val="0"/>
          <w:kern w:val="0"/>
          <w:sz w:val="36"/>
          <w:szCs w:val="36"/>
        </w:rPr>
      </w:pPr>
    </w:p>
    <w:p w14:paraId="3AE91A23">
      <w:pPr>
        <w:autoSpaceDE w:val="0"/>
        <w:autoSpaceDN w:val="0"/>
        <w:adjustRightInd w:val="0"/>
        <w:spacing w:line="360" w:lineRule="auto"/>
        <w:jc w:val="center"/>
        <w:rPr>
          <w:rFonts w:cs="黑体" w:asciiTheme="minorEastAsia" w:hAnsiTheme="minorEastAsia"/>
          <w:b/>
          <w:bCs/>
          <w:sz w:val="44"/>
          <w:szCs w:val="44"/>
          <w:lang w:val="zh-CN"/>
        </w:rPr>
      </w:pPr>
    </w:p>
    <w:p w14:paraId="763260BB">
      <w:pPr>
        <w:autoSpaceDE w:val="0"/>
        <w:autoSpaceDN w:val="0"/>
        <w:adjustRightInd w:val="0"/>
        <w:spacing w:line="360" w:lineRule="auto"/>
        <w:jc w:val="center"/>
        <w:rPr>
          <w:rFonts w:cs="黑体" w:asciiTheme="minorEastAsia" w:hAnsiTheme="minorEastAsia"/>
          <w:b/>
          <w:bCs/>
          <w:sz w:val="44"/>
          <w:szCs w:val="44"/>
          <w:lang w:val="zh-CN"/>
        </w:rPr>
      </w:pPr>
    </w:p>
    <w:p w14:paraId="0024B6F5">
      <w:pPr>
        <w:autoSpaceDE w:val="0"/>
        <w:autoSpaceDN w:val="0"/>
        <w:adjustRightInd w:val="0"/>
        <w:spacing w:line="360" w:lineRule="auto"/>
        <w:jc w:val="center"/>
        <w:rPr>
          <w:rFonts w:cs="黑体" w:asciiTheme="minorEastAsia" w:hAnsiTheme="minorEastAsia"/>
          <w:b/>
          <w:bCs/>
          <w:sz w:val="44"/>
          <w:szCs w:val="44"/>
          <w:lang w:val="zh-CN"/>
        </w:rPr>
      </w:pPr>
    </w:p>
    <w:p w14:paraId="689196D9">
      <w:pPr>
        <w:autoSpaceDE w:val="0"/>
        <w:autoSpaceDN w:val="0"/>
        <w:adjustRightInd w:val="0"/>
        <w:spacing w:line="360" w:lineRule="auto"/>
        <w:jc w:val="center"/>
        <w:rPr>
          <w:rFonts w:cs="黑体" w:asciiTheme="minorEastAsia" w:hAnsiTheme="minorEastAsia"/>
          <w:b/>
          <w:bCs/>
          <w:sz w:val="44"/>
          <w:szCs w:val="44"/>
          <w:lang w:val="zh-CN"/>
        </w:rPr>
      </w:pPr>
    </w:p>
    <w:p w14:paraId="59AD0BAA">
      <w:pPr>
        <w:autoSpaceDE w:val="0"/>
        <w:autoSpaceDN w:val="0"/>
        <w:adjustRightInd w:val="0"/>
        <w:spacing w:line="360" w:lineRule="auto"/>
        <w:jc w:val="center"/>
        <w:rPr>
          <w:rFonts w:cs="黑体" w:asciiTheme="minorEastAsia" w:hAnsiTheme="minorEastAsia"/>
          <w:b/>
          <w:bCs/>
          <w:sz w:val="44"/>
          <w:szCs w:val="44"/>
          <w:lang w:val="zh-CN"/>
        </w:rPr>
      </w:pPr>
    </w:p>
    <w:p w14:paraId="7AD72A70">
      <w:pPr>
        <w:autoSpaceDE w:val="0"/>
        <w:autoSpaceDN w:val="0"/>
        <w:adjustRightInd w:val="0"/>
        <w:spacing w:line="360" w:lineRule="auto"/>
        <w:jc w:val="center"/>
        <w:rPr>
          <w:rFonts w:cs="黑体" w:asciiTheme="minorEastAsia" w:hAnsiTheme="minorEastAsia"/>
          <w:b/>
          <w:bCs/>
          <w:sz w:val="44"/>
          <w:szCs w:val="44"/>
          <w:lang w:val="zh-CN"/>
        </w:rPr>
      </w:pPr>
    </w:p>
    <w:p w14:paraId="32CC1D89">
      <w:pPr>
        <w:autoSpaceDE w:val="0"/>
        <w:autoSpaceDN w:val="0"/>
        <w:adjustRightInd w:val="0"/>
        <w:spacing w:line="360" w:lineRule="auto"/>
        <w:jc w:val="center"/>
        <w:outlineLvl w:val="9"/>
        <w:rPr>
          <w:rFonts w:hAnsi="宋体" w:eastAsia="宋体"/>
          <w:b/>
          <w:snapToGrid w:val="0"/>
          <w:kern w:val="0"/>
          <w:sz w:val="36"/>
          <w:szCs w:val="36"/>
        </w:rPr>
      </w:pPr>
    </w:p>
    <w:p w14:paraId="42B5D01B">
      <w:pPr>
        <w:autoSpaceDE w:val="0"/>
        <w:autoSpaceDN w:val="0"/>
        <w:adjustRightInd w:val="0"/>
        <w:spacing w:line="360" w:lineRule="auto"/>
        <w:jc w:val="center"/>
        <w:outlineLvl w:val="9"/>
        <w:rPr>
          <w:rFonts w:hAnsi="宋体" w:eastAsia="宋体"/>
          <w:b/>
          <w:snapToGrid w:val="0"/>
          <w:kern w:val="0"/>
          <w:sz w:val="36"/>
          <w:szCs w:val="36"/>
        </w:rPr>
      </w:pPr>
    </w:p>
    <w:p w14:paraId="49CDC28B">
      <w:pPr>
        <w:autoSpaceDE w:val="0"/>
        <w:autoSpaceDN w:val="0"/>
        <w:adjustRightInd w:val="0"/>
        <w:spacing w:line="360" w:lineRule="auto"/>
        <w:jc w:val="center"/>
        <w:outlineLvl w:val="9"/>
        <w:rPr>
          <w:rFonts w:hAnsi="宋体" w:eastAsia="宋体"/>
          <w:b/>
          <w:snapToGrid w:val="0"/>
          <w:kern w:val="0"/>
          <w:sz w:val="36"/>
          <w:szCs w:val="36"/>
        </w:rPr>
      </w:pPr>
    </w:p>
    <w:p w14:paraId="3C8E0332">
      <w:pPr>
        <w:autoSpaceDE w:val="0"/>
        <w:autoSpaceDN w:val="0"/>
        <w:adjustRightInd w:val="0"/>
        <w:spacing w:line="360" w:lineRule="auto"/>
        <w:jc w:val="center"/>
        <w:rPr>
          <w:rFonts w:cs="黑体" w:asciiTheme="minorEastAsia" w:hAnsiTheme="minorEastAsia"/>
          <w:b/>
          <w:bCs/>
          <w:sz w:val="44"/>
          <w:szCs w:val="44"/>
          <w:lang w:val="zh-CN"/>
        </w:rPr>
      </w:pPr>
    </w:p>
    <w:p w14:paraId="14248035">
      <w:pPr>
        <w:autoSpaceDE w:val="0"/>
        <w:autoSpaceDN w:val="0"/>
        <w:adjustRightInd w:val="0"/>
        <w:spacing w:line="360" w:lineRule="auto"/>
        <w:jc w:val="center"/>
        <w:rPr>
          <w:rFonts w:cs="黑体" w:asciiTheme="minorEastAsia" w:hAnsiTheme="minorEastAsia"/>
          <w:b/>
          <w:bCs/>
          <w:sz w:val="44"/>
          <w:szCs w:val="44"/>
          <w:lang w:val="zh-CN"/>
        </w:rPr>
      </w:pPr>
    </w:p>
    <w:p w14:paraId="109254A0">
      <w:pPr>
        <w:autoSpaceDE w:val="0"/>
        <w:autoSpaceDN w:val="0"/>
        <w:adjustRightInd w:val="0"/>
        <w:spacing w:line="360" w:lineRule="auto"/>
        <w:jc w:val="center"/>
        <w:rPr>
          <w:rFonts w:cs="黑体" w:asciiTheme="minorEastAsia" w:hAnsiTheme="minorEastAsia"/>
          <w:b/>
          <w:bCs/>
          <w:sz w:val="44"/>
          <w:szCs w:val="44"/>
          <w:lang w:val="zh-CN"/>
        </w:rPr>
      </w:pPr>
    </w:p>
    <w:p w14:paraId="5291B93B">
      <w:pPr>
        <w:autoSpaceDE w:val="0"/>
        <w:autoSpaceDN w:val="0"/>
        <w:adjustRightInd w:val="0"/>
        <w:spacing w:line="360" w:lineRule="auto"/>
        <w:jc w:val="center"/>
        <w:rPr>
          <w:rFonts w:cs="黑体" w:asciiTheme="minorEastAsia" w:hAnsiTheme="minorEastAsia"/>
          <w:b/>
          <w:bCs/>
          <w:sz w:val="44"/>
          <w:szCs w:val="44"/>
          <w:lang w:val="zh-CN"/>
        </w:rPr>
      </w:pPr>
    </w:p>
    <w:p w14:paraId="1CB4C627">
      <w:pPr>
        <w:autoSpaceDE w:val="0"/>
        <w:autoSpaceDN w:val="0"/>
        <w:adjustRightInd w:val="0"/>
        <w:spacing w:line="360" w:lineRule="auto"/>
        <w:jc w:val="center"/>
        <w:rPr>
          <w:rFonts w:cs="黑体" w:asciiTheme="minorEastAsia" w:hAnsiTheme="minorEastAsia"/>
          <w:b/>
          <w:bCs/>
          <w:sz w:val="44"/>
          <w:szCs w:val="44"/>
          <w:lang w:val="zh-CN"/>
        </w:rPr>
      </w:pPr>
    </w:p>
    <w:p w14:paraId="4F73F088">
      <w:pPr>
        <w:autoSpaceDE w:val="0"/>
        <w:autoSpaceDN w:val="0"/>
        <w:adjustRightInd w:val="0"/>
        <w:spacing w:line="360" w:lineRule="auto"/>
        <w:rPr>
          <w:rFonts w:cs="黑体" w:asciiTheme="minorEastAsia" w:hAnsiTheme="minorEastAsia"/>
          <w:b/>
          <w:bCs/>
          <w:sz w:val="44"/>
          <w:szCs w:val="44"/>
          <w:lang w:val="zh-CN"/>
        </w:rPr>
      </w:pPr>
    </w:p>
    <w:p w14:paraId="28CEBC53">
      <w:pPr>
        <w:widowControl/>
        <w:ind w:firstLine="2389" w:firstLineChars="850"/>
        <w:outlineLvl w:val="1"/>
        <w:rPr>
          <w:rFonts w:cs="黑体" w:asciiTheme="minorEastAsia" w:hAnsiTheme="minorEastAsia"/>
          <w:b/>
          <w:bCs/>
          <w:sz w:val="28"/>
          <w:szCs w:val="28"/>
          <w:lang w:val="zh-CN"/>
        </w:rPr>
      </w:pPr>
      <w:r>
        <w:rPr>
          <w:rFonts w:hint="eastAsia" w:cs="黑体" w:asciiTheme="minorEastAsia" w:hAnsiTheme="minorEastAsia"/>
          <w:b/>
          <w:bCs/>
          <w:sz w:val="28"/>
          <w:szCs w:val="28"/>
          <w:lang w:val="zh-CN"/>
        </w:rPr>
        <w:t>四、</w:t>
      </w:r>
      <w:r>
        <w:rPr>
          <w:rFonts w:hint="eastAsia" w:cs="黑体" w:asciiTheme="minorEastAsia" w:hAnsiTheme="minorEastAsia"/>
          <w:b/>
          <w:bCs/>
          <w:sz w:val="28"/>
          <w:szCs w:val="28"/>
          <w:lang w:val="en-US" w:eastAsia="zh-CN"/>
        </w:rPr>
        <w:t>符合性</w:t>
      </w:r>
      <w:r>
        <w:rPr>
          <w:rFonts w:hint="eastAsia" w:cs="黑体" w:asciiTheme="minorEastAsia" w:hAnsiTheme="minorEastAsia"/>
          <w:b/>
          <w:bCs/>
          <w:sz w:val="28"/>
          <w:szCs w:val="28"/>
          <w:lang w:val="zh-CN"/>
        </w:rPr>
        <w:t>审查相关材料</w:t>
      </w:r>
    </w:p>
    <w:p w14:paraId="2834FAEB">
      <w:pPr>
        <w:autoSpaceDE w:val="0"/>
        <w:autoSpaceDN w:val="0"/>
        <w:adjustRightInd w:val="0"/>
        <w:spacing w:line="360" w:lineRule="auto"/>
        <w:jc w:val="center"/>
        <w:outlineLvl w:val="9"/>
        <w:rPr>
          <w:rFonts w:hAnsi="宋体" w:eastAsia="宋体"/>
          <w:b/>
          <w:snapToGrid w:val="0"/>
          <w:kern w:val="0"/>
          <w:sz w:val="36"/>
          <w:szCs w:val="36"/>
        </w:rPr>
      </w:pPr>
    </w:p>
    <w:p w14:paraId="75300C62">
      <w:pPr>
        <w:autoSpaceDE w:val="0"/>
        <w:autoSpaceDN w:val="0"/>
        <w:adjustRightInd w:val="0"/>
        <w:spacing w:line="360" w:lineRule="auto"/>
        <w:jc w:val="center"/>
        <w:outlineLvl w:val="2"/>
        <w:rPr>
          <w:rFonts w:ascii="宋体" w:hAnsi="宋体"/>
          <w:b/>
          <w:bCs/>
          <w:sz w:val="24"/>
          <w:szCs w:val="24"/>
        </w:rPr>
      </w:pPr>
      <w:r>
        <w:rPr>
          <w:rFonts w:hint="eastAsia" w:ascii="宋体" w:hAnsi="宋体"/>
          <w:b/>
          <w:bCs/>
          <w:sz w:val="24"/>
          <w:szCs w:val="24"/>
        </w:rPr>
        <w:t>4.1 投标分项报价表</w:t>
      </w:r>
    </w:p>
    <w:p w14:paraId="282C66A0">
      <w:pPr>
        <w:spacing w:before="50" w:afterLines="50" w:line="360" w:lineRule="auto"/>
        <w:contextualSpacing/>
        <w:jc w:val="left"/>
        <w:rPr>
          <w:rFonts w:asciiTheme="minorEastAsia" w:hAnsiTheme="minorEastAsia"/>
          <w:szCs w:val="21"/>
        </w:rPr>
      </w:pPr>
      <w:r>
        <w:rPr>
          <w:rFonts w:hint="eastAsia" w:asciiTheme="minorEastAsia" w:hAnsiTheme="minorEastAsia"/>
          <w:szCs w:val="21"/>
        </w:rPr>
        <w:t>采购编号：</w:t>
      </w:r>
    </w:p>
    <w:p w14:paraId="0D2300F9">
      <w:pPr>
        <w:autoSpaceDE w:val="0"/>
        <w:autoSpaceDN w:val="0"/>
        <w:adjustRightInd w:val="0"/>
        <w:spacing w:line="360" w:lineRule="auto"/>
        <w:outlineLvl w:val="3"/>
        <w:rPr>
          <w:rFonts w:hAnsi="宋体" w:eastAsia="宋体"/>
          <w:b/>
          <w:snapToGrid w:val="0"/>
          <w:kern w:val="0"/>
          <w:szCs w:val="21"/>
        </w:rPr>
      </w:pPr>
      <w:r>
        <w:rPr>
          <w:rFonts w:hint="eastAsia" w:asciiTheme="minorEastAsia" w:hAnsiTheme="minorEastAsia"/>
          <w:szCs w:val="21"/>
        </w:rPr>
        <w:t xml:space="preserve">项目名称：   </w:t>
      </w:r>
    </w:p>
    <w:tbl>
      <w:tblPr>
        <w:tblStyle w:val="24"/>
        <w:tblW w:w="9400" w:type="dxa"/>
        <w:tblInd w:w="0" w:type="dxa"/>
        <w:tblLayout w:type="fixed"/>
        <w:tblCellMar>
          <w:top w:w="0" w:type="dxa"/>
          <w:left w:w="108" w:type="dxa"/>
          <w:bottom w:w="0" w:type="dxa"/>
          <w:right w:w="108" w:type="dxa"/>
        </w:tblCellMar>
      </w:tblPr>
      <w:tblGrid>
        <w:gridCol w:w="534"/>
        <w:gridCol w:w="1134"/>
        <w:gridCol w:w="1500"/>
        <w:gridCol w:w="1260"/>
        <w:gridCol w:w="642"/>
        <w:gridCol w:w="992"/>
        <w:gridCol w:w="1066"/>
        <w:gridCol w:w="1080"/>
        <w:gridCol w:w="1192"/>
      </w:tblGrid>
      <w:tr w14:paraId="4758077E">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76CA0753">
            <w:pPr>
              <w:autoSpaceDE w:val="0"/>
              <w:autoSpaceDN w:val="0"/>
              <w:adjustRightInd w:val="0"/>
              <w:spacing w:line="280" w:lineRule="exact"/>
              <w:jc w:val="center"/>
              <w:rPr>
                <w:rFonts w:cs="宋体" w:asciiTheme="minorEastAsia" w:hAnsiTheme="minorEastAsia"/>
                <w:b/>
                <w:szCs w:val="21"/>
                <w:lang w:val="zh-CN"/>
              </w:rPr>
            </w:pPr>
            <w:r>
              <w:rPr>
                <w:rFonts w:hint="eastAsia" w:cs="宋体" w:asciiTheme="minorEastAsia" w:hAnsiTheme="minorEastAsia"/>
                <w:b/>
                <w:szCs w:val="21"/>
                <w:lang w:val="zh-CN"/>
              </w:rPr>
              <w:t>序号</w:t>
            </w:r>
          </w:p>
        </w:tc>
        <w:tc>
          <w:tcPr>
            <w:tcW w:w="1134"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240BD5FA">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名称</w:t>
            </w:r>
          </w:p>
        </w:tc>
        <w:tc>
          <w:tcPr>
            <w:tcW w:w="150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0FF4C340">
            <w:pPr>
              <w:autoSpaceDE w:val="0"/>
              <w:autoSpaceDN w:val="0"/>
              <w:adjustRightInd w:val="0"/>
              <w:spacing w:line="360" w:lineRule="auto"/>
              <w:ind w:firstLine="120"/>
              <w:jc w:val="center"/>
              <w:rPr>
                <w:rFonts w:cs="宋体" w:asciiTheme="minorEastAsia" w:hAnsiTheme="minorEastAsia"/>
                <w:b/>
                <w:szCs w:val="21"/>
                <w:lang w:val="zh-CN"/>
              </w:rPr>
            </w:pPr>
            <w:r>
              <w:rPr>
                <w:rFonts w:hint="eastAsia" w:cs="宋体" w:asciiTheme="minorEastAsia" w:hAnsiTheme="minorEastAsia"/>
                <w:b/>
                <w:szCs w:val="21"/>
                <w:lang w:val="zh-CN"/>
              </w:rPr>
              <w:t>品牌</w:t>
            </w:r>
          </w:p>
          <w:p w14:paraId="5A43ADCD">
            <w:pPr>
              <w:autoSpaceDE w:val="0"/>
              <w:autoSpaceDN w:val="0"/>
              <w:adjustRightInd w:val="0"/>
              <w:spacing w:line="360" w:lineRule="auto"/>
              <w:ind w:firstLine="120"/>
              <w:jc w:val="center"/>
              <w:rPr>
                <w:rFonts w:cs="宋体" w:asciiTheme="minorEastAsia" w:hAnsiTheme="minorEastAsia"/>
                <w:b/>
                <w:szCs w:val="21"/>
                <w:lang w:val="zh-CN"/>
              </w:rPr>
            </w:pPr>
            <w:r>
              <w:rPr>
                <w:rFonts w:hint="eastAsia" w:cs="宋体" w:asciiTheme="minorEastAsia" w:hAnsiTheme="minorEastAsia"/>
                <w:b/>
                <w:szCs w:val="21"/>
                <w:lang w:val="zh-CN"/>
              </w:rPr>
              <w:t>规格型号</w:t>
            </w:r>
          </w:p>
        </w:tc>
        <w:tc>
          <w:tcPr>
            <w:tcW w:w="126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506DFCAC">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技术</w:t>
            </w:r>
          </w:p>
          <w:p w14:paraId="7E14B373">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参数</w:t>
            </w:r>
          </w:p>
        </w:tc>
        <w:tc>
          <w:tcPr>
            <w:tcW w:w="642"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4904B0B9">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单位</w:t>
            </w:r>
          </w:p>
        </w:tc>
        <w:tc>
          <w:tcPr>
            <w:tcW w:w="992"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120F3CF6">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数量</w:t>
            </w:r>
          </w:p>
        </w:tc>
        <w:tc>
          <w:tcPr>
            <w:tcW w:w="1066"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0145E0F0">
            <w:pPr>
              <w:autoSpaceDE w:val="0"/>
              <w:autoSpaceDN w:val="0"/>
              <w:adjustRightInd w:val="0"/>
              <w:spacing w:line="360" w:lineRule="auto"/>
              <w:jc w:val="center"/>
              <w:rPr>
                <w:rFonts w:cs="宋体" w:asciiTheme="minorEastAsia" w:hAnsiTheme="minorEastAsia"/>
                <w:b/>
                <w:szCs w:val="21"/>
                <w:lang w:val="zh-CN"/>
              </w:rPr>
            </w:pPr>
            <w:r>
              <w:rPr>
                <w:rFonts w:hint="eastAsia" w:cs="宋体" w:asciiTheme="minorEastAsia" w:hAnsiTheme="minorEastAsia"/>
                <w:b/>
                <w:szCs w:val="21"/>
                <w:lang w:val="zh-CN"/>
              </w:rPr>
              <w:t>单价</w:t>
            </w:r>
          </w:p>
        </w:tc>
        <w:tc>
          <w:tcPr>
            <w:tcW w:w="108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38925DC4">
            <w:pPr>
              <w:autoSpaceDE w:val="0"/>
              <w:autoSpaceDN w:val="0"/>
              <w:adjustRightInd w:val="0"/>
              <w:spacing w:line="360" w:lineRule="auto"/>
              <w:ind w:firstLine="120"/>
              <w:jc w:val="center"/>
              <w:rPr>
                <w:rFonts w:cs="宋体" w:asciiTheme="minorEastAsia" w:hAnsiTheme="minorEastAsia"/>
                <w:b/>
                <w:szCs w:val="21"/>
                <w:lang w:val="zh-CN"/>
              </w:rPr>
            </w:pPr>
            <w:r>
              <w:rPr>
                <w:rFonts w:hint="eastAsia" w:cs="宋体" w:asciiTheme="minorEastAsia" w:hAnsiTheme="minorEastAsia"/>
                <w:b/>
                <w:szCs w:val="21"/>
                <w:lang w:val="zh-CN"/>
              </w:rPr>
              <w:t>总价</w:t>
            </w:r>
          </w:p>
        </w:tc>
        <w:tc>
          <w:tcPr>
            <w:tcW w:w="1192"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52CF6A3D">
            <w:pPr>
              <w:autoSpaceDE w:val="0"/>
              <w:autoSpaceDN w:val="0"/>
              <w:adjustRightInd w:val="0"/>
              <w:spacing w:line="360" w:lineRule="auto"/>
              <w:ind w:left="120" w:hanging="120"/>
              <w:jc w:val="center"/>
              <w:rPr>
                <w:rFonts w:cs="宋体" w:asciiTheme="minorEastAsia" w:hAnsiTheme="minorEastAsia"/>
                <w:b/>
                <w:szCs w:val="21"/>
                <w:lang w:val="zh-CN"/>
              </w:rPr>
            </w:pPr>
            <w:r>
              <w:rPr>
                <w:rFonts w:hint="eastAsia" w:cs="宋体" w:asciiTheme="minorEastAsia" w:hAnsiTheme="minorEastAsia"/>
                <w:b/>
                <w:szCs w:val="21"/>
                <w:lang w:val="zh-CN"/>
              </w:rPr>
              <w:t>厂家</w:t>
            </w:r>
          </w:p>
        </w:tc>
      </w:tr>
      <w:tr w14:paraId="149E5360">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14:paraId="6165B6C0">
            <w:pPr>
              <w:autoSpaceDE w:val="0"/>
              <w:autoSpaceDN w:val="0"/>
              <w:adjustRightInd w:val="0"/>
              <w:spacing w:line="480" w:lineRule="exact"/>
              <w:jc w:val="center"/>
              <w:rPr>
                <w:rFonts w:asciiTheme="minorEastAsia" w:hAnsiTheme="minorEastAsia"/>
                <w:szCs w:val="21"/>
              </w:rPr>
            </w:pPr>
            <w:r>
              <w:rPr>
                <w:rFonts w:hint="eastAsia" w:asciiTheme="minorEastAsia" w:hAnsiTheme="minorEastAsia"/>
                <w:szCs w:val="21"/>
              </w:rPr>
              <w:t>1</w:t>
            </w:r>
          </w:p>
        </w:tc>
        <w:tc>
          <w:tcPr>
            <w:tcW w:w="1134" w:type="dxa"/>
            <w:tcBorders>
              <w:top w:val="single" w:color="auto" w:sz="6" w:space="0"/>
              <w:left w:val="single" w:color="auto" w:sz="6" w:space="0"/>
              <w:bottom w:val="single" w:color="auto" w:sz="6" w:space="0"/>
              <w:right w:val="single" w:color="auto" w:sz="6" w:space="0"/>
            </w:tcBorders>
          </w:tcPr>
          <w:p w14:paraId="18A7A9AD">
            <w:pPr>
              <w:autoSpaceDE w:val="0"/>
              <w:autoSpaceDN w:val="0"/>
              <w:adjustRightInd w:val="0"/>
              <w:spacing w:line="360" w:lineRule="auto"/>
              <w:rPr>
                <w:rFonts w:asciiTheme="minorEastAsia" w:hAnsiTheme="minorEastAsia"/>
                <w:szCs w:val="21"/>
              </w:rPr>
            </w:pPr>
          </w:p>
        </w:tc>
        <w:tc>
          <w:tcPr>
            <w:tcW w:w="1500" w:type="dxa"/>
            <w:tcBorders>
              <w:top w:val="single" w:color="auto" w:sz="6" w:space="0"/>
              <w:left w:val="single" w:color="auto" w:sz="6" w:space="0"/>
              <w:bottom w:val="single" w:color="auto" w:sz="6" w:space="0"/>
              <w:right w:val="single" w:color="auto" w:sz="6" w:space="0"/>
            </w:tcBorders>
          </w:tcPr>
          <w:p w14:paraId="532466CC">
            <w:pPr>
              <w:autoSpaceDE w:val="0"/>
              <w:autoSpaceDN w:val="0"/>
              <w:adjustRightInd w:val="0"/>
              <w:spacing w:line="360" w:lineRule="auto"/>
              <w:rPr>
                <w:rFonts w:asciiTheme="minorEastAsia" w:hAnsiTheme="minorEastAsia"/>
                <w:szCs w:val="21"/>
              </w:rPr>
            </w:pPr>
          </w:p>
        </w:tc>
        <w:tc>
          <w:tcPr>
            <w:tcW w:w="1260" w:type="dxa"/>
            <w:tcBorders>
              <w:top w:val="single" w:color="auto" w:sz="6" w:space="0"/>
              <w:left w:val="single" w:color="auto" w:sz="6" w:space="0"/>
              <w:bottom w:val="single" w:color="auto" w:sz="6" w:space="0"/>
              <w:right w:val="single" w:color="auto" w:sz="6" w:space="0"/>
            </w:tcBorders>
          </w:tcPr>
          <w:p w14:paraId="3ABF7336">
            <w:pPr>
              <w:autoSpaceDE w:val="0"/>
              <w:autoSpaceDN w:val="0"/>
              <w:adjustRightInd w:val="0"/>
              <w:spacing w:line="360" w:lineRule="auto"/>
              <w:rPr>
                <w:rFonts w:asciiTheme="minorEastAsia" w:hAnsiTheme="minorEastAsia"/>
                <w:szCs w:val="21"/>
              </w:rPr>
            </w:pPr>
          </w:p>
        </w:tc>
        <w:tc>
          <w:tcPr>
            <w:tcW w:w="642" w:type="dxa"/>
            <w:tcBorders>
              <w:top w:val="single" w:color="auto" w:sz="6" w:space="0"/>
              <w:left w:val="single" w:color="auto" w:sz="6" w:space="0"/>
              <w:bottom w:val="single" w:color="auto" w:sz="6" w:space="0"/>
              <w:right w:val="single" w:color="auto" w:sz="6" w:space="0"/>
            </w:tcBorders>
          </w:tcPr>
          <w:p w14:paraId="51FAE9C9">
            <w:pPr>
              <w:autoSpaceDE w:val="0"/>
              <w:autoSpaceDN w:val="0"/>
              <w:adjustRightInd w:val="0"/>
              <w:spacing w:line="360" w:lineRule="auto"/>
              <w:rPr>
                <w:rFonts w:asciiTheme="minorEastAsia" w:hAnsiTheme="minorEastAsia"/>
                <w:szCs w:val="21"/>
              </w:rPr>
            </w:pPr>
          </w:p>
        </w:tc>
        <w:tc>
          <w:tcPr>
            <w:tcW w:w="992" w:type="dxa"/>
            <w:tcBorders>
              <w:top w:val="single" w:color="auto" w:sz="6" w:space="0"/>
              <w:left w:val="single" w:color="auto" w:sz="6" w:space="0"/>
              <w:bottom w:val="single" w:color="auto" w:sz="6" w:space="0"/>
              <w:right w:val="single" w:color="auto" w:sz="6" w:space="0"/>
            </w:tcBorders>
          </w:tcPr>
          <w:p w14:paraId="4051ABE0">
            <w:pPr>
              <w:autoSpaceDE w:val="0"/>
              <w:autoSpaceDN w:val="0"/>
              <w:adjustRightInd w:val="0"/>
              <w:spacing w:line="360" w:lineRule="auto"/>
              <w:rPr>
                <w:rFonts w:asciiTheme="minorEastAsia" w:hAnsiTheme="minorEastAsia"/>
                <w:szCs w:val="21"/>
              </w:rPr>
            </w:pPr>
          </w:p>
        </w:tc>
        <w:tc>
          <w:tcPr>
            <w:tcW w:w="1066" w:type="dxa"/>
            <w:tcBorders>
              <w:top w:val="single" w:color="auto" w:sz="6" w:space="0"/>
              <w:left w:val="single" w:color="auto" w:sz="6" w:space="0"/>
              <w:bottom w:val="single" w:color="auto" w:sz="6" w:space="0"/>
              <w:right w:val="single" w:color="auto" w:sz="6" w:space="0"/>
            </w:tcBorders>
          </w:tcPr>
          <w:p w14:paraId="0895520A">
            <w:pPr>
              <w:autoSpaceDE w:val="0"/>
              <w:autoSpaceDN w:val="0"/>
              <w:adjustRightInd w:val="0"/>
              <w:spacing w:line="360" w:lineRule="auto"/>
              <w:rPr>
                <w:rFonts w:asciiTheme="minorEastAsia" w:hAnsiTheme="minorEastAsia"/>
                <w:szCs w:val="21"/>
              </w:rPr>
            </w:pPr>
          </w:p>
        </w:tc>
        <w:tc>
          <w:tcPr>
            <w:tcW w:w="1080" w:type="dxa"/>
            <w:tcBorders>
              <w:top w:val="single" w:color="auto" w:sz="6" w:space="0"/>
              <w:left w:val="single" w:color="auto" w:sz="6" w:space="0"/>
              <w:bottom w:val="single" w:color="auto" w:sz="6" w:space="0"/>
              <w:right w:val="single" w:color="auto" w:sz="6" w:space="0"/>
            </w:tcBorders>
          </w:tcPr>
          <w:p w14:paraId="3AF028A8">
            <w:pPr>
              <w:autoSpaceDE w:val="0"/>
              <w:autoSpaceDN w:val="0"/>
              <w:adjustRightInd w:val="0"/>
              <w:spacing w:line="360" w:lineRule="auto"/>
              <w:rPr>
                <w:rFonts w:asciiTheme="minorEastAsia" w:hAnsiTheme="minorEastAsia"/>
                <w:szCs w:val="21"/>
              </w:rPr>
            </w:pPr>
          </w:p>
        </w:tc>
        <w:tc>
          <w:tcPr>
            <w:tcW w:w="1192" w:type="dxa"/>
            <w:tcBorders>
              <w:top w:val="single" w:color="auto" w:sz="6" w:space="0"/>
              <w:left w:val="single" w:color="auto" w:sz="6" w:space="0"/>
              <w:bottom w:val="single" w:color="auto" w:sz="6" w:space="0"/>
              <w:right w:val="single" w:color="auto" w:sz="6" w:space="0"/>
            </w:tcBorders>
          </w:tcPr>
          <w:p w14:paraId="66D88CBD">
            <w:pPr>
              <w:autoSpaceDE w:val="0"/>
              <w:autoSpaceDN w:val="0"/>
              <w:adjustRightInd w:val="0"/>
              <w:spacing w:line="360" w:lineRule="auto"/>
              <w:rPr>
                <w:rFonts w:asciiTheme="minorEastAsia" w:hAnsiTheme="minorEastAsia"/>
                <w:szCs w:val="21"/>
              </w:rPr>
            </w:pPr>
          </w:p>
        </w:tc>
      </w:tr>
      <w:tr w14:paraId="7D778426">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14:paraId="00D1EFAC">
            <w:pPr>
              <w:autoSpaceDE w:val="0"/>
              <w:autoSpaceDN w:val="0"/>
              <w:adjustRightInd w:val="0"/>
              <w:spacing w:line="480" w:lineRule="exact"/>
              <w:jc w:val="center"/>
              <w:rPr>
                <w:rFonts w:asciiTheme="minorEastAsia" w:hAnsiTheme="minorEastAsia"/>
                <w:szCs w:val="21"/>
              </w:rPr>
            </w:pPr>
            <w:r>
              <w:rPr>
                <w:rFonts w:hint="eastAsia" w:asciiTheme="minorEastAsia" w:hAnsiTheme="minorEastAsia"/>
                <w:szCs w:val="21"/>
              </w:rPr>
              <w:t>2</w:t>
            </w:r>
          </w:p>
        </w:tc>
        <w:tc>
          <w:tcPr>
            <w:tcW w:w="1134" w:type="dxa"/>
            <w:tcBorders>
              <w:top w:val="single" w:color="auto" w:sz="6" w:space="0"/>
              <w:left w:val="single" w:color="auto" w:sz="6" w:space="0"/>
              <w:bottom w:val="single" w:color="auto" w:sz="6" w:space="0"/>
              <w:right w:val="single" w:color="auto" w:sz="6" w:space="0"/>
            </w:tcBorders>
          </w:tcPr>
          <w:p w14:paraId="1F254D24">
            <w:pPr>
              <w:autoSpaceDE w:val="0"/>
              <w:autoSpaceDN w:val="0"/>
              <w:adjustRightInd w:val="0"/>
              <w:spacing w:line="360" w:lineRule="auto"/>
              <w:rPr>
                <w:rFonts w:asciiTheme="minorEastAsia" w:hAnsiTheme="minorEastAsia"/>
                <w:szCs w:val="21"/>
              </w:rPr>
            </w:pPr>
          </w:p>
        </w:tc>
        <w:tc>
          <w:tcPr>
            <w:tcW w:w="1500" w:type="dxa"/>
            <w:tcBorders>
              <w:top w:val="single" w:color="auto" w:sz="6" w:space="0"/>
              <w:left w:val="single" w:color="auto" w:sz="6" w:space="0"/>
              <w:bottom w:val="single" w:color="auto" w:sz="6" w:space="0"/>
              <w:right w:val="single" w:color="auto" w:sz="6" w:space="0"/>
            </w:tcBorders>
          </w:tcPr>
          <w:p w14:paraId="38DA9D53">
            <w:pPr>
              <w:autoSpaceDE w:val="0"/>
              <w:autoSpaceDN w:val="0"/>
              <w:adjustRightInd w:val="0"/>
              <w:spacing w:line="360" w:lineRule="auto"/>
              <w:rPr>
                <w:rFonts w:asciiTheme="minorEastAsia" w:hAnsiTheme="minorEastAsia"/>
                <w:szCs w:val="21"/>
              </w:rPr>
            </w:pPr>
          </w:p>
        </w:tc>
        <w:tc>
          <w:tcPr>
            <w:tcW w:w="1260" w:type="dxa"/>
            <w:tcBorders>
              <w:top w:val="single" w:color="auto" w:sz="6" w:space="0"/>
              <w:left w:val="single" w:color="auto" w:sz="6" w:space="0"/>
              <w:bottom w:val="single" w:color="auto" w:sz="6" w:space="0"/>
              <w:right w:val="single" w:color="auto" w:sz="6" w:space="0"/>
            </w:tcBorders>
          </w:tcPr>
          <w:p w14:paraId="0FB4A140">
            <w:pPr>
              <w:autoSpaceDE w:val="0"/>
              <w:autoSpaceDN w:val="0"/>
              <w:adjustRightInd w:val="0"/>
              <w:spacing w:line="360" w:lineRule="auto"/>
              <w:rPr>
                <w:rFonts w:asciiTheme="minorEastAsia" w:hAnsiTheme="minorEastAsia"/>
                <w:szCs w:val="21"/>
              </w:rPr>
            </w:pPr>
          </w:p>
        </w:tc>
        <w:tc>
          <w:tcPr>
            <w:tcW w:w="642" w:type="dxa"/>
            <w:tcBorders>
              <w:top w:val="single" w:color="auto" w:sz="6" w:space="0"/>
              <w:left w:val="single" w:color="auto" w:sz="6" w:space="0"/>
              <w:bottom w:val="single" w:color="auto" w:sz="6" w:space="0"/>
              <w:right w:val="single" w:color="auto" w:sz="6" w:space="0"/>
            </w:tcBorders>
          </w:tcPr>
          <w:p w14:paraId="1FFB51E5">
            <w:pPr>
              <w:autoSpaceDE w:val="0"/>
              <w:autoSpaceDN w:val="0"/>
              <w:adjustRightInd w:val="0"/>
              <w:spacing w:line="360" w:lineRule="auto"/>
              <w:rPr>
                <w:rFonts w:asciiTheme="minorEastAsia" w:hAnsiTheme="minorEastAsia"/>
                <w:szCs w:val="21"/>
              </w:rPr>
            </w:pPr>
          </w:p>
        </w:tc>
        <w:tc>
          <w:tcPr>
            <w:tcW w:w="992" w:type="dxa"/>
            <w:tcBorders>
              <w:top w:val="single" w:color="auto" w:sz="6" w:space="0"/>
              <w:left w:val="single" w:color="auto" w:sz="6" w:space="0"/>
              <w:bottom w:val="single" w:color="auto" w:sz="6" w:space="0"/>
              <w:right w:val="single" w:color="auto" w:sz="6" w:space="0"/>
            </w:tcBorders>
          </w:tcPr>
          <w:p w14:paraId="24E67FDF">
            <w:pPr>
              <w:autoSpaceDE w:val="0"/>
              <w:autoSpaceDN w:val="0"/>
              <w:adjustRightInd w:val="0"/>
              <w:spacing w:line="360" w:lineRule="auto"/>
              <w:rPr>
                <w:rFonts w:asciiTheme="minorEastAsia" w:hAnsiTheme="minorEastAsia"/>
                <w:szCs w:val="21"/>
              </w:rPr>
            </w:pPr>
          </w:p>
        </w:tc>
        <w:tc>
          <w:tcPr>
            <w:tcW w:w="1066" w:type="dxa"/>
            <w:tcBorders>
              <w:top w:val="single" w:color="auto" w:sz="6" w:space="0"/>
              <w:left w:val="single" w:color="auto" w:sz="6" w:space="0"/>
              <w:bottom w:val="single" w:color="auto" w:sz="6" w:space="0"/>
              <w:right w:val="single" w:color="auto" w:sz="6" w:space="0"/>
            </w:tcBorders>
          </w:tcPr>
          <w:p w14:paraId="77C38200">
            <w:pPr>
              <w:autoSpaceDE w:val="0"/>
              <w:autoSpaceDN w:val="0"/>
              <w:adjustRightInd w:val="0"/>
              <w:spacing w:line="360" w:lineRule="auto"/>
              <w:rPr>
                <w:rFonts w:asciiTheme="minorEastAsia" w:hAnsiTheme="minorEastAsia"/>
                <w:szCs w:val="21"/>
              </w:rPr>
            </w:pPr>
          </w:p>
        </w:tc>
        <w:tc>
          <w:tcPr>
            <w:tcW w:w="1080" w:type="dxa"/>
            <w:tcBorders>
              <w:top w:val="single" w:color="auto" w:sz="6" w:space="0"/>
              <w:left w:val="single" w:color="auto" w:sz="6" w:space="0"/>
              <w:bottom w:val="single" w:color="auto" w:sz="6" w:space="0"/>
              <w:right w:val="single" w:color="auto" w:sz="6" w:space="0"/>
            </w:tcBorders>
          </w:tcPr>
          <w:p w14:paraId="0508EFD4">
            <w:pPr>
              <w:autoSpaceDE w:val="0"/>
              <w:autoSpaceDN w:val="0"/>
              <w:adjustRightInd w:val="0"/>
              <w:spacing w:line="360" w:lineRule="auto"/>
              <w:rPr>
                <w:rFonts w:asciiTheme="minorEastAsia" w:hAnsiTheme="minorEastAsia"/>
                <w:szCs w:val="21"/>
              </w:rPr>
            </w:pPr>
          </w:p>
        </w:tc>
        <w:tc>
          <w:tcPr>
            <w:tcW w:w="1192" w:type="dxa"/>
            <w:tcBorders>
              <w:top w:val="single" w:color="auto" w:sz="6" w:space="0"/>
              <w:left w:val="single" w:color="auto" w:sz="6" w:space="0"/>
              <w:bottom w:val="single" w:color="auto" w:sz="6" w:space="0"/>
              <w:right w:val="single" w:color="auto" w:sz="6" w:space="0"/>
            </w:tcBorders>
          </w:tcPr>
          <w:p w14:paraId="264AC44C">
            <w:pPr>
              <w:autoSpaceDE w:val="0"/>
              <w:autoSpaceDN w:val="0"/>
              <w:adjustRightInd w:val="0"/>
              <w:spacing w:line="360" w:lineRule="auto"/>
              <w:rPr>
                <w:rFonts w:asciiTheme="minorEastAsia" w:hAnsiTheme="minorEastAsia"/>
                <w:szCs w:val="21"/>
              </w:rPr>
            </w:pPr>
          </w:p>
        </w:tc>
      </w:tr>
      <w:tr w14:paraId="69936DDE">
        <w:tblPrEx>
          <w:tblCellMar>
            <w:top w:w="0" w:type="dxa"/>
            <w:left w:w="108" w:type="dxa"/>
            <w:bottom w:w="0" w:type="dxa"/>
            <w:right w:w="108" w:type="dxa"/>
          </w:tblCellMar>
        </w:tblPrEx>
        <w:trPr>
          <w:trHeight w:val="851" w:hRule="atLeast"/>
        </w:trPr>
        <w:tc>
          <w:tcPr>
            <w:tcW w:w="534" w:type="dxa"/>
            <w:tcBorders>
              <w:top w:val="single" w:color="auto" w:sz="6" w:space="0"/>
              <w:left w:val="single" w:color="auto" w:sz="6" w:space="0"/>
              <w:bottom w:val="single" w:color="auto" w:sz="6" w:space="0"/>
              <w:right w:val="single" w:color="auto" w:sz="6" w:space="0"/>
            </w:tcBorders>
            <w:vAlign w:val="center"/>
          </w:tcPr>
          <w:p w14:paraId="54ECD4D3">
            <w:pPr>
              <w:autoSpaceDE w:val="0"/>
              <w:autoSpaceDN w:val="0"/>
              <w:adjustRightInd w:val="0"/>
              <w:spacing w:line="480" w:lineRule="exact"/>
              <w:jc w:val="center"/>
              <w:rPr>
                <w:rFonts w:asciiTheme="minorEastAsia" w:hAnsiTheme="minorEastAsia"/>
                <w:szCs w:val="21"/>
              </w:rPr>
            </w:pPr>
            <w:r>
              <w:rPr>
                <w:rFonts w:hint="eastAsia" w:asciiTheme="minorEastAsia" w:hAnsiTheme="minorEastAsia"/>
                <w:szCs w:val="21"/>
              </w:rPr>
              <w:t>…</w:t>
            </w:r>
          </w:p>
        </w:tc>
        <w:tc>
          <w:tcPr>
            <w:tcW w:w="1134" w:type="dxa"/>
            <w:tcBorders>
              <w:top w:val="single" w:color="auto" w:sz="6" w:space="0"/>
              <w:left w:val="single" w:color="auto" w:sz="6" w:space="0"/>
              <w:bottom w:val="single" w:color="auto" w:sz="6" w:space="0"/>
              <w:right w:val="single" w:color="auto" w:sz="6" w:space="0"/>
            </w:tcBorders>
          </w:tcPr>
          <w:p w14:paraId="7B514EB1">
            <w:pPr>
              <w:autoSpaceDE w:val="0"/>
              <w:autoSpaceDN w:val="0"/>
              <w:adjustRightInd w:val="0"/>
              <w:spacing w:line="360" w:lineRule="auto"/>
              <w:rPr>
                <w:rFonts w:asciiTheme="minorEastAsia" w:hAnsiTheme="minorEastAsia"/>
                <w:szCs w:val="21"/>
              </w:rPr>
            </w:pPr>
          </w:p>
        </w:tc>
        <w:tc>
          <w:tcPr>
            <w:tcW w:w="1500" w:type="dxa"/>
            <w:tcBorders>
              <w:top w:val="single" w:color="auto" w:sz="6" w:space="0"/>
              <w:left w:val="single" w:color="auto" w:sz="6" w:space="0"/>
              <w:bottom w:val="single" w:color="auto" w:sz="6" w:space="0"/>
              <w:right w:val="single" w:color="auto" w:sz="6" w:space="0"/>
            </w:tcBorders>
          </w:tcPr>
          <w:p w14:paraId="2B6A3B3C">
            <w:pPr>
              <w:autoSpaceDE w:val="0"/>
              <w:autoSpaceDN w:val="0"/>
              <w:adjustRightInd w:val="0"/>
              <w:spacing w:line="360" w:lineRule="auto"/>
              <w:rPr>
                <w:rFonts w:asciiTheme="minorEastAsia" w:hAnsiTheme="minorEastAsia"/>
                <w:szCs w:val="21"/>
              </w:rPr>
            </w:pPr>
          </w:p>
        </w:tc>
        <w:tc>
          <w:tcPr>
            <w:tcW w:w="1260" w:type="dxa"/>
            <w:tcBorders>
              <w:top w:val="single" w:color="auto" w:sz="6" w:space="0"/>
              <w:left w:val="single" w:color="auto" w:sz="6" w:space="0"/>
              <w:bottom w:val="single" w:color="auto" w:sz="6" w:space="0"/>
              <w:right w:val="single" w:color="auto" w:sz="6" w:space="0"/>
            </w:tcBorders>
          </w:tcPr>
          <w:p w14:paraId="7C3A6688">
            <w:pPr>
              <w:autoSpaceDE w:val="0"/>
              <w:autoSpaceDN w:val="0"/>
              <w:adjustRightInd w:val="0"/>
              <w:spacing w:line="360" w:lineRule="auto"/>
              <w:rPr>
                <w:rFonts w:asciiTheme="minorEastAsia" w:hAnsiTheme="minorEastAsia"/>
                <w:szCs w:val="21"/>
              </w:rPr>
            </w:pPr>
          </w:p>
        </w:tc>
        <w:tc>
          <w:tcPr>
            <w:tcW w:w="642" w:type="dxa"/>
            <w:tcBorders>
              <w:top w:val="single" w:color="auto" w:sz="6" w:space="0"/>
              <w:left w:val="single" w:color="auto" w:sz="6" w:space="0"/>
              <w:bottom w:val="single" w:color="auto" w:sz="6" w:space="0"/>
              <w:right w:val="single" w:color="auto" w:sz="6" w:space="0"/>
            </w:tcBorders>
          </w:tcPr>
          <w:p w14:paraId="08E897F8">
            <w:pPr>
              <w:autoSpaceDE w:val="0"/>
              <w:autoSpaceDN w:val="0"/>
              <w:adjustRightInd w:val="0"/>
              <w:spacing w:line="360" w:lineRule="auto"/>
              <w:rPr>
                <w:rFonts w:asciiTheme="minorEastAsia" w:hAnsiTheme="minorEastAsia"/>
                <w:szCs w:val="21"/>
              </w:rPr>
            </w:pPr>
          </w:p>
        </w:tc>
        <w:tc>
          <w:tcPr>
            <w:tcW w:w="992" w:type="dxa"/>
            <w:tcBorders>
              <w:top w:val="single" w:color="auto" w:sz="6" w:space="0"/>
              <w:left w:val="single" w:color="auto" w:sz="6" w:space="0"/>
              <w:bottom w:val="single" w:color="auto" w:sz="6" w:space="0"/>
              <w:right w:val="single" w:color="auto" w:sz="6" w:space="0"/>
            </w:tcBorders>
          </w:tcPr>
          <w:p w14:paraId="180C16EE">
            <w:pPr>
              <w:autoSpaceDE w:val="0"/>
              <w:autoSpaceDN w:val="0"/>
              <w:adjustRightInd w:val="0"/>
              <w:spacing w:line="360" w:lineRule="auto"/>
              <w:rPr>
                <w:rFonts w:asciiTheme="minorEastAsia" w:hAnsiTheme="minorEastAsia"/>
                <w:szCs w:val="21"/>
              </w:rPr>
            </w:pPr>
          </w:p>
        </w:tc>
        <w:tc>
          <w:tcPr>
            <w:tcW w:w="1066" w:type="dxa"/>
            <w:tcBorders>
              <w:top w:val="single" w:color="auto" w:sz="6" w:space="0"/>
              <w:left w:val="single" w:color="auto" w:sz="6" w:space="0"/>
              <w:bottom w:val="single" w:color="auto" w:sz="6" w:space="0"/>
              <w:right w:val="single" w:color="auto" w:sz="6" w:space="0"/>
            </w:tcBorders>
          </w:tcPr>
          <w:p w14:paraId="6D590D29">
            <w:pPr>
              <w:autoSpaceDE w:val="0"/>
              <w:autoSpaceDN w:val="0"/>
              <w:adjustRightInd w:val="0"/>
              <w:spacing w:line="360" w:lineRule="auto"/>
              <w:rPr>
                <w:rFonts w:asciiTheme="minorEastAsia" w:hAnsiTheme="minorEastAsia"/>
                <w:szCs w:val="21"/>
              </w:rPr>
            </w:pPr>
          </w:p>
        </w:tc>
        <w:tc>
          <w:tcPr>
            <w:tcW w:w="1080" w:type="dxa"/>
            <w:tcBorders>
              <w:top w:val="single" w:color="auto" w:sz="6" w:space="0"/>
              <w:left w:val="single" w:color="auto" w:sz="6" w:space="0"/>
              <w:bottom w:val="single" w:color="auto" w:sz="6" w:space="0"/>
              <w:right w:val="single" w:color="auto" w:sz="6" w:space="0"/>
            </w:tcBorders>
          </w:tcPr>
          <w:p w14:paraId="0E0F9041">
            <w:pPr>
              <w:autoSpaceDE w:val="0"/>
              <w:autoSpaceDN w:val="0"/>
              <w:adjustRightInd w:val="0"/>
              <w:spacing w:line="360" w:lineRule="auto"/>
              <w:rPr>
                <w:rFonts w:asciiTheme="minorEastAsia" w:hAnsiTheme="minorEastAsia"/>
                <w:szCs w:val="21"/>
              </w:rPr>
            </w:pPr>
          </w:p>
        </w:tc>
        <w:tc>
          <w:tcPr>
            <w:tcW w:w="1192" w:type="dxa"/>
            <w:tcBorders>
              <w:top w:val="single" w:color="auto" w:sz="6" w:space="0"/>
              <w:left w:val="single" w:color="auto" w:sz="6" w:space="0"/>
              <w:bottom w:val="single" w:color="auto" w:sz="6" w:space="0"/>
              <w:right w:val="single" w:color="auto" w:sz="6" w:space="0"/>
            </w:tcBorders>
          </w:tcPr>
          <w:p w14:paraId="3F6E2274">
            <w:pPr>
              <w:autoSpaceDE w:val="0"/>
              <w:autoSpaceDN w:val="0"/>
              <w:adjustRightInd w:val="0"/>
              <w:spacing w:line="360" w:lineRule="auto"/>
              <w:rPr>
                <w:rFonts w:asciiTheme="minorEastAsia" w:hAnsiTheme="minorEastAsia"/>
                <w:szCs w:val="21"/>
              </w:rPr>
            </w:pPr>
          </w:p>
        </w:tc>
      </w:tr>
      <w:tr w14:paraId="253EA89D">
        <w:tblPrEx>
          <w:tblCellMar>
            <w:top w:w="0" w:type="dxa"/>
            <w:left w:w="108" w:type="dxa"/>
            <w:bottom w:w="0" w:type="dxa"/>
            <w:right w:w="108" w:type="dxa"/>
          </w:tblCellMar>
        </w:tblPrEx>
        <w:trPr>
          <w:trHeight w:val="851" w:hRule="atLeast"/>
        </w:trPr>
        <w:tc>
          <w:tcPr>
            <w:tcW w:w="1668" w:type="dxa"/>
            <w:gridSpan w:val="2"/>
            <w:tcBorders>
              <w:top w:val="single" w:color="auto" w:sz="6" w:space="0"/>
              <w:left w:val="single" w:color="auto" w:sz="6" w:space="0"/>
              <w:bottom w:val="single" w:color="auto" w:sz="6" w:space="0"/>
              <w:right w:val="single" w:color="auto" w:sz="6" w:space="0"/>
            </w:tcBorders>
            <w:vAlign w:val="center"/>
          </w:tcPr>
          <w:p w14:paraId="65715677">
            <w:pPr>
              <w:autoSpaceDE w:val="0"/>
              <w:autoSpaceDN w:val="0"/>
              <w:adjustRightInd w:val="0"/>
              <w:spacing w:line="360" w:lineRule="auto"/>
              <w:jc w:val="center"/>
              <w:rPr>
                <w:rFonts w:asciiTheme="minorEastAsia" w:hAnsiTheme="minorEastAsia"/>
                <w:szCs w:val="21"/>
              </w:rPr>
            </w:pPr>
            <w:r>
              <w:rPr>
                <w:rFonts w:hint="eastAsia" w:cs="宋体" w:asciiTheme="minorEastAsia" w:hAnsiTheme="minorEastAsia"/>
                <w:szCs w:val="21"/>
                <w:lang w:val="zh-CN"/>
              </w:rPr>
              <w:t>合计</w:t>
            </w:r>
          </w:p>
        </w:tc>
        <w:tc>
          <w:tcPr>
            <w:tcW w:w="7732" w:type="dxa"/>
            <w:gridSpan w:val="7"/>
            <w:tcBorders>
              <w:top w:val="single" w:color="auto" w:sz="6" w:space="0"/>
              <w:left w:val="single" w:color="auto" w:sz="6" w:space="0"/>
              <w:bottom w:val="single" w:color="auto" w:sz="6" w:space="0"/>
              <w:right w:val="single" w:color="auto" w:sz="6" w:space="0"/>
            </w:tcBorders>
            <w:vAlign w:val="center"/>
          </w:tcPr>
          <w:p w14:paraId="60D4F2CB">
            <w:pPr>
              <w:autoSpaceDE w:val="0"/>
              <w:autoSpaceDN w:val="0"/>
              <w:adjustRightInd w:val="0"/>
              <w:spacing w:line="360" w:lineRule="auto"/>
              <w:ind w:firstLine="105" w:firstLineChars="50"/>
              <w:rPr>
                <w:rFonts w:cs="宋体" w:asciiTheme="minorEastAsia" w:hAnsiTheme="minorEastAsia"/>
                <w:szCs w:val="21"/>
                <w:lang w:val="zh-CN"/>
              </w:rPr>
            </w:pPr>
            <w:r>
              <w:rPr>
                <w:rFonts w:hint="eastAsia" w:cs="宋体" w:asciiTheme="minorEastAsia" w:hAnsiTheme="minorEastAsia"/>
                <w:szCs w:val="21"/>
                <w:lang w:val="zh-CN"/>
              </w:rPr>
              <w:t>大写：　　　　　　小写：</w:t>
            </w:r>
          </w:p>
        </w:tc>
      </w:tr>
    </w:tbl>
    <w:p w14:paraId="2EECFB6C">
      <w:pPr>
        <w:autoSpaceDE w:val="0"/>
        <w:autoSpaceDN w:val="0"/>
        <w:adjustRightInd w:val="0"/>
        <w:spacing w:line="480" w:lineRule="auto"/>
        <w:rPr>
          <w:rFonts w:cs="宋体" w:asciiTheme="minorEastAsia" w:hAnsiTheme="minorEastAsia"/>
          <w:szCs w:val="21"/>
          <w:lang w:val="zh-CN"/>
        </w:rPr>
      </w:pPr>
    </w:p>
    <w:p w14:paraId="3DCB6091">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投标人（并加盖公章）：</w:t>
      </w:r>
    </w:p>
    <w:p w14:paraId="06DF80AB">
      <w:pPr>
        <w:autoSpaceDE w:val="0"/>
        <w:autoSpaceDN w:val="0"/>
        <w:adjustRightInd w:val="0"/>
        <w:spacing w:line="480" w:lineRule="auto"/>
        <w:rPr>
          <w:rFonts w:cs="宋体" w:asciiTheme="minorEastAsia" w:hAnsiTheme="minorEastAsia"/>
          <w:szCs w:val="21"/>
          <w:lang w:val="zh-CN"/>
        </w:rPr>
      </w:pPr>
    </w:p>
    <w:p w14:paraId="6BD16EA2">
      <w:pPr>
        <w:autoSpaceDE w:val="0"/>
        <w:autoSpaceDN w:val="0"/>
        <w:adjustRightInd w:val="0"/>
        <w:spacing w:line="480" w:lineRule="auto"/>
        <w:rPr>
          <w:rFonts w:cs="宋体" w:asciiTheme="minorEastAsia" w:hAnsiTheme="minorEastAsia"/>
          <w:sz w:val="24"/>
          <w:szCs w:val="24"/>
          <w:lang w:val="zh-CN"/>
        </w:rPr>
      </w:pPr>
    </w:p>
    <w:p w14:paraId="3C8807C9">
      <w:pPr>
        <w:autoSpaceDE w:val="0"/>
        <w:autoSpaceDN w:val="0"/>
        <w:adjustRightInd w:val="0"/>
        <w:spacing w:line="480" w:lineRule="auto"/>
        <w:rPr>
          <w:rFonts w:cs="宋体" w:asciiTheme="minorEastAsia" w:hAnsiTheme="minorEastAsia"/>
          <w:sz w:val="24"/>
          <w:szCs w:val="24"/>
          <w:lang w:val="zh-CN"/>
        </w:rPr>
      </w:pPr>
    </w:p>
    <w:p w14:paraId="299A123E">
      <w:pPr>
        <w:autoSpaceDE w:val="0"/>
        <w:autoSpaceDN w:val="0"/>
        <w:adjustRightInd w:val="0"/>
        <w:spacing w:line="480" w:lineRule="auto"/>
        <w:rPr>
          <w:rFonts w:cs="宋体" w:asciiTheme="minorEastAsia" w:hAnsiTheme="minorEastAsia"/>
          <w:sz w:val="24"/>
          <w:szCs w:val="24"/>
          <w:lang w:val="zh-CN"/>
        </w:rPr>
      </w:pPr>
    </w:p>
    <w:p w14:paraId="3EE77222">
      <w:pPr>
        <w:autoSpaceDE w:val="0"/>
        <w:autoSpaceDN w:val="0"/>
        <w:adjustRightInd w:val="0"/>
        <w:spacing w:line="480" w:lineRule="auto"/>
        <w:rPr>
          <w:rFonts w:cs="宋体" w:asciiTheme="minorEastAsia" w:hAnsiTheme="minorEastAsia"/>
          <w:sz w:val="24"/>
          <w:szCs w:val="24"/>
          <w:lang w:val="zh-CN"/>
        </w:rPr>
      </w:pPr>
    </w:p>
    <w:p w14:paraId="1DDAD527">
      <w:pPr>
        <w:autoSpaceDE w:val="0"/>
        <w:autoSpaceDN w:val="0"/>
        <w:adjustRightInd w:val="0"/>
        <w:spacing w:line="480" w:lineRule="auto"/>
        <w:rPr>
          <w:rFonts w:cs="宋体" w:asciiTheme="minorEastAsia" w:hAnsiTheme="minorEastAsia"/>
          <w:sz w:val="24"/>
          <w:szCs w:val="24"/>
          <w:lang w:val="zh-CN"/>
        </w:rPr>
      </w:pPr>
    </w:p>
    <w:p w14:paraId="5E90E4E2">
      <w:pPr>
        <w:autoSpaceDE w:val="0"/>
        <w:autoSpaceDN w:val="0"/>
        <w:adjustRightInd w:val="0"/>
        <w:spacing w:line="480" w:lineRule="auto"/>
        <w:rPr>
          <w:rFonts w:cs="宋体" w:asciiTheme="minorEastAsia" w:hAnsiTheme="minorEastAsia"/>
          <w:sz w:val="24"/>
          <w:szCs w:val="24"/>
          <w:lang w:val="zh-CN"/>
        </w:rPr>
      </w:pPr>
    </w:p>
    <w:p w14:paraId="0290392B">
      <w:pPr>
        <w:autoSpaceDE w:val="0"/>
        <w:autoSpaceDN w:val="0"/>
        <w:adjustRightInd w:val="0"/>
        <w:spacing w:line="360" w:lineRule="auto"/>
        <w:jc w:val="center"/>
        <w:outlineLvl w:val="2"/>
        <w:rPr>
          <w:rFonts w:ascii="宋体" w:hAnsi="宋体"/>
          <w:b/>
          <w:bCs/>
          <w:sz w:val="24"/>
          <w:szCs w:val="24"/>
        </w:rPr>
      </w:pPr>
      <w:r>
        <w:rPr>
          <w:rFonts w:hint="eastAsia" w:ascii="宋体" w:hAnsi="宋体"/>
          <w:b/>
          <w:bCs/>
          <w:sz w:val="24"/>
          <w:szCs w:val="24"/>
        </w:rPr>
        <w:t>4.2 技术规格偏离表</w:t>
      </w:r>
    </w:p>
    <w:p w14:paraId="6EEBC256">
      <w:pPr>
        <w:spacing w:before="50" w:afterLines="50" w:line="360" w:lineRule="auto"/>
        <w:contextualSpacing/>
        <w:jc w:val="left"/>
        <w:rPr>
          <w:rFonts w:asciiTheme="minorEastAsia" w:hAnsiTheme="minorEastAsia"/>
          <w:szCs w:val="21"/>
        </w:rPr>
      </w:pPr>
      <w:r>
        <w:rPr>
          <w:rFonts w:hint="eastAsia" w:asciiTheme="minorEastAsia" w:hAnsiTheme="minorEastAsia"/>
          <w:szCs w:val="21"/>
        </w:rPr>
        <w:t>采购编号：</w:t>
      </w:r>
    </w:p>
    <w:p w14:paraId="1210C2F1">
      <w:pPr>
        <w:autoSpaceDE w:val="0"/>
        <w:autoSpaceDN w:val="0"/>
        <w:adjustRightInd w:val="0"/>
        <w:spacing w:line="360" w:lineRule="auto"/>
        <w:outlineLvl w:val="3"/>
        <w:rPr>
          <w:rFonts w:asciiTheme="minorEastAsia" w:hAnsiTheme="minorEastAsia"/>
          <w:szCs w:val="21"/>
        </w:rPr>
      </w:pPr>
      <w:r>
        <w:rPr>
          <w:rFonts w:hint="eastAsia" w:asciiTheme="minorEastAsia" w:hAnsiTheme="minorEastAsia"/>
          <w:szCs w:val="21"/>
        </w:rPr>
        <w:t xml:space="preserve">项目名称：   </w:t>
      </w:r>
    </w:p>
    <w:p w14:paraId="0D9DB1DF">
      <w:pPr>
        <w:autoSpaceDE w:val="0"/>
        <w:autoSpaceDN w:val="0"/>
        <w:adjustRightInd w:val="0"/>
        <w:spacing w:line="360" w:lineRule="auto"/>
        <w:outlineLvl w:val="9"/>
        <w:rPr>
          <w:rFonts w:hAnsi="宋体" w:eastAsia="宋体"/>
          <w:b/>
          <w:snapToGrid w:val="0"/>
          <w:kern w:val="0"/>
          <w:szCs w:val="21"/>
        </w:rPr>
      </w:pPr>
    </w:p>
    <w:tbl>
      <w:tblPr>
        <w:tblStyle w:val="24"/>
        <w:tblW w:w="9322" w:type="dxa"/>
        <w:tblInd w:w="0" w:type="dxa"/>
        <w:tblLayout w:type="fixed"/>
        <w:tblCellMar>
          <w:top w:w="0" w:type="dxa"/>
          <w:left w:w="108" w:type="dxa"/>
          <w:bottom w:w="0" w:type="dxa"/>
          <w:right w:w="108" w:type="dxa"/>
        </w:tblCellMar>
      </w:tblPr>
      <w:tblGrid>
        <w:gridCol w:w="675"/>
        <w:gridCol w:w="1418"/>
        <w:gridCol w:w="1276"/>
        <w:gridCol w:w="1559"/>
        <w:gridCol w:w="1417"/>
        <w:gridCol w:w="1560"/>
        <w:gridCol w:w="1417"/>
      </w:tblGrid>
      <w:tr w14:paraId="6A102BD2">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3F6648E4">
            <w:pPr>
              <w:pStyle w:val="7"/>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1418"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4560EC6E">
            <w:pPr>
              <w:pStyle w:val="7"/>
              <w:jc w:val="center"/>
              <w:rPr>
                <w:rFonts w:ascii="宋体" w:hAnsi="宋体" w:eastAsia="宋体" w:cs="宋体"/>
                <w:b/>
                <w:bCs/>
                <w:sz w:val="21"/>
                <w:szCs w:val="21"/>
              </w:rPr>
            </w:pPr>
            <w:r>
              <w:rPr>
                <w:rFonts w:hint="eastAsia" w:ascii="宋体" w:hAnsi="宋体" w:eastAsia="宋体" w:cs="宋体"/>
                <w:b/>
                <w:bCs/>
                <w:sz w:val="21"/>
                <w:szCs w:val="21"/>
              </w:rPr>
              <w:t>货物服务</w:t>
            </w:r>
          </w:p>
          <w:p w14:paraId="2CC3CFE3">
            <w:pPr>
              <w:pStyle w:val="7"/>
              <w:jc w:val="center"/>
              <w:rPr>
                <w:rFonts w:ascii="宋体" w:hAnsi="宋体" w:eastAsia="宋体" w:cs="宋体"/>
                <w:b/>
                <w:bCs/>
                <w:sz w:val="21"/>
                <w:szCs w:val="21"/>
              </w:rPr>
            </w:pPr>
            <w:r>
              <w:rPr>
                <w:rFonts w:hint="eastAsia" w:ascii="宋体" w:hAnsi="宋体" w:eastAsia="宋体" w:cs="宋体"/>
                <w:b/>
                <w:bCs/>
                <w:sz w:val="21"/>
                <w:szCs w:val="21"/>
              </w:rPr>
              <w:t>名称</w:t>
            </w:r>
          </w:p>
        </w:tc>
        <w:tc>
          <w:tcPr>
            <w:tcW w:w="1276"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0C8A3F82">
            <w:pPr>
              <w:pStyle w:val="7"/>
              <w:jc w:val="center"/>
              <w:rPr>
                <w:rFonts w:ascii="宋体" w:hAnsi="宋体" w:eastAsia="宋体" w:cs="宋体"/>
                <w:b/>
                <w:bCs/>
                <w:sz w:val="21"/>
                <w:szCs w:val="21"/>
              </w:rPr>
            </w:pPr>
            <w:r>
              <w:rPr>
                <w:rFonts w:hint="eastAsia" w:ascii="宋体" w:hAnsi="宋体" w:eastAsia="宋体" w:cs="宋体"/>
                <w:b/>
                <w:bCs/>
                <w:sz w:val="21"/>
                <w:szCs w:val="21"/>
              </w:rPr>
              <w:t>规格型号</w:t>
            </w:r>
          </w:p>
        </w:tc>
        <w:tc>
          <w:tcPr>
            <w:tcW w:w="1559"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3D076F95">
            <w:pPr>
              <w:pStyle w:val="7"/>
              <w:jc w:val="center"/>
              <w:rPr>
                <w:rFonts w:ascii="宋体" w:hAnsi="宋体" w:eastAsia="宋体" w:cs="宋体"/>
                <w:b/>
                <w:bCs/>
                <w:sz w:val="21"/>
                <w:szCs w:val="21"/>
              </w:rPr>
            </w:pPr>
            <w:r>
              <w:rPr>
                <w:rFonts w:hint="eastAsia" w:ascii="宋体" w:hAnsi="宋体" w:eastAsia="宋体" w:cs="宋体"/>
                <w:b/>
                <w:bCs/>
                <w:sz w:val="21"/>
                <w:szCs w:val="21"/>
              </w:rPr>
              <w:t>招标文件</w:t>
            </w:r>
          </w:p>
          <w:p w14:paraId="514B4503">
            <w:pPr>
              <w:pStyle w:val="7"/>
              <w:jc w:val="center"/>
              <w:rPr>
                <w:rFonts w:ascii="宋体" w:hAnsi="宋体" w:eastAsia="宋体" w:cs="宋体"/>
                <w:b/>
                <w:bCs/>
                <w:sz w:val="21"/>
                <w:szCs w:val="21"/>
              </w:rPr>
            </w:pPr>
            <w:r>
              <w:rPr>
                <w:rFonts w:hint="eastAsia" w:ascii="宋体" w:hAnsi="宋体" w:eastAsia="宋体" w:cs="宋体"/>
                <w:b/>
                <w:bCs/>
                <w:sz w:val="21"/>
                <w:szCs w:val="21"/>
              </w:rPr>
              <w:t>技术参数</w:t>
            </w:r>
          </w:p>
        </w:tc>
        <w:tc>
          <w:tcPr>
            <w:tcW w:w="1417"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1388AF13">
            <w:pPr>
              <w:pStyle w:val="7"/>
              <w:jc w:val="center"/>
              <w:rPr>
                <w:rFonts w:ascii="宋体" w:hAnsi="宋体" w:eastAsia="宋体" w:cs="宋体"/>
                <w:b/>
                <w:bCs/>
                <w:sz w:val="21"/>
                <w:szCs w:val="21"/>
              </w:rPr>
            </w:pPr>
            <w:r>
              <w:rPr>
                <w:rFonts w:hint="eastAsia" w:ascii="宋体" w:hAnsi="宋体" w:eastAsia="宋体" w:cs="宋体"/>
                <w:b/>
                <w:bCs/>
                <w:sz w:val="21"/>
                <w:szCs w:val="21"/>
              </w:rPr>
              <w:t>投标技术</w:t>
            </w:r>
          </w:p>
          <w:p w14:paraId="5C9460A2">
            <w:pPr>
              <w:pStyle w:val="7"/>
              <w:jc w:val="center"/>
              <w:rPr>
                <w:rFonts w:ascii="宋体" w:hAnsi="宋体" w:eastAsia="宋体" w:cs="宋体"/>
                <w:b/>
                <w:bCs/>
                <w:sz w:val="21"/>
                <w:szCs w:val="21"/>
              </w:rPr>
            </w:pPr>
            <w:r>
              <w:rPr>
                <w:rFonts w:hint="eastAsia" w:ascii="宋体" w:hAnsi="宋体" w:eastAsia="宋体" w:cs="宋体"/>
                <w:b/>
                <w:bCs/>
                <w:sz w:val="21"/>
                <w:szCs w:val="21"/>
              </w:rPr>
              <w:t>参数</w:t>
            </w:r>
          </w:p>
        </w:tc>
        <w:tc>
          <w:tcPr>
            <w:tcW w:w="1560"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5C094EDD">
            <w:pPr>
              <w:pStyle w:val="7"/>
              <w:jc w:val="center"/>
              <w:rPr>
                <w:rFonts w:ascii="宋体" w:hAnsi="宋体" w:eastAsia="宋体" w:cs="宋体"/>
                <w:b/>
                <w:bCs/>
                <w:sz w:val="21"/>
                <w:szCs w:val="21"/>
              </w:rPr>
            </w:pPr>
            <w:r>
              <w:rPr>
                <w:rFonts w:hint="eastAsia" w:ascii="宋体" w:hAnsi="宋体" w:eastAsia="宋体" w:cs="宋体"/>
                <w:b/>
                <w:bCs/>
                <w:sz w:val="21"/>
                <w:szCs w:val="21"/>
              </w:rPr>
              <w:t>偏离</w:t>
            </w:r>
          </w:p>
          <w:p w14:paraId="3EFDA704">
            <w:pPr>
              <w:jc w:val="center"/>
              <w:rPr>
                <w:rFonts w:ascii="宋体" w:hAnsi="宋体" w:eastAsia="宋体" w:cs="宋体"/>
                <w:b/>
                <w:bCs/>
                <w:szCs w:val="21"/>
              </w:rPr>
            </w:pPr>
            <w:r>
              <w:rPr>
                <w:rFonts w:hint="eastAsia" w:ascii="宋体" w:hAnsi="宋体" w:eastAsia="宋体" w:cs="宋体"/>
                <w:b/>
                <w:bCs/>
                <w:szCs w:val="21"/>
              </w:rPr>
              <w:t>（无偏离/正偏离/负偏离）</w:t>
            </w:r>
          </w:p>
        </w:tc>
        <w:tc>
          <w:tcPr>
            <w:tcW w:w="1417" w:type="dxa"/>
            <w:tcBorders>
              <w:top w:val="single" w:color="auto" w:sz="6" w:space="0"/>
              <w:left w:val="single" w:color="auto" w:sz="6" w:space="0"/>
              <w:bottom w:val="single" w:color="auto" w:sz="6" w:space="0"/>
              <w:right w:val="single" w:color="auto" w:sz="6" w:space="0"/>
            </w:tcBorders>
            <w:shd w:val="clear" w:color="auto" w:fill="F1F1F1" w:themeFill="background1" w:themeFillShade="F2"/>
            <w:vAlign w:val="center"/>
          </w:tcPr>
          <w:p w14:paraId="6053B811">
            <w:pPr>
              <w:pStyle w:val="7"/>
              <w:jc w:val="center"/>
              <w:rPr>
                <w:rFonts w:ascii="宋体" w:hAnsi="宋体" w:eastAsia="宋体" w:cs="宋体"/>
                <w:b/>
                <w:bCs/>
                <w:sz w:val="21"/>
                <w:szCs w:val="21"/>
              </w:rPr>
            </w:pPr>
            <w:r>
              <w:rPr>
                <w:rFonts w:hint="eastAsia" w:ascii="宋体" w:hAnsi="宋体" w:eastAsia="宋体" w:cs="宋体"/>
                <w:b/>
                <w:bCs/>
                <w:sz w:val="21"/>
                <w:szCs w:val="21"/>
              </w:rPr>
              <w:t>偏离内容</w:t>
            </w:r>
          </w:p>
          <w:p w14:paraId="1BC80BEA">
            <w:pPr>
              <w:pStyle w:val="7"/>
              <w:jc w:val="center"/>
              <w:rPr>
                <w:rFonts w:ascii="宋体" w:hAnsi="宋体" w:eastAsia="宋体" w:cs="宋体"/>
                <w:b/>
                <w:bCs/>
                <w:sz w:val="21"/>
                <w:szCs w:val="21"/>
              </w:rPr>
            </w:pPr>
            <w:r>
              <w:rPr>
                <w:rFonts w:hint="eastAsia" w:ascii="宋体" w:hAnsi="宋体" w:eastAsia="宋体" w:cs="宋体"/>
                <w:b/>
                <w:bCs/>
                <w:sz w:val="21"/>
                <w:szCs w:val="21"/>
              </w:rPr>
              <w:t>说明</w:t>
            </w:r>
          </w:p>
        </w:tc>
      </w:tr>
      <w:tr w14:paraId="2A6EA2E5">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14:paraId="0491CA7E">
            <w:pPr>
              <w:autoSpaceDE w:val="0"/>
              <w:autoSpaceDN w:val="0"/>
              <w:adjustRightInd w:val="0"/>
              <w:spacing w:line="480" w:lineRule="exact"/>
              <w:jc w:val="center"/>
              <w:rPr>
                <w:rFonts w:asciiTheme="minorEastAsia" w:hAnsiTheme="minorEastAsia"/>
                <w:bCs/>
                <w:szCs w:val="21"/>
              </w:rPr>
            </w:pPr>
            <w:r>
              <w:rPr>
                <w:rFonts w:hint="eastAsia" w:asciiTheme="minorEastAsia" w:hAnsiTheme="minorEastAsia"/>
                <w:bCs/>
                <w:szCs w:val="21"/>
              </w:rPr>
              <w:t>1</w:t>
            </w:r>
          </w:p>
        </w:tc>
        <w:tc>
          <w:tcPr>
            <w:tcW w:w="1418" w:type="dxa"/>
            <w:tcBorders>
              <w:top w:val="single" w:color="auto" w:sz="6" w:space="0"/>
              <w:left w:val="single" w:color="auto" w:sz="6" w:space="0"/>
              <w:bottom w:val="single" w:color="auto" w:sz="6" w:space="0"/>
              <w:right w:val="single" w:color="auto" w:sz="6" w:space="0"/>
            </w:tcBorders>
          </w:tcPr>
          <w:p w14:paraId="74DC4D8E">
            <w:pPr>
              <w:autoSpaceDE w:val="0"/>
              <w:autoSpaceDN w:val="0"/>
              <w:adjustRightInd w:val="0"/>
              <w:spacing w:line="480" w:lineRule="exact"/>
              <w:rPr>
                <w:rFonts w:asciiTheme="minorEastAsia" w:hAnsiTheme="minorEastAsia"/>
                <w:b/>
                <w:bCs/>
                <w:szCs w:val="21"/>
              </w:rPr>
            </w:pPr>
          </w:p>
        </w:tc>
        <w:tc>
          <w:tcPr>
            <w:tcW w:w="1276" w:type="dxa"/>
            <w:tcBorders>
              <w:top w:val="single" w:color="auto" w:sz="6" w:space="0"/>
              <w:left w:val="single" w:color="auto" w:sz="6" w:space="0"/>
              <w:bottom w:val="single" w:color="auto" w:sz="6" w:space="0"/>
              <w:right w:val="single" w:color="auto" w:sz="6" w:space="0"/>
            </w:tcBorders>
          </w:tcPr>
          <w:p w14:paraId="14B7D7C7">
            <w:pPr>
              <w:autoSpaceDE w:val="0"/>
              <w:autoSpaceDN w:val="0"/>
              <w:adjustRightInd w:val="0"/>
              <w:spacing w:line="480" w:lineRule="exact"/>
              <w:rPr>
                <w:rFonts w:asciiTheme="minorEastAsia" w:hAnsiTheme="minorEastAsia"/>
                <w:b/>
                <w:bCs/>
                <w:szCs w:val="21"/>
              </w:rPr>
            </w:pPr>
          </w:p>
        </w:tc>
        <w:tc>
          <w:tcPr>
            <w:tcW w:w="1559" w:type="dxa"/>
            <w:tcBorders>
              <w:top w:val="single" w:color="auto" w:sz="6" w:space="0"/>
              <w:left w:val="single" w:color="auto" w:sz="6" w:space="0"/>
              <w:bottom w:val="single" w:color="auto" w:sz="6" w:space="0"/>
              <w:right w:val="single" w:color="auto" w:sz="6" w:space="0"/>
            </w:tcBorders>
          </w:tcPr>
          <w:p w14:paraId="4D60EADF">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tcPr>
          <w:p w14:paraId="0929F8FC">
            <w:pPr>
              <w:autoSpaceDE w:val="0"/>
              <w:autoSpaceDN w:val="0"/>
              <w:adjustRightInd w:val="0"/>
              <w:spacing w:line="480" w:lineRule="exact"/>
              <w:rPr>
                <w:rFonts w:asciiTheme="minorEastAsia" w:hAnsiTheme="minorEastAsia"/>
                <w:b/>
                <w:bCs/>
                <w:szCs w:val="21"/>
              </w:rPr>
            </w:pPr>
          </w:p>
        </w:tc>
        <w:tc>
          <w:tcPr>
            <w:tcW w:w="1560" w:type="dxa"/>
            <w:tcBorders>
              <w:top w:val="single" w:color="auto" w:sz="6" w:space="0"/>
              <w:left w:val="single" w:color="auto" w:sz="6" w:space="0"/>
              <w:bottom w:val="single" w:color="auto" w:sz="6" w:space="0"/>
              <w:right w:val="single" w:color="auto" w:sz="6" w:space="0"/>
            </w:tcBorders>
          </w:tcPr>
          <w:p w14:paraId="423EB4C2">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vAlign w:val="center"/>
          </w:tcPr>
          <w:p w14:paraId="6CAAFFD9">
            <w:pPr>
              <w:autoSpaceDE w:val="0"/>
              <w:autoSpaceDN w:val="0"/>
              <w:adjustRightInd w:val="0"/>
              <w:spacing w:line="480" w:lineRule="exact"/>
              <w:jc w:val="center"/>
              <w:rPr>
                <w:rFonts w:asciiTheme="minorEastAsia" w:hAnsiTheme="minorEastAsia"/>
                <w:b/>
                <w:bCs/>
                <w:szCs w:val="21"/>
              </w:rPr>
            </w:pPr>
          </w:p>
        </w:tc>
      </w:tr>
      <w:tr w14:paraId="703C627C">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14:paraId="24E48E4F">
            <w:pPr>
              <w:autoSpaceDE w:val="0"/>
              <w:autoSpaceDN w:val="0"/>
              <w:adjustRightInd w:val="0"/>
              <w:spacing w:line="480" w:lineRule="exact"/>
              <w:jc w:val="center"/>
              <w:rPr>
                <w:rFonts w:asciiTheme="minorEastAsia" w:hAnsiTheme="minorEastAsia"/>
                <w:bCs/>
                <w:szCs w:val="21"/>
              </w:rPr>
            </w:pPr>
            <w:r>
              <w:rPr>
                <w:rFonts w:hint="eastAsia" w:asciiTheme="minorEastAsia" w:hAnsiTheme="minorEastAsia"/>
                <w:bCs/>
                <w:szCs w:val="21"/>
              </w:rPr>
              <w:t>2</w:t>
            </w:r>
          </w:p>
        </w:tc>
        <w:tc>
          <w:tcPr>
            <w:tcW w:w="1418" w:type="dxa"/>
            <w:tcBorders>
              <w:top w:val="single" w:color="auto" w:sz="6" w:space="0"/>
              <w:left w:val="single" w:color="auto" w:sz="6" w:space="0"/>
              <w:bottom w:val="single" w:color="auto" w:sz="6" w:space="0"/>
              <w:right w:val="single" w:color="auto" w:sz="6" w:space="0"/>
            </w:tcBorders>
          </w:tcPr>
          <w:p w14:paraId="7AFD065D">
            <w:pPr>
              <w:autoSpaceDE w:val="0"/>
              <w:autoSpaceDN w:val="0"/>
              <w:adjustRightInd w:val="0"/>
              <w:spacing w:line="480" w:lineRule="exact"/>
              <w:rPr>
                <w:rFonts w:asciiTheme="minorEastAsia" w:hAnsiTheme="minorEastAsia"/>
                <w:b/>
                <w:bCs/>
                <w:szCs w:val="21"/>
              </w:rPr>
            </w:pPr>
          </w:p>
        </w:tc>
        <w:tc>
          <w:tcPr>
            <w:tcW w:w="1276" w:type="dxa"/>
            <w:tcBorders>
              <w:top w:val="single" w:color="auto" w:sz="6" w:space="0"/>
              <w:left w:val="single" w:color="auto" w:sz="6" w:space="0"/>
              <w:bottom w:val="single" w:color="auto" w:sz="6" w:space="0"/>
              <w:right w:val="single" w:color="auto" w:sz="6" w:space="0"/>
            </w:tcBorders>
          </w:tcPr>
          <w:p w14:paraId="1C392E9D">
            <w:pPr>
              <w:autoSpaceDE w:val="0"/>
              <w:autoSpaceDN w:val="0"/>
              <w:adjustRightInd w:val="0"/>
              <w:spacing w:line="480" w:lineRule="exact"/>
              <w:rPr>
                <w:rFonts w:asciiTheme="minorEastAsia" w:hAnsiTheme="minorEastAsia"/>
                <w:b/>
                <w:bCs/>
                <w:szCs w:val="21"/>
              </w:rPr>
            </w:pPr>
          </w:p>
        </w:tc>
        <w:tc>
          <w:tcPr>
            <w:tcW w:w="1559" w:type="dxa"/>
            <w:tcBorders>
              <w:top w:val="single" w:color="auto" w:sz="6" w:space="0"/>
              <w:left w:val="single" w:color="auto" w:sz="6" w:space="0"/>
              <w:bottom w:val="single" w:color="auto" w:sz="6" w:space="0"/>
              <w:right w:val="single" w:color="auto" w:sz="6" w:space="0"/>
            </w:tcBorders>
          </w:tcPr>
          <w:p w14:paraId="3F15E2A6">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tcPr>
          <w:p w14:paraId="2FA51338">
            <w:pPr>
              <w:autoSpaceDE w:val="0"/>
              <w:autoSpaceDN w:val="0"/>
              <w:adjustRightInd w:val="0"/>
              <w:spacing w:line="480" w:lineRule="exact"/>
              <w:rPr>
                <w:rFonts w:asciiTheme="minorEastAsia" w:hAnsiTheme="minorEastAsia"/>
                <w:b/>
                <w:bCs/>
                <w:szCs w:val="21"/>
              </w:rPr>
            </w:pPr>
          </w:p>
        </w:tc>
        <w:tc>
          <w:tcPr>
            <w:tcW w:w="1560" w:type="dxa"/>
            <w:tcBorders>
              <w:top w:val="single" w:color="auto" w:sz="6" w:space="0"/>
              <w:left w:val="single" w:color="auto" w:sz="6" w:space="0"/>
              <w:bottom w:val="single" w:color="auto" w:sz="6" w:space="0"/>
              <w:right w:val="single" w:color="auto" w:sz="6" w:space="0"/>
            </w:tcBorders>
          </w:tcPr>
          <w:p w14:paraId="63003D4B">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vAlign w:val="center"/>
          </w:tcPr>
          <w:p w14:paraId="5922EED8">
            <w:pPr>
              <w:autoSpaceDE w:val="0"/>
              <w:autoSpaceDN w:val="0"/>
              <w:adjustRightInd w:val="0"/>
              <w:spacing w:line="480" w:lineRule="exact"/>
              <w:jc w:val="center"/>
              <w:rPr>
                <w:rFonts w:asciiTheme="minorEastAsia" w:hAnsiTheme="minorEastAsia"/>
                <w:b/>
                <w:bCs/>
                <w:szCs w:val="21"/>
              </w:rPr>
            </w:pPr>
          </w:p>
        </w:tc>
      </w:tr>
      <w:tr w14:paraId="4BC8A058">
        <w:tblPrEx>
          <w:tblCellMar>
            <w:top w:w="0" w:type="dxa"/>
            <w:left w:w="108" w:type="dxa"/>
            <w:bottom w:w="0" w:type="dxa"/>
            <w:right w:w="108" w:type="dxa"/>
          </w:tblCellMar>
        </w:tblPrEx>
        <w:trPr>
          <w:trHeight w:val="851" w:hRule="atLeast"/>
        </w:trPr>
        <w:tc>
          <w:tcPr>
            <w:tcW w:w="675" w:type="dxa"/>
            <w:tcBorders>
              <w:top w:val="single" w:color="auto" w:sz="6" w:space="0"/>
              <w:left w:val="single" w:color="auto" w:sz="6" w:space="0"/>
              <w:bottom w:val="single" w:color="auto" w:sz="6" w:space="0"/>
              <w:right w:val="single" w:color="auto" w:sz="6" w:space="0"/>
            </w:tcBorders>
            <w:vAlign w:val="center"/>
          </w:tcPr>
          <w:p w14:paraId="648216F1">
            <w:pPr>
              <w:autoSpaceDE w:val="0"/>
              <w:autoSpaceDN w:val="0"/>
              <w:adjustRightInd w:val="0"/>
              <w:spacing w:line="480" w:lineRule="exact"/>
              <w:jc w:val="center"/>
              <w:rPr>
                <w:rFonts w:asciiTheme="minorEastAsia" w:hAnsiTheme="minorEastAsia"/>
                <w:bCs/>
                <w:szCs w:val="21"/>
              </w:rPr>
            </w:pPr>
            <w:r>
              <w:rPr>
                <w:rFonts w:hint="eastAsia" w:asciiTheme="minorEastAsia" w:hAnsiTheme="minorEastAsia"/>
                <w:szCs w:val="21"/>
              </w:rPr>
              <w:t>…</w:t>
            </w:r>
          </w:p>
        </w:tc>
        <w:tc>
          <w:tcPr>
            <w:tcW w:w="1418" w:type="dxa"/>
            <w:tcBorders>
              <w:top w:val="single" w:color="auto" w:sz="6" w:space="0"/>
              <w:left w:val="single" w:color="auto" w:sz="6" w:space="0"/>
              <w:bottom w:val="single" w:color="auto" w:sz="6" w:space="0"/>
              <w:right w:val="single" w:color="auto" w:sz="6" w:space="0"/>
            </w:tcBorders>
          </w:tcPr>
          <w:p w14:paraId="4D1A1DD3">
            <w:pPr>
              <w:autoSpaceDE w:val="0"/>
              <w:autoSpaceDN w:val="0"/>
              <w:adjustRightInd w:val="0"/>
              <w:spacing w:line="480" w:lineRule="exact"/>
              <w:rPr>
                <w:rFonts w:asciiTheme="minorEastAsia" w:hAnsiTheme="minorEastAsia"/>
                <w:b/>
                <w:bCs/>
                <w:szCs w:val="21"/>
              </w:rPr>
            </w:pPr>
          </w:p>
        </w:tc>
        <w:tc>
          <w:tcPr>
            <w:tcW w:w="1276" w:type="dxa"/>
            <w:tcBorders>
              <w:top w:val="single" w:color="auto" w:sz="6" w:space="0"/>
              <w:left w:val="single" w:color="auto" w:sz="6" w:space="0"/>
              <w:bottom w:val="single" w:color="auto" w:sz="6" w:space="0"/>
              <w:right w:val="single" w:color="auto" w:sz="6" w:space="0"/>
            </w:tcBorders>
          </w:tcPr>
          <w:p w14:paraId="732FC11B">
            <w:pPr>
              <w:autoSpaceDE w:val="0"/>
              <w:autoSpaceDN w:val="0"/>
              <w:adjustRightInd w:val="0"/>
              <w:spacing w:line="480" w:lineRule="exact"/>
              <w:rPr>
                <w:rFonts w:asciiTheme="minorEastAsia" w:hAnsiTheme="minorEastAsia"/>
                <w:b/>
                <w:bCs/>
                <w:szCs w:val="21"/>
              </w:rPr>
            </w:pPr>
          </w:p>
        </w:tc>
        <w:tc>
          <w:tcPr>
            <w:tcW w:w="1559" w:type="dxa"/>
            <w:tcBorders>
              <w:top w:val="single" w:color="auto" w:sz="6" w:space="0"/>
              <w:left w:val="single" w:color="auto" w:sz="6" w:space="0"/>
              <w:bottom w:val="single" w:color="auto" w:sz="6" w:space="0"/>
              <w:right w:val="single" w:color="auto" w:sz="6" w:space="0"/>
            </w:tcBorders>
          </w:tcPr>
          <w:p w14:paraId="356DD9D9">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tcPr>
          <w:p w14:paraId="0EE392B9">
            <w:pPr>
              <w:autoSpaceDE w:val="0"/>
              <w:autoSpaceDN w:val="0"/>
              <w:adjustRightInd w:val="0"/>
              <w:spacing w:line="480" w:lineRule="exact"/>
              <w:rPr>
                <w:rFonts w:asciiTheme="minorEastAsia" w:hAnsiTheme="minorEastAsia"/>
                <w:b/>
                <w:bCs/>
                <w:szCs w:val="21"/>
              </w:rPr>
            </w:pPr>
          </w:p>
        </w:tc>
        <w:tc>
          <w:tcPr>
            <w:tcW w:w="1560" w:type="dxa"/>
            <w:tcBorders>
              <w:top w:val="single" w:color="auto" w:sz="6" w:space="0"/>
              <w:left w:val="single" w:color="auto" w:sz="6" w:space="0"/>
              <w:bottom w:val="single" w:color="auto" w:sz="6" w:space="0"/>
              <w:right w:val="single" w:color="auto" w:sz="6" w:space="0"/>
            </w:tcBorders>
          </w:tcPr>
          <w:p w14:paraId="4E94CB5D">
            <w:pPr>
              <w:autoSpaceDE w:val="0"/>
              <w:autoSpaceDN w:val="0"/>
              <w:adjustRightInd w:val="0"/>
              <w:spacing w:line="480" w:lineRule="exact"/>
              <w:rPr>
                <w:rFonts w:asciiTheme="minorEastAsia" w:hAnsiTheme="minorEastAsia"/>
                <w:b/>
                <w:bCs/>
                <w:szCs w:val="21"/>
              </w:rPr>
            </w:pPr>
          </w:p>
        </w:tc>
        <w:tc>
          <w:tcPr>
            <w:tcW w:w="1417" w:type="dxa"/>
            <w:tcBorders>
              <w:top w:val="single" w:color="auto" w:sz="6" w:space="0"/>
              <w:left w:val="single" w:color="auto" w:sz="6" w:space="0"/>
              <w:bottom w:val="single" w:color="auto" w:sz="6" w:space="0"/>
              <w:right w:val="single" w:color="auto" w:sz="6" w:space="0"/>
            </w:tcBorders>
            <w:vAlign w:val="center"/>
          </w:tcPr>
          <w:p w14:paraId="72BC924E">
            <w:pPr>
              <w:autoSpaceDE w:val="0"/>
              <w:autoSpaceDN w:val="0"/>
              <w:adjustRightInd w:val="0"/>
              <w:spacing w:line="480" w:lineRule="exact"/>
              <w:jc w:val="center"/>
              <w:rPr>
                <w:rFonts w:asciiTheme="minorEastAsia" w:hAnsiTheme="minorEastAsia"/>
                <w:b/>
                <w:bCs/>
                <w:szCs w:val="21"/>
              </w:rPr>
            </w:pPr>
          </w:p>
        </w:tc>
      </w:tr>
    </w:tbl>
    <w:p w14:paraId="355428C7">
      <w:pPr>
        <w:autoSpaceDE w:val="0"/>
        <w:autoSpaceDN w:val="0"/>
        <w:adjustRightInd w:val="0"/>
        <w:spacing w:line="480" w:lineRule="auto"/>
        <w:rPr>
          <w:rFonts w:cs="宋体" w:asciiTheme="minorEastAsia" w:hAnsiTheme="minorEastAsia"/>
          <w:szCs w:val="21"/>
          <w:lang w:val="zh-CN"/>
        </w:rPr>
      </w:pPr>
    </w:p>
    <w:p w14:paraId="264685DD">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投标人（并加盖公章）：</w:t>
      </w:r>
    </w:p>
    <w:p w14:paraId="683335CC">
      <w:pPr>
        <w:autoSpaceDE w:val="0"/>
        <w:autoSpaceDN w:val="0"/>
        <w:adjustRightInd w:val="0"/>
        <w:spacing w:line="480" w:lineRule="auto"/>
        <w:rPr>
          <w:rFonts w:cs="宋体" w:asciiTheme="minorEastAsia" w:hAnsiTheme="minorEastAsia"/>
          <w:szCs w:val="21"/>
          <w:lang w:val="zh-CN"/>
        </w:rPr>
      </w:pPr>
    </w:p>
    <w:p w14:paraId="3EB8B48C">
      <w:pPr>
        <w:autoSpaceDE w:val="0"/>
        <w:autoSpaceDN w:val="0"/>
        <w:adjustRightInd w:val="0"/>
        <w:spacing w:line="480" w:lineRule="auto"/>
        <w:rPr>
          <w:rFonts w:cs="宋体" w:asciiTheme="minorEastAsia" w:hAnsiTheme="minorEastAsia"/>
          <w:szCs w:val="21"/>
          <w:lang w:val="zh-CN"/>
        </w:rPr>
      </w:pPr>
    </w:p>
    <w:p w14:paraId="6D4AC864">
      <w:pPr>
        <w:autoSpaceDE w:val="0"/>
        <w:autoSpaceDN w:val="0"/>
        <w:adjustRightInd w:val="0"/>
        <w:spacing w:line="360" w:lineRule="auto"/>
        <w:jc w:val="center"/>
        <w:outlineLvl w:val="9"/>
        <w:rPr>
          <w:rFonts w:ascii="宋体" w:hAnsi="宋体"/>
          <w:b/>
          <w:bCs/>
          <w:sz w:val="24"/>
          <w:szCs w:val="24"/>
        </w:rPr>
      </w:pPr>
    </w:p>
    <w:p w14:paraId="12ECC9A4">
      <w:pPr>
        <w:autoSpaceDE w:val="0"/>
        <w:autoSpaceDN w:val="0"/>
        <w:adjustRightInd w:val="0"/>
        <w:spacing w:line="360" w:lineRule="auto"/>
        <w:jc w:val="center"/>
        <w:outlineLvl w:val="9"/>
        <w:rPr>
          <w:rFonts w:ascii="宋体" w:hAnsi="宋体"/>
          <w:b/>
          <w:bCs/>
          <w:sz w:val="24"/>
          <w:szCs w:val="24"/>
        </w:rPr>
      </w:pPr>
    </w:p>
    <w:p w14:paraId="7D52F75D">
      <w:pPr>
        <w:autoSpaceDE w:val="0"/>
        <w:autoSpaceDN w:val="0"/>
        <w:adjustRightInd w:val="0"/>
        <w:spacing w:line="360" w:lineRule="auto"/>
        <w:jc w:val="center"/>
        <w:outlineLvl w:val="9"/>
        <w:rPr>
          <w:rFonts w:ascii="宋体" w:hAnsi="宋体"/>
          <w:b/>
          <w:bCs/>
          <w:sz w:val="24"/>
          <w:szCs w:val="24"/>
        </w:rPr>
      </w:pPr>
    </w:p>
    <w:p w14:paraId="782525F7">
      <w:pPr>
        <w:autoSpaceDE w:val="0"/>
        <w:autoSpaceDN w:val="0"/>
        <w:adjustRightInd w:val="0"/>
        <w:spacing w:line="360" w:lineRule="auto"/>
        <w:jc w:val="center"/>
        <w:outlineLvl w:val="9"/>
        <w:rPr>
          <w:rFonts w:ascii="宋体" w:hAnsi="宋体"/>
          <w:b/>
          <w:bCs/>
          <w:sz w:val="24"/>
          <w:szCs w:val="24"/>
        </w:rPr>
      </w:pPr>
    </w:p>
    <w:p w14:paraId="471B91C1">
      <w:pPr>
        <w:autoSpaceDE w:val="0"/>
        <w:autoSpaceDN w:val="0"/>
        <w:adjustRightInd w:val="0"/>
        <w:spacing w:line="360" w:lineRule="auto"/>
        <w:jc w:val="center"/>
        <w:outlineLvl w:val="9"/>
        <w:rPr>
          <w:rFonts w:ascii="宋体" w:hAnsi="宋体"/>
          <w:b/>
          <w:bCs/>
          <w:sz w:val="24"/>
          <w:szCs w:val="24"/>
        </w:rPr>
      </w:pPr>
    </w:p>
    <w:p w14:paraId="6F3FD499">
      <w:pPr>
        <w:autoSpaceDE w:val="0"/>
        <w:autoSpaceDN w:val="0"/>
        <w:adjustRightInd w:val="0"/>
        <w:spacing w:line="360" w:lineRule="auto"/>
        <w:jc w:val="center"/>
        <w:outlineLvl w:val="9"/>
        <w:rPr>
          <w:rFonts w:ascii="宋体" w:hAnsi="宋体"/>
          <w:b/>
          <w:bCs/>
          <w:sz w:val="24"/>
          <w:szCs w:val="24"/>
        </w:rPr>
      </w:pPr>
    </w:p>
    <w:p w14:paraId="32BE9D79">
      <w:pPr>
        <w:autoSpaceDE w:val="0"/>
        <w:autoSpaceDN w:val="0"/>
        <w:adjustRightInd w:val="0"/>
        <w:spacing w:line="360" w:lineRule="auto"/>
        <w:jc w:val="center"/>
        <w:outlineLvl w:val="9"/>
        <w:rPr>
          <w:rFonts w:ascii="宋体" w:hAnsi="宋体"/>
          <w:b/>
          <w:bCs/>
          <w:sz w:val="24"/>
          <w:szCs w:val="24"/>
        </w:rPr>
      </w:pPr>
    </w:p>
    <w:p w14:paraId="68B4EB3F">
      <w:pPr>
        <w:autoSpaceDE w:val="0"/>
        <w:autoSpaceDN w:val="0"/>
        <w:adjustRightInd w:val="0"/>
        <w:spacing w:line="360" w:lineRule="auto"/>
        <w:jc w:val="center"/>
        <w:outlineLvl w:val="9"/>
        <w:rPr>
          <w:rFonts w:ascii="宋体" w:hAnsi="宋体"/>
          <w:b/>
          <w:bCs/>
          <w:sz w:val="24"/>
          <w:szCs w:val="24"/>
        </w:rPr>
      </w:pPr>
    </w:p>
    <w:p w14:paraId="38F1356D">
      <w:pPr>
        <w:autoSpaceDE w:val="0"/>
        <w:autoSpaceDN w:val="0"/>
        <w:adjustRightInd w:val="0"/>
        <w:spacing w:line="360" w:lineRule="auto"/>
        <w:jc w:val="center"/>
        <w:outlineLvl w:val="9"/>
        <w:rPr>
          <w:rFonts w:ascii="宋体" w:hAnsi="宋体"/>
          <w:b/>
          <w:bCs/>
          <w:sz w:val="24"/>
          <w:szCs w:val="24"/>
        </w:rPr>
      </w:pPr>
    </w:p>
    <w:p w14:paraId="5E01DF7F">
      <w:pPr>
        <w:autoSpaceDE w:val="0"/>
        <w:autoSpaceDN w:val="0"/>
        <w:adjustRightInd w:val="0"/>
        <w:spacing w:line="360" w:lineRule="auto"/>
        <w:jc w:val="center"/>
        <w:outlineLvl w:val="9"/>
        <w:rPr>
          <w:rFonts w:ascii="宋体" w:hAnsi="宋体"/>
          <w:b/>
          <w:bCs/>
          <w:sz w:val="24"/>
          <w:szCs w:val="24"/>
        </w:rPr>
      </w:pPr>
    </w:p>
    <w:p w14:paraId="26B4A661">
      <w:pPr>
        <w:autoSpaceDE w:val="0"/>
        <w:autoSpaceDN w:val="0"/>
        <w:adjustRightInd w:val="0"/>
        <w:spacing w:line="360" w:lineRule="auto"/>
        <w:jc w:val="center"/>
        <w:outlineLvl w:val="2"/>
        <w:rPr>
          <w:rFonts w:ascii="宋体" w:hAnsi="宋体"/>
          <w:b/>
          <w:bCs/>
          <w:sz w:val="24"/>
          <w:szCs w:val="24"/>
        </w:rPr>
      </w:pPr>
      <w:r>
        <w:rPr>
          <w:rFonts w:hint="eastAsia" w:ascii="宋体" w:hAnsi="宋体"/>
          <w:b/>
          <w:bCs/>
          <w:sz w:val="24"/>
          <w:szCs w:val="24"/>
        </w:rPr>
        <w:t>4.3 技术方案（实施方案）</w:t>
      </w:r>
    </w:p>
    <w:p w14:paraId="067ABBAB">
      <w:pPr>
        <w:snapToGrid w:val="0"/>
        <w:spacing w:line="360" w:lineRule="auto"/>
        <w:jc w:val="center"/>
        <w:rPr>
          <w:rFonts w:hAnsi="宋体" w:eastAsia="宋体"/>
          <w:b/>
          <w:snapToGrid w:val="0"/>
          <w:kern w:val="0"/>
          <w:sz w:val="36"/>
          <w:szCs w:val="36"/>
        </w:rPr>
      </w:pPr>
    </w:p>
    <w:p w14:paraId="082231BD">
      <w:pPr>
        <w:snapToGrid w:val="0"/>
        <w:spacing w:line="360" w:lineRule="auto"/>
        <w:jc w:val="center"/>
        <w:rPr>
          <w:rFonts w:hAnsi="宋体" w:eastAsia="宋体"/>
          <w:b/>
          <w:snapToGrid w:val="0"/>
          <w:kern w:val="0"/>
          <w:sz w:val="36"/>
          <w:szCs w:val="36"/>
        </w:rPr>
      </w:pPr>
    </w:p>
    <w:p w14:paraId="1D5063B8">
      <w:pPr>
        <w:autoSpaceDE w:val="0"/>
        <w:autoSpaceDN w:val="0"/>
        <w:adjustRightInd w:val="0"/>
        <w:spacing w:line="360" w:lineRule="auto"/>
        <w:jc w:val="center"/>
        <w:rPr>
          <w:rFonts w:cs="宋体" w:asciiTheme="minorEastAsia" w:hAnsiTheme="minorEastAsia"/>
          <w:szCs w:val="21"/>
          <w:lang w:val="zh-CN"/>
        </w:rPr>
      </w:pPr>
      <w:r>
        <w:rPr>
          <w:rFonts w:hint="eastAsia" w:cs="宋体" w:asciiTheme="minorEastAsia" w:hAnsiTheme="minorEastAsia"/>
          <w:szCs w:val="21"/>
          <w:lang w:val="zh-CN"/>
        </w:rPr>
        <w:t>（投标人根据招标文件要求自行编制）</w:t>
      </w:r>
    </w:p>
    <w:p w14:paraId="12B3D930">
      <w:pPr>
        <w:snapToGrid w:val="0"/>
        <w:spacing w:line="360" w:lineRule="auto"/>
        <w:jc w:val="center"/>
        <w:rPr>
          <w:rFonts w:hAnsi="宋体" w:eastAsia="宋体"/>
          <w:b/>
          <w:snapToGrid w:val="0"/>
          <w:kern w:val="0"/>
          <w:sz w:val="36"/>
          <w:szCs w:val="36"/>
        </w:rPr>
      </w:pPr>
    </w:p>
    <w:p w14:paraId="3FC06306">
      <w:pPr>
        <w:snapToGrid w:val="0"/>
        <w:spacing w:line="360" w:lineRule="auto"/>
        <w:jc w:val="center"/>
        <w:rPr>
          <w:rFonts w:hAnsi="宋体" w:eastAsia="宋体"/>
          <w:b/>
          <w:snapToGrid w:val="0"/>
          <w:kern w:val="0"/>
          <w:sz w:val="36"/>
          <w:szCs w:val="36"/>
        </w:rPr>
      </w:pPr>
    </w:p>
    <w:p w14:paraId="418FCC1C">
      <w:pPr>
        <w:snapToGrid w:val="0"/>
        <w:spacing w:line="360" w:lineRule="auto"/>
        <w:jc w:val="center"/>
        <w:rPr>
          <w:rFonts w:hAnsi="宋体" w:eastAsia="宋体"/>
          <w:b/>
          <w:snapToGrid w:val="0"/>
          <w:kern w:val="0"/>
          <w:sz w:val="36"/>
          <w:szCs w:val="36"/>
        </w:rPr>
      </w:pPr>
    </w:p>
    <w:p w14:paraId="56EE2D98">
      <w:pPr>
        <w:snapToGrid w:val="0"/>
        <w:spacing w:line="360" w:lineRule="auto"/>
        <w:jc w:val="center"/>
        <w:rPr>
          <w:rFonts w:hAnsi="宋体" w:eastAsia="宋体"/>
          <w:b/>
          <w:snapToGrid w:val="0"/>
          <w:kern w:val="0"/>
          <w:sz w:val="36"/>
          <w:szCs w:val="36"/>
        </w:rPr>
      </w:pPr>
    </w:p>
    <w:p w14:paraId="442995E9">
      <w:pPr>
        <w:snapToGrid w:val="0"/>
        <w:spacing w:line="360" w:lineRule="auto"/>
        <w:jc w:val="center"/>
        <w:rPr>
          <w:rFonts w:hAnsi="宋体" w:eastAsia="宋体"/>
          <w:b/>
          <w:snapToGrid w:val="0"/>
          <w:kern w:val="0"/>
          <w:sz w:val="36"/>
          <w:szCs w:val="36"/>
        </w:rPr>
      </w:pPr>
    </w:p>
    <w:p w14:paraId="2515B272">
      <w:pPr>
        <w:snapToGrid w:val="0"/>
        <w:spacing w:line="360" w:lineRule="auto"/>
        <w:jc w:val="center"/>
        <w:rPr>
          <w:rFonts w:hAnsi="宋体" w:eastAsia="宋体"/>
          <w:b/>
          <w:snapToGrid w:val="0"/>
          <w:kern w:val="0"/>
          <w:sz w:val="36"/>
          <w:szCs w:val="36"/>
        </w:rPr>
      </w:pPr>
    </w:p>
    <w:p w14:paraId="6226330A">
      <w:pPr>
        <w:snapToGrid w:val="0"/>
        <w:spacing w:line="360" w:lineRule="auto"/>
        <w:jc w:val="center"/>
        <w:rPr>
          <w:rFonts w:hAnsi="宋体" w:eastAsia="宋体"/>
          <w:b/>
          <w:snapToGrid w:val="0"/>
          <w:kern w:val="0"/>
          <w:sz w:val="36"/>
          <w:szCs w:val="36"/>
        </w:rPr>
      </w:pPr>
    </w:p>
    <w:p w14:paraId="4A30A61C">
      <w:pPr>
        <w:snapToGrid w:val="0"/>
        <w:spacing w:line="360" w:lineRule="auto"/>
        <w:jc w:val="center"/>
        <w:rPr>
          <w:rFonts w:hAnsi="宋体" w:eastAsia="宋体"/>
          <w:b/>
          <w:snapToGrid w:val="0"/>
          <w:kern w:val="0"/>
          <w:sz w:val="36"/>
          <w:szCs w:val="36"/>
        </w:rPr>
      </w:pPr>
    </w:p>
    <w:p w14:paraId="030E435B">
      <w:pPr>
        <w:snapToGrid w:val="0"/>
        <w:spacing w:line="360" w:lineRule="auto"/>
        <w:jc w:val="center"/>
        <w:rPr>
          <w:rFonts w:hAnsi="宋体" w:eastAsia="宋体"/>
          <w:b/>
          <w:snapToGrid w:val="0"/>
          <w:kern w:val="0"/>
          <w:sz w:val="36"/>
          <w:szCs w:val="36"/>
        </w:rPr>
      </w:pPr>
    </w:p>
    <w:p w14:paraId="3223C9E8">
      <w:pPr>
        <w:snapToGrid w:val="0"/>
        <w:spacing w:line="360" w:lineRule="auto"/>
        <w:jc w:val="center"/>
        <w:rPr>
          <w:rFonts w:hAnsi="宋体" w:eastAsia="宋体"/>
          <w:b/>
          <w:snapToGrid w:val="0"/>
          <w:kern w:val="0"/>
          <w:sz w:val="36"/>
          <w:szCs w:val="36"/>
        </w:rPr>
      </w:pPr>
    </w:p>
    <w:p w14:paraId="01DBA75D">
      <w:pPr>
        <w:snapToGrid w:val="0"/>
        <w:spacing w:line="360" w:lineRule="auto"/>
        <w:jc w:val="center"/>
        <w:rPr>
          <w:rFonts w:hAnsi="宋体" w:eastAsia="宋体"/>
          <w:b/>
          <w:snapToGrid w:val="0"/>
          <w:kern w:val="0"/>
          <w:sz w:val="36"/>
          <w:szCs w:val="36"/>
        </w:rPr>
      </w:pPr>
    </w:p>
    <w:p w14:paraId="404530B1">
      <w:pPr>
        <w:snapToGrid w:val="0"/>
        <w:spacing w:line="360" w:lineRule="auto"/>
        <w:jc w:val="center"/>
        <w:rPr>
          <w:rFonts w:hAnsi="宋体" w:eastAsia="宋体"/>
          <w:b/>
          <w:snapToGrid w:val="0"/>
          <w:kern w:val="0"/>
          <w:sz w:val="36"/>
          <w:szCs w:val="36"/>
        </w:rPr>
      </w:pPr>
    </w:p>
    <w:p w14:paraId="4C47E94B">
      <w:pPr>
        <w:snapToGrid w:val="0"/>
        <w:spacing w:line="360" w:lineRule="auto"/>
        <w:jc w:val="center"/>
        <w:rPr>
          <w:rFonts w:hAnsi="宋体" w:eastAsia="宋体"/>
          <w:b/>
          <w:snapToGrid w:val="0"/>
          <w:kern w:val="0"/>
          <w:sz w:val="36"/>
          <w:szCs w:val="36"/>
        </w:rPr>
      </w:pPr>
    </w:p>
    <w:p w14:paraId="51ABFBFF">
      <w:pPr>
        <w:snapToGrid w:val="0"/>
        <w:spacing w:line="360" w:lineRule="auto"/>
        <w:jc w:val="center"/>
        <w:rPr>
          <w:rFonts w:hAnsi="宋体" w:eastAsia="宋体"/>
          <w:b/>
          <w:snapToGrid w:val="0"/>
          <w:kern w:val="0"/>
          <w:sz w:val="36"/>
          <w:szCs w:val="36"/>
        </w:rPr>
      </w:pPr>
    </w:p>
    <w:p w14:paraId="2BB1BFC8">
      <w:pPr>
        <w:snapToGrid w:val="0"/>
        <w:spacing w:line="360" w:lineRule="auto"/>
        <w:jc w:val="center"/>
        <w:rPr>
          <w:rFonts w:hAnsi="宋体" w:eastAsia="宋体"/>
          <w:b/>
          <w:snapToGrid w:val="0"/>
          <w:kern w:val="0"/>
          <w:sz w:val="36"/>
          <w:szCs w:val="36"/>
        </w:rPr>
      </w:pPr>
    </w:p>
    <w:p w14:paraId="4143322A">
      <w:pPr>
        <w:snapToGrid w:val="0"/>
        <w:spacing w:line="360" w:lineRule="auto"/>
        <w:jc w:val="center"/>
        <w:rPr>
          <w:rFonts w:hAnsi="宋体" w:eastAsia="宋体"/>
          <w:b/>
          <w:snapToGrid w:val="0"/>
          <w:kern w:val="0"/>
          <w:sz w:val="36"/>
          <w:szCs w:val="36"/>
        </w:rPr>
      </w:pPr>
    </w:p>
    <w:p w14:paraId="6B8F559B">
      <w:pPr>
        <w:autoSpaceDE w:val="0"/>
        <w:autoSpaceDN w:val="0"/>
        <w:adjustRightInd w:val="0"/>
        <w:spacing w:line="360" w:lineRule="auto"/>
        <w:jc w:val="center"/>
        <w:outlineLvl w:val="2"/>
        <w:rPr>
          <w:rFonts w:ascii="宋体" w:hAnsi="宋体"/>
          <w:b/>
          <w:bCs/>
          <w:sz w:val="24"/>
          <w:szCs w:val="24"/>
        </w:rPr>
      </w:pPr>
      <w:r>
        <w:rPr>
          <w:rFonts w:hint="eastAsia" w:ascii="宋体" w:hAnsi="宋体"/>
          <w:b/>
          <w:bCs/>
          <w:sz w:val="24"/>
          <w:szCs w:val="24"/>
        </w:rPr>
        <w:t>4.4 业绩情况表</w:t>
      </w:r>
    </w:p>
    <w:p w14:paraId="3A1B1957">
      <w:pPr>
        <w:autoSpaceDE w:val="0"/>
        <w:autoSpaceDN w:val="0"/>
        <w:adjustRightInd w:val="0"/>
        <w:spacing w:line="360" w:lineRule="auto"/>
        <w:jc w:val="center"/>
        <w:outlineLvl w:val="9"/>
        <w:rPr>
          <w:rFonts w:ascii="宋体" w:hAnsi="宋体"/>
          <w:b/>
          <w:bCs/>
          <w:sz w:val="28"/>
          <w:szCs w:val="28"/>
        </w:rPr>
      </w:pPr>
    </w:p>
    <w:p w14:paraId="2F83D133">
      <w:pPr>
        <w:spacing w:before="50" w:afterLines="50" w:line="360" w:lineRule="auto"/>
        <w:contextualSpacing/>
        <w:jc w:val="left"/>
        <w:rPr>
          <w:rFonts w:asciiTheme="minorEastAsia" w:hAnsiTheme="minorEastAsia"/>
          <w:szCs w:val="21"/>
        </w:rPr>
      </w:pPr>
      <w:r>
        <w:rPr>
          <w:rFonts w:hint="eastAsia" w:asciiTheme="minorEastAsia" w:hAnsiTheme="minorEastAsia"/>
          <w:szCs w:val="21"/>
        </w:rPr>
        <w:t>采购编号：</w:t>
      </w:r>
    </w:p>
    <w:p w14:paraId="2B5DAC56">
      <w:pPr>
        <w:snapToGrid w:val="0"/>
        <w:spacing w:line="360" w:lineRule="auto"/>
        <w:rPr>
          <w:rFonts w:asciiTheme="minorEastAsia" w:hAnsiTheme="minorEastAsia"/>
          <w:szCs w:val="21"/>
        </w:rPr>
      </w:pPr>
      <w:r>
        <w:rPr>
          <w:rFonts w:hint="eastAsia" w:asciiTheme="minorEastAsia" w:hAnsiTheme="minorEastAsia"/>
          <w:szCs w:val="21"/>
        </w:rPr>
        <w:t xml:space="preserve">项目名称：   </w:t>
      </w:r>
    </w:p>
    <w:p w14:paraId="7ACB1B18">
      <w:pPr>
        <w:snapToGrid w:val="0"/>
        <w:spacing w:line="360" w:lineRule="auto"/>
        <w:rPr>
          <w:rFonts w:hAnsi="宋体" w:eastAsia="宋体"/>
          <w:b/>
          <w:snapToGrid w:val="0"/>
          <w:kern w:val="0"/>
          <w:szCs w:val="21"/>
        </w:rPr>
      </w:pPr>
    </w:p>
    <w:tbl>
      <w:tblPr>
        <w:tblStyle w:val="24"/>
        <w:tblW w:w="9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08"/>
        <w:gridCol w:w="3579"/>
        <w:gridCol w:w="1440"/>
        <w:gridCol w:w="1706"/>
      </w:tblGrid>
      <w:tr w14:paraId="729F9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712" w:type="dxa"/>
            <w:shd w:val="clear" w:color="auto" w:fill="F3F3F3"/>
            <w:vAlign w:val="center"/>
          </w:tcPr>
          <w:p w14:paraId="52486A96">
            <w:pPr>
              <w:pStyle w:val="7"/>
              <w:jc w:val="center"/>
              <w:rPr>
                <w:rFonts w:ascii="宋体" w:hAnsi="宋体" w:eastAsia="宋体" w:cs="Times New Roman"/>
                <w:b/>
                <w:bCs/>
                <w:sz w:val="21"/>
                <w:szCs w:val="21"/>
              </w:rPr>
            </w:pPr>
            <w:r>
              <w:rPr>
                <w:rFonts w:hint="eastAsia" w:ascii="宋体" w:hAnsi="宋体" w:eastAsia="宋体" w:cs="宋体"/>
                <w:b/>
                <w:bCs/>
                <w:sz w:val="21"/>
                <w:szCs w:val="21"/>
              </w:rPr>
              <w:t>序号</w:t>
            </w:r>
          </w:p>
        </w:tc>
        <w:tc>
          <w:tcPr>
            <w:tcW w:w="1808" w:type="dxa"/>
            <w:shd w:val="clear" w:color="auto" w:fill="F3F3F3"/>
            <w:vAlign w:val="center"/>
          </w:tcPr>
          <w:p w14:paraId="630BBB1D">
            <w:pPr>
              <w:pStyle w:val="7"/>
              <w:jc w:val="center"/>
              <w:rPr>
                <w:rFonts w:ascii="宋体" w:hAnsi="宋体" w:eastAsia="宋体" w:cs="Times New Roman"/>
                <w:b/>
                <w:bCs/>
                <w:sz w:val="21"/>
                <w:szCs w:val="21"/>
              </w:rPr>
            </w:pPr>
            <w:r>
              <w:rPr>
                <w:rFonts w:hint="eastAsia" w:ascii="宋体" w:hAnsi="宋体" w:eastAsia="宋体" w:cs="宋体"/>
                <w:b/>
                <w:bCs/>
                <w:sz w:val="21"/>
                <w:szCs w:val="21"/>
              </w:rPr>
              <w:t>客户单位名称</w:t>
            </w:r>
          </w:p>
        </w:tc>
        <w:tc>
          <w:tcPr>
            <w:tcW w:w="3579" w:type="dxa"/>
            <w:shd w:val="clear" w:color="auto" w:fill="F3F3F3"/>
            <w:vAlign w:val="center"/>
          </w:tcPr>
          <w:p w14:paraId="6A0E02DD">
            <w:pPr>
              <w:pStyle w:val="7"/>
              <w:jc w:val="center"/>
              <w:rPr>
                <w:rFonts w:ascii="宋体" w:hAnsi="宋体" w:eastAsia="宋体" w:cs="Times New Roman"/>
                <w:b/>
                <w:bCs/>
                <w:sz w:val="21"/>
                <w:szCs w:val="21"/>
              </w:rPr>
            </w:pPr>
            <w:r>
              <w:rPr>
                <w:rFonts w:hint="eastAsia" w:ascii="宋体" w:hAnsi="宋体" w:eastAsia="宋体" w:cs="宋体"/>
                <w:b/>
                <w:bCs/>
                <w:sz w:val="21"/>
                <w:szCs w:val="21"/>
              </w:rPr>
              <w:t>项目名称及主要内容</w:t>
            </w:r>
          </w:p>
        </w:tc>
        <w:tc>
          <w:tcPr>
            <w:tcW w:w="1440" w:type="dxa"/>
            <w:shd w:val="clear" w:color="auto" w:fill="F3F3F3"/>
            <w:vAlign w:val="center"/>
          </w:tcPr>
          <w:p w14:paraId="7FF2A296">
            <w:pPr>
              <w:pStyle w:val="7"/>
              <w:jc w:val="center"/>
              <w:rPr>
                <w:rFonts w:ascii="宋体" w:hAnsi="宋体" w:eastAsia="宋体" w:cs="宋体"/>
                <w:b/>
                <w:bCs/>
                <w:sz w:val="21"/>
                <w:szCs w:val="21"/>
              </w:rPr>
            </w:pPr>
            <w:r>
              <w:rPr>
                <w:rFonts w:hint="eastAsia" w:ascii="宋体" w:hAnsi="宋体" w:eastAsia="宋体" w:cs="宋体"/>
                <w:b/>
                <w:bCs/>
                <w:sz w:val="21"/>
                <w:szCs w:val="21"/>
              </w:rPr>
              <w:t>合同金额</w:t>
            </w:r>
          </w:p>
          <w:p w14:paraId="1E2FFA9B">
            <w:pPr>
              <w:pStyle w:val="7"/>
              <w:jc w:val="center"/>
              <w:rPr>
                <w:rFonts w:ascii="宋体" w:hAnsi="宋体" w:eastAsia="宋体" w:cs="Times New Roman"/>
                <w:b/>
                <w:bCs/>
                <w:sz w:val="21"/>
                <w:szCs w:val="21"/>
              </w:rPr>
            </w:pPr>
            <w:r>
              <w:rPr>
                <w:rFonts w:hint="eastAsia" w:ascii="宋体" w:hAnsi="宋体" w:eastAsia="宋体" w:cs="宋体"/>
                <w:b/>
                <w:bCs/>
                <w:sz w:val="21"/>
                <w:szCs w:val="21"/>
              </w:rPr>
              <w:t>（万元）</w:t>
            </w:r>
          </w:p>
        </w:tc>
        <w:tc>
          <w:tcPr>
            <w:tcW w:w="1706" w:type="dxa"/>
            <w:shd w:val="clear" w:color="auto" w:fill="F3F3F3"/>
            <w:vAlign w:val="center"/>
          </w:tcPr>
          <w:p w14:paraId="2CEA7256">
            <w:pPr>
              <w:pStyle w:val="7"/>
              <w:jc w:val="center"/>
              <w:rPr>
                <w:rFonts w:ascii="宋体" w:hAnsi="宋体" w:eastAsia="宋体" w:cs="Times New Roman"/>
                <w:b/>
                <w:bCs/>
                <w:sz w:val="21"/>
                <w:szCs w:val="21"/>
              </w:rPr>
            </w:pPr>
            <w:r>
              <w:rPr>
                <w:rFonts w:hint="eastAsia" w:ascii="宋体" w:hAnsi="宋体" w:eastAsia="宋体" w:cs="宋体"/>
                <w:b/>
                <w:bCs/>
                <w:sz w:val="21"/>
                <w:szCs w:val="21"/>
              </w:rPr>
              <w:t>联系人及电话</w:t>
            </w:r>
          </w:p>
        </w:tc>
      </w:tr>
      <w:tr w14:paraId="4CC21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48F01C23">
            <w:pPr>
              <w:pStyle w:val="7"/>
              <w:spacing w:line="360" w:lineRule="auto"/>
              <w:jc w:val="center"/>
              <w:rPr>
                <w:rFonts w:ascii="宋体" w:hAnsi="宋体" w:eastAsia="宋体" w:cs="宋体"/>
                <w:sz w:val="21"/>
                <w:szCs w:val="21"/>
              </w:rPr>
            </w:pPr>
            <w:r>
              <w:rPr>
                <w:rFonts w:ascii="宋体" w:hAnsi="宋体" w:eastAsia="宋体" w:cs="宋体"/>
                <w:sz w:val="21"/>
                <w:szCs w:val="21"/>
              </w:rPr>
              <w:t>1</w:t>
            </w:r>
          </w:p>
        </w:tc>
        <w:tc>
          <w:tcPr>
            <w:tcW w:w="1808" w:type="dxa"/>
            <w:vAlign w:val="center"/>
          </w:tcPr>
          <w:p w14:paraId="3D298299">
            <w:pPr>
              <w:pStyle w:val="7"/>
              <w:spacing w:line="360" w:lineRule="auto"/>
              <w:rPr>
                <w:rFonts w:ascii="宋体" w:hAnsi="宋体" w:eastAsia="宋体" w:cs="Times New Roman"/>
                <w:sz w:val="21"/>
                <w:szCs w:val="21"/>
              </w:rPr>
            </w:pPr>
          </w:p>
        </w:tc>
        <w:tc>
          <w:tcPr>
            <w:tcW w:w="3579" w:type="dxa"/>
            <w:vAlign w:val="center"/>
          </w:tcPr>
          <w:p w14:paraId="6BE38495">
            <w:pPr>
              <w:pStyle w:val="7"/>
              <w:spacing w:line="360" w:lineRule="auto"/>
              <w:rPr>
                <w:rFonts w:ascii="宋体" w:hAnsi="宋体" w:eastAsia="宋体" w:cs="Times New Roman"/>
                <w:sz w:val="21"/>
                <w:szCs w:val="21"/>
              </w:rPr>
            </w:pPr>
          </w:p>
        </w:tc>
        <w:tc>
          <w:tcPr>
            <w:tcW w:w="1440" w:type="dxa"/>
            <w:vAlign w:val="center"/>
          </w:tcPr>
          <w:p w14:paraId="587EAB21">
            <w:pPr>
              <w:pStyle w:val="7"/>
              <w:spacing w:line="360" w:lineRule="auto"/>
              <w:rPr>
                <w:rFonts w:ascii="宋体" w:hAnsi="宋体" w:eastAsia="宋体" w:cs="Times New Roman"/>
                <w:sz w:val="21"/>
                <w:szCs w:val="21"/>
              </w:rPr>
            </w:pPr>
          </w:p>
        </w:tc>
        <w:tc>
          <w:tcPr>
            <w:tcW w:w="1706" w:type="dxa"/>
            <w:vAlign w:val="center"/>
          </w:tcPr>
          <w:p w14:paraId="22315D90">
            <w:pPr>
              <w:pStyle w:val="7"/>
              <w:spacing w:line="360" w:lineRule="auto"/>
              <w:rPr>
                <w:rFonts w:ascii="宋体" w:hAnsi="宋体" w:eastAsia="宋体" w:cs="Times New Roman"/>
                <w:sz w:val="21"/>
                <w:szCs w:val="21"/>
              </w:rPr>
            </w:pPr>
          </w:p>
        </w:tc>
      </w:tr>
      <w:tr w14:paraId="02351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5658EC1F">
            <w:pPr>
              <w:pStyle w:val="7"/>
              <w:spacing w:line="360" w:lineRule="auto"/>
              <w:jc w:val="center"/>
              <w:rPr>
                <w:rFonts w:ascii="宋体" w:hAnsi="宋体" w:eastAsia="宋体" w:cs="宋体"/>
                <w:sz w:val="21"/>
                <w:szCs w:val="21"/>
              </w:rPr>
            </w:pPr>
            <w:r>
              <w:rPr>
                <w:rFonts w:ascii="宋体" w:hAnsi="宋体" w:eastAsia="宋体" w:cs="宋体"/>
                <w:sz w:val="21"/>
                <w:szCs w:val="21"/>
              </w:rPr>
              <w:t>2</w:t>
            </w:r>
          </w:p>
        </w:tc>
        <w:tc>
          <w:tcPr>
            <w:tcW w:w="1808" w:type="dxa"/>
            <w:vAlign w:val="center"/>
          </w:tcPr>
          <w:p w14:paraId="2EDDFD82">
            <w:pPr>
              <w:pStyle w:val="7"/>
              <w:spacing w:line="360" w:lineRule="auto"/>
              <w:rPr>
                <w:rFonts w:ascii="宋体" w:hAnsi="宋体" w:eastAsia="宋体" w:cs="Times New Roman"/>
                <w:sz w:val="21"/>
                <w:szCs w:val="21"/>
              </w:rPr>
            </w:pPr>
          </w:p>
        </w:tc>
        <w:tc>
          <w:tcPr>
            <w:tcW w:w="3579" w:type="dxa"/>
            <w:vAlign w:val="center"/>
          </w:tcPr>
          <w:p w14:paraId="19532459">
            <w:pPr>
              <w:pStyle w:val="7"/>
              <w:spacing w:line="360" w:lineRule="auto"/>
              <w:rPr>
                <w:rFonts w:ascii="宋体" w:hAnsi="宋体" w:eastAsia="宋体" w:cs="Times New Roman"/>
                <w:sz w:val="21"/>
                <w:szCs w:val="21"/>
              </w:rPr>
            </w:pPr>
          </w:p>
        </w:tc>
        <w:tc>
          <w:tcPr>
            <w:tcW w:w="1440" w:type="dxa"/>
            <w:vAlign w:val="center"/>
          </w:tcPr>
          <w:p w14:paraId="74A3CD0B">
            <w:pPr>
              <w:pStyle w:val="7"/>
              <w:spacing w:line="360" w:lineRule="auto"/>
              <w:rPr>
                <w:rFonts w:ascii="宋体" w:hAnsi="宋体" w:eastAsia="宋体" w:cs="Times New Roman"/>
                <w:sz w:val="21"/>
                <w:szCs w:val="21"/>
              </w:rPr>
            </w:pPr>
          </w:p>
        </w:tc>
        <w:tc>
          <w:tcPr>
            <w:tcW w:w="1706" w:type="dxa"/>
            <w:vAlign w:val="center"/>
          </w:tcPr>
          <w:p w14:paraId="07BBCB1A">
            <w:pPr>
              <w:pStyle w:val="7"/>
              <w:spacing w:line="360" w:lineRule="auto"/>
              <w:rPr>
                <w:rFonts w:ascii="宋体" w:hAnsi="宋体" w:eastAsia="宋体" w:cs="Times New Roman"/>
                <w:sz w:val="21"/>
                <w:szCs w:val="21"/>
              </w:rPr>
            </w:pPr>
          </w:p>
        </w:tc>
      </w:tr>
      <w:tr w14:paraId="3C89B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5AC6D5D7">
            <w:pPr>
              <w:pStyle w:val="7"/>
              <w:spacing w:line="360" w:lineRule="auto"/>
              <w:jc w:val="center"/>
              <w:rPr>
                <w:rFonts w:ascii="宋体" w:hAnsi="宋体" w:eastAsia="宋体" w:cs="宋体"/>
                <w:sz w:val="21"/>
                <w:szCs w:val="21"/>
              </w:rPr>
            </w:pPr>
            <w:r>
              <w:rPr>
                <w:rFonts w:ascii="宋体" w:hAnsi="宋体" w:eastAsia="宋体" w:cs="宋体"/>
                <w:sz w:val="21"/>
                <w:szCs w:val="21"/>
              </w:rPr>
              <w:t>3</w:t>
            </w:r>
          </w:p>
        </w:tc>
        <w:tc>
          <w:tcPr>
            <w:tcW w:w="1808" w:type="dxa"/>
            <w:vAlign w:val="center"/>
          </w:tcPr>
          <w:p w14:paraId="7C8A7012">
            <w:pPr>
              <w:pStyle w:val="7"/>
              <w:spacing w:line="360" w:lineRule="auto"/>
              <w:rPr>
                <w:rFonts w:ascii="宋体" w:hAnsi="宋体" w:eastAsia="宋体" w:cs="Times New Roman"/>
                <w:sz w:val="21"/>
                <w:szCs w:val="21"/>
              </w:rPr>
            </w:pPr>
          </w:p>
        </w:tc>
        <w:tc>
          <w:tcPr>
            <w:tcW w:w="3579" w:type="dxa"/>
            <w:vAlign w:val="center"/>
          </w:tcPr>
          <w:p w14:paraId="609A503B">
            <w:pPr>
              <w:pStyle w:val="7"/>
              <w:spacing w:line="360" w:lineRule="auto"/>
              <w:rPr>
                <w:rFonts w:ascii="宋体" w:hAnsi="宋体" w:eastAsia="宋体" w:cs="Times New Roman"/>
                <w:sz w:val="21"/>
                <w:szCs w:val="21"/>
              </w:rPr>
            </w:pPr>
          </w:p>
        </w:tc>
        <w:tc>
          <w:tcPr>
            <w:tcW w:w="1440" w:type="dxa"/>
            <w:vAlign w:val="center"/>
          </w:tcPr>
          <w:p w14:paraId="1A21A8E6">
            <w:pPr>
              <w:pStyle w:val="7"/>
              <w:spacing w:line="360" w:lineRule="auto"/>
              <w:rPr>
                <w:rFonts w:ascii="宋体" w:hAnsi="宋体" w:eastAsia="宋体" w:cs="Times New Roman"/>
                <w:sz w:val="21"/>
                <w:szCs w:val="21"/>
              </w:rPr>
            </w:pPr>
          </w:p>
        </w:tc>
        <w:tc>
          <w:tcPr>
            <w:tcW w:w="1706" w:type="dxa"/>
            <w:vAlign w:val="center"/>
          </w:tcPr>
          <w:p w14:paraId="1AF7E261">
            <w:pPr>
              <w:pStyle w:val="7"/>
              <w:spacing w:line="360" w:lineRule="auto"/>
              <w:rPr>
                <w:rFonts w:ascii="宋体" w:hAnsi="宋体" w:eastAsia="宋体" w:cs="Times New Roman"/>
                <w:sz w:val="21"/>
                <w:szCs w:val="21"/>
              </w:rPr>
            </w:pPr>
          </w:p>
        </w:tc>
      </w:tr>
      <w:tr w14:paraId="66DF4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30BB0111">
            <w:pPr>
              <w:pStyle w:val="7"/>
              <w:spacing w:line="360" w:lineRule="auto"/>
              <w:jc w:val="center"/>
              <w:rPr>
                <w:rFonts w:ascii="宋体" w:hAnsi="宋体" w:eastAsia="宋体" w:cs="宋体"/>
                <w:sz w:val="21"/>
                <w:szCs w:val="21"/>
              </w:rPr>
            </w:pPr>
            <w:r>
              <w:rPr>
                <w:rFonts w:ascii="宋体" w:hAnsi="宋体" w:eastAsia="宋体" w:cs="宋体"/>
                <w:sz w:val="21"/>
                <w:szCs w:val="21"/>
              </w:rPr>
              <w:t>4</w:t>
            </w:r>
          </w:p>
        </w:tc>
        <w:tc>
          <w:tcPr>
            <w:tcW w:w="1808" w:type="dxa"/>
            <w:vAlign w:val="center"/>
          </w:tcPr>
          <w:p w14:paraId="525457C9">
            <w:pPr>
              <w:rPr>
                <w:rFonts w:ascii="宋体"/>
                <w:szCs w:val="21"/>
              </w:rPr>
            </w:pPr>
          </w:p>
        </w:tc>
        <w:tc>
          <w:tcPr>
            <w:tcW w:w="3579" w:type="dxa"/>
            <w:vAlign w:val="center"/>
          </w:tcPr>
          <w:p w14:paraId="7C4CE398">
            <w:pPr>
              <w:rPr>
                <w:rFonts w:ascii="宋体"/>
                <w:szCs w:val="21"/>
              </w:rPr>
            </w:pPr>
          </w:p>
        </w:tc>
        <w:tc>
          <w:tcPr>
            <w:tcW w:w="1440" w:type="dxa"/>
            <w:vAlign w:val="center"/>
          </w:tcPr>
          <w:p w14:paraId="6C319C0A">
            <w:pPr>
              <w:rPr>
                <w:rFonts w:ascii="宋体"/>
                <w:szCs w:val="21"/>
              </w:rPr>
            </w:pPr>
          </w:p>
        </w:tc>
        <w:tc>
          <w:tcPr>
            <w:tcW w:w="1706" w:type="dxa"/>
            <w:vAlign w:val="center"/>
          </w:tcPr>
          <w:p w14:paraId="7093F2D4">
            <w:pPr>
              <w:rPr>
                <w:rFonts w:ascii="宋体"/>
                <w:szCs w:val="21"/>
              </w:rPr>
            </w:pPr>
          </w:p>
        </w:tc>
      </w:tr>
      <w:tr w14:paraId="7CBDC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vAlign w:val="center"/>
          </w:tcPr>
          <w:p w14:paraId="59C49E00">
            <w:pPr>
              <w:pStyle w:val="7"/>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1808" w:type="dxa"/>
            <w:vAlign w:val="center"/>
          </w:tcPr>
          <w:p w14:paraId="2A19F9B5">
            <w:pPr>
              <w:rPr>
                <w:rFonts w:ascii="宋体"/>
                <w:szCs w:val="21"/>
              </w:rPr>
            </w:pPr>
          </w:p>
        </w:tc>
        <w:tc>
          <w:tcPr>
            <w:tcW w:w="3579" w:type="dxa"/>
            <w:vAlign w:val="center"/>
          </w:tcPr>
          <w:p w14:paraId="40D0F761">
            <w:pPr>
              <w:rPr>
                <w:rFonts w:ascii="宋体"/>
                <w:szCs w:val="21"/>
              </w:rPr>
            </w:pPr>
          </w:p>
        </w:tc>
        <w:tc>
          <w:tcPr>
            <w:tcW w:w="1440" w:type="dxa"/>
            <w:vAlign w:val="center"/>
          </w:tcPr>
          <w:p w14:paraId="28C2B5A7">
            <w:pPr>
              <w:rPr>
                <w:rFonts w:ascii="宋体"/>
                <w:szCs w:val="21"/>
              </w:rPr>
            </w:pPr>
          </w:p>
        </w:tc>
        <w:tc>
          <w:tcPr>
            <w:tcW w:w="1706" w:type="dxa"/>
            <w:vAlign w:val="center"/>
          </w:tcPr>
          <w:p w14:paraId="4EE27882">
            <w:pPr>
              <w:rPr>
                <w:rFonts w:ascii="宋体"/>
                <w:szCs w:val="21"/>
              </w:rPr>
            </w:pPr>
          </w:p>
        </w:tc>
      </w:tr>
    </w:tbl>
    <w:p w14:paraId="0E59F462">
      <w:pPr>
        <w:autoSpaceDE w:val="0"/>
        <w:autoSpaceDN w:val="0"/>
        <w:adjustRightInd w:val="0"/>
        <w:spacing w:line="480" w:lineRule="auto"/>
        <w:rPr>
          <w:rFonts w:cs="宋体" w:asciiTheme="minorEastAsia" w:hAnsiTheme="minorEastAsia"/>
          <w:szCs w:val="21"/>
          <w:lang w:val="zh-CN"/>
        </w:rPr>
      </w:pPr>
    </w:p>
    <w:p w14:paraId="30FD8672">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投标人（并加盖公章）：</w:t>
      </w:r>
    </w:p>
    <w:p w14:paraId="1F003F7B">
      <w:pPr>
        <w:autoSpaceDE w:val="0"/>
        <w:autoSpaceDN w:val="0"/>
        <w:adjustRightInd w:val="0"/>
        <w:spacing w:line="480" w:lineRule="auto"/>
        <w:rPr>
          <w:rFonts w:cs="宋体" w:asciiTheme="minorEastAsia" w:hAnsiTheme="minorEastAsia"/>
          <w:szCs w:val="21"/>
          <w:lang w:val="zh-CN"/>
        </w:rPr>
      </w:pPr>
    </w:p>
    <w:p w14:paraId="4E5C1EF5">
      <w:pPr>
        <w:autoSpaceDE w:val="0"/>
        <w:autoSpaceDN w:val="0"/>
        <w:adjustRightInd w:val="0"/>
        <w:spacing w:line="480" w:lineRule="auto"/>
        <w:rPr>
          <w:rFonts w:cs="宋体" w:asciiTheme="minorEastAsia" w:hAnsiTheme="minorEastAsia"/>
          <w:sz w:val="24"/>
          <w:szCs w:val="24"/>
          <w:lang w:val="zh-CN"/>
        </w:rPr>
      </w:pPr>
    </w:p>
    <w:p w14:paraId="3CDFD62F">
      <w:pPr>
        <w:autoSpaceDE w:val="0"/>
        <w:autoSpaceDN w:val="0"/>
        <w:adjustRightInd w:val="0"/>
        <w:spacing w:line="360" w:lineRule="auto"/>
        <w:jc w:val="center"/>
        <w:outlineLvl w:val="9"/>
        <w:rPr>
          <w:rFonts w:ascii="宋体" w:hAnsi="宋体"/>
          <w:b/>
          <w:bCs/>
          <w:sz w:val="24"/>
          <w:szCs w:val="24"/>
        </w:rPr>
      </w:pPr>
    </w:p>
    <w:p w14:paraId="7A15D401">
      <w:pPr>
        <w:autoSpaceDE w:val="0"/>
        <w:autoSpaceDN w:val="0"/>
        <w:adjustRightInd w:val="0"/>
        <w:spacing w:line="360" w:lineRule="auto"/>
        <w:jc w:val="center"/>
        <w:outlineLvl w:val="9"/>
        <w:rPr>
          <w:rFonts w:ascii="宋体" w:hAnsi="宋体"/>
          <w:b/>
          <w:bCs/>
          <w:sz w:val="24"/>
          <w:szCs w:val="24"/>
        </w:rPr>
      </w:pPr>
    </w:p>
    <w:p w14:paraId="6FACC35B">
      <w:pPr>
        <w:autoSpaceDE w:val="0"/>
        <w:autoSpaceDN w:val="0"/>
        <w:adjustRightInd w:val="0"/>
        <w:spacing w:line="360" w:lineRule="auto"/>
        <w:jc w:val="center"/>
        <w:outlineLvl w:val="9"/>
        <w:rPr>
          <w:rFonts w:ascii="宋体" w:hAnsi="宋体"/>
          <w:b/>
          <w:bCs/>
          <w:sz w:val="24"/>
          <w:szCs w:val="24"/>
        </w:rPr>
      </w:pPr>
    </w:p>
    <w:p w14:paraId="58E7E367">
      <w:pPr>
        <w:autoSpaceDE w:val="0"/>
        <w:autoSpaceDN w:val="0"/>
        <w:adjustRightInd w:val="0"/>
        <w:spacing w:line="360" w:lineRule="auto"/>
        <w:jc w:val="center"/>
        <w:outlineLvl w:val="9"/>
        <w:rPr>
          <w:rFonts w:ascii="宋体" w:hAnsi="宋体"/>
          <w:b/>
          <w:bCs/>
          <w:sz w:val="24"/>
          <w:szCs w:val="24"/>
        </w:rPr>
      </w:pPr>
    </w:p>
    <w:p w14:paraId="2AA67CED">
      <w:pPr>
        <w:autoSpaceDE w:val="0"/>
        <w:autoSpaceDN w:val="0"/>
        <w:adjustRightInd w:val="0"/>
        <w:spacing w:line="360" w:lineRule="auto"/>
        <w:jc w:val="center"/>
        <w:outlineLvl w:val="9"/>
        <w:rPr>
          <w:rFonts w:ascii="宋体" w:hAnsi="宋体"/>
          <w:b/>
          <w:bCs/>
          <w:sz w:val="24"/>
          <w:szCs w:val="24"/>
        </w:rPr>
      </w:pPr>
    </w:p>
    <w:p w14:paraId="267C2064">
      <w:pPr>
        <w:autoSpaceDE w:val="0"/>
        <w:autoSpaceDN w:val="0"/>
        <w:adjustRightInd w:val="0"/>
        <w:spacing w:line="360" w:lineRule="auto"/>
        <w:jc w:val="center"/>
        <w:outlineLvl w:val="9"/>
        <w:rPr>
          <w:rFonts w:ascii="宋体" w:hAnsi="宋体"/>
          <w:b/>
          <w:bCs/>
          <w:sz w:val="24"/>
          <w:szCs w:val="24"/>
        </w:rPr>
      </w:pPr>
    </w:p>
    <w:p w14:paraId="3A6CAAAB">
      <w:pPr>
        <w:autoSpaceDE w:val="0"/>
        <w:autoSpaceDN w:val="0"/>
        <w:adjustRightInd w:val="0"/>
        <w:spacing w:line="360" w:lineRule="auto"/>
        <w:jc w:val="center"/>
        <w:outlineLvl w:val="9"/>
        <w:rPr>
          <w:rFonts w:ascii="宋体" w:hAnsi="宋体"/>
          <w:b/>
          <w:bCs/>
          <w:sz w:val="24"/>
          <w:szCs w:val="24"/>
        </w:rPr>
      </w:pPr>
    </w:p>
    <w:p w14:paraId="77DBD628">
      <w:pPr>
        <w:autoSpaceDE w:val="0"/>
        <w:autoSpaceDN w:val="0"/>
        <w:adjustRightInd w:val="0"/>
        <w:spacing w:line="360" w:lineRule="auto"/>
        <w:jc w:val="center"/>
        <w:outlineLvl w:val="9"/>
        <w:rPr>
          <w:rFonts w:ascii="宋体" w:hAnsi="宋体"/>
          <w:b/>
          <w:bCs/>
          <w:sz w:val="24"/>
          <w:szCs w:val="24"/>
        </w:rPr>
      </w:pPr>
    </w:p>
    <w:p w14:paraId="115EFE72">
      <w:pPr>
        <w:autoSpaceDE w:val="0"/>
        <w:autoSpaceDN w:val="0"/>
        <w:adjustRightInd w:val="0"/>
        <w:spacing w:line="360" w:lineRule="auto"/>
        <w:jc w:val="center"/>
        <w:outlineLvl w:val="2"/>
        <w:rPr>
          <w:rFonts w:ascii="宋体" w:hAnsi="宋体"/>
          <w:b/>
          <w:bCs/>
          <w:sz w:val="24"/>
          <w:szCs w:val="24"/>
        </w:rPr>
      </w:pPr>
      <w:r>
        <w:rPr>
          <w:rFonts w:hint="eastAsia" w:ascii="宋体" w:hAnsi="宋体"/>
          <w:b/>
          <w:bCs/>
          <w:sz w:val="24"/>
          <w:szCs w:val="24"/>
        </w:rPr>
        <w:t>4.5 售后服务方案</w:t>
      </w:r>
    </w:p>
    <w:p w14:paraId="39DB5627">
      <w:pPr>
        <w:autoSpaceDE w:val="0"/>
        <w:autoSpaceDN w:val="0"/>
        <w:adjustRightInd w:val="0"/>
        <w:spacing w:line="360" w:lineRule="auto"/>
        <w:jc w:val="center"/>
        <w:outlineLvl w:val="9"/>
        <w:rPr>
          <w:rFonts w:ascii="宋体" w:hAnsi="宋体"/>
          <w:b/>
          <w:bCs/>
          <w:sz w:val="36"/>
          <w:szCs w:val="36"/>
        </w:rPr>
      </w:pPr>
    </w:p>
    <w:p w14:paraId="2D8558F7">
      <w:pPr>
        <w:autoSpaceDE w:val="0"/>
        <w:autoSpaceDN w:val="0"/>
        <w:adjustRightInd w:val="0"/>
        <w:spacing w:line="360" w:lineRule="auto"/>
        <w:jc w:val="center"/>
        <w:outlineLvl w:val="9"/>
        <w:rPr>
          <w:rFonts w:ascii="宋体" w:hAnsi="宋体"/>
          <w:b/>
          <w:bCs/>
          <w:sz w:val="36"/>
          <w:szCs w:val="36"/>
        </w:rPr>
      </w:pPr>
    </w:p>
    <w:p w14:paraId="2821130D">
      <w:pPr>
        <w:autoSpaceDE w:val="0"/>
        <w:autoSpaceDN w:val="0"/>
        <w:adjustRightInd w:val="0"/>
        <w:spacing w:line="360" w:lineRule="auto"/>
        <w:jc w:val="center"/>
        <w:rPr>
          <w:rFonts w:cs="宋体" w:asciiTheme="minorEastAsia" w:hAnsiTheme="minorEastAsia"/>
          <w:szCs w:val="21"/>
          <w:lang w:val="zh-CN"/>
        </w:rPr>
      </w:pPr>
      <w:r>
        <w:rPr>
          <w:rFonts w:hint="eastAsia" w:cs="宋体" w:asciiTheme="minorEastAsia" w:hAnsiTheme="minorEastAsia"/>
          <w:szCs w:val="21"/>
          <w:lang w:val="zh-CN"/>
        </w:rPr>
        <w:t>（投标人根据招标文件要求自行编制）</w:t>
      </w:r>
    </w:p>
    <w:p w14:paraId="163A3E9A">
      <w:pPr>
        <w:autoSpaceDE w:val="0"/>
        <w:autoSpaceDN w:val="0"/>
        <w:adjustRightInd w:val="0"/>
        <w:spacing w:line="360" w:lineRule="auto"/>
        <w:jc w:val="center"/>
        <w:outlineLvl w:val="9"/>
        <w:rPr>
          <w:rFonts w:ascii="宋体" w:hAnsi="宋体"/>
          <w:b/>
          <w:bCs/>
          <w:sz w:val="36"/>
          <w:szCs w:val="36"/>
        </w:rPr>
      </w:pPr>
    </w:p>
    <w:p w14:paraId="6DD0F70C">
      <w:pPr>
        <w:autoSpaceDE w:val="0"/>
        <w:autoSpaceDN w:val="0"/>
        <w:adjustRightInd w:val="0"/>
        <w:spacing w:line="360" w:lineRule="auto"/>
        <w:jc w:val="center"/>
        <w:outlineLvl w:val="9"/>
        <w:rPr>
          <w:rFonts w:ascii="宋体" w:hAnsi="宋体"/>
          <w:b/>
          <w:bCs/>
          <w:sz w:val="36"/>
          <w:szCs w:val="36"/>
        </w:rPr>
      </w:pPr>
    </w:p>
    <w:p w14:paraId="05424AA3">
      <w:pPr>
        <w:autoSpaceDE w:val="0"/>
        <w:autoSpaceDN w:val="0"/>
        <w:adjustRightInd w:val="0"/>
        <w:spacing w:line="360" w:lineRule="auto"/>
        <w:jc w:val="center"/>
        <w:outlineLvl w:val="9"/>
        <w:rPr>
          <w:rFonts w:ascii="宋体" w:hAnsi="宋体"/>
          <w:b/>
          <w:bCs/>
          <w:sz w:val="36"/>
          <w:szCs w:val="36"/>
        </w:rPr>
      </w:pPr>
    </w:p>
    <w:p w14:paraId="191480E8">
      <w:pPr>
        <w:autoSpaceDE w:val="0"/>
        <w:autoSpaceDN w:val="0"/>
        <w:adjustRightInd w:val="0"/>
        <w:spacing w:line="360" w:lineRule="auto"/>
        <w:jc w:val="center"/>
        <w:outlineLvl w:val="9"/>
        <w:rPr>
          <w:rFonts w:ascii="宋体" w:hAnsi="宋体"/>
          <w:b/>
          <w:bCs/>
          <w:sz w:val="36"/>
          <w:szCs w:val="36"/>
        </w:rPr>
      </w:pPr>
    </w:p>
    <w:p w14:paraId="253C9FD3">
      <w:pPr>
        <w:autoSpaceDE w:val="0"/>
        <w:autoSpaceDN w:val="0"/>
        <w:adjustRightInd w:val="0"/>
        <w:spacing w:line="360" w:lineRule="auto"/>
        <w:jc w:val="center"/>
        <w:outlineLvl w:val="9"/>
        <w:rPr>
          <w:rFonts w:ascii="宋体" w:hAnsi="宋体"/>
          <w:b/>
          <w:bCs/>
          <w:sz w:val="36"/>
          <w:szCs w:val="36"/>
        </w:rPr>
      </w:pPr>
    </w:p>
    <w:p w14:paraId="149867B8">
      <w:pPr>
        <w:autoSpaceDE w:val="0"/>
        <w:autoSpaceDN w:val="0"/>
        <w:adjustRightInd w:val="0"/>
        <w:spacing w:line="360" w:lineRule="auto"/>
        <w:jc w:val="center"/>
        <w:outlineLvl w:val="9"/>
        <w:rPr>
          <w:rFonts w:ascii="宋体" w:hAnsi="宋体"/>
          <w:b/>
          <w:bCs/>
          <w:sz w:val="36"/>
          <w:szCs w:val="36"/>
        </w:rPr>
      </w:pPr>
    </w:p>
    <w:p w14:paraId="26A3051C">
      <w:pPr>
        <w:autoSpaceDE w:val="0"/>
        <w:autoSpaceDN w:val="0"/>
        <w:adjustRightInd w:val="0"/>
        <w:spacing w:line="360" w:lineRule="auto"/>
        <w:jc w:val="center"/>
        <w:outlineLvl w:val="9"/>
        <w:rPr>
          <w:rFonts w:ascii="宋体" w:hAnsi="宋体"/>
          <w:b/>
          <w:bCs/>
          <w:sz w:val="36"/>
          <w:szCs w:val="36"/>
        </w:rPr>
      </w:pPr>
    </w:p>
    <w:p w14:paraId="283FCF19">
      <w:pPr>
        <w:autoSpaceDE w:val="0"/>
        <w:autoSpaceDN w:val="0"/>
        <w:adjustRightInd w:val="0"/>
        <w:spacing w:line="360" w:lineRule="auto"/>
        <w:jc w:val="center"/>
        <w:outlineLvl w:val="9"/>
        <w:rPr>
          <w:rFonts w:ascii="宋体" w:hAnsi="宋体"/>
          <w:b/>
          <w:bCs/>
          <w:sz w:val="36"/>
          <w:szCs w:val="36"/>
        </w:rPr>
      </w:pPr>
    </w:p>
    <w:p w14:paraId="05F27FF6">
      <w:pPr>
        <w:autoSpaceDE w:val="0"/>
        <w:autoSpaceDN w:val="0"/>
        <w:adjustRightInd w:val="0"/>
        <w:spacing w:line="360" w:lineRule="auto"/>
        <w:jc w:val="center"/>
        <w:outlineLvl w:val="9"/>
        <w:rPr>
          <w:rFonts w:ascii="宋体" w:hAnsi="宋体"/>
          <w:b/>
          <w:bCs/>
          <w:sz w:val="36"/>
          <w:szCs w:val="36"/>
        </w:rPr>
      </w:pPr>
    </w:p>
    <w:p w14:paraId="782A8405">
      <w:pPr>
        <w:autoSpaceDE w:val="0"/>
        <w:autoSpaceDN w:val="0"/>
        <w:adjustRightInd w:val="0"/>
        <w:spacing w:line="360" w:lineRule="auto"/>
        <w:jc w:val="center"/>
        <w:outlineLvl w:val="9"/>
        <w:rPr>
          <w:rFonts w:ascii="宋体" w:hAnsi="宋体"/>
          <w:b/>
          <w:bCs/>
          <w:sz w:val="36"/>
          <w:szCs w:val="36"/>
        </w:rPr>
      </w:pPr>
    </w:p>
    <w:p w14:paraId="0264D0EF">
      <w:pPr>
        <w:autoSpaceDE w:val="0"/>
        <w:autoSpaceDN w:val="0"/>
        <w:adjustRightInd w:val="0"/>
        <w:spacing w:line="360" w:lineRule="auto"/>
        <w:jc w:val="center"/>
        <w:outlineLvl w:val="9"/>
        <w:rPr>
          <w:rFonts w:ascii="宋体" w:hAnsi="宋体"/>
          <w:b/>
          <w:bCs/>
          <w:sz w:val="36"/>
          <w:szCs w:val="36"/>
        </w:rPr>
      </w:pPr>
    </w:p>
    <w:p w14:paraId="686C66CA">
      <w:pPr>
        <w:autoSpaceDE w:val="0"/>
        <w:autoSpaceDN w:val="0"/>
        <w:adjustRightInd w:val="0"/>
        <w:spacing w:line="360" w:lineRule="auto"/>
        <w:jc w:val="center"/>
        <w:outlineLvl w:val="9"/>
        <w:rPr>
          <w:rFonts w:ascii="宋体" w:hAnsi="宋体"/>
          <w:b/>
          <w:bCs/>
          <w:sz w:val="36"/>
          <w:szCs w:val="36"/>
        </w:rPr>
      </w:pPr>
    </w:p>
    <w:p w14:paraId="79733F7F">
      <w:pPr>
        <w:autoSpaceDE w:val="0"/>
        <w:autoSpaceDN w:val="0"/>
        <w:adjustRightInd w:val="0"/>
        <w:spacing w:line="360" w:lineRule="auto"/>
        <w:jc w:val="center"/>
        <w:outlineLvl w:val="9"/>
        <w:rPr>
          <w:rFonts w:ascii="宋体" w:hAnsi="宋体"/>
          <w:b/>
          <w:bCs/>
          <w:sz w:val="36"/>
          <w:szCs w:val="36"/>
        </w:rPr>
      </w:pPr>
    </w:p>
    <w:p w14:paraId="6D222D48">
      <w:pPr>
        <w:autoSpaceDE w:val="0"/>
        <w:autoSpaceDN w:val="0"/>
        <w:adjustRightInd w:val="0"/>
        <w:spacing w:line="360" w:lineRule="auto"/>
        <w:jc w:val="center"/>
        <w:outlineLvl w:val="9"/>
        <w:rPr>
          <w:rFonts w:ascii="宋体" w:hAnsi="宋体"/>
          <w:b/>
          <w:bCs/>
          <w:sz w:val="36"/>
          <w:szCs w:val="36"/>
        </w:rPr>
      </w:pPr>
    </w:p>
    <w:p w14:paraId="1DDA08A2">
      <w:pPr>
        <w:autoSpaceDE w:val="0"/>
        <w:autoSpaceDN w:val="0"/>
        <w:adjustRightInd w:val="0"/>
        <w:spacing w:line="360" w:lineRule="auto"/>
        <w:jc w:val="center"/>
        <w:outlineLvl w:val="9"/>
        <w:rPr>
          <w:rFonts w:ascii="宋体" w:hAnsi="宋体"/>
          <w:b/>
          <w:bCs/>
          <w:sz w:val="36"/>
          <w:szCs w:val="36"/>
        </w:rPr>
      </w:pPr>
    </w:p>
    <w:p w14:paraId="3E254EDC">
      <w:pPr>
        <w:autoSpaceDE w:val="0"/>
        <w:autoSpaceDN w:val="0"/>
        <w:adjustRightInd w:val="0"/>
        <w:spacing w:line="360" w:lineRule="auto"/>
        <w:jc w:val="center"/>
        <w:outlineLvl w:val="9"/>
        <w:rPr>
          <w:rFonts w:ascii="宋体" w:hAnsi="宋体"/>
          <w:b/>
          <w:bCs/>
          <w:sz w:val="36"/>
          <w:szCs w:val="36"/>
        </w:rPr>
      </w:pPr>
    </w:p>
    <w:p w14:paraId="6491E58E">
      <w:pPr>
        <w:autoSpaceDE w:val="0"/>
        <w:autoSpaceDN w:val="0"/>
        <w:adjustRightInd w:val="0"/>
        <w:spacing w:line="360" w:lineRule="auto"/>
        <w:jc w:val="center"/>
        <w:outlineLvl w:val="9"/>
        <w:rPr>
          <w:rFonts w:ascii="宋体" w:hAnsi="宋体"/>
          <w:b/>
          <w:bCs/>
          <w:sz w:val="36"/>
          <w:szCs w:val="36"/>
        </w:rPr>
      </w:pPr>
    </w:p>
    <w:p w14:paraId="533A308B">
      <w:pPr>
        <w:autoSpaceDE w:val="0"/>
        <w:autoSpaceDN w:val="0"/>
        <w:adjustRightInd w:val="0"/>
        <w:spacing w:line="360" w:lineRule="auto"/>
        <w:jc w:val="center"/>
        <w:outlineLvl w:val="2"/>
        <w:rPr>
          <w:rFonts w:ascii="宋体" w:hAnsi="宋体"/>
          <w:b/>
          <w:bCs/>
          <w:sz w:val="24"/>
          <w:szCs w:val="24"/>
        </w:rPr>
      </w:pPr>
      <w:r>
        <w:rPr>
          <w:rFonts w:hint="eastAsia" w:ascii="宋体" w:hAnsi="宋体"/>
          <w:b/>
          <w:bCs/>
          <w:sz w:val="24"/>
          <w:szCs w:val="24"/>
        </w:rPr>
        <w:t>4.6“节能产品政府采购品目清单”强制节能产品情况</w:t>
      </w:r>
    </w:p>
    <w:p w14:paraId="72CB7248">
      <w:pPr>
        <w:autoSpaceDE w:val="0"/>
        <w:autoSpaceDN w:val="0"/>
        <w:adjustRightInd w:val="0"/>
        <w:spacing w:line="360" w:lineRule="auto"/>
        <w:jc w:val="center"/>
        <w:outlineLvl w:val="9"/>
        <w:rPr>
          <w:rFonts w:ascii="宋体" w:hAnsi="宋体"/>
          <w:b/>
          <w:bCs/>
          <w:sz w:val="28"/>
          <w:szCs w:val="28"/>
        </w:rPr>
      </w:pPr>
    </w:p>
    <w:p w14:paraId="1BC5D389">
      <w:pPr>
        <w:spacing w:before="50" w:afterLines="50" w:line="360" w:lineRule="auto"/>
        <w:contextualSpacing/>
        <w:jc w:val="left"/>
        <w:rPr>
          <w:rFonts w:asciiTheme="minorEastAsia" w:hAnsiTheme="minorEastAsia"/>
          <w:szCs w:val="21"/>
        </w:rPr>
      </w:pPr>
      <w:r>
        <w:rPr>
          <w:rFonts w:hint="eastAsia" w:asciiTheme="minorEastAsia" w:hAnsiTheme="minorEastAsia"/>
          <w:szCs w:val="21"/>
        </w:rPr>
        <w:t>采购编号：</w:t>
      </w:r>
    </w:p>
    <w:p w14:paraId="4F1DBFE2">
      <w:pPr>
        <w:tabs>
          <w:tab w:val="left" w:pos="1800"/>
          <w:tab w:val="left" w:pos="5580"/>
        </w:tabs>
        <w:spacing w:line="360" w:lineRule="auto"/>
        <w:rPr>
          <w:rFonts w:asciiTheme="minorEastAsia" w:hAnsiTheme="minorEastAsia"/>
          <w:szCs w:val="21"/>
        </w:rPr>
      </w:pPr>
      <w:r>
        <w:rPr>
          <w:rFonts w:hint="eastAsia" w:asciiTheme="minorEastAsia" w:hAnsiTheme="minorEastAsia"/>
          <w:szCs w:val="21"/>
        </w:rPr>
        <w:t>项目名称：</w:t>
      </w:r>
    </w:p>
    <w:p w14:paraId="163D8F9A">
      <w:pPr>
        <w:tabs>
          <w:tab w:val="left" w:pos="1800"/>
          <w:tab w:val="left" w:pos="5580"/>
        </w:tabs>
        <w:spacing w:line="360" w:lineRule="auto"/>
        <w:rPr>
          <w:rFonts w:ascii="宋体" w:hAnsi="宋体"/>
          <w:szCs w:val="21"/>
        </w:rPr>
      </w:pPr>
    </w:p>
    <w:tbl>
      <w:tblPr>
        <w:tblStyle w:val="24"/>
        <w:tblW w:w="51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1374"/>
        <w:gridCol w:w="1518"/>
        <w:gridCol w:w="1240"/>
        <w:gridCol w:w="1648"/>
        <w:gridCol w:w="1600"/>
        <w:gridCol w:w="1417"/>
      </w:tblGrid>
      <w:tr w14:paraId="757D9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282" w:type="pct"/>
            <w:shd w:val="clear" w:color="auto" w:fill="F1F1F1" w:themeFill="background1" w:themeFillShade="F2"/>
            <w:vAlign w:val="center"/>
          </w:tcPr>
          <w:p w14:paraId="2C085F91">
            <w:pPr>
              <w:pStyle w:val="7"/>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737" w:type="pct"/>
            <w:shd w:val="clear" w:color="auto" w:fill="F1F1F1" w:themeFill="background1" w:themeFillShade="F2"/>
            <w:vAlign w:val="center"/>
          </w:tcPr>
          <w:p w14:paraId="73EEDE41">
            <w:pPr>
              <w:pStyle w:val="7"/>
              <w:jc w:val="center"/>
              <w:rPr>
                <w:rFonts w:ascii="宋体" w:hAnsi="宋体" w:eastAsia="宋体" w:cs="宋体"/>
                <w:b/>
                <w:bCs/>
                <w:sz w:val="21"/>
                <w:szCs w:val="21"/>
              </w:rPr>
            </w:pPr>
            <w:r>
              <w:rPr>
                <w:rFonts w:hint="eastAsia" w:ascii="宋体" w:hAnsi="宋体" w:eastAsia="宋体" w:cs="宋体"/>
                <w:b/>
                <w:bCs/>
                <w:sz w:val="21"/>
                <w:szCs w:val="21"/>
              </w:rPr>
              <w:t>产品名称</w:t>
            </w:r>
          </w:p>
        </w:tc>
        <w:tc>
          <w:tcPr>
            <w:tcW w:w="814" w:type="pct"/>
            <w:shd w:val="clear" w:color="auto" w:fill="F1F1F1" w:themeFill="background1" w:themeFillShade="F2"/>
            <w:vAlign w:val="center"/>
          </w:tcPr>
          <w:p w14:paraId="4044ACAE">
            <w:pPr>
              <w:pStyle w:val="7"/>
              <w:jc w:val="center"/>
              <w:rPr>
                <w:rFonts w:ascii="宋体" w:hAnsi="宋体" w:eastAsia="宋体" w:cs="宋体"/>
                <w:b/>
                <w:bCs/>
                <w:sz w:val="21"/>
                <w:szCs w:val="21"/>
              </w:rPr>
            </w:pPr>
            <w:r>
              <w:rPr>
                <w:rFonts w:hint="eastAsia" w:ascii="宋体" w:hAnsi="宋体" w:eastAsia="宋体" w:cs="宋体"/>
                <w:b/>
                <w:bCs/>
                <w:sz w:val="21"/>
                <w:szCs w:val="21"/>
              </w:rPr>
              <w:t>品牌</w:t>
            </w:r>
          </w:p>
        </w:tc>
        <w:tc>
          <w:tcPr>
            <w:tcW w:w="665" w:type="pct"/>
            <w:shd w:val="clear" w:color="auto" w:fill="F1F1F1" w:themeFill="background1" w:themeFillShade="F2"/>
            <w:vAlign w:val="center"/>
          </w:tcPr>
          <w:p w14:paraId="760C5DD9">
            <w:pPr>
              <w:pStyle w:val="7"/>
              <w:jc w:val="center"/>
              <w:rPr>
                <w:rFonts w:ascii="宋体" w:hAnsi="宋体" w:eastAsia="宋体" w:cs="宋体"/>
                <w:b/>
                <w:bCs/>
                <w:sz w:val="21"/>
                <w:szCs w:val="21"/>
              </w:rPr>
            </w:pPr>
            <w:r>
              <w:rPr>
                <w:rFonts w:hint="eastAsia" w:ascii="宋体" w:hAnsi="宋体" w:eastAsia="宋体" w:cs="宋体"/>
                <w:b/>
                <w:bCs/>
                <w:sz w:val="21"/>
                <w:szCs w:val="21"/>
              </w:rPr>
              <w:t>产品型号</w:t>
            </w:r>
          </w:p>
        </w:tc>
        <w:tc>
          <w:tcPr>
            <w:tcW w:w="884" w:type="pct"/>
            <w:shd w:val="clear" w:color="auto" w:fill="F1F1F1" w:themeFill="background1" w:themeFillShade="F2"/>
            <w:vAlign w:val="center"/>
          </w:tcPr>
          <w:p w14:paraId="60BCE60C">
            <w:pPr>
              <w:pStyle w:val="7"/>
              <w:jc w:val="center"/>
              <w:rPr>
                <w:rFonts w:ascii="宋体" w:hAnsi="宋体" w:eastAsia="宋体" w:cs="宋体"/>
                <w:b/>
                <w:bCs/>
                <w:sz w:val="21"/>
                <w:szCs w:val="21"/>
              </w:rPr>
            </w:pPr>
            <w:r>
              <w:rPr>
                <w:rFonts w:hint="eastAsia" w:ascii="宋体" w:hAnsi="宋体" w:eastAsia="宋体" w:cs="宋体"/>
                <w:b/>
                <w:bCs/>
                <w:sz w:val="21"/>
                <w:szCs w:val="21"/>
              </w:rPr>
              <w:t>认证证书编号</w:t>
            </w:r>
          </w:p>
        </w:tc>
        <w:tc>
          <w:tcPr>
            <w:tcW w:w="858" w:type="pct"/>
            <w:shd w:val="clear" w:color="auto" w:fill="F1F1F1" w:themeFill="background1" w:themeFillShade="F2"/>
            <w:vAlign w:val="center"/>
          </w:tcPr>
          <w:p w14:paraId="65526563">
            <w:pPr>
              <w:pStyle w:val="7"/>
              <w:jc w:val="center"/>
              <w:rPr>
                <w:rFonts w:ascii="宋体" w:hAnsi="宋体" w:eastAsia="宋体" w:cs="宋体"/>
                <w:b/>
                <w:bCs/>
                <w:sz w:val="21"/>
                <w:szCs w:val="21"/>
              </w:rPr>
            </w:pPr>
            <w:r>
              <w:rPr>
                <w:rFonts w:hint="eastAsia" w:ascii="宋体" w:hAnsi="宋体" w:eastAsia="宋体" w:cs="宋体"/>
                <w:b/>
                <w:bCs/>
                <w:sz w:val="21"/>
                <w:szCs w:val="21"/>
              </w:rPr>
              <w:t>证书有效期</w:t>
            </w:r>
          </w:p>
        </w:tc>
        <w:tc>
          <w:tcPr>
            <w:tcW w:w="760" w:type="pct"/>
            <w:shd w:val="clear" w:color="auto" w:fill="F1F1F1" w:themeFill="background1" w:themeFillShade="F2"/>
            <w:vAlign w:val="center"/>
          </w:tcPr>
          <w:p w14:paraId="4FBFCA3E">
            <w:pPr>
              <w:pStyle w:val="7"/>
              <w:jc w:val="center"/>
              <w:rPr>
                <w:rFonts w:ascii="宋体" w:hAnsi="宋体" w:eastAsia="宋体" w:cs="宋体"/>
                <w:b/>
                <w:bCs/>
                <w:sz w:val="21"/>
                <w:szCs w:val="21"/>
              </w:rPr>
            </w:pPr>
            <w:r>
              <w:rPr>
                <w:rFonts w:hint="eastAsia" w:ascii="宋体" w:hAnsi="宋体" w:eastAsia="宋体" w:cs="宋体"/>
                <w:b/>
                <w:bCs/>
                <w:sz w:val="21"/>
                <w:szCs w:val="21"/>
              </w:rPr>
              <w:t>认证机构</w:t>
            </w:r>
          </w:p>
        </w:tc>
      </w:tr>
      <w:tr w14:paraId="0A23F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650E8649">
            <w:pPr>
              <w:pStyle w:val="7"/>
              <w:spacing w:line="360" w:lineRule="auto"/>
              <w:jc w:val="center"/>
              <w:rPr>
                <w:rFonts w:ascii="宋体" w:hAnsi="宋体" w:eastAsia="宋体" w:cs="Times New Roman"/>
                <w:sz w:val="21"/>
                <w:szCs w:val="21"/>
              </w:rPr>
            </w:pPr>
            <w:r>
              <w:rPr>
                <w:rFonts w:hint="eastAsia" w:ascii="宋体" w:hAnsi="宋体" w:eastAsia="宋体" w:cs="Times New Roman"/>
                <w:sz w:val="21"/>
                <w:szCs w:val="21"/>
              </w:rPr>
              <w:t>1</w:t>
            </w:r>
          </w:p>
        </w:tc>
        <w:tc>
          <w:tcPr>
            <w:tcW w:w="737" w:type="pct"/>
            <w:vAlign w:val="center"/>
          </w:tcPr>
          <w:p w14:paraId="4877E66A">
            <w:pPr>
              <w:pStyle w:val="7"/>
              <w:spacing w:line="360" w:lineRule="auto"/>
              <w:rPr>
                <w:rFonts w:ascii="宋体" w:hAnsi="宋体" w:eastAsia="宋体" w:cs="Times New Roman"/>
                <w:sz w:val="21"/>
                <w:szCs w:val="21"/>
              </w:rPr>
            </w:pPr>
          </w:p>
        </w:tc>
        <w:tc>
          <w:tcPr>
            <w:tcW w:w="814" w:type="pct"/>
            <w:vAlign w:val="center"/>
          </w:tcPr>
          <w:p w14:paraId="51DC7484">
            <w:pPr>
              <w:pStyle w:val="7"/>
              <w:spacing w:line="360" w:lineRule="auto"/>
              <w:rPr>
                <w:rFonts w:ascii="宋体" w:hAnsi="宋体" w:eastAsia="宋体" w:cs="Times New Roman"/>
                <w:sz w:val="21"/>
                <w:szCs w:val="21"/>
              </w:rPr>
            </w:pPr>
          </w:p>
        </w:tc>
        <w:tc>
          <w:tcPr>
            <w:tcW w:w="665" w:type="pct"/>
          </w:tcPr>
          <w:p w14:paraId="62A1160F">
            <w:pPr>
              <w:pStyle w:val="7"/>
              <w:spacing w:line="360" w:lineRule="auto"/>
              <w:rPr>
                <w:rFonts w:ascii="宋体" w:hAnsi="宋体" w:eastAsia="宋体" w:cs="Times New Roman"/>
                <w:sz w:val="21"/>
                <w:szCs w:val="21"/>
              </w:rPr>
            </w:pPr>
          </w:p>
        </w:tc>
        <w:tc>
          <w:tcPr>
            <w:tcW w:w="884" w:type="pct"/>
          </w:tcPr>
          <w:p w14:paraId="621A2FA7">
            <w:pPr>
              <w:pStyle w:val="7"/>
              <w:spacing w:line="360" w:lineRule="auto"/>
              <w:rPr>
                <w:rFonts w:ascii="宋体" w:hAnsi="宋体" w:eastAsia="宋体" w:cs="Times New Roman"/>
                <w:sz w:val="21"/>
                <w:szCs w:val="21"/>
              </w:rPr>
            </w:pPr>
          </w:p>
        </w:tc>
        <w:tc>
          <w:tcPr>
            <w:tcW w:w="858" w:type="pct"/>
          </w:tcPr>
          <w:p w14:paraId="30F1839F">
            <w:pPr>
              <w:pStyle w:val="7"/>
              <w:spacing w:line="360" w:lineRule="auto"/>
              <w:rPr>
                <w:rFonts w:ascii="宋体" w:hAnsi="宋体" w:eastAsia="宋体" w:cs="Times New Roman"/>
                <w:sz w:val="21"/>
                <w:szCs w:val="21"/>
              </w:rPr>
            </w:pPr>
          </w:p>
        </w:tc>
        <w:tc>
          <w:tcPr>
            <w:tcW w:w="760" w:type="pct"/>
          </w:tcPr>
          <w:p w14:paraId="1F59D518">
            <w:pPr>
              <w:pStyle w:val="7"/>
              <w:spacing w:line="360" w:lineRule="auto"/>
              <w:rPr>
                <w:rFonts w:ascii="宋体" w:hAnsi="宋体" w:eastAsia="宋体" w:cs="Times New Roman"/>
                <w:sz w:val="21"/>
                <w:szCs w:val="21"/>
              </w:rPr>
            </w:pPr>
          </w:p>
        </w:tc>
      </w:tr>
      <w:tr w14:paraId="675D9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5933948B">
            <w:pPr>
              <w:pStyle w:val="7"/>
              <w:spacing w:line="360" w:lineRule="auto"/>
              <w:jc w:val="center"/>
              <w:rPr>
                <w:rFonts w:ascii="宋体" w:hAnsi="宋体" w:eastAsia="宋体" w:cs="Times New Roman"/>
                <w:sz w:val="21"/>
                <w:szCs w:val="21"/>
              </w:rPr>
            </w:pPr>
            <w:r>
              <w:rPr>
                <w:rFonts w:hint="eastAsia" w:ascii="宋体" w:hAnsi="宋体" w:eastAsia="宋体" w:cs="Times New Roman"/>
                <w:sz w:val="21"/>
                <w:szCs w:val="21"/>
              </w:rPr>
              <w:t>2</w:t>
            </w:r>
          </w:p>
        </w:tc>
        <w:tc>
          <w:tcPr>
            <w:tcW w:w="737" w:type="pct"/>
            <w:vAlign w:val="center"/>
          </w:tcPr>
          <w:p w14:paraId="6513BCCA">
            <w:pPr>
              <w:pStyle w:val="7"/>
              <w:spacing w:line="360" w:lineRule="auto"/>
              <w:rPr>
                <w:rFonts w:ascii="宋体" w:hAnsi="宋体" w:eastAsia="宋体" w:cs="Times New Roman"/>
                <w:sz w:val="21"/>
                <w:szCs w:val="21"/>
              </w:rPr>
            </w:pPr>
          </w:p>
        </w:tc>
        <w:tc>
          <w:tcPr>
            <w:tcW w:w="814" w:type="pct"/>
            <w:vAlign w:val="center"/>
          </w:tcPr>
          <w:p w14:paraId="6DCDD4C5">
            <w:pPr>
              <w:pStyle w:val="7"/>
              <w:spacing w:line="360" w:lineRule="auto"/>
              <w:rPr>
                <w:rFonts w:ascii="宋体" w:hAnsi="宋体" w:eastAsia="宋体" w:cs="Times New Roman"/>
                <w:sz w:val="21"/>
                <w:szCs w:val="21"/>
              </w:rPr>
            </w:pPr>
          </w:p>
        </w:tc>
        <w:tc>
          <w:tcPr>
            <w:tcW w:w="665" w:type="pct"/>
          </w:tcPr>
          <w:p w14:paraId="7DB7A326">
            <w:pPr>
              <w:pStyle w:val="7"/>
              <w:spacing w:line="360" w:lineRule="auto"/>
              <w:rPr>
                <w:rFonts w:ascii="宋体" w:hAnsi="宋体" w:eastAsia="宋体" w:cs="Times New Roman"/>
                <w:sz w:val="21"/>
                <w:szCs w:val="21"/>
              </w:rPr>
            </w:pPr>
          </w:p>
        </w:tc>
        <w:tc>
          <w:tcPr>
            <w:tcW w:w="884" w:type="pct"/>
          </w:tcPr>
          <w:p w14:paraId="2F998864">
            <w:pPr>
              <w:pStyle w:val="7"/>
              <w:spacing w:line="360" w:lineRule="auto"/>
              <w:rPr>
                <w:rFonts w:ascii="宋体" w:hAnsi="宋体" w:eastAsia="宋体" w:cs="Times New Roman"/>
                <w:sz w:val="21"/>
                <w:szCs w:val="21"/>
              </w:rPr>
            </w:pPr>
          </w:p>
        </w:tc>
        <w:tc>
          <w:tcPr>
            <w:tcW w:w="858" w:type="pct"/>
          </w:tcPr>
          <w:p w14:paraId="0E071A88">
            <w:pPr>
              <w:pStyle w:val="7"/>
              <w:spacing w:line="360" w:lineRule="auto"/>
              <w:rPr>
                <w:rFonts w:ascii="宋体" w:hAnsi="宋体" w:eastAsia="宋体" w:cs="Times New Roman"/>
                <w:sz w:val="21"/>
                <w:szCs w:val="21"/>
              </w:rPr>
            </w:pPr>
          </w:p>
        </w:tc>
        <w:tc>
          <w:tcPr>
            <w:tcW w:w="760" w:type="pct"/>
          </w:tcPr>
          <w:p w14:paraId="779FC184">
            <w:pPr>
              <w:pStyle w:val="7"/>
              <w:spacing w:line="360" w:lineRule="auto"/>
              <w:rPr>
                <w:rFonts w:ascii="宋体" w:hAnsi="宋体" w:eastAsia="宋体" w:cs="Times New Roman"/>
                <w:sz w:val="21"/>
                <w:szCs w:val="21"/>
              </w:rPr>
            </w:pPr>
          </w:p>
        </w:tc>
      </w:tr>
      <w:tr w14:paraId="1A7D8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5BF31236">
            <w:pPr>
              <w:pStyle w:val="7"/>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737" w:type="pct"/>
            <w:vAlign w:val="center"/>
          </w:tcPr>
          <w:p w14:paraId="64EE469F">
            <w:pPr>
              <w:pStyle w:val="7"/>
              <w:spacing w:line="360" w:lineRule="auto"/>
              <w:rPr>
                <w:rFonts w:ascii="宋体" w:hAnsi="宋体" w:eastAsia="宋体" w:cs="Times New Roman"/>
                <w:sz w:val="21"/>
                <w:szCs w:val="21"/>
              </w:rPr>
            </w:pPr>
          </w:p>
        </w:tc>
        <w:tc>
          <w:tcPr>
            <w:tcW w:w="814" w:type="pct"/>
            <w:vAlign w:val="center"/>
          </w:tcPr>
          <w:p w14:paraId="3D5E031F">
            <w:pPr>
              <w:pStyle w:val="7"/>
              <w:spacing w:line="360" w:lineRule="auto"/>
              <w:rPr>
                <w:rFonts w:ascii="宋体" w:hAnsi="宋体" w:eastAsia="宋体" w:cs="Times New Roman"/>
                <w:sz w:val="21"/>
                <w:szCs w:val="21"/>
              </w:rPr>
            </w:pPr>
          </w:p>
        </w:tc>
        <w:tc>
          <w:tcPr>
            <w:tcW w:w="665" w:type="pct"/>
          </w:tcPr>
          <w:p w14:paraId="1571D391">
            <w:pPr>
              <w:pStyle w:val="7"/>
              <w:spacing w:line="360" w:lineRule="auto"/>
              <w:rPr>
                <w:rFonts w:ascii="宋体" w:hAnsi="宋体" w:eastAsia="宋体" w:cs="Times New Roman"/>
                <w:sz w:val="21"/>
                <w:szCs w:val="21"/>
              </w:rPr>
            </w:pPr>
          </w:p>
        </w:tc>
        <w:tc>
          <w:tcPr>
            <w:tcW w:w="884" w:type="pct"/>
          </w:tcPr>
          <w:p w14:paraId="13C3F957">
            <w:pPr>
              <w:pStyle w:val="7"/>
              <w:spacing w:line="360" w:lineRule="auto"/>
              <w:rPr>
                <w:rFonts w:ascii="宋体" w:hAnsi="宋体" w:eastAsia="宋体" w:cs="Times New Roman"/>
                <w:sz w:val="21"/>
                <w:szCs w:val="21"/>
              </w:rPr>
            </w:pPr>
          </w:p>
        </w:tc>
        <w:tc>
          <w:tcPr>
            <w:tcW w:w="858" w:type="pct"/>
          </w:tcPr>
          <w:p w14:paraId="6D5EC009">
            <w:pPr>
              <w:pStyle w:val="7"/>
              <w:spacing w:line="360" w:lineRule="auto"/>
              <w:rPr>
                <w:rFonts w:ascii="宋体" w:hAnsi="宋体" w:eastAsia="宋体" w:cs="Times New Roman"/>
                <w:sz w:val="21"/>
                <w:szCs w:val="21"/>
              </w:rPr>
            </w:pPr>
          </w:p>
        </w:tc>
        <w:tc>
          <w:tcPr>
            <w:tcW w:w="760" w:type="pct"/>
          </w:tcPr>
          <w:p w14:paraId="27F805C0">
            <w:pPr>
              <w:pStyle w:val="7"/>
              <w:spacing w:line="360" w:lineRule="auto"/>
              <w:rPr>
                <w:rFonts w:ascii="宋体" w:hAnsi="宋体" w:eastAsia="宋体" w:cs="Times New Roman"/>
                <w:sz w:val="21"/>
                <w:szCs w:val="21"/>
              </w:rPr>
            </w:pPr>
          </w:p>
        </w:tc>
      </w:tr>
    </w:tbl>
    <w:p w14:paraId="49B11FF3">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投标人（并加盖公章）：</w:t>
      </w:r>
    </w:p>
    <w:p w14:paraId="3A3D55F5">
      <w:pPr>
        <w:autoSpaceDE w:val="0"/>
        <w:autoSpaceDN w:val="0"/>
        <w:adjustRightInd w:val="0"/>
        <w:spacing w:line="480" w:lineRule="auto"/>
        <w:rPr>
          <w:rFonts w:cs="宋体" w:asciiTheme="minorEastAsia" w:hAnsiTheme="minorEastAsia"/>
          <w:szCs w:val="21"/>
          <w:lang w:val="zh-CN"/>
        </w:rPr>
      </w:pPr>
    </w:p>
    <w:p w14:paraId="0E2F9B84">
      <w:pPr>
        <w:snapToGrid w:val="0"/>
        <w:spacing w:line="500" w:lineRule="exact"/>
        <w:rPr>
          <w:rFonts w:cs="宋体" w:asciiTheme="minorEastAsia" w:hAnsiTheme="minorEastAsia"/>
          <w:szCs w:val="21"/>
          <w:lang w:val="zh-CN"/>
        </w:rPr>
      </w:pPr>
    </w:p>
    <w:p w14:paraId="52504990">
      <w:pPr>
        <w:rPr>
          <w:rFonts w:cs="宋体" w:asciiTheme="minorEastAsia" w:hAnsiTheme="minorEastAsia"/>
          <w:szCs w:val="21"/>
          <w:lang w:val="zh-CN"/>
        </w:rPr>
      </w:pPr>
      <w:r>
        <w:rPr>
          <w:rFonts w:hint="eastAsia" w:cs="宋体" w:asciiTheme="minorEastAsia" w:hAnsiTheme="minorEastAsia"/>
          <w:szCs w:val="21"/>
          <w:lang w:val="zh-CN"/>
        </w:rPr>
        <w:t>说明：所投产品节能认证证书须附后。</w:t>
      </w:r>
    </w:p>
    <w:p w14:paraId="7ACE9C8F">
      <w:pPr>
        <w:autoSpaceDE w:val="0"/>
        <w:autoSpaceDN w:val="0"/>
        <w:adjustRightInd w:val="0"/>
        <w:spacing w:line="360" w:lineRule="auto"/>
        <w:jc w:val="center"/>
        <w:outlineLvl w:val="9"/>
        <w:rPr>
          <w:rFonts w:ascii="宋体" w:hAnsi="宋体"/>
          <w:b/>
          <w:bCs/>
          <w:sz w:val="24"/>
          <w:szCs w:val="24"/>
        </w:rPr>
      </w:pPr>
    </w:p>
    <w:p w14:paraId="4CA15A4E">
      <w:pPr>
        <w:autoSpaceDE w:val="0"/>
        <w:autoSpaceDN w:val="0"/>
        <w:adjustRightInd w:val="0"/>
        <w:spacing w:line="360" w:lineRule="auto"/>
        <w:jc w:val="center"/>
        <w:outlineLvl w:val="9"/>
        <w:rPr>
          <w:rFonts w:ascii="宋体" w:hAnsi="宋体"/>
          <w:b/>
          <w:bCs/>
          <w:sz w:val="24"/>
          <w:szCs w:val="24"/>
        </w:rPr>
      </w:pPr>
    </w:p>
    <w:p w14:paraId="3D2B7C27">
      <w:pPr>
        <w:autoSpaceDE w:val="0"/>
        <w:autoSpaceDN w:val="0"/>
        <w:adjustRightInd w:val="0"/>
        <w:spacing w:line="360" w:lineRule="auto"/>
        <w:jc w:val="center"/>
        <w:outlineLvl w:val="9"/>
        <w:rPr>
          <w:rFonts w:ascii="宋体" w:hAnsi="宋体"/>
          <w:b/>
          <w:bCs/>
          <w:sz w:val="24"/>
          <w:szCs w:val="24"/>
        </w:rPr>
      </w:pPr>
    </w:p>
    <w:p w14:paraId="5F9254CB">
      <w:pPr>
        <w:autoSpaceDE w:val="0"/>
        <w:autoSpaceDN w:val="0"/>
        <w:adjustRightInd w:val="0"/>
        <w:spacing w:line="360" w:lineRule="auto"/>
        <w:jc w:val="center"/>
        <w:outlineLvl w:val="9"/>
        <w:rPr>
          <w:rFonts w:ascii="宋体" w:hAnsi="宋体"/>
          <w:b/>
          <w:bCs/>
          <w:sz w:val="24"/>
          <w:szCs w:val="24"/>
        </w:rPr>
      </w:pPr>
    </w:p>
    <w:p w14:paraId="69CDCC70">
      <w:pPr>
        <w:autoSpaceDE w:val="0"/>
        <w:autoSpaceDN w:val="0"/>
        <w:adjustRightInd w:val="0"/>
        <w:spacing w:line="360" w:lineRule="auto"/>
        <w:jc w:val="center"/>
        <w:outlineLvl w:val="9"/>
        <w:rPr>
          <w:rFonts w:ascii="宋体" w:hAnsi="宋体"/>
          <w:b/>
          <w:bCs/>
          <w:sz w:val="24"/>
          <w:szCs w:val="24"/>
        </w:rPr>
      </w:pPr>
    </w:p>
    <w:p w14:paraId="5170D362">
      <w:pPr>
        <w:autoSpaceDE w:val="0"/>
        <w:autoSpaceDN w:val="0"/>
        <w:adjustRightInd w:val="0"/>
        <w:spacing w:line="360" w:lineRule="auto"/>
        <w:jc w:val="center"/>
        <w:outlineLvl w:val="9"/>
        <w:rPr>
          <w:rFonts w:ascii="宋体" w:hAnsi="宋体"/>
          <w:b/>
          <w:bCs/>
          <w:sz w:val="24"/>
          <w:szCs w:val="24"/>
        </w:rPr>
      </w:pPr>
    </w:p>
    <w:p w14:paraId="1EFCBF6C">
      <w:pPr>
        <w:autoSpaceDE w:val="0"/>
        <w:autoSpaceDN w:val="0"/>
        <w:adjustRightInd w:val="0"/>
        <w:spacing w:line="360" w:lineRule="auto"/>
        <w:jc w:val="center"/>
        <w:outlineLvl w:val="9"/>
        <w:rPr>
          <w:rFonts w:ascii="宋体" w:hAnsi="宋体"/>
          <w:b/>
          <w:bCs/>
          <w:sz w:val="24"/>
          <w:szCs w:val="24"/>
        </w:rPr>
      </w:pPr>
    </w:p>
    <w:p w14:paraId="5939B6C2">
      <w:pPr>
        <w:autoSpaceDE w:val="0"/>
        <w:autoSpaceDN w:val="0"/>
        <w:adjustRightInd w:val="0"/>
        <w:spacing w:line="360" w:lineRule="auto"/>
        <w:jc w:val="center"/>
        <w:outlineLvl w:val="9"/>
        <w:rPr>
          <w:rFonts w:ascii="宋体" w:hAnsi="宋体"/>
          <w:b/>
          <w:bCs/>
          <w:sz w:val="24"/>
          <w:szCs w:val="24"/>
        </w:rPr>
      </w:pPr>
    </w:p>
    <w:p w14:paraId="76A37259">
      <w:pPr>
        <w:autoSpaceDE w:val="0"/>
        <w:autoSpaceDN w:val="0"/>
        <w:adjustRightInd w:val="0"/>
        <w:spacing w:line="360" w:lineRule="auto"/>
        <w:jc w:val="center"/>
        <w:outlineLvl w:val="9"/>
        <w:rPr>
          <w:rFonts w:ascii="宋体" w:hAnsi="宋体"/>
          <w:b/>
          <w:bCs/>
          <w:sz w:val="24"/>
          <w:szCs w:val="24"/>
        </w:rPr>
      </w:pPr>
    </w:p>
    <w:p w14:paraId="02D45BF2">
      <w:pPr>
        <w:autoSpaceDE w:val="0"/>
        <w:autoSpaceDN w:val="0"/>
        <w:adjustRightInd w:val="0"/>
        <w:spacing w:line="360" w:lineRule="auto"/>
        <w:jc w:val="center"/>
        <w:outlineLvl w:val="9"/>
        <w:rPr>
          <w:rFonts w:ascii="宋体" w:hAnsi="宋体"/>
          <w:b/>
          <w:bCs/>
          <w:sz w:val="24"/>
          <w:szCs w:val="24"/>
        </w:rPr>
      </w:pPr>
    </w:p>
    <w:p w14:paraId="172C62FD">
      <w:pPr>
        <w:autoSpaceDE w:val="0"/>
        <w:autoSpaceDN w:val="0"/>
        <w:adjustRightInd w:val="0"/>
        <w:spacing w:line="360" w:lineRule="auto"/>
        <w:jc w:val="center"/>
        <w:outlineLvl w:val="2"/>
        <w:rPr>
          <w:rFonts w:ascii="宋体" w:hAnsi="宋体"/>
          <w:b/>
          <w:bCs/>
          <w:sz w:val="24"/>
          <w:szCs w:val="24"/>
        </w:rPr>
      </w:pPr>
      <w:r>
        <w:rPr>
          <w:rFonts w:hint="eastAsia" w:ascii="宋体" w:hAnsi="宋体"/>
          <w:b/>
          <w:bCs/>
          <w:sz w:val="24"/>
          <w:szCs w:val="24"/>
        </w:rPr>
        <w:t>4.7“节能产品政府采购品目清单”优先采购节能产品情况</w:t>
      </w:r>
    </w:p>
    <w:p w14:paraId="33AA57F1">
      <w:pPr>
        <w:autoSpaceDE w:val="0"/>
        <w:autoSpaceDN w:val="0"/>
        <w:adjustRightInd w:val="0"/>
        <w:spacing w:line="360" w:lineRule="auto"/>
        <w:jc w:val="center"/>
        <w:outlineLvl w:val="9"/>
        <w:rPr>
          <w:rFonts w:ascii="宋体" w:hAnsi="宋体"/>
          <w:b/>
          <w:bCs/>
          <w:sz w:val="28"/>
          <w:szCs w:val="28"/>
        </w:rPr>
      </w:pPr>
    </w:p>
    <w:p w14:paraId="48C57236">
      <w:pPr>
        <w:spacing w:before="50" w:afterLines="50" w:line="360" w:lineRule="auto"/>
        <w:contextualSpacing/>
        <w:jc w:val="left"/>
        <w:rPr>
          <w:rFonts w:asciiTheme="minorEastAsia" w:hAnsiTheme="minorEastAsia"/>
          <w:szCs w:val="21"/>
        </w:rPr>
      </w:pPr>
      <w:r>
        <w:rPr>
          <w:rFonts w:hint="eastAsia" w:asciiTheme="minorEastAsia" w:hAnsiTheme="minorEastAsia"/>
          <w:szCs w:val="21"/>
        </w:rPr>
        <w:t>采购编号：</w:t>
      </w:r>
    </w:p>
    <w:p w14:paraId="716A59F1">
      <w:pPr>
        <w:tabs>
          <w:tab w:val="left" w:pos="1800"/>
          <w:tab w:val="left" w:pos="5580"/>
        </w:tabs>
        <w:spacing w:line="360" w:lineRule="auto"/>
        <w:rPr>
          <w:rFonts w:asciiTheme="minorEastAsia" w:hAnsiTheme="minorEastAsia"/>
          <w:szCs w:val="21"/>
        </w:rPr>
      </w:pPr>
      <w:r>
        <w:rPr>
          <w:rFonts w:hint="eastAsia" w:asciiTheme="minorEastAsia" w:hAnsiTheme="minorEastAsia"/>
          <w:szCs w:val="21"/>
        </w:rPr>
        <w:t>项目名称：</w:t>
      </w:r>
    </w:p>
    <w:p w14:paraId="03925DD5">
      <w:pPr>
        <w:tabs>
          <w:tab w:val="left" w:pos="1800"/>
          <w:tab w:val="left" w:pos="5580"/>
        </w:tabs>
        <w:spacing w:line="360" w:lineRule="auto"/>
        <w:rPr>
          <w:rFonts w:ascii="宋体" w:hAnsi="宋体"/>
          <w:szCs w:val="21"/>
        </w:rPr>
      </w:pPr>
    </w:p>
    <w:tbl>
      <w:tblPr>
        <w:tblStyle w:val="24"/>
        <w:tblW w:w="51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1374"/>
        <w:gridCol w:w="1518"/>
        <w:gridCol w:w="1240"/>
        <w:gridCol w:w="1648"/>
        <w:gridCol w:w="1600"/>
        <w:gridCol w:w="1417"/>
      </w:tblGrid>
      <w:tr w14:paraId="21EFA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282" w:type="pct"/>
            <w:shd w:val="clear" w:color="auto" w:fill="F1F1F1" w:themeFill="background1" w:themeFillShade="F2"/>
            <w:vAlign w:val="center"/>
          </w:tcPr>
          <w:p w14:paraId="131A9881">
            <w:pPr>
              <w:pStyle w:val="7"/>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737" w:type="pct"/>
            <w:shd w:val="clear" w:color="auto" w:fill="F1F1F1" w:themeFill="background1" w:themeFillShade="F2"/>
            <w:vAlign w:val="center"/>
          </w:tcPr>
          <w:p w14:paraId="2B518405">
            <w:pPr>
              <w:pStyle w:val="7"/>
              <w:jc w:val="center"/>
              <w:rPr>
                <w:rFonts w:ascii="宋体" w:hAnsi="宋体" w:eastAsia="宋体" w:cs="宋体"/>
                <w:b/>
                <w:bCs/>
                <w:sz w:val="21"/>
                <w:szCs w:val="21"/>
              </w:rPr>
            </w:pPr>
            <w:r>
              <w:rPr>
                <w:rFonts w:hint="eastAsia" w:ascii="宋体" w:hAnsi="宋体" w:eastAsia="宋体" w:cs="宋体"/>
                <w:b/>
                <w:bCs/>
                <w:sz w:val="21"/>
                <w:szCs w:val="21"/>
              </w:rPr>
              <w:t>产品名称</w:t>
            </w:r>
          </w:p>
        </w:tc>
        <w:tc>
          <w:tcPr>
            <w:tcW w:w="814" w:type="pct"/>
            <w:shd w:val="clear" w:color="auto" w:fill="F1F1F1" w:themeFill="background1" w:themeFillShade="F2"/>
            <w:vAlign w:val="center"/>
          </w:tcPr>
          <w:p w14:paraId="1C1C5DC7">
            <w:pPr>
              <w:pStyle w:val="7"/>
              <w:jc w:val="center"/>
              <w:rPr>
                <w:rFonts w:ascii="宋体" w:hAnsi="宋体" w:eastAsia="宋体" w:cs="宋体"/>
                <w:b/>
                <w:bCs/>
                <w:sz w:val="21"/>
                <w:szCs w:val="21"/>
              </w:rPr>
            </w:pPr>
            <w:r>
              <w:rPr>
                <w:rFonts w:hint="eastAsia" w:ascii="宋体" w:hAnsi="宋体" w:eastAsia="宋体" w:cs="宋体"/>
                <w:b/>
                <w:bCs/>
                <w:sz w:val="21"/>
                <w:szCs w:val="21"/>
              </w:rPr>
              <w:t>品牌</w:t>
            </w:r>
          </w:p>
        </w:tc>
        <w:tc>
          <w:tcPr>
            <w:tcW w:w="665" w:type="pct"/>
            <w:shd w:val="clear" w:color="auto" w:fill="F1F1F1" w:themeFill="background1" w:themeFillShade="F2"/>
            <w:vAlign w:val="center"/>
          </w:tcPr>
          <w:p w14:paraId="0CC5D3E0">
            <w:pPr>
              <w:pStyle w:val="7"/>
              <w:jc w:val="center"/>
              <w:rPr>
                <w:rFonts w:ascii="宋体" w:hAnsi="宋体" w:eastAsia="宋体" w:cs="宋体"/>
                <w:b/>
                <w:bCs/>
                <w:sz w:val="21"/>
                <w:szCs w:val="21"/>
              </w:rPr>
            </w:pPr>
            <w:r>
              <w:rPr>
                <w:rFonts w:hint="eastAsia" w:ascii="宋体" w:hAnsi="宋体" w:eastAsia="宋体" w:cs="宋体"/>
                <w:b/>
                <w:bCs/>
                <w:sz w:val="21"/>
                <w:szCs w:val="21"/>
              </w:rPr>
              <w:t>产品型号</w:t>
            </w:r>
          </w:p>
        </w:tc>
        <w:tc>
          <w:tcPr>
            <w:tcW w:w="884" w:type="pct"/>
            <w:shd w:val="clear" w:color="auto" w:fill="F1F1F1" w:themeFill="background1" w:themeFillShade="F2"/>
            <w:vAlign w:val="center"/>
          </w:tcPr>
          <w:p w14:paraId="225E1419">
            <w:pPr>
              <w:pStyle w:val="7"/>
              <w:jc w:val="center"/>
              <w:rPr>
                <w:rFonts w:ascii="宋体" w:hAnsi="宋体" w:eastAsia="宋体" w:cs="宋体"/>
                <w:b/>
                <w:bCs/>
                <w:sz w:val="21"/>
                <w:szCs w:val="21"/>
              </w:rPr>
            </w:pPr>
            <w:r>
              <w:rPr>
                <w:rFonts w:hint="eastAsia" w:ascii="宋体" w:hAnsi="宋体" w:eastAsia="宋体" w:cs="宋体"/>
                <w:b/>
                <w:bCs/>
                <w:sz w:val="21"/>
                <w:szCs w:val="21"/>
              </w:rPr>
              <w:t>认证证书编号</w:t>
            </w:r>
          </w:p>
        </w:tc>
        <w:tc>
          <w:tcPr>
            <w:tcW w:w="858" w:type="pct"/>
            <w:shd w:val="clear" w:color="auto" w:fill="F1F1F1" w:themeFill="background1" w:themeFillShade="F2"/>
            <w:vAlign w:val="center"/>
          </w:tcPr>
          <w:p w14:paraId="36AD992E">
            <w:pPr>
              <w:pStyle w:val="7"/>
              <w:jc w:val="center"/>
              <w:rPr>
                <w:rFonts w:ascii="宋体" w:hAnsi="宋体" w:eastAsia="宋体" w:cs="宋体"/>
                <w:b/>
                <w:bCs/>
                <w:sz w:val="21"/>
                <w:szCs w:val="21"/>
              </w:rPr>
            </w:pPr>
            <w:r>
              <w:rPr>
                <w:rFonts w:hint="eastAsia" w:ascii="宋体" w:hAnsi="宋体" w:eastAsia="宋体" w:cs="宋体"/>
                <w:b/>
                <w:bCs/>
                <w:sz w:val="21"/>
                <w:szCs w:val="21"/>
              </w:rPr>
              <w:t>证书有效期</w:t>
            </w:r>
          </w:p>
        </w:tc>
        <w:tc>
          <w:tcPr>
            <w:tcW w:w="760" w:type="pct"/>
            <w:shd w:val="clear" w:color="auto" w:fill="F1F1F1" w:themeFill="background1" w:themeFillShade="F2"/>
            <w:vAlign w:val="center"/>
          </w:tcPr>
          <w:p w14:paraId="279A8356">
            <w:pPr>
              <w:pStyle w:val="7"/>
              <w:jc w:val="center"/>
              <w:rPr>
                <w:rFonts w:ascii="宋体" w:hAnsi="宋体" w:eastAsia="宋体" w:cs="宋体"/>
                <w:b/>
                <w:bCs/>
                <w:sz w:val="21"/>
                <w:szCs w:val="21"/>
              </w:rPr>
            </w:pPr>
            <w:r>
              <w:rPr>
                <w:rFonts w:hint="eastAsia" w:ascii="宋体" w:hAnsi="宋体" w:eastAsia="宋体" w:cs="宋体"/>
                <w:b/>
                <w:bCs/>
                <w:sz w:val="21"/>
                <w:szCs w:val="21"/>
              </w:rPr>
              <w:t>认证机构</w:t>
            </w:r>
          </w:p>
        </w:tc>
      </w:tr>
      <w:tr w14:paraId="5EACD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1BC202E4">
            <w:pPr>
              <w:pStyle w:val="7"/>
              <w:spacing w:line="360" w:lineRule="auto"/>
              <w:jc w:val="center"/>
              <w:rPr>
                <w:rFonts w:ascii="宋体" w:hAnsi="宋体" w:eastAsia="宋体" w:cs="Times New Roman"/>
                <w:sz w:val="21"/>
                <w:szCs w:val="21"/>
              </w:rPr>
            </w:pPr>
            <w:r>
              <w:rPr>
                <w:rFonts w:hint="eastAsia" w:ascii="宋体" w:hAnsi="宋体" w:eastAsia="宋体" w:cs="Times New Roman"/>
                <w:sz w:val="21"/>
                <w:szCs w:val="21"/>
              </w:rPr>
              <w:t>1</w:t>
            </w:r>
          </w:p>
        </w:tc>
        <w:tc>
          <w:tcPr>
            <w:tcW w:w="737" w:type="pct"/>
            <w:vAlign w:val="center"/>
          </w:tcPr>
          <w:p w14:paraId="4A4CF95F">
            <w:pPr>
              <w:pStyle w:val="7"/>
              <w:spacing w:line="360" w:lineRule="auto"/>
              <w:rPr>
                <w:rFonts w:ascii="宋体" w:hAnsi="宋体" w:eastAsia="宋体" w:cs="Times New Roman"/>
                <w:sz w:val="21"/>
                <w:szCs w:val="21"/>
              </w:rPr>
            </w:pPr>
          </w:p>
        </w:tc>
        <w:tc>
          <w:tcPr>
            <w:tcW w:w="814" w:type="pct"/>
            <w:vAlign w:val="center"/>
          </w:tcPr>
          <w:p w14:paraId="02C32D16">
            <w:pPr>
              <w:pStyle w:val="7"/>
              <w:spacing w:line="360" w:lineRule="auto"/>
              <w:rPr>
                <w:rFonts w:ascii="宋体" w:hAnsi="宋体" w:eastAsia="宋体" w:cs="Times New Roman"/>
                <w:sz w:val="21"/>
                <w:szCs w:val="21"/>
              </w:rPr>
            </w:pPr>
          </w:p>
        </w:tc>
        <w:tc>
          <w:tcPr>
            <w:tcW w:w="665" w:type="pct"/>
          </w:tcPr>
          <w:p w14:paraId="6EEEC2EE">
            <w:pPr>
              <w:pStyle w:val="7"/>
              <w:spacing w:line="360" w:lineRule="auto"/>
              <w:rPr>
                <w:rFonts w:ascii="宋体" w:hAnsi="宋体" w:eastAsia="宋体" w:cs="Times New Roman"/>
                <w:sz w:val="21"/>
                <w:szCs w:val="21"/>
              </w:rPr>
            </w:pPr>
          </w:p>
        </w:tc>
        <w:tc>
          <w:tcPr>
            <w:tcW w:w="884" w:type="pct"/>
          </w:tcPr>
          <w:p w14:paraId="458AEE36">
            <w:pPr>
              <w:pStyle w:val="7"/>
              <w:spacing w:line="360" w:lineRule="auto"/>
              <w:rPr>
                <w:rFonts w:ascii="宋体" w:hAnsi="宋体" w:eastAsia="宋体" w:cs="Times New Roman"/>
                <w:sz w:val="21"/>
                <w:szCs w:val="21"/>
              </w:rPr>
            </w:pPr>
          </w:p>
        </w:tc>
        <w:tc>
          <w:tcPr>
            <w:tcW w:w="858" w:type="pct"/>
          </w:tcPr>
          <w:p w14:paraId="5F919222">
            <w:pPr>
              <w:pStyle w:val="7"/>
              <w:spacing w:line="360" w:lineRule="auto"/>
              <w:rPr>
                <w:rFonts w:ascii="宋体" w:hAnsi="宋体" w:eastAsia="宋体" w:cs="Times New Roman"/>
                <w:sz w:val="21"/>
                <w:szCs w:val="21"/>
              </w:rPr>
            </w:pPr>
          </w:p>
        </w:tc>
        <w:tc>
          <w:tcPr>
            <w:tcW w:w="760" w:type="pct"/>
          </w:tcPr>
          <w:p w14:paraId="0691C10A">
            <w:pPr>
              <w:pStyle w:val="7"/>
              <w:spacing w:line="360" w:lineRule="auto"/>
              <w:rPr>
                <w:rFonts w:ascii="宋体" w:hAnsi="宋体" w:eastAsia="宋体" w:cs="Times New Roman"/>
                <w:sz w:val="21"/>
                <w:szCs w:val="21"/>
              </w:rPr>
            </w:pPr>
          </w:p>
        </w:tc>
      </w:tr>
      <w:tr w14:paraId="50BCE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36F01C78">
            <w:pPr>
              <w:pStyle w:val="7"/>
              <w:spacing w:line="360" w:lineRule="auto"/>
              <w:jc w:val="center"/>
              <w:rPr>
                <w:rFonts w:ascii="宋体" w:hAnsi="宋体" w:eastAsia="宋体" w:cs="Times New Roman"/>
                <w:sz w:val="21"/>
                <w:szCs w:val="21"/>
              </w:rPr>
            </w:pPr>
            <w:r>
              <w:rPr>
                <w:rFonts w:hint="eastAsia" w:ascii="宋体" w:hAnsi="宋体" w:eastAsia="宋体" w:cs="Times New Roman"/>
                <w:sz w:val="21"/>
                <w:szCs w:val="21"/>
              </w:rPr>
              <w:t>2</w:t>
            </w:r>
          </w:p>
        </w:tc>
        <w:tc>
          <w:tcPr>
            <w:tcW w:w="737" w:type="pct"/>
            <w:vAlign w:val="center"/>
          </w:tcPr>
          <w:p w14:paraId="37FE2DD4">
            <w:pPr>
              <w:pStyle w:val="7"/>
              <w:spacing w:line="360" w:lineRule="auto"/>
              <w:rPr>
                <w:rFonts w:ascii="宋体" w:hAnsi="宋体" w:eastAsia="宋体" w:cs="Times New Roman"/>
                <w:sz w:val="21"/>
                <w:szCs w:val="21"/>
              </w:rPr>
            </w:pPr>
          </w:p>
        </w:tc>
        <w:tc>
          <w:tcPr>
            <w:tcW w:w="814" w:type="pct"/>
            <w:vAlign w:val="center"/>
          </w:tcPr>
          <w:p w14:paraId="723FDDF8">
            <w:pPr>
              <w:pStyle w:val="7"/>
              <w:spacing w:line="360" w:lineRule="auto"/>
              <w:rPr>
                <w:rFonts w:ascii="宋体" w:hAnsi="宋体" w:eastAsia="宋体" w:cs="Times New Roman"/>
                <w:sz w:val="21"/>
                <w:szCs w:val="21"/>
              </w:rPr>
            </w:pPr>
          </w:p>
        </w:tc>
        <w:tc>
          <w:tcPr>
            <w:tcW w:w="665" w:type="pct"/>
          </w:tcPr>
          <w:p w14:paraId="422145C6">
            <w:pPr>
              <w:pStyle w:val="7"/>
              <w:spacing w:line="360" w:lineRule="auto"/>
              <w:rPr>
                <w:rFonts w:ascii="宋体" w:hAnsi="宋体" w:eastAsia="宋体" w:cs="Times New Roman"/>
                <w:sz w:val="21"/>
                <w:szCs w:val="21"/>
              </w:rPr>
            </w:pPr>
          </w:p>
        </w:tc>
        <w:tc>
          <w:tcPr>
            <w:tcW w:w="884" w:type="pct"/>
          </w:tcPr>
          <w:p w14:paraId="256302B1">
            <w:pPr>
              <w:pStyle w:val="7"/>
              <w:spacing w:line="360" w:lineRule="auto"/>
              <w:rPr>
                <w:rFonts w:ascii="宋体" w:hAnsi="宋体" w:eastAsia="宋体" w:cs="Times New Roman"/>
                <w:sz w:val="21"/>
                <w:szCs w:val="21"/>
              </w:rPr>
            </w:pPr>
          </w:p>
        </w:tc>
        <w:tc>
          <w:tcPr>
            <w:tcW w:w="858" w:type="pct"/>
          </w:tcPr>
          <w:p w14:paraId="477793E6">
            <w:pPr>
              <w:pStyle w:val="7"/>
              <w:spacing w:line="360" w:lineRule="auto"/>
              <w:rPr>
                <w:rFonts w:ascii="宋体" w:hAnsi="宋体" w:eastAsia="宋体" w:cs="Times New Roman"/>
                <w:sz w:val="21"/>
                <w:szCs w:val="21"/>
              </w:rPr>
            </w:pPr>
          </w:p>
        </w:tc>
        <w:tc>
          <w:tcPr>
            <w:tcW w:w="760" w:type="pct"/>
          </w:tcPr>
          <w:p w14:paraId="0B8493E5">
            <w:pPr>
              <w:pStyle w:val="7"/>
              <w:spacing w:line="360" w:lineRule="auto"/>
              <w:rPr>
                <w:rFonts w:ascii="宋体" w:hAnsi="宋体" w:eastAsia="宋体" w:cs="Times New Roman"/>
                <w:sz w:val="21"/>
                <w:szCs w:val="21"/>
              </w:rPr>
            </w:pPr>
          </w:p>
        </w:tc>
      </w:tr>
      <w:tr w14:paraId="60F62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5F1C864A">
            <w:pPr>
              <w:pStyle w:val="7"/>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737" w:type="pct"/>
            <w:vAlign w:val="center"/>
          </w:tcPr>
          <w:p w14:paraId="78416A40">
            <w:pPr>
              <w:pStyle w:val="7"/>
              <w:spacing w:line="360" w:lineRule="auto"/>
              <w:rPr>
                <w:rFonts w:ascii="宋体" w:hAnsi="宋体" w:eastAsia="宋体" w:cs="Times New Roman"/>
                <w:sz w:val="21"/>
                <w:szCs w:val="21"/>
              </w:rPr>
            </w:pPr>
          </w:p>
        </w:tc>
        <w:tc>
          <w:tcPr>
            <w:tcW w:w="814" w:type="pct"/>
            <w:vAlign w:val="center"/>
          </w:tcPr>
          <w:p w14:paraId="74C13E84">
            <w:pPr>
              <w:pStyle w:val="7"/>
              <w:spacing w:line="360" w:lineRule="auto"/>
              <w:rPr>
                <w:rFonts w:ascii="宋体" w:hAnsi="宋体" w:eastAsia="宋体" w:cs="Times New Roman"/>
                <w:sz w:val="21"/>
                <w:szCs w:val="21"/>
              </w:rPr>
            </w:pPr>
          </w:p>
        </w:tc>
        <w:tc>
          <w:tcPr>
            <w:tcW w:w="665" w:type="pct"/>
          </w:tcPr>
          <w:p w14:paraId="0EE31D6C">
            <w:pPr>
              <w:pStyle w:val="7"/>
              <w:spacing w:line="360" w:lineRule="auto"/>
              <w:rPr>
                <w:rFonts w:ascii="宋体" w:hAnsi="宋体" w:eastAsia="宋体" w:cs="Times New Roman"/>
                <w:sz w:val="21"/>
                <w:szCs w:val="21"/>
              </w:rPr>
            </w:pPr>
          </w:p>
        </w:tc>
        <w:tc>
          <w:tcPr>
            <w:tcW w:w="884" w:type="pct"/>
          </w:tcPr>
          <w:p w14:paraId="119F68FA">
            <w:pPr>
              <w:pStyle w:val="7"/>
              <w:spacing w:line="360" w:lineRule="auto"/>
              <w:rPr>
                <w:rFonts w:ascii="宋体" w:hAnsi="宋体" w:eastAsia="宋体" w:cs="Times New Roman"/>
                <w:sz w:val="21"/>
                <w:szCs w:val="21"/>
              </w:rPr>
            </w:pPr>
          </w:p>
        </w:tc>
        <w:tc>
          <w:tcPr>
            <w:tcW w:w="858" w:type="pct"/>
          </w:tcPr>
          <w:p w14:paraId="679D98E0">
            <w:pPr>
              <w:pStyle w:val="7"/>
              <w:spacing w:line="360" w:lineRule="auto"/>
              <w:rPr>
                <w:rFonts w:ascii="宋体" w:hAnsi="宋体" w:eastAsia="宋体" w:cs="Times New Roman"/>
                <w:sz w:val="21"/>
                <w:szCs w:val="21"/>
              </w:rPr>
            </w:pPr>
          </w:p>
        </w:tc>
        <w:tc>
          <w:tcPr>
            <w:tcW w:w="760" w:type="pct"/>
          </w:tcPr>
          <w:p w14:paraId="3B16CC48">
            <w:pPr>
              <w:pStyle w:val="7"/>
              <w:spacing w:line="360" w:lineRule="auto"/>
              <w:rPr>
                <w:rFonts w:ascii="宋体" w:hAnsi="宋体" w:eastAsia="宋体" w:cs="Times New Roman"/>
                <w:sz w:val="21"/>
                <w:szCs w:val="21"/>
              </w:rPr>
            </w:pPr>
          </w:p>
        </w:tc>
      </w:tr>
    </w:tbl>
    <w:p w14:paraId="2ACA22DC">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投标人（并加盖公章）：</w:t>
      </w:r>
    </w:p>
    <w:p w14:paraId="27D0EDC3">
      <w:pPr>
        <w:autoSpaceDE w:val="0"/>
        <w:autoSpaceDN w:val="0"/>
        <w:adjustRightInd w:val="0"/>
        <w:spacing w:line="480" w:lineRule="auto"/>
        <w:rPr>
          <w:rFonts w:cs="宋体" w:asciiTheme="minorEastAsia" w:hAnsiTheme="minorEastAsia"/>
          <w:szCs w:val="21"/>
          <w:lang w:val="zh-CN"/>
        </w:rPr>
      </w:pPr>
    </w:p>
    <w:p w14:paraId="5D2B4213">
      <w:pPr>
        <w:snapToGrid w:val="0"/>
        <w:spacing w:line="500" w:lineRule="exact"/>
        <w:rPr>
          <w:rFonts w:cs="宋体" w:asciiTheme="minorEastAsia" w:hAnsiTheme="minorEastAsia"/>
          <w:szCs w:val="21"/>
          <w:lang w:val="zh-CN"/>
        </w:rPr>
      </w:pPr>
    </w:p>
    <w:p w14:paraId="2E2A70CA">
      <w:pPr>
        <w:rPr>
          <w:rFonts w:cs="宋体" w:asciiTheme="minorEastAsia" w:hAnsiTheme="minorEastAsia"/>
          <w:szCs w:val="21"/>
          <w:lang w:val="zh-CN"/>
        </w:rPr>
      </w:pPr>
      <w:r>
        <w:rPr>
          <w:rFonts w:hint="eastAsia" w:cs="宋体" w:asciiTheme="minorEastAsia" w:hAnsiTheme="minorEastAsia"/>
          <w:szCs w:val="21"/>
          <w:lang w:val="zh-CN"/>
        </w:rPr>
        <w:t>说明：所投产品节能认证证书须附后。</w:t>
      </w:r>
    </w:p>
    <w:p w14:paraId="76B39F52">
      <w:pPr>
        <w:rPr>
          <w:rFonts w:cs="宋体" w:asciiTheme="minorEastAsia" w:hAnsiTheme="minorEastAsia"/>
          <w:szCs w:val="21"/>
          <w:lang w:val="zh-CN"/>
        </w:rPr>
      </w:pPr>
    </w:p>
    <w:p w14:paraId="3782311F">
      <w:pPr>
        <w:rPr>
          <w:rFonts w:cs="宋体" w:asciiTheme="minorEastAsia" w:hAnsiTheme="minorEastAsia"/>
          <w:szCs w:val="21"/>
          <w:lang w:val="zh-CN"/>
        </w:rPr>
      </w:pPr>
    </w:p>
    <w:p w14:paraId="0ABA8C4C">
      <w:pPr>
        <w:rPr>
          <w:rFonts w:cs="宋体" w:asciiTheme="minorEastAsia" w:hAnsiTheme="minorEastAsia"/>
          <w:szCs w:val="21"/>
          <w:lang w:val="zh-CN"/>
        </w:rPr>
      </w:pPr>
    </w:p>
    <w:p w14:paraId="2663785D">
      <w:pPr>
        <w:rPr>
          <w:rFonts w:cs="宋体" w:asciiTheme="minorEastAsia" w:hAnsiTheme="minorEastAsia"/>
          <w:szCs w:val="21"/>
          <w:lang w:val="zh-CN"/>
        </w:rPr>
      </w:pPr>
    </w:p>
    <w:p w14:paraId="332DA654">
      <w:pPr>
        <w:rPr>
          <w:rFonts w:cs="宋体" w:asciiTheme="minorEastAsia" w:hAnsiTheme="minorEastAsia"/>
          <w:szCs w:val="21"/>
          <w:lang w:val="zh-CN"/>
        </w:rPr>
      </w:pPr>
    </w:p>
    <w:p w14:paraId="6D821E8A">
      <w:pPr>
        <w:rPr>
          <w:rFonts w:cs="宋体" w:asciiTheme="minorEastAsia" w:hAnsiTheme="minorEastAsia"/>
          <w:szCs w:val="21"/>
          <w:lang w:val="zh-CN"/>
        </w:rPr>
      </w:pPr>
    </w:p>
    <w:p w14:paraId="2A705E4C">
      <w:pPr>
        <w:rPr>
          <w:rFonts w:cs="宋体" w:asciiTheme="minorEastAsia" w:hAnsiTheme="minorEastAsia"/>
          <w:szCs w:val="21"/>
          <w:lang w:val="zh-CN"/>
        </w:rPr>
      </w:pPr>
    </w:p>
    <w:p w14:paraId="6563F122">
      <w:pPr>
        <w:rPr>
          <w:rFonts w:cs="宋体" w:asciiTheme="minorEastAsia" w:hAnsiTheme="minorEastAsia"/>
          <w:szCs w:val="21"/>
          <w:lang w:val="zh-CN"/>
        </w:rPr>
      </w:pPr>
    </w:p>
    <w:p w14:paraId="72C07B0C">
      <w:pPr>
        <w:rPr>
          <w:rFonts w:cs="宋体" w:asciiTheme="minorEastAsia" w:hAnsiTheme="minorEastAsia"/>
          <w:szCs w:val="21"/>
          <w:lang w:val="zh-CN"/>
        </w:rPr>
      </w:pPr>
    </w:p>
    <w:p w14:paraId="3EC1A7EC">
      <w:pPr>
        <w:rPr>
          <w:rFonts w:cs="宋体" w:asciiTheme="minorEastAsia" w:hAnsiTheme="minorEastAsia"/>
          <w:szCs w:val="21"/>
          <w:lang w:val="zh-CN"/>
        </w:rPr>
      </w:pPr>
    </w:p>
    <w:p w14:paraId="0B91A290">
      <w:pPr>
        <w:rPr>
          <w:rFonts w:cs="宋体" w:asciiTheme="minorEastAsia" w:hAnsiTheme="minorEastAsia"/>
          <w:szCs w:val="21"/>
          <w:lang w:val="zh-CN"/>
        </w:rPr>
      </w:pPr>
    </w:p>
    <w:p w14:paraId="26C63B32">
      <w:pPr>
        <w:rPr>
          <w:rFonts w:cs="宋体" w:asciiTheme="minorEastAsia" w:hAnsiTheme="minorEastAsia"/>
          <w:szCs w:val="21"/>
          <w:lang w:val="zh-CN"/>
        </w:rPr>
      </w:pPr>
    </w:p>
    <w:p w14:paraId="2CF83D32">
      <w:pPr>
        <w:rPr>
          <w:rFonts w:cs="宋体" w:asciiTheme="minorEastAsia" w:hAnsiTheme="minorEastAsia"/>
          <w:szCs w:val="21"/>
          <w:lang w:val="zh-CN"/>
        </w:rPr>
      </w:pPr>
    </w:p>
    <w:p w14:paraId="6F6B4D0B">
      <w:pPr>
        <w:rPr>
          <w:rFonts w:cs="宋体" w:asciiTheme="minorEastAsia" w:hAnsiTheme="minorEastAsia"/>
          <w:szCs w:val="21"/>
          <w:lang w:val="zh-CN"/>
        </w:rPr>
      </w:pPr>
    </w:p>
    <w:p w14:paraId="61D0B3A4">
      <w:pPr>
        <w:rPr>
          <w:rFonts w:cs="宋体" w:asciiTheme="minorEastAsia" w:hAnsiTheme="minorEastAsia"/>
          <w:szCs w:val="21"/>
          <w:lang w:val="zh-CN"/>
        </w:rPr>
      </w:pPr>
    </w:p>
    <w:p w14:paraId="3444B349">
      <w:pPr>
        <w:autoSpaceDE w:val="0"/>
        <w:autoSpaceDN w:val="0"/>
        <w:adjustRightInd w:val="0"/>
        <w:spacing w:line="360" w:lineRule="auto"/>
        <w:jc w:val="center"/>
        <w:outlineLvl w:val="2"/>
        <w:rPr>
          <w:rFonts w:ascii="宋体" w:hAnsi="宋体"/>
          <w:b/>
          <w:bCs/>
          <w:sz w:val="24"/>
          <w:szCs w:val="24"/>
        </w:rPr>
      </w:pPr>
      <w:r>
        <w:rPr>
          <w:rFonts w:hint="eastAsia" w:ascii="宋体" w:hAnsi="宋体"/>
          <w:b/>
          <w:bCs/>
          <w:sz w:val="24"/>
          <w:szCs w:val="24"/>
        </w:rPr>
        <w:t>4.</w:t>
      </w:r>
      <w:r>
        <w:rPr>
          <w:rFonts w:hint="eastAsia" w:ascii="宋体" w:hAnsi="宋体"/>
          <w:b/>
          <w:bCs/>
          <w:sz w:val="24"/>
          <w:szCs w:val="24"/>
          <w:lang w:val="en-US" w:eastAsia="zh-CN"/>
        </w:rPr>
        <w:t>8</w:t>
      </w:r>
      <w:r>
        <w:rPr>
          <w:rFonts w:hint="eastAsia" w:ascii="宋体" w:hAnsi="宋体"/>
          <w:b/>
          <w:bCs/>
          <w:sz w:val="24"/>
          <w:szCs w:val="24"/>
        </w:rPr>
        <w:t xml:space="preserve"> “环境标志产品政府采购品目清单”优先采购产品情况</w:t>
      </w:r>
    </w:p>
    <w:p w14:paraId="293BAE36">
      <w:pPr>
        <w:autoSpaceDE w:val="0"/>
        <w:autoSpaceDN w:val="0"/>
        <w:adjustRightInd w:val="0"/>
        <w:spacing w:line="360" w:lineRule="auto"/>
        <w:jc w:val="center"/>
        <w:outlineLvl w:val="9"/>
        <w:rPr>
          <w:rFonts w:ascii="宋体" w:hAnsi="宋体"/>
          <w:b/>
          <w:bCs/>
          <w:sz w:val="28"/>
          <w:szCs w:val="28"/>
        </w:rPr>
      </w:pPr>
    </w:p>
    <w:p w14:paraId="2F228C5C">
      <w:pPr>
        <w:spacing w:before="50" w:afterLines="50" w:line="360" w:lineRule="auto"/>
        <w:contextualSpacing/>
        <w:jc w:val="left"/>
        <w:rPr>
          <w:rFonts w:asciiTheme="minorEastAsia" w:hAnsiTheme="minorEastAsia"/>
          <w:szCs w:val="21"/>
        </w:rPr>
      </w:pPr>
      <w:r>
        <w:rPr>
          <w:rFonts w:hint="eastAsia" w:asciiTheme="minorEastAsia" w:hAnsiTheme="minorEastAsia"/>
          <w:szCs w:val="21"/>
        </w:rPr>
        <w:t>采购编号：</w:t>
      </w:r>
    </w:p>
    <w:p w14:paraId="025C81D6">
      <w:pPr>
        <w:tabs>
          <w:tab w:val="left" w:pos="1800"/>
          <w:tab w:val="left" w:pos="5580"/>
        </w:tabs>
        <w:spacing w:line="360" w:lineRule="auto"/>
        <w:rPr>
          <w:rFonts w:asciiTheme="minorEastAsia" w:hAnsiTheme="minorEastAsia"/>
          <w:szCs w:val="21"/>
        </w:rPr>
      </w:pPr>
      <w:r>
        <w:rPr>
          <w:rFonts w:hint="eastAsia" w:asciiTheme="minorEastAsia" w:hAnsiTheme="minorEastAsia"/>
          <w:szCs w:val="21"/>
        </w:rPr>
        <w:t>项目名称：</w:t>
      </w:r>
    </w:p>
    <w:p w14:paraId="53485CB9">
      <w:pPr>
        <w:tabs>
          <w:tab w:val="left" w:pos="1800"/>
          <w:tab w:val="left" w:pos="5580"/>
        </w:tabs>
        <w:spacing w:line="360" w:lineRule="auto"/>
        <w:rPr>
          <w:rFonts w:asciiTheme="minorEastAsia" w:hAnsiTheme="minorEastAsia"/>
          <w:szCs w:val="21"/>
        </w:rPr>
      </w:pPr>
    </w:p>
    <w:tbl>
      <w:tblPr>
        <w:tblStyle w:val="24"/>
        <w:tblW w:w="51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1374"/>
        <w:gridCol w:w="1518"/>
        <w:gridCol w:w="1240"/>
        <w:gridCol w:w="1648"/>
        <w:gridCol w:w="1600"/>
        <w:gridCol w:w="1417"/>
      </w:tblGrid>
      <w:tr w14:paraId="21593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282" w:type="pct"/>
            <w:shd w:val="clear" w:color="auto" w:fill="F1F1F1" w:themeFill="background1" w:themeFillShade="F2"/>
            <w:vAlign w:val="center"/>
          </w:tcPr>
          <w:p w14:paraId="18C85C97">
            <w:pPr>
              <w:pStyle w:val="7"/>
              <w:jc w:val="center"/>
              <w:rPr>
                <w:rFonts w:ascii="宋体" w:hAnsi="宋体" w:eastAsia="宋体" w:cs="宋体"/>
                <w:b/>
                <w:bCs/>
                <w:sz w:val="21"/>
                <w:szCs w:val="21"/>
              </w:rPr>
            </w:pPr>
            <w:r>
              <w:rPr>
                <w:rFonts w:hint="eastAsia" w:ascii="宋体" w:hAnsi="宋体" w:eastAsia="宋体" w:cs="宋体"/>
                <w:b/>
                <w:bCs/>
                <w:sz w:val="21"/>
                <w:szCs w:val="21"/>
              </w:rPr>
              <w:t>序号</w:t>
            </w:r>
          </w:p>
        </w:tc>
        <w:tc>
          <w:tcPr>
            <w:tcW w:w="737" w:type="pct"/>
            <w:shd w:val="clear" w:color="auto" w:fill="F1F1F1" w:themeFill="background1" w:themeFillShade="F2"/>
            <w:vAlign w:val="center"/>
          </w:tcPr>
          <w:p w14:paraId="45150350">
            <w:pPr>
              <w:pStyle w:val="7"/>
              <w:jc w:val="center"/>
              <w:rPr>
                <w:rFonts w:ascii="宋体" w:hAnsi="宋体" w:eastAsia="宋体" w:cs="宋体"/>
                <w:b/>
                <w:bCs/>
                <w:sz w:val="21"/>
                <w:szCs w:val="21"/>
              </w:rPr>
            </w:pPr>
            <w:r>
              <w:rPr>
                <w:rFonts w:hint="eastAsia" w:ascii="宋体" w:hAnsi="宋体" w:eastAsia="宋体" w:cs="宋体"/>
                <w:b/>
                <w:bCs/>
                <w:sz w:val="21"/>
                <w:szCs w:val="21"/>
              </w:rPr>
              <w:t>产品名称</w:t>
            </w:r>
          </w:p>
        </w:tc>
        <w:tc>
          <w:tcPr>
            <w:tcW w:w="814" w:type="pct"/>
            <w:shd w:val="clear" w:color="auto" w:fill="F1F1F1" w:themeFill="background1" w:themeFillShade="F2"/>
            <w:vAlign w:val="center"/>
          </w:tcPr>
          <w:p w14:paraId="39CC29CE">
            <w:pPr>
              <w:pStyle w:val="7"/>
              <w:jc w:val="center"/>
              <w:rPr>
                <w:rFonts w:ascii="宋体" w:hAnsi="宋体" w:eastAsia="宋体" w:cs="宋体"/>
                <w:b/>
                <w:bCs/>
                <w:sz w:val="21"/>
                <w:szCs w:val="21"/>
              </w:rPr>
            </w:pPr>
            <w:r>
              <w:rPr>
                <w:rFonts w:hint="eastAsia" w:ascii="宋体" w:hAnsi="宋体" w:eastAsia="宋体" w:cs="宋体"/>
                <w:b/>
                <w:bCs/>
                <w:sz w:val="21"/>
                <w:szCs w:val="21"/>
              </w:rPr>
              <w:t>品牌</w:t>
            </w:r>
          </w:p>
        </w:tc>
        <w:tc>
          <w:tcPr>
            <w:tcW w:w="665" w:type="pct"/>
            <w:shd w:val="clear" w:color="auto" w:fill="F1F1F1" w:themeFill="background1" w:themeFillShade="F2"/>
            <w:vAlign w:val="center"/>
          </w:tcPr>
          <w:p w14:paraId="4D621D82">
            <w:pPr>
              <w:pStyle w:val="7"/>
              <w:jc w:val="center"/>
              <w:rPr>
                <w:rFonts w:ascii="宋体" w:hAnsi="宋体" w:eastAsia="宋体" w:cs="宋体"/>
                <w:b/>
                <w:bCs/>
                <w:sz w:val="21"/>
                <w:szCs w:val="21"/>
              </w:rPr>
            </w:pPr>
            <w:r>
              <w:rPr>
                <w:rFonts w:hint="eastAsia" w:ascii="宋体" w:hAnsi="宋体" w:eastAsia="宋体" w:cs="宋体"/>
                <w:b/>
                <w:bCs/>
                <w:sz w:val="21"/>
                <w:szCs w:val="21"/>
              </w:rPr>
              <w:t>产品型号</w:t>
            </w:r>
          </w:p>
        </w:tc>
        <w:tc>
          <w:tcPr>
            <w:tcW w:w="884" w:type="pct"/>
            <w:shd w:val="clear" w:color="auto" w:fill="F1F1F1" w:themeFill="background1" w:themeFillShade="F2"/>
            <w:vAlign w:val="center"/>
          </w:tcPr>
          <w:p w14:paraId="2E40F0EC">
            <w:pPr>
              <w:pStyle w:val="7"/>
              <w:jc w:val="center"/>
              <w:rPr>
                <w:rFonts w:ascii="宋体" w:hAnsi="宋体" w:eastAsia="宋体" w:cs="宋体"/>
                <w:b/>
                <w:bCs/>
                <w:sz w:val="21"/>
                <w:szCs w:val="21"/>
              </w:rPr>
            </w:pPr>
            <w:r>
              <w:rPr>
                <w:rFonts w:hint="eastAsia" w:ascii="宋体" w:hAnsi="宋体" w:eastAsia="宋体" w:cs="宋体"/>
                <w:b/>
                <w:bCs/>
                <w:sz w:val="21"/>
                <w:szCs w:val="21"/>
              </w:rPr>
              <w:t>认证证书编号</w:t>
            </w:r>
          </w:p>
        </w:tc>
        <w:tc>
          <w:tcPr>
            <w:tcW w:w="858" w:type="pct"/>
            <w:shd w:val="clear" w:color="auto" w:fill="F1F1F1" w:themeFill="background1" w:themeFillShade="F2"/>
            <w:vAlign w:val="center"/>
          </w:tcPr>
          <w:p w14:paraId="0868EFD3">
            <w:pPr>
              <w:pStyle w:val="7"/>
              <w:jc w:val="center"/>
              <w:rPr>
                <w:rFonts w:ascii="宋体" w:hAnsi="宋体" w:eastAsia="宋体" w:cs="宋体"/>
                <w:b/>
                <w:bCs/>
                <w:sz w:val="21"/>
                <w:szCs w:val="21"/>
              </w:rPr>
            </w:pPr>
            <w:r>
              <w:rPr>
                <w:rFonts w:hint="eastAsia" w:ascii="宋体" w:hAnsi="宋体" w:eastAsia="宋体" w:cs="宋体"/>
                <w:b/>
                <w:bCs/>
                <w:sz w:val="21"/>
                <w:szCs w:val="21"/>
              </w:rPr>
              <w:t>证书有效期</w:t>
            </w:r>
          </w:p>
        </w:tc>
        <w:tc>
          <w:tcPr>
            <w:tcW w:w="760" w:type="pct"/>
            <w:shd w:val="clear" w:color="auto" w:fill="F1F1F1" w:themeFill="background1" w:themeFillShade="F2"/>
            <w:vAlign w:val="center"/>
          </w:tcPr>
          <w:p w14:paraId="75A5E5A0">
            <w:pPr>
              <w:pStyle w:val="7"/>
              <w:jc w:val="center"/>
              <w:rPr>
                <w:rFonts w:ascii="宋体" w:hAnsi="宋体" w:eastAsia="宋体" w:cs="宋体"/>
                <w:b/>
                <w:bCs/>
                <w:sz w:val="21"/>
                <w:szCs w:val="21"/>
              </w:rPr>
            </w:pPr>
            <w:r>
              <w:rPr>
                <w:rFonts w:hint="eastAsia" w:ascii="宋体" w:hAnsi="宋体" w:eastAsia="宋体" w:cs="宋体"/>
                <w:b/>
                <w:bCs/>
                <w:sz w:val="21"/>
                <w:szCs w:val="21"/>
              </w:rPr>
              <w:t>认证机构</w:t>
            </w:r>
          </w:p>
        </w:tc>
      </w:tr>
      <w:tr w14:paraId="36E88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1B863268">
            <w:pPr>
              <w:pStyle w:val="7"/>
              <w:spacing w:line="360" w:lineRule="auto"/>
              <w:jc w:val="center"/>
              <w:rPr>
                <w:rFonts w:ascii="宋体" w:hAnsi="宋体" w:eastAsia="宋体" w:cs="Times New Roman"/>
                <w:sz w:val="21"/>
                <w:szCs w:val="21"/>
              </w:rPr>
            </w:pPr>
            <w:r>
              <w:rPr>
                <w:rFonts w:hint="eastAsia" w:ascii="宋体" w:hAnsi="宋体" w:eastAsia="宋体" w:cs="Times New Roman"/>
                <w:sz w:val="21"/>
                <w:szCs w:val="21"/>
              </w:rPr>
              <w:t>1</w:t>
            </w:r>
          </w:p>
        </w:tc>
        <w:tc>
          <w:tcPr>
            <w:tcW w:w="737" w:type="pct"/>
            <w:vAlign w:val="center"/>
          </w:tcPr>
          <w:p w14:paraId="6F69E3A3">
            <w:pPr>
              <w:pStyle w:val="7"/>
              <w:spacing w:line="360" w:lineRule="auto"/>
              <w:rPr>
                <w:rFonts w:ascii="宋体" w:hAnsi="宋体" w:eastAsia="宋体" w:cs="Times New Roman"/>
                <w:sz w:val="21"/>
                <w:szCs w:val="21"/>
              </w:rPr>
            </w:pPr>
          </w:p>
        </w:tc>
        <w:tc>
          <w:tcPr>
            <w:tcW w:w="814" w:type="pct"/>
            <w:vAlign w:val="center"/>
          </w:tcPr>
          <w:p w14:paraId="3F1D3D64">
            <w:pPr>
              <w:pStyle w:val="7"/>
              <w:spacing w:line="360" w:lineRule="auto"/>
              <w:rPr>
                <w:rFonts w:ascii="宋体" w:hAnsi="宋体" w:eastAsia="宋体" w:cs="Times New Roman"/>
                <w:sz w:val="21"/>
                <w:szCs w:val="21"/>
              </w:rPr>
            </w:pPr>
          </w:p>
        </w:tc>
        <w:tc>
          <w:tcPr>
            <w:tcW w:w="665" w:type="pct"/>
          </w:tcPr>
          <w:p w14:paraId="4A3550F0">
            <w:pPr>
              <w:pStyle w:val="7"/>
              <w:spacing w:line="360" w:lineRule="auto"/>
              <w:rPr>
                <w:rFonts w:ascii="宋体" w:hAnsi="宋体" w:eastAsia="宋体" w:cs="Times New Roman"/>
                <w:sz w:val="21"/>
                <w:szCs w:val="21"/>
              </w:rPr>
            </w:pPr>
          </w:p>
        </w:tc>
        <w:tc>
          <w:tcPr>
            <w:tcW w:w="884" w:type="pct"/>
          </w:tcPr>
          <w:p w14:paraId="1E6A429C">
            <w:pPr>
              <w:pStyle w:val="7"/>
              <w:spacing w:line="360" w:lineRule="auto"/>
              <w:rPr>
                <w:rFonts w:ascii="宋体" w:hAnsi="宋体" w:eastAsia="宋体" w:cs="Times New Roman"/>
                <w:sz w:val="21"/>
                <w:szCs w:val="21"/>
              </w:rPr>
            </w:pPr>
          </w:p>
        </w:tc>
        <w:tc>
          <w:tcPr>
            <w:tcW w:w="858" w:type="pct"/>
          </w:tcPr>
          <w:p w14:paraId="605B6D65">
            <w:pPr>
              <w:pStyle w:val="7"/>
              <w:spacing w:line="360" w:lineRule="auto"/>
              <w:rPr>
                <w:rFonts w:ascii="宋体" w:hAnsi="宋体" w:eastAsia="宋体" w:cs="Times New Roman"/>
                <w:sz w:val="21"/>
                <w:szCs w:val="21"/>
              </w:rPr>
            </w:pPr>
          </w:p>
        </w:tc>
        <w:tc>
          <w:tcPr>
            <w:tcW w:w="760" w:type="pct"/>
          </w:tcPr>
          <w:p w14:paraId="6F1F61DC">
            <w:pPr>
              <w:pStyle w:val="7"/>
              <w:spacing w:line="360" w:lineRule="auto"/>
              <w:rPr>
                <w:rFonts w:ascii="宋体" w:hAnsi="宋体" w:eastAsia="宋体" w:cs="Times New Roman"/>
                <w:sz w:val="21"/>
                <w:szCs w:val="21"/>
              </w:rPr>
            </w:pPr>
          </w:p>
        </w:tc>
      </w:tr>
      <w:tr w14:paraId="661E2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6368CC9A">
            <w:pPr>
              <w:pStyle w:val="7"/>
              <w:spacing w:line="360" w:lineRule="auto"/>
              <w:jc w:val="center"/>
              <w:rPr>
                <w:rFonts w:ascii="宋体" w:hAnsi="宋体" w:eastAsia="宋体" w:cs="Times New Roman"/>
                <w:sz w:val="21"/>
                <w:szCs w:val="21"/>
              </w:rPr>
            </w:pPr>
            <w:r>
              <w:rPr>
                <w:rFonts w:hint="eastAsia" w:ascii="宋体" w:hAnsi="宋体" w:eastAsia="宋体" w:cs="Times New Roman"/>
                <w:sz w:val="21"/>
                <w:szCs w:val="21"/>
              </w:rPr>
              <w:t>2</w:t>
            </w:r>
          </w:p>
        </w:tc>
        <w:tc>
          <w:tcPr>
            <w:tcW w:w="737" w:type="pct"/>
            <w:vAlign w:val="center"/>
          </w:tcPr>
          <w:p w14:paraId="79BAE82A">
            <w:pPr>
              <w:pStyle w:val="7"/>
              <w:spacing w:line="360" w:lineRule="auto"/>
              <w:rPr>
                <w:rFonts w:ascii="宋体" w:hAnsi="宋体" w:eastAsia="宋体" w:cs="Times New Roman"/>
                <w:sz w:val="21"/>
                <w:szCs w:val="21"/>
              </w:rPr>
            </w:pPr>
          </w:p>
        </w:tc>
        <w:tc>
          <w:tcPr>
            <w:tcW w:w="814" w:type="pct"/>
            <w:vAlign w:val="center"/>
          </w:tcPr>
          <w:p w14:paraId="016A9A5B">
            <w:pPr>
              <w:pStyle w:val="7"/>
              <w:spacing w:line="360" w:lineRule="auto"/>
              <w:rPr>
                <w:rFonts w:ascii="宋体" w:hAnsi="宋体" w:eastAsia="宋体" w:cs="Times New Roman"/>
                <w:sz w:val="21"/>
                <w:szCs w:val="21"/>
              </w:rPr>
            </w:pPr>
          </w:p>
        </w:tc>
        <w:tc>
          <w:tcPr>
            <w:tcW w:w="665" w:type="pct"/>
          </w:tcPr>
          <w:p w14:paraId="05004B4F">
            <w:pPr>
              <w:pStyle w:val="7"/>
              <w:spacing w:line="360" w:lineRule="auto"/>
              <w:rPr>
                <w:rFonts w:ascii="宋体" w:hAnsi="宋体" w:eastAsia="宋体" w:cs="Times New Roman"/>
                <w:sz w:val="21"/>
                <w:szCs w:val="21"/>
              </w:rPr>
            </w:pPr>
          </w:p>
        </w:tc>
        <w:tc>
          <w:tcPr>
            <w:tcW w:w="884" w:type="pct"/>
          </w:tcPr>
          <w:p w14:paraId="1B64F57E">
            <w:pPr>
              <w:pStyle w:val="7"/>
              <w:spacing w:line="360" w:lineRule="auto"/>
              <w:rPr>
                <w:rFonts w:ascii="宋体" w:hAnsi="宋体" w:eastAsia="宋体" w:cs="Times New Roman"/>
                <w:sz w:val="21"/>
                <w:szCs w:val="21"/>
              </w:rPr>
            </w:pPr>
          </w:p>
        </w:tc>
        <w:tc>
          <w:tcPr>
            <w:tcW w:w="858" w:type="pct"/>
          </w:tcPr>
          <w:p w14:paraId="1DAF397A">
            <w:pPr>
              <w:pStyle w:val="7"/>
              <w:spacing w:line="360" w:lineRule="auto"/>
              <w:rPr>
                <w:rFonts w:ascii="宋体" w:hAnsi="宋体" w:eastAsia="宋体" w:cs="Times New Roman"/>
                <w:sz w:val="21"/>
                <w:szCs w:val="21"/>
              </w:rPr>
            </w:pPr>
          </w:p>
        </w:tc>
        <w:tc>
          <w:tcPr>
            <w:tcW w:w="760" w:type="pct"/>
          </w:tcPr>
          <w:p w14:paraId="05168403">
            <w:pPr>
              <w:pStyle w:val="7"/>
              <w:spacing w:line="360" w:lineRule="auto"/>
              <w:rPr>
                <w:rFonts w:ascii="宋体" w:hAnsi="宋体" w:eastAsia="宋体" w:cs="Times New Roman"/>
                <w:sz w:val="21"/>
                <w:szCs w:val="21"/>
              </w:rPr>
            </w:pPr>
          </w:p>
        </w:tc>
      </w:tr>
      <w:tr w14:paraId="1A60B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282" w:type="pct"/>
            <w:vAlign w:val="center"/>
          </w:tcPr>
          <w:p w14:paraId="65241BC1">
            <w:pPr>
              <w:pStyle w:val="7"/>
              <w:spacing w:line="360" w:lineRule="auto"/>
              <w:jc w:val="center"/>
              <w:rPr>
                <w:rFonts w:ascii="宋体" w:hAnsi="宋体" w:eastAsia="宋体" w:cs="Times New Roman"/>
                <w:sz w:val="21"/>
                <w:szCs w:val="21"/>
              </w:rPr>
            </w:pPr>
            <w:r>
              <w:rPr>
                <w:rFonts w:hint="eastAsia" w:ascii="宋体" w:hAnsi="宋体" w:eastAsia="宋体" w:cs="宋体"/>
                <w:sz w:val="21"/>
                <w:szCs w:val="21"/>
              </w:rPr>
              <w:t>…</w:t>
            </w:r>
          </w:p>
        </w:tc>
        <w:tc>
          <w:tcPr>
            <w:tcW w:w="737" w:type="pct"/>
            <w:vAlign w:val="center"/>
          </w:tcPr>
          <w:p w14:paraId="5E6EE3A9">
            <w:pPr>
              <w:pStyle w:val="7"/>
              <w:spacing w:line="360" w:lineRule="auto"/>
              <w:rPr>
                <w:rFonts w:ascii="宋体" w:hAnsi="宋体" w:eastAsia="宋体" w:cs="Times New Roman"/>
                <w:sz w:val="21"/>
                <w:szCs w:val="21"/>
              </w:rPr>
            </w:pPr>
          </w:p>
        </w:tc>
        <w:tc>
          <w:tcPr>
            <w:tcW w:w="814" w:type="pct"/>
            <w:vAlign w:val="center"/>
          </w:tcPr>
          <w:p w14:paraId="0E4A8A62">
            <w:pPr>
              <w:pStyle w:val="7"/>
              <w:spacing w:line="360" w:lineRule="auto"/>
              <w:rPr>
                <w:rFonts w:ascii="宋体" w:hAnsi="宋体" w:eastAsia="宋体" w:cs="Times New Roman"/>
                <w:sz w:val="21"/>
                <w:szCs w:val="21"/>
              </w:rPr>
            </w:pPr>
          </w:p>
        </w:tc>
        <w:tc>
          <w:tcPr>
            <w:tcW w:w="665" w:type="pct"/>
          </w:tcPr>
          <w:p w14:paraId="2221091E">
            <w:pPr>
              <w:pStyle w:val="7"/>
              <w:spacing w:line="360" w:lineRule="auto"/>
              <w:rPr>
                <w:rFonts w:ascii="宋体" w:hAnsi="宋体" w:eastAsia="宋体" w:cs="Times New Roman"/>
                <w:sz w:val="21"/>
                <w:szCs w:val="21"/>
              </w:rPr>
            </w:pPr>
          </w:p>
        </w:tc>
        <w:tc>
          <w:tcPr>
            <w:tcW w:w="884" w:type="pct"/>
          </w:tcPr>
          <w:p w14:paraId="3FDA271B">
            <w:pPr>
              <w:pStyle w:val="7"/>
              <w:spacing w:line="360" w:lineRule="auto"/>
              <w:rPr>
                <w:rFonts w:ascii="宋体" w:hAnsi="宋体" w:eastAsia="宋体" w:cs="Times New Roman"/>
                <w:sz w:val="21"/>
                <w:szCs w:val="21"/>
              </w:rPr>
            </w:pPr>
          </w:p>
        </w:tc>
        <w:tc>
          <w:tcPr>
            <w:tcW w:w="858" w:type="pct"/>
          </w:tcPr>
          <w:p w14:paraId="5EE86661">
            <w:pPr>
              <w:pStyle w:val="7"/>
              <w:spacing w:line="360" w:lineRule="auto"/>
              <w:rPr>
                <w:rFonts w:ascii="宋体" w:hAnsi="宋体" w:eastAsia="宋体" w:cs="Times New Roman"/>
                <w:sz w:val="21"/>
                <w:szCs w:val="21"/>
              </w:rPr>
            </w:pPr>
          </w:p>
        </w:tc>
        <w:tc>
          <w:tcPr>
            <w:tcW w:w="760" w:type="pct"/>
          </w:tcPr>
          <w:p w14:paraId="2A6A54E6">
            <w:pPr>
              <w:pStyle w:val="7"/>
              <w:spacing w:line="360" w:lineRule="auto"/>
              <w:rPr>
                <w:rFonts w:ascii="宋体" w:hAnsi="宋体" w:eastAsia="宋体" w:cs="Times New Roman"/>
                <w:sz w:val="21"/>
                <w:szCs w:val="21"/>
              </w:rPr>
            </w:pPr>
          </w:p>
        </w:tc>
      </w:tr>
    </w:tbl>
    <w:p w14:paraId="145B5E2D">
      <w:pPr>
        <w:autoSpaceDE w:val="0"/>
        <w:autoSpaceDN w:val="0"/>
        <w:adjustRightInd w:val="0"/>
        <w:spacing w:line="480" w:lineRule="auto"/>
        <w:rPr>
          <w:rFonts w:cs="宋体" w:asciiTheme="minorEastAsia" w:hAnsiTheme="minorEastAsia"/>
          <w:szCs w:val="21"/>
          <w:lang w:val="zh-CN"/>
        </w:rPr>
      </w:pPr>
      <w:r>
        <w:rPr>
          <w:rFonts w:hint="eastAsia" w:cs="宋体" w:asciiTheme="minorEastAsia" w:hAnsiTheme="minorEastAsia"/>
          <w:szCs w:val="21"/>
          <w:lang w:val="zh-CN"/>
        </w:rPr>
        <w:t>投标人（并加盖公章）：</w:t>
      </w:r>
    </w:p>
    <w:p w14:paraId="44D55835">
      <w:pPr>
        <w:autoSpaceDE w:val="0"/>
        <w:autoSpaceDN w:val="0"/>
        <w:adjustRightInd w:val="0"/>
        <w:spacing w:line="480" w:lineRule="auto"/>
        <w:rPr>
          <w:rFonts w:cs="宋体" w:asciiTheme="minorEastAsia" w:hAnsiTheme="minorEastAsia"/>
          <w:szCs w:val="21"/>
          <w:lang w:val="zh-CN"/>
        </w:rPr>
      </w:pPr>
    </w:p>
    <w:p w14:paraId="5D6213BE">
      <w:pPr>
        <w:snapToGrid w:val="0"/>
        <w:spacing w:line="500" w:lineRule="exact"/>
        <w:rPr>
          <w:rFonts w:cs="宋体" w:asciiTheme="minorEastAsia" w:hAnsiTheme="minorEastAsia"/>
          <w:szCs w:val="21"/>
          <w:lang w:val="zh-CN"/>
        </w:rPr>
      </w:pPr>
    </w:p>
    <w:p w14:paraId="3BDBAF73">
      <w:pPr>
        <w:spacing w:line="360" w:lineRule="auto"/>
        <w:rPr>
          <w:rFonts w:ascii="宋体" w:hAnsi="宋体"/>
          <w:b/>
          <w:bCs/>
          <w:sz w:val="36"/>
          <w:szCs w:val="36"/>
        </w:rPr>
      </w:pPr>
      <w:r>
        <w:rPr>
          <w:rFonts w:hint="eastAsia" w:cs="宋体" w:asciiTheme="minorEastAsia" w:hAnsiTheme="minorEastAsia"/>
          <w:szCs w:val="21"/>
          <w:lang w:val="zh-CN"/>
        </w:rPr>
        <w:t>说明：所投产品环境标志产品认证证书须附后。</w:t>
      </w:r>
    </w:p>
    <w:p w14:paraId="182CC765">
      <w:pPr>
        <w:spacing w:line="360" w:lineRule="auto"/>
        <w:jc w:val="center"/>
        <w:rPr>
          <w:rFonts w:cs="宋体" w:asciiTheme="minorEastAsia" w:hAnsiTheme="minorEastAsia"/>
          <w:szCs w:val="21"/>
          <w:lang w:val="zh-CN"/>
        </w:rPr>
      </w:pPr>
    </w:p>
    <w:p w14:paraId="22CF8B43">
      <w:pPr>
        <w:spacing w:line="360" w:lineRule="auto"/>
        <w:jc w:val="center"/>
        <w:rPr>
          <w:rFonts w:cs="宋体" w:asciiTheme="minorEastAsia" w:hAnsiTheme="minorEastAsia"/>
          <w:szCs w:val="21"/>
          <w:lang w:val="zh-CN"/>
        </w:rPr>
      </w:pPr>
    </w:p>
    <w:p w14:paraId="688CFAEC">
      <w:pPr>
        <w:spacing w:line="360" w:lineRule="auto"/>
        <w:jc w:val="center"/>
        <w:rPr>
          <w:rFonts w:cs="宋体" w:asciiTheme="minorEastAsia" w:hAnsiTheme="minorEastAsia"/>
          <w:szCs w:val="21"/>
          <w:lang w:val="zh-CN"/>
        </w:rPr>
      </w:pPr>
    </w:p>
    <w:p w14:paraId="70D35245">
      <w:pPr>
        <w:spacing w:line="360" w:lineRule="auto"/>
        <w:jc w:val="center"/>
        <w:rPr>
          <w:rFonts w:cs="宋体" w:asciiTheme="minorEastAsia" w:hAnsiTheme="minorEastAsia"/>
          <w:szCs w:val="21"/>
          <w:lang w:val="zh-CN"/>
        </w:rPr>
      </w:pPr>
    </w:p>
    <w:p w14:paraId="4BEF48B0">
      <w:pPr>
        <w:spacing w:line="360" w:lineRule="auto"/>
        <w:jc w:val="center"/>
        <w:rPr>
          <w:rFonts w:cs="宋体" w:asciiTheme="minorEastAsia" w:hAnsiTheme="minorEastAsia"/>
          <w:szCs w:val="21"/>
          <w:lang w:val="zh-CN"/>
        </w:rPr>
      </w:pPr>
    </w:p>
    <w:p w14:paraId="46A08B18">
      <w:pPr>
        <w:spacing w:line="360" w:lineRule="auto"/>
        <w:jc w:val="center"/>
        <w:rPr>
          <w:rFonts w:cs="宋体" w:asciiTheme="minorEastAsia" w:hAnsiTheme="minorEastAsia"/>
          <w:szCs w:val="21"/>
          <w:lang w:val="zh-CN"/>
        </w:rPr>
      </w:pPr>
    </w:p>
    <w:p w14:paraId="214F2AF5">
      <w:pPr>
        <w:spacing w:line="360" w:lineRule="auto"/>
        <w:jc w:val="center"/>
        <w:rPr>
          <w:rFonts w:cs="宋体" w:asciiTheme="minorEastAsia" w:hAnsiTheme="minorEastAsia"/>
          <w:szCs w:val="21"/>
          <w:lang w:val="zh-CN"/>
        </w:rPr>
      </w:pPr>
    </w:p>
    <w:p w14:paraId="6931DA1C">
      <w:pPr>
        <w:spacing w:line="360" w:lineRule="auto"/>
        <w:jc w:val="center"/>
        <w:rPr>
          <w:rFonts w:cs="宋体" w:asciiTheme="minorEastAsia" w:hAnsiTheme="minorEastAsia"/>
          <w:szCs w:val="21"/>
          <w:lang w:val="zh-CN"/>
        </w:rPr>
      </w:pPr>
    </w:p>
    <w:p w14:paraId="789E79CC">
      <w:pPr>
        <w:spacing w:line="360" w:lineRule="auto"/>
        <w:jc w:val="center"/>
        <w:rPr>
          <w:rFonts w:cs="宋体" w:asciiTheme="minorEastAsia" w:hAnsiTheme="minorEastAsia"/>
          <w:szCs w:val="21"/>
          <w:lang w:val="zh-CN"/>
        </w:rPr>
      </w:pPr>
    </w:p>
    <w:p w14:paraId="69CEE710">
      <w:pPr>
        <w:spacing w:line="360" w:lineRule="auto"/>
        <w:jc w:val="center"/>
        <w:rPr>
          <w:rFonts w:cs="宋体" w:asciiTheme="minorEastAsia" w:hAnsiTheme="minorEastAsia"/>
          <w:szCs w:val="21"/>
          <w:lang w:val="zh-CN"/>
        </w:rPr>
      </w:pPr>
    </w:p>
    <w:p w14:paraId="30D5293E">
      <w:pPr>
        <w:autoSpaceDE w:val="0"/>
        <w:autoSpaceDN w:val="0"/>
        <w:adjustRightInd w:val="0"/>
        <w:spacing w:line="360" w:lineRule="auto"/>
        <w:jc w:val="center"/>
        <w:outlineLvl w:val="1"/>
        <w:rPr>
          <w:rFonts w:cs="黑体" w:asciiTheme="minorEastAsia" w:hAnsiTheme="minorEastAsia"/>
          <w:b/>
          <w:bCs/>
          <w:sz w:val="28"/>
          <w:szCs w:val="28"/>
          <w:lang w:val="zh-CN"/>
        </w:rPr>
      </w:pPr>
      <w:r>
        <w:rPr>
          <w:rFonts w:hint="eastAsia" w:cs="黑体" w:asciiTheme="minorEastAsia" w:hAnsiTheme="minorEastAsia"/>
          <w:b/>
          <w:bCs/>
          <w:sz w:val="28"/>
          <w:szCs w:val="28"/>
          <w:lang w:val="zh-CN"/>
        </w:rPr>
        <w:t>五、</w:t>
      </w:r>
      <w:r>
        <w:rPr>
          <w:rFonts w:cs="黑体" w:asciiTheme="minorEastAsia" w:hAnsiTheme="minorEastAsia"/>
          <w:b/>
          <w:bCs/>
          <w:sz w:val="28"/>
          <w:szCs w:val="28"/>
          <w:lang w:val="zh-CN"/>
        </w:rPr>
        <w:t>其他资料（若有）</w:t>
      </w:r>
    </w:p>
    <w:p w14:paraId="47225357"/>
    <w:p w14:paraId="61016B54"/>
    <w:p w14:paraId="374A8267"/>
    <w:p w14:paraId="3232FA6B">
      <w:pPr>
        <w:spacing w:line="360" w:lineRule="auto"/>
        <w:jc w:val="center"/>
        <w:rPr>
          <w:rFonts w:ascii="宋体" w:hAnsi="宋体"/>
          <w:b/>
          <w:bCs/>
          <w:sz w:val="28"/>
          <w:szCs w:val="28"/>
        </w:rPr>
      </w:pPr>
      <w:r>
        <w:rPr>
          <w:rFonts w:ascii="宋体" w:hAnsi="宋体"/>
          <w:b/>
          <w:bCs/>
          <w:sz w:val="28"/>
          <w:szCs w:val="28"/>
        </w:rPr>
        <w:t>除招标文件另有规定外，投标人认为需要提交的其他证明材料或资料加盖投标人单位公章后应在此项下提交。</w:t>
      </w:r>
    </w:p>
    <w:p w14:paraId="0E1AFB56">
      <w:pPr>
        <w:spacing w:line="360" w:lineRule="auto"/>
        <w:jc w:val="center"/>
        <w:rPr>
          <w:rFonts w:ascii="宋体" w:hAnsi="宋体"/>
          <w:b/>
          <w:bCs/>
          <w:sz w:val="28"/>
          <w:szCs w:val="28"/>
        </w:rPr>
      </w:pPr>
      <w:r>
        <w:rPr>
          <w:rFonts w:ascii="宋体" w:hAnsi="宋体"/>
          <w:b/>
          <w:bCs/>
          <w:sz w:val="28"/>
          <w:szCs w:val="28"/>
        </w:rPr>
        <w:t> </w:t>
      </w:r>
    </w:p>
    <w:p w14:paraId="2425D32F">
      <w:pPr>
        <w:autoSpaceDE w:val="0"/>
        <w:autoSpaceDN w:val="0"/>
        <w:adjustRightInd w:val="0"/>
        <w:spacing w:line="360" w:lineRule="auto"/>
        <w:jc w:val="center"/>
        <w:outlineLvl w:val="9"/>
        <w:rPr>
          <w:rFonts w:hAnsi="宋体" w:eastAsia="宋体"/>
          <w:b/>
          <w:snapToGrid w:val="0"/>
          <w:kern w:val="0"/>
          <w:sz w:val="36"/>
          <w:szCs w:val="36"/>
        </w:rPr>
      </w:pPr>
    </w:p>
    <w:p w14:paraId="1CFA8FD6">
      <w:pPr>
        <w:autoSpaceDE w:val="0"/>
        <w:autoSpaceDN w:val="0"/>
        <w:adjustRightInd w:val="0"/>
        <w:spacing w:line="360" w:lineRule="auto"/>
        <w:jc w:val="center"/>
        <w:outlineLvl w:val="9"/>
        <w:rPr>
          <w:rFonts w:hAnsi="宋体" w:eastAsia="宋体"/>
          <w:b/>
          <w:snapToGrid w:val="0"/>
          <w:kern w:val="0"/>
          <w:sz w:val="36"/>
          <w:szCs w:val="36"/>
        </w:rPr>
      </w:pPr>
    </w:p>
    <w:p w14:paraId="16515FFF">
      <w:pPr>
        <w:snapToGrid w:val="0"/>
        <w:spacing w:line="360" w:lineRule="auto"/>
        <w:jc w:val="center"/>
        <w:rPr>
          <w:rFonts w:hAnsi="宋体" w:eastAsia="宋体"/>
          <w:b/>
          <w:snapToGrid w:val="0"/>
          <w:kern w:val="0"/>
          <w:sz w:val="36"/>
          <w:szCs w:val="36"/>
        </w:rPr>
      </w:pPr>
    </w:p>
    <w:p w14:paraId="765FC229">
      <w:pPr>
        <w:snapToGrid w:val="0"/>
        <w:spacing w:line="360" w:lineRule="auto"/>
        <w:jc w:val="center"/>
        <w:rPr>
          <w:rFonts w:hAnsi="宋体" w:eastAsia="宋体"/>
          <w:b/>
          <w:snapToGrid w:val="0"/>
          <w:kern w:val="0"/>
          <w:sz w:val="36"/>
          <w:szCs w:val="36"/>
        </w:rPr>
      </w:pPr>
    </w:p>
    <w:p w14:paraId="4EA63D4C">
      <w:pPr>
        <w:snapToGrid w:val="0"/>
        <w:spacing w:line="360" w:lineRule="auto"/>
        <w:jc w:val="center"/>
        <w:rPr>
          <w:rFonts w:hAnsi="宋体" w:eastAsia="宋体"/>
          <w:b/>
          <w:snapToGrid w:val="0"/>
          <w:kern w:val="0"/>
          <w:sz w:val="36"/>
          <w:szCs w:val="36"/>
        </w:rPr>
      </w:pPr>
    </w:p>
    <w:p w14:paraId="24823A3C">
      <w:pPr>
        <w:snapToGrid w:val="0"/>
        <w:spacing w:line="360" w:lineRule="auto"/>
        <w:rPr>
          <w:rFonts w:hAnsi="宋体" w:eastAsia="宋体"/>
          <w:b/>
          <w:snapToGrid w:val="0"/>
          <w:kern w:val="0"/>
          <w:sz w:val="36"/>
          <w:szCs w:val="36"/>
        </w:rPr>
      </w:pPr>
    </w:p>
    <w:p w14:paraId="5A1FB57E">
      <w:pPr>
        <w:snapToGrid w:val="0"/>
        <w:spacing w:line="360" w:lineRule="auto"/>
        <w:jc w:val="center"/>
        <w:rPr>
          <w:rFonts w:hAnsi="宋体" w:eastAsia="宋体"/>
          <w:b/>
          <w:snapToGrid w:val="0"/>
          <w:kern w:val="0"/>
          <w:sz w:val="36"/>
          <w:szCs w:val="36"/>
        </w:rPr>
      </w:pPr>
    </w:p>
    <w:p w14:paraId="5E3E0C1C">
      <w:pPr>
        <w:autoSpaceDE w:val="0"/>
        <w:autoSpaceDN w:val="0"/>
        <w:adjustRightInd w:val="0"/>
        <w:spacing w:line="360" w:lineRule="auto"/>
        <w:jc w:val="center"/>
        <w:outlineLvl w:val="9"/>
        <w:rPr>
          <w:rFonts w:ascii="宋体" w:hAnsi="宋体"/>
          <w:b/>
          <w:bCs/>
          <w:color w:val="000000"/>
          <w:sz w:val="24"/>
          <w:szCs w:val="24"/>
        </w:rPr>
      </w:pPr>
    </w:p>
    <w:p w14:paraId="21AE6A25">
      <w:pPr>
        <w:autoSpaceDE w:val="0"/>
        <w:autoSpaceDN w:val="0"/>
        <w:adjustRightInd w:val="0"/>
        <w:spacing w:line="360" w:lineRule="auto"/>
        <w:jc w:val="center"/>
        <w:outlineLvl w:val="9"/>
        <w:rPr>
          <w:rFonts w:ascii="宋体" w:hAnsi="宋体"/>
          <w:b/>
          <w:bCs/>
          <w:color w:val="000000"/>
          <w:sz w:val="24"/>
          <w:szCs w:val="24"/>
        </w:rPr>
      </w:pPr>
    </w:p>
    <w:p w14:paraId="5B8E132B">
      <w:pPr>
        <w:autoSpaceDE w:val="0"/>
        <w:autoSpaceDN w:val="0"/>
        <w:adjustRightInd w:val="0"/>
        <w:spacing w:line="360" w:lineRule="auto"/>
        <w:jc w:val="center"/>
        <w:outlineLvl w:val="9"/>
        <w:rPr>
          <w:rFonts w:ascii="宋体" w:hAnsi="宋体"/>
          <w:b/>
          <w:bCs/>
          <w:color w:val="000000"/>
          <w:sz w:val="24"/>
          <w:szCs w:val="24"/>
        </w:rPr>
      </w:pPr>
    </w:p>
    <w:p w14:paraId="4C617522">
      <w:pPr>
        <w:autoSpaceDE w:val="0"/>
        <w:autoSpaceDN w:val="0"/>
        <w:adjustRightInd w:val="0"/>
        <w:spacing w:line="360" w:lineRule="auto"/>
        <w:jc w:val="center"/>
        <w:outlineLvl w:val="9"/>
        <w:rPr>
          <w:rFonts w:ascii="宋体" w:hAnsi="宋体"/>
          <w:b/>
          <w:bCs/>
          <w:color w:val="000000"/>
          <w:sz w:val="24"/>
          <w:szCs w:val="24"/>
        </w:rPr>
      </w:pPr>
    </w:p>
    <w:p w14:paraId="055F2620">
      <w:pPr>
        <w:autoSpaceDE w:val="0"/>
        <w:autoSpaceDN w:val="0"/>
        <w:adjustRightInd w:val="0"/>
        <w:spacing w:line="480" w:lineRule="auto"/>
        <w:rPr>
          <w:rFonts w:cs="宋体" w:asciiTheme="minorEastAsia" w:hAnsiTheme="minorEastAsia"/>
          <w:sz w:val="24"/>
          <w:szCs w:val="24"/>
          <w:lang w:val="zh-CN"/>
        </w:rPr>
      </w:pPr>
    </w:p>
    <w:p w14:paraId="0A89AA9C">
      <w:pPr>
        <w:autoSpaceDE w:val="0"/>
        <w:autoSpaceDN w:val="0"/>
        <w:adjustRightInd w:val="0"/>
        <w:spacing w:line="480" w:lineRule="auto"/>
        <w:rPr>
          <w:rFonts w:cs="宋体" w:asciiTheme="minorEastAsia" w:hAnsiTheme="minorEastAsia"/>
          <w:sz w:val="24"/>
          <w:szCs w:val="24"/>
          <w:lang w:val="zh-CN"/>
        </w:rPr>
      </w:pPr>
    </w:p>
    <w:p w14:paraId="2D9ED4B0">
      <w:pPr>
        <w:autoSpaceDE w:val="0"/>
        <w:autoSpaceDN w:val="0"/>
        <w:adjustRightInd w:val="0"/>
        <w:spacing w:line="480" w:lineRule="auto"/>
        <w:rPr>
          <w:rFonts w:cs="宋体" w:asciiTheme="minorEastAsia" w:hAnsiTheme="minorEastAsia"/>
          <w:sz w:val="24"/>
          <w:szCs w:val="24"/>
          <w:lang w:val="zh-CN"/>
        </w:rPr>
      </w:pPr>
    </w:p>
    <w:p w14:paraId="2DCF7128">
      <w:pPr>
        <w:spacing w:line="360" w:lineRule="auto"/>
        <w:jc w:val="both"/>
        <w:rPr>
          <w:rFonts w:ascii="宋体" w:hAnsi="宋体"/>
          <w:b/>
          <w:bCs/>
          <w:sz w:val="28"/>
          <w:szCs w:val="28"/>
        </w:rPr>
      </w:pPr>
    </w:p>
    <w:sectPr>
      <w:pgSz w:w="11906" w:h="16838"/>
      <w:pgMar w:top="2098" w:right="1474" w:bottom="1928"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46A67B6-DE2C-4B67-A1F6-824E8A223BDF}"/>
  </w:font>
  <w:font w:name="黑体">
    <w:panose1 w:val="02010609060101010101"/>
    <w:charset w:val="86"/>
    <w:family w:val="auto"/>
    <w:pitch w:val="default"/>
    <w:sig w:usb0="800002BF" w:usb1="38CF7CFA" w:usb2="00000016" w:usb3="00000000" w:csb0="00040001" w:csb1="00000000"/>
    <w:embedRegular r:id="rId2" w:fontKey="{2C4EA0C0-F471-43DD-A207-A4CD33478BBE}"/>
  </w:font>
  <w:font w:name="Courier New">
    <w:panose1 w:val="02070309020205020404"/>
    <w:charset w:val="01"/>
    <w:family w:val="modern"/>
    <w:pitch w:val="default"/>
    <w:sig w:usb0="E0002EFF" w:usb1="C0007843" w:usb2="00000009" w:usb3="00000000" w:csb0="400001FF" w:csb1="FFFF0000"/>
    <w:embedRegular r:id="rId3" w:fontKey="{778E3E20-BEA5-458D-9D07-D7A01AFAD009}"/>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087CEF67-E4CB-4F5B-9D07-6181EC571B7E}"/>
  </w:font>
  <w:font w:name="仿宋_GB2312">
    <w:panose1 w:val="02010609030101010101"/>
    <w:charset w:val="86"/>
    <w:family w:val="roman"/>
    <w:pitch w:val="default"/>
    <w:sig w:usb0="00000001" w:usb1="080E0000" w:usb2="00000000" w:usb3="00000000" w:csb0="00040000" w:csb1="00000000"/>
    <w:embedRegular r:id="rId5" w:fontKey="{D84F8115-CE08-4686-BAF1-E8EF372B0CE0}"/>
  </w:font>
  <w:font w:name="Arial Unicode MS">
    <w:panose1 w:val="020B0604020202020204"/>
    <w:charset w:val="86"/>
    <w:family w:val="swiss"/>
    <w:pitch w:val="default"/>
    <w:sig w:usb0="FFFFFFFF" w:usb1="E9FFFFFF" w:usb2="0000003F" w:usb3="00000000" w:csb0="603F01FF" w:csb1="FFFF0000"/>
  </w:font>
  <w:font w:name="等线">
    <w:panose1 w:val="02010600030101010101"/>
    <w:charset w:val="86"/>
    <w:family w:val="auto"/>
    <w:pitch w:val="default"/>
    <w:sig w:usb0="A00002BF" w:usb1="38CF7CFA" w:usb2="00000016" w:usb3="00000000" w:csb0="0004000F" w:csb1="00000000"/>
  </w:font>
  <w:font w:name="微软简隶书">
    <w:altName w:val="黑体"/>
    <w:panose1 w:val="00000000000000000000"/>
    <w:charset w:val="86"/>
    <w:family w:val="auto"/>
    <w:pitch w:val="default"/>
    <w:sig w:usb0="00000000" w:usb1="00000000" w:usb2="00000010" w:usb3="00000000" w:csb0="00040000" w:csb1="00000000"/>
    <w:embedRegular r:id="rId6" w:fontKey="{993034B6-1CB9-483C-9F79-A006650F1374}"/>
  </w:font>
  <w:font w:name="仿宋">
    <w:panose1 w:val="02010609060101010101"/>
    <w:charset w:val="86"/>
    <w:family w:val="modern"/>
    <w:pitch w:val="default"/>
    <w:sig w:usb0="800002BF" w:usb1="38CF7CFA" w:usb2="00000016" w:usb3="00000000" w:csb0="00040001" w:csb1="00000000"/>
    <w:embedRegular r:id="rId7" w:fontKey="{3539A998-AB35-4377-A665-5DF6CBF4D6C4}"/>
  </w:font>
  <w:font w:name="Helvetica">
    <w:altName w:val="Arial"/>
    <w:panose1 w:val="020B0504020202030204"/>
    <w:charset w:val="00"/>
    <w:family w:val="swiss"/>
    <w:pitch w:val="default"/>
    <w:sig w:usb0="00000000" w:usb1="00000000" w:usb2="00000000" w:usb3="00000000" w:csb0="00000093" w:csb1="00000000"/>
    <w:embedRegular r:id="rId8" w:fontKey="{79C445F3-9AD5-459F-93DA-B8ECE912114B}"/>
  </w:font>
  <w:font w:name="微软雅黑">
    <w:panose1 w:val="020B0503020204020204"/>
    <w:charset w:val="86"/>
    <w:family w:val="roman"/>
    <w:pitch w:val="default"/>
    <w:sig w:usb0="80000287" w:usb1="2ACF3C50" w:usb2="00000016" w:usb3="00000000" w:csb0="0004001F" w:csb1="00000000"/>
    <w:embedRegular r:id="rId9" w:fontKey="{65C7FEC4-E0D4-4932-B34F-35BA04985C76}"/>
  </w:font>
  <w:font w:name="TimesNewRomanPSMT">
    <w:altName w:val="Times New Roman"/>
    <w:panose1 w:val="00000000000000000000"/>
    <w:charset w:val="00"/>
    <w:family w:val="roman"/>
    <w:pitch w:val="default"/>
    <w:sig w:usb0="00000000" w:usb1="00000000" w:usb2="00000000" w:usb3="00000000" w:csb0="00000001" w:csb1="00000000"/>
  </w:font>
  <w:font w:name="新宋体">
    <w:panose1 w:val="02010609030101010101"/>
    <w:charset w:val="86"/>
    <w:family w:val="modern"/>
    <w:pitch w:val="default"/>
    <w:sig w:usb0="00000203" w:usb1="288F0000" w:usb2="00000006" w:usb3="00000000" w:csb0="00040001" w:csb1="00000000"/>
    <w:embedRegular r:id="rId10" w:fontKey="{07A54BD3-F1B6-46E1-BDBC-F1CD3EB2F0C1}"/>
  </w:font>
  <w:font w:name="ˎ̥">
    <w:altName w:val="Times New Roman"/>
    <w:panose1 w:val="00000000000000000000"/>
    <w:charset w:val="00"/>
    <w:family w:val="roman"/>
    <w:pitch w:val="default"/>
    <w:sig w:usb0="00000000" w:usb1="00000000" w:usb2="00000000" w:usb3="00000000" w:csb0="00040001" w:csb1="00000000"/>
    <w:embedRegular r:id="rId11" w:fontKey="{05E5B3E9-8D9E-4129-A52D-BC1839300794}"/>
  </w:font>
  <w:font w:name="楷体">
    <w:panose1 w:val="02010609060101010101"/>
    <w:charset w:val="86"/>
    <w:family w:val="modern"/>
    <w:pitch w:val="default"/>
    <w:sig w:usb0="800002BF" w:usb1="38CF7CFA" w:usb2="00000016" w:usb3="00000000" w:csb0="00040001" w:csb1="00000000"/>
    <w:embedRegular r:id="rId12" w:fontKey="{A430E73D-C6A6-4F66-9D4C-9A15ABD8DDD7}"/>
  </w:font>
  <w:font w:name="MS Mincho">
    <w:panose1 w:val="02020609040205080304"/>
    <w:charset w:val="80"/>
    <w:family w:val="modern"/>
    <w:pitch w:val="default"/>
    <w:sig w:usb0="E00002FF" w:usb1="6AC7FDFB" w:usb2="00000012" w:usb3="00000000" w:csb0="4002009F" w:csb1="DFD70000"/>
    <w:embedRegular r:id="rId13" w:fontKey="{DCD489BE-11B0-402C-8745-A3EA4EBBB155}"/>
  </w:font>
  <w:font w:name="华文仿宋">
    <w:panose1 w:val="02010600040101010101"/>
    <w:charset w:val="86"/>
    <w:family w:val="auto"/>
    <w:pitch w:val="default"/>
    <w:sig w:usb0="00000287" w:usb1="080F0000" w:usb2="00000000" w:usb3="00000000" w:csb0="0004009F" w:csb1="DFD70000"/>
    <w:embedRegular r:id="rId14" w:fontKey="{03323A42-9F97-4821-89E8-29C039D47CD0}"/>
  </w:font>
  <w:font w:name="WPSEMBED1">
    <w:panose1 w:val="020206090402050803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7F94A">
    <w:pPr>
      <w:pStyle w:val="1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6205" cy="139700"/>
              <wp:effectExtent l="0" t="0" r="0" b="0"/>
              <wp:wrapNone/>
              <wp:docPr id="1" name="Text Box 1"/>
              <wp:cNvGraphicFramePr/>
              <a:graphic xmlns:a="http://schemas.openxmlformats.org/drawingml/2006/main">
                <a:graphicData uri="http://schemas.microsoft.com/office/word/2010/wordprocessingShape">
                  <wps:wsp>
                    <wps:cNvSpPr txBox="1">
                      <a:spLocks noChangeArrowheads="1"/>
                    </wps:cNvSpPr>
                    <wps:spPr bwMode="auto">
                      <a:xfrm>
                        <a:off x="0" y="0"/>
                        <a:ext cx="116205" cy="139700"/>
                      </a:xfrm>
                      <a:prstGeom prst="rect">
                        <a:avLst/>
                      </a:prstGeom>
                      <a:noFill/>
                      <a:ln>
                        <a:noFill/>
                      </a:ln>
                      <a:effectLst/>
                    </wps:spPr>
                    <wps:txbx>
                      <w:txbxContent>
                        <w:p w14:paraId="61958F67">
                          <w:pPr>
                            <w:pStyle w:val="17"/>
                          </w:pPr>
                          <w:r>
                            <w:fldChar w:fldCharType="begin"/>
                          </w:r>
                          <w:r>
                            <w:instrText xml:space="preserve"> PAGE  \* MERGEFORMAT </w:instrText>
                          </w:r>
                          <w:r>
                            <w:fldChar w:fldCharType="separate"/>
                          </w:r>
                          <w:r>
                            <w:t>1</w:t>
                          </w:r>
                          <w:r>
                            <w:fldChar w:fldCharType="end"/>
                          </w:r>
                        </w:p>
                      </w:txbxContent>
                    </wps:txbx>
                    <wps:bodyPr rot="0" vert="horz" wrap="none" lIns="0" tIns="0" rIns="0" bIns="0" anchor="t" anchorCtr="0" upright="1">
                      <a:spAutoFit/>
                    </wps:bodyPr>
                  </wps:wsp>
                </a:graphicData>
              </a:graphic>
            </wp:anchor>
          </w:drawing>
        </mc:Choice>
        <mc:Fallback>
          <w:pict>
            <v:shape id="Text Box 1" o:spid="_x0000_s1026" o:spt="202" type="#_x0000_t202" style="position:absolute;left:0pt;margin-top:0pt;height:11pt;width:9.15pt;mso-position-horizontal:center;mso-position-horizontal-relative:margin;mso-wrap-style:none;z-index:251659264;mso-width-relative:page;mso-height-relative:page;" filled="f" stroked="f" coordsize="21600,21600" o:gfxdata="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i6WFNAAAAADAQAADwAAAAAAAAABACAAAAAiAAAAZHJzL2Rvd25yZXYueG1sUEsB&#10;AhQAFAAAAAgAh07iQANH64v9AQAADwQAAA4AAAAAAAAAAQAgAAAAHwEAAGRycy9lMm9Eb2MueG1s&#10;UEsFBgAAAAAGAAYAWQEAAI4FAAAAAA==&#10;">
              <v:fill on="f" focussize="0,0"/>
              <v:stroke on="f"/>
              <v:imagedata o:title=""/>
              <o:lock v:ext="edit" aspectratio="f"/>
              <v:textbox inset="0mm,0mm,0mm,0mm" style="mso-fit-shape-to-text:t;">
                <w:txbxContent>
                  <w:p w14:paraId="61958F67">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F32DB3"/>
    <w:multiLevelType w:val="singleLevel"/>
    <w:tmpl w:val="92F32DB3"/>
    <w:lvl w:ilvl="0" w:tentative="0">
      <w:start w:val="1"/>
      <w:numFmt w:val="decimal"/>
      <w:suff w:val="nothing"/>
      <w:lvlText w:val="%1、"/>
      <w:lvlJc w:val="left"/>
    </w:lvl>
  </w:abstractNum>
  <w:abstractNum w:abstractNumId="1">
    <w:nsid w:val="AD620C8F"/>
    <w:multiLevelType w:val="singleLevel"/>
    <w:tmpl w:val="AD620C8F"/>
    <w:lvl w:ilvl="0" w:tentative="0">
      <w:start w:val="1"/>
      <w:numFmt w:val="decimal"/>
      <w:suff w:val="nothing"/>
      <w:lvlText w:val="%1、"/>
      <w:lvlJc w:val="left"/>
      <w:rPr>
        <w:rFonts w:hint="default"/>
        <w:color w:val="000000"/>
      </w:rPr>
    </w:lvl>
  </w:abstractNum>
  <w:abstractNum w:abstractNumId="2">
    <w:nsid w:val="D33B5C87"/>
    <w:multiLevelType w:val="singleLevel"/>
    <w:tmpl w:val="D33B5C87"/>
    <w:lvl w:ilvl="0" w:tentative="0">
      <w:start w:val="1"/>
      <w:numFmt w:val="decimal"/>
      <w:suff w:val="nothing"/>
      <w:lvlText w:val="%1、"/>
      <w:lvlJc w:val="left"/>
    </w:lvl>
  </w:abstractNum>
  <w:abstractNum w:abstractNumId="3">
    <w:nsid w:val="E8F705C5"/>
    <w:multiLevelType w:val="singleLevel"/>
    <w:tmpl w:val="E8F705C5"/>
    <w:lvl w:ilvl="0" w:tentative="0">
      <w:start w:val="2"/>
      <w:numFmt w:val="decimal"/>
      <w:suff w:val="nothing"/>
      <w:lvlText w:val="（%1）"/>
      <w:lvlJc w:val="left"/>
    </w:lvl>
  </w:abstractNum>
  <w:abstractNum w:abstractNumId="4">
    <w:nsid w:val="FE13B4D0"/>
    <w:multiLevelType w:val="singleLevel"/>
    <w:tmpl w:val="FE13B4D0"/>
    <w:lvl w:ilvl="0" w:tentative="0">
      <w:start w:val="1"/>
      <w:numFmt w:val="decimal"/>
      <w:suff w:val="nothing"/>
      <w:lvlText w:val="%1、"/>
      <w:lvlJc w:val="left"/>
    </w:lvl>
  </w:abstractNum>
  <w:abstractNum w:abstractNumId="5">
    <w:nsid w:val="00000006"/>
    <w:multiLevelType w:val="multilevel"/>
    <w:tmpl w:val="00000006"/>
    <w:lvl w:ilvl="0" w:tentative="0">
      <w:start w:val="1"/>
      <w:numFmt w:val="chineseCountingThousand"/>
      <w:pStyle w:val="2"/>
      <w:suff w:val="nothing"/>
      <w:lvlText w:val="第%1部分"/>
      <w:lvlJc w:val="center"/>
      <w:pPr>
        <w:ind w:left="-288" w:firstLine="288"/>
      </w:pPr>
      <w:rPr>
        <w:rFonts w:hint="eastAsia"/>
        <w:sz w:val="28"/>
        <w:szCs w:val="28"/>
      </w:rPr>
    </w:lvl>
    <w:lvl w:ilvl="1" w:tentative="0">
      <w:start w:val="1"/>
      <w:numFmt w:val="chineseCountingThousand"/>
      <w:pStyle w:val="3"/>
      <w:suff w:val="nothing"/>
      <w:lvlText w:val="%2、"/>
      <w:lvlJc w:val="left"/>
      <w:pPr>
        <w:ind w:left="254" w:firstLine="0"/>
      </w:pPr>
      <w:rPr>
        <w:rFonts w:hint="eastAsia" w:ascii="宋体" w:hAnsi="宋体" w:eastAsia="宋体"/>
        <w:sz w:val="21"/>
        <w:szCs w:val="24"/>
      </w:rPr>
    </w:lvl>
    <w:lvl w:ilvl="2" w:tentative="0">
      <w:start w:val="1"/>
      <w:numFmt w:val="chineseCountingThousand"/>
      <w:suff w:val="nothing"/>
      <w:lvlText w:val="(%3)"/>
      <w:lvlJc w:val="left"/>
      <w:pPr>
        <w:ind w:left="0" w:firstLine="0"/>
      </w:pPr>
      <w:rPr>
        <w:rFonts w:hint="default" w:ascii="Times New Roman" w:hAnsi="Times New Roman" w:eastAsia="宋体"/>
        <w:b/>
        <w:i w:val="0"/>
        <w:spacing w:val="0"/>
        <w:w w:val="100"/>
        <w:position w:val="0"/>
        <w:sz w:val="21"/>
        <w:szCs w:val="21"/>
      </w:rPr>
    </w:lvl>
    <w:lvl w:ilvl="3" w:tentative="0">
      <w:start w:val="1"/>
      <w:numFmt w:val="decimal"/>
      <w:pStyle w:val="6"/>
      <w:suff w:val="nothing"/>
      <w:lvlText w:val="%4、"/>
      <w:lvlJc w:val="left"/>
      <w:pPr>
        <w:ind w:left="0" w:firstLine="0"/>
      </w:pPr>
      <w:rPr>
        <w:rFonts w:hint="eastAsia"/>
      </w:rPr>
    </w:lvl>
    <w:lvl w:ilvl="4" w:tentative="0">
      <w:start w:val="1"/>
      <w:numFmt w:val="upperLetter"/>
      <w:suff w:val="nothing"/>
      <w:lvlText w:val="%5、"/>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6">
    <w:nsid w:val="00000014"/>
    <w:multiLevelType w:val="multilevel"/>
    <w:tmpl w:val="00000014"/>
    <w:lvl w:ilvl="0" w:tentative="0">
      <w:start w:val="1"/>
      <w:numFmt w:val="decimal"/>
      <w:pStyle w:val="48"/>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ascii="宋体" w:hAnsi="宋体" w:eastAsia="宋体"/>
        <w:b w:val="0"/>
        <w:color w:val="auto"/>
        <w:sz w:val="21"/>
        <w:szCs w:val="21"/>
      </w:rPr>
    </w:lvl>
    <w:lvl w:ilvl="2" w:tentative="0">
      <w:start w:val="1"/>
      <w:numFmt w:val="decimal"/>
      <w:lvlText w:val="%1.%2.%3."/>
      <w:lvlJc w:val="left"/>
      <w:pPr>
        <w:tabs>
          <w:tab w:val="left" w:pos="425"/>
        </w:tabs>
        <w:ind w:left="425" w:hanging="425"/>
      </w:pPr>
      <w:rPr>
        <w:rFonts w:hint="eastAsia"/>
        <w:sz w:val="21"/>
        <w:szCs w:val="21"/>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00B353A3"/>
    <w:multiLevelType w:val="singleLevel"/>
    <w:tmpl w:val="00B353A3"/>
    <w:lvl w:ilvl="0" w:tentative="0">
      <w:start w:val="1"/>
      <w:numFmt w:val="decimal"/>
      <w:suff w:val="nothing"/>
      <w:lvlText w:val="%1、"/>
      <w:lvlJc w:val="left"/>
    </w:lvl>
  </w:abstractNum>
  <w:abstractNum w:abstractNumId="8">
    <w:nsid w:val="02B45501"/>
    <w:multiLevelType w:val="multilevel"/>
    <w:tmpl w:val="02B45501"/>
    <w:lvl w:ilvl="0" w:tentative="0">
      <w:start w:val="35"/>
      <w:numFmt w:val="decimal"/>
      <w:lvlText w:val="%1.2"/>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863000A"/>
    <w:multiLevelType w:val="multilevel"/>
    <w:tmpl w:val="0863000A"/>
    <w:lvl w:ilvl="0" w:tentative="0">
      <w:start w:val="1"/>
      <w:numFmt w:val="decimal"/>
      <w:lvlText w:val="34. %1 "/>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10">
    <w:nsid w:val="08734582"/>
    <w:multiLevelType w:val="multilevel"/>
    <w:tmpl w:val="08734582"/>
    <w:lvl w:ilvl="0" w:tentative="0">
      <w:start w:val="29"/>
      <w:numFmt w:val="decimal"/>
      <w:lvlText w:val="%1.3.5"/>
      <w:lvlJc w:val="left"/>
      <w:pPr>
        <w:ind w:left="1384" w:hanging="420"/>
      </w:pPr>
      <w:rPr>
        <w:rFonts w:hint="eastAsia"/>
      </w:rPr>
    </w:lvl>
    <w:lvl w:ilvl="1" w:tentative="0">
      <w:start w:val="1"/>
      <w:numFmt w:val="lowerLetter"/>
      <w:lvlText w:val="%2)"/>
      <w:lvlJc w:val="left"/>
      <w:pPr>
        <w:ind w:left="1804" w:hanging="420"/>
      </w:pPr>
      <w:rPr>
        <w:rFonts w:hint="eastAsia"/>
      </w:rPr>
    </w:lvl>
    <w:lvl w:ilvl="2" w:tentative="0">
      <w:start w:val="1"/>
      <w:numFmt w:val="lowerRoman"/>
      <w:lvlText w:val="%3."/>
      <w:lvlJc w:val="right"/>
      <w:pPr>
        <w:ind w:left="2224" w:hanging="420"/>
      </w:pPr>
      <w:rPr>
        <w:rFonts w:hint="eastAsia"/>
      </w:rPr>
    </w:lvl>
    <w:lvl w:ilvl="3" w:tentative="0">
      <w:start w:val="1"/>
      <w:numFmt w:val="decimal"/>
      <w:lvlText w:val="%4."/>
      <w:lvlJc w:val="left"/>
      <w:pPr>
        <w:ind w:left="2644" w:hanging="420"/>
      </w:pPr>
      <w:rPr>
        <w:rFonts w:hint="eastAsia"/>
      </w:rPr>
    </w:lvl>
    <w:lvl w:ilvl="4" w:tentative="0">
      <w:start w:val="1"/>
      <w:numFmt w:val="lowerLetter"/>
      <w:lvlText w:val="%5)"/>
      <w:lvlJc w:val="left"/>
      <w:pPr>
        <w:ind w:left="3064" w:hanging="420"/>
      </w:pPr>
      <w:rPr>
        <w:rFonts w:hint="eastAsia"/>
      </w:rPr>
    </w:lvl>
    <w:lvl w:ilvl="5" w:tentative="0">
      <w:start w:val="1"/>
      <w:numFmt w:val="lowerRoman"/>
      <w:lvlText w:val="%6."/>
      <w:lvlJc w:val="right"/>
      <w:pPr>
        <w:ind w:left="3484" w:hanging="420"/>
      </w:pPr>
      <w:rPr>
        <w:rFonts w:hint="eastAsia"/>
      </w:rPr>
    </w:lvl>
    <w:lvl w:ilvl="6" w:tentative="0">
      <w:start w:val="1"/>
      <w:numFmt w:val="decimal"/>
      <w:lvlText w:val="%7."/>
      <w:lvlJc w:val="left"/>
      <w:pPr>
        <w:ind w:left="3904" w:hanging="420"/>
      </w:pPr>
      <w:rPr>
        <w:rFonts w:hint="eastAsia"/>
      </w:rPr>
    </w:lvl>
    <w:lvl w:ilvl="7" w:tentative="0">
      <w:start w:val="1"/>
      <w:numFmt w:val="lowerLetter"/>
      <w:lvlText w:val="%8)"/>
      <w:lvlJc w:val="left"/>
      <w:pPr>
        <w:ind w:left="4324" w:hanging="420"/>
      </w:pPr>
      <w:rPr>
        <w:rFonts w:hint="eastAsia"/>
      </w:rPr>
    </w:lvl>
    <w:lvl w:ilvl="8" w:tentative="0">
      <w:start w:val="1"/>
      <w:numFmt w:val="lowerRoman"/>
      <w:lvlText w:val="%9."/>
      <w:lvlJc w:val="right"/>
      <w:pPr>
        <w:ind w:left="4744" w:hanging="420"/>
      </w:pPr>
      <w:rPr>
        <w:rFonts w:hint="eastAsia"/>
      </w:rPr>
    </w:lvl>
  </w:abstractNum>
  <w:abstractNum w:abstractNumId="11">
    <w:nsid w:val="09AC3193"/>
    <w:multiLevelType w:val="multilevel"/>
    <w:tmpl w:val="09AC3193"/>
    <w:lvl w:ilvl="0" w:tentative="0">
      <w:start w:val="1"/>
      <w:numFmt w:val="decimal"/>
      <w:lvlText w:val="25.2.%1"/>
      <w:lvlJc w:val="left"/>
      <w:pPr>
        <w:ind w:left="1413" w:hanging="420"/>
      </w:pPr>
      <w:rPr>
        <w:rFonts w:hint="eastAsia"/>
      </w:r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12">
    <w:nsid w:val="0B974D79"/>
    <w:multiLevelType w:val="multilevel"/>
    <w:tmpl w:val="0B974D79"/>
    <w:lvl w:ilvl="0" w:tentative="0">
      <w:start w:val="29"/>
      <w:numFmt w:val="decimal"/>
      <w:lvlText w:val="%1.5"/>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BB54322"/>
    <w:multiLevelType w:val="multilevel"/>
    <w:tmpl w:val="0BB54322"/>
    <w:lvl w:ilvl="0" w:tentative="0">
      <w:start w:val="38"/>
      <w:numFmt w:val="decimal"/>
      <w:lvlText w:val="%1.1"/>
      <w:lvlJc w:val="left"/>
      <w:pPr>
        <w:ind w:left="964" w:hanging="544"/>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0DFE7980"/>
    <w:multiLevelType w:val="multilevel"/>
    <w:tmpl w:val="0DFE7980"/>
    <w:lvl w:ilvl="0" w:tentative="0">
      <w:start w:val="23"/>
      <w:numFmt w:val="decimal"/>
      <w:lvlText w:val="%1."/>
      <w:lvlJc w:val="left"/>
      <w:pPr>
        <w:ind w:left="420" w:hanging="420"/>
      </w:pPr>
      <w:rPr>
        <w:rFonts w:hint="eastAsia"/>
      </w:rPr>
    </w:lvl>
    <w:lvl w:ilvl="1" w:tentative="0">
      <w:start w:val="1"/>
      <w:numFmt w:val="decimal"/>
      <w:lvlText w:val="23.3.%2"/>
      <w:lvlJc w:val="left"/>
      <w:pPr>
        <w:ind w:left="964" w:hanging="544"/>
      </w:pPr>
      <w:rPr>
        <w:rFonts w:hint="eastAsia"/>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15">
    <w:nsid w:val="0EAC0559"/>
    <w:multiLevelType w:val="multilevel"/>
    <w:tmpl w:val="0EAC0559"/>
    <w:lvl w:ilvl="0" w:tentative="0">
      <w:start w:val="29"/>
      <w:numFmt w:val="decimal"/>
      <w:lvlText w:val="%1.3.2"/>
      <w:lvlJc w:val="left"/>
      <w:pPr>
        <w:ind w:left="1384" w:hanging="420"/>
      </w:pPr>
      <w:rPr>
        <w:rFonts w:hint="eastAsia"/>
      </w:rPr>
    </w:lvl>
    <w:lvl w:ilvl="1" w:tentative="0">
      <w:start w:val="1"/>
      <w:numFmt w:val="lowerLetter"/>
      <w:lvlText w:val="%2)"/>
      <w:lvlJc w:val="left"/>
      <w:pPr>
        <w:ind w:left="1804" w:hanging="420"/>
      </w:pPr>
      <w:rPr>
        <w:rFonts w:hint="eastAsia"/>
      </w:rPr>
    </w:lvl>
    <w:lvl w:ilvl="2" w:tentative="0">
      <w:start w:val="1"/>
      <w:numFmt w:val="lowerRoman"/>
      <w:lvlText w:val="%3."/>
      <w:lvlJc w:val="right"/>
      <w:pPr>
        <w:ind w:left="2224" w:hanging="420"/>
      </w:pPr>
      <w:rPr>
        <w:rFonts w:hint="eastAsia"/>
      </w:rPr>
    </w:lvl>
    <w:lvl w:ilvl="3" w:tentative="0">
      <w:start w:val="1"/>
      <w:numFmt w:val="decimal"/>
      <w:lvlText w:val="%4."/>
      <w:lvlJc w:val="left"/>
      <w:pPr>
        <w:ind w:left="2644" w:hanging="420"/>
      </w:pPr>
      <w:rPr>
        <w:rFonts w:hint="eastAsia"/>
      </w:rPr>
    </w:lvl>
    <w:lvl w:ilvl="4" w:tentative="0">
      <w:start w:val="1"/>
      <w:numFmt w:val="lowerLetter"/>
      <w:lvlText w:val="%5)"/>
      <w:lvlJc w:val="left"/>
      <w:pPr>
        <w:ind w:left="3064" w:hanging="420"/>
      </w:pPr>
      <w:rPr>
        <w:rFonts w:hint="eastAsia"/>
      </w:rPr>
    </w:lvl>
    <w:lvl w:ilvl="5" w:tentative="0">
      <w:start w:val="1"/>
      <w:numFmt w:val="lowerRoman"/>
      <w:lvlText w:val="%6."/>
      <w:lvlJc w:val="right"/>
      <w:pPr>
        <w:ind w:left="3484" w:hanging="420"/>
      </w:pPr>
      <w:rPr>
        <w:rFonts w:hint="eastAsia"/>
      </w:rPr>
    </w:lvl>
    <w:lvl w:ilvl="6" w:tentative="0">
      <w:start w:val="1"/>
      <w:numFmt w:val="decimal"/>
      <w:lvlText w:val="%7."/>
      <w:lvlJc w:val="left"/>
      <w:pPr>
        <w:ind w:left="3904" w:hanging="420"/>
      </w:pPr>
      <w:rPr>
        <w:rFonts w:hint="eastAsia"/>
      </w:rPr>
    </w:lvl>
    <w:lvl w:ilvl="7" w:tentative="0">
      <w:start w:val="1"/>
      <w:numFmt w:val="lowerLetter"/>
      <w:lvlText w:val="%8)"/>
      <w:lvlJc w:val="left"/>
      <w:pPr>
        <w:ind w:left="4324" w:hanging="420"/>
      </w:pPr>
      <w:rPr>
        <w:rFonts w:hint="eastAsia"/>
      </w:rPr>
    </w:lvl>
    <w:lvl w:ilvl="8" w:tentative="0">
      <w:start w:val="1"/>
      <w:numFmt w:val="lowerRoman"/>
      <w:lvlText w:val="%9."/>
      <w:lvlJc w:val="right"/>
      <w:pPr>
        <w:ind w:left="4744" w:hanging="420"/>
      </w:pPr>
      <w:rPr>
        <w:rFonts w:hint="eastAsia"/>
      </w:rPr>
    </w:lvl>
  </w:abstractNum>
  <w:abstractNum w:abstractNumId="16">
    <w:nsid w:val="10095A2B"/>
    <w:multiLevelType w:val="multilevel"/>
    <w:tmpl w:val="10095A2B"/>
    <w:lvl w:ilvl="0" w:tentative="0">
      <w:start w:val="23"/>
      <w:numFmt w:val="decimal"/>
      <w:lvlText w:val="%1."/>
      <w:lvlJc w:val="left"/>
      <w:pPr>
        <w:ind w:left="420" w:hanging="420"/>
      </w:pPr>
      <w:rPr>
        <w:rFonts w:hint="eastAsia"/>
      </w:rPr>
    </w:lvl>
    <w:lvl w:ilvl="1" w:tentative="0">
      <w:start w:val="1"/>
      <w:numFmt w:val="decimal"/>
      <w:lvlText w:val="23.3.1.%2"/>
      <w:lvlJc w:val="left"/>
      <w:pPr>
        <w:ind w:left="964" w:hanging="544"/>
      </w:pPr>
      <w:rPr>
        <w:rFonts w:hint="eastAsia"/>
      </w:rPr>
    </w:lvl>
    <w:lvl w:ilvl="2" w:tentative="0">
      <w:start w:val="21"/>
      <w:numFmt w:val="decimal"/>
      <w:lvlText w:val="%3.1 "/>
      <w:lvlJc w:val="left"/>
      <w:pPr>
        <w:ind w:left="1560" w:hanging="720"/>
      </w:pPr>
      <w:rPr>
        <w:rFonts w:hint="eastAsia"/>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17">
    <w:nsid w:val="11477569"/>
    <w:multiLevelType w:val="multilevel"/>
    <w:tmpl w:val="11477569"/>
    <w:lvl w:ilvl="0" w:tentative="0">
      <w:start w:val="29"/>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12CA029F"/>
    <w:multiLevelType w:val="multilevel"/>
    <w:tmpl w:val="12CA029F"/>
    <w:lvl w:ilvl="0" w:tentative="0">
      <w:start w:val="2"/>
      <w:numFmt w:val="decimal"/>
      <w:lvlText w:val="32. %1 "/>
      <w:lvlJc w:val="left"/>
      <w:pPr>
        <w:ind w:left="1384"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139E5237"/>
    <w:multiLevelType w:val="multilevel"/>
    <w:tmpl w:val="139E5237"/>
    <w:lvl w:ilvl="0" w:tentative="0">
      <w:start w:val="37"/>
      <w:numFmt w:val="decimal"/>
      <w:lvlText w:val="%1.2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166961FB"/>
    <w:multiLevelType w:val="multilevel"/>
    <w:tmpl w:val="166961FB"/>
    <w:lvl w:ilvl="0" w:tentative="0">
      <w:start w:val="35"/>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18F52A52"/>
    <w:multiLevelType w:val="multilevel"/>
    <w:tmpl w:val="18F52A52"/>
    <w:lvl w:ilvl="0" w:tentative="0">
      <w:start w:val="9"/>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19DF2F37"/>
    <w:multiLevelType w:val="multilevel"/>
    <w:tmpl w:val="19DF2F37"/>
    <w:lvl w:ilvl="0" w:tentative="0">
      <w:start w:val="29"/>
      <w:numFmt w:val="decimal"/>
      <w:lvlText w:val="%1.6"/>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1C536185"/>
    <w:multiLevelType w:val="multilevel"/>
    <w:tmpl w:val="1C536185"/>
    <w:lvl w:ilvl="0" w:tentative="0">
      <w:start w:val="11"/>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1C74355F"/>
    <w:multiLevelType w:val="multilevel"/>
    <w:tmpl w:val="1C74355F"/>
    <w:lvl w:ilvl="0" w:tentative="0">
      <w:start w:val="1"/>
      <w:numFmt w:val="decimal"/>
      <w:lvlText w:val="32.1.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1E711E7A"/>
    <w:multiLevelType w:val="multilevel"/>
    <w:tmpl w:val="1E711E7A"/>
    <w:lvl w:ilvl="0" w:tentative="0">
      <w:start w:val="1"/>
      <w:numFmt w:val="decimal"/>
      <w:lvlText w:val="26. %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1EB36E0D"/>
    <w:multiLevelType w:val="multilevel"/>
    <w:tmpl w:val="1EB36E0D"/>
    <w:lvl w:ilvl="0" w:tentative="0">
      <w:start w:val="25"/>
      <w:numFmt w:val="decimal"/>
      <w:lvlText w:val="%1."/>
      <w:lvlJc w:val="left"/>
      <w:pPr>
        <w:ind w:left="420" w:hanging="420"/>
      </w:pPr>
      <w:rPr>
        <w:rFonts w:hint="eastAsia"/>
      </w:rPr>
    </w:lvl>
    <w:lvl w:ilvl="1" w:tentative="0">
      <w:start w:val="3"/>
      <w:numFmt w:val="decimal"/>
      <w:lvlText w:val="25. %2 "/>
      <w:lvlJc w:val="left"/>
      <w:pPr>
        <w:ind w:left="964" w:hanging="544"/>
      </w:pPr>
      <w:rPr>
        <w:rFonts w:hint="eastAsia"/>
      </w:rPr>
    </w:lvl>
    <w:lvl w:ilvl="2" w:tentative="0">
      <w:start w:val="23"/>
      <w:numFmt w:val="decimal"/>
      <w:lvlText w:val="%3.4 "/>
      <w:lvlJc w:val="left"/>
      <w:pPr>
        <w:ind w:left="1560" w:hanging="720"/>
      </w:pPr>
      <w:rPr>
        <w:rFonts w:hint="eastAsia"/>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27">
    <w:nsid w:val="1FAE040E"/>
    <w:multiLevelType w:val="multilevel"/>
    <w:tmpl w:val="1FAE040E"/>
    <w:lvl w:ilvl="0" w:tentative="0">
      <w:start w:val="29"/>
      <w:numFmt w:val="decimal"/>
      <w:lvlText w:val="%1.3.1"/>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28">
    <w:nsid w:val="1FBE6F79"/>
    <w:multiLevelType w:val="singleLevel"/>
    <w:tmpl w:val="1FBE6F79"/>
    <w:lvl w:ilvl="0" w:tentative="0">
      <w:start w:val="1"/>
      <w:numFmt w:val="chineseCounting"/>
      <w:suff w:val="nothing"/>
      <w:lvlText w:val="%1、"/>
      <w:lvlJc w:val="left"/>
      <w:rPr>
        <w:rFonts w:hint="eastAsia"/>
      </w:rPr>
    </w:lvl>
  </w:abstractNum>
  <w:abstractNum w:abstractNumId="29">
    <w:nsid w:val="20F45686"/>
    <w:multiLevelType w:val="multilevel"/>
    <w:tmpl w:val="20F45686"/>
    <w:lvl w:ilvl="0" w:tentative="0">
      <w:start w:val="1"/>
      <w:numFmt w:val="decimal"/>
      <w:lvlText w:val="29.1.%1"/>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30">
    <w:nsid w:val="214802C3"/>
    <w:multiLevelType w:val="multilevel"/>
    <w:tmpl w:val="214802C3"/>
    <w:lvl w:ilvl="0" w:tentative="0">
      <w:start w:val="1"/>
      <w:numFmt w:val="decimal"/>
      <w:lvlText w:val="%1."/>
      <w:lvlJc w:val="left"/>
      <w:pPr>
        <w:ind w:left="420" w:hanging="420"/>
      </w:pPr>
      <w:rPr>
        <w:rFonts w:hint="eastAsia"/>
      </w:rPr>
    </w:lvl>
    <w:lvl w:ilvl="1" w:tentative="0">
      <w:start w:val="2"/>
      <w:numFmt w:val="decimal"/>
      <w:isLgl/>
      <w:lvlText w:val="%1.%2"/>
      <w:lvlJc w:val="left"/>
      <w:pPr>
        <w:ind w:left="964" w:hanging="544"/>
      </w:pPr>
      <w:rPr>
        <w:rFonts w:hint="default"/>
      </w:rPr>
    </w:lvl>
    <w:lvl w:ilvl="2" w:tentative="0">
      <w:start w:val="1"/>
      <w:numFmt w:val="decimal"/>
      <w:isLgl/>
      <w:lvlText w:val="%1.%2.%3"/>
      <w:lvlJc w:val="left"/>
      <w:pPr>
        <w:ind w:left="1560" w:hanging="720"/>
      </w:pPr>
      <w:rPr>
        <w:rFonts w:hint="default"/>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31">
    <w:nsid w:val="227C3AAF"/>
    <w:multiLevelType w:val="multilevel"/>
    <w:tmpl w:val="227C3AAF"/>
    <w:lvl w:ilvl="0" w:tentative="0">
      <w:start w:val="29"/>
      <w:numFmt w:val="decimal"/>
      <w:lvlText w:val="%1.2.6"/>
      <w:lvlJc w:val="left"/>
      <w:pPr>
        <w:ind w:left="1838" w:hanging="420"/>
      </w:pPr>
      <w:rPr>
        <w:rFonts w:hint="eastAsia"/>
      </w:rPr>
    </w:lvl>
    <w:lvl w:ilvl="1" w:tentative="0">
      <w:start w:val="1"/>
      <w:numFmt w:val="lowerLetter"/>
      <w:lvlText w:val="%2)"/>
      <w:lvlJc w:val="left"/>
      <w:pPr>
        <w:ind w:left="2258" w:hanging="420"/>
      </w:pPr>
    </w:lvl>
    <w:lvl w:ilvl="2" w:tentative="0">
      <w:start w:val="1"/>
      <w:numFmt w:val="lowerRoman"/>
      <w:lvlText w:val="%3."/>
      <w:lvlJc w:val="right"/>
      <w:pPr>
        <w:ind w:left="2678" w:hanging="420"/>
      </w:pPr>
    </w:lvl>
    <w:lvl w:ilvl="3" w:tentative="0">
      <w:start w:val="1"/>
      <w:numFmt w:val="decimal"/>
      <w:lvlText w:val="%4."/>
      <w:lvlJc w:val="left"/>
      <w:pPr>
        <w:ind w:left="3098" w:hanging="420"/>
      </w:pPr>
    </w:lvl>
    <w:lvl w:ilvl="4" w:tentative="0">
      <w:start w:val="1"/>
      <w:numFmt w:val="lowerLetter"/>
      <w:lvlText w:val="%5)"/>
      <w:lvlJc w:val="left"/>
      <w:pPr>
        <w:ind w:left="3518" w:hanging="420"/>
      </w:pPr>
    </w:lvl>
    <w:lvl w:ilvl="5" w:tentative="0">
      <w:start w:val="1"/>
      <w:numFmt w:val="lowerRoman"/>
      <w:lvlText w:val="%6."/>
      <w:lvlJc w:val="right"/>
      <w:pPr>
        <w:ind w:left="3938" w:hanging="420"/>
      </w:pPr>
    </w:lvl>
    <w:lvl w:ilvl="6" w:tentative="0">
      <w:start w:val="1"/>
      <w:numFmt w:val="decimal"/>
      <w:lvlText w:val="%7."/>
      <w:lvlJc w:val="left"/>
      <w:pPr>
        <w:ind w:left="4358" w:hanging="420"/>
      </w:pPr>
    </w:lvl>
    <w:lvl w:ilvl="7" w:tentative="0">
      <w:start w:val="1"/>
      <w:numFmt w:val="lowerLetter"/>
      <w:lvlText w:val="%8)"/>
      <w:lvlJc w:val="left"/>
      <w:pPr>
        <w:ind w:left="4778" w:hanging="420"/>
      </w:pPr>
    </w:lvl>
    <w:lvl w:ilvl="8" w:tentative="0">
      <w:start w:val="1"/>
      <w:numFmt w:val="lowerRoman"/>
      <w:lvlText w:val="%9."/>
      <w:lvlJc w:val="right"/>
      <w:pPr>
        <w:ind w:left="5198" w:hanging="420"/>
      </w:pPr>
    </w:lvl>
  </w:abstractNum>
  <w:abstractNum w:abstractNumId="32">
    <w:nsid w:val="25740A31"/>
    <w:multiLevelType w:val="multilevel"/>
    <w:tmpl w:val="25740A31"/>
    <w:lvl w:ilvl="0" w:tentative="0">
      <w:start w:val="29"/>
      <w:numFmt w:val="decimal"/>
      <w:lvlText w:val="%1.2.7"/>
      <w:lvlJc w:val="left"/>
      <w:pPr>
        <w:ind w:left="1838" w:hanging="420"/>
      </w:pPr>
      <w:rPr>
        <w:rFonts w:hint="eastAsia"/>
      </w:rPr>
    </w:lvl>
    <w:lvl w:ilvl="1" w:tentative="0">
      <w:start w:val="1"/>
      <w:numFmt w:val="lowerLetter"/>
      <w:lvlText w:val="%2)"/>
      <w:lvlJc w:val="left"/>
      <w:pPr>
        <w:ind w:left="2258" w:hanging="420"/>
      </w:pPr>
    </w:lvl>
    <w:lvl w:ilvl="2" w:tentative="0">
      <w:start w:val="1"/>
      <w:numFmt w:val="lowerRoman"/>
      <w:lvlText w:val="%3."/>
      <w:lvlJc w:val="right"/>
      <w:pPr>
        <w:ind w:left="2678" w:hanging="420"/>
      </w:pPr>
    </w:lvl>
    <w:lvl w:ilvl="3" w:tentative="0">
      <w:start w:val="1"/>
      <w:numFmt w:val="decimal"/>
      <w:lvlText w:val="%4."/>
      <w:lvlJc w:val="left"/>
      <w:pPr>
        <w:ind w:left="3098" w:hanging="420"/>
      </w:pPr>
    </w:lvl>
    <w:lvl w:ilvl="4" w:tentative="0">
      <w:start w:val="1"/>
      <w:numFmt w:val="lowerLetter"/>
      <w:lvlText w:val="%5)"/>
      <w:lvlJc w:val="left"/>
      <w:pPr>
        <w:ind w:left="3518" w:hanging="420"/>
      </w:pPr>
    </w:lvl>
    <w:lvl w:ilvl="5" w:tentative="0">
      <w:start w:val="1"/>
      <w:numFmt w:val="lowerRoman"/>
      <w:lvlText w:val="%6."/>
      <w:lvlJc w:val="right"/>
      <w:pPr>
        <w:ind w:left="3938" w:hanging="420"/>
      </w:pPr>
    </w:lvl>
    <w:lvl w:ilvl="6" w:tentative="0">
      <w:start w:val="1"/>
      <w:numFmt w:val="decimal"/>
      <w:lvlText w:val="%7."/>
      <w:lvlJc w:val="left"/>
      <w:pPr>
        <w:ind w:left="4358" w:hanging="420"/>
      </w:pPr>
    </w:lvl>
    <w:lvl w:ilvl="7" w:tentative="0">
      <w:start w:val="1"/>
      <w:numFmt w:val="lowerLetter"/>
      <w:lvlText w:val="%8)"/>
      <w:lvlJc w:val="left"/>
      <w:pPr>
        <w:ind w:left="4778" w:hanging="420"/>
      </w:pPr>
    </w:lvl>
    <w:lvl w:ilvl="8" w:tentative="0">
      <w:start w:val="1"/>
      <w:numFmt w:val="lowerRoman"/>
      <w:lvlText w:val="%9."/>
      <w:lvlJc w:val="right"/>
      <w:pPr>
        <w:ind w:left="5198" w:hanging="420"/>
      </w:pPr>
    </w:lvl>
  </w:abstractNum>
  <w:abstractNum w:abstractNumId="33">
    <w:nsid w:val="260D7FDB"/>
    <w:multiLevelType w:val="multilevel"/>
    <w:tmpl w:val="260D7FDB"/>
    <w:lvl w:ilvl="0" w:tentative="0">
      <w:start w:val="29"/>
      <w:numFmt w:val="decimal"/>
      <w:lvlText w:val="%1.3"/>
      <w:lvlJc w:val="left"/>
      <w:pPr>
        <w:ind w:left="964" w:hanging="544"/>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4">
    <w:nsid w:val="284F17D0"/>
    <w:multiLevelType w:val="multilevel"/>
    <w:tmpl w:val="284F17D0"/>
    <w:lvl w:ilvl="0" w:tentative="0">
      <w:start w:val="23"/>
      <w:numFmt w:val="decimal"/>
      <w:lvlText w:val="%1."/>
      <w:lvlJc w:val="left"/>
      <w:pPr>
        <w:ind w:left="420" w:hanging="420"/>
      </w:pPr>
      <w:rPr>
        <w:rFonts w:hint="eastAsia"/>
      </w:rPr>
    </w:lvl>
    <w:lvl w:ilvl="1" w:tentative="0">
      <w:start w:val="3"/>
      <w:numFmt w:val="decimal"/>
      <w:lvlText w:val="23.3.%2"/>
      <w:lvlJc w:val="left"/>
      <w:pPr>
        <w:ind w:left="964" w:hanging="544"/>
      </w:pPr>
      <w:rPr>
        <w:rFonts w:hint="eastAsia"/>
      </w:rPr>
    </w:lvl>
    <w:lvl w:ilvl="2" w:tentative="0">
      <w:start w:val="23"/>
      <w:numFmt w:val="decimal"/>
      <w:lvlText w:val="%3.4 "/>
      <w:lvlJc w:val="left"/>
      <w:pPr>
        <w:ind w:left="1560" w:hanging="720"/>
      </w:pPr>
      <w:rPr>
        <w:rFonts w:hint="eastAsia"/>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35">
    <w:nsid w:val="294D1DA8"/>
    <w:multiLevelType w:val="multilevel"/>
    <w:tmpl w:val="294D1DA8"/>
    <w:lvl w:ilvl="0" w:tentative="0">
      <w:start w:val="25"/>
      <w:numFmt w:val="decimal"/>
      <w:lvlText w:val="%1.2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2B096AB4"/>
    <w:multiLevelType w:val="singleLevel"/>
    <w:tmpl w:val="2B096AB4"/>
    <w:lvl w:ilvl="0" w:tentative="0">
      <w:start w:val="2"/>
      <w:numFmt w:val="decimal"/>
      <w:lvlText w:val="%1."/>
      <w:lvlJc w:val="left"/>
      <w:pPr>
        <w:tabs>
          <w:tab w:val="left" w:pos="312"/>
        </w:tabs>
      </w:pPr>
      <w:rPr>
        <w:lang w:val="en-US"/>
      </w:rPr>
    </w:lvl>
  </w:abstractNum>
  <w:abstractNum w:abstractNumId="37">
    <w:nsid w:val="2BC85BF7"/>
    <w:multiLevelType w:val="multilevel"/>
    <w:tmpl w:val="2BC85BF7"/>
    <w:lvl w:ilvl="0" w:tentative="0">
      <w:start w:val="1"/>
      <w:numFmt w:val="decimal"/>
      <w:lvlText w:val="3.3.%1"/>
      <w:lvlJc w:val="left"/>
      <w:pPr>
        <w:ind w:left="422" w:hanging="420"/>
      </w:pPr>
      <w:rPr>
        <w:rFonts w:hint="eastAsia"/>
      </w:rPr>
    </w:lvl>
    <w:lvl w:ilvl="1" w:tentative="0">
      <w:start w:val="1"/>
      <w:numFmt w:val="lowerLetter"/>
      <w:lvlText w:val="%2)"/>
      <w:lvlJc w:val="left"/>
      <w:pPr>
        <w:ind w:left="842" w:hanging="420"/>
      </w:pPr>
    </w:lvl>
    <w:lvl w:ilvl="2" w:tentative="0">
      <w:start w:val="1"/>
      <w:numFmt w:val="lowerRoman"/>
      <w:lvlText w:val="%3."/>
      <w:lvlJc w:val="right"/>
      <w:pPr>
        <w:ind w:left="1262" w:hanging="420"/>
      </w:pPr>
    </w:lvl>
    <w:lvl w:ilvl="3" w:tentative="0">
      <w:start w:val="1"/>
      <w:numFmt w:val="decimal"/>
      <w:lvlText w:val="%4."/>
      <w:lvlJc w:val="left"/>
      <w:pPr>
        <w:ind w:left="1682" w:hanging="420"/>
      </w:pPr>
    </w:lvl>
    <w:lvl w:ilvl="4" w:tentative="0">
      <w:start w:val="1"/>
      <w:numFmt w:val="lowerLetter"/>
      <w:lvlText w:val="%5)"/>
      <w:lvlJc w:val="left"/>
      <w:pPr>
        <w:ind w:left="2102" w:hanging="420"/>
      </w:pPr>
    </w:lvl>
    <w:lvl w:ilvl="5" w:tentative="0">
      <w:start w:val="1"/>
      <w:numFmt w:val="lowerRoman"/>
      <w:lvlText w:val="%6."/>
      <w:lvlJc w:val="right"/>
      <w:pPr>
        <w:ind w:left="2522" w:hanging="420"/>
      </w:pPr>
    </w:lvl>
    <w:lvl w:ilvl="6" w:tentative="0">
      <w:start w:val="1"/>
      <w:numFmt w:val="decimal"/>
      <w:lvlText w:val="%7."/>
      <w:lvlJc w:val="left"/>
      <w:pPr>
        <w:ind w:left="2942" w:hanging="420"/>
      </w:pPr>
    </w:lvl>
    <w:lvl w:ilvl="7" w:tentative="0">
      <w:start w:val="1"/>
      <w:numFmt w:val="lowerLetter"/>
      <w:lvlText w:val="%8)"/>
      <w:lvlJc w:val="left"/>
      <w:pPr>
        <w:ind w:left="3362" w:hanging="420"/>
      </w:pPr>
    </w:lvl>
    <w:lvl w:ilvl="8" w:tentative="0">
      <w:start w:val="1"/>
      <w:numFmt w:val="lowerRoman"/>
      <w:lvlText w:val="%9."/>
      <w:lvlJc w:val="right"/>
      <w:pPr>
        <w:ind w:left="3782" w:hanging="420"/>
      </w:pPr>
    </w:lvl>
  </w:abstractNum>
  <w:abstractNum w:abstractNumId="38">
    <w:nsid w:val="2D8B66E1"/>
    <w:multiLevelType w:val="multilevel"/>
    <w:tmpl w:val="2D8B66E1"/>
    <w:lvl w:ilvl="0" w:tentative="0">
      <w:start w:val="1"/>
      <w:numFmt w:val="decimal"/>
      <w:lvlText w:val="38.2.%1"/>
      <w:lvlJc w:val="left"/>
      <w:pPr>
        <w:ind w:left="1384"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31E5674F"/>
    <w:multiLevelType w:val="multilevel"/>
    <w:tmpl w:val="31E5674F"/>
    <w:lvl w:ilvl="0" w:tentative="0">
      <w:start w:val="1"/>
      <w:numFmt w:val="decimal"/>
      <w:lvlText w:val="3.6.%1"/>
      <w:lvlJc w:val="left"/>
      <w:pPr>
        <w:ind w:left="42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3376796D"/>
    <w:multiLevelType w:val="multilevel"/>
    <w:tmpl w:val="3376796D"/>
    <w:lvl w:ilvl="0" w:tentative="0">
      <w:start w:val="29"/>
      <w:numFmt w:val="decimal"/>
      <w:lvlText w:val="%1.2.1"/>
      <w:lvlJc w:val="left"/>
      <w:pPr>
        <w:ind w:left="1838" w:hanging="420"/>
      </w:pPr>
      <w:rPr>
        <w:rFonts w:hint="eastAsia"/>
      </w:rPr>
    </w:lvl>
    <w:lvl w:ilvl="1" w:tentative="0">
      <w:start w:val="1"/>
      <w:numFmt w:val="lowerLetter"/>
      <w:lvlText w:val="%2)"/>
      <w:lvlJc w:val="left"/>
      <w:pPr>
        <w:ind w:left="2258" w:hanging="420"/>
      </w:pPr>
    </w:lvl>
    <w:lvl w:ilvl="2" w:tentative="0">
      <w:start w:val="1"/>
      <w:numFmt w:val="lowerRoman"/>
      <w:lvlText w:val="%3."/>
      <w:lvlJc w:val="right"/>
      <w:pPr>
        <w:ind w:left="2678" w:hanging="420"/>
      </w:pPr>
    </w:lvl>
    <w:lvl w:ilvl="3" w:tentative="0">
      <w:start w:val="1"/>
      <w:numFmt w:val="decimal"/>
      <w:lvlText w:val="%4."/>
      <w:lvlJc w:val="left"/>
      <w:pPr>
        <w:ind w:left="3098" w:hanging="420"/>
      </w:pPr>
    </w:lvl>
    <w:lvl w:ilvl="4" w:tentative="0">
      <w:start w:val="1"/>
      <w:numFmt w:val="lowerLetter"/>
      <w:lvlText w:val="%5)"/>
      <w:lvlJc w:val="left"/>
      <w:pPr>
        <w:ind w:left="3518" w:hanging="420"/>
      </w:pPr>
    </w:lvl>
    <w:lvl w:ilvl="5" w:tentative="0">
      <w:start w:val="1"/>
      <w:numFmt w:val="lowerRoman"/>
      <w:lvlText w:val="%6."/>
      <w:lvlJc w:val="right"/>
      <w:pPr>
        <w:ind w:left="3938" w:hanging="420"/>
      </w:pPr>
    </w:lvl>
    <w:lvl w:ilvl="6" w:tentative="0">
      <w:start w:val="1"/>
      <w:numFmt w:val="decimal"/>
      <w:lvlText w:val="%7."/>
      <w:lvlJc w:val="left"/>
      <w:pPr>
        <w:ind w:left="4358" w:hanging="420"/>
      </w:pPr>
    </w:lvl>
    <w:lvl w:ilvl="7" w:tentative="0">
      <w:start w:val="1"/>
      <w:numFmt w:val="lowerLetter"/>
      <w:lvlText w:val="%8)"/>
      <w:lvlJc w:val="left"/>
      <w:pPr>
        <w:ind w:left="4778" w:hanging="420"/>
      </w:pPr>
    </w:lvl>
    <w:lvl w:ilvl="8" w:tentative="0">
      <w:start w:val="1"/>
      <w:numFmt w:val="lowerRoman"/>
      <w:lvlText w:val="%9."/>
      <w:lvlJc w:val="right"/>
      <w:pPr>
        <w:ind w:left="5198" w:hanging="420"/>
      </w:pPr>
    </w:lvl>
  </w:abstractNum>
  <w:abstractNum w:abstractNumId="41">
    <w:nsid w:val="37057842"/>
    <w:multiLevelType w:val="multilevel"/>
    <w:tmpl w:val="37057842"/>
    <w:lvl w:ilvl="0" w:tentative="0">
      <w:start w:val="29"/>
      <w:numFmt w:val="decimal"/>
      <w:lvlText w:val="%1.2.5"/>
      <w:lvlJc w:val="left"/>
      <w:pPr>
        <w:ind w:left="1838" w:hanging="420"/>
      </w:pPr>
      <w:rPr>
        <w:rFonts w:hint="eastAsia"/>
      </w:rPr>
    </w:lvl>
    <w:lvl w:ilvl="1" w:tentative="0">
      <w:start w:val="1"/>
      <w:numFmt w:val="lowerLetter"/>
      <w:lvlText w:val="%2)"/>
      <w:lvlJc w:val="left"/>
      <w:pPr>
        <w:ind w:left="2258" w:hanging="420"/>
      </w:pPr>
    </w:lvl>
    <w:lvl w:ilvl="2" w:tentative="0">
      <w:start w:val="1"/>
      <w:numFmt w:val="lowerRoman"/>
      <w:lvlText w:val="%3."/>
      <w:lvlJc w:val="right"/>
      <w:pPr>
        <w:ind w:left="2678" w:hanging="420"/>
      </w:pPr>
    </w:lvl>
    <w:lvl w:ilvl="3" w:tentative="0">
      <w:start w:val="1"/>
      <w:numFmt w:val="decimal"/>
      <w:lvlText w:val="%4."/>
      <w:lvlJc w:val="left"/>
      <w:pPr>
        <w:ind w:left="3098" w:hanging="420"/>
      </w:pPr>
    </w:lvl>
    <w:lvl w:ilvl="4" w:tentative="0">
      <w:start w:val="1"/>
      <w:numFmt w:val="lowerLetter"/>
      <w:lvlText w:val="%5)"/>
      <w:lvlJc w:val="left"/>
      <w:pPr>
        <w:ind w:left="3518" w:hanging="420"/>
      </w:pPr>
    </w:lvl>
    <w:lvl w:ilvl="5" w:tentative="0">
      <w:start w:val="1"/>
      <w:numFmt w:val="lowerRoman"/>
      <w:lvlText w:val="%6."/>
      <w:lvlJc w:val="right"/>
      <w:pPr>
        <w:ind w:left="3938" w:hanging="420"/>
      </w:pPr>
    </w:lvl>
    <w:lvl w:ilvl="6" w:tentative="0">
      <w:start w:val="1"/>
      <w:numFmt w:val="decimal"/>
      <w:lvlText w:val="%7."/>
      <w:lvlJc w:val="left"/>
      <w:pPr>
        <w:ind w:left="4358" w:hanging="420"/>
      </w:pPr>
    </w:lvl>
    <w:lvl w:ilvl="7" w:tentative="0">
      <w:start w:val="1"/>
      <w:numFmt w:val="lowerLetter"/>
      <w:lvlText w:val="%8)"/>
      <w:lvlJc w:val="left"/>
      <w:pPr>
        <w:ind w:left="4778" w:hanging="420"/>
      </w:pPr>
    </w:lvl>
    <w:lvl w:ilvl="8" w:tentative="0">
      <w:start w:val="1"/>
      <w:numFmt w:val="lowerRoman"/>
      <w:lvlText w:val="%9."/>
      <w:lvlJc w:val="right"/>
      <w:pPr>
        <w:ind w:left="5198" w:hanging="420"/>
      </w:pPr>
    </w:lvl>
  </w:abstractNum>
  <w:abstractNum w:abstractNumId="42">
    <w:nsid w:val="375A32AE"/>
    <w:multiLevelType w:val="multilevel"/>
    <w:tmpl w:val="375A32AE"/>
    <w:lvl w:ilvl="0" w:tentative="0">
      <w:start w:val="1"/>
      <w:numFmt w:val="decimal"/>
      <w:lvlText w:val="25.1.2.%1"/>
      <w:lvlJc w:val="left"/>
      <w:pPr>
        <w:ind w:left="84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37A329CD"/>
    <w:multiLevelType w:val="multilevel"/>
    <w:tmpl w:val="37A329CD"/>
    <w:lvl w:ilvl="0" w:tentative="0">
      <w:start w:val="39"/>
      <w:numFmt w:val="decimal"/>
      <w:lvlText w:val="%1."/>
      <w:lvlJc w:val="left"/>
      <w:pPr>
        <w:ind w:left="420" w:hanging="420"/>
      </w:pPr>
      <w:rPr>
        <w:rFonts w:hint="eastAsia"/>
        <w:b/>
        <w:color w:val="auto"/>
        <w:sz w:val="21"/>
        <w:szCs w:val="21"/>
      </w:rPr>
    </w:lvl>
    <w:lvl w:ilvl="1" w:tentative="0">
      <w:start w:val="2"/>
      <w:numFmt w:val="decimal"/>
      <w:lvlText w:val="38. %2 "/>
      <w:lvlJc w:val="left"/>
      <w:pPr>
        <w:ind w:left="964" w:hanging="544"/>
      </w:pPr>
      <w:rPr>
        <w:rFonts w:hint="eastAsia"/>
      </w:rPr>
    </w:lvl>
    <w:lvl w:ilvl="2" w:tentative="0">
      <w:start w:val="23"/>
      <w:numFmt w:val="decimal"/>
      <w:lvlText w:val="%3.4 "/>
      <w:lvlJc w:val="left"/>
      <w:pPr>
        <w:ind w:left="1560" w:hanging="720"/>
      </w:pPr>
      <w:rPr>
        <w:rFonts w:hint="eastAsia"/>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44">
    <w:nsid w:val="3E97695A"/>
    <w:multiLevelType w:val="multilevel"/>
    <w:tmpl w:val="3E97695A"/>
    <w:lvl w:ilvl="0" w:tentative="0">
      <w:start w:val="30"/>
      <w:numFmt w:val="decimal"/>
      <w:lvlText w:val="%1.2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467D786A"/>
    <w:multiLevelType w:val="multilevel"/>
    <w:tmpl w:val="467D786A"/>
    <w:lvl w:ilvl="0" w:tentative="0">
      <w:start w:val="1"/>
      <w:numFmt w:val="decimal"/>
      <w:lvlText w:val="32.2.%1"/>
      <w:lvlJc w:val="left"/>
      <w:pPr>
        <w:ind w:left="1384"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4B763F93"/>
    <w:multiLevelType w:val="multilevel"/>
    <w:tmpl w:val="4B763F93"/>
    <w:lvl w:ilvl="0" w:tentative="0">
      <w:start w:val="29"/>
      <w:numFmt w:val="decimal"/>
      <w:lvlText w:val="%1.3.4"/>
      <w:lvlJc w:val="left"/>
      <w:pPr>
        <w:ind w:left="1384" w:hanging="420"/>
      </w:pPr>
      <w:rPr>
        <w:rFonts w:hint="eastAsia"/>
      </w:rPr>
    </w:lvl>
    <w:lvl w:ilvl="1" w:tentative="0">
      <w:start w:val="1"/>
      <w:numFmt w:val="lowerLetter"/>
      <w:lvlText w:val="%2)"/>
      <w:lvlJc w:val="left"/>
      <w:pPr>
        <w:ind w:left="1804" w:hanging="420"/>
      </w:pPr>
      <w:rPr>
        <w:rFonts w:hint="eastAsia"/>
      </w:rPr>
    </w:lvl>
    <w:lvl w:ilvl="2" w:tentative="0">
      <w:start w:val="1"/>
      <w:numFmt w:val="lowerRoman"/>
      <w:lvlText w:val="%3."/>
      <w:lvlJc w:val="right"/>
      <w:pPr>
        <w:ind w:left="2224" w:hanging="420"/>
      </w:pPr>
      <w:rPr>
        <w:rFonts w:hint="eastAsia"/>
      </w:rPr>
    </w:lvl>
    <w:lvl w:ilvl="3" w:tentative="0">
      <w:start w:val="1"/>
      <w:numFmt w:val="decimal"/>
      <w:lvlText w:val="%4."/>
      <w:lvlJc w:val="left"/>
      <w:pPr>
        <w:ind w:left="2644" w:hanging="420"/>
      </w:pPr>
      <w:rPr>
        <w:rFonts w:hint="eastAsia"/>
      </w:rPr>
    </w:lvl>
    <w:lvl w:ilvl="4" w:tentative="0">
      <w:start w:val="1"/>
      <w:numFmt w:val="lowerLetter"/>
      <w:lvlText w:val="%5)"/>
      <w:lvlJc w:val="left"/>
      <w:pPr>
        <w:ind w:left="3064" w:hanging="420"/>
      </w:pPr>
      <w:rPr>
        <w:rFonts w:hint="eastAsia"/>
      </w:rPr>
    </w:lvl>
    <w:lvl w:ilvl="5" w:tentative="0">
      <w:start w:val="1"/>
      <w:numFmt w:val="lowerRoman"/>
      <w:lvlText w:val="%6."/>
      <w:lvlJc w:val="right"/>
      <w:pPr>
        <w:ind w:left="3484" w:hanging="420"/>
      </w:pPr>
      <w:rPr>
        <w:rFonts w:hint="eastAsia"/>
      </w:rPr>
    </w:lvl>
    <w:lvl w:ilvl="6" w:tentative="0">
      <w:start w:val="1"/>
      <w:numFmt w:val="decimal"/>
      <w:lvlText w:val="%7."/>
      <w:lvlJc w:val="left"/>
      <w:pPr>
        <w:ind w:left="3904" w:hanging="420"/>
      </w:pPr>
      <w:rPr>
        <w:rFonts w:hint="eastAsia"/>
      </w:rPr>
    </w:lvl>
    <w:lvl w:ilvl="7" w:tentative="0">
      <w:start w:val="1"/>
      <w:numFmt w:val="lowerLetter"/>
      <w:lvlText w:val="%8)"/>
      <w:lvlJc w:val="left"/>
      <w:pPr>
        <w:ind w:left="4324" w:hanging="420"/>
      </w:pPr>
      <w:rPr>
        <w:rFonts w:hint="eastAsia"/>
      </w:rPr>
    </w:lvl>
    <w:lvl w:ilvl="8" w:tentative="0">
      <w:start w:val="1"/>
      <w:numFmt w:val="lowerRoman"/>
      <w:lvlText w:val="%9."/>
      <w:lvlJc w:val="right"/>
      <w:pPr>
        <w:ind w:left="4744" w:hanging="420"/>
      </w:pPr>
      <w:rPr>
        <w:rFonts w:hint="eastAsia"/>
      </w:rPr>
    </w:lvl>
  </w:abstractNum>
  <w:abstractNum w:abstractNumId="47">
    <w:nsid w:val="4DF61B3A"/>
    <w:multiLevelType w:val="multilevel"/>
    <w:tmpl w:val="4DF61B3A"/>
    <w:lvl w:ilvl="0" w:tentative="0">
      <w:start w:val="1"/>
      <w:numFmt w:val="japaneseCounting"/>
      <w:lvlText w:val="第%1章"/>
      <w:lvlJc w:val="left"/>
      <w:pPr>
        <w:ind w:left="4320" w:hanging="1605"/>
      </w:pPr>
      <w:rPr>
        <w:rFonts w:hint="default"/>
      </w:rPr>
    </w:lvl>
    <w:lvl w:ilvl="1" w:tentative="0">
      <w:start w:val="1"/>
      <w:numFmt w:val="lowerLetter"/>
      <w:lvlText w:val="%2)"/>
      <w:lvlJc w:val="left"/>
      <w:pPr>
        <w:ind w:left="3555" w:hanging="420"/>
      </w:pPr>
    </w:lvl>
    <w:lvl w:ilvl="2" w:tentative="0">
      <w:start w:val="1"/>
      <w:numFmt w:val="lowerRoman"/>
      <w:lvlText w:val="%3."/>
      <w:lvlJc w:val="right"/>
      <w:pPr>
        <w:ind w:left="3975" w:hanging="420"/>
      </w:pPr>
    </w:lvl>
    <w:lvl w:ilvl="3" w:tentative="0">
      <w:start w:val="1"/>
      <w:numFmt w:val="decimal"/>
      <w:lvlText w:val="%4."/>
      <w:lvlJc w:val="left"/>
      <w:pPr>
        <w:ind w:left="4395" w:hanging="420"/>
      </w:pPr>
    </w:lvl>
    <w:lvl w:ilvl="4" w:tentative="0">
      <w:start w:val="1"/>
      <w:numFmt w:val="lowerLetter"/>
      <w:lvlText w:val="%5)"/>
      <w:lvlJc w:val="left"/>
      <w:pPr>
        <w:ind w:left="4815" w:hanging="420"/>
      </w:pPr>
    </w:lvl>
    <w:lvl w:ilvl="5" w:tentative="0">
      <w:start w:val="1"/>
      <w:numFmt w:val="lowerRoman"/>
      <w:lvlText w:val="%6."/>
      <w:lvlJc w:val="right"/>
      <w:pPr>
        <w:ind w:left="5235" w:hanging="420"/>
      </w:pPr>
    </w:lvl>
    <w:lvl w:ilvl="6" w:tentative="0">
      <w:start w:val="1"/>
      <w:numFmt w:val="decimal"/>
      <w:lvlText w:val="%7."/>
      <w:lvlJc w:val="left"/>
      <w:pPr>
        <w:ind w:left="5655" w:hanging="420"/>
      </w:pPr>
    </w:lvl>
    <w:lvl w:ilvl="7" w:tentative="0">
      <w:start w:val="1"/>
      <w:numFmt w:val="lowerLetter"/>
      <w:lvlText w:val="%8)"/>
      <w:lvlJc w:val="left"/>
      <w:pPr>
        <w:ind w:left="6075" w:hanging="420"/>
      </w:pPr>
    </w:lvl>
    <w:lvl w:ilvl="8" w:tentative="0">
      <w:start w:val="1"/>
      <w:numFmt w:val="lowerRoman"/>
      <w:lvlText w:val="%9."/>
      <w:lvlJc w:val="right"/>
      <w:pPr>
        <w:ind w:left="6495" w:hanging="420"/>
      </w:pPr>
    </w:lvl>
  </w:abstractNum>
  <w:abstractNum w:abstractNumId="48">
    <w:nsid w:val="50284345"/>
    <w:multiLevelType w:val="multilevel"/>
    <w:tmpl w:val="50284345"/>
    <w:lvl w:ilvl="0" w:tentative="0">
      <w:start w:val="29"/>
      <w:numFmt w:val="decimal"/>
      <w:lvlText w:val="%1.2.2"/>
      <w:lvlJc w:val="left"/>
      <w:pPr>
        <w:ind w:left="1838" w:hanging="420"/>
      </w:pPr>
      <w:rPr>
        <w:rFonts w:hint="eastAsia"/>
      </w:rPr>
    </w:lvl>
    <w:lvl w:ilvl="1" w:tentative="0">
      <w:start w:val="1"/>
      <w:numFmt w:val="lowerLetter"/>
      <w:lvlText w:val="%2)"/>
      <w:lvlJc w:val="left"/>
      <w:pPr>
        <w:ind w:left="2258" w:hanging="420"/>
      </w:pPr>
    </w:lvl>
    <w:lvl w:ilvl="2" w:tentative="0">
      <w:start w:val="1"/>
      <w:numFmt w:val="lowerRoman"/>
      <w:lvlText w:val="%3."/>
      <w:lvlJc w:val="right"/>
      <w:pPr>
        <w:ind w:left="2678" w:hanging="420"/>
      </w:pPr>
    </w:lvl>
    <w:lvl w:ilvl="3" w:tentative="0">
      <w:start w:val="1"/>
      <w:numFmt w:val="decimal"/>
      <w:lvlText w:val="%4."/>
      <w:lvlJc w:val="left"/>
      <w:pPr>
        <w:ind w:left="3098" w:hanging="420"/>
      </w:pPr>
    </w:lvl>
    <w:lvl w:ilvl="4" w:tentative="0">
      <w:start w:val="1"/>
      <w:numFmt w:val="lowerLetter"/>
      <w:lvlText w:val="%5)"/>
      <w:lvlJc w:val="left"/>
      <w:pPr>
        <w:ind w:left="3518" w:hanging="420"/>
      </w:pPr>
    </w:lvl>
    <w:lvl w:ilvl="5" w:tentative="0">
      <w:start w:val="1"/>
      <w:numFmt w:val="lowerRoman"/>
      <w:lvlText w:val="%6."/>
      <w:lvlJc w:val="right"/>
      <w:pPr>
        <w:ind w:left="3938" w:hanging="420"/>
      </w:pPr>
    </w:lvl>
    <w:lvl w:ilvl="6" w:tentative="0">
      <w:start w:val="1"/>
      <w:numFmt w:val="decimal"/>
      <w:lvlText w:val="%7."/>
      <w:lvlJc w:val="left"/>
      <w:pPr>
        <w:ind w:left="4358" w:hanging="420"/>
      </w:pPr>
    </w:lvl>
    <w:lvl w:ilvl="7" w:tentative="0">
      <w:start w:val="1"/>
      <w:numFmt w:val="lowerLetter"/>
      <w:lvlText w:val="%8)"/>
      <w:lvlJc w:val="left"/>
      <w:pPr>
        <w:ind w:left="4778" w:hanging="420"/>
      </w:pPr>
    </w:lvl>
    <w:lvl w:ilvl="8" w:tentative="0">
      <w:start w:val="1"/>
      <w:numFmt w:val="lowerRoman"/>
      <w:lvlText w:val="%9."/>
      <w:lvlJc w:val="right"/>
      <w:pPr>
        <w:ind w:left="5198" w:hanging="420"/>
      </w:pPr>
    </w:lvl>
  </w:abstractNum>
  <w:abstractNum w:abstractNumId="49">
    <w:nsid w:val="54FF6F31"/>
    <w:multiLevelType w:val="multilevel"/>
    <w:tmpl w:val="54FF6F31"/>
    <w:lvl w:ilvl="0" w:tentative="0">
      <w:start w:val="1"/>
      <w:numFmt w:val="decimal"/>
      <w:lvlText w:val="28. %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57022D07"/>
    <w:multiLevelType w:val="multilevel"/>
    <w:tmpl w:val="57022D07"/>
    <w:lvl w:ilvl="0" w:tentative="0">
      <w:start w:val="29"/>
      <w:numFmt w:val="decimal"/>
      <w:lvlText w:val="%1.7"/>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
    <w:nsid w:val="58C95C43"/>
    <w:multiLevelType w:val="multilevel"/>
    <w:tmpl w:val="58C95C43"/>
    <w:lvl w:ilvl="0" w:tentative="0">
      <w:start w:val="29"/>
      <w:numFmt w:val="decimal"/>
      <w:lvlText w:val="%1.3.3"/>
      <w:lvlJc w:val="left"/>
      <w:pPr>
        <w:ind w:left="1384" w:hanging="420"/>
      </w:pPr>
      <w:rPr>
        <w:rFonts w:hint="eastAsia"/>
      </w:rPr>
    </w:lvl>
    <w:lvl w:ilvl="1" w:tentative="0">
      <w:start w:val="1"/>
      <w:numFmt w:val="lowerLetter"/>
      <w:lvlText w:val="%2)"/>
      <w:lvlJc w:val="left"/>
      <w:pPr>
        <w:ind w:left="1804" w:hanging="420"/>
      </w:pPr>
      <w:rPr>
        <w:rFonts w:hint="eastAsia"/>
      </w:rPr>
    </w:lvl>
    <w:lvl w:ilvl="2" w:tentative="0">
      <w:start w:val="1"/>
      <w:numFmt w:val="lowerRoman"/>
      <w:lvlText w:val="%3."/>
      <w:lvlJc w:val="right"/>
      <w:pPr>
        <w:ind w:left="2224" w:hanging="420"/>
      </w:pPr>
      <w:rPr>
        <w:rFonts w:hint="eastAsia"/>
      </w:rPr>
    </w:lvl>
    <w:lvl w:ilvl="3" w:tentative="0">
      <w:start w:val="1"/>
      <w:numFmt w:val="decimal"/>
      <w:lvlText w:val="%4."/>
      <w:lvlJc w:val="left"/>
      <w:pPr>
        <w:ind w:left="2644" w:hanging="420"/>
      </w:pPr>
      <w:rPr>
        <w:rFonts w:hint="eastAsia"/>
      </w:rPr>
    </w:lvl>
    <w:lvl w:ilvl="4" w:tentative="0">
      <w:start w:val="1"/>
      <w:numFmt w:val="lowerLetter"/>
      <w:lvlText w:val="%5)"/>
      <w:lvlJc w:val="left"/>
      <w:pPr>
        <w:ind w:left="3064" w:hanging="420"/>
      </w:pPr>
      <w:rPr>
        <w:rFonts w:hint="eastAsia"/>
      </w:rPr>
    </w:lvl>
    <w:lvl w:ilvl="5" w:tentative="0">
      <w:start w:val="1"/>
      <w:numFmt w:val="lowerRoman"/>
      <w:lvlText w:val="%6."/>
      <w:lvlJc w:val="right"/>
      <w:pPr>
        <w:ind w:left="3484" w:hanging="420"/>
      </w:pPr>
      <w:rPr>
        <w:rFonts w:hint="eastAsia"/>
      </w:rPr>
    </w:lvl>
    <w:lvl w:ilvl="6" w:tentative="0">
      <w:start w:val="1"/>
      <w:numFmt w:val="decimal"/>
      <w:lvlText w:val="%7."/>
      <w:lvlJc w:val="left"/>
      <w:pPr>
        <w:ind w:left="3904" w:hanging="420"/>
      </w:pPr>
      <w:rPr>
        <w:rFonts w:hint="eastAsia"/>
      </w:rPr>
    </w:lvl>
    <w:lvl w:ilvl="7" w:tentative="0">
      <w:start w:val="1"/>
      <w:numFmt w:val="lowerLetter"/>
      <w:lvlText w:val="%8)"/>
      <w:lvlJc w:val="left"/>
      <w:pPr>
        <w:ind w:left="4324" w:hanging="420"/>
      </w:pPr>
      <w:rPr>
        <w:rFonts w:hint="eastAsia"/>
      </w:rPr>
    </w:lvl>
    <w:lvl w:ilvl="8" w:tentative="0">
      <w:start w:val="1"/>
      <w:numFmt w:val="lowerRoman"/>
      <w:lvlText w:val="%9."/>
      <w:lvlJc w:val="right"/>
      <w:pPr>
        <w:ind w:left="4744" w:hanging="420"/>
      </w:pPr>
      <w:rPr>
        <w:rFonts w:hint="eastAsia"/>
      </w:rPr>
    </w:lvl>
  </w:abstractNum>
  <w:abstractNum w:abstractNumId="52">
    <w:nsid w:val="59F817E8"/>
    <w:multiLevelType w:val="singleLevel"/>
    <w:tmpl w:val="59F817E8"/>
    <w:lvl w:ilvl="0" w:tentative="0">
      <w:start w:val="1"/>
      <w:numFmt w:val="chineseCounting"/>
      <w:pStyle w:val="53"/>
      <w:suff w:val="nothing"/>
      <w:lvlText w:val="%1、"/>
      <w:lvlJc w:val="left"/>
    </w:lvl>
  </w:abstractNum>
  <w:abstractNum w:abstractNumId="53">
    <w:nsid w:val="5A1A6631"/>
    <w:multiLevelType w:val="multilevel"/>
    <w:tmpl w:val="5A1A6631"/>
    <w:lvl w:ilvl="0" w:tentative="0">
      <w:start w:val="25"/>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
    <w:nsid w:val="5A734122"/>
    <w:multiLevelType w:val="multilevel"/>
    <w:tmpl w:val="5A734122"/>
    <w:lvl w:ilvl="0" w:tentative="0">
      <w:start w:val="36"/>
      <w:numFmt w:val="decimal"/>
      <w:lvlText w:val="%1.2"/>
      <w:lvlJc w:val="left"/>
      <w:pPr>
        <w:ind w:left="964" w:hanging="544"/>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55">
    <w:nsid w:val="5A92629E"/>
    <w:multiLevelType w:val="multilevel"/>
    <w:tmpl w:val="5A92629E"/>
    <w:lvl w:ilvl="0" w:tentative="0">
      <w:start w:val="29"/>
      <w:numFmt w:val="decimal"/>
      <w:lvlText w:val="%1.2.4"/>
      <w:lvlJc w:val="left"/>
      <w:pPr>
        <w:ind w:left="1838" w:hanging="420"/>
      </w:pPr>
      <w:rPr>
        <w:rFonts w:hint="eastAsia"/>
      </w:rPr>
    </w:lvl>
    <w:lvl w:ilvl="1" w:tentative="0">
      <w:start w:val="1"/>
      <w:numFmt w:val="lowerLetter"/>
      <w:lvlText w:val="%2)"/>
      <w:lvlJc w:val="left"/>
      <w:pPr>
        <w:ind w:left="2258" w:hanging="420"/>
      </w:pPr>
    </w:lvl>
    <w:lvl w:ilvl="2" w:tentative="0">
      <w:start w:val="1"/>
      <w:numFmt w:val="lowerRoman"/>
      <w:lvlText w:val="%3."/>
      <w:lvlJc w:val="right"/>
      <w:pPr>
        <w:ind w:left="2678" w:hanging="420"/>
      </w:pPr>
    </w:lvl>
    <w:lvl w:ilvl="3" w:tentative="0">
      <w:start w:val="1"/>
      <w:numFmt w:val="decimal"/>
      <w:lvlText w:val="%4."/>
      <w:lvlJc w:val="left"/>
      <w:pPr>
        <w:ind w:left="3098" w:hanging="420"/>
      </w:pPr>
    </w:lvl>
    <w:lvl w:ilvl="4" w:tentative="0">
      <w:start w:val="1"/>
      <w:numFmt w:val="lowerLetter"/>
      <w:lvlText w:val="%5)"/>
      <w:lvlJc w:val="left"/>
      <w:pPr>
        <w:ind w:left="3518" w:hanging="420"/>
      </w:pPr>
    </w:lvl>
    <w:lvl w:ilvl="5" w:tentative="0">
      <w:start w:val="1"/>
      <w:numFmt w:val="lowerRoman"/>
      <w:lvlText w:val="%6."/>
      <w:lvlJc w:val="right"/>
      <w:pPr>
        <w:ind w:left="3938" w:hanging="420"/>
      </w:pPr>
    </w:lvl>
    <w:lvl w:ilvl="6" w:tentative="0">
      <w:start w:val="1"/>
      <w:numFmt w:val="decimal"/>
      <w:lvlText w:val="%7."/>
      <w:lvlJc w:val="left"/>
      <w:pPr>
        <w:ind w:left="4358" w:hanging="420"/>
      </w:pPr>
    </w:lvl>
    <w:lvl w:ilvl="7" w:tentative="0">
      <w:start w:val="1"/>
      <w:numFmt w:val="lowerLetter"/>
      <w:lvlText w:val="%8)"/>
      <w:lvlJc w:val="left"/>
      <w:pPr>
        <w:ind w:left="4778" w:hanging="420"/>
      </w:pPr>
    </w:lvl>
    <w:lvl w:ilvl="8" w:tentative="0">
      <w:start w:val="1"/>
      <w:numFmt w:val="lowerRoman"/>
      <w:lvlText w:val="%9."/>
      <w:lvlJc w:val="right"/>
      <w:pPr>
        <w:ind w:left="5198" w:hanging="420"/>
      </w:pPr>
    </w:lvl>
  </w:abstractNum>
  <w:abstractNum w:abstractNumId="56">
    <w:nsid w:val="5B7615A2"/>
    <w:multiLevelType w:val="multilevel"/>
    <w:tmpl w:val="5B7615A2"/>
    <w:lvl w:ilvl="0" w:tentative="0">
      <w:start w:val="23"/>
      <w:numFmt w:val="decimal"/>
      <w:lvlText w:val="%1."/>
      <w:lvlJc w:val="left"/>
      <w:pPr>
        <w:ind w:left="420" w:hanging="420"/>
      </w:pPr>
      <w:rPr>
        <w:rFonts w:hint="eastAsia"/>
      </w:rPr>
    </w:lvl>
    <w:lvl w:ilvl="1" w:tentative="0">
      <w:start w:val="3"/>
      <w:numFmt w:val="decimal"/>
      <w:lvlText w:val="23.3.1.%2"/>
      <w:lvlJc w:val="left"/>
      <w:pPr>
        <w:ind w:left="964" w:hanging="544"/>
      </w:pPr>
      <w:rPr>
        <w:rFonts w:hint="eastAsia"/>
      </w:rPr>
    </w:lvl>
    <w:lvl w:ilvl="2" w:tentative="0">
      <w:start w:val="21"/>
      <w:numFmt w:val="decimal"/>
      <w:lvlText w:val="%3.1 "/>
      <w:lvlJc w:val="left"/>
      <w:pPr>
        <w:ind w:left="1560" w:hanging="720"/>
      </w:pPr>
      <w:rPr>
        <w:rFonts w:hint="eastAsia"/>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57">
    <w:nsid w:val="5C3055E2"/>
    <w:multiLevelType w:val="multilevel"/>
    <w:tmpl w:val="5C3055E2"/>
    <w:lvl w:ilvl="0" w:tentative="0">
      <w:start w:val="34"/>
      <w:numFmt w:val="decimal"/>
      <w:lvlText w:val="%1."/>
      <w:lvlJc w:val="left"/>
      <w:pPr>
        <w:ind w:left="420" w:hanging="420"/>
      </w:pPr>
      <w:rPr>
        <w:rFonts w:hint="eastAsia"/>
      </w:rPr>
    </w:lvl>
    <w:lvl w:ilvl="1" w:tentative="0">
      <w:start w:val="1"/>
      <w:numFmt w:val="decimal"/>
      <w:lvlText w:val="34. %2 "/>
      <w:lvlJc w:val="left"/>
      <w:pPr>
        <w:ind w:left="964" w:hanging="544"/>
      </w:pPr>
      <w:rPr>
        <w:rFonts w:hint="eastAsia"/>
      </w:rPr>
    </w:lvl>
    <w:lvl w:ilvl="2" w:tentative="0">
      <w:start w:val="23"/>
      <w:numFmt w:val="decimal"/>
      <w:lvlText w:val="%3.4 "/>
      <w:lvlJc w:val="left"/>
      <w:pPr>
        <w:ind w:left="1560" w:hanging="720"/>
      </w:pPr>
      <w:rPr>
        <w:rFonts w:hint="eastAsia"/>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58">
    <w:nsid w:val="5C561646"/>
    <w:multiLevelType w:val="multilevel"/>
    <w:tmpl w:val="5C561646"/>
    <w:lvl w:ilvl="0" w:tentative="0">
      <w:start w:val="21"/>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9">
    <w:nsid w:val="5F9C3ECF"/>
    <w:multiLevelType w:val="multilevel"/>
    <w:tmpl w:val="5F9C3ECF"/>
    <w:lvl w:ilvl="0" w:tentative="0">
      <w:start w:val="29"/>
      <w:numFmt w:val="decimal"/>
      <w:lvlText w:val="%1.7"/>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0">
    <w:nsid w:val="5FAD39AB"/>
    <w:multiLevelType w:val="multilevel"/>
    <w:tmpl w:val="5FAD39AB"/>
    <w:lvl w:ilvl="0" w:tentative="0">
      <w:start w:val="27"/>
      <w:numFmt w:val="decimal"/>
      <w:lvlText w:val="%1.2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1">
    <w:nsid w:val="618035B4"/>
    <w:multiLevelType w:val="multilevel"/>
    <w:tmpl w:val="618035B4"/>
    <w:lvl w:ilvl="0" w:tentative="0">
      <w:start w:val="7"/>
      <w:numFmt w:val="decimal"/>
      <w:lvlText w:val="3. %1 "/>
      <w:lvlJc w:val="left"/>
      <w:pPr>
        <w:ind w:left="422"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2">
    <w:nsid w:val="657B6CAE"/>
    <w:multiLevelType w:val="multilevel"/>
    <w:tmpl w:val="657B6CAE"/>
    <w:lvl w:ilvl="0" w:tentative="0">
      <w:start w:val="29"/>
      <w:numFmt w:val="decimal"/>
      <w:lvlText w:val="%1.2"/>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3">
    <w:nsid w:val="67A97E62"/>
    <w:multiLevelType w:val="multilevel"/>
    <w:tmpl w:val="67A97E62"/>
    <w:lvl w:ilvl="0" w:tentative="0">
      <w:start w:val="1"/>
      <w:numFmt w:val="decimal"/>
      <w:lvlText w:val="38.1.%1"/>
      <w:lvlJc w:val="left"/>
      <w:pPr>
        <w:ind w:left="1407" w:hanging="420"/>
      </w:pPr>
      <w:rPr>
        <w:rFonts w:hint="eastAsia"/>
      </w:rPr>
    </w:lvl>
    <w:lvl w:ilvl="1" w:tentative="0">
      <w:start w:val="1"/>
      <w:numFmt w:val="lowerLetter"/>
      <w:lvlText w:val="%2)"/>
      <w:lvlJc w:val="left"/>
      <w:pPr>
        <w:ind w:left="1827" w:hanging="420"/>
      </w:pPr>
    </w:lvl>
    <w:lvl w:ilvl="2" w:tentative="0">
      <w:start w:val="1"/>
      <w:numFmt w:val="lowerRoman"/>
      <w:lvlText w:val="%3."/>
      <w:lvlJc w:val="right"/>
      <w:pPr>
        <w:ind w:left="2247" w:hanging="420"/>
      </w:pPr>
    </w:lvl>
    <w:lvl w:ilvl="3" w:tentative="0">
      <w:start w:val="1"/>
      <w:numFmt w:val="decimal"/>
      <w:lvlText w:val="%4."/>
      <w:lvlJc w:val="left"/>
      <w:pPr>
        <w:ind w:left="2667" w:hanging="420"/>
      </w:pPr>
    </w:lvl>
    <w:lvl w:ilvl="4" w:tentative="0">
      <w:start w:val="1"/>
      <w:numFmt w:val="lowerLetter"/>
      <w:lvlText w:val="%5)"/>
      <w:lvlJc w:val="left"/>
      <w:pPr>
        <w:ind w:left="3087" w:hanging="420"/>
      </w:pPr>
    </w:lvl>
    <w:lvl w:ilvl="5" w:tentative="0">
      <w:start w:val="1"/>
      <w:numFmt w:val="lowerRoman"/>
      <w:lvlText w:val="%6."/>
      <w:lvlJc w:val="right"/>
      <w:pPr>
        <w:ind w:left="3507" w:hanging="420"/>
      </w:pPr>
    </w:lvl>
    <w:lvl w:ilvl="6" w:tentative="0">
      <w:start w:val="1"/>
      <w:numFmt w:val="decimal"/>
      <w:lvlText w:val="%7."/>
      <w:lvlJc w:val="left"/>
      <w:pPr>
        <w:ind w:left="3927" w:hanging="420"/>
      </w:pPr>
    </w:lvl>
    <w:lvl w:ilvl="7" w:tentative="0">
      <w:start w:val="1"/>
      <w:numFmt w:val="lowerLetter"/>
      <w:lvlText w:val="%8)"/>
      <w:lvlJc w:val="left"/>
      <w:pPr>
        <w:ind w:left="4347" w:hanging="420"/>
      </w:pPr>
    </w:lvl>
    <w:lvl w:ilvl="8" w:tentative="0">
      <w:start w:val="1"/>
      <w:numFmt w:val="lowerRoman"/>
      <w:lvlText w:val="%9."/>
      <w:lvlJc w:val="right"/>
      <w:pPr>
        <w:ind w:left="4767" w:hanging="420"/>
      </w:pPr>
    </w:lvl>
  </w:abstractNum>
  <w:abstractNum w:abstractNumId="64">
    <w:nsid w:val="67D51130"/>
    <w:multiLevelType w:val="multilevel"/>
    <w:tmpl w:val="67D51130"/>
    <w:lvl w:ilvl="0" w:tentative="0">
      <w:start w:val="37"/>
      <w:numFmt w:val="decimal"/>
      <w:lvlText w:val="%1.3"/>
      <w:lvlJc w:val="left"/>
      <w:pPr>
        <w:ind w:left="964" w:hanging="544"/>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65">
    <w:nsid w:val="6A4E0B21"/>
    <w:multiLevelType w:val="multilevel"/>
    <w:tmpl w:val="6A4E0B21"/>
    <w:lvl w:ilvl="0" w:tentative="0">
      <w:start w:val="1"/>
      <w:numFmt w:val="decimal"/>
      <w:lvlText w:val="25.1.%1"/>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6">
    <w:nsid w:val="6A7B4455"/>
    <w:multiLevelType w:val="multilevel"/>
    <w:tmpl w:val="6A7B4455"/>
    <w:lvl w:ilvl="0" w:tentative="0">
      <w:start w:val="1"/>
      <w:numFmt w:val="decimal"/>
      <w:lvlText w:val="%1.1 "/>
      <w:lvlJc w:val="left"/>
      <w:pPr>
        <w:ind w:left="964" w:hanging="544"/>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7">
    <w:nsid w:val="6CEB39E3"/>
    <w:multiLevelType w:val="multilevel"/>
    <w:tmpl w:val="6CEB39E3"/>
    <w:lvl w:ilvl="0" w:tentative="0">
      <w:start w:val="27"/>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8">
    <w:nsid w:val="6DBDE24C"/>
    <w:multiLevelType w:val="singleLevel"/>
    <w:tmpl w:val="6DBDE24C"/>
    <w:lvl w:ilvl="0" w:tentative="0">
      <w:start w:val="6"/>
      <w:numFmt w:val="decimal"/>
      <w:suff w:val="nothing"/>
      <w:lvlText w:val="（%1）"/>
      <w:lvlJc w:val="left"/>
    </w:lvl>
  </w:abstractNum>
  <w:abstractNum w:abstractNumId="69">
    <w:nsid w:val="6EFC15FB"/>
    <w:multiLevelType w:val="multilevel"/>
    <w:tmpl w:val="6EFC15FB"/>
    <w:lvl w:ilvl="0" w:tentative="0">
      <w:start w:val="29"/>
      <w:numFmt w:val="decimal"/>
      <w:lvlText w:val="%1.2.3"/>
      <w:lvlJc w:val="left"/>
      <w:pPr>
        <w:ind w:left="1838" w:hanging="420"/>
      </w:pPr>
      <w:rPr>
        <w:rFonts w:hint="eastAsia"/>
      </w:rPr>
    </w:lvl>
    <w:lvl w:ilvl="1" w:tentative="0">
      <w:start w:val="1"/>
      <w:numFmt w:val="lowerLetter"/>
      <w:lvlText w:val="%2)"/>
      <w:lvlJc w:val="left"/>
      <w:pPr>
        <w:ind w:left="2258" w:hanging="420"/>
      </w:pPr>
    </w:lvl>
    <w:lvl w:ilvl="2" w:tentative="0">
      <w:start w:val="1"/>
      <w:numFmt w:val="lowerRoman"/>
      <w:lvlText w:val="%3."/>
      <w:lvlJc w:val="right"/>
      <w:pPr>
        <w:ind w:left="2678" w:hanging="420"/>
      </w:pPr>
    </w:lvl>
    <w:lvl w:ilvl="3" w:tentative="0">
      <w:start w:val="1"/>
      <w:numFmt w:val="decimal"/>
      <w:lvlText w:val="%4."/>
      <w:lvlJc w:val="left"/>
      <w:pPr>
        <w:ind w:left="3098" w:hanging="420"/>
      </w:pPr>
    </w:lvl>
    <w:lvl w:ilvl="4" w:tentative="0">
      <w:start w:val="1"/>
      <w:numFmt w:val="lowerLetter"/>
      <w:lvlText w:val="%5)"/>
      <w:lvlJc w:val="left"/>
      <w:pPr>
        <w:ind w:left="3518" w:hanging="420"/>
      </w:pPr>
    </w:lvl>
    <w:lvl w:ilvl="5" w:tentative="0">
      <w:start w:val="1"/>
      <w:numFmt w:val="lowerRoman"/>
      <w:lvlText w:val="%6."/>
      <w:lvlJc w:val="right"/>
      <w:pPr>
        <w:ind w:left="3938" w:hanging="420"/>
      </w:pPr>
    </w:lvl>
    <w:lvl w:ilvl="6" w:tentative="0">
      <w:start w:val="1"/>
      <w:numFmt w:val="decimal"/>
      <w:lvlText w:val="%7."/>
      <w:lvlJc w:val="left"/>
      <w:pPr>
        <w:ind w:left="4358" w:hanging="420"/>
      </w:pPr>
    </w:lvl>
    <w:lvl w:ilvl="7" w:tentative="0">
      <w:start w:val="1"/>
      <w:numFmt w:val="lowerLetter"/>
      <w:lvlText w:val="%8)"/>
      <w:lvlJc w:val="left"/>
      <w:pPr>
        <w:ind w:left="4778" w:hanging="420"/>
      </w:pPr>
    </w:lvl>
    <w:lvl w:ilvl="8" w:tentative="0">
      <w:start w:val="1"/>
      <w:numFmt w:val="lowerRoman"/>
      <w:lvlText w:val="%9."/>
      <w:lvlJc w:val="right"/>
      <w:pPr>
        <w:ind w:left="5198" w:hanging="420"/>
      </w:pPr>
    </w:lvl>
  </w:abstractNum>
  <w:abstractNum w:abstractNumId="70">
    <w:nsid w:val="6FFF468F"/>
    <w:multiLevelType w:val="multilevel"/>
    <w:tmpl w:val="6FFF468F"/>
    <w:lvl w:ilvl="0" w:tentative="0">
      <w:start w:val="33"/>
      <w:numFmt w:val="decimal"/>
      <w:lvlText w:val="%1.2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1">
    <w:nsid w:val="7107724E"/>
    <w:multiLevelType w:val="multilevel"/>
    <w:tmpl w:val="7107724E"/>
    <w:lvl w:ilvl="0" w:tentative="0">
      <w:start w:val="27"/>
      <w:numFmt w:val="decimal"/>
      <w:lvlText w:val="%1.3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2">
    <w:nsid w:val="738573E8"/>
    <w:multiLevelType w:val="multilevel"/>
    <w:tmpl w:val="738573E8"/>
    <w:lvl w:ilvl="0" w:tentative="0">
      <w:start w:val="33"/>
      <w:numFmt w:val="decimal"/>
      <w:lvlText w:val="%1."/>
      <w:lvlJc w:val="left"/>
      <w:pPr>
        <w:ind w:left="420" w:hanging="420"/>
      </w:pPr>
      <w:rPr>
        <w:rFonts w:hint="eastAsia"/>
      </w:rPr>
    </w:lvl>
    <w:lvl w:ilvl="1" w:tentative="0">
      <w:start w:val="3"/>
      <w:numFmt w:val="decimal"/>
      <w:lvlText w:val="32. %2 "/>
      <w:lvlJc w:val="left"/>
      <w:pPr>
        <w:ind w:left="964" w:hanging="544"/>
      </w:pPr>
      <w:rPr>
        <w:rFonts w:hint="eastAsia"/>
      </w:rPr>
    </w:lvl>
    <w:lvl w:ilvl="2" w:tentative="0">
      <w:start w:val="23"/>
      <w:numFmt w:val="decimal"/>
      <w:lvlText w:val="%3.4 "/>
      <w:lvlJc w:val="left"/>
      <w:pPr>
        <w:ind w:left="1560" w:hanging="720"/>
      </w:pPr>
      <w:rPr>
        <w:rFonts w:hint="eastAsia"/>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73">
    <w:nsid w:val="73973D22"/>
    <w:multiLevelType w:val="multilevel"/>
    <w:tmpl w:val="73973D22"/>
    <w:lvl w:ilvl="0" w:tentative="0">
      <w:start w:val="1"/>
      <w:numFmt w:val="decimal"/>
      <w:lvlText w:val="34.1.%1"/>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abstractNum w:abstractNumId="74">
    <w:nsid w:val="740F3425"/>
    <w:multiLevelType w:val="multilevel"/>
    <w:tmpl w:val="740F3425"/>
    <w:lvl w:ilvl="0" w:tentative="0">
      <w:start w:val="30"/>
      <w:numFmt w:val="decimal"/>
      <w:lvlText w:val="%1.1 "/>
      <w:lvlJc w:val="left"/>
      <w:pPr>
        <w:ind w:left="964" w:hanging="544"/>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75">
    <w:nsid w:val="74AC8E91"/>
    <w:multiLevelType w:val="multilevel"/>
    <w:tmpl w:val="74AC8E91"/>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76">
    <w:nsid w:val="74EA7979"/>
    <w:multiLevelType w:val="multilevel"/>
    <w:tmpl w:val="74EA7979"/>
    <w:lvl w:ilvl="0" w:tentative="0">
      <w:start w:val="29"/>
      <w:numFmt w:val="decimal"/>
      <w:lvlText w:val="%1.2.8"/>
      <w:lvlJc w:val="left"/>
      <w:pPr>
        <w:ind w:left="1838" w:hanging="420"/>
      </w:pPr>
      <w:rPr>
        <w:rFonts w:hint="eastAsia"/>
      </w:rPr>
    </w:lvl>
    <w:lvl w:ilvl="1" w:tentative="0">
      <w:start w:val="1"/>
      <w:numFmt w:val="lowerLetter"/>
      <w:lvlText w:val="%2)"/>
      <w:lvlJc w:val="left"/>
      <w:pPr>
        <w:ind w:left="2258" w:hanging="420"/>
      </w:pPr>
    </w:lvl>
    <w:lvl w:ilvl="2" w:tentative="0">
      <w:start w:val="1"/>
      <w:numFmt w:val="lowerRoman"/>
      <w:lvlText w:val="%3."/>
      <w:lvlJc w:val="right"/>
      <w:pPr>
        <w:ind w:left="2678" w:hanging="420"/>
      </w:pPr>
    </w:lvl>
    <w:lvl w:ilvl="3" w:tentative="0">
      <w:start w:val="1"/>
      <w:numFmt w:val="decimal"/>
      <w:lvlText w:val="%4."/>
      <w:lvlJc w:val="left"/>
      <w:pPr>
        <w:ind w:left="3098" w:hanging="420"/>
      </w:pPr>
    </w:lvl>
    <w:lvl w:ilvl="4" w:tentative="0">
      <w:start w:val="1"/>
      <w:numFmt w:val="lowerLetter"/>
      <w:lvlText w:val="%5)"/>
      <w:lvlJc w:val="left"/>
      <w:pPr>
        <w:ind w:left="3518" w:hanging="420"/>
      </w:pPr>
    </w:lvl>
    <w:lvl w:ilvl="5" w:tentative="0">
      <w:start w:val="1"/>
      <w:numFmt w:val="lowerRoman"/>
      <w:lvlText w:val="%6."/>
      <w:lvlJc w:val="right"/>
      <w:pPr>
        <w:ind w:left="3938" w:hanging="420"/>
      </w:pPr>
    </w:lvl>
    <w:lvl w:ilvl="6" w:tentative="0">
      <w:start w:val="1"/>
      <w:numFmt w:val="decimal"/>
      <w:lvlText w:val="%7."/>
      <w:lvlJc w:val="left"/>
      <w:pPr>
        <w:ind w:left="4358" w:hanging="420"/>
      </w:pPr>
    </w:lvl>
    <w:lvl w:ilvl="7" w:tentative="0">
      <w:start w:val="1"/>
      <w:numFmt w:val="lowerLetter"/>
      <w:lvlText w:val="%8)"/>
      <w:lvlJc w:val="left"/>
      <w:pPr>
        <w:ind w:left="4778" w:hanging="420"/>
      </w:pPr>
    </w:lvl>
    <w:lvl w:ilvl="8" w:tentative="0">
      <w:start w:val="1"/>
      <w:numFmt w:val="lowerRoman"/>
      <w:lvlText w:val="%9."/>
      <w:lvlJc w:val="right"/>
      <w:pPr>
        <w:ind w:left="5198" w:hanging="420"/>
      </w:pPr>
    </w:lvl>
  </w:abstractNum>
  <w:abstractNum w:abstractNumId="77">
    <w:nsid w:val="75517D03"/>
    <w:multiLevelType w:val="multilevel"/>
    <w:tmpl w:val="75517D03"/>
    <w:lvl w:ilvl="0" w:tentative="0">
      <w:start w:val="27"/>
      <w:numFmt w:val="decimal"/>
      <w:lvlText w:val="%1."/>
      <w:lvlJc w:val="left"/>
      <w:pPr>
        <w:ind w:left="420" w:hanging="420"/>
      </w:pPr>
      <w:rPr>
        <w:rFonts w:hint="eastAsia"/>
      </w:rPr>
    </w:lvl>
    <w:lvl w:ilvl="1" w:tentative="0">
      <w:start w:val="1"/>
      <w:numFmt w:val="decimal"/>
      <w:lvlText w:val="25. %2 "/>
      <w:lvlJc w:val="left"/>
      <w:pPr>
        <w:ind w:left="964" w:hanging="544"/>
      </w:pPr>
      <w:rPr>
        <w:rFonts w:hint="eastAsia"/>
      </w:rPr>
    </w:lvl>
    <w:lvl w:ilvl="2" w:tentative="0">
      <w:start w:val="23"/>
      <w:numFmt w:val="decimal"/>
      <w:lvlText w:val="%3.4 "/>
      <w:lvlJc w:val="left"/>
      <w:pPr>
        <w:ind w:left="1560" w:hanging="720"/>
      </w:pPr>
      <w:rPr>
        <w:rFonts w:hint="eastAsia"/>
      </w:rPr>
    </w:lvl>
    <w:lvl w:ilvl="3" w:tentative="0">
      <w:start w:val="1"/>
      <w:numFmt w:val="decimal"/>
      <w:isLgl/>
      <w:lvlText w:val="%1.%2.%3.%4"/>
      <w:lvlJc w:val="left"/>
      <w:pPr>
        <w:ind w:left="2340" w:hanging="1080"/>
      </w:pPr>
      <w:rPr>
        <w:rFonts w:hint="default"/>
      </w:rPr>
    </w:lvl>
    <w:lvl w:ilvl="4" w:tentative="0">
      <w:start w:val="1"/>
      <w:numFmt w:val="decimal"/>
      <w:isLgl/>
      <w:lvlText w:val="%1.%2.%3.%4.%5"/>
      <w:lvlJc w:val="left"/>
      <w:pPr>
        <w:ind w:left="2760" w:hanging="1080"/>
      </w:pPr>
      <w:rPr>
        <w:rFonts w:hint="default"/>
      </w:rPr>
    </w:lvl>
    <w:lvl w:ilvl="5" w:tentative="0">
      <w:start w:val="1"/>
      <w:numFmt w:val="decimal"/>
      <w:isLgl/>
      <w:lvlText w:val="%1.%2.%3.%4.%5.%6"/>
      <w:lvlJc w:val="left"/>
      <w:pPr>
        <w:ind w:left="3540" w:hanging="1440"/>
      </w:pPr>
      <w:rPr>
        <w:rFonts w:hint="default"/>
      </w:rPr>
    </w:lvl>
    <w:lvl w:ilvl="6" w:tentative="0">
      <w:start w:val="1"/>
      <w:numFmt w:val="decimal"/>
      <w:isLgl/>
      <w:lvlText w:val="%1.%2.%3.%4.%5.%6.%7"/>
      <w:lvlJc w:val="left"/>
      <w:pPr>
        <w:ind w:left="3960" w:hanging="1440"/>
      </w:pPr>
      <w:rPr>
        <w:rFonts w:hint="default"/>
      </w:rPr>
    </w:lvl>
    <w:lvl w:ilvl="7" w:tentative="0">
      <w:start w:val="1"/>
      <w:numFmt w:val="decimal"/>
      <w:isLgl/>
      <w:lvlText w:val="%1.%2.%3.%4.%5.%6.%7.%8"/>
      <w:lvlJc w:val="left"/>
      <w:pPr>
        <w:ind w:left="4740" w:hanging="1800"/>
      </w:pPr>
      <w:rPr>
        <w:rFonts w:hint="default"/>
      </w:rPr>
    </w:lvl>
    <w:lvl w:ilvl="8" w:tentative="0">
      <w:start w:val="1"/>
      <w:numFmt w:val="decimal"/>
      <w:isLgl/>
      <w:lvlText w:val="%1.%2.%3.%4.%5.%6.%7.%8.%9"/>
      <w:lvlJc w:val="left"/>
      <w:pPr>
        <w:ind w:left="5160" w:hanging="1800"/>
      </w:pPr>
      <w:rPr>
        <w:rFonts w:hint="default"/>
      </w:rPr>
    </w:lvl>
  </w:abstractNum>
  <w:abstractNum w:abstractNumId="78">
    <w:nsid w:val="770A1C09"/>
    <w:multiLevelType w:val="multilevel"/>
    <w:tmpl w:val="770A1C09"/>
    <w:lvl w:ilvl="0" w:tentative="0">
      <w:start w:val="23"/>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9">
    <w:nsid w:val="78EC45A8"/>
    <w:multiLevelType w:val="multilevel"/>
    <w:tmpl w:val="78EC45A8"/>
    <w:lvl w:ilvl="0" w:tentative="0">
      <w:start w:val="41"/>
      <w:numFmt w:val="decimal"/>
      <w:lvlText w:val="%1"/>
      <w:lvlJc w:val="left"/>
      <w:pPr>
        <w:ind w:left="636" w:hanging="636"/>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1080" w:hanging="108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520" w:hanging="2520"/>
      </w:pPr>
      <w:rPr>
        <w:rFonts w:hint="default"/>
      </w:rPr>
    </w:lvl>
    <w:lvl w:ilvl="8" w:tentative="0">
      <w:start w:val="1"/>
      <w:numFmt w:val="decimal"/>
      <w:lvlText w:val="%1.%2.%3.%4.%5.%6.%7.%8.%9"/>
      <w:lvlJc w:val="left"/>
      <w:pPr>
        <w:ind w:left="2880" w:hanging="2880"/>
      </w:pPr>
      <w:rPr>
        <w:rFonts w:hint="default"/>
      </w:rPr>
    </w:lvl>
  </w:abstractNum>
  <w:abstractNum w:abstractNumId="80">
    <w:nsid w:val="7A2D5B57"/>
    <w:multiLevelType w:val="multilevel"/>
    <w:tmpl w:val="7A2D5B57"/>
    <w:lvl w:ilvl="0" w:tentative="0">
      <w:start w:val="32"/>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1">
    <w:nsid w:val="7AC632F0"/>
    <w:multiLevelType w:val="singleLevel"/>
    <w:tmpl w:val="7AC632F0"/>
    <w:lvl w:ilvl="0" w:tentative="0">
      <w:start w:val="1"/>
      <w:numFmt w:val="decimal"/>
      <w:suff w:val="nothing"/>
      <w:lvlText w:val="%1、"/>
      <w:lvlJc w:val="left"/>
    </w:lvl>
  </w:abstractNum>
  <w:abstractNum w:abstractNumId="82">
    <w:nsid w:val="7B3910BC"/>
    <w:multiLevelType w:val="multilevel"/>
    <w:tmpl w:val="7B3910BC"/>
    <w:lvl w:ilvl="0" w:tentative="0">
      <w:start w:val="12"/>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3">
    <w:nsid w:val="7E7C3341"/>
    <w:multiLevelType w:val="multilevel"/>
    <w:tmpl w:val="7E7C3341"/>
    <w:lvl w:ilvl="0" w:tentative="0">
      <w:start w:val="1"/>
      <w:numFmt w:val="decimal"/>
      <w:lvlText w:val="32.1.%1"/>
      <w:lvlJc w:val="left"/>
      <w:pPr>
        <w:ind w:left="1384" w:hanging="420"/>
      </w:pPr>
      <w:rPr>
        <w:rFonts w:hint="eastAsia"/>
      </w:rPr>
    </w:lvl>
    <w:lvl w:ilvl="1" w:tentative="0">
      <w:start w:val="1"/>
      <w:numFmt w:val="lowerLetter"/>
      <w:lvlText w:val="%2)"/>
      <w:lvlJc w:val="left"/>
      <w:pPr>
        <w:ind w:left="1804" w:hanging="420"/>
      </w:pPr>
    </w:lvl>
    <w:lvl w:ilvl="2" w:tentative="0">
      <w:start w:val="1"/>
      <w:numFmt w:val="lowerRoman"/>
      <w:lvlText w:val="%3."/>
      <w:lvlJc w:val="right"/>
      <w:pPr>
        <w:ind w:left="2224" w:hanging="420"/>
      </w:pPr>
    </w:lvl>
    <w:lvl w:ilvl="3" w:tentative="0">
      <w:start w:val="1"/>
      <w:numFmt w:val="decimal"/>
      <w:lvlText w:val="%4."/>
      <w:lvlJc w:val="left"/>
      <w:pPr>
        <w:ind w:left="2644" w:hanging="420"/>
      </w:pPr>
    </w:lvl>
    <w:lvl w:ilvl="4" w:tentative="0">
      <w:start w:val="1"/>
      <w:numFmt w:val="lowerLetter"/>
      <w:lvlText w:val="%5)"/>
      <w:lvlJc w:val="left"/>
      <w:pPr>
        <w:ind w:left="3064" w:hanging="420"/>
      </w:pPr>
    </w:lvl>
    <w:lvl w:ilvl="5" w:tentative="0">
      <w:start w:val="1"/>
      <w:numFmt w:val="lowerRoman"/>
      <w:lvlText w:val="%6."/>
      <w:lvlJc w:val="right"/>
      <w:pPr>
        <w:ind w:left="3484" w:hanging="420"/>
      </w:pPr>
    </w:lvl>
    <w:lvl w:ilvl="6" w:tentative="0">
      <w:start w:val="1"/>
      <w:numFmt w:val="decimal"/>
      <w:lvlText w:val="%7."/>
      <w:lvlJc w:val="left"/>
      <w:pPr>
        <w:ind w:left="3904" w:hanging="420"/>
      </w:pPr>
    </w:lvl>
    <w:lvl w:ilvl="7" w:tentative="0">
      <w:start w:val="1"/>
      <w:numFmt w:val="lowerLetter"/>
      <w:lvlText w:val="%8)"/>
      <w:lvlJc w:val="left"/>
      <w:pPr>
        <w:ind w:left="4324" w:hanging="420"/>
      </w:pPr>
    </w:lvl>
    <w:lvl w:ilvl="8" w:tentative="0">
      <w:start w:val="1"/>
      <w:numFmt w:val="lowerRoman"/>
      <w:lvlText w:val="%9."/>
      <w:lvlJc w:val="right"/>
      <w:pPr>
        <w:ind w:left="4744" w:hanging="420"/>
      </w:pPr>
    </w:lvl>
  </w:abstractNum>
  <w:num w:numId="1">
    <w:abstractNumId w:val="5"/>
  </w:num>
  <w:num w:numId="2">
    <w:abstractNumId w:val="6"/>
  </w:num>
  <w:num w:numId="3">
    <w:abstractNumId w:val="52"/>
  </w:num>
  <w:num w:numId="4">
    <w:abstractNumId w:val="47"/>
  </w:num>
  <w:num w:numId="5">
    <w:abstractNumId w:val="75"/>
  </w:num>
  <w:num w:numId="6">
    <w:abstractNumId w:val="28"/>
  </w:num>
  <w:num w:numId="7">
    <w:abstractNumId w:val="1"/>
  </w:num>
  <w:num w:numId="8">
    <w:abstractNumId w:val="0"/>
  </w:num>
  <w:num w:numId="9">
    <w:abstractNumId w:val="2"/>
  </w:num>
  <w:num w:numId="10">
    <w:abstractNumId w:val="4"/>
  </w:num>
  <w:num w:numId="11">
    <w:abstractNumId w:val="36"/>
  </w:num>
  <w:num w:numId="12">
    <w:abstractNumId w:val="7"/>
  </w:num>
  <w:num w:numId="13">
    <w:abstractNumId w:val="30"/>
  </w:num>
  <w:num w:numId="14">
    <w:abstractNumId w:val="66"/>
  </w:num>
  <w:num w:numId="15">
    <w:abstractNumId w:val="37"/>
  </w:num>
  <w:num w:numId="16">
    <w:abstractNumId w:val="39"/>
  </w:num>
  <w:num w:numId="17">
    <w:abstractNumId w:val="61"/>
  </w:num>
  <w:num w:numId="18">
    <w:abstractNumId w:val="21"/>
  </w:num>
  <w:num w:numId="19">
    <w:abstractNumId w:val="23"/>
  </w:num>
  <w:num w:numId="20">
    <w:abstractNumId w:val="82"/>
  </w:num>
  <w:num w:numId="21">
    <w:abstractNumId w:val="58"/>
  </w:num>
  <w:num w:numId="22">
    <w:abstractNumId w:val="78"/>
  </w:num>
  <w:num w:numId="23">
    <w:abstractNumId w:val="14"/>
  </w:num>
  <w:num w:numId="24">
    <w:abstractNumId w:val="16"/>
  </w:num>
  <w:num w:numId="25">
    <w:abstractNumId w:val="56"/>
  </w:num>
  <w:num w:numId="26">
    <w:abstractNumId w:val="34"/>
  </w:num>
  <w:num w:numId="27">
    <w:abstractNumId w:val="53"/>
  </w:num>
  <w:num w:numId="28">
    <w:abstractNumId w:val="65"/>
  </w:num>
  <w:num w:numId="29">
    <w:abstractNumId w:val="42"/>
  </w:num>
  <w:num w:numId="30">
    <w:abstractNumId w:val="35"/>
  </w:num>
  <w:num w:numId="31">
    <w:abstractNumId w:val="11"/>
  </w:num>
  <w:num w:numId="32">
    <w:abstractNumId w:val="26"/>
  </w:num>
  <w:num w:numId="33">
    <w:abstractNumId w:val="25"/>
  </w:num>
  <w:num w:numId="34">
    <w:abstractNumId w:val="77"/>
  </w:num>
  <w:num w:numId="35">
    <w:abstractNumId w:val="67"/>
  </w:num>
  <w:num w:numId="36">
    <w:abstractNumId w:val="60"/>
  </w:num>
  <w:num w:numId="37">
    <w:abstractNumId w:val="71"/>
  </w:num>
  <w:num w:numId="38">
    <w:abstractNumId w:val="49"/>
  </w:num>
  <w:num w:numId="39">
    <w:abstractNumId w:val="17"/>
  </w:num>
  <w:num w:numId="40">
    <w:abstractNumId w:val="29"/>
  </w:num>
  <w:num w:numId="41">
    <w:abstractNumId w:val="62"/>
  </w:num>
  <w:num w:numId="42">
    <w:abstractNumId w:val="40"/>
  </w:num>
  <w:num w:numId="43">
    <w:abstractNumId w:val="48"/>
  </w:num>
  <w:num w:numId="44">
    <w:abstractNumId w:val="69"/>
  </w:num>
  <w:num w:numId="45">
    <w:abstractNumId w:val="55"/>
  </w:num>
  <w:num w:numId="46">
    <w:abstractNumId w:val="41"/>
  </w:num>
  <w:num w:numId="47">
    <w:abstractNumId w:val="31"/>
  </w:num>
  <w:num w:numId="48">
    <w:abstractNumId w:val="32"/>
  </w:num>
  <w:num w:numId="49">
    <w:abstractNumId w:val="76"/>
  </w:num>
  <w:num w:numId="50">
    <w:abstractNumId w:val="33"/>
  </w:num>
  <w:num w:numId="51">
    <w:abstractNumId w:val="27"/>
  </w:num>
  <w:num w:numId="52">
    <w:abstractNumId w:val="15"/>
  </w:num>
  <w:num w:numId="53">
    <w:abstractNumId w:val="51"/>
  </w:num>
  <w:num w:numId="54">
    <w:abstractNumId w:val="46"/>
  </w:num>
  <w:num w:numId="55">
    <w:abstractNumId w:val="10"/>
  </w:num>
  <w:num w:numId="56">
    <w:abstractNumId w:val="12"/>
  </w:num>
  <w:num w:numId="57">
    <w:abstractNumId w:val="22"/>
  </w:num>
  <w:num w:numId="58">
    <w:abstractNumId w:val="59"/>
  </w:num>
  <w:num w:numId="59">
    <w:abstractNumId w:val="50"/>
  </w:num>
  <w:num w:numId="60">
    <w:abstractNumId w:val="74"/>
  </w:num>
  <w:num w:numId="61">
    <w:abstractNumId w:val="44"/>
  </w:num>
  <w:num w:numId="62">
    <w:abstractNumId w:val="80"/>
  </w:num>
  <w:num w:numId="63">
    <w:abstractNumId w:val="83"/>
  </w:num>
  <w:num w:numId="64">
    <w:abstractNumId w:val="24"/>
  </w:num>
  <w:num w:numId="65">
    <w:abstractNumId w:val="18"/>
  </w:num>
  <w:num w:numId="66">
    <w:abstractNumId w:val="45"/>
  </w:num>
  <w:num w:numId="67">
    <w:abstractNumId w:val="72"/>
  </w:num>
  <w:num w:numId="68">
    <w:abstractNumId w:val="70"/>
  </w:num>
  <w:num w:numId="69">
    <w:abstractNumId w:val="57"/>
  </w:num>
  <w:num w:numId="70">
    <w:abstractNumId w:val="9"/>
  </w:num>
  <w:num w:numId="71">
    <w:abstractNumId w:val="73"/>
  </w:num>
  <w:num w:numId="72">
    <w:abstractNumId w:val="8"/>
  </w:num>
  <w:num w:numId="73">
    <w:abstractNumId w:val="20"/>
  </w:num>
  <w:num w:numId="74">
    <w:abstractNumId w:val="54"/>
  </w:num>
  <w:num w:numId="75">
    <w:abstractNumId w:val="19"/>
  </w:num>
  <w:num w:numId="76">
    <w:abstractNumId w:val="64"/>
  </w:num>
  <w:num w:numId="77">
    <w:abstractNumId w:val="13"/>
  </w:num>
  <w:num w:numId="78">
    <w:abstractNumId w:val="63"/>
  </w:num>
  <w:num w:numId="79">
    <w:abstractNumId w:val="38"/>
  </w:num>
  <w:num w:numId="80">
    <w:abstractNumId w:val="43"/>
  </w:num>
  <w:num w:numId="81">
    <w:abstractNumId w:val="79"/>
  </w:num>
  <w:num w:numId="82">
    <w:abstractNumId w:val="3"/>
  </w:num>
  <w:num w:numId="83">
    <w:abstractNumId w:val="68"/>
  </w:num>
  <w:num w:numId="84">
    <w:abstractNumId w:val="8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IzODExMWRmOTU4YTJkNDYyMTQwMDZkZjczZDgyYTIifQ=="/>
  </w:docVars>
  <w:rsids>
    <w:rsidRoot w:val="00A955C2"/>
    <w:rsid w:val="000019B0"/>
    <w:rsid w:val="00005193"/>
    <w:rsid w:val="00005E59"/>
    <w:rsid w:val="000067F7"/>
    <w:rsid w:val="0000762E"/>
    <w:rsid w:val="0001005B"/>
    <w:rsid w:val="0001503A"/>
    <w:rsid w:val="00021B1B"/>
    <w:rsid w:val="0002390B"/>
    <w:rsid w:val="0002486A"/>
    <w:rsid w:val="00030573"/>
    <w:rsid w:val="00031724"/>
    <w:rsid w:val="0003316E"/>
    <w:rsid w:val="00043C89"/>
    <w:rsid w:val="0004704B"/>
    <w:rsid w:val="00055F76"/>
    <w:rsid w:val="00062865"/>
    <w:rsid w:val="00066DB8"/>
    <w:rsid w:val="000719E0"/>
    <w:rsid w:val="00074CFC"/>
    <w:rsid w:val="00082BFE"/>
    <w:rsid w:val="000852C0"/>
    <w:rsid w:val="00085367"/>
    <w:rsid w:val="00085B7C"/>
    <w:rsid w:val="00091AA2"/>
    <w:rsid w:val="00093DD4"/>
    <w:rsid w:val="00097B58"/>
    <w:rsid w:val="000A0F2A"/>
    <w:rsid w:val="000A655B"/>
    <w:rsid w:val="000A7BA4"/>
    <w:rsid w:val="000B06C8"/>
    <w:rsid w:val="000B458E"/>
    <w:rsid w:val="000B5488"/>
    <w:rsid w:val="000C0B7C"/>
    <w:rsid w:val="000C0D09"/>
    <w:rsid w:val="000C4635"/>
    <w:rsid w:val="000C6642"/>
    <w:rsid w:val="000D701D"/>
    <w:rsid w:val="000E20C1"/>
    <w:rsid w:val="000E2BB7"/>
    <w:rsid w:val="000F5F2C"/>
    <w:rsid w:val="00101197"/>
    <w:rsid w:val="00110323"/>
    <w:rsid w:val="0011064D"/>
    <w:rsid w:val="00110776"/>
    <w:rsid w:val="001121A8"/>
    <w:rsid w:val="001210D8"/>
    <w:rsid w:val="001219A0"/>
    <w:rsid w:val="001223FF"/>
    <w:rsid w:val="001260AF"/>
    <w:rsid w:val="001261BA"/>
    <w:rsid w:val="0013339A"/>
    <w:rsid w:val="00135915"/>
    <w:rsid w:val="0013773C"/>
    <w:rsid w:val="00140D4A"/>
    <w:rsid w:val="00142362"/>
    <w:rsid w:val="0014473A"/>
    <w:rsid w:val="00145BEE"/>
    <w:rsid w:val="0014672D"/>
    <w:rsid w:val="00151967"/>
    <w:rsid w:val="001527C8"/>
    <w:rsid w:val="0015641F"/>
    <w:rsid w:val="00157527"/>
    <w:rsid w:val="00161B9E"/>
    <w:rsid w:val="001671D4"/>
    <w:rsid w:val="0017088D"/>
    <w:rsid w:val="00174765"/>
    <w:rsid w:val="00174D32"/>
    <w:rsid w:val="00181F92"/>
    <w:rsid w:val="00186162"/>
    <w:rsid w:val="001877B3"/>
    <w:rsid w:val="001A6450"/>
    <w:rsid w:val="001B0BC8"/>
    <w:rsid w:val="001B5936"/>
    <w:rsid w:val="001C04A6"/>
    <w:rsid w:val="001C5D9B"/>
    <w:rsid w:val="001D0D47"/>
    <w:rsid w:val="001D46C6"/>
    <w:rsid w:val="001D7FE9"/>
    <w:rsid w:val="001E1827"/>
    <w:rsid w:val="001E1D52"/>
    <w:rsid w:val="001E7FF7"/>
    <w:rsid w:val="001F5CCE"/>
    <w:rsid w:val="001F5EC9"/>
    <w:rsid w:val="001F6B5B"/>
    <w:rsid w:val="001F6E0E"/>
    <w:rsid w:val="00200EE5"/>
    <w:rsid w:val="002018B1"/>
    <w:rsid w:val="002077DC"/>
    <w:rsid w:val="00221033"/>
    <w:rsid w:val="00225A91"/>
    <w:rsid w:val="00245D09"/>
    <w:rsid w:val="00247A03"/>
    <w:rsid w:val="00250347"/>
    <w:rsid w:val="0026329F"/>
    <w:rsid w:val="00266FE0"/>
    <w:rsid w:val="00271421"/>
    <w:rsid w:val="00275783"/>
    <w:rsid w:val="00284E4F"/>
    <w:rsid w:val="00291601"/>
    <w:rsid w:val="002923A5"/>
    <w:rsid w:val="00296423"/>
    <w:rsid w:val="002A5022"/>
    <w:rsid w:val="002A57A5"/>
    <w:rsid w:val="002A69C8"/>
    <w:rsid w:val="002A7086"/>
    <w:rsid w:val="002A7DE8"/>
    <w:rsid w:val="002B2DC3"/>
    <w:rsid w:val="002B343D"/>
    <w:rsid w:val="002B4184"/>
    <w:rsid w:val="002B43F5"/>
    <w:rsid w:val="002B4562"/>
    <w:rsid w:val="002B4FE5"/>
    <w:rsid w:val="002B57DB"/>
    <w:rsid w:val="002B613D"/>
    <w:rsid w:val="002C1F51"/>
    <w:rsid w:val="002C3BA9"/>
    <w:rsid w:val="002D22A0"/>
    <w:rsid w:val="002D63DB"/>
    <w:rsid w:val="002F2477"/>
    <w:rsid w:val="002F37A8"/>
    <w:rsid w:val="002F6D86"/>
    <w:rsid w:val="002F7B53"/>
    <w:rsid w:val="0031334E"/>
    <w:rsid w:val="0031558C"/>
    <w:rsid w:val="00317E88"/>
    <w:rsid w:val="0032262D"/>
    <w:rsid w:val="00322BFC"/>
    <w:rsid w:val="00325FC8"/>
    <w:rsid w:val="00331A67"/>
    <w:rsid w:val="00335F02"/>
    <w:rsid w:val="00341412"/>
    <w:rsid w:val="00343DC3"/>
    <w:rsid w:val="003450BD"/>
    <w:rsid w:val="0035062D"/>
    <w:rsid w:val="003515AF"/>
    <w:rsid w:val="00352FD2"/>
    <w:rsid w:val="00353E56"/>
    <w:rsid w:val="00354107"/>
    <w:rsid w:val="00360063"/>
    <w:rsid w:val="00360D45"/>
    <w:rsid w:val="003615F3"/>
    <w:rsid w:val="003740C8"/>
    <w:rsid w:val="0037479D"/>
    <w:rsid w:val="00374DEC"/>
    <w:rsid w:val="003762C5"/>
    <w:rsid w:val="003812E1"/>
    <w:rsid w:val="00384F93"/>
    <w:rsid w:val="00386ECD"/>
    <w:rsid w:val="00391455"/>
    <w:rsid w:val="00392509"/>
    <w:rsid w:val="00396B78"/>
    <w:rsid w:val="003A0781"/>
    <w:rsid w:val="003A2250"/>
    <w:rsid w:val="003B0849"/>
    <w:rsid w:val="003B0E5A"/>
    <w:rsid w:val="003B27D3"/>
    <w:rsid w:val="003C25D6"/>
    <w:rsid w:val="003C265B"/>
    <w:rsid w:val="003C2D4C"/>
    <w:rsid w:val="003C5E63"/>
    <w:rsid w:val="003D3029"/>
    <w:rsid w:val="003D5B97"/>
    <w:rsid w:val="003D5E5D"/>
    <w:rsid w:val="003D6558"/>
    <w:rsid w:val="003D7355"/>
    <w:rsid w:val="003E2203"/>
    <w:rsid w:val="003E25B5"/>
    <w:rsid w:val="003E2CF4"/>
    <w:rsid w:val="003E2F38"/>
    <w:rsid w:val="003F01D8"/>
    <w:rsid w:val="003F42FB"/>
    <w:rsid w:val="004008FC"/>
    <w:rsid w:val="00401D49"/>
    <w:rsid w:val="004125C6"/>
    <w:rsid w:val="004142BC"/>
    <w:rsid w:val="004173DF"/>
    <w:rsid w:val="00417AE4"/>
    <w:rsid w:val="00425C55"/>
    <w:rsid w:val="0042623D"/>
    <w:rsid w:val="0042623E"/>
    <w:rsid w:val="004355F3"/>
    <w:rsid w:val="00437178"/>
    <w:rsid w:val="00437274"/>
    <w:rsid w:val="0044631B"/>
    <w:rsid w:val="00450C3C"/>
    <w:rsid w:val="00452029"/>
    <w:rsid w:val="00454B3A"/>
    <w:rsid w:val="004562A8"/>
    <w:rsid w:val="00456522"/>
    <w:rsid w:val="00456809"/>
    <w:rsid w:val="00463817"/>
    <w:rsid w:val="0046559B"/>
    <w:rsid w:val="00470B31"/>
    <w:rsid w:val="00470F5A"/>
    <w:rsid w:val="00475CC1"/>
    <w:rsid w:val="004763F8"/>
    <w:rsid w:val="00476A53"/>
    <w:rsid w:val="0048657D"/>
    <w:rsid w:val="00490D74"/>
    <w:rsid w:val="00494638"/>
    <w:rsid w:val="00497576"/>
    <w:rsid w:val="004A72BC"/>
    <w:rsid w:val="004B031B"/>
    <w:rsid w:val="004B1433"/>
    <w:rsid w:val="004B2614"/>
    <w:rsid w:val="004B2E5A"/>
    <w:rsid w:val="004B668E"/>
    <w:rsid w:val="004C07D4"/>
    <w:rsid w:val="004C47BF"/>
    <w:rsid w:val="004E016E"/>
    <w:rsid w:val="004E1676"/>
    <w:rsid w:val="004E4818"/>
    <w:rsid w:val="004F4B43"/>
    <w:rsid w:val="004F5402"/>
    <w:rsid w:val="004F6C06"/>
    <w:rsid w:val="004F742E"/>
    <w:rsid w:val="00507941"/>
    <w:rsid w:val="005102AE"/>
    <w:rsid w:val="00510F11"/>
    <w:rsid w:val="00511C69"/>
    <w:rsid w:val="005136C2"/>
    <w:rsid w:val="00515ACF"/>
    <w:rsid w:val="00515DCF"/>
    <w:rsid w:val="00521550"/>
    <w:rsid w:val="00523A81"/>
    <w:rsid w:val="00526728"/>
    <w:rsid w:val="00534A62"/>
    <w:rsid w:val="00537BC1"/>
    <w:rsid w:val="00541303"/>
    <w:rsid w:val="005456D2"/>
    <w:rsid w:val="00550C25"/>
    <w:rsid w:val="00550D34"/>
    <w:rsid w:val="005512A0"/>
    <w:rsid w:val="00554703"/>
    <w:rsid w:val="005573BE"/>
    <w:rsid w:val="00557D15"/>
    <w:rsid w:val="0056006B"/>
    <w:rsid w:val="00562851"/>
    <w:rsid w:val="00562D37"/>
    <w:rsid w:val="005645FA"/>
    <w:rsid w:val="00564C20"/>
    <w:rsid w:val="00566A68"/>
    <w:rsid w:val="0057154E"/>
    <w:rsid w:val="00574B52"/>
    <w:rsid w:val="00576EE5"/>
    <w:rsid w:val="00584191"/>
    <w:rsid w:val="00585C77"/>
    <w:rsid w:val="00585F73"/>
    <w:rsid w:val="00591FE9"/>
    <w:rsid w:val="00594D22"/>
    <w:rsid w:val="00595024"/>
    <w:rsid w:val="005A3BD5"/>
    <w:rsid w:val="005A7DA9"/>
    <w:rsid w:val="005B0ECE"/>
    <w:rsid w:val="005B5AEE"/>
    <w:rsid w:val="005B5E55"/>
    <w:rsid w:val="005B70AD"/>
    <w:rsid w:val="005C36BF"/>
    <w:rsid w:val="005C5A33"/>
    <w:rsid w:val="005D02C8"/>
    <w:rsid w:val="005D51FF"/>
    <w:rsid w:val="005E140E"/>
    <w:rsid w:val="005E2EB4"/>
    <w:rsid w:val="005F00E9"/>
    <w:rsid w:val="005F20B0"/>
    <w:rsid w:val="00600B9B"/>
    <w:rsid w:val="00607496"/>
    <w:rsid w:val="00607DE3"/>
    <w:rsid w:val="006103BD"/>
    <w:rsid w:val="006135EE"/>
    <w:rsid w:val="0061419A"/>
    <w:rsid w:val="00616F06"/>
    <w:rsid w:val="006170AE"/>
    <w:rsid w:val="0062412C"/>
    <w:rsid w:val="00631508"/>
    <w:rsid w:val="006325E6"/>
    <w:rsid w:val="00636AAD"/>
    <w:rsid w:val="006377E5"/>
    <w:rsid w:val="0064000F"/>
    <w:rsid w:val="00644568"/>
    <w:rsid w:val="00644E64"/>
    <w:rsid w:val="0064732B"/>
    <w:rsid w:val="00660EF4"/>
    <w:rsid w:val="006705D1"/>
    <w:rsid w:val="00671B08"/>
    <w:rsid w:val="006720EC"/>
    <w:rsid w:val="00672146"/>
    <w:rsid w:val="00681D6E"/>
    <w:rsid w:val="0068257C"/>
    <w:rsid w:val="00683E55"/>
    <w:rsid w:val="00686DB4"/>
    <w:rsid w:val="00691AB0"/>
    <w:rsid w:val="00692008"/>
    <w:rsid w:val="0069744B"/>
    <w:rsid w:val="006A79FB"/>
    <w:rsid w:val="006B42F0"/>
    <w:rsid w:val="006C247C"/>
    <w:rsid w:val="006C690F"/>
    <w:rsid w:val="006C79FF"/>
    <w:rsid w:val="006D0CB8"/>
    <w:rsid w:val="006D32E9"/>
    <w:rsid w:val="006D513D"/>
    <w:rsid w:val="006D7D4D"/>
    <w:rsid w:val="006E005D"/>
    <w:rsid w:val="006E2152"/>
    <w:rsid w:val="006E2316"/>
    <w:rsid w:val="006E2D88"/>
    <w:rsid w:val="006E31FA"/>
    <w:rsid w:val="006E7815"/>
    <w:rsid w:val="006F2CA9"/>
    <w:rsid w:val="006F63BF"/>
    <w:rsid w:val="006F6CD9"/>
    <w:rsid w:val="006F7BEE"/>
    <w:rsid w:val="00700D60"/>
    <w:rsid w:val="007020DA"/>
    <w:rsid w:val="0070414D"/>
    <w:rsid w:val="007060F2"/>
    <w:rsid w:val="00715FDF"/>
    <w:rsid w:val="00720A57"/>
    <w:rsid w:val="00721C78"/>
    <w:rsid w:val="00723357"/>
    <w:rsid w:val="007302C5"/>
    <w:rsid w:val="00737AFE"/>
    <w:rsid w:val="00737F38"/>
    <w:rsid w:val="0074067C"/>
    <w:rsid w:val="00746CEA"/>
    <w:rsid w:val="00747F48"/>
    <w:rsid w:val="00751E61"/>
    <w:rsid w:val="00752B8A"/>
    <w:rsid w:val="007553FB"/>
    <w:rsid w:val="00765AF2"/>
    <w:rsid w:val="00771828"/>
    <w:rsid w:val="0077284D"/>
    <w:rsid w:val="0077324A"/>
    <w:rsid w:val="007819DB"/>
    <w:rsid w:val="00786062"/>
    <w:rsid w:val="0078628A"/>
    <w:rsid w:val="00791C13"/>
    <w:rsid w:val="007944B5"/>
    <w:rsid w:val="007A1004"/>
    <w:rsid w:val="007A14CC"/>
    <w:rsid w:val="007A4D71"/>
    <w:rsid w:val="007B1F5A"/>
    <w:rsid w:val="007C58F6"/>
    <w:rsid w:val="007C5BA1"/>
    <w:rsid w:val="007F2012"/>
    <w:rsid w:val="007F2A1A"/>
    <w:rsid w:val="007F7E58"/>
    <w:rsid w:val="008003B1"/>
    <w:rsid w:val="00800F3D"/>
    <w:rsid w:val="00803EFE"/>
    <w:rsid w:val="0080419B"/>
    <w:rsid w:val="0080744C"/>
    <w:rsid w:val="0081197D"/>
    <w:rsid w:val="0082078C"/>
    <w:rsid w:val="00821D24"/>
    <w:rsid w:val="00825076"/>
    <w:rsid w:val="00830B83"/>
    <w:rsid w:val="0084292F"/>
    <w:rsid w:val="008442F5"/>
    <w:rsid w:val="00844425"/>
    <w:rsid w:val="00844CFF"/>
    <w:rsid w:val="008479C6"/>
    <w:rsid w:val="00850406"/>
    <w:rsid w:val="00850B17"/>
    <w:rsid w:val="00852B8D"/>
    <w:rsid w:val="00853F01"/>
    <w:rsid w:val="00857EF3"/>
    <w:rsid w:val="00870428"/>
    <w:rsid w:val="00874F3C"/>
    <w:rsid w:val="00876267"/>
    <w:rsid w:val="00880A98"/>
    <w:rsid w:val="00886347"/>
    <w:rsid w:val="00891ADA"/>
    <w:rsid w:val="008954C1"/>
    <w:rsid w:val="00896781"/>
    <w:rsid w:val="008B2536"/>
    <w:rsid w:val="008B30ED"/>
    <w:rsid w:val="008B4873"/>
    <w:rsid w:val="008C1FC2"/>
    <w:rsid w:val="008C45D9"/>
    <w:rsid w:val="008C70F7"/>
    <w:rsid w:val="008D15FD"/>
    <w:rsid w:val="008D1B3F"/>
    <w:rsid w:val="008D6FD5"/>
    <w:rsid w:val="008E1B72"/>
    <w:rsid w:val="008E22B0"/>
    <w:rsid w:val="008E65D4"/>
    <w:rsid w:val="008F0514"/>
    <w:rsid w:val="009044FC"/>
    <w:rsid w:val="00905274"/>
    <w:rsid w:val="00911F61"/>
    <w:rsid w:val="009145B3"/>
    <w:rsid w:val="00914B9F"/>
    <w:rsid w:val="00921EED"/>
    <w:rsid w:val="0092644B"/>
    <w:rsid w:val="009270C9"/>
    <w:rsid w:val="009336FD"/>
    <w:rsid w:val="00933ECF"/>
    <w:rsid w:val="00934E0C"/>
    <w:rsid w:val="00940491"/>
    <w:rsid w:val="009420E0"/>
    <w:rsid w:val="009444BC"/>
    <w:rsid w:val="009529DE"/>
    <w:rsid w:val="00952F7A"/>
    <w:rsid w:val="0095307E"/>
    <w:rsid w:val="00954850"/>
    <w:rsid w:val="00956E92"/>
    <w:rsid w:val="00960ED5"/>
    <w:rsid w:val="00971122"/>
    <w:rsid w:val="009754D6"/>
    <w:rsid w:val="00980981"/>
    <w:rsid w:val="00981F2E"/>
    <w:rsid w:val="00985DC8"/>
    <w:rsid w:val="00986F47"/>
    <w:rsid w:val="0098731E"/>
    <w:rsid w:val="009A0911"/>
    <w:rsid w:val="009A1993"/>
    <w:rsid w:val="009B1A9B"/>
    <w:rsid w:val="009B5542"/>
    <w:rsid w:val="009C12AB"/>
    <w:rsid w:val="009C4547"/>
    <w:rsid w:val="009C7334"/>
    <w:rsid w:val="009D52B9"/>
    <w:rsid w:val="009D5989"/>
    <w:rsid w:val="009D7E32"/>
    <w:rsid w:val="009E082E"/>
    <w:rsid w:val="009E5DAD"/>
    <w:rsid w:val="009E66B0"/>
    <w:rsid w:val="009F285D"/>
    <w:rsid w:val="009F384B"/>
    <w:rsid w:val="009F56D9"/>
    <w:rsid w:val="00A01093"/>
    <w:rsid w:val="00A02702"/>
    <w:rsid w:val="00A05F45"/>
    <w:rsid w:val="00A06138"/>
    <w:rsid w:val="00A1315B"/>
    <w:rsid w:val="00A158BB"/>
    <w:rsid w:val="00A15E63"/>
    <w:rsid w:val="00A313C6"/>
    <w:rsid w:val="00A3153E"/>
    <w:rsid w:val="00A33115"/>
    <w:rsid w:val="00A36A7A"/>
    <w:rsid w:val="00A372D4"/>
    <w:rsid w:val="00A40BF0"/>
    <w:rsid w:val="00A46AAB"/>
    <w:rsid w:val="00A47CBC"/>
    <w:rsid w:val="00A5355D"/>
    <w:rsid w:val="00A571EA"/>
    <w:rsid w:val="00A57BCC"/>
    <w:rsid w:val="00A613AB"/>
    <w:rsid w:val="00A62E96"/>
    <w:rsid w:val="00A67370"/>
    <w:rsid w:val="00A7155C"/>
    <w:rsid w:val="00A75BE8"/>
    <w:rsid w:val="00A768D5"/>
    <w:rsid w:val="00A819A9"/>
    <w:rsid w:val="00A84AFE"/>
    <w:rsid w:val="00A9198F"/>
    <w:rsid w:val="00A955C2"/>
    <w:rsid w:val="00A95716"/>
    <w:rsid w:val="00A959A8"/>
    <w:rsid w:val="00AA18C8"/>
    <w:rsid w:val="00AA1DDA"/>
    <w:rsid w:val="00AA5D85"/>
    <w:rsid w:val="00AA6DE7"/>
    <w:rsid w:val="00AB1340"/>
    <w:rsid w:val="00AB1BE5"/>
    <w:rsid w:val="00AB284A"/>
    <w:rsid w:val="00AB64A7"/>
    <w:rsid w:val="00AC0EE8"/>
    <w:rsid w:val="00AC4291"/>
    <w:rsid w:val="00AC768D"/>
    <w:rsid w:val="00AD0F7D"/>
    <w:rsid w:val="00AD546E"/>
    <w:rsid w:val="00AF5E4C"/>
    <w:rsid w:val="00AF608C"/>
    <w:rsid w:val="00AF6D55"/>
    <w:rsid w:val="00B001C6"/>
    <w:rsid w:val="00B04987"/>
    <w:rsid w:val="00B1187E"/>
    <w:rsid w:val="00B1733D"/>
    <w:rsid w:val="00B20DF7"/>
    <w:rsid w:val="00B33085"/>
    <w:rsid w:val="00B37B6C"/>
    <w:rsid w:val="00B4349C"/>
    <w:rsid w:val="00B46D1A"/>
    <w:rsid w:val="00B50A76"/>
    <w:rsid w:val="00B537BD"/>
    <w:rsid w:val="00B54F8C"/>
    <w:rsid w:val="00B61B65"/>
    <w:rsid w:val="00B63AB7"/>
    <w:rsid w:val="00B6576E"/>
    <w:rsid w:val="00B6669E"/>
    <w:rsid w:val="00B75774"/>
    <w:rsid w:val="00B76A87"/>
    <w:rsid w:val="00B82013"/>
    <w:rsid w:val="00B84765"/>
    <w:rsid w:val="00B85C40"/>
    <w:rsid w:val="00B9068C"/>
    <w:rsid w:val="00B91A5A"/>
    <w:rsid w:val="00BA1A55"/>
    <w:rsid w:val="00BA1D6A"/>
    <w:rsid w:val="00BA3AD8"/>
    <w:rsid w:val="00BA3C25"/>
    <w:rsid w:val="00BB218F"/>
    <w:rsid w:val="00BC3757"/>
    <w:rsid w:val="00BD6B08"/>
    <w:rsid w:val="00BD7DDB"/>
    <w:rsid w:val="00BE0E94"/>
    <w:rsid w:val="00BE1238"/>
    <w:rsid w:val="00BE347F"/>
    <w:rsid w:val="00BE7BF7"/>
    <w:rsid w:val="00BF1EA5"/>
    <w:rsid w:val="00BF4170"/>
    <w:rsid w:val="00BF68B0"/>
    <w:rsid w:val="00C00A53"/>
    <w:rsid w:val="00C0331F"/>
    <w:rsid w:val="00C041E1"/>
    <w:rsid w:val="00C06F62"/>
    <w:rsid w:val="00C10587"/>
    <w:rsid w:val="00C118FD"/>
    <w:rsid w:val="00C248C6"/>
    <w:rsid w:val="00C327E0"/>
    <w:rsid w:val="00C3322C"/>
    <w:rsid w:val="00C355B6"/>
    <w:rsid w:val="00C36D8D"/>
    <w:rsid w:val="00C37638"/>
    <w:rsid w:val="00C40A71"/>
    <w:rsid w:val="00C47970"/>
    <w:rsid w:val="00C52377"/>
    <w:rsid w:val="00C53C98"/>
    <w:rsid w:val="00C64E51"/>
    <w:rsid w:val="00C656E1"/>
    <w:rsid w:val="00C67512"/>
    <w:rsid w:val="00C83E60"/>
    <w:rsid w:val="00C87C62"/>
    <w:rsid w:val="00C90864"/>
    <w:rsid w:val="00C90CE6"/>
    <w:rsid w:val="00C9179D"/>
    <w:rsid w:val="00C93FA4"/>
    <w:rsid w:val="00C95B81"/>
    <w:rsid w:val="00C9605A"/>
    <w:rsid w:val="00CA3092"/>
    <w:rsid w:val="00CA6C5D"/>
    <w:rsid w:val="00CB07CB"/>
    <w:rsid w:val="00CB486E"/>
    <w:rsid w:val="00CC10CA"/>
    <w:rsid w:val="00CC65A1"/>
    <w:rsid w:val="00CD01AA"/>
    <w:rsid w:val="00CD5897"/>
    <w:rsid w:val="00CE268B"/>
    <w:rsid w:val="00CE3274"/>
    <w:rsid w:val="00CE4CAB"/>
    <w:rsid w:val="00CE6F0C"/>
    <w:rsid w:val="00CF186C"/>
    <w:rsid w:val="00D000F5"/>
    <w:rsid w:val="00D033EF"/>
    <w:rsid w:val="00D07DAD"/>
    <w:rsid w:val="00D07F6E"/>
    <w:rsid w:val="00D12130"/>
    <w:rsid w:val="00D24F6E"/>
    <w:rsid w:val="00D25406"/>
    <w:rsid w:val="00D2620D"/>
    <w:rsid w:val="00D27188"/>
    <w:rsid w:val="00D401AD"/>
    <w:rsid w:val="00D45EBD"/>
    <w:rsid w:val="00D60EA7"/>
    <w:rsid w:val="00D77F59"/>
    <w:rsid w:val="00D82A24"/>
    <w:rsid w:val="00D837B0"/>
    <w:rsid w:val="00D849E9"/>
    <w:rsid w:val="00D85871"/>
    <w:rsid w:val="00D90E84"/>
    <w:rsid w:val="00DA1661"/>
    <w:rsid w:val="00DA44C0"/>
    <w:rsid w:val="00DA644E"/>
    <w:rsid w:val="00DA78EE"/>
    <w:rsid w:val="00DB4E0D"/>
    <w:rsid w:val="00DC3A48"/>
    <w:rsid w:val="00DC3AF4"/>
    <w:rsid w:val="00DC3D5A"/>
    <w:rsid w:val="00DC5952"/>
    <w:rsid w:val="00DC6E45"/>
    <w:rsid w:val="00DD16DD"/>
    <w:rsid w:val="00DD1C65"/>
    <w:rsid w:val="00DD25EC"/>
    <w:rsid w:val="00DD5DA3"/>
    <w:rsid w:val="00DD70B6"/>
    <w:rsid w:val="00DE1709"/>
    <w:rsid w:val="00DE3C44"/>
    <w:rsid w:val="00DE43B7"/>
    <w:rsid w:val="00DE65AF"/>
    <w:rsid w:val="00E07B62"/>
    <w:rsid w:val="00E1037B"/>
    <w:rsid w:val="00E10B25"/>
    <w:rsid w:val="00E176CC"/>
    <w:rsid w:val="00E2064B"/>
    <w:rsid w:val="00E23886"/>
    <w:rsid w:val="00E27FD9"/>
    <w:rsid w:val="00E30398"/>
    <w:rsid w:val="00E308FD"/>
    <w:rsid w:val="00E31971"/>
    <w:rsid w:val="00E367B5"/>
    <w:rsid w:val="00E40071"/>
    <w:rsid w:val="00E405CF"/>
    <w:rsid w:val="00E4251C"/>
    <w:rsid w:val="00E439B5"/>
    <w:rsid w:val="00E458EF"/>
    <w:rsid w:val="00E525DC"/>
    <w:rsid w:val="00E539D0"/>
    <w:rsid w:val="00E53F54"/>
    <w:rsid w:val="00E555C0"/>
    <w:rsid w:val="00E6345A"/>
    <w:rsid w:val="00E654AD"/>
    <w:rsid w:val="00E6582A"/>
    <w:rsid w:val="00E6589D"/>
    <w:rsid w:val="00E73258"/>
    <w:rsid w:val="00E7574E"/>
    <w:rsid w:val="00E77BF1"/>
    <w:rsid w:val="00E77DAB"/>
    <w:rsid w:val="00E82130"/>
    <w:rsid w:val="00E832C1"/>
    <w:rsid w:val="00E84B16"/>
    <w:rsid w:val="00E9016F"/>
    <w:rsid w:val="00E92193"/>
    <w:rsid w:val="00E92F97"/>
    <w:rsid w:val="00E94269"/>
    <w:rsid w:val="00E96905"/>
    <w:rsid w:val="00EA0189"/>
    <w:rsid w:val="00EA2676"/>
    <w:rsid w:val="00EA37E1"/>
    <w:rsid w:val="00EA4DF9"/>
    <w:rsid w:val="00EB487B"/>
    <w:rsid w:val="00EC126D"/>
    <w:rsid w:val="00EC2705"/>
    <w:rsid w:val="00EC4A10"/>
    <w:rsid w:val="00EC57F2"/>
    <w:rsid w:val="00EC7BEB"/>
    <w:rsid w:val="00ED31D4"/>
    <w:rsid w:val="00ED5055"/>
    <w:rsid w:val="00ED7AA8"/>
    <w:rsid w:val="00EE05EB"/>
    <w:rsid w:val="00EE5544"/>
    <w:rsid w:val="00EE7AEA"/>
    <w:rsid w:val="00EE7FAE"/>
    <w:rsid w:val="00EF2F71"/>
    <w:rsid w:val="00EF4A1C"/>
    <w:rsid w:val="00F01A9F"/>
    <w:rsid w:val="00F05EA4"/>
    <w:rsid w:val="00F12510"/>
    <w:rsid w:val="00F148A0"/>
    <w:rsid w:val="00F14EC4"/>
    <w:rsid w:val="00F22ADA"/>
    <w:rsid w:val="00F321F5"/>
    <w:rsid w:val="00F334D5"/>
    <w:rsid w:val="00F35892"/>
    <w:rsid w:val="00F36540"/>
    <w:rsid w:val="00F50016"/>
    <w:rsid w:val="00F50C3A"/>
    <w:rsid w:val="00F5151B"/>
    <w:rsid w:val="00F57FD7"/>
    <w:rsid w:val="00F604C2"/>
    <w:rsid w:val="00F64FE5"/>
    <w:rsid w:val="00F66334"/>
    <w:rsid w:val="00F857E5"/>
    <w:rsid w:val="00F870B9"/>
    <w:rsid w:val="00F90838"/>
    <w:rsid w:val="00F9257E"/>
    <w:rsid w:val="00F96AEB"/>
    <w:rsid w:val="00FA01A6"/>
    <w:rsid w:val="00FA12D3"/>
    <w:rsid w:val="00FA3274"/>
    <w:rsid w:val="00FA3F32"/>
    <w:rsid w:val="00FB425F"/>
    <w:rsid w:val="00FC47DB"/>
    <w:rsid w:val="00FC75C3"/>
    <w:rsid w:val="00FC7D3C"/>
    <w:rsid w:val="00FD5735"/>
    <w:rsid w:val="00FE5508"/>
    <w:rsid w:val="00FF3801"/>
    <w:rsid w:val="00FF67E6"/>
    <w:rsid w:val="00FF761C"/>
    <w:rsid w:val="00FF7CF6"/>
    <w:rsid w:val="011253ED"/>
    <w:rsid w:val="01C25065"/>
    <w:rsid w:val="01C901A1"/>
    <w:rsid w:val="01F22F53"/>
    <w:rsid w:val="031916EB"/>
    <w:rsid w:val="03DA48E8"/>
    <w:rsid w:val="03E300E1"/>
    <w:rsid w:val="04270E0A"/>
    <w:rsid w:val="044C5A83"/>
    <w:rsid w:val="046705E4"/>
    <w:rsid w:val="046A5D09"/>
    <w:rsid w:val="048F26F0"/>
    <w:rsid w:val="05025C1D"/>
    <w:rsid w:val="05F32EAD"/>
    <w:rsid w:val="06CA569A"/>
    <w:rsid w:val="083E3ACA"/>
    <w:rsid w:val="08856DEC"/>
    <w:rsid w:val="08B35707"/>
    <w:rsid w:val="090624B6"/>
    <w:rsid w:val="091A3C1E"/>
    <w:rsid w:val="0962344F"/>
    <w:rsid w:val="096B4234"/>
    <w:rsid w:val="09885036"/>
    <w:rsid w:val="09AC2E40"/>
    <w:rsid w:val="0A0E4795"/>
    <w:rsid w:val="0A2A6CA9"/>
    <w:rsid w:val="0A474359"/>
    <w:rsid w:val="0B8415DD"/>
    <w:rsid w:val="0BA63302"/>
    <w:rsid w:val="0BC00DEE"/>
    <w:rsid w:val="0C220F90"/>
    <w:rsid w:val="0C3A12BC"/>
    <w:rsid w:val="0C566AD6"/>
    <w:rsid w:val="0C581540"/>
    <w:rsid w:val="0CB75678"/>
    <w:rsid w:val="0CFC2425"/>
    <w:rsid w:val="0D9832DA"/>
    <w:rsid w:val="0DBC68F4"/>
    <w:rsid w:val="0E986DE4"/>
    <w:rsid w:val="0F1B4855"/>
    <w:rsid w:val="0FB5290C"/>
    <w:rsid w:val="0FCC70AF"/>
    <w:rsid w:val="1074231F"/>
    <w:rsid w:val="107A5AAB"/>
    <w:rsid w:val="10B31D1B"/>
    <w:rsid w:val="110D0E88"/>
    <w:rsid w:val="11186A50"/>
    <w:rsid w:val="11553800"/>
    <w:rsid w:val="121865DB"/>
    <w:rsid w:val="12357CAB"/>
    <w:rsid w:val="1331207B"/>
    <w:rsid w:val="141B2E31"/>
    <w:rsid w:val="15264327"/>
    <w:rsid w:val="15316332"/>
    <w:rsid w:val="15455322"/>
    <w:rsid w:val="15793835"/>
    <w:rsid w:val="157E5495"/>
    <w:rsid w:val="15F5735F"/>
    <w:rsid w:val="161D68B6"/>
    <w:rsid w:val="16227A29"/>
    <w:rsid w:val="16431E4A"/>
    <w:rsid w:val="1661013C"/>
    <w:rsid w:val="167D1103"/>
    <w:rsid w:val="16970417"/>
    <w:rsid w:val="16AA50D4"/>
    <w:rsid w:val="16D25811"/>
    <w:rsid w:val="176B61BA"/>
    <w:rsid w:val="17A15BB1"/>
    <w:rsid w:val="1823063E"/>
    <w:rsid w:val="183A5092"/>
    <w:rsid w:val="183F6F1A"/>
    <w:rsid w:val="1867397D"/>
    <w:rsid w:val="18972950"/>
    <w:rsid w:val="18C33D65"/>
    <w:rsid w:val="18DC27B5"/>
    <w:rsid w:val="191630B7"/>
    <w:rsid w:val="19AA220F"/>
    <w:rsid w:val="1A096BAE"/>
    <w:rsid w:val="1A0B3949"/>
    <w:rsid w:val="1A684442"/>
    <w:rsid w:val="1A941EE3"/>
    <w:rsid w:val="1AA50C28"/>
    <w:rsid w:val="1B1955C5"/>
    <w:rsid w:val="1B2606DC"/>
    <w:rsid w:val="1B3A75C2"/>
    <w:rsid w:val="1BBB78F3"/>
    <w:rsid w:val="1C161DDD"/>
    <w:rsid w:val="1CB82E95"/>
    <w:rsid w:val="1CC2188C"/>
    <w:rsid w:val="1D091942"/>
    <w:rsid w:val="1D1F774C"/>
    <w:rsid w:val="1D37200B"/>
    <w:rsid w:val="1E9B21D3"/>
    <w:rsid w:val="1F953171"/>
    <w:rsid w:val="1F980D5B"/>
    <w:rsid w:val="1FA80CFB"/>
    <w:rsid w:val="1FFB1A16"/>
    <w:rsid w:val="20883F9D"/>
    <w:rsid w:val="208C60E8"/>
    <w:rsid w:val="21063D13"/>
    <w:rsid w:val="220723F8"/>
    <w:rsid w:val="227F3079"/>
    <w:rsid w:val="22BE570A"/>
    <w:rsid w:val="22C2681B"/>
    <w:rsid w:val="23151041"/>
    <w:rsid w:val="23B138FF"/>
    <w:rsid w:val="24B228BF"/>
    <w:rsid w:val="24C0322E"/>
    <w:rsid w:val="258A17FF"/>
    <w:rsid w:val="25DC5E46"/>
    <w:rsid w:val="26B50445"/>
    <w:rsid w:val="27980351"/>
    <w:rsid w:val="27B83638"/>
    <w:rsid w:val="28702A7B"/>
    <w:rsid w:val="296D3B57"/>
    <w:rsid w:val="298E0913"/>
    <w:rsid w:val="299A22BA"/>
    <w:rsid w:val="2A10729A"/>
    <w:rsid w:val="2A5102BF"/>
    <w:rsid w:val="2A6C4E48"/>
    <w:rsid w:val="2A8D1693"/>
    <w:rsid w:val="2AD01380"/>
    <w:rsid w:val="2B133847"/>
    <w:rsid w:val="2B9B5E5B"/>
    <w:rsid w:val="2BE20EF7"/>
    <w:rsid w:val="2C2051E2"/>
    <w:rsid w:val="2C4031E8"/>
    <w:rsid w:val="2CA82F72"/>
    <w:rsid w:val="2CB43D74"/>
    <w:rsid w:val="2CCF04B2"/>
    <w:rsid w:val="2D0A51B9"/>
    <w:rsid w:val="2D7E1439"/>
    <w:rsid w:val="2D8001A8"/>
    <w:rsid w:val="2DD1025A"/>
    <w:rsid w:val="2DE04B48"/>
    <w:rsid w:val="2E12228E"/>
    <w:rsid w:val="2E267B1B"/>
    <w:rsid w:val="2E486B91"/>
    <w:rsid w:val="2E5127F4"/>
    <w:rsid w:val="2E6438A6"/>
    <w:rsid w:val="3038636F"/>
    <w:rsid w:val="30E43EF4"/>
    <w:rsid w:val="313257C4"/>
    <w:rsid w:val="31BE28A4"/>
    <w:rsid w:val="31CB0113"/>
    <w:rsid w:val="32140715"/>
    <w:rsid w:val="330837C0"/>
    <w:rsid w:val="338D3F3C"/>
    <w:rsid w:val="34773C21"/>
    <w:rsid w:val="34AE4B4D"/>
    <w:rsid w:val="34B86CDC"/>
    <w:rsid w:val="34C359EA"/>
    <w:rsid w:val="34C363D4"/>
    <w:rsid w:val="34D65F64"/>
    <w:rsid w:val="35305866"/>
    <w:rsid w:val="35584035"/>
    <w:rsid w:val="356279A7"/>
    <w:rsid w:val="35985E39"/>
    <w:rsid w:val="369E361B"/>
    <w:rsid w:val="36F71FBF"/>
    <w:rsid w:val="370A55C3"/>
    <w:rsid w:val="37371251"/>
    <w:rsid w:val="37461944"/>
    <w:rsid w:val="37810825"/>
    <w:rsid w:val="37DF39F5"/>
    <w:rsid w:val="38261B78"/>
    <w:rsid w:val="3A2D05C6"/>
    <w:rsid w:val="3A2D6018"/>
    <w:rsid w:val="3AB2788B"/>
    <w:rsid w:val="3ACC4283"/>
    <w:rsid w:val="3B364DC3"/>
    <w:rsid w:val="3BAC5024"/>
    <w:rsid w:val="3C143001"/>
    <w:rsid w:val="3C163B20"/>
    <w:rsid w:val="3C484AFF"/>
    <w:rsid w:val="3C837DA1"/>
    <w:rsid w:val="3CCE71EB"/>
    <w:rsid w:val="3DA05553"/>
    <w:rsid w:val="3E032A55"/>
    <w:rsid w:val="3E2B6D80"/>
    <w:rsid w:val="3F032F65"/>
    <w:rsid w:val="3F3423F7"/>
    <w:rsid w:val="3F404F15"/>
    <w:rsid w:val="405C071D"/>
    <w:rsid w:val="41214BFD"/>
    <w:rsid w:val="416722D4"/>
    <w:rsid w:val="4175699C"/>
    <w:rsid w:val="41C80230"/>
    <w:rsid w:val="423D7815"/>
    <w:rsid w:val="426C1EA8"/>
    <w:rsid w:val="430F4FD8"/>
    <w:rsid w:val="43394480"/>
    <w:rsid w:val="433F58BD"/>
    <w:rsid w:val="440C749E"/>
    <w:rsid w:val="44F03307"/>
    <w:rsid w:val="45264EFE"/>
    <w:rsid w:val="45B10E25"/>
    <w:rsid w:val="45BB732B"/>
    <w:rsid w:val="46157AF3"/>
    <w:rsid w:val="46184820"/>
    <w:rsid w:val="472C783A"/>
    <w:rsid w:val="4731435F"/>
    <w:rsid w:val="4776609A"/>
    <w:rsid w:val="483376F0"/>
    <w:rsid w:val="489029A5"/>
    <w:rsid w:val="48BF5CAC"/>
    <w:rsid w:val="48FE4B4A"/>
    <w:rsid w:val="492445A0"/>
    <w:rsid w:val="49457555"/>
    <w:rsid w:val="49556C38"/>
    <w:rsid w:val="49865F45"/>
    <w:rsid w:val="498D564D"/>
    <w:rsid w:val="498F18F2"/>
    <w:rsid w:val="49B753DA"/>
    <w:rsid w:val="4A371923"/>
    <w:rsid w:val="4A547DF1"/>
    <w:rsid w:val="4A5E47CC"/>
    <w:rsid w:val="4AD807FC"/>
    <w:rsid w:val="4B7B3F78"/>
    <w:rsid w:val="4BA324B8"/>
    <w:rsid w:val="4BC0573E"/>
    <w:rsid w:val="4BD62F94"/>
    <w:rsid w:val="4BFB7EB1"/>
    <w:rsid w:val="4C9C7C83"/>
    <w:rsid w:val="4CA566E2"/>
    <w:rsid w:val="4CA95AE3"/>
    <w:rsid w:val="4CC748AA"/>
    <w:rsid w:val="4CCB5089"/>
    <w:rsid w:val="4CF67967"/>
    <w:rsid w:val="4DDE00FE"/>
    <w:rsid w:val="4E1E2CE2"/>
    <w:rsid w:val="4E320449"/>
    <w:rsid w:val="4E541DA0"/>
    <w:rsid w:val="4F1575AC"/>
    <w:rsid w:val="4F520F78"/>
    <w:rsid w:val="4F52414B"/>
    <w:rsid w:val="4F5518FD"/>
    <w:rsid w:val="4FC21359"/>
    <w:rsid w:val="4FDE723D"/>
    <w:rsid w:val="50060376"/>
    <w:rsid w:val="50180E15"/>
    <w:rsid w:val="50B52C6C"/>
    <w:rsid w:val="50B653EC"/>
    <w:rsid w:val="510936E3"/>
    <w:rsid w:val="5139664E"/>
    <w:rsid w:val="51622DF4"/>
    <w:rsid w:val="523A167B"/>
    <w:rsid w:val="535770C4"/>
    <w:rsid w:val="5382777D"/>
    <w:rsid w:val="5407551C"/>
    <w:rsid w:val="546D46C5"/>
    <w:rsid w:val="547E6784"/>
    <w:rsid w:val="54DD089B"/>
    <w:rsid w:val="55687945"/>
    <w:rsid w:val="556C60B3"/>
    <w:rsid w:val="55776067"/>
    <w:rsid w:val="557B0928"/>
    <w:rsid w:val="55A5668D"/>
    <w:rsid w:val="55DF4BE8"/>
    <w:rsid w:val="56CE5812"/>
    <w:rsid w:val="57482A8C"/>
    <w:rsid w:val="5863102B"/>
    <w:rsid w:val="5A2A0665"/>
    <w:rsid w:val="5A6E2809"/>
    <w:rsid w:val="5C234CA4"/>
    <w:rsid w:val="5C7731D7"/>
    <w:rsid w:val="5CB16A5F"/>
    <w:rsid w:val="5D216923"/>
    <w:rsid w:val="5D812854"/>
    <w:rsid w:val="5E062304"/>
    <w:rsid w:val="5E065D78"/>
    <w:rsid w:val="5E1C6F3C"/>
    <w:rsid w:val="5E437FD7"/>
    <w:rsid w:val="5E921830"/>
    <w:rsid w:val="5EE36EBB"/>
    <w:rsid w:val="5EEA69D0"/>
    <w:rsid w:val="5F216D98"/>
    <w:rsid w:val="5F585836"/>
    <w:rsid w:val="5F985F5C"/>
    <w:rsid w:val="5F9960AE"/>
    <w:rsid w:val="5FC87CCA"/>
    <w:rsid w:val="60335C18"/>
    <w:rsid w:val="60344497"/>
    <w:rsid w:val="60AD27CE"/>
    <w:rsid w:val="60B3541A"/>
    <w:rsid w:val="61204131"/>
    <w:rsid w:val="6124725C"/>
    <w:rsid w:val="615941F6"/>
    <w:rsid w:val="61BB7373"/>
    <w:rsid w:val="61C816F1"/>
    <w:rsid w:val="622F00B1"/>
    <w:rsid w:val="625F6A4A"/>
    <w:rsid w:val="62747537"/>
    <w:rsid w:val="62DD052C"/>
    <w:rsid w:val="62E63416"/>
    <w:rsid w:val="636E5628"/>
    <w:rsid w:val="63780255"/>
    <w:rsid w:val="642D09F0"/>
    <w:rsid w:val="64371EBE"/>
    <w:rsid w:val="6486294B"/>
    <w:rsid w:val="64C542B7"/>
    <w:rsid w:val="65331F2B"/>
    <w:rsid w:val="653F662A"/>
    <w:rsid w:val="657A6961"/>
    <w:rsid w:val="65A454F8"/>
    <w:rsid w:val="66B5531C"/>
    <w:rsid w:val="66FE5777"/>
    <w:rsid w:val="671771FC"/>
    <w:rsid w:val="67281E0C"/>
    <w:rsid w:val="676C502C"/>
    <w:rsid w:val="67A47A17"/>
    <w:rsid w:val="67BD26DA"/>
    <w:rsid w:val="68033E77"/>
    <w:rsid w:val="69317154"/>
    <w:rsid w:val="6A115085"/>
    <w:rsid w:val="6B1945A6"/>
    <w:rsid w:val="6BA53BB1"/>
    <w:rsid w:val="6BAC13E3"/>
    <w:rsid w:val="6BDB26A0"/>
    <w:rsid w:val="6BE26B06"/>
    <w:rsid w:val="6C88312E"/>
    <w:rsid w:val="6DBD6FD0"/>
    <w:rsid w:val="6DEE183F"/>
    <w:rsid w:val="6E1416F9"/>
    <w:rsid w:val="6E4057A2"/>
    <w:rsid w:val="6EAC65A4"/>
    <w:rsid w:val="6EF13547"/>
    <w:rsid w:val="6EFA464C"/>
    <w:rsid w:val="6F0F625F"/>
    <w:rsid w:val="6F4162E7"/>
    <w:rsid w:val="6F965421"/>
    <w:rsid w:val="6F9953BF"/>
    <w:rsid w:val="6F9B73DA"/>
    <w:rsid w:val="6FBC1868"/>
    <w:rsid w:val="7048676C"/>
    <w:rsid w:val="70A738AF"/>
    <w:rsid w:val="70AE5B34"/>
    <w:rsid w:val="70FC7F1F"/>
    <w:rsid w:val="711B38F2"/>
    <w:rsid w:val="713A5FB0"/>
    <w:rsid w:val="717464AB"/>
    <w:rsid w:val="719170B1"/>
    <w:rsid w:val="71935E4E"/>
    <w:rsid w:val="719941B8"/>
    <w:rsid w:val="71A36DE5"/>
    <w:rsid w:val="72634A61"/>
    <w:rsid w:val="72952A32"/>
    <w:rsid w:val="730E4B34"/>
    <w:rsid w:val="73282033"/>
    <w:rsid w:val="74350E97"/>
    <w:rsid w:val="75BF1D13"/>
    <w:rsid w:val="75D34832"/>
    <w:rsid w:val="76442519"/>
    <w:rsid w:val="77077643"/>
    <w:rsid w:val="77A973CD"/>
    <w:rsid w:val="77DF669D"/>
    <w:rsid w:val="78433288"/>
    <w:rsid w:val="78436C2C"/>
    <w:rsid w:val="786D5FFA"/>
    <w:rsid w:val="78B17060"/>
    <w:rsid w:val="79161E4E"/>
    <w:rsid w:val="793E5020"/>
    <w:rsid w:val="79480EFC"/>
    <w:rsid w:val="79BF208B"/>
    <w:rsid w:val="79F95EA5"/>
    <w:rsid w:val="7A28432B"/>
    <w:rsid w:val="7B1B3F73"/>
    <w:rsid w:val="7BCF5443"/>
    <w:rsid w:val="7C312F0B"/>
    <w:rsid w:val="7C4C0B30"/>
    <w:rsid w:val="7CB61980"/>
    <w:rsid w:val="7D2C5C84"/>
    <w:rsid w:val="7D3E74C4"/>
    <w:rsid w:val="7E2D1F10"/>
    <w:rsid w:val="7FDE43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qFormat="1" w:uiPriority="99" w:semiHidden="0"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qFormat="1" w:unhideWhenUsed="0" w:uiPriority="39" w:semiHidden="0"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uiPriority="99" w:name="Block Text"/>
    <w:lsdException w:qFormat="1" w:uiPriority="0"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1"/>
    <w:qFormat/>
    <w:uiPriority w:val="0"/>
    <w:pPr>
      <w:keepNext/>
      <w:keepLines/>
      <w:numPr>
        <w:ilvl w:val="0"/>
        <w:numId w:val="1"/>
      </w:numPr>
      <w:adjustRightInd w:val="0"/>
      <w:spacing w:before="340" w:after="330" w:line="578" w:lineRule="atLeast"/>
      <w:ind w:left="0"/>
      <w:jc w:val="left"/>
      <w:textAlignment w:val="baseline"/>
      <w:outlineLvl w:val="0"/>
    </w:pPr>
    <w:rPr>
      <w:rFonts w:ascii="Calibri" w:hAnsi="Calibri" w:eastAsia="宋体" w:cs="Times New Roman"/>
      <w:b/>
      <w:bCs/>
      <w:kern w:val="44"/>
      <w:sz w:val="44"/>
      <w:szCs w:val="44"/>
    </w:rPr>
  </w:style>
  <w:style w:type="paragraph" w:styleId="3">
    <w:name w:val="heading 2"/>
    <w:basedOn w:val="1"/>
    <w:next w:val="4"/>
    <w:link w:val="32"/>
    <w:qFormat/>
    <w:uiPriority w:val="0"/>
    <w:pPr>
      <w:keepNext/>
      <w:keepLines/>
      <w:numPr>
        <w:ilvl w:val="1"/>
        <w:numId w:val="1"/>
      </w:numPr>
      <w:adjustRightInd w:val="0"/>
      <w:spacing w:before="260" w:after="260" w:line="416" w:lineRule="atLeast"/>
      <w:jc w:val="left"/>
      <w:textAlignment w:val="baseline"/>
      <w:outlineLvl w:val="1"/>
    </w:pPr>
    <w:rPr>
      <w:rFonts w:ascii="Arial" w:hAnsi="Arial" w:eastAsia="黑体" w:cs="Times New Roman"/>
      <w:b/>
      <w:bCs/>
      <w:kern w:val="0"/>
      <w:sz w:val="32"/>
      <w:szCs w:val="32"/>
    </w:rPr>
  </w:style>
  <w:style w:type="paragraph" w:styleId="5">
    <w:name w:val="heading 3"/>
    <w:basedOn w:val="1"/>
    <w:next w:val="1"/>
    <w:link w:val="33"/>
    <w:qFormat/>
    <w:uiPriority w:val="0"/>
    <w:pPr>
      <w:autoSpaceDE w:val="0"/>
      <w:autoSpaceDN w:val="0"/>
      <w:adjustRightInd w:val="0"/>
      <w:spacing w:afterLines="50" w:line="360" w:lineRule="auto"/>
      <w:ind w:left="-4"/>
      <w:jc w:val="center"/>
      <w:outlineLvl w:val="2"/>
    </w:pPr>
    <w:rPr>
      <w:rFonts w:ascii="宋体" w:hAnsi="宋体" w:eastAsia="宋体" w:cs="Times New Roman"/>
      <w:b/>
      <w:color w:val="000000"/>
      <w:kern w:val="0"/>
      <w:sz w:val="24"/>
      <w:szCs w:val="20"/>
      <w:lang w:val="en-GB"/>
    </w:rPr>
  </w:style>
  <w:style w:type="paragraph" w:styleId="6">
    <w:name w:val="heading 4"/>
    <w:basedOn w:val="1"/>
    <w:next w:val="1"/>
    <w:link w:val="34"/>
    <w:qFormat/>
    <w:uiPriority w:val="0"/>
    <w:pPr>
      <w:keepNext/>
      <w:keepLines/>
      <w:numPr>
        <w:ilvl w:val="3"/>
        <w:numId w:val="1"/>
      </w:numPr>
      <w:adjustRightInd w:val="0"/>
      <w:spacing w:before="280" w:after="290" w:line="376" w:lineRule="atLeast"/>
      <w:jc w:val="left"/>
      <w:textAlignment w:val="baseline"/>
      <w:outlineLvl w:val="3"/>
    </w:pPr>
    <w:rPr>
      <w:rFonts w:ascii="Arial" w:hAnsi="Arial" w:eastAsia="黑体" w:cs="Times New Roman"/>
      <w:b/>
      <w:bCs/>
      <w:kern w:val="0"/>
      <w:sz w:val="28"/>
      <w:szCs w:val="28"/>
    </w:rPr>
  </w:style>
  <w:style w:type="character" w:default="1" w:styleId="26">
    <w:name w:val="Default Paragraph Font"/>
    <w:semiHidden/>
    <w:unhideWhenUsed/>
    <w:qFormat/>
    <w:uiPriority w:val="1"/>
  </w:style>
  <w:style w:type="table" w:default="1" w:styleId="24">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1"/>
    <w:qFormat/>
    <w:uiPriority w:val="0"/>
    <w:pPr>
      <w:ind w:firstLine="425"/>
    </w:pPr>
    <w:rPr>
      <w:rFonts w:ascii="Times New Roman" w:hAnsi="Times New Roman" w:eastAsia="宋体" w:cs="Times New Roman"/>
      <w:szCs w:val="20"/>
    </w:rPr>
  </w:style>
  <w:style w:type="paragraph" w:styleId="7">
    <w:name w:val="caption"/>
    <w:basedOn w:val="1"/>
    <w:next w:val="1"/>
    <w:qFormat/>
    <w:uiPriority w:val="0"/>
    <w:rPr>
      <w:rFonts w:ascii="Arial" w:hAnsi="Arial" w:eastAsia="黑体" w:cs="Arial"/>
      <w:sz w:val="20"/>
      <w:szCs w:val="20"/>
    </w:rPr>
  </w:style>
  <w:style w:type="paragraph" w:styleId="8">
    <w:name w:val="index 5"/>
    <w:basedOn w:val="1"/>
    <w:next w:val="1"/>
    <w:unhideWhenUsed/>
    <w:qFormat/>
    <w:uiPriority w:val="99"/>
    <w:pPr>
      <w:ind w:left="800" w:leftChars="800"/>
    </w:pPr>
  </w:style>
  <w:style w:type="paragraph" w:styleId="9">
    <w:name w:val="Body Text 3"/>
    <w:basedOn w:val="1"/>
    <w:link w:val="50"/>
    <w:qFormat/>
    <w:uiPriority w:val="0"/>
    <w:rPr>
      <w:rFonts w:ascii="Times New Roman" w:hAnsi="Times New Roman" w:eastAsia="宋体" w:cs="Times New Roman"/>
      <w:color w:val="FF0000"/>
      <w:sz w:val="24"/>
      <w:szCs w:val="24"/>
    </w:rPr>
  </w:style>
  <w:style w:type="paragraph" w:styleId="10">
    <w:name w:val="Body Text"/>
    <w:basedOn w:val="1"/>
    <w:link w:val="54"/>
    <w:unhideWhenUsed/>
    <w:qFormat/>
    <w:uiPriority w:val="99"/>
    <w:pPr>
      <w:spacing w:after="120"/>
    </w:pPr>
  </w:style>
  <w:style w:type="paragraph" w:styleId="11">
    <w:name w:val="Body Text Indent"/>
    <w:basedOn w:val="1"/>
    <w:link w:val="59"/>
    <w:qFormat/>
    <w:uiPriority w:val="0"/>
    <w:pPr>
      <w:adjustRightInd w:val="0"/>
      <w:spacing w:after="120" w:line="360" w:lineRule="atLeast"/>
      <w:ind w:left="420" w:leftChars="200"/>
      <w:jc w:val="left"/>
      <w:textAlignment w:val="baseline"/>
    </w:pPr>
    <w:rPr>
      <w:sz w:val="24"/>
    </w:rPr>
  </w:style>
  <w:style w:type="paragraph" w:styleId="12">
    <w:name w:val="toc 5"/>
    <w:basedOn w:val="1"/>
    <w:next w:val="1"/>
    <w:qFormat/>
    <w:uiPriority w:val="39"/>
    <w:pPr>
      <w:spacing w:line="276" w:lineRule="auto"/>
      <w:ind w:left="960"/>
      <w:jc w:val="center"/>
    </w:pPr>
    <w:rPr>
      <w:rFonts w:ascii="Times New Roman" w:hAnsi="Times New Roman" w:eastAsia="宋体" w:cs="Times New Roman"/>
      <w:b/>
      <w:color w:val="000000"/>
      <w:sz w:val="36"/>
      <w:szCs w:val="36"/>
    </w:rPr>
  </w:style>
  <w:style w:type="paragraph" w:styleId="13">
    <w:name w:val="toc 3"/>
    <w:basedOn w:val="1"/>
    <w:next w:val="1"/>
    <w:qFormat/>
    <w:uiPriority w:val="39"/>
    <w:pPr>
      <w:ind w:left="480"/>
      <w:jc w:val="left"/>
    </w:pPr>
    <w:rPr>
      <w:rFonts w:ascii="Times New Roman" w:hAnsi="Times New Roman" w:eastAsia="宋体" w:cs="Times New Roman"/>
      <w:i/>
      <w:iCs/>
      <w:color w:val="0000FF"/>
      <w:sz w:val="20"/>
      <w:szCs w:val="20"/>
    </w:rPr>
  </w:style>
  <w:style w:type="paragraph" w:styleId="14">
    <w:name w:val="Plain Text"/>
    <w:basedOn w:val="1"/>
    <w:next w:val="8"/>
    <w:link w:val="35"/>
    <w:qFormat/>
    <w:uiPriority w:val="0"/>
    <w:rPr>
      <w:rFonts w:eastAsia="宋体"/>
      <w:sz w:val="24"/>
    </w:rPr>
  </w:style>
  <w:style w:type="paragraph" w:styleId="15">
    <w:name w:val="Date"/>
    <w:basedOn w:val="1"/>
    <w:next w:val="1"/>
    <w:link w:val="36"/>
    <w:unhideWhenUsed/>
    <w:qFormat/>
    <w:uiPriority w:val="99"/>
    <w:pPr>
      <w:ind w:left="100" w:leftChars="2500"/>
    </w:pPr>
  </w:style>
  <w:style w:type="paragraph" w:styleId="16">
    <w:name w:val="Balloon Text"/>
    <w:basedOn w:val="1"/>
    <w:link w:val="61"/>
    <w:semiHidden/>
    <w:unhideWhenUsed/>
    <w:qFormat/>
    <w:uiPriority w:val="99"/>
    <w:rPr>
      <w:sz w:val="18"/>
      <w:szCs w:val="18"/>
    </w:rPr>
  </w:style>
  <w:style w:type="paragraph" w:styleId="17">
    <w:name w:val="footer"/>
    <w:basedOn w:val="1"/>
    <w:link w:val="37"/>
    <w:unhideWhenUsed/>
    <w:qFormat/>
    <w:uiPriority w:val="99"/>
    <w:pPr>
      <w:tabs>
        <w:tab w:val="center" w:pos="4153"/>
        <w:tab w:val="right" w:pos="8306"/>
      </w:tabs>
      <w:snapToGrid w:val="0"/>
      <w:jc w:val="left"/>
    </w:pPr>
    <w:rPr>
      <w:sz w:val="18"/>
      <w:szCs w:val="18"/>
    </w:rPr>
  </w:style>
  <w:style w:type="paragraph" w:styleId="18">
    <w:name w:val="header"/>
    <w:basedOn w:val="1"/>
    <w:link w:val="38"/>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spacing w:before="120" w:after="120"/>
      <w:jc w:val="left"/>
    </w:pPr>
    <w:rPr>
      <w:rFonts w:ascii="Times New Roman" w:hAnsi="Times New Roman" w:eastAsia="宋体" w:cs="Times New Roman"/>
      <w:b/>
      <w:bCs/>
      <w:caps/>
      <w:color w:val="0000FF"/>
      <w:sz w:val="20"/>
      <w:szCs w:val="20"/>
    </w:rPr>
  </w:style>
  <w:style w:type="paragraph" w:styleId="20">
    <w:name w:val="Body Text 2"/>
    <w:basedOn w:val="1"/>
    <w:qFormat/>
    <w:uiPriority w:val="0"/>
    <w:pPr>
      <w:spacing w:line="480" w:lineRule="auto"/>
      <w:ind w:right="357"/>
    </w:pPr>
    <w:rPr>
      <w:szCs w:val="20"/>
    </w:rPr>
  </w:style>
  <w:style w:type="paragraph" w:styleId="21">
    <w:name w:val="HTML Preformatted"/>
    <w:basedOn w:val="1"/>
    <w:link w:val="57"/>
    <w:semiHidden/>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宋体"/>
      <w:kern w:val="0"/>
      <w:sz w:val="24"/>
      <w:szCs w:val="24"/>
    </w:rPr>
  </w:style>
  <w:style w:type="paragraph" w:styleId="22">
    <w:name w:val="Normal (Web)"/>
    <w:basedOn w:val="1"/>
    <w:qFormat/>
    <w:uiPriority w:val="99"/>
    <w:rPr>
      <w:rFonts w:ascii="Calibri" w:hAnsi="Calibri" w:eastAsia="宋体" w:cs="Times New Roman"/>
      <w:sz w:val="24"/>
      <w:szCs w:val="24"/>
    </w:rPr>
  </w:style>
  <w:style w:type="paragraph" w:styleId="23">
    <w:name w:val="Body Text First Indent"/>
    <w:basedOn w:val="10"/>
    <w:next w:val="1"/>
    <w:link w:val="55"/>
    <w:qFormat/>
    <w:uiPriority w:val="0"/>
    <w:pPr>
      <w:ind w:firstLine="420" w:firstLineChars="100"/>
    </w:pPr>
    <w:rPr>
      <w:rFonts w:ascii="宋体" w:hAnsi="Times New Roman" w:eastAsia="宋体" w:cs="Times New Roman"/>
      <w:kern w:val="0"/>
      <w:sz w:val="34"/>
      <w:szCs w:val="20"/>
    </w:rPr>
  </w:style>
  <w:style w:type="table" w:styleId="25">
    <w:name w:val="Table Grid"/>
    <w:basedOn w:val="24"/>
    <w:qFormat/>
    <w:uiPriority w:val="59"/>
    <w:rPr>
      <w:kern w:val="2"/>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7">
    <w:name w:val="Strong"/>
    <w:basedOn w:val="26"/>
    <w:qFormat/>
    <w:uiPriority w:val="22"/>
    <w:rPr>
      <w:b/>
      <w:bCs/>
    </w:rPr>
  </w:style>
  <w:style w:type="character" w:styleId="28">
    <w:name w:val="FollowedHyperlink"/>
    <w:basedOn w:val="26"/>
    <w:semiHidden/>
    <w:unhideWhenUsed/>
    <w:qFormat/>
    <w:uiPriority w:val="99"/>
    <w:rPr>
      <w:color w:val="800080" w:themeColor="followedHyperlink"/>
      <w:u w:val="single"/>
      <w14:textFill>
        <w14:solidFill>
          <w14:schemeClr w14:val="folHlink"/>
        </w14:solidFill>
      </w14:textFill>
    </w:rPr>
  </w:style>
  <w:style w:type="character" w:styleId="29">
    <w:name w:val="Hyperlink"/>
    <w:basedOn w:val="26"/>
    <w:unhideWhenUsed/>
    <w:qFormat/>
    <w:uiPriority w:val="0"/>
    <w:rPr>
      <w:color w:val="0000FF"/>
      <w:u w:val="single"/>
    </w:rPr>
  </w:style>
  <w:style w:type="paragraph" w:customStyle="1" w:styleId="30">
    <w:name w:val="表格文字"/>
    <w:basedOn w:val="1"/>
    <w:next w:val="10"/>
    <w:qFormat/>
    <w:uiPriority w:val="0"/>
    <w:pPr>
      <w:widowControl/>
      <w:adjustRightInd w:val="0"/>
      <w:spacing w:line="420" w:lineRule="atLeast"/>
      <w:jc w:val="left"/>
      <w:textAlignment w:val="baseline"/>
    </w:pPr>
    <w:rPr>
      <w:rFonts w:ascii="Times New Roman" w:hAnsi="Times New Roman" w:eastAsia="仿宋_GB2312" w:cs="Times New Roman"/>
      <w:kern w:val="0"/>
      <w:sz w:val="32"/>
      <w:szCs w:val="20"/>
    </w:rPr>
  </w:style>
  <w:style w:type="character" w:customStyle="1" w:styleId="31">
    <w:name w:val="标题 1 Char"/>
    <w:basedOn w:val="26"/>
    <w:link w:val="2"/>
    <w:qFormat/>
    <w:uiPriority w:val="0"/>
    <w:rPr>
      <w:rFonts w:ascii="Calibri" w:hAnsi="Calibri" w:eastAsia="宋体" w:cs="Times New Roman"/>
      <w:b/>
      <w:bCs/>
      <w:kern w:val="44"/>
      <w:sz w:val="44"/>
      <w:szCs w:val="44"/>
    </w:rPr>
  </w:style>
  <w:style w:type="character" w:customStyle="1" w:styleId="32">
    <w:name w:val="标题 2 Char"/>
    <w:basedOn w:val="26"/>
    <w:link w:val="3"/>
    <w:qFormat/>
    <w:uiPriority w:val="0"/>
    <w:rPr>
      <w:rFonts w:ascii="Arial" w:hAnsi="Arial" w:eastAsia="黑体" w:cs="Times New Roman"/>
      <w:b/>
      <w:bCs/>
      <w:sz w:val="32"/>
      <w:szCs w:val="32"/>
    </w:rPr>
  </w:style>
  <w:style w:type="character" w:customStyle="1" w:styleId="33">
    <w:name w:val="标题 3 Char"/>
    <w:basedOn w:val="26"/>
    <w:link w:val="5"/>
    <w:qFormat/>
    <w:uiPriority w:val="0"/>
    <w:rPr>
      <w:rFonts w:ascii="宋体" w:hAnsi="宋体" w:eastAsia="宋体" w:cs="Times New Roman"/>
      <w:b/>
      <w:color w:val="000000"/>
      <w:kern w:val="0"/>
      <w:sz w:val="24"/>
      <w:szCs w:val="20"/>
      <w:lang w:val="en-GB"/>
    </w:rPr>
  </w:style>
  <w:style w:type="character" w:customStyle="1" w:styleId="34">
    <w:name w:val="标题 4 Char"/>
    <w:basedOn w:val="26"/>
    <w:link w:val="6"/>
    <w:qFormat/>
    <w:uiPriority w:val="0"/>
    <w:rPr>
      <w:rFonts w:ascii="Arial" w:hAnsi="Arial" w:eastAsia="黑体" w:cs="Times New Roman"/>
      <w:b/>
      <w:bCs/>
      <w:sz w:val="28"/>
      <w:szCs w:val="28"/>
    </w:rPr>
  </w:style>
  <w:style w:type="character" w:customStyle="1" w:styleId="35">
    <w:name w:val="纯文本 Char"/>
    <w:basedOn w:val="26"/>
    <w:link w:val="14"/>
    <w:qFormat/>
    <w:uiPriority w:val="0"/>
    <w:rPr>
      <w:rFonts w:eastAsia="宋体"/>
      <w:sz w:val="24"/>
    </w:rPr>
  </w:style>
  <w:style w:type="character" w:customStyle="1" w:styleId="36">
    <w:name w:val="日期 Char"/>
    <w:basedOn w:val="26"/>
    <w:link w:val="15"/>
    <w:qFormat/>
    <w:uiPriority w:val="99"/>
  </w:style>
  <w:style w:type="character" w:customStyle="1" w:styleId="37">
    <w:name w:val="页脚 Char"/>
    <w:basedOn w:val="26"/>
    <w:link w:val="17"/>
    <w:qFormat/>
    <w:uiPriority w:val="99"/>
    <w:rPr>
      <w:sz w:val="18"/>
      <w:szCs w:val="18"/>
    </w:rPr>
  </w:style>
  <w:style w:type="character" w:customStyle="1" w:styleId="38">
    <w:name w:val="页眉 Char"/>
    <w:basedOn w:val="26"/>
    <w:link w:val="18"/>
    <w:qFormat/>
    <w:uiPriority w:val="99"/>
    <w:rPr>
      <w:sz w:val="18"/>
      <w:szCs w:val="18"/>
    </w:rPr>
  </w:style>
  <w:style w:type="character" w:customStyle="1" w:styleId="39">
    <w:name w:val="纯文本 Char1"/>
    <w:qFormat/>
    <w:uiPriority w:val="0"/>
    <w:rPr>
      <w:rFonts w:eastAsia="宋体"/>
      <w:sz w:val="24"/>
    </w:rPr>
  </w:style>
  <w:style w:type="paragraph" w:customStyle="1" w:styleId="40">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41">
    <w:name w:val="列出段落1"/>
    <w:basedOn w:val="1"/>
    <w:qFormat/>
    <w:uiPriority w:val="0"/>
    <w:pPr>
      <w:ind w:firstLine="420" w:firstLineChars="200"/>
    </w:pPr>
  </w:style>
  <w:style w:type="paragraph" w:styleId="42">
    <w:name w:val="List Paragraph"/>
    <w:basedOn w:val="1"/>
    <w:unhideWhenUsed/>
    <w:qFormat/>
    <w:uiPriority w:val="99"/>
    <w:pPr>
      <w:ind w:firstLine="420" w:firstLineChars="200"/>
    </w:pPr>
  </w:style>
  <w:style w:type="character" w:customStyle="1" w:styleId="43">
    <w:name w:val="正文文本缩进 Char Char"/>
    <w:link w:val="44"/>
    <w:qFormat/>
    <w:uiPriority w:val="0"/>
    <w:rPr>
      <w:rFonts w:ascii="宋体"/>
      <w:sz w:val="24"/>
    </w:rPr>
  </w:style>
  <w:style w:type="paragraph" w:customStyle="1" w:styleId="44">
    <w:name w:val="正文文本缩进1"/>
    <w:basedOn w:val="1"/>
    <w:link w:val="43"/>
    <w:qFormat/>
    <w:uiPriority w:val="0"/>
    <w:pPr>
      <w:spacing w:line="360" w:lineRule="auto"/>
      <w:ind w:firstLine="480" w:firstLineChars="200"/>
    </w:pPr>
    <w:rPr>
      <w:rFonts w:ascii="宋体"/>
      <w:sz w:val="24"/>
    </w:rPr>
  </w:style>
  <w:style w:type="character" w:customStyle="1" w:styleId="45">
    <w:name w:val="日期 Char Char"/>
    <w:link w:val="46"/>
    <w:qFormat/>
    <w:uiPriority w:val="0"/>
    <w:rPr>
      <w:sz w:val="24"/>
    </w:rPr>
  </w:style>
  <w:style w:type="paragraph" w:customStyle="1" w:styleId="46">
    <w:name w:val="日期1"/>
    <w:basedOn w:val="1"/>
    <w:next w:val="1"/>
    <w:link w:val="45"/>
    <w:qFormat/>
    <w:uiPriority w:val="0"/>
    <w:rPr>
      <w:sz w:val="24"/>
    </w:rPr>
  </w:style>
  <w:style w:type="paragraph" w:customStyle="1" w:styleId="47">
    <w:name w:val="正文缩进1"/>
    <w:basedOn w:val="1"/>
    <w:qFormat/>
    <w:uiPriority w:val="0"/>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48">
    <w:name w:val="样式1"/>
    <w:basedOn w:val="1"/>
    <w:qFormat/>
    <w:uiPriority w:val="0"/>
    <w:pPr>
      <w:numPr>
        <w:ilvl w:val="0"/>
        <w:numId w:val="2"/>
      </w:numPr>
      <w:adjustRightInd w:val="0"/>
      <w:textAlignment w:val="baseline"/>
    </w:pPr>
    <w:rPr>
      <w:rFonts w:ascii="宋体" w:hAnsi="宋体" w:eastAsia="宋体" w:cs="Times New Roman"/>
      <w:kern w:val="0"/>
      <w:szCs w:val="21"/>
    </w:rPr>
  </w:style>
  <w:style w:type="paragraph" w:customStyle="1" w:styleId="49">
    <w:name w:val="图"/>
    <w:basedOn w:val="1"/>
    <w:qFormat/>
    <w:uiPriority w:val="0"/>
    <w:pPr>
      <w:keepNext/>
      <w:adjustRightInd w:val="0"/>
      <w:spacing w:before="60" w:after="60" w:line="300" w:lineRule="auto"/>
      <w:jc w:val="center"/>
      <w:textAlignment w:val="center"/>
    </w:pPr>
    <w:rPr>
      <w:rFonts w:ascii="Times New Roman" w:hAnsi="Times New Roman" w:eastAsia="宋体" w:cs="Times New Roman"/>
      <w:snapToGrid w:val="0"/>
      <w:color w:val="0000FF"/>
      <w:spacing w:val="20"/>
      <w:kern w:val="0"/>
      <w:sz w:val="24"/>
      <w:szCs w:val="20"/>
    </w:rPr>
  </w:style>
  <w:style w:type="character" w:customStyle="1" w:styleId="50">
    <w:name w:val="正文文本 3 Char"/>
    <w:basedOn w:val="26"/>
    <w:link w:val="9"/>
    <w:qFormat/>
    <w:uiPriority w:val="0"/>
    <w:rPr>
      <w:rFonts w:ascii="Times New Roman" w:hAnsi="Times New Roman" w:eastAsia="宋体" w:cs="Times New Roman"/>
      <w:color w:val="FF0000"/>
      <w:sz w:val="24"/>
      <w:szCs w:val="24"/>
    </w:rPr>
  </w:style>
  <w:style w:type="character" w:customStyle="1" w:styleId="51">
    <w:name w:val="edittexttarea"/>
    <w:basedOn w:val="26"/>
    <w:qFormat/>
    <w:uiPriority w:val="0"/>
  </w:style>
  <w:style w:type="paragraph" w:customStyle="1" w:styleId="52">
    <w:name w:val="样式 标题 1 + 四号 居中 段前: 12 磅 段后: 12 磅 行距: 单倍行距"/>
    <w:basedOn w:val="2"/>
    <w:qFormat/>
    <w:uiPriority w:val="0"/>
    <w:pPr>
      <w:spacing w:before="240" w:after="240" w:line="240" w:lineRule="auto"/>
      <w:ind w:left="-288"/>
      <w:jc w:val="center"/>
    </w:pPr>
    <w:rPr>
      <w:rFonts w:cs="宋体"/>
      <w:sz w:val="28"/>
      <w:szCs w:val="20"/>
    </w:rPr>
  </w:style>
  <w:style w:type="paragraph" w:customStyle="1" w:styleId="53">
    <w:name w:val="样式 样式 样式 样式 标题 2 + 宋体 五号 非加粗 黑色 + 段前: 6 磅 段后: 0 磅 行距: 单倍行距 + 段前:..."/>
    <w:basedOn w:val="1"/>
    <w:qFormat/>
    <w:uiPriority w:val="0"/>
    <w:pPr>
      <w:keepNext/>
      <w:keepLines/>
      <w:numPr>
        <w:ilvl w:val="0"/>
        <w:numId w:val="3"/>
      </w:numPr>
      <w:adjustRightInd w:val="0"/>
      <w:spacing w:before="240"/>
      <w:jc w:val="left"/>
      <w:textAlignment w:val="baseline"/>
      <w:outlineLvl w:val="1"/>
    </w:pPr>
    <w:rPr>
      <w:rFonts w:ascii="宋体" w:hAnsi="宋体" w:eastAsia="宋体" w:cs="宋体"/>
      <w:b/>
      <w:bCs/>
      <w:color w:val="000000"/>
      <w:kern w:val="0"/>
      <w:szCs w:val="20"/>
    </w:rPr>
  </w:style>
  <w:style w:type="character" w:customStyle="1" w:styleId="54">
    <w:name w:val="正文文本 Char"/>
    <w:basedOn w:val="26"/>
    <w:link w:val="10"/>
    <w:qFormat/>
    <w:uiPriority w:val="99"/>
  </w:style>
  <w:style w:type="character" w:customStyle="1" w:styleId="55">
    <w:name w:val="正文首行缩进 Char"/>
    <w:basedOn w:val="54"/>
    <w:link w:val="23"/>
    <w:qFormat/>
    <w:uiPriority w:val="0"/>
    <w:rPr>
      <w:rFonts w:ascii="宋体" w:hAnsi="Times New Roman" w:eastAsia="宋体" w:cs="Times New Roman"/>
      <w:kern w:val="0"/>
      <w:sz w:val="34"/>
      <w:szCs w:val="20"/>
    </w:rPr>
  </w:style>
  <w:style w:type="character" w:customStyle="1" w:styleId="56">
    <w:name w:val="HTML 预设格式 Char"/>
    <w:basedOn w:val="26"/>
    <w:semiHidden/>
    <w:qFormat/>
    <w:uiPriority w:val="99"/>
    <w:rPr>
      <w:rFonts w:ascii="宋体" w:hAnsi="宋体" w:eastAsia="宋体" w:cs="宋体"/>
      <w:kern w:val="0"/>
      <w:sz w:val="24"/>
      <w:szCs w:val="24"/>
    </w:rPr>
  </w:style>
  <w:style w:type="character" w:customStyle="1" w:styleId="57">
    <w:name w:val="HTML 预设格式 Char1"/>
    <w:basedOn w:val="26"/>
    <w:link w:val="21"/>
    <w:semiHidden/>
    <w:qFormat/>
    <w:uiPriority w:val="99"/>
    <w:rPr>
      <w:rFonts w:ascii="Courier New" w:hAnsi="Courier New" w:cs="Courier New"/>
      <w:sz w:val="20"/>
      <w:szCs w:val="20"/>
    </w:rPr>
  </w:style>
  <w:style w:type="character" w:customStyle="1" w:styleId="58">
    <w:name w:val="正文文本缩进 Char"/>
    <w:qFormat/>
    <w:uiPriority w:val="0"/>
    <w:rPr>
      <w:sz w:val="24"/>
    </w:rPr>
  </w:style>
  <w:style w:type="character" w:customStyle="1" w:styleId="59">
    <w:name w:val="正文文本缩进 Char1"/>
    <w:basedOn w:val="26"/>
    <w:link w:val="11"/>
    <w:semiHidden/>
    <w:qFormat/>
    <w:uiPriority w:val="99"/>
  </w:style>
  <w:style w:type="character" w:customStyle="1" w:styleId="60">
    <w:name w:val="批注框文本 Char"/>
    <w:basedOn w:val="26"/>
    <w:semiHidden/>
    <w:qFormat/>
    <w:uiPriority w:val="99"/>
    <w:rPr>
      <w:sz w:val="18"/>
      <w:szCs w:val="18"/>
    </w:rPr>
  </w:style>
  <w:style w:type="character" w:customStyle="1" w:styleId="61">
    <w:name w:val="批注框文本 Char1"/>
    <w:basedOn w:val="26"/>
    <w:link w:val="16"/>
    <w:semiHidden/>
    <w:qFormat/>
    <w:uiPriority w:val="99"/>
    <w:rPr>
      <w:sz w:val="18"/>
      <w:szCs w:val="18"/>
    </w:rPr>
  </w:style>
  <w:style w:type="paragraph" w:customStyle="1" w:styleId="62">
    <w:name w:val="Table Paragraph"/>
    <w:basedOn w:val="1"/>
    <w:qFormat/>
    <w:uiPriority w:val="1"/>
    <w:rPr>
      <w:rFonts w:ascii="Arial Unicode MS" w:hAnsi="Arial Unicode MS" w:eastAsia="Arial Unicode MS" w:cs="Arial Unicode MS"/>
      <w:lang w:val="zh-CN" w:bidi="zh-CN"/>
    </w:rPr>
  </w:style>
  <w:style w:type="paragraph" w:customStyle="1" w:styleId="63">
    <w:name w:val="*正文"/>
    <w:basedOn w:val="1"/>
    <w:qFormat/>
    <w:uiPriority w:val="0"/>
    <w:pPr>
      <w:keepNext/>
      <w:keepLines/>
      <w:spacing w:line="360" w:lineRule="auto"/>
      <w:ind w:firstLine="200" w:firstLineChars="200"/>
    </w:pPr>
    <w:rPr>
      <w:rFonts w:ascii="宋体" w:hAnsi="宋体" w:eastAsia="宋体" w:cs="Times New Roman"/>
      <w:szCs w:val="24"/>
    </w:rPr>
  </w:style>
  <w:style w:type="paragraph" w:customStyle="1" w:styleId="64">
    <w:name w:val="style4"/>
    <w:basedOn w:val="1"/>
    <w:next w:val="1"/>
    <w:qFormat/>
    <w:uiPriority w:val="0"/>
    <w:pPr>
      <w:widowControl/>
      <w:spacing w:before="280" w:after="280"/>
    </w:pPr>
    <w:rPr>
      <w:rFonts w:ascii="宋体" w:hAnsi="Times New Roman" w:eastAsia="宋体" w:cs="Times New Roman"/>
      <w:sz w:val="18"/>
      <w:szCs w:val="24"/>
    </w:rPr>
  </w:style>
  <w:style w:type="character" w:customStyle="1" w:styleId="65">
    <w:name w:val="NormalCharacter"/>
    <w:semiHidden/>
    <w:qFormat/>
    <w:uiPriority w:val="0"/>
  </w:style>
  <w:style w:type="paragraph" w:customStyle="1" w:styleId="66">
    <w:name w:val="正文 New New New New"/>
    <w:qFormat/>
    <w:uiPriority w:val="0"/>
    <w:pPr>
      <w:widowControl w:val="0"/>
      <w:jc w:val="both"/>
    </w:pPr>
    <w:rPr>
      <w:rFonts w:ascii="Times New Roman" w:hAnsi="Times New Roman" w:eastAsia="宋体" w:cs="Times New Roman"/>
      <w:szCs w:val="24"/>
      <w:lang w:val="en-US" w:eastAsia="zh-CN" w:bidi="ar-SA"/>
    </w:rPr>
  </w:style>
  <w:style w:type="character" w:customStyle="1" w:styleId="67">
    <w:name w:val="font11"/>
    <w:basedOn w:val="26"/>
    <w:qFormat/>
    <w:uiPriority w:val="0"/>
    <w:rPr>
      <w:rFonts w:hint="eastAsia" w:ascii="宋体" w:hAnsi="宋体" w:eastAsia="宋体" w:cs="宋体"/>
      <w:color w:val="000000"/>
      <w:sz w:val="18"/>
      <w:szCs w:val="18"/>
      <w:u w:val="none"/>
    </w:rPr>
  </w:style>
  <w:style w:type="paragraph" w:customStyle="1" w:styleId="68">
    <w:name w:val="_Style 13"/>
    <w:qFormat/>
    <w:uiPriority w:val="0"/>
    <w:pPr>
      <w:spacing w:before="120" w:after="120" w:line="288" w:lineRule="auto"/>
      <w:ind w:left="0"/>
      <w:jc w:val="left"/>
    </w:pPr>
    <w:rPr>
      <w:rFonts w:ascii="Arial" w:hAnsi="Arial" w:eastAsia="等线" w:cs="Arial"/>
      <w:sz w:val="22"/>
      <w:szCs w:val="2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91</Pages>
  <Words>16773</Words>
  <Characters>17667</Characters>
  <Lines>301</Lines>
  <Paragraphs>84</Paragraphs>
  <TotalTime>1</TotalTime>
  <ScaleCrop>false</ScaleCrop>
  <LinksUpToDate>false</LinksUpToDate>
  <CharactersWithSpaces>22867</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2022-07-07T01:18:00Z</dcterms:created>
  <dc:creator>许昌市公共资源交易中心:孟莉</dc:creator>
  <cp:lastModifiedBy>小郭</cp:lastModifiedBy>
  <cp:lastPrinted>2024-11-26T02:50:00Z</cp:lastPrinted>
  <dcterms:modified xsi:type="dcterms:W3CDTF">2025-11-17T01:10:30Z</dcterms:modified>
  <cp:revision>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F94322606D5944DB8D23DFABDA98532B_13</vt:lpwstr>
  </property>
  <property fmtid="{D5CDD505-2E9C-101B-9397-08002B2CF9AE}" pid="4" name="KSOTemplateDocerSaveRecord">
    <vt:lpwstr>eyJoZGlkIjoiZTkwMGU5NjljNDNiYmRjYTk3MmNkNTJhNWM4NjA3ZGIiLCJ1c2VySWQiOiIzMzMzMjEyMjUifQ==</vt:lpwstr>
  </property>
</Properties>
</file>