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30369A">
      <w:pPr>
        <w:spacing w:before="156" w:beforeLines="50" w:after="156" w:afterLines="50" w:line="240" w:lineRule="auto"/>
        <w:jc w:val="center"/>
        <w:rPr>
          <w:rFonts w:ascii="宋体" w:hAnsi="宋体" w:cs="宋体"/>
          <w:b/>
          <w:bCs/>
          <w:color w:val="auto"/>
          <w:sz w:val="36"/>
          <w:szCs w:val="36"/>
          <w:highlight w:val="none"/>
        </w:rPr>
        <w:sectPr>
          <w:footerReference r:id="rId7" w:type="first"/>
          <w:headerReference r:id="rId3" w:type="default"/>
          <w:footerReference r:id="rId5" w:type="default"/>
          <w:headerReference r:id="rId4" w:type="even"/>
          <w:footerReference r:id="rId6" w:type="even"/>
          <w:pgSz w:w="11907" w:h="16840"/>
          <w:pgMar w:top="1440" w:right="1080" w:bottom="1440" w:left="1080" w:header="737" w:footer="964" w:gutter="0"/>
          <w:pgNumType w:start="1"/>
          <w:cols w:space="720" w:num="1"/>
          <w:titlePg/>
          <w:docGrid w:type="linesAndChars" w:linePitch="312" w:charSpace="0"/>
        </w:sectPr>
      </w:pPr>
      <w:bookmarkStart w:id="0" w:name="_Toc152042286"/>
      <w:bookmarkStart w:id="1" w:name="_Toc144974478"/>
      <w:bookmarkStart w:id="855" w:name="_GoBack"/>
      <w:bookmarkEnd w:id="855"/>
      <w:r>
        <w:rPr>
          <w:rFonts w:ascii="宋体" w:hAnsi="宋体" w:cs="宋体"/>
          <w:b/>
          <w:bCs/>
          <w:color w:val="auto"/>
          <w:sz w:val="36"/>
          <w:szCs w:val="36"/>
          <w:highlight w:val="none"/>
        </w:rPr>
        <w:drawing>
          <wp:inline distT="0" distB="0" distL="114300" distR="114300">
            <wp:extent cx="6185535" cy="8736965"/>
            <wp:effectExtent l="0" t="0" r="5715" b="6985"/>
            <wp:docPr id="10" name="图片 10" descr="招标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招标文件封面"/>
                    <pic:cNvPicPr>
                      <a:picLocks noChangeAspect="1"/>
                    </pic:cNvPicPr>
                  </pic:nvPicPr>
                  <pic:blipFill>
                    <a:blip r:embed="rId18"/>
                    <a:stretch>
                      <a:fillRect/>
                    </a:stretch>
                  </pic:blipFill>
                  <pic:spPr>
                    <a:xfrm>
                      <a:off x="0" y="0"/>
                      <a:ext cx="6185535" cy="8736965"/>
                    </a:xfrm>
                    <a:prstGeom prst="rect">
                      <a:avLst/>
                    </a:prstGeom>
                  </pic:spPr>
                </pic:pic>
              </a:graphicData>
            </a:graphic>
          </wp:inline>
        </w:drawing>
      </w:r>
    </w:p>
    <w:p w14:paraId="6A62150A">
      <w:pPr>
        <w:pStyle w:val="16"/>
        <w:jc w:val="center"/>
        <w:rPr>
          <w:rFonts w:ascii="宋体" w:hAnsi="宋体" w:cs="宋体"/>
          <w:b/>
          <w:color w:val="auto"/>
          <w:sz w:val="32"/>
          <w:highlight w:val="none"/>
        </w:rPr>
      </w:pPr>
      <w:r>
        <w:rPr>
          <w:rFonts w:hint="eastAsia" w:ascii="宋体" w:hAnsi="宋体" w:cs="宋体"/>
          <w:b/>
          <w:color w:val="auto"/>
          <w:sz w:val="32"/>
          <w:highlight w:val="none"/>
        </w:rPr>
        <w:t>目     录</w:t>
      </w:r>
      <w:bookmarkEnd w:id="0"/>
      <w:bookmarkEnd w:id="1"/>
    </w:p>
    <w:p w14:paraId="0B1590AB">
      <w:pPr>
        <w:pStyle w:val="34"/>
        <w:tabs>
          <w:tab w:val="right" w:leader="dot" w:pos="8821"/>
        </w:tabs>
        <w:rPr>
          <w:color w:val="auto"/>
          <w:highlight w:val="none"/>
        </w:rPr>
      </w:pPr>
      <w:bookmarkStart w:id="2" w:name="_Toc1838"/>
      <w:bookmarkStart w:id="3" w:name="_Toc144974495"/>
      <w:bookmarkStart w:id="4" w:name="_Toc152045527"/>
      <w:bookmarkStart w:id="5" w:name="_Toc152042303"/>
      <w:bookmarkStart w:id="6" w:name="_Toc509667258"/>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TOC \o "1-2" \h \u </w:instrText>
      </w:r>
      <w:r>
        <w:rPr>
          <w:rFonts w:hint="eastAsia" w:ascii="宋体" w:hAnsi="宋体" w:cs="宋体"/>
          <w:color w:val="auto"/>
          <w:sz w:val="21"/>
          <w:szCs w:val="21"/>
          <w:highlight w:val="none"/>
        </w:rPr>
        <w:fldChar w:fldCharType="separate"/>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_Toc18545 </w:instrText>
      </w:r>
      <w:r>
        <w:rPr>
          <w:rFonts w:hint="eastAsia" w:ascii="宋体" w:hAnsi="宋体" w:cs="宋体"/>
          <w:color w:val="auto"/>
          <w:szCs w:val="21"/>
          <w:highlight w:val="none"/>
        </w:rPr>
        <w:fldChar w:fldCharType="separate"/>
      </w:r>
      <w:r>
        <w:rPr>
          <w:rFonts w:hint="eastAsia" w:ascii="宋体" w:hAnsi="宋体" w:cs="宋体"/>
          <w:bCs/>
          <w:color w:val="auto"/>
          <w:kern w:val="44"/>
          <w:szCs w:val="32"/>
          <w:highlight w:val="none"/>
          <w:lang w:val="zh-CN"/>
        </w:rPr>
        <w:t>第一章</w:t>
      </w:r>
      <w:r>
        <w:rPr>
          <w:rFonts w:hint="eastAsia" w:ascii="宋体" w:hAnsi="宋体" w:cs="宋体"/>
          <w:bCs/>
          <w:color w:val="auto"/>
          <w:kern w:val="44"/>
          <w:szCs w:val="32"/>
          <w:highlight w:val="none"/>
        </w:rPr>
        <w:t xml:space="preserve">  </w:t>
      </w:r>
      <w:r>
        <w:rPr>
          <w:rFonts w:hint="eastAsia" w:ascii="宋体" w:hAnsi="宋体" w:cs="宋体"/>
          <w:bCs/>
          <w:color w:val="auto"/>
          <w:kern w:val="44"/>
          <w:szCs w:val="32"/>
          <w:highlight w:val="none"/>
          <w:lang w:val="zh-CN"/>
        </w:rPr>
        <w:t>竞争性磋商公告</w:t>
      </w:r>
      <w:r>
        <w:rPr>
          <w:color w:val="auto"/>
          <w:highlight w:val="none"/>
        </w:rPr>
        <w:tab/>
      </w:r>
      <w:r>
        <w:rPr>
          <w:color w:val="auto"/>
          <w:highlight w:val="none"/>
        </w:rPr>
        <w:fldChar w:fldCharType="begin"/>
      </w:r>
      <w:r>
        <w:rPr>
          <w:color w:val="auto"/>
          <w:highlight w:val="none"/>
        </w:rPr>
        <w:instrText xml:space="preserve"> PAGEREF _Toc18545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color w:val="auto"/>
          <w:szCs w:val="21"/>
          <w:highlight w:val="none"/>
        </w:rPr>
        <w:fldChar w:fldCharType="end"/>
      </w:r>
    </w:p>
    <w:p w14:paraId="418FBFCB">
      <w:pPr>
        <w:pStyle w:val="34"/>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_Toc3855 </w:instrText>
      </w:r>
      <w:r>
        <w:rPr>
          <w:rFonts w:hint="eastAsia" w:ascii="宋体" w:hAnsi="宋体" w:cs="宋体"/>
          <w:color w:val="auto"/>
          <w:szCs w:val="21"/>
          <w:highlight w:val="none"/>
        </w:rPr>
        <w:fldChar w:fldCharType="separate"/>
      </w:r>
      <w:r>
        <w:rPr>
          <w:rFonts w:hint="eastAsia" w:ascii="宋体" w:hAnsi="宋体" w:cs="宋体"/>
          <w:bCs w:val="0"/>
          <w:color w:val="auto"/>
          <w:szCs w:val="32"/>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_Toc3855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cs="宋体"/>
          <w:color w:val="auto"/>
          <w:szCs w:val="21"/>
          <w:highlight w:val="none"/>
        </w:rPr>
        <w:fldChar w:fldCharType="end"/>
      </w:r>
    </w:p>
    <w:p w14:paraId="0896C690">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_Toc15338 </w:instrText>
      </w:r>
      <w:r>
        <w:rPr>
          <w:rFonts w:hint="eastAsia" w:ascii="宋体" w:hAnsi="宋体" w:cs="宋体"/>
          <w:color w:val="auto"/>
          <w:szCs w:val="21"/>
          <w:highlight w:val="none"/>
        </w:rPr>
        <w:fldChar w:fldCharType="separate"/>
      </w:r>
      <w:r>
        <w:rPr>
          <w:rFonts w:hint="eastAsia" w:ascii="宋体" w:hAnsi="宋体" w:eastAsia="宋体"/>
          <w:bCs w:val="0"/>
          <w:color w:val="auto"/>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_Toc15338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cs="宋体"/>
          <w:color w:val="auto"/>
          <w:szCs w:val="21"/>
          <w:highlight w:val="none"/>
        </w:rPr>
        <w:fldChar w:fldCharType="end"/>
      </w:r>
    </w:p>
    <w:p w14:paraId="4186C5E0">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_Toc30082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1. 总则</w:t>
      </w:r>
      <w:r>
        <w:rPr>
          <w:color w:val="auto"/>
          <w:highlight w:val="none"/>
        </w:rPr>
        <w:tab/>
      </w:r>
      <w:r>
        <w:rPr>
          <w:color w:val="auto"/>
          <w:highlight w:val="none"/>
        </w:rPr>
        <w:fldChar w:fldCharType="begin"/>
      </w:r>
      <w:r>
        <w:rPr>
          <w:color w:val="auto"/>
          <w:highlight w:val="none"/>
        </w:rPr>
        <w:instrText xml:space="preserve"> PAGEREF _Toc30082 \h </w:instrText>
      </w:r>
      <w:r>
        <w:rPr>
          <w:color w:val="auto"/>
          <w:highlight w:val="none"/>
        </w:rPr>
        <w:fldChar w:fldCharType="separate"/>
      </w:r>
      <w:r>
        <w:rPr>
          <w:color w:val="auto"/>
          <w:highlight w:val="none"/>
        </w:rPr>
        <w:t>12</w:t>
      </w:r>
      <w:r>
        <w:rPr>
          <w:color w:val="auto"/>
          <w:highlight w:val="none"/>
        </w:rPr>
        <w:fldChar w:fldCharType="end"/>
      </w:r>
      <w:r>
        <w:rPr>
          <w:rFonts w:hint="eastAsia" w:ascii="宋体" w:hAnsi="宋体" w:cs="宋体"/>
          <w:color w:val="auto"/>
          <w:szCs w:val="21"/>
          <w:highlight w:val="none"/>
        </w:rPr>
        <w:fldChar w:fldCharType="end"/>
      </w:r>
    </w:p>
    <w:p w14:paraId="32050DCA">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_Toc23668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2. 磋商文件</w:t>
      </w:r>
      <w:r>
        <w:rPr>
          <w:color w:val="auto"/>
          <w:highlight w:val="none"/>
        </w:rPr>
        <w:tab/>
      </w:r>
      <w:r>
        <w:rPr>
          <w:color w:val="auto"/>
          <w:highlight w:val="none"/>
        </w:rPr>
        <w:fldChar w:fldCharType="begin"/>
      </w:r>
      <w:r>
        <w:rPr>
          <w:color w:val="auto"/>
          <w:highlight w:val="none"/>
        </w:rPr>
        <w:instrText xml:space="preserve"> PAGEREF _Toc23668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color w:val="auto"/>
          <w:szCs w:val="21"/>
          <w:highlight w:val="none"/>
        </w:rPr>
        <w:fldChar w:fldCharType="end"/>
      </w:r>
    </w:p>
    <w:p w14:paraId="14D42F2C">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_Toc12256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3. 响应文件</w:t>
      </w:r>
      <w:r>
        <w:rPr>
          <w:color w:val="auto"/>
          <w:highlight w:val="none"/>
        </w:rPr>
        <w:tab/>
      </w:r>
      <w:r>
        <w:rPr>
          <w:color w:val="auto"/>
          <w:highlight w:val="none"/>
        </w:rPr>
        <w:fldChar w:fldCharType="begin"/>
      </w:r>
      <w:r>
        <w:rPr>
          <w:color w:val="auto"/>
          <w:highlight w:val="none"/>
        </w:rPr>
        <w:instrText xml:space="preserve"> PAGEREF _Toc12256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cs="宋体"/>
          <w:color w:val="auto"/>
          <w:szCs w:val="21"/>
          <w:highlight w:val="none"/>
        </w:rPr>
        <w:fldChar w:fldCharType="end"/>
      </w:r>
    </w:p>
    <w:p w14:paraId="72B3E757">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_Toc4743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4. 磋商</w:t>
      </w:r>
      <w:r>
        <w:rPr>
          <w:color w:val="auto"/>
          <w:highlight w:val="none"/>
        </w:rPr>
        <w:tab/>
      </w:r>
      <w:r>
        <w:rPr>
          <w:color w:val="auto"/>
          <w:highlight w:val="none"/>
        </w:rPr>
        <w:fldChar w:fldCharType="begin"/>
      </w:r>
      <w:r>
        <w:rPr>
          <w:color w:val="auto"/>
          <w:highlight w:val="none"/>
        </w:rPr>
        <w:instrText xml:space="preserve"> PAGEREF _Toc4743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color w:val="auto"/>
          <w:szCs w:val="21"/>
          <w:highlight w:val="none"/>
        </w:rPr>
        <w:fldChar w:fldCharType="end"/>
      </w:r>
    </w:p>
    <w:p w14:paraId="502E17FC">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_Toc7351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5. 磋商开始</w:t>
      </w:r>
      <w:r>
        <w:rPr>
          <w:color w:val="auto"/>
          <w:highlight w:val="none"/>
        </w:rPr>
        <w:tab/>
      </w:r>
      <w:r>
        <w:rPr>
          <w:color w:val="auto"/>
          <w:highlight w:val="none"/>
        </w:rPr>
        <w:fldChar w:fldCharType="begin"/>
      </w:r>
      <w:r>
        <w:rPr>
          <w:color w:val="auto"/>
          <w:highlight w:val="none"/>
        </w:rPr>
        <w:instrText xml:space="preserve"> PAGEREF _Toc7351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cs="宋体"/>
          <w:color w:val="auto"/>
          <w:szCs w:val="21"/>
          <w:highlight w:val="none"/>
        </w:rPr>
        <w:fldChar w:fldCharType="end"/>
      </w:r>
    </w:p>
    <w:p w14:paraId="5472DBA4">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_Toc21849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6. 磋商小组</w:t>
      </w:r>
      <w:r>
        <w:rPr>
          <w:color w:val="auto"/>
          <w:highlight w:val="none"/>
        </w:rPr>
        <w:tab/>
      </w:r>
      <w:r>
        <w:rPr>
          <w:color w:val="auto"/>
          <w:highlight w:val="none"/>
        </w:rPr>
        <w:fldChar w:fldCharType="begin"/>
      </w:r>
      <w:r>
        <w:rPr>
          <w:color w:val="auto"/>
          <w:highlight w:val="none"/>
        </w:rPr>
        <w:instrText xml:space="preserve"> PAGEREF _Toc21849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cs="宋体"/>
          <w:color w:val="auto"/>
          <w:szCs w:val="21"/>
          <w:highlight w:val="none"/>
        </w:rPr>
        <w:fldChar w:fldCharType="end"/>
      </w:r>
    </w:p>
    <w:p w14:paraId="23312081">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_Toc1166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7. 合同授予</w:t>
      </w:r>
      <w:r>
        <w:rPr>
          <w:color w:val="auto"/>
          <w:highlight w:val="none"/>
        </w:rPr>
        <w:tab/>
      </w:r>
      <w:r>
        <w:rPr>
          <w:color w:val="auto"/>
          <w:highlight w:val="none"/>
        </w:rPr>
        <w:fldChar w:fldCharType="begin"/>
      </w:r>
      <w:r>
        <w:rPr>
          <w:color w:val="auto"/>
          <w:highlight w:val="none"/>
        </w:rPr>
        <w:instrText xml:space="preserve"> PAGEREF _Toc1166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cs="宋体"/>
          <w:color w:val="auto"/>
          <w:szCs w:val="21"/>
          <w:highlight w:val="none"/>
        </w:rPr>
        <w:fldChar w:fldCharType="end"/>
      </w:r>
    </w:p>
    <w:p w14:paraId="23FFF21F">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_Toc30098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8.重新招标</w:t>
      </w:r>
      <w:r>
        <w:rPr>
          <w:color w:val="auto"/>
          <w:highlight w:val="none"/>
        </w:rPr>
        <w:tab/>
      </w:r>
      <w:r>
        <w:rPr>
          <w:color w:val="auto"/>
          <w:highlight w:val="none"/>
        </w:rPr>
        <w:fldChar w:fldCharType="begin"/>
      </w:r>
      <w:r>
        <w:rPr>
          <w:color w:val="auto"/>
          <w:highlight w:val="none"/>
        </w:rPr>
        <w:instrText xml:space="preserve"> PAGEREF _Toc30098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cs="宋体"/>
          <w:color w:val="auto"/>
          <w:szCs w:val="21"/>
          <w:highlight w:val="none"/>
        </w:rPr>
        <w:fldChar w:fldCharType="end"/>
      </w:r>
    </w:p>
    <w:p w14:paraId="1BC61F10">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_Toc18637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9.纪律和监督</w:t>
      </w:r>
      <w:r>
        <w:rPr>
          <w:color w:val="auto"/>
          <w:highlight w:val="none"/>
        </w:rPr>
        <w:tab/>
      </w:r>
      <w:r>
        <w:rPr>
          <w:color w:val="auto"/>
          <w:highlight w:val="none"/>
        </w:rPr>
        <w:fldChar w:fldCharType="begin"/>
      </w:r>
      <w:r>
        <w:rPr>
          <w:color w:val="auto"/>
          <w:highlight w:val="none"/>
        </w:rPr>
        <w:instrText xml:space="preserve"> PAGEREF _Toc18637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cs="宋体"/>
          <w:color w:val="auto"/>
          <w:szCs w:val="21"/>
          <w:highlight w:val="none"/>
        </w:rPr>
        <w:fldChar w:fldCharType="end"/>
      </w:r>
    </w:p>
    <w:p w14:paraId="3F2EFE74">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_Toc13750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10. 需要补充的其他内容</w:t>
      </w:r>
      <w:r>
        <w:rPr>
          <w:color w:val="auto"/>
          <w:highlight w:val="none"/>
        </w:rPr>
        <w:tab/>
      </w:r>
      <w:r>
        <w:rPr>
          <w:color w:val="auto"/>
          <w:highlight w:val="none"/>
        </w:rPr>
        <w:fldChar w:fldCharType="begin"/>
      </w:r>
      <w:r>
        <w:rPr>
          <w:color w:val="auto"/>
          <w:highlight w:val="none"/>
        </w:rPr>
        <w:instrText xml:space="preserve"> PAGEREF _Toc13750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cs="宋体"/>
          <w:color w:val="auto"/>
          <w:szCs w:val="21"/>
          <w:highlight w:val="none"/>
        </w:rPr>
        <w:fldChar w:fldCharType="end"/>
      </w:r>
    </w:p>
    <w:p w14:paraId="3B3973CD">
      <w:pPr>
        <w:pStyle w:val="34"/>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_Toc28383 </w:instrText>
      </w:r>
      <w:r>
        <w:rPr>
          <w:rFonts w:hint="eastAsia" w:ascii="宋体" w:hAnsi="宋体" w:cs="宋体"/>
          <w:color w:val="auto"/>
          <w:szCs w:val="21"/>
          <w:highlight w:val="none"/>
        </w:rPr>
        <w:fldChar w:fldCharType="separate"/>
      </w:r>
      <w:r>
        <w:rPr>
          <w:rFonts w:hint="eastAsia" w:ascii="宋体" w:hAnsi="宋体" w:cs="宋体"/>
          <w:color w:val="auto"/>
          <w:kern w:val="44"/>
          <w:szCs w:val="36"/>
          <w:highlight w:val="none"/>
        </w:rPr>
        <w:t>第三章  评审办法（综合评分法）</w:t>
      </w:r>
      <w:r>
        <w:rPr>
          <w:color w:val="auto"/>
          <w:highlight w:val="none"/>
        </w:rPr>
        <w:tab/>
      </w:r>
      <w:r>
        <w:rPr>
          <w:color w:val="auto"/>
          <w:highlight w:val="none"/>
        </w:rPr>
        <w:fldChar w:fldCharType="begin"/>
      </w:r>
      <w:r>
        <w:rPr>
          <w:color w:val="auto"/>
          <w:highlight w:val="none"/>
        </w:rPr>
        <w:instrText xml:space="preserve"> PAGEREF _Toc28383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cs="宋体"/>
          <w:color w:val="auto"/>
          <w:szCs w:val="21"/>
          <w:highlight w:val="none"/>
        </w:rPr>
        <w:fldChar w:fldCharType="end"/>
      </w:r>
    </w:p>
    <w:p w14:paraId="40325DE9">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_Toc26792 </w:instrText>
      </w:r>
      <w:r>
        <w:rPr>
          <w:rFonts w:hint="eastAsia" w:ascii="宋体" w:hAnsi="宋体" w:cs="宋体"/>
          <w:color w:val="auto"/>
          <w:szCs w:val="21"/>
          <w:highlight w:val="none"/>
        </w:rPr>
        <w:fldChar w:fldCharType="separate"/>
      </w:r>
      <w:r>
        <w:rPr>
          <w:rFonts w:hint="eastAsia" w:ascii="宋体" w:hAnsi="宋体" w:cs="宋体"/>
          <w:bCs/>
          <w:color w:val="auto"/>
          <w:szCs w:val="28"/>
          <w:highlight w:val="none"/>
        </w:rPr>
        <w:t>评审办法前附表</w:t>
      </w:r>
      <w:r>
        <w:rPr>
          <w:color w:val="auto"/>
          <w:highlight w:val="none"/>
        </w:rPr>
        <w:tab/>
      </w:r>
      <w:r>
        <w:rPr>
          <w:color w:val="auto"/>
          <w:highlight w:val="none"/>
        </w:rPr>
        <w:fldChar w:fldCharType="begin"/>
      </w:r>
      <w:r>
        <w:rPr>
          <w:color w:val="auto"/>
          <w:highlight w:val="none"/>
        </w:rPr>
        <w:instrText xml:space="preserve"> PAGEREF _Toc26792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cs="宋体"/>
          <w:color w:val="auto"/>
          <w:szCs w:val="21"/>
          <w:highlight w:val="none"/>
        </w:rPr>
        <w:fldChar w:fldCharType="end"/>
      </w:r>
    </w:p>
    <w:p w14:paraId="57F5059B">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_Toc23733 </w:instrText>
      </w:r>
      <w:r>
        <w:rPr>
          <w:rFonts w:hint="eastAsia" w:ascii="宋体" w:hAnsi="宋体" w:cs="宋体"/>
          <w:color w:val="auto"/>
          <w:szCs w:val="21"/>
          <w:highlight w:val="none"/>
        </w:rPr>
        <w:fldChar w:fldCharType="separate"/>
      </w:r>
      <w:r>
        <w:rPr>
          <w:rFonts w:hint="eastAsia" w:ascii="宋体" w:hAnsi="宋体" w:cs="宋体"/>
          <w:color w:val="auto"/>
          <w:highlight w:val="none"/>
        </w:rPr>
        <w:t>1. 评审方法</w:t>
      </w:r>
      <w:r>
        <w:rPr>
          <w:color w:val="auto"/>
          <w:highlight w:val="none"/>
        </w:rPr>
        <w:tab/>
      </w:r>
      <w:r>
        <w:rPr>
          <w:color w:val="auto"/>
          <w:highlight w:val="none"/>
        </w:rPr>
        <w:fldChar w:fldCharType="begin"/>
      </w:r>
      <w:r>
        <w:rPr>
          <w:color w:val="auto"/>
          <w:highlight w:val="none"/>
        </w:rPr>
        <w:instrText xml:space="preserve"> PAGEREF _Toc23733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cs="宋体"/>
          <w:color w:val="auto"/>
          <w:szCs w:val="21"/>
          <w:highlight w:val="none"/>
        </w:rPr>
        <w:fldChar w:fldCharType="end"/>
      </w:r>
    </w:p>
    <w:p w14:paraId="219DBFB1">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_Toc10437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2. 评审标准</w:t>
      </w:r>
      <w:r>
        <w:rPr>
          <w:color w:val="auto"/>
          <w:highlight w:val="none"/>
        </w:rPr>
        <w:tab/>
      </w:r>
      <w:r>
        <w:rPr>
          <w:color w:val="auto"/>
          <w:highlight w:val="none"/>
        </w:rPr>
        <w:fldChar w:fldCharType="begin"/>
      </w:r>
      <w:r>
        <w:rPr>
          <w:color w:val="auto"/>
          <w:highlight w:val="none"/>
        </w:rPr>
        <w:instrText xml:space="preserve"> PAGEREF _Toc10437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cs="宋体"/>
          <w:color w:val="auto"/>
          <w:szCs w:val="21"/>
          <w:highlight w:val="none"/>
        </w:rPr>
        <w:fldChar w:fldCharType="end"/>
      </w:r>
    </w:p>
    <w:p w14:paraId="288FBD8D">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_Toc9888 </w:instrText>
      </w:r>
      <w:r>
        <w:rPr>
          <w:rFonts w:hint="eastAsia" w:ascii="宋体" w:hAnsi="宋体" w:cs="宋体"/>
          <w:color w:val="auto"/>
          <w:szCs w:val="21"/>
          <w:highlight w:val="none"/>
        </w:rPr>
        <w:fldChar w:fldCharType="separate"/>
      </w:r>
      <w:r>
        <w:rPr>
          <w:rFonts w:hint="eastAsia" w:ascii="宋体" w:hAnsi="宋体" w:eastAsia="宋体"/>
          <w:color w:val="auto"/>
          <w:szCs w:val="24"/>
          <w:highlight w:val="none"/>
        </w:rPr>
        <w:t>3. 评审程序</w:t>
      </w:r>
      <w:r>
        <w:rPr>
          <w:color w:val="auto"/>
          <w:highlight w:val="none"/>
        </w:rPr>
        <w:tab/>
      </w:r>
      <w:r>
        <w:rPr>
          <w:color w:val="auto"/>
          <w:highlight w:val="none"/>
        </w:rPr>
        <w:fldChar w:fldCharType="begin"/>
      </w:r>
      <w:r>
        <w:rPr>
          <w:color w:val="auto"/>
          <w:highlight w:val="none"/>
        </w:rPr>
        <w:instrText xml:space="preserve"> PAGEREF _Toc9888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cs="宋体"/>
          <w:color w:val="auto"/>
          <w:szCs w:val="21"/>
          <w:highlight w:val="none"/>
        </w:rPr>
        <w:fldChar w:fldCharType="end"/>
      </w:r>
    </w:p>
    <w:p w14:paraId="280E115E">
      <w:pPr>
        <w:pStyle w:val="34"/>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_Toc14046 </w:instrText>
      </w:r>
      <w:r>
        <w:rPr>
          <w:rFonts w:hint="eastAsia" w:ascii="宋体" w:hAnsi="宋体" w:cs="宋体"/>
          <w:color w:val="auto"/>
          <w:szCs w:val="21"/>
          <w:highlight w:val="none"/>
        </w:rPr>
        <w:fldChar w:fldCharType="separate"/>
      </w:r>
      <w:r>
        <w:rPr>
          <w:rFonts w:hint="eastAsia" w:ascii="宋体" w:hAnsi="宋体" w:cs="宋体"/>
          <w:bCs w:val="0"/>
          <w:color w:val="auto"/>
          <w:szCs w:val="36"/>
          <w:highlight w:val="none"/>
        </w:rPr>
        <w:t>第</w:t>
      </w:r>
      <w:r>
        <w:rPr>
          <w:rFonts w:hint="eastAsia" w:ascii="宋体" w:hAnsi="宋体" w:cs="宋体"/>
          <w:bCs w:val="0"/>
          <w:color w:val="auto"/>
          <w:szCs w:val="32"/>
          <w:highlight w:val="none"/>
        </w:rPr>
        <w:t>四章 合同</w:t>
      </w:r>
      <w:r>
        <w:rPr>
          <w:color w:val="auto"/>
          <w:highlight w:val="none"/>
        </w:rPr>
        <w:tab/>
      </w:r>
      <w:r>
        <w:rPr>
          <w:color w:val="auto"/>
          <w:highlight w:val="none"/>
        </w:rPr>
        <w:fldChar w:fldCharType="begin"/>
      </w:r>
      <w:r>
        <w:rPr>
          <w:color w:val="auto"/>
          <w:highlight w:val="none"/>
        </w:rPr>
        <w:instrText xml:space="preserve"> PAGEREF _Toc14046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cs="宋体"/>
          <w:color w:val="auto"/>
          <w:szCs w:val="21"/>
          <w:highlight w:val="none"/>
        </w:rPr>
        <w:fldChar w:fldCharType="end"/>
      </w:r>
    </w:p>
    <w:p w14:paraId="2DD3DD63">
      <w:pPr>
        <w:pStyle w:val="34"/>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_Toc6376 </w:instrText>
      </w:r>
      <w:r>
        <w:rPr>
          <w:rFonts w:hint="eastAsia" w:ascii="宋体" w:hAnsi="宋体" w:cs="宋体"/>
          <w:color w:val="auto"/>
          <w:szCs w:val="21"/>
          <w:highlight w:val="none"/>
        </w:rPr>
        <w:fldChar w:fldCharType="separate"/>
      </w:r>
      <w:r>
        <w:rPr>
          <w:rFonts w:hint="eastAsia" w:ascii="宋体" w:hAnsi="宋体" w:cs="宋体"/>
          <w:bCs w:val="0"/>
          <w:color w:val="auto"/>
          <w:szCs w:val="32"/>
          <w:highlight w:val="none"/>
        </w:rPr>
        <w:t xml:space="preserve">第五章 </w:t>
      </w:r>
      <w:r>
        <w:rPr>
          <w:rFonts w:hint="eastAsia" w:ascii="宋体" w:hAnsi="宋体" w:cs="宋体"/>
          <w:bCs w:val="0"/>
          <w:color w:val="auto"/>
          <w:szCs w:val="32"/>
          <w:highlight w:val="none"/>
          <w:lang w:eastAsia="zh-CN"/>
        </w:rPr>
        <w:t>采购需求及技术要求</w:t>
      </w:r>
      <w:r>
        <w:rPr>
          <w:color w:val="auto"/>
          <w:highlight w:val="none"/>
        </w:rPr>
        <w:tab/>
      </w:r>
      <w:r>
        <w:rPr>
          <w:color w:val="auto"/>
          <w:highlight w:val="none"/>
        </w:rPr>
        <w:fldChar w:fldCharType="begin"/>
      </w:r>
      <w:r>
        <w:rPr>
          <w:color w:val="auto"/>
          <w:highlight w:val="none"/>
        </w:rPr>
        <w:instrText xml:space="preserve"> PAGEREF _Toc6376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cs="宋体"/>
          <w:color w:val="auto"/>
          <w:szCs w:val="21"/>
          <w:highlight w:val="none"/>
        </w:rPr>
        <w:fldChar w:fldCharType="end"/>
      </w:r>
    </w:p>
    <w:p w14:paraId="2DF04629">
      <w:pPr>
        <w:pStyle w:val="34"/>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_Toc27114 </w:instrText>
      </w:r>
      <w:r>
        <w:rPr>
          <w:rFonts w:hint="eastAsia" w:ascii="宋体" w:hAnsi="宋体" w:cs="宋体"/>
          <w:color w:val="auto"/>
          <w:szCs w:val="21"/>
          <w:highlight w:val="none"/>
        </w:rPr>
        <w:fldChar w:fldCharType="separate"/>
      </w:r>
      <w:r>
        <w:rPr>
          <w:rFonts w:hint="eastAsia" w:ascii="宋体" w:hAnsi="宋体" w:cs="宋体"/>
          <w:bCs w:val="0"/>
          <w:color w:val="auto"/>
          <w:szCs w:val="36"/>
          <w:highlight w:val="none"/>
        </w:rPr>
        <w:t>第六章 竞争性磋商响应文件格式</w:t>
      </w:r>
      <w:r>
        <w:rPr>
          <w:color w:val="auto"/>
          <w:highlight w:val="none"/>
        </w:rPr>
        <w:tab/>
      </w:r>
      <w:r>
        <w:rPr>
          <w:color w:val="auto"/>
          <w:highlight w:val="none"/>
        </w:rPr>
        <w:fldChar w:fldCharType="begin"/>
      </w:r>
      <w:r>
        <w:rPr>
          <w:color w:val="auto"/>
          <w:highlight w:val="none"/>
        </w:rPr>
        <w:instrText xml:space="preserve"> PAGEREF _Toc27114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cs="宋体"/>
          <w:color w:val="auto"/>
          <w:szCs w:val="21"/>
          <w:highlight w:val="none"/>
        </w:rPr>
        <w:fldChar w:fldCharType="end"/>
      </w:r>
    </w:p>
    <w:p w14:paraId="654E313A">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_Toc17201 </w:instrText>
      </w:r>
      <w:r>
        <w:rPr>
          <w:rFonts w:hint="eastAsia" w:ascii="宋体" w:hAnsi="宋体" w:cs="宋体"/>
          <w:color w:val="auto"/>
          <w:szCs w:val="21"/>
          <w:highlight w:val="none"/>
        </w:rPr>
        <w:fldChar w:fldCharType="separate"/>
      </w:r>
      <w:r>
        <w:rPr>
          <w:rFonts w:hint="eastAsia" w:ascii="宋体" w:hAnsi="宋体" w:eastAsia="宋体"/>
          <w:color w:val="auto"/>
          <w:szCs w:val="28"/>
          <w:highlight w:val="none"/>
        </w:rPr>
        <w:t>目    录</w:t>
      </w:r>
      <w:r>
        <w:rPr>
          <w:color w:val="auto"/>
          <w:highlight w:val="none"/>
        </w:rPr>
        <w:tab/>
      </w:r>
      <w:r>
        <w:rPr>
          <w:color w:val="auto"/>
          <w:highlight w:val="none"/>
        </w:rPr>
        <w:fldChar w:fldCharType="begin"/>
      </w:r>
      <w:r>
        <w:rPr>
          <w:color w:val="auto"/>
          <w:highlight w:val="none"/>
        </w:rPr>
        <w:instrText xml:space="preserve"> PAGEREF _Toc17201 \h </w:instrText>
      </w:r>
      <w:r>
        <w:rPr>
          <w:color w:val="auto"/>
          <w:highlight w:val="none"/>
        </w:rPr>
        <w:fldChar w:fldCharType="separate"/>
      </w:r>
      <w:r>
        <w:rPr>
          <w:color w:val="auto"/>
          <w:highlight w:val="none"/>
        </w:rPr>
        <w:t>39</w:t>
      </w:r>
      <w:r>
        <w:rPr>
          <w:color w:val="auto"/>
          <w:highlight w:val="none"/>
        </w:rPr>
        <w:fldChar w:fldCharType="end"/>
      </w:r>
      <w:r>
        <w:rPr>
          <w:rFonts w:hint="eastAsia" w:ascii="宋体" w:hAnsi="宋体" w:cs="宋体"/>
          <w:color w:val="auto"/>
          <w:szCs w:val="21"/>
          <w:highlight w:val="none"/>
        </w:rPr>
        <w:fldChar w:fldCharType="end"/>
      </w:r>
    </w:p>
    <w:p w14:paraId="40C88BAA">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_Toc32099 </w:instrText>
      </w:r>
      <w:r>
        <w:rPr>
          <w:rFonts w:hint="eastAsia" w:ascii="宋体" w:hAnsi="宋体" w:cs="宋体"/>
          <w:color w:val="auto"/>
          <w:szCs w:val="21"/>
          <w:highlight w:val="none"/>
        </w:rPr>
        <w:fldChar w:fldCharType="separate"/>
      </w:r>
      <w:r>
        <w:rPr>
          <w:rFonts w:hint="default" w:ascii="宋体" w:hAnsi="宋体" w:eastAsia="宋体"/>
          <w:color w:val="auto"/>
          <w:highlight w:val="none"/>
        </w:rPr>
        <w:t xml:space="preserve">一、 </w:t>
      </w:r>
      <w:r>
        <w:rPr>
          <w:rFonts w:hint="eastAsia" w:ascii="宋体" w:hAnsi="宋体" w:eastAsia="宋体"/>
          <w:color w:val="auto"/>
          <w:highlight w:val="none"/>
        </w:rPr>
        <w:t>磋商函及磋商函附录</w:t>
      </w:r>
      <w:r>
        <w:rPr>
          <w:color w:val="auto"/>
          <w:highlight w:val="none"/>
        </w:rPr>
        <w:tab/>
      </w:r>
      <w:r>
        <w:rPr>
          <w:color w:val="auto"/>
          <w:highlight w:val="none"/>
        </w:rPr>
        <w:fldChar w:fldCharType="begin"/>
      </w:r>
      <w:r>
        <w:rPr>
          <w:color w:val="auto"/>
          <w:highlight w:val="none"/>
        </w:rPr>
        <w:instrText xml:space="preserve"> PAGEREF _Toc32099 \h </w:instrText>
      </w:r>
      <w:r>
        <w:rPr>
          <w:color w:val="auto"/>
          <w:highlight w:val="none"/>
        </w:rPr>
        <w:fldChar w:fldCharType="separate"/>
      </w:r>
      <w:r>
        <w:rPr>
          <w:color w:val="auto"/>
          <w:highlight w:val="none"/>
        </w:rPr>
        <w:t>40</w:t>
      </w:r>
      <w:r>
        <w:rPr>
          <w:color w:val="auto"/>
          <w:highlight w:val="none"/>
        </w:rPr>
        <w:fldChar w:fldCharType="end"/>
      </w:r>
      <w:r>
        <w:rPr>
          <w:rFonts w:hint="eastAsia" w:ascii="宋体" w:hAnsi="宋体" w:cs="宋体"/>
          <w:color w:val="auto"/>
          <w:szCs w:val="21"/>
          <w:highlight w:val="none"/>
        </w:rPr>
        <w:fldChar w:fldCharType="end"/>
      </w:r>
    </w:p>
    <w:p w14:paraId="1BDB2F99">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_Toc15340 </w:instrText>
      </w:r>
      <w:r>
        <w:rPr>
          <w:rFonts w:hint="eastAsia" w:ascii="宋体" w:hAnsi="宋体" w:cs="宋体"/>
          <w:color w:val="auto"/>
          <w:szCs w:val="21"/>
          <w:highlight w:val="none"/>
        </w:rPr>
        <w:fldChar w:fldCharType="separate"/>
      </w:r>
      <w:r>
        <w:rPr>
          <w:rFonts w:hint="eastAsia" w:ascii="宋体" w:hAnsi="宋体" w:eastAsia="宋体"/>
          <w:color w:val="auto"/>
          <w:highlight w:val="none"/>
        </w:rPr>
        <w:t>二、法定代表身份证明</w:t>
      </w:r>
      <w:r>
        <w:rPr>
          <w:color w:val="auto"/>
          <w:highlight w:val="none"/>
        </w:rPr>
        <w:tab/>
      </w:r>
      <w:r>
        <w:rPr>
          <w:color w:val="auto"/>
          <w:highlight w:val="none"/>
        </w:rPr>
        <w:fldChar w:fldCharType="begin"/>
      </w:r>
      <w:r>
        <w:rPr>
          <w:color w:val="auto"/>
          <w:highlight w:val="none"/>
        </w:rPr>
        <w:instrText xml:space="preserve"> PAGEREF _Toc15340 \h </w:instrText>
      </w:r>
      <w:r>
        <w:rPr>
          <w:color w:val="auto"/>
          <w:highlight w:val="none"/>
        </w:rPr>
        <w:fldChar w:fldCharType="separate"/>
      </w:r>
      <w:r>
        <w:rPr>
          <w:color w:val="auto"/>
          <w:highlight w:val="none"/>
        </w:rPr>
        <w:t>42</w:t>
      </w:r>
      <w:r>
        <w:rPr>
          <w:color w:val="auto"/>
          <w:highlight w:val="none"/>
        </w:rPr>
        <w:fldChar w:fldCharType="end"/>
      </w:r>
      <w:r>
        <w:rPr>
          <w:rFonts w:hint="eastAsia" w:ascii="宋体" w:hAnsi="宋体" w:cs="宋体"/>
          <w:color w:val="auto"/>
          <w:szCs w:val="21"/>
          <w:highlight w:val="none"/>
        </w:rPr>
        <w:fldChar w:fldCharType="end"/>
      </w:r>
    </w:p>
    <w:p w14:paraId="2FEB9424">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_Toc15207 </w:instrText>
      </w:r>
      <w:r>
        <w:rPr>
          <w:rFonts w:hint="eastAsia" w:ascii="宋体" w:hAnsi="宋体" w:cs="宋体"/>
          <w:color w:val="auto"/>
          <w:szCs w:val="21"/>
          <w:highlight w:val="none"/>
        </w:rPr>
        <w:fldChar w:fldCharType="separate"/>
      </w:r>
      <w:r>
        <w:rPr>
          <w:rFonts w:hint="eastAsia" w:ascii="宋体" w:hAnsi="宋体" w:eastAsia="宋体" w:cs="宋体"/>
          <w:color w:val="auto"/>
          <w:highlight w:val="none"/>
        </w:rPr>
        <w:t>三、授权委托书</w:t>
      </w:r>
      <w:r>
        <w:rPr>
          <w:color w:val="auto"/>
          <w:highlight w:val="none"/>
        </w:rPr>
        <w:tab/>
      </w:r>
      <w:r>
        <w:rPr>
          <w:color w:val="auto"/>
          <w:highlight w:val="none"/>
        </w:rPr>
        <w:fldChar w:fldCharType="begin"/>
      </w:r>
      <w:r>
        <w:rPr>
          <w:color w:val="auto"/>
          <w:highlight w:val="none"/>
        </w:rPr>
        <w:instrText xml:space="preserve"> PAGEREF _Toc15207 \h </w:instrText>
      </w:r>
      <w:r>
        <w:rPr>
          <w:color w:val="auto"/>
          <w:highlight w:val="none"/>
        </w:rPr>
        <w:fldChar w:fldCharType="separate"/>
      </w:r>
      <w:r>
        <w:rPr>
          <w:color w:val="auto"/>
          <w:highlight w:val="none"/>
        </w:rPr>
        <w:t>43</w:t>
      </w:r>
      <w:r>
        <w:rPr>
          <w:color w:val="auto"/>
          <w:highlight w:val="none"/>
        </w:rPr>
        <w:fldChar w:fldCharType="end"/>
      </w:r>
      <w:r>
        <w:rPr>
          <w:rFonts w:hint="eastAsia" w:ascii="宋体" w:hAnsi="宋体" w:cs="宋体"/>
          <w:color w:val="auto"/>
          <w:szCs w:val="21"/>
          <w:highlight w:val="none"/>
        </w:rPr>
        <w:fldChar w:fldCharType="end"/>
      </w:r>
    </w:p>
    <w:p w14:paraId="0EAFAC8A">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_Toc17506 </w:instrText>
      </w:r>
      <w:r>
        <w:rPr>
          <w:rFonts w:hint="eastAsia" w:ascii="宋体" w:hAnsi="宋体" w:cs="宋体"/>
          <w:color w:val="auto"/>
          <w:szCs w:val="21"/>
          <w:highlight w:val="none"/>
        </w:rPr>
        <w:fldChar w:fldCharType="separate"/>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、资格审查资料</w:t>
      </w:r>
      <w:r>
        <w:rPr>
          <w:color w:val="auto"/>
          <w:highlight w:val="none"/>
        </w:rPr>
        <w:tab/>
      </w:r>
      <w:r>
        <w:rPr>
          <w:color w:val="auto"/>
          <w:highlight w:val="none"/>
        </w:rPr>
        <w:fldChar w:fldCharType="begin"/>
      </w:r>
      <w:r>
        <w:rPr>
          <w:color w:val="auto"/>
          <w:highlight w:val="none"/>
        </w:rPr>
        <w:instrText xml:space="preserve"> PAGEREF _Toc17506 \h </w:instrText>
      </w:r>
      <w:r>
        <w:rPr>
          <w:color w:val="auto"/>
          <w:highlight w:val="none"/>
        </w:rPr>
        <w:fldChar w:fldCharType="separate"/>
      </w:r>
      <w:r>
        <w:rPr>
          <w:color w:val="auto"/>
          <w:highlight w:val="none"/>
        </w:rPr>
        <w:t>44</w:t>
      </w:r>
      <w:r>
        <w:rPr>
          <w:color w:val="auto"/>
          <w:highlight w:val="none"/>
        </w:rPr>
        <w:fldChar w:fldCharType="end"/>
      </w:r>
      <w:r>
        <w:rPr>
          <w:rFonts w:hint="eastAsia" w:ascii="宋体" w:hAnsi="宋体" w:cs="宋体"/>
          <w:color w:val="auto"/>
          <w:szCs w:val="21"/>
          <w:highlight w:val="none"/>
        </w:rPr>
        <w:fldChar w:fldCharType="end"/>
      </w:r>
    </w:p>
    <w:p w14:paraId="10A5FFD0">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_Toc31270 </w:instrText>
      </w:r>
      <w:r>
        <w:rPr>
          <w:rFonts w:hint="eastAsia" w:ascii="宋体" w:hAnsi="宋体" w:cs="宋体"/>
          <w:color w:val="auto"/>
          <w:szCs w:val="21"/>
          <w:highlight w:val="none"/>
        </w:rPr>
        <w:fldChar w:fldCharType="separate"/>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方案</w:t>
      </w:r>
      <w:r>
        <w:rPr>
          <w:color w:val="auto"/>
          <w:highlight w:val="none"/>
        </w:rPr>
        <w:tab/>
      </w:r>
      <w:r>
        <w:rPr>
          <w:color w:val="auto"/>
          <w:highlight w:val="none"/>
        </w:rPr>
        <w:fldChar w:fldCharType="begin"/>
      </w:r>
      <w:r>
        <w:rPr>
          <w:color w:val="auto"/>
          <w:highlight w:val="none"/>
        </w:rPr>
        <w:instrText xml:space="preserve"> PAGEREF _Toc31270 \h </w:instrText>
      </w:r>
      <w:r>
        <w:rPr>
          <w:color w:val="auto"/>
          <w:highlight w:val="none"/>
        </w:rPr>
        <w:fldChar w:fldCharType="separate"/>
      </w:r>
      <w:r>
        <w:rPr>
          <w:color w:val="auto"/>
          <w:highlight w:val="none"/>
        </w:rPr>
        <w:t>48</w:t>
      </w:r>
      <w:r>
        <w:rPr>
          <w:color w:val="auto"/>
          <w:highlight w:val="none"/>
        </w:rPr>
        <w:fldChar w:fldCharType="end"/>
      </w:r>
      <w:r>
        <w:rPr>
          <w:rFonts w:hint="eastAsia" w:ascii="宋体" w:hAnsi="宋体" w:cs="宋体"/>
          <w:color w:val="auto"/>
          <w:szCs w:val="21"/>
          <w:highlight w:val="none"/>
        </w:rPr>
        <w:fldChar w:fldCharType="end"/>
      </w:r>
    </w:p>
    <w:p w14:paraId="3296E1AB">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_Toc20186 </w:instrText>
      </w:r>
      <w:r>
        <w:rPr>
          <w:rFonts w:hint="eastAsia" w:ascii="宋体" w:hAnsi="宋体" w:cs="宋体"/>
          <w:color w:val="auto"/>
          <w:szCs w:val="21"/>
          <w:highlight w:val="none"/>
        </w:rPr>
        <w:fldChar w:fldCharType="separate"/>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、其他材料</w:t>
      </w:r>
      <w:r>
        <w:rPr>
          <w:color w:val="auto"/>
          <w:highlight w:val="none"/>
        </w:rPr>
        <w:tab/>
      </w:r>
      <w:r>
        <w:rPr>
          <w:color w:val="auto"/>
          <w:highlight w:val="none"/>
        </w:rPr>
        <w:fldChar w:fldCharType="begin"/>
      </w:r>
      <w:r>
        <w:rPr>
          <w:color w:val="auto"/>
          <w:highlight w:val="none"/>
        </w:rPr>
        <w:instrText xml:space="preserve"> PAGEREF _Toc20186 \h </w:instrText>
      </w:r>
      <w:r>
        <w:rPr>
          <w:color w:val="auto"/>
          <w:highlight w:val="none"/>
        </w:rPr>
        <w:fldChar w:fldCharType="separate"/>
      </w:r>
      <w:r>
        <w:rPr>
          <w:color w:val="auto"/>
          <w:highlight w:val="none"/>
        </w:rPr>
        <w:t>49</w:t>
      </w:r>
      <w:r>
        <w:rPr>
          <w:color w:val="auto"/>
          <w:highlight w:val="none"/>
        </w:rPr>
        <w:fldChar w:fldCharType="end"/>
      </w:r>
      <w:r>
        <w:rPr>
          <w:rFonts w:hint="eastAsia" w:ascii="宋体" w:hAnsi="宋体" w:cs="宋体"/>
          <w:color w:val="auto"/>
          <w:szCs w:val="21"/>
          <w:highlight w:val="none"/>
        </w:rPr>
        <w:fldChar w:fldCharType="end"/>
      </w:r>
    </w:p>
    <w:p w14:paraId="06B10238">
      <w:pPr>
        <w:pStyle w:val="40"/>
        <w:tabs>
          <w:tab w:val="right" w:leader="dot" w:pos="8821"/>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_Toc26852 </w:instrText>
      </w:r>
      <w:r>
        <w:rPr>
          <w:rFonts w:hint="eastAsia" w:ascii="宋体" w:hAnsi="宋体" w:cs="宋体"/>
          <w:color w:val="auto"/>
          <w:szCs w:val="21"/>
          <w:highlight w:val="none"/>
        </w:rPr>
        <w:fldChar w:fldCharType="separate"/>
      </w:r>
      <w:r>
        <w:rPr>
          <w:rFonts w:hint="eastAsia" w:ascii="宋体" w:hAnsi="宋体" w:eastAsia="宋体"/>
          <w:color w:val="auto"/>
          <w:highlight w:val="none"/>
          <w:lang w:val="en-US" w:eastAsia="zh-CN"/>
        </w:rPr>
        <w:t>七</w:t>
      </w:r>
      <w:r>
        <w:rPr>
          <w:rFonts w:hint="eastAsia" w:ascii="宋体" w:hAnsi="宋体" w:eastAsia="宋体"/>
          <w:color w:val="auto"/>
          <w:highlight w:val="none"/>
        </w:rPr>
        <w:t>、</w:t>
      </w:r>
      <w:r>
        <w:rPr>
          <w:rFonts w:hint="eastAsia" w:ascii="Times New Roman" w:hAnsi="Times New Roman" w:eastAsia="宋体"/>
          <w:color w:val="auto"/>
          <w:highlight w:val="none"/>
          <w:lang w:eastAsia="zh-CN"/>
        </w:rPr>
        <w:t>享有的政府采购优惠政策</w:t>
      </w:r>
      <w:r>
        <w:rPr>
          <w:color w:val="auto"/>
          <w:highlight w:val="none"/>
        </w:rPr>
        <w:tab/>
      </w:r>
      <w:r>
        <w:rPr>
          <w:color w:val="auto"/>
          <w:highlight w:val="none"/>
        </w:rPr>
        <w:fldChar w:fldCharType="begin"/>
      </w:r>
      <w:r>
        <w:rPr>
          <w:color w:val="auto"/>
          <w:highlight w:val="none"/>
        </w:rPr>
        <w:instrText xml:space="preserve"> PAGEREF _Toc26852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cs="宋体"/>
          <w:color w:val="auto"/>
          <w:szCs w:val="21"/>
          <w:highlight w:val="none"/>
        </w:rPr>
        <w:fldChar w:fldCharType="end"/>
      </w:r>
    </w:p>
    <w:p w14:paraId="496B4B66">
      <w:pPr>
        <w:pStyle w:val="40"/>
        <w:tabs>
          <w:tab w:val="right" w:leader="dot" w:pos="8821"/>
        </w:tabs>
        <w:spacing w:line="240" w:lineRule="auto"/>
        <w:rPr>
          <w:rFonts w:ascii="宋体" w:hAnsi="宋体" w:cs="宋体"/>
          <w:b/>
          <w:bCs/>
          <w:color w:val="auto"/>
          <w:kern w:val="44"/>
          <w:sz w:val="36"/>
          <w:szCs w:val="36"/>
          <w:highlight w:val="none"/>
          <w:lang w:val="zh-CN"/>
        </w:rPr>
        <w:sectPr>
          <w:headerReference r:id="rId8" w:type="default"/>
          <w:footerReference r:id="rId9" w:type="default"/>
          <w:pgSz w:w="11906" w:h="16838"/>
          <w:pgMar w:top="1559" w:right="1531" w:bottom="1418" w:left="1554" w:header="57" w:footer="992" w:gutter="0"/>
          <w:cols w:space="720" w:num="1"/>
          <w:titlePg/>
          <w:docGrid w:linePitch="312" w:charSpace="0"/>
        </w:sectPr>
      </w:pPr>
      <w:r>
        <w:rPr>
          <w:rFonts w:hint="eastAsia" w:ascii="宋体" w:hAnsi="宋体" w:cs="宋体"/>
          <w:color w:val="auto"/>
          <w:szCs w:val="21"/>
          <w:highlight w:val="none"/>
        </w:rPr>
        <w:fldChar w:fldCharType="end"/>
      </w:r>
    </w:p>
    <w:p w14:paraId="14BD335E">
      <w:pPr>
        <w:pStyle w:val="40"/>
        <w:tabs>
          <w:tab w:val="right" w:leader="underscore" w:pos="8296"/>
        </w:tabs>
        <w:spacing w:line="312" w:lineRule="auto"/>
        <w:ind w:left="0"/>
        <w:jc w:val="center"/>
        <w:outlineLvl w:val="0"/>
        <w:rPr>
          <w:rFonts w:ascii="宋体" w:hAnsi="宋体" w:cs="宋体"/>
          <w:b/>
          <w:bCs/>
          <w:color w:val="auto"/>
          <w:kern w:val="44"/>
          <w:sz w:val="32"/>
          <w:szCs w:val="32"/>
          <w:highlight w:val="none"/>
          <w:lang w:val="zh-CN"/>
        </w:rPr>
      </w:pPr>
      <w:bookmarkStart w:id="7" w:name="_Toc18545"/>
      <w:r>
        <w:rPr>
          <w:rFonts w:hint="eastAsia" w:ascii="宋体" w:hAnsi="宋体" w:cs="宋体"/>
          <w:b/>
          <w:bCs/>
          <w:color w:val="auto"/>
          <w:kern w:val="44"/>
          <w:sz w:val="32"/>
          <w:szCs w:val="32"/>
          <w:highlight w:val="none"/>
          <w:lang w:val="zh-CN"/>
        </w:rPr>
        <w:t>第一章</w:t>
      </w:r>
      <w:r>
        <w:rPr>
          <w:rFonts w:hint="eastAsia" w:ascii="宋体" w:hAnsi="宋体" w:cs="宋体"/>
          <w:b/>
          <w:bCs/>
          <w:color w:val="auto"/>
          <w:kern w:val="44"/>
          <w:sz w:val="32"/>
          <w:szCs w:val="32"/>
          <w:highlight w:val="none"/>
        </w:rPr>
        <w:t xml:space="preserve">  </w:t>
      </w:r>
      <w:r>
        <w:rPr>
          <w:rFonts w:hint="eastAsia" w:ascii="宋体" w:hAnsi="宋体" w:cs="宋体"/>
          <w:b/>
          <w:bCs/>
          <w:color w:val="auto"/>
          <w:kern w:val="44"/>
          <w:sz w:val="32"/>
          <w:szCs w:val="32"/>
          <w:highlight w:val="none"/>
          <w:lang w:val="zh-CN"/>
        </w:rPr>
        <w:t>竞争性磋商公告</w:t>
      </w:r>
      <w:bookmarkEnd w:id="2"/>
      <w:bookmarkEnd w:id="7"/>
    </w:p>
    <w:p w14:paraId="4C98FDB9">
      <w:pPr>
        <w:spacing w:line="360" w:lineRule="auto"/>
        <w:jc w:val="center"/>
        <w:rPr>
          <w:b/>
          <w:bCs/>
          <w:color w:val="auto"/>
          <w:sz w:val="28"/>
          <w:szCs w:val="28"/>
          <w:highlight w:val="none"/>
        </w:rPr>
      </w:pPr>
      <w:bookmarkStart w:id="8" w:name="_Toc20071"/>
      <w:r>
        <w:rPr>
          <w:rFonts w:hint="eastAsia"/>
          <w:b/>
          <w:bCs/>
          <w:color w:val="auto"/>
          <w:sz w:val="28"/>
          <w:szCs w:val="28"/>
          <w:highlight w:val="none"/>
          <w:lang w:eastAsia="zh-CN"/>
        </w:rPr>
        <w:t>平顶山市公安局交通管理支队物业服务采购项目</w:t>
      </w:r>
    </w:p>
    <w:p w14:paraId="20BECAA7">
      <w:pPr>
        <w:spacing w:line="360" w:lineRule="auto"/>
        <w:jc w:val="center"/>
        <w:rPr>
          <w:b/>
          <w:bCs/>
          <w:color w:val="auto"/>
          <w:sz w:val="28"/>
          <w:szCs w:val="28"/>
          <w:highlight w:val="none"/>
        </w:rPr>
      </w:pPr>
      <w:r>
        <w:rPr>
          <w:rFonts w:hint="eastAsia"/>
          <w:b/>
          <w:bCs/>
          <w:color w:val="auto"/>
          <w:sz w:val="28"/>
          <w:szCs w:val="28"/>
          <w:highlight w:val="none"/>
        </w:rPr>
        <w:t>竞争性磋商公告</w:t>
      </w:r>
      <w:bookmarkEnd w:id="8"/>
    </w:p>
    <w:p w14:paraId="1B1CFBEE">
      <w:pPr>
        <w:keepNext w:val="0"/>
        <w:keepLines w:val="0"/>
        <w:pageBreakBefore w:val="0"/>
        <w:widowControl/>
        <w:wordWrap/>
        <w:autoSpaceDE w:val="0"/>
        <w:bidi w:val="0"/>
        <w:spacing w:line="360" w:lineRule="auto"/>
        <w:textAlignment w:val="auto"/>
        <w:outlineLvl w:val="9"/>
        <w:rPr>
          <w:rFonts w:hint="eastAsia" w:ascii="宋体" w:hAnsi="宋体" w:cs="宋体"/>
          <w:b/>
          <w:bCs/>
          <w:color w:val="auto"/>
          <w:sz w:val="21"/>
          <w:szCs w:val="21"/>
          <w:highlight w:val="none"/>
        </w:rPr>
      </w:pPr>
      <w:bookmarkStart w:id="9" w:name="_Toc28883314"/>
      <w:bookmarkStart w:id="10" w:name="_Toc21785"/>
      <w:r>
        <w:rPr>
          <w:rFonts w:hint="eastAsia" w:ascii="宋体" w:hAnsi="宋体" w:cs="宋体"/>
          <w:b/>
          <w:bCs/>
          <w:color w:val="auto"/>
          <w:sz w:val="21"/>
          <w:szCs w:val="21"/>
          <w:highlight w:val="none"/>
        </w:rPr>
        <w:t>项目概况</w:t>
      </w:r>
    </w:p>
    <w:p w14:paraId="0AE66B60">
      <w:pPr>
        <w:keepNext w:val="0"/>
        <w:keepLines w:val="0"/>
        <w:pageBreakBefore w:val="0"/>
        <w:widowControl/>
        <w:kinsoku w:val="0"/>
        <w:wordWrap/>
        <w:overflowPunct w:val="0"/>
        <w:topLinePunct w:val="0"/>
        <w:autoSpaceDE w:val="0"/>
        <w:autoSpaceDN w:val="0"/>
        <w:bidi w:val="0"/>
        <w:adjustRightInd/>
        <w:snapToGrid/>
        <w:spacing w:line="360" w:lineRule="auto"/>
        <w:ind w:firstLine="420" w:firstLineChars="20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平顶山市公安局交通管理支队物业服务采购项目招标项目的潜在投标人应在平顶山市公共资源交易中心网(http://ggzy.pds.gov.cn)获取采购文件，并于2024年12月05日09时30分（北京时间）前递交响应文件。</w:t>
      </w:r>
    </w:p>
    <w:p w14:paraId="41FFBACC">
      <w:pPr>
        <w:widowControl/>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一、项目基本情况</w:t>
      </w:r>
    </w:p>
    <w:p w14:paraId="523BCA13">
      <w:pPr>
        <w:widowControl/>
        <w:spacing w:line="360" w:lineRule="auto"/>
        <w:ind w:firstLine="420" w:firstLineChars="20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1、项目编号：平采磋商-2024-</w:t>
      </w:r>
      <w:r>
        <w:rPr>
          <w:rFonts w:hint="eastAsia" w:ascii="宋体" w:hAnsi="宋体" w:cs="宋体"/>
          <w:color w:val="auto"/>
          <w:szCs w:val="21"/>
          <w:highlight w:val="none"/>
          <w:lang w:val="en-US" w:eastAsia="zh-CN"/>
        </w:rPr>
        <w:t xml:space="preserve">89  </w:t>
      </w:r>
    </w:p>
    <w:p w14:paraId="68A33750">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2、项目名称：</w:t>
      </w:r>
      <w:r>
        <w:rPr>
          <w:rFonts w:hint="eastAsia" w:ascii="宋体" w:hAnsi="宋体" w:cs="宋体"/>
          <w:color w:val="auto"/>
          <w:szCs w:val="21"/>
          <w:highlight w:val="none"/>
          <w:lang w:val="en-US" w:eastAsia="zh-CN"/>
        </w:rPr>
        <w:t>平顶山市公安局交通管理支队物业服务采购项目</w:t>
      </w:r>
    </w:p>
    <w:p w14:paraId="5702B3C5">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3、采购方式：竞争性磋商</w:t>
      </w:r>
    </w:p>
    <w:p w14:paraId="47CE25B6">
      <w:pPr>
        <w:widowControl/>
        <w:autoSpaceDE w:val="0"/>
        <w:spacing w:line="360" w:lineRule="auto"/>
        <w:ind w:firstLine="42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Cs w:val="21"/>
          <w:highlight w:val="none"/>
        </w:rPr>
        <w:t>4、预算金额：</w:t>
      </w:r>
      <w:r>
        <w:rPr>
          <w:rFonts w:hint="eastAsia" w:ascii="宋体" w:hAnsi="宋体" w:cs="宋体"/>
          <w:color w:val="auto"/>
          <w:szCs w:val="21"/>
          <w:highlight w:val="none"/>
          <w:lang w:val="en-US" w:eastAsia="zh-CN"/>
        </w:rPr>
        <w:t>1825200.00元；最高限价：1825200.00元；</w:t>
      </w: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466"/>
        <w:gridCol w:w="1538"/>
        <w:gridCol w:w="1416"/>
        <w:gridCol w:w="1416"/>
        <w:gridCol w:w="1324"/>
        <w:gridCol w:w="1416"/>
      </w:tblGrid>
      <w:tr w14:paraId="2D59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69" w:type="pct"/>
            <w:noWrap w:val="0"/>
            <w:vAlign w:val="center"/>
          </w:tcPr>
          <w:p w14:paraId="4E9E1423">
            <w:pPr>
              <w:pStyle w:val="18"/>
              <w:spacing w:line="440" w:lineRule="exact"/>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51" w:type="pct"/>
            <w:noWrap w:val="0"/>
            <w:vAlign w:val="center"/>
          </w:tcPr>
          <w:p w14:paraId="28A8D6AE">
            <w:pPr>
              <w:pStyle w:val="18"/>
              <w:spacing w:line="440" w:lineRule="exact"/>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包号</w:t>
            </w:r>
          </w:p>
        </w:tc>
        <w:tc>
          <w:tcPr>
            <w:tcW w:w="879" w:type="pct"/>
            <w:noWrap w:val="0"/>
            <w:vAlign w:val="center"/>
          </w:tcPr>
          <w:p w14:paraId="229F39E9">
            <w:pPr>
              <w:pStyle w:val="18"/>
              <w:spacing w:line="440" w:lineRule="exact"/>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包名称</w:t>
            </w:r>
          </w:p>
        </w:tc>
        <w:tc>
          <w:tcPr>
            <w:tcW w:w="717" w:type="pct"/>
            <w:noWrap w:val="0"/>
            <w:vAlign w:val="center"/>
          </w:tcPr>
          <w:p w14:paraId="0C583B4C">
            <w:pPr>
              <w:pStyle w:val="18"/>
              <w:spacing w:line="440" w:lineRule="exact"/>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包预算（元）</w:t>
            </w:r>
          </w:p>
        </w:tc>
        <w:tc>
          <w:tcPr>
            <w:tcW w:w="759" w:type="pct"/>
            <w:noWrap w:val="0"/>
            <w:vAlign w:val="center"/>
          </w:tcPr>
          <w:p w14:paraId="778A7071">
            <w:pPr>
              <w:pStyle w:val="18"/>
              <w:spacing w:line="440" w:lineRule="exact"/>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包最高限价（元）</w:t>
            </w:r>
          </w:p>
        </w:tc>
        <w:tc>
          <w:tcPr>
            <w:tcW w:w="761" w:type="pct"/>
            <w:noWrap w:val="0"/>
            <w:vAlign w:val="center"/>
          </w:tcPr>
          <w:p w14:paraId="2B714AC1">
            <w:pPr>
              <w:pStyle w:val="18"/>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是否专门面向中小企业</w:t>
            </w:r>
          </w:p>
        </w:tc>
        <w:tc>
          <w:tcPr>
            <w:tcW w:w="761" w:type="pct"/>
            <w:noWrap w:val="0"/>
            <w:vAlign w:val="top"/>
          </w:tcPr>
          <w:p w14:paraId="46F5CB72">
            <w:pPr>
              <w:pStyle w:val="18"/>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采购预留金额（元）</w:t>
            </w:r>
          </w:p>
        </w:tc>
      </w:tr>
      <w:tr w14:paraId="6A092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69" w:type="pct"/>
            <w:noWrap w:val="0"/>
            <w:vAlign w:val="center"/>
          </w:tcPr>
          <w:p w14:paraId="01A14F14">
            <w:pPr>
              <w:pStyle w:val="18"/>
              <w:spacing w:line="440" w:lineRule="exact"/>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1" w:type="pct"/>
            <w:noWrap w:val="0"/>
            <w:vAlign w:val="center"/>
          </w:tcPr>
          <w:p w14:paraId="149D74C1">
            <w:pPr>
              <w:pStyle w:val="18"/>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879" w:type="pct"/>
            <w:noWrap w:val="0"/>
            <w:vAlign w:val="center"/>
          </w:tcPr>
          <w:p w14:paraId="39260F87">
            <w:pPr>
              <w:pStyle w:val="18"/>
              <w:spacing w:line="440" w:lineRule="exact"/>
              <w:jc w:val="center"/>
              <w:textAlignment w:val="auto"/>
              <w:rPr>
                <w:rFonts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平顶山市公安局交通管理支队物业服务采购项目</w:t>
            </w:r>
          </w:p>
        </w:tc>
        <w:tc>
          <w:tcPr>
            <w:tcW w:w="717" w:type="pct"/>
            <w:noWrap w:val="0"/>
            <w:vAlign w:val="center"/>
          </w:tcPr>
          <w:p w14:paraId="5C4ED156">
            <w:pPr>
              <w:pStyle w:val="18"/>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1825200.00  </w:t>
            </w:r>
          </w:p>
        </w:tc>
        <w:tc>
          <w:tcPr>
            <w:tcW w:w="759" w:type="pct"/>
            <w:noWrap w:val="0"/>
            <w:vAlign w:val="center"/>
          </w:tcPr>
          <w:p w14:paraId="344DED7D">
            <w:pPr>
              <w:pStyle w:val="18"/>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1825200.00  </w:t>
            </w:r>
          </w:p>
        </w:tc>
        <w:tc>
          <w:tcPr>
            <w:tcW w:w="761" w:type="pct"/>
            <w:noWrap w:val="0"/>
            <w:vAlign w:val="center"/>
          </w:tcPr>
          <w:p w14:paraId="576673C0">
            <w:pPr>
              <w:pStyle w:val="18"/>
              <w:spacing w:line="44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是</w:t>
            </w:r>
          </w:p>
        </w:tc>
        <w:tc>
          <w:tcPr>
            <w:tcW w:w="761" w:type="pct"/>
            <w:noWrap w:val="0"/>
            <w:vAlign w:val="center"/>
          </w:tcPr>
          <w:p w14:paraId="6F265591">
            <w:pPr>
              <w:pStyle w:val="18"/>
              <w:spacing w:line="440" w:lineRule="exact"/>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1825200.00</w:t>
            </w:r>
          </w:p>
        </w:tc>
      </w:tr>
    </w:tbl>
    <w:p w14:paraId="60A6D3FB">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采购需求（包括但不限于标的的名称、数量、简要技术需求或服务要求等）</w:t>
      </w:r>
    </w:p>
    <w:p w14:paraId="7012F423">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5.1、项目概况：</w:t>
      </w:r>
      <w:r>
        <w:rPr>
          <w:rFonts w:hint="eastAsia" w:ascii="宋体" w:hAnsi="宋体" w:eastAsia="宋体" w:cs="华文中宋"/>
          <w:color w:val="auto"/>
          <w:szCs w:val="21"/>
          <w:highlight w:val="none"/>
        </w:rPr>
        <w:t>（</w:t>
      </w:r>
      <w:r>
        <w:rPr>
          <w:rFonts w:hint="eastAsia" w:ascii="宋体" w:hAnsi="宋体" w:cs="华文中宋"/>
          <w:color w:val="auto"/>
          <w:szCs w:val="21"/>
          <w:highlight w:val="none"/>
          <w:lang w:val="en-US" w:eastAsia="zh-CN"/>
        </w:rPr>
        <w:t>1</w:t>
      </w:r>
      <w:r>
        <w:rPr>
          <w:rFonts w:hint="eastAsia" w:ascii="宋体" w:hAnsi="宋体" w:eastAsia="宋体" w:cs="华文中宋"/>
          <w:color w:val="auto"/>
          <w:szCs w:val="21"/>
          <w:highlight w:val="none"/>
        </w:rPr>
        <w:t>）物业管理区域清洁卫生服务 ；（</w:t>
      </w:r>
      <w:r>
        <w:rPr>
          <w:rFonts w:hint="eastAsia" w:ascii="宋体" w:hAnsi="宋体" w:cs="华文中宋"/>
          <w:color w:val="auto"/>
          <w:szCs w:val="21"/>
          <w:highlight w:val="none"/>
          <w:lang w:val="en-US" w:eastAsia="zh-CN"/>
        </w:rPr>
        <w:t>2</w:t>
      </w:r>
      <w:r>
        <w:rPr>
          <w:rFonts w:hint="eastAsia" w:ascii="宋体" w:hAnsi="宋体" w:eastAsia="宋体" w:cs="华文中宋"/>
          <w:color w:val="auto"/>
          <w:szCs w:val="21"/>
          <w:highlight w:val="none"/>
        </w:rPr>
        <w:t>）物业设施、设备运行和维护服务；（</w:t>
      </w:r>
      <w:r>
        <w:rPr>
          <w:rFonts w:hint="eastAsia" w:ascii="宋体" w:hAnsi="宋体" w:cs="华文中宋"/>
          <w:color w:val="auto"/>
          <w:szCs w:val="21"/>
          <w:highlight w:val="none"/>
          <w:lang w:val="en-US" w:eastAsia="zh-CN"/>
        </w:rPr>
        <w:t>3</w:t>
      </w:r>
      <w:r>
        <w:rPr>
          <w:rFonts w:hint="eastAsia" w:ascii="宋体" w:hAnsi="宋体" w:eastAsia="宋体" w:cs="华文中宋"/>
          <w:color w:val="auto"/>
          <w:szCs w:val="21"/>
          <w:highlight w:val="none"/>
        </w:rPr>
        <w:t>）物业管理区域绿化养护服务；</w:t>
      </w:r>
    </w:p>
    <w:p w14:paraId="069B0525">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5.2、采购范围：服务期内提供平顶山市公安局交通管理支队的物业管理等服务；</w:t>
      </w:r>
    </w:p>
    <w:p w14:paraId="023B93CE">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5.3、资金来源：财政资金；</w:t>
      </w:r>
    </w:p>
    <w:p w14:paraId="65C50F15">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5.4、服务地点：采购人指定地点；</w:t>
      </w:r>
    </w:p>
    <w:p w14:paraId="3B734C23">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5.5、服务标准：符合国家或行业规定的合格标准，满足采购人的要求；</w:t>
      </w:r>
    </w:p>
    <w:p w14:paraId="10DEB1DE">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5.6、服务期限：自合同签订之日起三年；</w:t>
      </w:r>
    </w:p>
    <w:p w14:paraId="29783071">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6、合同履行期限：同服务期限。</w:t>
      </w:r>
    </w:p>
    <w:p w14:paraId="477F16E5">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7、本项目是否接受联合体投标：否</w:t>
      </w:r>
    </w:p>
    <w:p w14:paraId="0A1C2F03">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8、是否接受进口产品：否</w:t>
      </w:r>
    </w:p>
    <w:p w14:paraId="3977E943">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9、是否专门面向中小企业：是</w:t>
      </w:r>
    </w:p>
    <w:p w14:paraId="2E7458FC">
      <w:pPr>
        <w:widowControl/>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二、申请人资格要求</w:t>
      </w:r>
    </w:p>
    <w:p w14:paraId="7B298445">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14:paraId="53F0B6EB">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2、落实政府采购政策满足的资格要求：本项目专门面向中小企业采购，根据《政府采购促进中小企业发展管理办法》财库〔2020〕46 号规定，供应商应为中小微企业、监狱企业、残疾人福利性单位。中小企业划型标准请依据工信部联企业〔2011〕300 号文件之规定。</w:t>
      </w:r>
    </w:p>
    <w:p w14:paraId="576E057E">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3、本项目的特定资格要求：</w:t>
      </w:r>
    </w:p>
    <w:p w14:paraId="409281A4">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 具有独立承担民事责任的能力（提供有效的三证合一营业执 照或电子营业执照或自然人身份证明） 。</w:t>
      </w:r>
    </w:p>
    <w:p w14:paraId="7629BBC5">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 具有良好的商业信誉和健全的财务会计制度（按磋商文件格式提供承诺函）；</w:t>
      </w:r>
    </w:p>
    <w:p w14:paraId="38980FD1">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 具有履行合同所必需的专业技术能力（按磋商文件格式提供承诺函）； </w:t>
      </w:r>
    </w:p>
    <w:p w14:paraId="34079D61">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 具有有依法缴纳税收和社会保障资金的良好记录（按磋商文件格式提供承诺函）； </w:t>
      </w:r>
    </w:p>
    <w:p w14:paraId="55368D45">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 供应商参加政府采购活动前三年内，在经营活动中没有重大违法记录（按磋商文件格式提供承诺函)； </w:t>
      </w:r>
    </w:p>
    <w:p w14:paraId="18D7B30D">
      <w:pPr>
        <w:widowControl/>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信誉： 提供“中国执行信息公开网”网站的“失信被执行人”和“信用中国”网站的“重大税收违法失信主体”、“中国政府采购”网站的“政府采购严重违法失信行为记录名单”查询结果页面截图，不得有不良记录（执行财库【2016】125号文）</w:t>
      </w:r>
      <w:r>
        <w:rPr>
          <w:rFonts w:hint="eastAsia" w:ascii="宋体" w:hAnsi="宋体" w:eastAsia="宋体" w:cs="宋体"/>
          <w:color w:val="auto"/>
          <w:szCs w:val="21"/>
          <w:highlight w:val="none"/>
          <w:lang w:val="en-US" w:eastAsia="zh-CN"/>
        </w:rPr>
        <w:t>；</w:t>
      </w:r>
    </w:p>
    <w:p w14:paraId="1BCCB978">
      <w:pPr>
        <w:widowControl/>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）单位负责人为同一人或者存在控股、管理关系的不同单位，不得同时参加本项目的投标。【提供“</w:t>
      </w:r>
      <w:r>
        <w:rPr>
          <w:rFonts w:hint="eastAsia" w:ascii="宋体" w:hAnsi="宋体" w:cs="宋体"/>
          <w:color w:val="auto"/>
          <w:szCs w:val="21"/>
          <w:highlight w:val="none"/>
          <w:lang w:val="en-US" w:eastAsia="zh-CN"/>
        </w:rPr>
        <w:t>国家企业信</w:t>
      </w:r>
      <w:r>
        <w:rPr>
          <w:rFonts w:hint="eastAsia" w:ascii="宋体" w:hAnsi="宋体" w:eastAsia="宋体" w:cs="宋体"/>
          <w:color w:val="auto"/>
          <w:szCs w:val="21"/>
          <w:highlight w:val="none"/>
          <w:lang w:val="en-US" w:eastAsia="zh-CN"/>
        </w:rPr>
        <w:t>用信息公示系统”中查询打印的相关材料并加盖公章（需包含公司基本信息、股东信息及股权变更信息)】。</w:t>
      </w:r>
    </w:p>
    <w:p w14:paraId="5888CFE1">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highlight w:val="none"/>
          <w:lang w:val="en-US" w:eastAsia="zh-CN"/>
        </w:rPr>
      </w:pPr>
      <w:r>
        <w:rPr>
          <w:rFonts w:hint="eastAsia" w:ascii="宋体" w:hAnsi="宋体" w:cs="宋体"/>
          <w:color w:val="auto"/>
          <w:kern w:val="0"/>
          <w:sz w:val="21"/>
          <w:szCs w:val="21"/>
          <w:highlight w:val="none"/>
          <w:lang w:val="en-US" w:eastAsia="zh-CN" w:bidi="ar-SA"/>
        </w:rPr>
        <w:t>8</w:t>
      </w:r>
      <w:r>
        <w:rPr>
          <w:rFonts w:hint="eastAsia" w:ascii="宋体" w:hAnsi="宋体" w:eastAsia="宋体" w:cs="宋体"/>
          <w:color w:val="auto"/>
          <w:kern w:val="0"/>
          <w:sz w:val="21"/>
          <w:szCs w:val="21"/>
          <w:highlight w:val="none"/>
          <w:lang w:val="zh-CN" w:eastAsia="zh-CN" w:bidi="ar-SA"/>
        </w:rPr>
        <w:t>）本项目不接受联合体投标。</w:t>
      </w:r>
    </w:p>
    <w:p w14:paraId="2B6151BB">
      <w:pPr>
        <w:keepNext w:val="0"/>
        <w:keepLines w:val="0"/>
        <w:pageBreakBefore w:val="0"/>
        <w:kinsoku/>
        <w:wordWrap/>
        <w:overflowPunct/>
        <w:topLinePunct w:val="0"/>
        <w:autoSpaceDE/>
        <w:autoSpaceDN/>
        <w:bidi w:val="0"/>
        <w:adjustRightInd/>
        <w:snapToGrid/>
        <w:spacing w:line="360" w:lineRule="auto"/>
        <w:textAlignment w:val="auto"/>
        <w:rPr>
          <w:rStyle w:val="120"/>
          <w:rFonts w:ascii="宋体" w:hAnsi="宋体" w:eastAsia="宋体" w:cs="宋体"/>
          <w:color w:val="auto"/>
          <w:sz w:val="21"/>
          <w:szCs w:val="16"/>
          <w:highlight w:val="none"/>
        </w:rPr>
      </w:pPr>
      <w:bookmarkStart w:id="11" w:name="_Toc29588"/>
      <w:bookmarkStart w:id="12" w:name="_Toc11610"/>
      <w:bookmarkStart w:id="13" w:name="_Toc8485"/>
      <w:bookmarkStart w:id="14" w:name="_Toc19929"/>
      <w:r>
        <w:rPr>
          <w:rStyle w:val="120"/>
          <w:rFonts w:hint="eastAsia" w:ascii="宋体" w:hAnsi="宋体" w:cs="宋体"/>
          <w:color w:val="auto"/>
          <w:sz w:val="21"/>
          <w:szCs w:val="16"/>
          <w:highlight w:val="none"/>
          <w:lang w:val="en-US" w:eastAsia="zh-CN"/>
        </w:rPr>
        <w:t>三</w:t>
      </w:r>
      <w:r>
        <w:rPr>
          <w:rStyle w:val="120"/>
          <w:rFonts w:hint="eastAsia" w:ascii="宋体" w:hAnsi="宋体" w:eastAsia="宋体" w:cs="宋体"/>
          <w:color w:val="auto"/>
          <w:sz w:val="21"/>
          <w:szCs w:val="16"/>
          <w:highlight w:val="none"/>
        </w:rPr>
        <w:t>、</w:t>
      </w:r>
      <w:bookmarkEnd w:id="9"/>
      <w:r>
        <w:rPr>
          <w:rStyle w:val="120"/>
          <w:rFonts w:hint="eastAsia" w:ascii="宋体" w:hAnsi="宋体" w:eastAsia="宋体" w:cs="宋体"/>
          <w:color w:val="auto"/>
          <w:sz w:val="21"/>
          <w:szCs w:val="16"/>
          <w:highlight w:val="none"/>
        </w:rPr>
        <w:t>获取采购文件</w:t>
      </w:r>
    </w:p>
    <w:bookmarkEnd w:id="10"/>
    <w:bookmarkEnd w:id="11"/>
    <w:bookmarkEnd w:id="12"/>
    <w:bookmarkEnd w:id="13"/>
    <w:bookmarkEnd w:id="14"/>
    <w:p w14:paraId="0803B85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1、时间：202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 xml:space="preserve"> 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25</w:t>
      </w:r>
      <w:r>
        <w:rPr>
          <w:rFonts w:hint="eastAsia" w:ascii="宋体" w:hAnsi="宋体" w:cs="宋体"/>
          <w:color w:val="auto"/>
          <w:szCs w:val="21"/>
          <w:highlight w:val="none"/>
        </w:rPr>
        <w:t>日至 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04</w:t>
      </w:r>
      <w:r>
        <w:rPr>
          <w:rFonts w:hint="eastAsia" w:ascii="宋体" w:hAnsi="宋体" w:cs="宋体"/>
          <w:color w:val="auto"/>
          <w:szCs w:val="21"/>
          <w:highlight w:val="none"/>
        </w:rPr>
        <w:t>日，每天每天上午00:00至12:00，下午12:00至23:59（北京时间，法定节假日除外。）</w:t>
      </w:r>
    </w:p>
    <w:p w14:paraId="785E6F4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2、地点：</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w:t>
      </w:r>
    </w:p>
    <w:p w14:paraId="7FD8469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3、方式：投标人应在</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 xml:space="preserve">直接获取竞争性磋商文件。具体操作请查看以下链接：链接地址： </w:t>
      </w:r>
    </w:p>
    <w:p w14:paraId="17AC2B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链接地址：http://ggzy.pds.gov.cn/fwzn/11020.jhtml</w:t>
      </w:r>
    </w:p>
    <w:p w14:paraId="5AB2C22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办理CA证书：http://ggzy.pds.gov.cn/tzgg/10814.jhtml。</w:t>
      </w:r>
    </w:p>
    <w:p w14:paraId="45C5AF8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kern w:val="0"/>
          <w:szCs w:val="21"/>
          <w:highlight w:val="none"/>
        </w:rPr>
      </w:pPr>
      <w:r>
        <w:rPr>
          <w:rFonts w:hint="eastAsia" w:ascii="宋体" w:hAnsi="宋体" w:cs="宋体"/>
          <w:color w:val="auto"/>
          <w:szCs w:val="21"/>
          <w:highlight w:val="none"/>
        </w:rPr>
        <w:t>4、售价：0元。</w:t>
      </w:r>
    </w:p>
    <w:p w14:paraId="0C041849">
      <w:pPr>
        <w:widowControl/>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四、响应文件提交</w:t>
      </w:r>
    </w:p>
    <w:p w14:paraId="6A206EF3">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1、截止时间： 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日 09 时</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分（北京时间）</w:t>
      </w:r>
    </w:p>
    <w:p w14:paraId="293F1D9B">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2、地点：</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w:t>
      </w:r>
    </w:p>
    <w:p w14:paraId="7545B364">
      <w:pPr>
        <w:widowControl/>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五、响应文件开启</w:t>
      </w:r>
    </w:p>
    <w:p w14:paraId="34E3874F">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1、截止时间： 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日 09时</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分（北京时间）</w:t>
      </w:r>
    </w:p>
    <w:p w14:paraId="57F10FA3">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2、地点：</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w:t>
      </w:r>
    </w:p>
    <w:p w14:paraId="78BEE2AF">
      <w:pPr>
        <w:widowControl/>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六、发布公告的媒介及公告期限</w:t>
      </w:r>
    </w:p>
    <w:p w14:paraId="377CE6D3">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本次招标公告在《河南省政府采购网》、《平顶山市政府采购网》、《全国公共资源交易平台（河南省.平顶山市）》上发布，公告期限为三个工作日。</w:t>
      </w:r>
    </w:p>
    <w:p w14:paraId="1B10FB9F">
      <w:pPr>
        <w:widowControl/>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七、其他补充事宜：</w:t>
      </w:r>
    </w:p>
    <w:p w14:paraId="0C387465">
      <w:pPr>
        <w:widowControl/>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1.平顶山市公共资源交易中心全面实行在线“不见面”开标，供应商远程在线解密投标文件，不再到开标现场，供应商开标前应仔细阅读招标文件中“不见面”开标注意事项及操作流程。</w:t>
      </w:r>
      <w:r>
        <w:rPr>
          <w:rFonts w:hint="default" w:ascii="宋体" w:hAnsi="宋体" w:cs="宋体"/>
          <w:color w:val="auto"/>
          <w:szCs w:val="21"/>
          <w:highlight w:val="none"/>
          <w:lang w:val="en-US" w:eastAsia="zh-CN"/>
        </w:rPr>
        <w:br w:type="textWrapping"/>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2.监督单位：平顶山市政府采购服务中心</w:t>
      </w:r>
      <w:r>
        <w:rPr>
          <w:rFonts w:hint="default" w:ascii="宋体" w:hAnsi="宋体" w:cs="宋体"/>
          <w:color w:val="auto"/>
          <w:szCs w:val="21"/>
          <w:highlight w:val="none"/>
          <w:lang w:val="en-US" w:eastAsia="zh-CN"/>
        </w:rPr>
        <w:br w:type="textWrapping"/>
      </w:r>
      <w:r>
        <w:rPr>
          <w:rFonts w:hint="default" w:ascii="宋体" w:hAnsi="宋体" w:cs="宋体"/>
          <w:color w:val="auto"/>
          <w:szCs w:val="21"/>
          <w:highlight w:val="none"/>
          <w:lang w:val="en-US" w:eastAsia="zh-CN"/>
        </w:rPr>
        <w:t>统一社会信用代码：12410400MB1N33980Q</w:t>
      </w:r>
      <w:r>
        <w:rPr>
          <w:rFonts w:hint="default" w:ascii="宋体" w:hAnsi="宋体" w:cs="宋体"/>
          <w:color w:val="auto"/>
          <w:szCs w:val="21"/>
          <w:highlight w:val="none"/>
          <w:lang w:val="en-US" w:eastAsia="zh-CN"/>
        </w:rPr>
        <w:br w:type="textWrapping"/>
      </w:r>
      <w:r>
        <w:rPr>
          <w:rFonts w:hint="default" w:ascii="宋体" w:hAnsi="宋体" w:cs="宋体"/>
          <w:color w:val="auto"/>
          <w:szCs w:val="21"/>
          <w:highlight w:val="none"/>
          <w:lang w:val="en-US" w:eastAsia="zh-CN"/>
        </w:rPr>
        <w:t>联系方式：0375-2627596</w:t>
      </w:r>
      <w:r>
        <w:rPr>
          <w:rFonts w:hint="default" w:ascii="宋体" w:hAnsi="宋体" w:cs="宋体"/>
          <w:color w:val="auto"/>
          <w:szCs w:val="21"/>
          <w:highlight w:val="none"/>
          <w:lang w:val="en-US" w:eastAsia="zh-CN"/>
        </w:rPr>
        <w:br w:type="textWrapping"/>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3.投标人或其他利害关系人对本次中标结果如有异议请在公告发布之日起七个工作日内，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监督部门：平顶山市财政局。联系方式：0375-2627595。</w:t>
      </w:r>
      <w:r>
        <w:rPr>
          <w:rFonts w:hint="default" w:ascii="宋体" w:hAnsi="宋体" w:cs="宋体"/>
          <w:color w:val="auto"/>
          <w:szCs w:val="21"/>
          <w:highlight w:val="none"/>
          <w:lang w:val="en-US" w:eastAsia="zh-CN"/>
        </w:rPr>
        <w:br w:type="textWrapping"/>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4.该公告已同步至“平顶山市公共资源交易中心微信公众号”，可通过公众号中的服务栏目进行查阅。</w:t>
      </w:r>
    </w:p>
    <w:p w14:paraId="4F6F6CC7">
      <w:pPr>
        <w:widowControl/>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八、凡对本次招标提出询问，请按照以下方式联系</w:t>
      </w:r>
    </w:p>
    <w:p w14:paraId="3A714B4F">
      <w:pPr>
        <w:widowControl/>
        <w:spacing w:line="360" w:lineRule="auto"/>
        <w:ind w:firstLine="420" w:firstLineChars="200"/>
        <w:jc w:val="left"/>
        <w:rPr>
          <w:rFonts w:hint="eastAsia" w:ascii="宋体" w:hAnsi="宋体" w:eastAsia="宋体" w:cs="宋体"/>
          <w:color w:val="auto"/>
          <w:szCs w:val="21"/>
          <w:highlight w:val="none"/>
        </w:rPr>
      </w:pPr>
      <w:bookmarkStart w:id="15" w:name="_Toc28359087"/>
      <w:bookmarkStart w:id="16" w:name="_Toc28359010"/>
      <w:r>
        <w:rPr>
          <w:rFonts w:hint="eastAsia" w:ascii="宋体" w:hAnsi="宋体" w:eastAsia="宋体" w:cs="宋体"/>
          <w:color w:val="auto"/>
          <w:szCs w:val="21"/>
          <w:highlight w:val="none"/>
        </w:rPr>
        <w:t>1、采购人：</w:t>
      </w:r>
    </w:p>
    <w:p w14:paraId="24FB1AD0">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名称：</w:t>
      </w:r>
      <w:r>
        <w:rPr>
          <w:rFonts w:hint="eastAsia" w:ascii="宋体" w:hAnsi="宋体" w:eastAsia="宋体" w:cs="宋体"/>
          <w:color w:val="auto"/>
          <w:szCs w:val="21"/>
          <w:highlight w:val="none"/>
          <w:lang w:eastAsia="zh-CN"/>
        </w:rPr>
        <w:t>平顶山市公安局交通管理支队</w:t>
      </w:r>
      <w:r>
        <w:rPr>
          <w:rFonts w:hint="eastAsia" w:ascii="宋体" w:hAnsi="宋体" w:eastAsia="宋体" w:cs="宋体"/>
          <w:color w:val="auto"/>
          <w:szCs w:val="21"/>
          <w:highlight w:val="none"/>
        </w:rPr>
        <w:t xml:space="preserve">    </w:t>
      </w:r>
    </w:p>
    <w:p w14:paraId="6AF09046">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lang w:eastAsia="zh-CN"/>
        </w:rPr>
        <w:t>平顶山市新华路中段291号</w:t>
      </w:r>
      <w:r>
        <w:rPr>
          <w:rFonts w:hint="eastAsia" w:ascii="宋体" w:hAnsi="宋体" w:eastAsia="宋体" w:cs="宋体"/>
          <w:color w:val="auto"/>
          <w:szCs w:val="21"/>
          <w:highlight w:val="none"/>
        </w:rPr>
        <w:t xml:space="preserve">  </w:t>
      </w:r>
    </w:p>
    <w:p w14:paraId="75046FD1">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r>
        <w:rPr>
          <w:rFonts w:hint="eastAsia" w:ascii="宋体" w:hAnsi="宋体" w:eastAsia="宋体" w:cs="宋体"/>
          <w:color w:val="auto"/>
          <w:szCs w:val="21"/>
          <w:highlight w:val="none"/>
          <w:lang w:val="en-US" w:eastAsia="zh-CN"/>
        </w:rPr>
        <w:t>高女士</w:t>
      </w:r>
      <w:r>
        <w:rPr>
          <w:rFonts w:hint="eastAsia" w:ascii="宋体" w:hAnsi="宋体" w:eastAsia="宋体" w:cs="宋体"/>
          <w:color w:val="auto"/>
          <w:szCs w:val="21"/>
          <w:highlight w:val="none"/>
        </w:rPr>
        <w:t xml:space="preserve">                </w:t>
      </w:r>
    </w:p>
    <w:p w14:paraId="22064947">
      <w:pPr>
        <w:widowControl/>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电 话：0375-</w:t>
      </w:r>
      <w:r>
        <w:rPr>
          <w:rFonts w:hint="eastAsia" w:ascii="宋体" w:hAnsi="宋体" w:cs="宋体"/>
          <w:color w:val="auto"/>
          <w:szCs w:val="21"/>
          <w:highlight w:val="none"/>
          <w:lang w:eastAsia="zh-CN"/>
        </w:rPr>
        <w:t>3221299</w:t>
      </w:r>
    </w:p>
    <w:bookmarkEnd w:id="15"/>
    <w:bookmarkEnd w:id="16"/>
    <w:p w14:paraId="4D571DAD">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2、采购代理机构信息</w:t>
      </w:r>
    </w:p>
    <w:p w14:paraId="0A501EB8">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  称：河南舒翔工程管理有限公司</w:t>
      </w:r>
    </w:p>
    <w:p w14:paraId="094046FC">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  址：河南省郑州市郑东新区永平路与康平路交叉口（郑东商业中心）C区1号楼9层902号</w:t>
      </w:r>
    </w:p>
    <w:p w14:paraId="5AA94640">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联系人：王先生　</w:t>
      </w:r>
    </w:p>
    <w:p w14:paraId="6BA1C8E8">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联系电话：15137566456　    </w:t>
      </w:r>
    </w:p>
    <w:p w14:paraId="5436E3AD">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3、项目联系方式</w:t>
      </w:r>
    </w:p>
    <w:p w14:paraId="14A80537">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项目联系人：王先生　</w:t>
      </w:r>
    </w:p>
    <w:p w14:paraId="22BDC94F">
      <w:pPr>
        <w:widowControl/>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联系方式：15137566456</w:t>
      </w:r>
    </w:p>
    <w:p w14:paraId="365C2A62">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6E3518A7">
      <w:pPr>
        <w:keepNext w:val="0"/>
        <w:keepLines w:val="0"/>
        <w:pageBreakBefore w:val="0"/>
        <w:kinsoku/>
        <w:wordWrap/>
        <w:overflowPunct/>
        <w:topLinePunct w:val="0"/>
        <w:autoSpaceDE/>
        <w:autoSpaceDN/>
        <w:bidi w:val="0"/>
        <w:adjustRightInd/>
        <w:snapToGrid/>
        <w:spacing w:line="408" w:lineRule="auto"/>
        <w:jc w:val="center"/>
        <w:textAlignment w:val="auto"/>
        <w:rPr>
          <w:rFonts w:ascii="宋体" w:hAnsi="宋体"/>
          <w:b/>
          <w:bCs/>
          <w:color w:val="auto"/>
          <w:sz w:val="30"/>
          <w:szCs w:val="30"/>
          <w:highlight w:val="none"/>
        </w:rPr>
      </w:pPr>
      <w:r>
        <w:rPr>
          <w:rFonts w:hint="eastAsia" w:ascii="宋体" w:hAnsi="宋体"/>
          <w:b/>
          <w:color w:val="auto"/>
          <w:kern w:val="0"/>
          <w:sz w:val="30"/>
          <w:szCs w:val="30"/>
          <w:highlight w:val="none"/>
          <w:shd w:val="clear" w:color="auto" w:fill="FFFFFF"/>
        </w:rPr>
        <w:t>温馨提示：</w:t>
      </w:r>
    </w:p>
    <w:p w14:paraId="3D2D366D">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本项目为全流程电子化交易项目，请认真阅读采购文件，并注意以下事项。</w:t>
      </w:r>
    </w:p>
    <w:p w14:paraId="13C276CF">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1.供应商应按采购文件规定编制、提交电子投标文件。</w:t>
      </w:r>
    </w:p>
    <w:p w14:paraId="57D9F3E7">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2.本项目供应商不用再提供纸质投标文件。</w:t>
      </w:r>
    </w:p>
    <w:p w14:paraId="6CC599D7">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3.电子文件下载、制作、提交期间和开标（电子投标文件的解密）环节，供应商须使用CA数字证书（证书须在有效期内）。</w:t>
      </w:r>
    </w:p>
    <w:p w14:paraId="68B76DD4">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4.电子投标文件的制作</w:t>
      </w:r>
    </w:p>
    <w:p w14:paraId="78660FC3">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4.1供应商登录《全国公共资源交易平台(河南省▪平顶山市)》公共资源交易系统（http://ggzy.pds.gov.cn）下载“平顶山投标文件制作系统”，按采购文件要求制作电子投标文件。</w:t>
      </w:r>
    </w:p>
    <w:p w14:paraId="472A66F4">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电子投标文件的制作，参考《全国公共资源交易平台(河南省▪平顶山市)》公共资源交易系统——组件下载——交易系统操作手册（投标人、供应商）。</w:t>
      </w:r>
    </w:p>
    <w:p w14:paraId="2DDAEA6E">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4.2供应商须将采购文件要求的资质、业绩、荣誉及相关人员证明材料等资料原件扫描件（或图片）制作到所提交的电子投标文件中。</w:t>
      </w:r>
    </w:p>
    <w:p w14:paraId="0F967D85">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4.3供应商对同一项目多个标段进行投标的，应分别下载所投标段的采购文件，按标段制作电子投标文件，并按采购文件要求在相应位置加盖供应商电子印章和法人电子印章。</w:t>
      </w:r>
    </w:p>
    <w:p w14:paraId="3454A061">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一个标段对应生成一个文件夹（xxxx项目xx标段）, 其中包含2个文件和1个文件夹。后缀名为“.file”的文件用于电子投标使用，名称为“备份”的文件夹使用电子介质存储，供开标现场备用。</w:t>
      </w:r>
    </w:p>
    <w:p w14:paraId="776BDE9F">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5.加密电子投标文件的提交</w:t>
      </w:r>
    </w:p>
    <w:p w14:paraId="173199F0">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5.1加密电子投标文件应在采购文件规定的投标截止时间（开标时间）之前成功提交至《全国公共资源交易平台(河南省▪平顶山市)》公共资源交易系统（http://ggzy.pds.gov.cn）。</w:t>
      </w:r>
    </w:p>
    <w:p w14:paraId="47E76C47">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供应商应充分考虑并预留技术处理和上传数据所需时间。</w:t>
      </w:r>
    </w:p>
    <w:p w14:paraId="0041BC40">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5.2供应商对同一项目多个标段进行投标的，加密电子投标文件应按标段分别提交。</w:t>
      </w:r>
    </w:p>
    <w:p w14:paraId="756DB3C2">
      <w:pPr>
        <w:shd w:val="clear" w:color="auto" w:fill="FFFFFF"/>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3D4FB08B">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561CC08F">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宋体" w:hAnsi="宋体"/>
          <w:b/>
          <w:color w:val="auto"/>
          <w:kern w:val="0"/>
          <w:sz w:val="30"/>
          <w:szCs w:val="30"/>
          <w:highlight w:val="none"/>
          <w:shd w:val="clear" w:color="auto" w:fill="FFFFFF"/>
        </w:rPr>
      </w:pPr>
      <w:r>
        <w:rPr>
          <w:rFonts w:hint="eastAsia" w:ascii="宋体" w:hAnsi="宋体"/>
          <w:b/>
          <w:color w:val="auto"/>
          <w:kern w:val="0"/>
          <w:sz w:val="30"/>
          <w:szCs w:val="30"/>
          <w:highlight w:val="none"/>
          <w:shd w:val="clear" w:color="auto" w:fill="FFFFFF"/>
        </w:rPr>
        <w:t xml:space="preserve">  “不见面”开标注意事项：</w:t>
      </w:r>
    </w:p>
    <w:p w14:paraId="77F28412">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1、采购人和代理机构应当提前做好各项准备工作，准时开标。</w:t>
      </w:r>
    </w:p>
    <w:p w14:paraId="4D09E33B">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2、开标时，供应商采用网上远程异地解密，请用CA证书登录平顶山市公共资源交易中心业务系统，进入本项目开标大厅点击解密来完成投标文件的解密工作。每位供应商的解密时间从开标时间起60分钟内完成，超过规定时间解密的投标文件不予接收。</w:t>
      </w:r>
    </w:p>
    <w:p w14:paraId="44DEB21D">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3、如出现供应商的电子投标文件无法解密的情况，供应商应及时联系采购人（代理机构）进行说明。投标文件解密异常，按以下步骤进行处理：</w:t>
      </w:r>
    </w:p>
    <w:p w14:paraId="6DB1B33D">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（1）如果是投标文件自身问题导致投标文件无法解密的，该投标文件将不予接收、解密。</w:t>
      </w:r>
    </w:p>
    <w:p w14:paraId="007B5841">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（2）如果是电子化交易系统问题造成投标文件无法解密的，将由技术人员进行排查处理。如短时间内问题无法解决的，将由采购人（代理机构）联系监督部门申请暂停开标，待问题解决后继续开标。</w:t>
      </w:r>
    </w:p>
    <w:p w14:paraId="1F8EA657">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4、所有投标文件解密完成后，由采购人（代理机构）操作，对开标结果进行公示。</w:t>
      </w:r>
    </w:p>
    <w:p w14:paraId="1DCDA654">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5、供应商应保证在开标期间电话、电脑、网络等能够正常使用，供应商因停电、电脑病毒、网络堵塞等原因，未在规定的解密时间内对投标文件进行解密的，其投标文件不予接收。</w:t>
      </w:r>
    </w:p>
    <w:p w14:paraId="715E3D56">
      <w:pPr>
        <w:keepNext w:val="0"/>
        <w:keepLines w:val="0"/>
        <w:pageBreakBefore w:val="0"/>
        <w:widowControl/>
        <w:kinsoku/>
        <w:wordWrap/>
        <w:overflowPunct/>
        <w:topLinePunct w:val="0"/>
        <w:autoSpaceDE/>
        <w:autoSpaceDN/>
        <w:bidi w:val="0"/>
        <w:adjustRightInd/>
        <w:snapToGrid/>
        <w:spacing w:line="408"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6、解密完成后，供应商可登录到交易系统查看自己的投标报价。如对自己的报价内容有异议的，应在报价内容显示后5分钟内联系采购人（代理机构）进行质疑，供应商未在规定时间内提出质疑的，视为认可开标结果显示内容。</w:t>
      </w:r>
    </w:p>
    <w:p w14:paraId="64DA4F85">
      <w:pPr>
        <w:rPr>
          <w:rFonts w:hint="eastAsia"/>
          <w:color w:val="auto"/>
          <w:highlight w:val="none"/>
        </w:rPr>
      </w:pPr>
    </w:p>
    <w:p w14:paraId="4C7B81E4">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4029FD6B">
      <w:pPr>
        <w:numPr>
          <w:ilvl w:val="0"/>
          <w:numId w:val="0"/>
        </w:numPr>
        <w:spacing w:before="120" w:after="120" w:line="400" w:lineRule="exact"/>
        <w:ind w:firstLine="2160" w:firstLineChars="600"/>
        <w:outlineLvl w:val="9"/>
        <w:rPr>
          <w:rFonts w:hint="eastAsia" w:ascii="宋体" w:hAnsi="宋体" w:cs="宋体"/>
          <w:bCs w:val="0"/>
          <w:color w:val="auto"/>
          <w:sz w:val="36"/>
          <w:szCs w:val="36"/>
          <w:highlight w:val="none"/>
        </w:rPr>
        <w:sectPr>
          <w:footerReference r:id="rId11" w:type="first"/>
          <w:footerReference r:id="rId10" w:type="default"/>
          <w:pgSz w:w="11906" w:h="16838"/>
          <w:pgMar w:top="1559" w:right="1531" w:bottom="1418" w:left="1554" w:header="57" w:footer="992" w:gutter="0"/>
          <w:pgNumType w:start="1"/>
          <w:cols w:space="720" w:num="1"/>
          <w:titlePg/>
          <w:docGrid w:linePitch="312" w:charSpace="0"/>
        </w:sectPr>
      </w:pPr>
    </w:p>
    <w:p w14:paraId="1EDA04E3">
      <w:pPr>
        <w:pStyle w:val="2"/>
        <w:numPr>
          <w:ilvl w:val="0"/>
          <w:numId w:val="0"/>
        </w:numPr>
        <w:spacing w:before="120" w:after="120" w:line="400" w:lineRule="exact"/>
        <w:jc w:val="center"/>
        <w:rPr>
          <w:rFonts w:ascii="宋体" w:hAnsi="宋体" w:cs="宋体"/>
          <w:color w:val="auto"/>
          <w:sz w:val="32"/>
          <w:highlight w:val="none"/>
        </w:rPr>
      </w:pPr>
      <w:bookmarkStart w:id="17" w:name="_Toc3855"/>
      <w:r>
        <w:rPr>
          <w:rFonts w:hint="eastAsia" w:ascii="宋体" w:hAnsi="宋体" w:cs="宋体"/>
          <w:bCs w:val="0"/>
          <w:color w:val="auto"/>
          <w:sz w:val="32"/>
          <w:szCs w:val="32"/>
          <w:highlight w:val="none"/>
        </w:rPr>
        <w:t>第二章  供应商须知</w:t>
      </w:r>
      <w:bookmarkEnd w:id="3"/>
      <w:bookmarkEnd w:id="4"/>
      <w:bookmarkEnd w:id="5"/>
      <w:bookmarkEnd w:id="6"/>
      <w:bookmarkEnd w:id="17"/>
    </w:p>
    <w:p w14:paraId="5254B909">
      <w:pPr>
        <w:pStyle w:val="168"/>
        <w:pageBreakBefore w:val="0"/>
        <w:widowControl w:val="0"/>
        <w:kinsoku w:val="0"/>
        <w:wordWrap/>
        <w:overflowPunct w:val="0"/>
        <w:autoSpaceDE w:val="0"/>
        <w:autoSpaceDN w:val="0"/>
        <w:bidi w:val="0"/>
        <w:snapToGrid/>
        <w:jc w:val="center"/>
        <w:rPr>
          <w:rFonts w:ascii="宋体" w:hAnsi="宋体" w:eastAsia="宋体"/>
          <w:b/>
          <w:bCs w:val="0"/>
          <w:color w:val="auto"/>
          <w:highlight w:val="none"/>
        </w:rPr>
      </w:pPr>
      <w:bookmarkStart w:id="18" w:name="_Toc144974496"/>
      <w:bookmarkStart w:id="19" w:name="_Toc455080107"/>
      <w:bookmarkStart w:id="20" w:name="_Toc15338"/>
      <w:bookmarkStart w:id="21" w:name="_Toc152045528"/>
      <w:bookmarkStart w:id="22" w:name="_Toc466298090"/>
      <w:bookmarkStart w:id="23" w:name="_Toc509667259"/>
      <w:bookmarkStart w:id="24" w:name="_Toc152042304"/>
      <w:r>
        <w:rPr>
          <w:rFonts w:hint="eastAsia" w:ascii="宋体" w:hAnsi="宋体" w:eastAsia="宋体"/>
          <w:b/>
          <w:bCs w:val="0"/>
          <w:color w:val="auto"/>
          <w:highlight w:val="none"/>
        </w:rPr>
        <w:t>供应商须知前附表</w:t>
      </w:r>
      <w:bookmarkEnd w:id="18"/>
      <w:bookmarkEnd w:id="19"/>
      <w:bookmarkEnd w:id="20"/>
      <w:bookmarkEnd w:id="21"/>
      <w:bookmarkEnd w:id="22"/>
      <w:bookmarkEnd w:id="23"/>
      <w:bookmarkEnd w:id="24"/>
    </w:p>
    <w:tbl>
      <w:tblPr>
        <w:tblStyle w:val="47"/>
        <w:tblW w:w="10103" w:type="dxa"/>
        <w:jc w:val="center"/>
        <w:tblLayout w:type="fixed"/>
        <w:tblCellMar>
          <w:top w:w="0" w:type="dxa"/>
          <w:left w:w="108" w:type="dxa"/>
          <w:bottom w:w="0" w:type="dxa"/>
          <w:right w:w="108" w:type="dxa"/>
        </w:tblCellMar>
      </w:tblPr>
      <w:tblGrid>
        <w:gridCol w:w="1100"/>
        <w:gridCol w:w="2634"/>
        <w:gridCol w:w="6369"/>
      </w:tblGrid>
      <w:tr w14:paraId="6BFA1762">
        <w:tblPrEx>
          <w:tblCellMar>
            <w:top w:w="0" w:type="dxa"/>
            <w:left w:w="108" w:type="dxa"/>
            <w:bottom w:w="0" w:type="dxa"/>
            <w:right w:w="108" w:type="dxa"/>
          </w:tblCellMar>
        </w:tblPrEx>
        <w:trPr>
          <w:trHeight w:val="653"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65C99E83">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rPr>
              <w:t>条款号</w:t>
            </w:r>
          </w:p>
        </w:tc>
        <w:tc>
          <w:tcPr>
            <w:tcW w:w="2634" w:type="dxa"/>
            <w:tcBorders>
              <w:top w:val="single" w:color="auto" w:sz="4" w:space="0"/>
              <w:left w:val="single" w:color="auto" w:sz="4" w:space="0"/>
              <w:bottom w:val="single" w:color="auto" w:sz="4" w:space="0"/>
              <w:right w:val="single" w:color="auto" w:sz="4" w:space="0"/>
            </w:tcBorders>
            <w:vAlign w:val="center"/>
          </w:tcPr>
          <w:p w14:paraId="5474CE15">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rPr>
              <w:t>条款名称</w:t>
            </w:r>
          </w:p>
        </w:tc>
        <w:tc>
          <w:tcPr>
            <w:tcW w:w="6369" w:type="dxa"/>
            <w:tcBorders>
              <w:top w:val="single" w:color="auto" w:sz="4" w:space="0"/>
              <w:left w:val="single" w:color="auto" w:sz="4" w:space="0"/>
              <w:bottom w:val="single" w:color="auto" w:sz="4" w:space="0"/>
              <w:right w:val="single" w:color="auto" w:sz="4" w:space="0"/>
            </w:tcBorders>
            <w:vAlign w:val="center"/>
          </w:tcPr>
          <w:p w14:paraId="0EC6AFCA">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rPr>
              <w:t>编  列  内  容</w:t>
            </w:r>
          </w:p>
        </w:tc>
      </w:tr>
      <w:tr w14:paraId="47FCF245">
        <w:tblPrEx>
          <w:tblCellMar>
            <w:top w:w="0" w:type="dxa"/>
            <w:left w:w="108" w:type="dxa"/>
            <w:bottom w:w="0" w:type="dxa"/>
            <w:right w:w="108" w:type="dxa"/>
          </w:tblCellMar>
        </w:tblPrEx>
        <w:trPr>
          <w:jc w:val="center"/>
        </w:trPr>
        <w:tc>
          <w:tcPr>
            <w:tcW w:w="1100" w:type="dxa"/>
            <w:tcBorders>
              <w:top w:val="single" w:color="auto" w:sz="4" w:space="0"/>
              <w:left w:val="single" w:color="auto" w:sz="4" w:space="0"/>
              <w:bottom w:val="single" w:color="auto" w:sz="4" w:space="0"/>
              <w:right w:val="single" w:color="auto" w:sz="4" w:space="0"/>
            </w:tcBorders>
            <w:vAlign w:val="center"/>
          </w:tcPr>
          <w:p w14:paraId="71DF8253">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1.2.1</w:t>
            </w:r>
          </w:p>
        </w:tc>
        <w:tc>
          <w:tcPr>
            <w:tcW w:w="2634" w:type="dxa"/>
            <w:tcBorders>
              <w:top w:val="single" w:color="auto" w:sz="4" w:space="0"/>
              <w:left w:val="single" w:color="auto" w:sz="4" w:space="0"/>
              <w:bottom w:val="single" w:color="auto" w:sz="4" w:space="0"/>
              <w:right w:val="single" w:color="auto" w:sz="4" w:space="0"/>
            </w:tcBorders>
            <w:vAlign w:val="center"/>
          </w:tcPr>
          <w:p w14:paraId="337B15A7">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采购人</w:t>
            </w:r>
          </w:p>
        </w:tc>
        <w:tc>
          <w:tcPr>
            <w:tcW w:w="6369" w:type="dxa"/>
            <w:tcBorders>
              <w:top w:val="single" w:color="auto" w:sz="4" w:space="0"/>
              <w:left w:val="single" w:color="auto" w:sz="4" w:space="0"/>
              <w:bottom w:val="single" w:color="auto" w:sz="4" w:space="0"/>
              <w:right w:val="single" w:color="auto" w:sz="4" w:space="0"/>
            </w:tcBorders>
            <w:vAlign w:val="center"/>
          </w:tcPr>
          <w:p w14:paraId="7F8CCA45">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名称：平顶山市公安局交通管理支队    </w:t>
            </w:r>
          </w:p>
          <w:p w14:paraId="37448C06">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联系人：高女士                </w:t>
            </w:r>
          </w:p>
          <w:p w14:paraId="6C15807D">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电话：0375-</w:t>
            </w:r>
            <w:r>
              <w:rPr>
                <w:rFonts w:hint="eastAsia" w:ascii="宋体" w:hAnsi="宋体" w:cs="宋体"/>
                <w:color w:val="auto"/>
                <w:szCs w:val="21"/>
                <w:highlight w:val="none"/>
                <w:lang w:val="en-US" w:eastAsia="zh-CN"/>
              </w:rPr>
              <w:t>3221299</w:t>
            </w:r>
          </w:p>
          <w:p w14:paraId="4A772E65">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地址：平顶山市新华路中段291号   </w:t>
            </w:r>
          </w:p>
        </w:tc>
      </w:tr>
      <w:tr w14:paraId="2C194D49">
        <w:tblPrEx>
          <w:tblCellMar>
            <w:top w:w="0" w:type="dxa"/>
            <w:left w:w="108" w:type="dxa"/>
            <w:bottom w:w="0" w:type="dxa"/>
            <w:right w:w="108" w:type="dxa"/>
          </w:tblCellMar>
        </w:tblPrEx>
        <w:trPr>
          <w:trHeight w:val="1768"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078A0A8F">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1.2.2</w:t>
            </w:r>
          </w:p>
        </w:tc>
        <w:tc>
          <w:tcPr>
            <w:tcW w:w="2634" w:type="dxa"/>
            <w:tcBorders>
              <w:top w:val="single" w:color="auto" w:sz="4" w:space="0"/>
              <w:left w:val="single" w:color="auto" w:sz="4" w:space="0"/>
              <w:bottom w:val="single" w:color="auto" w:sz="4" w:space="0"/>
              <w:right w:val="single" w:color="auto" w:sz="4" w:space="0"/>
            </w:tcBorders>
            <w:vAlign w:val="center"/>
          </w:tcPr>
          <w:p w14:paraId="27F129F0">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采购代理机构</w:t>
            </w:r>
          </w:p>
        </w:tc>
        <w:tc>
          <w:tcPr>
            <w:tcW w:w="6369" w:type="dxa"/>
            <w:tcBorders>
              <w:top w:val="single" w:color="auto" w:sz="4" w:space="0"/>
              <w:left w:val="single" w:color="auto" w:sz="4" w:space="0"/>
              <w:bottom w:val="single" w:color="auto" w:sz="4" w:space="0"/>
              <w:right w:val="single" w:color="auto" w:sz="4" w:space="0"/>
            </w:tcBorders>
            <w:vAlign w:val="center"/>
          </w:tcPr>
          <w:p w14:paraId="75B85B41">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名  称：河南舒翔工程管理有限公司</w:t>
            </w:r>
          </w:p>
          <w:p w14:paraId="2DF0682D">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地  址：河南省郑州市郑东新区永平路与康平路交叉口（郑东商业中心）C区1号楼9层902号</w:t>
            </w:r>
          </w:p>
          <w:p w14:paraId="2B99FF5B">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联系人：王先生　</w:t>
            </w:r>
          </w:p>
          <w:p w14:paraId="5102B7DC">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联系电话：15137566456　 </w:t>
            </w:r>
          </w:p>
        </w:tc>
      </w:tr>
      <w:tr w14:paraId="573EB63B">
        <w:tblPrEx>
          <w:tblCellMar>
            <w:top w:w="0" w:type="dxa"/>
            <w:left w:w="108" w:type="dxa"/>
            <w:bottom w:w="0" w:type="dxa"/>
            <w:right w:w="108" w:type="dxa"/>
          </w:tblCellMar>
        </w:tblPrEx>
        <w:trPr>
          <w:trHeight w:val="471"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5A9835CB">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1.2.3</w:t>
            </w:r>
          </w:p>
        </w:tc>
        <w:tc>
          <w:tcPr>
            <w:tcW w:w="2634" w:type="dxa"/>
            <w:tcBorders>
              <w:top w:val="single" w:color="auto" w:sz="4" w:space="0"/>
              <w:left w:val="single" w:color="auto" w:sz="4" w:space="0"/>
              <w:bottom w:val="single" w:color="auto" w:sz="4" w:space="0"/>
              <w:right w:val="single" w:color="auto" w:sz="4" w:space="0"/>
            </w:tcBorders>
            <w:vAlign w:val="center"/>
          </w:tcPr>
          <w:p w14:paraId="4393D934">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项目名称</w:t>
            </w:r>
          </w:p>
        </w:tc>
        <w:tc>
          <w:tcPr>
            <w:tcW w:w="6369" w:type="dxa"/>
            <w:tcBorders>
              <w:top w:val="single" w:color="auto" w:sz="4" w:space="0"/>
              <w:left w:val="single" w:color="auto" w:sz="4" w:space="0"/>
              <w:bottom w:val="single" w:color="auto" w:sz="4" w:space="0"/>
              <w:right w:val="single" w:color="auto" w:sz="4" w:space="0"/>
            </w:tcBorders>
            <w:vAlign w:val="center"/>
          </w:tcPr>
          <w:p w14:paraId="21777217">
            <w:pPr>
              <w:pageBreakBefore w:val="0"/>
              <w:widowControl w:val="0"/>
              <w:kinsoku w:val="0"/>
              <w:wordWrap/>
              <w:overflowPunct w:val="0"/>
              <w:autoSpaceDE w:val="0"/>
              <w:autoSpaceDN w:val="0"/>
              <w:bidi w:val="0"/>
              <w:snapToGrid/>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平顶山市公安局交通管理支队物业服务采购项目</w:t>
            </w:r>
          </w:p>
        </w:tc>
      </w:tr>
      <w:tr w14:paraId="4ED3EEB6">
        <w:tblPrEx>
          <w:tblCellMar>
            <w:top w:w="0" w:type="dxa"/>
            <w:left w:w="108" w:type="dxa"/>
            <w:bottom w:w="0" w:type="dxa"/>
            <w:right w:w="108" w:type="dxa"/>
          </w:tblCellMar>
        </w:tblPrEx>
        <w:trPr>
          <w:trHeight w:val="494"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0BBB2F19">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1.4.1</w:t>
            </w:r>
          </w:p>
        </w:tc>
        <w:tc>
          <w:tcPr>
            <w:tcW w:w="2634" w:type="dxa"/>
            <w:tcBorders>
              <w:top w:val="single" w:color="auto" w:sz="4" w:space="0"/>
              <w:left w:val="single" w:color="auto" w:sz="4" w:space="0"/>
              <w:bottom w:val="single" w:color="auto" w:sz="4" w:space="0"/>
              <w:right w:val="single" w:color="auto" w:sz="4" w:space="0"/>
            </w:tcBorders>
            <w:vAlign w:val="center"/>
          </w:tcPr>
          <w:p w14:paraId="4AFA34A5">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磋商内容及标段划分</w:t>
            </w:r>
          </w:p>
        </w:tc>
        <w:tc>
          <w:tcPr>
            <w:tcW w:w="6369" w:type="dxa"/>
            <w:tcBorders>
              <w:top w:val="single" w:color="auto" w:sz="4" w:space="0"/>
              <w:left w:val="single" w:color="auto" w:sz="4" w:space="0"/>
              <w:bottom w:val="single" w:color="auto" w:sz="4" w:space="0"/>
              <w:right w:val="single" w:color="auto" w:sz="4" w:space="0"/>
            </w:tcBorders>
            <w:vAlign w:val="center"/>
          </w:tcPr>
          <w:p w14:paraId="65DE95F6">
            <w:pPr>
              <w:pageBreakBefore w:val="0"/>
              <w:widowControl w:val="0"/>
              <w:kinsoku w:val="0"/>
              <w:wordWrap/>
              <w:overflowPunct w:val="0"/>
              <w:autoSpaceDE w:val="0"/>
              <w:autoSpaceDN w:val="0"/>
              <w:bidi w:val="0"/>
              <w:snapToGrid/>
              <w:spacing w:line="360" w:lineRule="auto"/>
              <w:rPr>
                <w:rFonts w:hint="default" w:eastAsia="宋体"/>
                <w:color w:val="auto"/>
                <w:highlight w:val="none"/>
                <w:lang w:val="en-US" w:eastAsia="zh-CN"/>
              </w:rPr>
            </w:pPr>
            <w:r>
              <w:rPr>
                <w:rFonts w:hint="eastAsia" w:ascii="宋体" w:hAnsi="宋体" w:cs="宋体"/>
                <w:color w:val="auto"/>
                <w:szCs w:val="21"/>
                <w:highlight w:val="none"/>
                <w:lang w:val="en-US" w:eastAsia="zh-CN"/>
              </w:rPr>
              <w:t>平顶山市公安局交通管理支队院内物业服务项目，本项目共计划分一个标段</w:t>
            </w:r>
          </w:p>
        </w:tc>
      </w:tr>
      <w:tr w14:paraId="2D677C9E">
        <w:tblPrEx>
          <w:tblCellMar>
            <w:top w:w="0" w:type="dxa"/>
            <w:left w:w="108" w:type="dxa"/>
            <w:bottom w:w="0" w:type="dxa"/>
            <w:right w:w="108" w:type="dxa"/>
          </w:tblCellMar>
        </w:tblPrEx>
        <w:trPr>
          <w:trHeight w:val="494"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2EF432AE">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1.4.2</w:t>
            </w:r>
          </w:p>
        </w:tc>
        <w:tc>
          <w:tcPr>
            <w:tcW w:w="2634" w:type="dxa"/>
            <w:tcBorders>
              <w:top w:val="single" w:color="auto" w:sz="4" w:space="0"/>
              <w:left w:val="single" w:color="auto" w:sz="4" w:space="0"/>
              <w:bottom w:val="single" w:color="auto" w:sz="4" w:space="0"/>
              <w:right w:val="single" w:color="auto" w:sz="4" w:space="0"/>
            </w:tcBorders>
            <w:vAlign w:val="center"/>
          </w:tcPr>
          <w:p w14:paraId="60445B0A">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val="en-US" w:eastAsia="zh-CN"/>
              </w:rPr>
              <w:t>服务</w:t>
            </w:r>
            <w:r>
              <w:rPr>
                <w:rFonts w:hint="eastAsia" w:ascii="宋体" w:hAnsi="宋体" w:cs="宋体"/>
                <w:color w:val="auto"/>
                <w:szCs w:val="21"/>
                <w:highlight w:val="none"/>
              </w:rPr>
              <w:t>地点</w:t>
            </w:r>
          </w:p>
        </w:tc>
        <w:tc>
          <w:tcPr>
            <w:tcW w:w="6369" w:type="dxa"/>
            <w:tcBorders>
              <w:top w:val="single" w:color="auto" w:sz="4" w:space="0"/>
              <w:left w:val="single" w:color="auto" w:sz="4" w:space="0"/>
              <w:bottom w:val="single" w:color="auto" w:sz="4" w:space="0"/>
              <w:right w:val="single" w:color="auto" w:sz="4" w:space="0"/>
            </w:tcBorders>
            <w:vAlign w:val="center"/>
          </w:tcPr>
          <w:p w14:paraId="491B90D7">
            <w:pPr>
              <w:pageBreakBefore w:val="0"/>
              <w:widowControl w:val="0"/>
              <w:kinsoku w:val="0"/>
              <w:wordWrap/>
              <w:overflowPunct w:val="0"/>
              <w:autoSpaceDE w:val="0"/>
              <w:autoSpaceDN w:val="0"/>
              <w:bidi w:val="0"/>
              <w:snapToGrid/>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采购人指定地点</w:t>
            </w:r>
          </w:p>
        </w:tc>
      </w:tr>
      <w:tr w14:paraId="4CA6F521">
        <w:tblPrEx>
          <w:tblCellMar>
            <w:top w:w="0" w:type="dxa"/>
            <w:left w:w="108" w:type="dxa"/>
            <w:bottom w:w="0" w:type="dxa"/>
            <w:right w:w="108" w:type="dxa"/>
          </w:tblCellMar>
        </w:tblPrEx>
        <w:trPr>
          <w:trHeight w:val="561"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731108EA">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1.4.3</w:t>
            </w:r>
          </w:p>
        </w:tc>
        <w:tc>
          <w:tcPr>
            <w:tcW w:w="2634" w:type="dxa"/>
            <w:tcBorders>
              <w:top w:val="single" w:color="auto" w:sz="4" w:space="0"/>
              <w:left w:val="single" w:color="auto" w:sz="4" w:space="0"/>
              <w:bottom w:val="single" w:color="auto" w:sz="4" w:space="0"/>
              <w:right w:val="single" w:color="auto" w:sz="4" w:space="0"/>
            </w:tcBorders>
            <w:vAlign w:val="center"/>
          </w:tcPr>
          <w:p w14:paraId="73A50AB4">
            <w:pPr>
              <w:pageBreakBefore w:val="0"/>
              <w:widowControl w:val="0"/>
              <w:kinsoku w:val="0"/>
              <w:wordWrap/>
              <w:overflowPunct w:val="0"/>
              <w:autoSpaceDE w:val="0"/>
              <w:autoSpaceDN w:val="0"/>
              <w:bidi w:val="0"/>
              <w:snapToGrid/>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服务期限</w:t>
            </w:r>
          </w:p>
        </w:tc>
        <w:tc>
          <w:tcPr>
            <w:tcW w:w="6369" w:type="dxa"/>
            <w:tcBorders>
              <w:top w:val="single" w:color="auto" w:sz="4" w:space="0"/>
              <w:left w:val="single" w:color="auto" w:sz="4" w:space="0"/>
              <w:bottom w:val="single" w:color="auto" w:sz="4" w:space="0"/>
              <w:right w:val="single" w:color="auto" w:sz="4" w:space="0"/>
            </w:tcBorders>
            <w:vAlign w:val="center"/>
          </w:tcPr>
          <w:p w14:paraId="5C853591">
            <w:pPr>
              <w:pageBreakBefore w:val="0"/>
              <w:widowControl w:val="0"/>
              <w:kinsoku w:val="0"/>
              <w:wordWrap/>
              <w:overflowPunct w:val="0"/>
              <w:autoSpaceDE w:val="0"/>
              <w:autoSpaceDN w:val="0"/>
              <w:bidi w:val="0"/>
              <w:snapToGrid/>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自合同签订之日起</w:t>
            </w:r>
            <w:r>
              <w:rPr>
                <w:rFonts w:hint="eastAsia" w:ascii="宋体" w:hAnsi="宋体" w:cs="宋体"/>
                <w:color w:val="auto"/>
                <w:szCs w:val="21"/>
                <w:highlight w:val="none"/>
                <w:lang w:val="en-US" w:eastAsia="zh-CN"/>
              </w:rPr>
              <w:t>三</w:t>
            </w:r>
            <w:r>
              <w:rPr>
                <w:rFonts w:hint="default" w:ascii="宋体" w:hAnsi="宋体" w:eastAsia="宋体" w:cs="宋体"/>
                <w:color w:val="auto"/>
                <w:szCs w:val="21"/>
                <w:highlight w:val="none"/>
                <w:lang w:val="en-US" w:eastAsia="zh-CN"/>
              </w:rPr>
              <w:t>年</w:t>
            </w:r>
          </w:p>
        </w:tc>
      </w:tr>
      <w:tr w14:paraId="387E5C85">
        <w:tblPrEx>
          <w:tblCellMar>
            <w:top w:w="0" w:type="dxa"/>
            <w:left w:w="108" w:type="dxa"/>
            <w:bottom w:w="0" w:type="dxa"/>
            <w:right w:w="108" w:type="dxa"/>
          </w:tblCellMar>
        </w:tblPrEx>
        <w:trPr>
          <w:trHeight w:val="561"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17E7090A">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1.4.4</w:t>
            </w:r>
          </w:p>
        </w:tc>
        <w:tc>
          <w:tcPr>
            <w:tcW w:w="2634" w:type="dxa"/>
            <w:tcBorders>
              <w:top w:val="single" w:color="auto" w:sz="4" w:space="0"/>
              <w:left w:val="single" w:color="auto" w:sz="4" w:space="0"/>
              <w:bottom w:val="single" w:color="auto" w:sz="4" w:space="0"/>
              <w:right w:val="single" w:color="auto" w:sz="4" w:space="0"/>
            </w:tcBorders>
            <w:vAlign w:val="center"/>
          </w:tcPr>
          <w:p w14:paraId="34C7018A">
            <w:pPr>
              <w:pageBreakBefore w:val="0"/>
              <w:widowControl w:val="0"/>
              <w:kinsoku w:val="0"/>
              <w:wordWrap/>
              <w:overflowPunct w:val="0"/>
              <w:autoSpaceDE w:val="0"/>
              <w:autoSpaceDN w:val="0"/>
              <w:bidi w:val="0"/>
              <w:snapToGrid/>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服务标准</w:t>
            </w:r>
          </w:p>
        </w:tc>
        <w:tc>
          <w:tcPr>
            <w:tcW w:w="6369" w:type="dxa"/>
            <w:tcBorders>
              <w:top w:val="single" w:color="auto" w:sz="4" w:space="0"/>
              <w:left w:val="single" w:color="auto" w:sz="4" w:space="0"/>
              <w:bottom w:val="single" w:color="auto" w:sz="4" w:space="0"/>
              <w:right w:val="single" w:color="auto" w:sz="4" w:space="0"/>
            </w:tcBorders>
            <w:vAlign w:val="center"/>
          </w:tcPr>
          <w:p w14:paraId="557CDDC2">
            <w:pPr>
              <w:pStyle w:val="20"/>
              <w:pageBreakBefore w:val="0"/>
              <w:widowControl w:val="0"/>
              <w:kinsoku w:val="0"/>
              <w:wordWrap/>
              <w:overflowPunct w:val="0"/>
              <w:autoSpaceDE w:val="0"/>
              <w:autoSpaceDN w:val="0"/>
              <w:bidi w:val="0"/>
              <w:snapToGrid/>
              <w:ind w:left="0" w:leftChars="0" w:firstLine="0" w:firstLineChars="0"/>
              <w:rPr>
                <w:rFonts w:hint="default" w:eastAsia="宋体"/>
                <w:color w:val="auto"/>
                <w:highlight w:val="none"/>
                <w:lang w:val="en-US" w:eastAsia="zh-CN"/>
              </w:rPr>
            </w:pPr>
            <w:r>
              <w:rPr>
                <w:rFonts w:hint="default" w:ascii="宋体" w:hAnsi="宋体" w:eastAsia="宋体" w:cs="宋体"/>
                <w:color w:val="auto"/>
                <w:kern w:val="2"/>
                <w:sz w:val="21"/>
                <w:szCs w:val="21"/>
                <w:highlight w:val="none"/>
                <w:lang w:val="en-US" w:eastAsia="zh-CN" w:bidi="ar-SA"/>
              </w:rPr>
              <w:t>符合国家或行业规定的合格标准，满足采购人的要求</w:t>
            </w:r>
          </w:p>
        </w:tc>
      </w:tr>
      <w:tr w14:paraId="7B4E302D">
        <w:tblPrEx>
          <w:tblCellMar>
            <w:top w:w="0" w:type="dxa"/>
            <w:left w:w="108" w:type="dxa"/>
            <w:bottom w:w="0" w:type="dxa"/>
            <w:right w:w="108" w:type="dxa"/>
          </w:tblCellMar>
        </w:tblPrEx>
        <w:trPr>
          <w:jc w:val="center"/>
        </w:trPr>
        <w:tc>
          <w:tcPr>
            <w:tcW w:w="1100" w:type="dxa"/>
            <w:tcBorders>
              <w:top w:val="single" w:color="auto" w:sz="4" w:space="0"/>
              <w:left w:val="single" w:color="auto" w:sz="4" w:space="0"/>
              <w:bottom w:val="single" w:color="auto" w:sz="4" w:space="0"/>
              <w:right w:val="single" w:color="auto" w:sz="4" w:space="0"/>
            </w:tcBorders>
            <w:vAlign w:val="center"/>
          </w:tcPr>
          <w:p w14:paraId="505986BB">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1.5.1</w:t>
            </w:r>
          </w:p>
        </w:tc>
        <w:tc>
          <w:tcPr>
            <w:tcW w:w="2634" w:type="dxa"/>
            <w:tcBorders>
              <w:top w:val="single" w:color="auto" w:sz="4" w:space="0"/>
              <w:left w:val="single" w:color="auto" w:sz="4" w:space="0"/>
              <w:bottom w:val="single" w:color="auto" w:sz="4" w:space="0"/>
              <w:right w:val="single" w:color="auto" w:sz="4" w:space="0"/>
            </w:tcBorders>
            <w:vAlign w:val="center"/>
          </w:tcPr>
          <w:p w14:paraId="51016C88">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供应商资质条件和能力</w:t>
            </w:r>
          </w:p>
        </w:tc>
        <w:tc>
          <w:tcPr>
            <w:tcW w:w="6369" w:type="dxa"/>
            <w:tcBorders>
              <w:top w:val="single" w:color="auto" w:sz="4" w:space="0"/>
              <w:left w:val="single" w:color="auto" w:sz="4" w:space="0"/>
              <w:bottom w:val="single" w:color="auto" w:sz="4" w:space="0"/>
              <w:right w:val="single" w:color="auto" w:sz="4" w:space="0"/>
            </w:tcBorders>
            <w:vAlign w:val="center"/>
          </w:tcPr>
          <w:p w14:paraId="420AEE4B">
            <w:pPr>
              <w:pageBreakBefore w:val="0"/>
              <w:widowControl w:val="0"/>
              <w:kinsoku w:val="0"/>
              <w:wordWrap/>
              <w:overflowPunct w:val="0"/>
              <w:autoSpaceDE w:val="0"/>
              <w:autoSpaceDN w:val="0"/>
              <w:bidi w:val="0"/>
              <w:adjustRightInd w:val="0"/>
              <w:snapToGrid/>
              <w:spacing w:line="360" w:lineRule="auto"/>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详见“第一章 竞争性磋商公告”中“二、申请人资格要求”</w:t>
            </w:r>
          </w:p>
        </w:tc>
      </w:tr>
      <w:tr w14:paraId="0DCF27FF">
        <w:tblPrEx>
          <w:tblCellMar>
            <w:top w:w="0" w:type="dxa"/>
            <w:left w:w="108" w:type="dxa"/>
            <w:bottom w:w="0" w:type="dxa"/>
            <w:right w:w="108" w:type="dxa"/>
          </w:tblCellMar>
        </w:tblPrEx>
        <w:trPr>
          <w:trHeight w:val="397"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04CC0DB1">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1.5.2</w:t>
            </w:r>
          </w:p>
        </w:tc>
        <w:tc>
          <w:tcPr>
            <w:tcW w:w="2634" w:type="dxa"/>
            <w:tcBorders>
              <w:top w:val="single" w:color="auto" w:sz="4" w:space="0"/>
              <w:left w:val="single" w:color="auto" w:sz="4" w:space="0"/>
              <w:bottom w:val="single" w:color="auto" w:sz="4" w:space="0"/>
              <w:right w:val="single" w:color="auto" w:sz="4" w:space="0"/>
            </w:tcBorders>
            <w:vAlign w:val="center"/>
          </w:tcPr>
          <w:p w14:paraId="7DC559F9">
            <w:pPr>
              <w:pageBreakBefore w:val="0"/>
              <w:widowControl w:val="0"/>
              <w:kinsoku w:val="0"/>
              <w:wordWrap/>
              <w:overflowPunct w:val="0"/>
              <w:autoSpaceDE w:val="0"/>
              <w:autoSpaceDN w:val="0"/>
              <w:bidi w:val="0"/>
              <w:snapToGrid/>
              <w:spacing w:line="360" w:lineRule="auto"/>
              <w:jc w:val="center"/>
              <w:rPr>
                <w:rFonts w:ascii="宋体" w:hAnsi="宋体" w:cs="宋体"/>
                <w:color w:val="auto"/>
                <w:szCs w:val="21"/>
                <w:highlight w:val="none"/>
              </w:rPr>
            </w:pPr>
            <w:r>
              <w:rPr>
                <w:rFonts w:hint="eastAsia" w:ascii="宋体" w:hAnsi="宋体" w:cs="宋体"/>
                <w:color w:val="auto"/>
                <w:szCs w:val="21"/>
                <w:highlight w:val="none"/>
              </w:rPr>
              <w:t>是否接受联合体</w:t>
            </w:r>
          </w:p>
        </w:tc>
        <w:tc>
          <w:tcPr>
            <w:tcW w:w="6369" w:type="dxa"/>
            <w:tcBorders>
              <w:top w:val="single" w:color="auto" w:sz="4" w:space="0"/>
              <w:left w:val="single" w:color="auto" w:sz="4" w:space="0"/>
              <w:bottom w:val="single" w:color="auto" w:sz="4" w:space="0"/>
              <w:right w:val="single" w:color="auto" w:sz="4" w:space="0"/>
            </w:tcBorders>
            <w:vAlign w:val="center"/>
          </w:tcPr>
          <w:p w14:paraId="4DE92900">
            <w:pPr>
              <w:pStyle w:val="17"/>
              <w:pageBreakBefore w:val="0"/>
              <w:widowControl w:val="0"/>
              <w:kinsoku w:val="0"/>
              <w:wordWrap/>
              <w:overflowPunct w:val="0"/>
              <w:topLinePunct/>
              <w:autoSpaceDE w:val="0"/>
              <w:autoSpaceDN w:val="0"/>
              <w:bidi w:val="0"/>
              <w:adjustRightInd w:val="0"/>
              <w:snapToGrid/>
              <w:spacing w:line="360" w:lineRule="auto"/>
              <w:textAlignment w:val="baseline"/>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不接受</w:t>
            </w:r>
          </w:p>
        </w:tc>
      </w:tr>
      <w:tr w14:paraId="638426BC">
        <w:tblPrEx>
          <w:tblCellMar>
            <w:top w:w="0" w:type="dxa"/>
            <w:left w:w="108" w:type="dxa"/>
            <w:bottom w:w="0" w:type="dxa"/>
            <w:right w:w="108" w:type="dxa"/>
          </w:tblCellMar>
        </w:tblPrEx>
        <w:trPr>
          <w:jc w:val="center"/>
        </w:trPr>
        <w:tc>
          <w:tcPr>
            <w:tcW w:w="1100" w:type="dxa"/>
            <w:tcBorders>
              <w:top w:val="single" w:color="auto" w:sz="4" w:space="0"/>
              <w:left w:val="single" w:color="auto" w:sz="4" w:space="0"/>
              <w:bottom w:val="single" w:color="auto" w:sz="4" w:space="0"/>
              <w:right w:val="single" w:color="auto" w:sz="4" w:space="0"/>
            </w:tcBorders>
            <w:vAlign w:val="center"/>
          </w:tcPr>
          <w:p w14:paraId="1305F951">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2.1</w:t>
            </w:r>
          </w:p>
        </w:tc>
        <w:tc>
          <w:tcPr>
            <w:tcW w:w="2634" w:type="dxa"/>
            <w:tcBorders>
              <w:top w:val="single" w:color="auto" w:sz="4" w:space="0"/>
              <w:left w:val="single" w:color="auto" w:sz="4" w:space="0"/>
              <w:bottom w:val="single" w:color="auto" w:sz="4" w:space="0"/>
              <w:right w:val="single" w:color="auto" w:sz="4" w:space="0"/>
            </w:tcBorders>
            <w:vAlign w:val="center"/>
          </w:tcPr>
          <w:p w14:paraId="35051885">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构成磋商文件的其他材料</w:t>
            </w:r>
          </w:p>
        </w:tc>
        <w:tc>
          <w:tcPr>
            <w:tcW w:w="6369" w:type="dxa"/>
            <w:tcBorders>
              <w:top w:val="single" w:color="auto" w:sz="4" w:space="0"/>
              <w:left w:val="single" w:color="auto" w:sz="4" w:space="0"/>
              <w:bottom w:val="single" w:color="auto" w:sz="4" w:space="0"/>
              <w:right w:val="single" w:color="auto" w:sz="4" w:space="0"/>
            </w:tcBorders>
            <w:vAlign w:val="center"/>
          </w:tcPr>
          <w:p w14:paraId="6B459581">
            <w:pPr>
              <w:pageBreakBefore w:val="0"/>
              <w:widowControl w:val="0"/>
              <w:kinsoku w:val="0"/>
              <w:wordWrap/>
              <w:overflowPunct w:val="0"/>
              <w:autoSpaceDE w:val="0"/>
              <w:autoSpaceDN w:val="0"/>
              <w:bidi w:val="0"/>
              <w:adjustRightInd w:val="0"/>
              <w:snapToGrid/>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除磋商文件外，采购人在磋商期间发出的澄清、修改、补充、补遗和其它有效正式函件等内容均是磋商文件的组成部分</w:t>
            </w:r>
          </w:p>
        </w:tc>
      </w:tr>
      <w:tr w14:paraId="4ED74E91">
        <w:tblPrEx>
          <w:tblCellMar>
            <w:top w:w="0" w:type="dxa"/>
            <w:left w:w="108" w:type="dxa"/>
            <w:bottom w:w="0" w:type="dxa"/>
            <w:right w:w="108" w:type="dxa"/>
          </w:tblCellMar>
        </w:tblPrEx>
        <w:trPr>
          <w:trHeight w:val="9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0C8E0643">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2.2.1</w:t>
            </w:r>
          </w:p>
        </w:tc>
        <w:tc>
          <w:tcPr>
            <w:tcW w:w="2634" w:type="dxa"/>
            <w:tcBorders>
              <w:top w:val="single" w:color="auto" w:sz="4" w:space="0"/>
              <w:left w:val="single" w:color="auto" w:sz="4" w:space="0"/>
              <w:bottom w:val="single" w:color="auto" w:sz="4" w:space="0"/>
              <w:right w:val="single" w:color="auto" w:sz="4" w:space="0"/>
            </w:tcBorders>
            <w:vAlign w:val="center"/>
          </w:tcPr>
          <w:p w14:paraId="035132B8">
            <w:pPr>
              <w:pageBreakBefore w:val="0"/>
              <w:widowControl w:val="0"/>
              <w:kinsoku w:val="0"/>
              <w:wordWrap/>
              <w:overflowPunct w:val="0"/>
              <w:autoSpaceDE w:val="0"/>
              <w:autoSpaceDN w:val="0"/>
              <w:bidi w:val="0"/>
              <w:snapToGrid/>
              <w:spacing w:line="360" w:lineRule="auto"/>
              <w:jc w:val="center"/>
              <w:rPr>
                <w:rFonts w:ascii="宋体" w:hAnsi="宋体" w:cs="宋体"/>
                <w:color w:val="auto"/>
                <w:szCs w:val="21"/>
                <w:highlight w:val="none"/>
              </w:rPr>
            </w:pPr>
            <w:r>
              <w:rPr>
                <w:rFonts w:hint="eastAsia" w:ascii="宋体" w:hAnsi="宋体" w:cs="宋体"/>
                <w:color w:val="auto"/>
                <w:szCs w:val="21"/>
                <w:highlight w:val="none"/>
              </w:rPr>
              <w:t>供应商要求澄清磋商文件的截止时间</w:t>
            </w:r>
          </w:p>
        </w:tc>
        <w:tc>
          <w:tcPr>
            <w:tcW w:w="6369" w:type="dxa"/>
            <w:tcBorders>
              <w:top w:val="single" w:color="auto" w:sz="4" w:space="0"/>
              <w:left w:val="single" w:color="auto" w:sz="4" w:space="0"/>
              <w:bottom w:val="single" w:color="auto" w:sz="4" w:space="0"/>
              <w:right w:val="single" w:color="auto" w:sz="4" w:space="0"/>
            </w:tcBorders>
            <w:vAlign w:val="center"/>
          </w:tcPr>
          <w:p w14:paraId="21700D3E">
            <w:pPr>
              <w:pageBreakBefore w:val="0"/>
              <w:widowControl w:val="0"/>
              <w:kinsoku w:val="0"/>
              <w:wordWrap/>
              <w:overflowPunct w:val="0"/>
              <w:autoSpaceDE w:val="0"/>
              <w:autoSpaceDN w:val="0"/>
              <w:bidi w:val="0"/>
              <w:adjustRightInd w:val="0"/>
              <w:snapToGrid/>
              <w:spacing w:line="360" w:lineRule="auto"/>
              <w:textAlignment w:val="baseline"/>
              <w:rPr>
                <w:color w:val="auto"/>
                <w:highlight w:val="none"/>
              </w:rPr>
            </w:pPr>
            <w:r>
              <w:rPr>
                <w:rFonts w:hint="eastAsia"/>
                <w:color w:val="auto"/>
                <w:highlight w:val="none"/>
              </w:rPr>
              <w:t>应当在收到采购文件或公告期限届满之日起7个工作日内，在</w:t>
            </w:r>
            <w:r>
              <w:rPr>
                <w:rFonts w:hint="eastAsia" w:ascii="宋体" w:hAnsi="宋体" w:cs="宋体"/>
                <w:color w:val="auto"/>
                <w:szCs w:val="21"/>
                <w:highlight w:val="none"/>
                <w:lang w:eastAsia="zh-CN"/>
              </w:rPr>
              <w:t>平顶山市公共资源交易中心网(http://ggzy.pds.gov.cn)</w:t>
            </w:r>
            <w:r>
              <w:rPr>
                <w:rFonts w:hint="eastAsia"/>
                <w:color w:val="auto"/>
                <w:highlight w:val="none"/>
              </w:rPr>
              <w:t>电子交易平台提出，要求采购人对采购文件予以澄清。</w:t>
            </w:r>
          </w:p>
        </w:tc>
      </w:tr>
      <w:tr w14:paraId="0E9A29C0">
        <w:tblPrEx>
          <w:tblCellMar>
            <w:top w:w="0" w:type="dxa"/>
            <w:left w:w="108" w:type="dxa"/>
            <w:bottom w:w="0" w:type="dxa"/>
            <w:right w:w="108" w:type="dxa"/>
          </w:tblCellMar>
        </w:tblPrEx>
        <w:trPr>
          <w:trHeight w:val="625"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54211CEC">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2.2.2</w:t>
            </w:r>
          </w:p>
        </w:tc>
        <w:tc>
          <w:tcPr>
            <w:tcW w:w="2634" w:type="dxa"/>
            <w:tcBorders>
              <w:top w:val="single" w:color="auto" w:sz="4" w:space="0"/>
              <w:left w:val="single" w:color="auto" w:sz="4" w:space="0"/>
              <w:bottom w:val="single" w:color="auto" w:sz="4" w:space="0"/>
              <w:right w:val="single" w:color="auto" w:sz="4" w:space="0"/>
            </w:tcBorders>
            <w:vAlign w:val="center"/>
          </w:tcPr>
          <w:p w14:paraId="51A89EE1">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提交响应文件截止时间</w:t>
            </w:r>
          </w:p>
        </w:tc>
        <w:tc>
          <w:tcPr>
            <w:tcW w:w="6369" w:type="dxa"/>
            <w:tcBorders>
              <w:top w:val="single" w:color="auto" w:sz="4" w:space="0"/>
              <w:left w:val="single" w:color="auto" w:sz="4" w:space="0"/>
              <w:bottom w:val="single" w:color="auto" w:sz="4" w:space="0"/>
              <w:right w:val="single" w:color="auto" w:sz="4" w:space="0"/>
            </w:tcBorders>
            <w:vAlign w:val="center"/>
          </w:tcPr>
          <w:p w14:paraId="3BA10785">
            <w:pPr>
              <w:pageBreakBefore w:val="0"/>
              <w:widowControl w:val="0"/>
              <w:kinsoku w:val="0"/>
              <w:wordWrap/>
              <w:overflowPunct w:val="0"/>
              <w:autoSpaceDE w:val="0"/>
              <w:autoSpaceDN w:val="0"/>
              <w:bidi w:val="0"/>
              <w:adjustRightInd w:val="0"/>
              <w:snapToGrid/>
              <w:spacing w:line="360" w:lineRule="auto"/>
              <w:textAlignment w:val="baseline"/>
              <w:rPr>
                <w:rFonts w:ascii="宋体" w:hAnsi="宋体" w:cs="宋体"/>
                <w:color w:val="auto"/>
                <w:szCs w:val="21"/>
                <w:highlight w:val="none"/>
              </w:rPr>
            </w:pP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u w:val="single"/>
                <w:lang w:val="en-US" w:eastAsia="zh-CN"/>
              </w:rPr>
              <w:t>2</w:t>
            </w:r>
            <w:r>
              <w:rPr>
                <w:rFonts w:hint="eastAsia" w:ascii="宋体" w:hAnsi="宋体" w:cs="宋体"/>
                <w:b/>
                <w:bCs/>
                <w:color w:val="auto"/>
                <w:sz w:val="21"/>
                <w:szCs w:val="21"/>
                <w:highlight w:val="none"/>
                <w:u w:val="single"/>
                <w:lang w:val="en-US" w:eastAsia="zh-CN"/>
              </w:rPr>
              <w:t>4</w:t>
            </w:r>
            <w:r>
              <w:rPr>
                <w:rFonts w:hint="eastAsia" w:ascii="宋体" w:hAnsi="宋体" w:eastAsia="宋体" w:cs="宋体"/>
                <w:b/>
                <w:bCs/>
                <w:color w:val="auto"/>
                <w:sz w:val="21"/>
                <w:szCs w:val="21"/>
                <w:highlight w:val="none"/>
              </w:rPr>
              <w:t>年</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12</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月</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05 </w:t>
            </w:r>
            <w:r>
              <w:rPr>
                <w:rFonts w:hint="eastAsia" w:ascii="宋体" w:hAnsi="宋体" w:eastAsia="宋体" w:cs="宋体"/>
                <w:b/>
                <w:bCs/>
                <w:color w:val="auto"/>
                <w:sz w:val="21"/>
                <w:szCs w:val="21"/>
                <w:highlight w:val="none"/>
              </w:rPr>
              <w:t>日</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09</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时</w:t>
            </w:r>
            <w:r>
              <w:rPr>
                <w:rFonts w:hint="eastAsia" w:ascii="宋体" w:hAnsi="宋体" w:cs="宋体"/>
                <w:b/>
                <w:bCs/>
                <w:color w:val="auto"/>
                <w:sz w:val="21"/>
                <w:szCs w:val="21"/>
                <w:highlight w:val="none"/>
                <w:u w:val="single"/>
                <w:lang w:val="en-US" w:eastAsia="zh-CN"/>
              </w:rPr>
              <w:t>30</w:t>
            </w:r>
            <w:r>
              <w:rPr>
                <w:rFonts w:hint="eastAsia" w:ascii="宋体" w:hAnsi="宋体" w:eastAsia="宋体" w:cs="宋体"/>
                <w:b/>
                <w:bCs/>
                <w:color w:val="auto"/>
                <w:sz w:val="21"/>
                <w:szCs w:val="21"/>
                <w:highlight w:val="none"/>
              </w:rPr>
              <w:t>分</w:t>
            </w:r>
          </w:p>
        </w:tc>
      </w:tr>
      <w:tr w14:paraId="6F671119">
        <w:tblPrEx>
          <w:tblCellMar>
            <w:top w:w="0" w:type="dxa"/>
            <w:left w:w="108" w:type="dxa"/>
            <w:bottom w:w="0" w:type="dxa"/>
            <w:right w:w="108" w:type="dxa"/>
          </w:tblCellMar>
        </w:tblPrEx>
        <w:trPr>
          <w:trHeight w:val="727"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1221C60A">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2.2.3</w:t>
            </w:r>
          </w:p>
        </w:tc>
        <w:tc>
          <w:tcPr>
            <w:tcW w:w="2634" w:type="dxa"/>
            <w:tcBorders>
              <w:top w:val="single" w:color="auto" w:sz="4" w:space="0"/>
              <w:left w:val="single" w:color="auto" w:sz="4" w:space="0"/>
              <w:bottom w:val="single" w:color="auto" w:sz="4" w:space="0"/>
              <w:right w:val="single" w:color="auto" w:sz="4" w:space="0"/>
            </w:tcBorders>
            <w:vAlign w:val="center"/>
          </w:tcPr>
          <w:p w14:paraId="6F16C020">
            <w:pPr>
              <w:pageBreakBefore w:val="0"/>
              <w:widowControl w:val="0"/>
              <w:kinsoku w:val="0"/>
              <w:wordWrap/>
              <w:overflowPunct w:val="0"/>
              <w:autoSpaceDE w:val="0"/>
              <w:autoSpaceDN w:val="0"/>
              <w:bidi w:val="0"/>
              <w:snapToGrid/>
              <w:spacing w:line="360" w:lineRule="auto"/>
              <w:jc w:val="center"/>
              <w:rPr>
                <w:rFonts w:ascii="宋体" w:hAnsi="宋体" w:cs="宋体"/>
                <w:color w:val="auto"/>
                <w:szCs w:val="21"/>
                <w:highlight w:val="none"/>
              </w:rPr>
            </w:pPr>
            <w:r>
              <w:rPr>
                <w:rFonts w:hint="eastAsia" w:ascii="宋体" w:hAnsi="宋体" w:cs="宋体"/>
                <w:color w:val="auto"/>
                <w:szCs w:val="21"/>
                <w:highlight w:val="none"/>
              </w:rPr>
              <w:t>供应商确认收到磋商文件澄清的时间</w:t>
            </w:r>
          </w:p>
        </w:tc>
        <w:tc>
          <w:tcPr>
            <w:tcW w:w="6369" w:type="dxa"/>
            <w:tcBorders>
              <w:top w:val="single" w:color="auto" w:sz="4" w:space="0"/>
              <w:left w:val="single" w:color="auto" w:sz="4" w:space="0"/>
              <w:bottom w:val="single" w:color="auto" w:sz="4" w:space="0"/>
              <w:right w:val="single" w:color="auto" w:sz="4" w:space="0"/>
            </w:tcBorders>
            <w:vAlign w:val="center"/>
          </w:tcPr>
          <w:p w14:paraId="015F3781">
            <w:pPr>
              <w:pageBreakBefore w:val="0"/>
              <w:widowControl w:val="0"/>
              <w:kinsoku w:val="0"/>
              <w:wordWrap/>
              <w:overflowPunct w:val="0"/>
              <w:autoSpaceDE w:val="0"/>
              <w:autoSpaceDN w:val="0"/>
              <w:bidi w:val="0"/>
              <w:adjustRightInd w:val="0"/>
              <w:snapToGrid/>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在</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电子交易平台发布24小时后即视同供应商收到该澄清，请各供应商随时关注</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电子交易平台</w:t>
            </w:r>
          </w:p>
        </w:tc>
      </w:tr>
      <w:tr w14:paraId="0610A80F">
        <w:tblPrEx>
          <w:tblCellMar>
            <w:top w:w="0" w:type="dxa"/>
            <w:left w:w="108" w:type="dxa"/>
            <w:bottom w:w="0" w:type="dxa"/>
            <w:right w:w="108" w:type="dxa"/>
          </w:tblCellMar>
        </w:tblPrEx>
        <w:trPr>
          <w:jc w:val="center"/>
        </w:trPr>
        <w:tc>
          <w:tcPr>
            <w:tcW w:w="1100" w:type="dxa"/>
            <w:tcBorders>
              <w:top w:val="single" w:color="auto" w:sz="4" w:space="0"/>
              <w:left w:val="single" w:color="auto" w:sz="4" w:space="0"/>
              <w:bottom w:val="single" w:color="auto" w:sz="4" w:space="0"/>
              <w:right w:val="single" w:color="auto" w:sz="4" w:space="0"/>
            </w:tcBorders>
            <w:vAlign w:val="center"/>
          </w:tcPr>
          <w:p w14:paraId="28433D6F">
            <w:pPr>
              <w:pageBreakBefore w:val="0"/>
              <w:widowControl w:val="0"/>
              <w:kinsoku w:val="0"/>
              <w:wordWrap/>
              <w:overflowPunct w:val="0"/>
              <w:autoSpaceDE w:val="0"/>
              <w:autoSpaceDN w:val="0"/>
              <w:bidi w:val="0"/>
              <w:adjustRightInd w:val="0"/>
              <w:snapToGrid/>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2.3.2</w:t>
            </w:r>
          </w:p>
        </w:tc>
        <w:tc>
          <w:tcPr>
            <w:tcW w:w="2634" w:type="dxa"/>
            <w:tcBorders>
              <w:top w:val="single" w:color="auto" w:sz="4" w:space="0"/>
              <w:left w:val="single" w:color="auto" w:sz="4" w:space="0"/>
              <w:bottom w:val="single" w:color="auto" w:sz="4" w:space="0"/>
              <w:right w:val="single" w:color="auto" w:sz="4" w:space="0"/>
            </w:tcBorders>
            <w:vAlign w:val="center"/>
          </w:tcPr>
          <w:p w14:paraId="1C7DC9CA">
            <w:pPr>
              <w:pageBreakBefore w:val="0"/>
              <w:widowControl w:val="0"/>
              <w:kinsoku w:val="0"/>
              <w:wordWrap/>
              <w:overflowPunct w:val="0"/>
              <w:autoSpaceDE w:val="0"/>
              <w:autoSpaceDN w:val="0"/>
              <w:bidi w:val="0"/>
              <w:snapToGrid/>
              <w:spacing w:line="360" w:lineRule="auto"/>
              <w:jc w:val="center"/>
              <w:rPr>
                <w:rFonts w:ascii="宋体" w:hAnsi="宋体" w:cs="宋体"/>
                <w:color w:val="auto"/>
                <w:szCs w:val="21"/>
                <w:highlight w:val="none"/>
              </w:rPr>
            </w:pPr>
            <w:r>
              <w:rPr>
                <w:rFonts w:hint="eastAsia" w:ascii="宋体" w:hAnsi="宋体" w:cs="宋体"/>
                <w:color w:val="auto"/>
                <w:szCs w:val="21"/>
                <w:highlight w:val="none"/>
              </w:rPr>
              <w:t>供应商确认收到磋商文件修改的时间</w:t>
            </w:r>
          </w:p>
        </w:tc>
        <w:tc>
          <w:tcPr>
            <w:tcW w:w="6369" w:type="dxa"/>
            <w:tcBorders>
              <w:top w:val="single" w:color="auto" w:sz="4" w:space="0"/>
              <w:left w:val="single" w:color="auto" w:sz="4" w:space="0"/>
              <w:bottom w:val="single" w:color="auto" w:sz="4" w:space="0"/>
              <w:right w:val="single" w:color="auto" w:sz="4" w:space="0"/>
            </w:tcBorders>
            <w:vAlign w:val="center"/>
          </w:tcPr>
          <w:p w14:paraId="2811C4F0">
            <w:pPr>
              <w:pageBreakBefore w:val="0"/>
              <w:widowControl w:val="0"/>
              <w:kinsoku w:val="0"/>
              <w:wordWrap/>
              <w:overflowPunct w:val="0"/>
              <w:autoSpaceDE w:val="0"/>
              <w:autoSpaceDN w:val="0"/>
              <w:bidi w:val="0"/>
              <w:adjustRightInd w:val="0"/>
              <w:snapToGrid/>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在</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电子交易平台发布24小时后即视同供应商收到该修改，请各供应商随时关注</w:t>
            </w:r>
            <w:r>
              <w:rPr>
                <w:rFonts w:hint="eastAsia" w:ascii="宋体" w:hAnsi="宋体" w:cs="宋体"/>
                <w:color w:val="auto"/>
                <w:szCs w:val="21"/>
                <w:highlight w:val="none"/>
                <w:lang w:eastAsia="zh-CN"/>
              </w:rPr>
              <w:t>平顶山市公共资源交易中心网(http://ggzy.pds.gov.cn)</w:t>
            </w:r>
            <w:r>
              <w:rPr>
                <w:rFonts w:hint="eastAsia" w:ascii="宋体" w:hAnsi="宋体" w:cs="宋体"/>
                <w:color w:val="auto"/>
                <w:szCs w:val="21"/>
                <w:highlight w:val="none"/>
              </w:rPr>
              <w:t>电子交易平台</w:t>
            </w:r>
          </w:p>
        </w:tc>
      </w:tr>
      <w:tr w14:paraId="02656B70">
        <w:tblPrEx>
          <w:tblCellMar>
            <w:top w:w="0" w:type="dxa"/>
            <w:left w:w="108" w:type="dxa"/>
            <w:bottom w:w="0" w:type="dxa"/>
            <w:right w:w="108" w:type="dxa"/>
          </w:tblCellMar>
        </w:tblPrEx>
        <w:trPr>
          <w:jc w:val="center"/>
        </w:trPr>
        <w:tc>
          <w:tcPr>
            <w:tcW w:w="1100" w:type="dxa"/>
            <w:tcBorders>
              <w:top w:val="single" w:color="auto" w:sz="4" w:space="0"/>
              <w:left w:val="single" w:color="auto" w:sz="4" w:space="0"/>
              <w:bottom w:val="single" w:color="auto" w:sz="4" w:space="0"/>
              <w:right w:val="single" w:color="auto" w:sz="4" w:space="0"/>
            </w:tcBorders>
            <w:vAlign w:val="center"/>
          </w:tcPr>
          <w:p w14:paraId="27FDE128">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3.1.1</w:t>
            </w:r>
          </w:p>
        </w:tc>
        <w:tc>
          <w:tcPr>
            <w:tcW w:w="2634" w:type="dxa"/>
            <w:tcBorders>
              <w:top w:val="single" w:color="auto" w:sz="4" w:space="0"/>
              <w:left w:val="single" w:color="auto" w:sz="4" w:space="0"/>
              <w:bottom w:val="single" w:color="auto" w:sz="4" w:space="0"/>
              <w:right w:val="single" w:color="auto" w:sz="4" w:space="0"/>
            </w:tcBorders>
            <w:vAlign w:val="center"/>
          </w:tcPr>
          <w:p w14:paraId="4470314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构成响应文件的其他材料</w:t>
            </w:r>
          </w:p>
        </w:tc>
        <w:tc>
          <w:tcPr>
            <w:tcW w:w="6369" w:type="dxa"/>
            <w:tcBorders>
              <w:top w:val="single" w:color="auto" w:sz="4" w:space="0"/>
              <w:left w:val="single" w:color="auto" w:sz="4" w:space="0"/>
              <w:bottom w:val="single" w:color="auto" w:sz="4" w:space="0"/>
              <w:right w:val="single" w:color="auto" w:sz="4" w:space="0"/>
            </w:tcBorders>
            <w:vAlign w:val="center"/>
          </w:tcPr>
          <w:p w14:paraId="1E48D60C">
            <w:pPr>
              <w:adjustRightIn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供应商认为需要提交的其他证明材料</w:t>
            </w:r>
          </w:p>
        </w:tc>
      </w:tr>
      <w:tr w14:paraId="5D6C3B41">
        <w:tblPrEx>
          <w:tblCellMar>
            <w:top w:w="0" w:type="dxa"/>
            <w:left w:w="108" w:type="dxa"/>
            <w:bottom w:w="0" w:type="dxa"/>
            <w:right w:w="108" w:type="dxa"/>
          </w:tblCellMar>
        </w:tblPrEx>
        <w:trPr>
          <w:trHeight w:val="397"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57C243E5">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3.3.1</w:t>
            </w:r>
          </w:p>
        </w:tc>
        <w:tc>
          <w:tcPr>
            <w:tcW w:w="2634" w:type="dxa"/>
            <w:tcBorders>
              <w:top w:val="single" w:color="auto" w:sz="4" w:space="0"/>
              <w:left w:val="single" w:color="auto" w:sz="4" w:space="0"/>
              <w:bottom w:val="single" w:color="auto" w:sz="4" w:space="0"/>
              <w:right w:val="single" w:color="auto" w:sz="4" w:space="0"/>
            </w:tcBorders>
            <w:vAlign w:val="center"/>
          </w:tcPr>
          <w:p w14:paraId="1A47EC8A">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磋商有效期</w:t>
            </w:r>
          </w:p>
        </w:tc>
        <w:tc>
          <w:tcPr>
            <w:tcW w:w="6369" w:type="dxa"/>
            <w:tcBorders>
              <w:top w:val="single" w:color="auto" w:sz="4" w:space="0"/>
              <w:left w:val="single" w:color="auto" w:sz="4" w:space="0"/>
              <w:bottom w:val="single" w:color="auto" w:sz="4" w:space="0"/>
              <w:right w:val="single" w:color="auto" w:sz="4" w:space="0"/>
            </w:tcBorders>
            <w:vAlign w:val="center"/>
          </w:tcPr>
          <w:p w14:paraId="5D87E09C">
            <w:pPr>
              <w:adjustRightInd w:val="0"/>
              <w:spacing w:line="360" w:lineRule="auto"/>
              <w:textAlignment w:val="baseline"/>
              <w:rPr>
                <w:rFonts w:ascii="宋体" w:hAnsi="宋体" w:cs="宋体"/>
                <w:color w:val="auto"/>
                <w:szCs w:val="21"/>
                <w:highlight w:val="none"/>
              </w:rPr>
            </w:pPr>
            <w:r>
              <w:rPr>
                <w:rFonts w:hint="eastAsia" w:ascii="宋体" w:hAnsi="宋体" w:cs="宋体"/>
                <w:color w:val="auto"/>
                <w:kern w:val="0"/>
                <w:szCs w:val="21"/>
                <w:highlight w:val="none"/>
              </w:rPr>
              <w:t>60日历天（响应文件截止之日起）</w:t>
            </w:r>
          </w:p>
        </w:tc>
      </w:tr>
      <w:tr w14:paraId="59641B98">
        <w:tblPrEx>
          <w:tblCellMar>
            <w:top w:w="0" w:type="dxa"/>
            <w:left w:w="108" w:type="dxa"/>
            <w:bottom w:w="0" w:type="dxa"/>
            <w:right w:w="108" w:type="dxa"/>
          </w:tblCellMar>
        </w:tblPrEx>
        <w:trPr>
          <w:trHeight w:val="38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2B13E46D">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3.4.1</w:t>
            </w:r>
          </w:p>
        </w:tc>
        <w:tc>
          <w:tcPr>
            <w:tcW w:w="2634" w:type="dxa"/>
            <w:tcBorders>
              <w:top w:val="single" w:color="auto" w:sz="4" w:space="0"/>
              <w:left w:val="single" w:color="auto" w:sz="4" w:space="0"/>
              <w:bottom w:val="single" w:color="auto" w:sz="4" w:space="0"/>
              <w:right w:val="single" w:color="auto" w:sz="4" w:space="0"/>
            </w:tcBorders>
            <w:vAlign w:val="center"/>
          </w:tcPr>
          <w:p w14:paraId="7137257D">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磋商保证金</w:t>
            </w:r>
          </w:p>
        </w:tc>
        <w:tc>
          <w:tcPr>
            <w:tcW w:w="6369" w:type="dxa"/>
            <w:tcBorders>
              <w:top w:val="single" w:color="auto" w:sz="4" w:space="0"/>
              <w:left w:val="single" w:color="auto" w:sz="4" w:space="0"/>
              <w:bottom w:val="single" w:color="auto" w:sz="4" w:space="0"/>
              <w:right w:val="single" w:color="auto" w:sz="4" w:space="0"/>
            </w:tcBorders>
            <w:vAlign w:val="center"/>
          </w:tcPr>
          <w:p w14:paraId="0CC9D422">
            <w:pPr>
              <w:spacing w:line="360" w:lineRule="auto"/>
              <w:rPr>
                <w:rFonts w:ascii="宋体" w:hAnsi="宋体" w:cs="宋体"/>
                <w:color w:val="auto"/>
                <w:szCs w:val="21"/>
                <w:highlight w:val="none"/>
              </w:rPr>
            </w:pPr>
            <w:r>
              <w:rPr>
                <w:rFonts w:hint="eastAsia" w:ascii="宋体" w:hAnsi="宋体" w:cs="宋体"/>
                <w:color w:val="auto"/>
                <w:szCs w:val="21"/>
                <w:highlight w:val="none"/>
              </w:rPr>
              <w:t>不收取</w:t>
            </w:r>
          </w:p>
        </w:tc>
      </w:tr>
      <w:tr w14:paraId="456E8413">
        <w:tblPrEx>
          <w:tblCellMar>
            <w:top w:w="0" w:type="dxa"/>
            <w:left w:w="108" w:type="dxa"/>
            <w:bottom w:w="0" w:type="dxa"/>
            <w:right w:w="108" w:type="dxa"/>
          </w:tblCellMar>
        </w:tblPrEx>
        <w:trPr>
          <w:jc w:val="center"/>
        </w:trPr>
        <w:tc>
          <w:tcPr>
            <w:tcW w:w="1100" w:type="dxa"/>
            <w:tcBorders>
              <w:top w:val="single" w:color="auto" w:sz="4" w:space="0"/>
              <w:left w:val="single" w:color="auto" w:sz="4" w:space="0"/>
              <w:bottom w:val="single" w:color="auto" w:sz="4" w:space="0"/>
              <w:right w:val="single" w:color="auto" w:sz="4" w:space="0"/>
            </w:tcBorders>
            <w:vAlign w:val="center"/>
          </w:tcPr>
          <w:p w14:paraId="2EED406F">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3.6</w:t>
            </w:r>
          </w:p>
        </w:tc>
        <w:tc>
          <w:tcPr>
            <w:tcW w:w="2634" w:type="dxa"/>
            <w:tcBorders>
              <w:top w:val="single" w:color="auto" w:sz="4" w:space="0"/>
              <w:left w:val="single" w:color="auto" w:sz="4" w:space="0"/>
              <w:bottom w:val="single" w:color="auto" w:sz="4" w:space="0"/>
              <w:right w:val="single" w:color="auto" w:sz="4" w:space="0"/>
            </w:tcBorders>
            <w:vAlign w:val="center"/>
          </w:tcPr>
          <w:p w14:paraId="660FD693">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是否允许递交备选磋商方案</w:t>
            </w:r>
          </w:p>
        </w:tc>
        <w:tc>
          <w:tcPr>
            <w:tcW w:w="6369" w:type="dxa"/>
            <w:tcBorders>
              <w:top w:val="single" w:color="auto" w:sz="4" w:space="0"/>
              <w:left w:val="single" w:color="auto" w:sz="4" w:space="0"/>
              <w:bottom w:val="single" w:color="auto" w:sz="4" w:space="0"/>
              <w:right w:val="single" w:color="auto" w:sz="4" w:space="0"/>
            </w:tcBorders>
            <w:vAlign w:val="center"/>
          </w:tcPr>
          <w:p w14:paraId="24B1FB2B">
            <w:pPr>
              <w:pStyle w:val="17"/>
              <w:topLinePunct/>
              <w:adjustRightInd w:val="0"/>
              <w:spacing w:line="360" w:lineRule="auto"/>
              <w:textAlignment w:val="baseline"/>
              <w:rPr>
                <w:rFonts w:ascii="宋体" w:hAnsi="宋体" w:cs="宋体"/>
                <w:color w:val="auto"/>
                <w:kern w:val="2"/>
                <w:sz w:val="21"/>
                <w:szCs w:val="21"/>
                <w:highlight w:val="none"/>
              </w:rPr>
            </w:pPr>
            <w:r>
              <w:rPr>
                <w:rFonts w:hint="eastAsia" w:ascii="宋体" w:hAnsi="宋体" w:cs="宋体"/>
                <w:color w:val="auto"/>
                <w:kern w:val="2"/>
                <w:sz w:val="21"/>
                <w:szCs w:val="21"/>
                <w:highlight w:val="none"/>
              </w:rPr>
              <w:t>不允许</w:t>
            </w:r>
          </w:p>
        </w:tc>
      </w:tr>
      <w:tr w14:paraId="0E7D0660">
        <w:tblPrEx>
          <w:tblCellMar>
            <w:top w:w="0" w:type="dxa"/>
            <w:left w:w="108" w:type="dxa"/>
            <w:bottom w:w="0" w:type="dxa"/>
            <w:right w:w="108" w:type="dxa"/>
          </w:tblCellMar>
        </w:tblPrEx>
        <w:trPr>
          <w:trHeight w:val="9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29D7FB81">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3.7.3</w:t>
            </w:r>
          </w:p>
        </w:tc>
        <w:tc>
          <w:tcPr>
            <w:tcW w:w="2634" w:type="dxa"/>
            <w:tcBorders>
              <w:top w:val="single" w:color="auto" w:sz="4" w:space="0"/>
              <w:left w:val="single" w:color="auto" w:sz="4" w:space="0"/>
              <w:bottom w:val="single" w:color="auto" w:sz="4" w:space="0"/>
              <w:right w:val="single" w:color="auto" w:sz="4" w:space="0"/>
            </w:tcBorders>
            <w:vAlign w:val="center"/>
          </w:tcPr>
          <w:p w14:paraId="5FEC1E71">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签字盖章要求</w:t>
            </w:r>
          </w:p>
        </w:tc>
        <w:tc>
          <w:tcPr>
            <w:tcW w:w="6369" w:type="dxa"/>
            <w:tcBorders>
              <w:top w:val="single" w:color="auto" w:sz="4" w:space="0"/>
              <w:left w:val="single" w:color="auto" w:sz="4" w:space="0"/>
              <w:bottom w:val="single" w:color="auto" w:sz="4" w:space="0"/>
              <w:right w:val="single" w:color="auto" w:sz="4" w:space="0"/>
            </w:tcBorders>
            <w:vAlign w:val="center"/>
          </w:tcPr>
          <w:p w14:paraId="49C42756">
            <w:pPr>
              <w:adjustRightInd w:val="0"/>
              <w:spacing w:line="360" w:lineRule="auto"/>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电子投标文件</w:t>
            </w:r>
          </w:p>
          <w:p w14:paraId="722D77AD">
            <w:pPr>
              <w:adjustRightInd w:val="0"/>
              <w:spacing w:line="360" w:lineRule="auto"/>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供应商需按采购文件的格式要求签字盖章。</w:t>
            </w:r>
          </w:p>
          <w:p w14:paraId="5264F05A">
            <w:pPr>
              <w:adjustRightInd w:val="0"/>
              <w:spacing w:line="360" w:lineRule="auto"/>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（1）所有要求供应商加盖公章的地方都应用供应商单位的CA印章。</w:t>
            </w:r>
          </w:p>
          <w:p w14:paraId="3E4E6DD5">
            <w:pPr>
              <w:adjustRightInd w:val="0"/>
              <w:spacing w:line="360" w:lineRule="auto"/>
              <w:textAlignment w:val="baseline"/>
              <w:rPr>
                <w:color w:val="auto"/>
                <w:highlight w:val="none"/>
              </w:rPr>
            </w:pPr>
            <w:r>
              <w:rPr>
                <w:rFonts w:hint="eastAsia" w:ascii="宋体" w:hAnsi="宋体" w:eastAsia="宋体" w:cs="宋体"/>
                <w:color w:val="auto"/>
                <w:kern w:val="2"/>
                <w:sz w:val="21"/>
                <w:szCs w:val="21"/>
                <w:highlight w:val="none"/>
                <w:lang w:val="en-US" w:eastAsia="zh-CN" w:bidi="ar-SA"/>
              </w:rPr>
              <w:t>（2）所有要求法定代表人签字的地方都应用法定代表人的CA印章。若有委托代理人，且委托代理人没有CA锁，则投标文件需上传有手写签名的扫描件</w:t>
            </w:r>
            <w:r>
              <w:rPr>
                <w:rFonts w:hint="eastAsia" w:ascii="宋体" w:hAnsi="宋体" w:cs="宋体"/>
                <w:color w:val="auto"/>
                <w:kern w:val="2"/>
                <w:sz w:val="21"/>
                <w:szCs w:val="21"/>
                <w:highlight w:val="none"/>
                <w:lang w:val="en-US" w:eastAsia="zh-CN" w:bidi="ar-SA"/>
              </w:rPr>
              <w:t>。</w:t>
            </w:r>
            <w:r>
              <w:rPr>
                <w:rFonts w:hint="eastAsia"/>
                <w:b/>
                <w:bCs/>
                <w:color w:val="auto"/>
                <w:sz w:val="21"/>
                <w:szCs w:val="21"/>
                <w:highlight w:val="none"/>
              </w:rPr>
              <w:t>注：</w:t>
            </w:r>
            <w:r>
              <w:rPr>
                <w:rFonts w:hint="eastAsia"/>
                <w:b/>
                <w:bCs/>
                <w:color w:val="auto"/>
                <w:sz w:val="21"/>
                <w:szCs w:val="21"/>
                <w:highlight w:val="none"/>
                <w:lang w:eastAsia="zh-CN"/>
              </w:rPr>
              <w:t>（</w:t>
            </w:r>
            <w:r>
              <w:rPr>
                <w:rFonts w:hint="eastAsia"/>
                <w:b/>
                <w:bCs/>
                <w:color w:val="auto"/>
                <w:sz w:val="21"/>
                <w:szCs w:val="21"/>
                <w:highlight w:val="none"/>
                <w:lang w:val="en-US" w:eastAsia="zh-CN"/>
              </w:rPr>
              <w:t>1</w:t>
            </w:r>
            <w:r>
              <w:rPr>
                <w:rFonts w:hint="eastAsia"/>
                <w:b/>
                <w:bCs/>
                <w:color w:val="auto"/>
                <w:sz w:val="21"/>
                <w:szCs w:val="21"/>
                <w:highlight w:val="none"/>
                <w:lang w:eastAsia="zh-CN"/>
              </w:rPr>
              <w:t>）</w:t>
            </w:r>
            <w:r>
              <w:rPr>
                <w:rFonts w:hint="eastAsia"/>
                <w:b/>
                <w:bCs/>
                <w:color w:val="auto"/>
                <w:sz w:val="21"/>
                <w:szCs w:val="21"/>
                <w:highlight w:val="none"/>
                <w:lang w:val="en-US" w:eastAsia="zh-CN"/>
              </w:rPr>
              <w:t>供应商</w:t>
            </w:r>
            <w:r>
              <w:rPr>
                <w:rFonts w:hint="eastAsia"/>
                <w:b/>
                <w:bCs/>
                <w:color w:val="auto"/>
                <w:sz w:val="21"/>
                <w:szCs w:val="21"/>
                <w:highlight w:val="none"/>
              </w:rPr>
              <w:t>组成联合体投标的，</w:t>
            </w:r>
            <w:r>
              <w:rPr>
                <w:rFonts w:hint="eastAsia"/>
                <w:b/>
                <w:bCs/>
                <w:color w:val="auto"/>
                <w:sz w:val="21"/>
                <w:szCs w:val="21"/>
                <w:highlight w:val="none"/>
                <w:lang w:val="en-US" w:eastAsia="zh-CN"/>
              </w:rPr>
              <w:t>投标</w:t>
            </w:r>
            <w:r>
              <w:rPr>
                <w:rFonts w:hint="eastAsia"/>
                <w:b/>
                <w:bCs/>
                <w:color w:val="auto"/>
                <w:sz w:val="21"/>
                <w:szCs w:val="21"/>
                <w:highlight w:val="none"/>
              </w:rPr>
              <w:t>文件中要求法定代表人或其委托代理人签字或盖章处需由联合体牵头人的法定代表人或其委托代理人签署，</w:t>
            </w:r>
            <w:r>
              <w:rPr>
                <w:rFonts w:hint="eastAsia"/>
                <w:b/>
                <w:bCs/>
                <w:color w:val="auto"/>
                <w:sz w:val="21"/>
                <w:szCs w:val="21"/>
                <w:highlight w:val="none"/>
                <w:lang w:val="en-US" w:eastAsia="zh-CN"/>
              </w:rPr>
              <w:t>要求加盖公章处须</w:t>
            </w:r>
            <w:r>
              <w:rPr>
                <w:rFonts w:hint="eastAsia"/>
                <w:b/>
                <w:bCs/>
                <w:color w:val="auto"/>
                <w:sz w:val="21"/>
                <w:szCs w:val="21"/>
                <w:highlight w:val="none"/>
              </w:rPr>
              <w:t>盖联合体牵头人单位公章。</w:t>
            </w:r>
            <w:r>
              <w:rPr>
                <w:rFonts w:hint="eastAsia"/>
                <w:b/>
                <w:bCs/>
                <w:color w:val="auto"/>
                <w:sz w:val="21"/>
                <w:szCs w:val="21"/>
                <w:highlight w:val="none"/>
                <w:lang w:eastAsia="zh-CN"/>
              </w:rPr>
              <w:t>（</w:t>
            </w:r>
            <w:r>
              <w:rPr>
                <w:rFonts w:hint="eastAsia"/>
                <w:b/>
                <w:bCs/>
                <w:color w:val="auto"/>
                <w:sz w:val="21"/>
                <w:szCs w:val="21"/>
                <w:highlight w:val="none"/>
                <w:lang w:val="en-US" w:eastAsia="zh-CN"/>
              </w:rPr>
              <w:t>2</w:t>
            </w:r>
            <w:r>
              <w:rPr>
                <w:rFonts w:hint="eastAsia"/>
                <w:b/>
                <w:bCs/>
                <w:color w:val="auto"/>
                <w:sz w:val="21"/>
                <w:szCs w:val="21"/>
                <w:highlight w:val="none"/>
                <w:lang w:eastAsia="zh-CN"/>
              </w:rPr>
              <w:t>）</w:t>
            </w:r>
            <w:r>
              <w:rPr>
                <w:rFonts w:hint="eastAsia"/>
                <w:b/>
                <w:bCs/>
                <w:color w:val="auto"/>
                <w:sz w:val="21"/>
                <w:szCs w:val="21"/>
                <w:highlight w:val="none"/>
                <w:lang w:val="en-US" w:eastAsia="zh-CN"/>
              </w:rPr>
              <w:t>要求联合体成员签字或盖章的地方，须联合体成员签字或盖章。</w:t>
            </w:r>
          </w:p>
        </w:tc>
      </w:tr>
      <w:tr w14:paraId="06574337">
        <w:tblPrEx>
          <w:tblCellMar>
            <w:top w:w="0" w:type="dxa"/>
            <w:left w:w="108" w:type="dxa"/>
            <w:bottom w:w="0" w:type="dxa"/>
            <w:right w:w="108" w:type="dxa"/>
          </w:tblCellMar>
        </w:tblPrEx>
        <w:trPr>
          <w:trHeight w:val="433"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3B6B127E">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3.7.4</w:t>
            </w:r>
          </w:p>
        </w:tc>
        <w:tc>
          <w:tcPr>
            <w:tcW w:w="2634" w:type="dxa"/>
            <w:tcBorders>
              <w:top w:val="single" w:color="auto" w:sz="4" w:space="0"/>
              <w:left w:val="single" w:color="auto" w:sz="4" w:space="0"/>
              <w:bottom w:val="single" w:color="auto" w:sz="4" w:space="0"/>
              <w:right w:val="single" w:color="auto" w:sz="4" w:space="0"/>
            </w:tcBorders>
            <w:vAlign w:val="center"/>
          </w:tcPr>
          <w:p w14:paraId="1C15BB7E">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响应文件份数</w:t>
            </w:r>
          </w:p>
        </w:tc>
        <w:tc>
          <w:tcPr>
            <w:tcW w:w="6369" w:type="dxa"/>
            <w:tcBorders>
              <w:top w:val="single" w:color="auto" w:sz="4" w:space="0"/>
              <w:left w:val="single" w:color="auto" w:sz="4" w:space="0"/>
              <w:bottom w:val="single" w:color="auto" w:sz="4" w:space="0"/>
              <w:right w:val="single" w:color="auto" w:sz="4" w:space="0"/>
            </w:tcBorders>
            <w:vAlign w:val="center"/>
          </w:tcPr>
          <w:p w14:paraId="2D7F0E29">
            <w:pPr>
              <w:widowControl/>
              <w:spacing w:line="360" w:lineRule="auto"/>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lang w:eastAsia="zh-CN"/>
              </w:rPr>
              <w:t>电子投标文件：</w:t>
            </w:r>
            <w:r>
              <w:rPr>
                <w:rFonts w:hint="eastAsia" w:ascii="宋体" w:hAnsi="宋体" w:eastAsia="宋体" w:cs="宋体"/>
                <w:b/>
                <w:color w:val="auto"/>
                <w:sz w:val="21"/>
                <w:szCs w:val="21"/>
                <w:highlight w:val="none"/>
                <w:lang w:val="en-US" w:eastAsia="zh-CN"/>
              </w:rPr>
              <w:t>加密电子投标文件须在投标截止时间前通过</w:t>
            </w:r>
            <w:r>
              <w:rPr>
                <w:rFonts w:hint="eastAsia" w:ascii="宋体" w:hAnsi="宋体" w:cs="宋体"/>
                <w:b/>
                <w:color w:val="auto"/>
                <w:sz w:val="21"/>
                <w:szCs w:val="21"/>
                <w:highlight w:val="none"/>
                <w:lang w:val="en-US" w:eastAsia="zh-CN"/>
              </w:rPr>
              <w:t>平顶山市公共资源交易中心网(http://ggzy.pds.gov.cn)</w:t>
            </w:r>
            <w:r>
              <w:rPr>
                <w:rFonts w:hint="eastAsia" w:ascii="宋体" w:hAnsi="宋体" w:eastAsia="宋体" w:cs="宋体"/>
                <w:b/>
                <w:color w:val="auto"/>
                <w:sz w:val="21"/>
                <w:szCs w:val="21"/>
                <w:highlight w:val="none"/>
                <w:lang w:val="en-US" w:eastAsia="zh-CN"/>
              </w:rPr>
              <w:t>电子交易平台加密上传。</w:t>
            </w:r>
          </w:p>
          <w:p w14:paraId="3D9A3C5E">
            <w:pPr>
              <w:spacing w:line="360" w:lineRule="auto"/>
              <w:rPr>
                <w:rFonts w:ascii="宋体" w:hAnsi="宋体" w:cs="宋体"/>
                <w:b/>
                <w:color w:val="auto"/>
                <w:szCs w:val="21"/>
                <w:highlight w:val="none"/>
              </w:rPr>
            </w:pPr>
            <w:r>
              <w:rPr>
                <w:rFonts w:hint="eastAsia" w:ascii="宋体" w:hAnsi="宋体" w:eastAsia="宋体" w:cs="宋体"/>
                <w:b/>
                <w:color w:val="auto"/>
                <w:sz w:val="21"/>
                <w:szCs w:val="21"/>
                <w:highlight w:val="none"/>
                <w:lang w:eastAsia="zh-CN"/>
              </w:rPr>
              <w:t>2、纸质投标文件：供应商中标后需根据采购人要求提供纸质投标文件。</w:t>
            </w:r>
          </w:p>
        </w:tc>
      </w:tr>
      <w:tr w14:paraId="0864B7D1">
        <w:tblPrEx>
          <w:tblCellMar>
            <w:top w:w="0" w:type="dxa"/>
            <w:left w:w="108" w:type="dxa"/>
            <w:bottom w:w="0" w:type="dxa"/>
            <w:right w:w="108" w:type="dxa"/>
          </w:tblCellMar>
        </w:tblPrEx>
        <w:trPr>
          <w:trHeight w:val="74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2D473914">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4.2.2</w:t>
            </w:r>
          </w:p>
        </w:tc>
        <w:tc>
          <w:tcPr>
            <w:tcW w:w="2634" w:type="dxa"/>
            <w:tcBorders>
              <w:top w:val="single" w:color="auto" w:sz="4" w:space="0"/>
              <w:left w:val="single" w:color="auto" w:sz="4" w:space="0"/>
              <w:bottom w:val="single" w:color="auto" w:sz="4" w:space="0"/>
              <w:right w:val="single" w:color="auto" w:sz="4" w:space="0"/>
            </w:tcBorders>
            <w:vAlign w:val="center"/>
          </w:tcPr>
          <w:p w14:paraId="391EFF5F">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提交响应文件地点</w:t>
            </w:r>
          </w:p>
        </w:tc>
        <w:tc>
          <w:tcPr>
            <w:tcW w:w="6369" w:type="dxa"/>
            <w:tcBorders>
              <w:top w:val="single" w:color="auto" w:sz="4" w:space="0"/>
              <w:left w:val="single" w:color="auto" w:sz="4" w:space="0"/>
              <w:bottom w:val="single" w:color="auto" w:sz="4" w:space="0"/>
              <w:right w:val="single" w:color="auto" w:sz="4" w:space="0"/>
            </w:tcBorders>
            <w:vAlign w:val="center"/>
          </w:tcPr>
          <w:p w14:paraId="1DF1E170">
            <w:pPr>
              <w:widowControl/>
              <w:jc w:val="left"/>
              <w:rPr>
                <w:color w:val="auto"/>
                <w:highlight w:val="none"/>
              </w:rPr>
            </w:pPr>
            <w:r>
              <w:rPr>
                <w:rFonts w:hint="eastAsia" w:ascii="宋体" w:hAnsi="宋体" w:eastAsia="宋体" w:cs="宋体"/>
                <w:b/>
                <w:color w:val="auto"/>
                <w:sz w:val="21"/>
                <w:szCs w:val="21"/>
                <w:highlight w:val="none"/>
                <w:lang w:val="en-US" w:eastAsia="zh-CN"/>
              </w:rPr>
              <w:t>加密电子投标文件须在投标截止时间前通过</w:t>
            </w:r>
            <w:r>
              <w:rPr>
                <w:rFonts w:hint="eastAsia" w:ascii="宋体" w:hAnsi="宋体" w:cs="宋体"/>
                <w:b/>
                <w:color w:val="auto"/>
                <w:sz w:val="21"/>
                <w:szCs w:val="21"/>
                <w:highlight w:val="none"/>
                <w:lang w:val="en-US" w:eastAsia="zh-CN"/>
              </w:rPr>
              <w:t>平顶山市公共资源交易中心网(http://ggzy.pds.gov.cn)</w:t>
            </w:r>
            <w:r>
              <w:rPr>
                <w:rFonts w:hint="eastAsia" w:ascii="宋体" w:hAnsi="宋体" w:eastAsia="宋体" w:cs="宋体"/>
                <w:b/>
                <w:color w:val="auto"/>
                <w:sz w:val="21"/>
                <w:szCs w:val="21"/>
                <w:highlight w:val="none"/>
                <w:lang w:val="en-US" w:eastAsia="zh-CN"/>
              </w:rPr>
              <w:t>电子交易平台加密上传。</w:t>
            </w:r>
          </w:p>
        </w:tc>
      </w:tr>
      <w:tr w14:paraId="387F73E2">
        <w:tblPrEx>
          <w:tblCellMar>
            <w:top w:w="0" w:type="dxa"/>
            <w:left w:w="108" w:type="dxa"/>
            <w:bottom w:w="0" w:type="dxa"/>
            <w:right w:w="108" w:type="dxa"/>
          </w:tblCellMar>
        </w:tblPrEx>
        <w:trPr>
          <w:trHeight w:val="515"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58D262CB">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4.2.3</w:t>
            </w:r>
          </w:p>
        </w:tc>
        <w:tc>
          <w:tcPr>
            <w:tcW w:w="2634" w:type="dxa"/>
            <w:tcBorders>
              <w:top w:val="single" w:color="auto" w:sz="4" w:space="0"/>
              <w:left w:val="single" w:color="auto" w:sz="4" w:space="0"/>
              <w:bottom w:val="single" w:color="auto" w:sz="4" w:space="0"/>
              <w:right w:val="single" w:color="auto" w:sz="4" w:space="0"/>
            </w:tcBorders>
            <w:vAlign w:val="center"/>
          </w:tcPr>
          <w:p w14:paraId="6E616CB5">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是否退还响应文件</w:t>
            </w:r>
          </w:p>
        </w:tc>
        <w:tc>
          <w:tcPr>
            <w:tcW w:w="6369" w:type="dxa"/>
            <w:tcBorders>
              <w:top w:val="single" w:color="auto" w:sz="4" w:space="0"/>
              <w:left w:val="single" w:color="auto" w:sz="4" w:space="0"/>
              <w:bottom w:val="single" w:color="auto" w:sz="4" w:space="0"/>
              <w:right w:val="single" w:color="auto" w:sz="4" w:space="0"/>
            </w:tcBorders>
            <w:vAlign w:val="center"/>
          </w:tcPr>
          <w:p w14:paraId="0B998ADA">
            <w:pPr>
              <w:pStyle w:val="17"/>
              <w:topLinePunct/>
              <w:adjustRightInd w:val="0"/>
              <w:spacing w:line="360" w:lineRule="auto"/>
              <w:textAlignment w:val="baseline"/>
              <w:rPr>
                <w:rFonts w:ascii="宋体" w:hAnsi="宋体" w:cs="宋体"/>
                <w:color w:val="auto"/>
                <w:kern w:val="2"/>
                <w:sz w:val="21"/>
                <w:szCs w:val="21"/>
                <w:highlight w:val="none"/>
              </w:rPr>
            </w:pPr>
            <w:r>
              <w:rPr>
                <w:rFonts w:hint="eastAsia" w:ascii="宋体" w:hAnsi="宋体" w:cs="宋体"/>
                <w:color w:val="auto"/>
                <w:kern w:val="2"/>
                <w:sz w:val="21"/>
                <w:szCs w:val="21"/>
                <w:highlight w:val="none"/>
              </w:rPr>
              <w:t>否</w:t>
            </w:r>
          </w:p>
        </w:tc>
      </w:tr>
      <w:tr w14:paraId="3E0B385A">
        <w:tblPrEx>
          <w:tblCellMar>
            <w:top w:w="0" w:type="dxa"/>
            <w:left w:w="108" w:type="dxa"/>
            <w:bottom w:w="0" w:type="dxa"/>
            <w:right w:w="108" w:type="dxa"/>
          </w:tblCellMar>
        </w:tblPrEx>
        <w:trPr>
          <w:trHeight w:val="685"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55E80A6F">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5.1</w:t>
            </w:r>
          </w:p>
        </w:tc>
        <w:tc>
          <w:tcPr>
            <w:tcW w:w="2634" w:type="dxa"/>
            <w:tcBorders>
              <w:top w:val="single" w:color="auto" w:sz="4" w:space="0"/>
              <w:left w:val="single" w:color="auto" w:sz="4" w:space="0"/>
              <w:bottom w:val="single" w:color="auto" w:sz="4" w:space="0"/>
              <w:right w:val="single" w:color="auto" w:sz="4" w:space="0"/>
            </w:tcBorders>
            <w:vAlign w:val="center"/>
          </w:tcPr>
          <w:p w14:paraId="3F87E5E6">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磋商时间和地点</w:t>
            </w:r>
          </w:p>
        </w:tc>
        <w:tc>
          <w:tcPr>
            <w:tcW w:w="6369" w:type="dxa"/>
            <w:tcBorders>
              <w:top w:val="single" w:color="auto" w:sz="4" w:space="0"/>
              <w:left w:val="single" w:color="auto" w:sz="4" w:space="0"/>
              <w:bottom w:val="single" w:color="auto" w:sz="4" w:space="0"/>
              <w:right w:val="single" w:color="auto" w:sz="4" w:space="0"/>
            </w:tcBorders>
            <w:vAlign w:val="center"/>
          </w:tcPr>
          <w:p w14:paraId="750D867A">
            <w:pPr>
              <w:autoSpaceDE w:val="0"/>
              <w:autoSpaceDN w:val="0"/>
              <w:adjustRightInd w:val="0"/>
              <w:spacing w:line="360" w:lineRule="auto"/>
              <w:rPr>
                <w:b/>
                <w:bCs/>
                <w:color w:val="auto"/>
                <w:highlight w:val="none"/>
              </w:rPr>
            </w:pPr>
            <w:r>
              <w:rPr>
                <w:rFonts w:hint="eastAsia"/>
                <w:b/>
                <w:bCs/>
                <w:color w:val="auto"/>
                <w:highlight w:val="none"/>
              </w:rPr>
              <w:t>磋商时间：同提交响应文件截止时间</w:t>
            </w:r>
          </w:p>
          <w:p w14:paraId="60D9E24F">
            <w:pPr>
              <w:autoSpaceDE w:val="0"/>
              <w:autoSpaceDN w:val="0"/>
              <w:adjustRightInd w:val="0"/>
              <w:spacing w:line="360" w:lineRule="auto"/>
              <w:rPr>
                <w:rFonts w:hint="eastAsia"/>
                <w:b/>
                <w:bCs/>
                <w:color w:val="auto"/>
                <w:highlight w:val="none"/>
              </w:rPr>
            </w:pPr>
            <w:r>
              <w:rPr>
                <w:rFonts w:hint="eastAsia"/>
                <w:b/>
                <w:bCs/>
                <w:color w:val="auto"/>
                <w:highlight w:val="none"/>
              </w:rPr>
              <w:t>磋商地点：同提交响应文件地点</w:t>
            </w:r>
          </w:p>
          <w:p w14:paraId="6F7EE40E">
            <w:pPr>
              <w:autoSpaceDE w:val="0"/>
              <w:autoSpaceDN w:val="0"/>
              <w:adjustRightInd w:val="0"/>
              <w:spacing w:line="360" w:lineRule="auto"/>
              <w:rPr>
                <w:color w:val="auto"/>
                <w:highlight w:val="none"/>
              </w:rPr>
            </w:pPr>
            <w:r>
              <w:rPr>
                <w:rFonts w:hint="eastAsia" w:ascii="宋体" w:hAnsi="宋体"/>
                <w:color w:val="auto"/>
                <w:sz w:val="22"/>
                <w:szCs w:val="18"/>
                <w:highlight w:val="none"/>
              </w:rPr>
              <w:t>注：全面实行在线“不见面”开标，投标人远程在线解密投标文件，不再到开标现场，投标人开标前应仔细阅读《“不见面”开标注意事项及操作流程》。</w:t>
            </w:r>
          </w:p>
        </w:tc>
      </w:tr>
      <w:tr w14:paraId="79FA8A66">
        <w:tblPrEx>
          <w:tblCellMar>
            <w:top w:w="0" w:type="dxa"/>
            <w:left w:w="108" w:type="dxa"/>
            <w:bottom w:w="0" w:type="dxa"/>
            <w:right w:w="108" w:type="dxa"/>
          </w:tblCellMar>
        </w:tblPrEx>
        <w:trPr>
          <w:trHeight w:val="57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42CAF79A">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5.2</w:t>
            </w:r>
          </w:p>
        </w:tc>
        <w:tc>
          <w:tcPr>
            <w:tcW w:w="2634" w:type="dxa"/>
            <w:tcBorders>
              <w:top w:val="single" w:color="auto" w:sz="4" w:space="0"/>
              <w:left w:val="single" w:color="auto" w:sz="4" w:space="0"/>
              <w:bottom w:val="single" w:color="auto" w:sz="4" w:space="0"/>
              <w:right w:val="single" w:color="auto" w:sz="4" w:space="0"/>
            </w:tcBorders>
            <w:vAlign w:val="center"/>
          </w:tcPr>
          <w:p w14:paraId="2D0FC7BE">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磋商会议程序</w:t>
            </w:r>
          </w:p>
        </w:tc>
        <w:tc>
          <w:tcPr>
            <w:tcW w:w="6369" w:type="dxa"/>
            <w:tcBorders>
              <w:top w:val="single" w:color="auto" w:sz="4" w:space="0"/>
              <w:left w:val="single" w:color="auto" w:sz="4" w:space="0"/>
              <w:bottom w:val="single" w:color="auto" w:sz="4" w:space="0"/>
              <w:right w:val="single" w:color="auto" w:sz="4" w:space="0"/>
            </w:tcBorders>
            <w:vAlign w:val="center"/>
          </w:tcPr>
          <w:p w14:paraId="2D8BE767">
            <w:pPr>
              <w:widowControl w:val="0"/>
              <w:spacing w:line="400" w:lineRule="exact"/>
              <w:jc w:val="left"/>
              <w:rPr>
                <w:rFonts w:ascii="宋体" w:hAnsi="宋体"/>
                <w:color w:val="auto"/>
                <w:highlight w:val="none"/>
              </w:rPr>
            </w:pPr>
            <w:r>
              <w:rPr>
                <w:rFonts w:hint="eastAsia" w:ascii="宋体" w:hAnsi="宋体"/>
                <w:color w:val="auto"/>
                <w:highlight w:val="none"/>
              </w:rPr>
              <w:t>（1）电子化投标文件采用双重加密方式。开标时，首先由投标人使用 CA 证书，在规定时间内对其电子化投标文件进行首次解密，投标人解密完成后，再由中介服务机构使用 CA 证书对投标文件进行再次解密。</w:t>
            </w:r>
          </w:p>
          <w:p w14:paraId="5119E536">
            <w:pPr>
              <w:autoSpaceDE w:val="0"/>
              <w:autoSpaceDN w:val="0"/>
              <w:adjustRightInd w:val="0"/>
              <w:spacing w:line="360" w:lineRule="auto"/>
              <w:rPr>
                <w:color w:val="auto"/>
                <w:highlight w:val="none"/>
              </w:rPr>
            </w:pPr>
            <w:r>
              <w:rPr>
                <w:rFonts w:hint="eastAsia" w:ascii="宋体" w:hAnsi="宋体"/>
                <w:color w:val="auto"/>
                <w:highlight w:val="none"/>
              </w:rPr>
              <w:t>（2）待所有投标人投标文件解密完成后，由中介服务机构操作，对所有已解密投标文件进行唱标。</w:t>
            </w:r>
          </w:p>
        </w:tc>
      </w:tr>
      <w:tr w14:paraId="0D58B40C">
        <w:tblPrEx>
          <w:tblCellMar>
            <w:top w:w="0" w:type="dxa"/>
            <w:left w:w="108" w:type="dxa"/>
            <w:bottom w:w="0" w:type="dxa"/>
            <w:right w:w="108" w:type="dxa"/>
          </w:tblCellMar>
        </w:tblPrEx>
        <w:trPr>
          <w:trHeight w:val="104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640141C3">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6.1.1</w:t>
            </w:r>
          </w:p>
        </w:tc>
        <w:tc>
          <w:tcPr>
            <w:tcW w:w="2634" w:type="dxa"/>
            <w:tcBorders>
              <w:top w:val="single" w:color="auto" w:sz="4" w:space="0"/>
              <w:left w:val="single" w:color="auto" w:sz="4" w:space="0"/>
              <w:bottom w:val="single" w:color="auto" w:sz="4" w:space="0"/>
              <w:right w:val="single" w:color="auto" w:sz="4" w:space="0"/>
            </w:tcBorders>
            <w:vAlign w:val="center"/>
          </w:tcPr>
          <w:p w14:paraId="410F072C">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磋商小组的组建</w:t>
            </w:r>
          </w:p>
        </w:tc>
        <w:tc>
          <w:tcPr>
            <w:tcW w:w="6369" w:type="dxa"/>
            <w:tcBorders>
              <w:top w:val="single" w:color="auto" w:sz="4" w:space="0"/>
              <w:left w:val="single" w:color="auto" w:sz="4" w:space="0"/>
              <w:bottom w:val="single" w:color="auto" w:sz="4" w:space="0"/>
              <w:right w:val="single" w:color="auto" w:sz="4" w:space="0"/>
            </w:tcBorders>
            <w:vAlign w:val="center"/>
          </w:tcPr>
          <w:p w14:paraId="79D01543">
            <w:pPr>
              <w:pageBreakBefore w:val="0"/>
              <w:widowControl w:val="0"/>
              <w:kinsoku/>
              <w:wordWrap/>
              <w:overflowPunct/>
              <w:bidi w:val="0"/>
              <w:adjustRightInd w:val="0"/>
              <w:spacing w:line="36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磋商小组构成：3人，由1名采购人代表和2名技术、经济评标专家组成，</w:t>
            </w:r>
          </w:p>
          <w:p w14:paraId="5219EB86">
            <w:pPr>
              <w:adjustRightIn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技术经济评标专家确定方式：磋商前在河南省财政厅政府采购评标专家库中随机抽取中随机抽取。</w:t>
            </w:r>
          </w:p>
        </w:tc>
      </w:tr>
      <w:tr w14:paraId="78430346">
        <w:tblPrEx>
          <w:tblCellMar>
            <w:top w:w="0" w:type="dxa"/>
            <w:left w:w="108" w:type="dxa"/>
            <w:bottom w:w="0" w:type="dxa"/>
            <w:right w:w="108" w:type="dxa"/>
          </w:tblCellMar>
        </w:tblPrEx>
        <w:trPr>
          <w:trHeight w:val="735"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157EA67D">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7.1</w:t>
            </w:r>
          </w:p>
        </w:tc>
        <w:tc>
          <w:tcPr>
            <w:tcW w:w="2634" w:type="dxa"/>
            <w:tcBorders>
              <w:top w:val="single" w:color="auto" w:sz="4" w:space="0"/>
              <w:left w:val="single" w:color="auto" w:sz="4" w:space="0"/>
              <w:bottom w:val="single" w:color="auto" w:sz="4" w:space="0"/>
              <w:right w:val="single" w:color="auto" w:sz="4" w:space="0"/>
            </w:tcBorders>
            <w:vAlign w:val="center"/>
          </w:tcPr>
          <w:p w14:paraId="033D2D1C">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是否授权磋商小组确定成交人</w:t>
            </w:r>
          </w:p>
        </w:tc>
        <w:tc>
          <w:tcPr>
            <w:tcW w:w="6369" w:type="dxa"/>
            <w:tcBorders>
              <w:top w:val="single" w:color="auto" w:sz="4" w:space="0"/>
              <w:left w:val="single" w:color="auto" w:sz="4" w:space="0"/>
              <w:bottom w:val="single" w:color="auto" w:sz="4" w:space="0"/>
              <w:right w:val="single" w:color="auto" w:sz="4" w:space="0"/>
            </w:tcBorders>
            <w:vAlign w:val="center"/>
          </w:tcPr>
          <w:p w14:paraId="5C67DEB6">
            <w:pPr>
              <w:adjustRightIn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否；推荐的成交候选人数：3名</w:t>
            </w:r>
          </w:p>
        </w:tc>
      </w:tr>
      <w:tr w14:paraId="3CE09156">
        <w:tblPrEx>
          <w:tblCellMar>
            <w:top w:w="0" w:type="dxa"/>
            <w:left w:w="108" w:type="dxa"/>
            <w:bottom w:w="0" w:type="dxa"/>
            <w:right w:w="108" w:type="dxa"/>
          </w:tblCellMar>
        </w:tblPrEx>
        <w:trPr>
          <w:trHeight w:val="557"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2C6F6669">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7.3.1</w:t>
            </w:r>
          </w:p>
        </w:tc>
        <w:tc>
          <w:tcPr>
            <w:tcW w:w="2634" w:type="dxa"/>
            <w:tcBorders>
              <w:top w:val="single" w:color="auto" w:sz="4" w:space="0"/>
              <w:left w:val="single" w:color="auto" w:sz="4" w:space="0"/>
              <w:bottom w:val="single" w:color="auto" w:sz="4" w:space="0"/>
              <w:right w:val="single" w:color="auto" w:sz="4" w:space="0"/>
            </w:tcBorders>
            <w:vAlign w:val="center"/>
          </w:tcPr>
          <w:p w14:paraId="288AA99E">
            <w:pPr>
              <w:adjustRightIn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rPr>
              <w:t>履约保证金</w:t>
            </w:r>
          </w:p>
        </w:tc>
        <w:tc>
          <w:tcPr>
            <w:tcW w:w="6369" w:type="dxa"/>
            <w:tcBorders>
              <w:top w:val="single" w:color="auto" w:sz="4" w:space="0"/>
              <w:left w:val="single" w:color="auto" w:sz="4" w:space="0"/>
              <w:bottom w:val="single" w:color="auto" w:sz="4" w:space="0"/>
              <w:right w:val="single" w:color="auto" w:sz="4" w:space="0"/>
            </w:tcBorders>
            <w:vAlign w:val="center"/>
          </w:tcPr>
          <w:p w14:paraId="5EE49FE5">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 w:val="21"/>
                <w:szCs w:val="21"/>
                <w:highlight w:val="none"/>
                <w:lang w:val="en-US" w:eastAsia="zh-CN"/>
              </w:rPr>
              <w:t>不要求</w:t>
            </w:r>
          </w:p>
        </w:tc>
      </w:tr>
      <w:tr w14:paraId="7EFB0BED">
        <w:tblPrEx>
          <w:tblCellMar>
            <w:top w:w="0" w:type="dxa"/>
            <w:left w:w="108" w:type="dxa"/>
            <w:bottom w:w="0" w:type="dxa"/>
            <w:right w:w="108" w:type="dxa"/>
          </w:tblCellMar>
        </w:tblPrEx>
        <w:trPr>
          <w:trHeight w:val="578" w:hRule="atLeast"/>
          <w:jc w:val="center"/>
        </w:trPr>
        <w:tc>
          <w:tcPr>
            <w:tcW w:w="10103" w:type="dxa"/>
            <w:gridSpan w:val="3"/>
            <w:tcBorders>
              <w:top w:val="single" w:color="auto" w:sz="4" w:space="0"/>
              <w:left w:val="single" w:color="auto" w:sz="4" w:space="0"/>
              <w:bottom w:val="single" w:color="auto" w:sz="4" w:space="0"/>
              <w:right w:val="single" w:color="auto" w:sz="4" w:space="0"/>
            </w:tcBorders>
            <w:vAlign w:val="center"/>
          </w:tcPr>
          <w:p w14:paraId="704B079F">
            <w:pPr>
              <w:adjustRightInd w:val="0"/>
              <w:spacing w:line="360" w:lineRule="auto"/>
              <w:jc w:val="left"/>
              <w:textAlignment w:val="baseline"/>
              <w:rPr>
                <w:rFonts w:ascii="宋体" w:hAnsi="宋体" w:cs="宋体"/>
                <w:color w:val="auto"/>
                <w:szCs w:val="21"/>
                <w:highlight w:val="none"/>
              </w:rPr>
            </w:pPr>
            <w:r>
              <w:rPr>
                <w:rFonts w:hint="eastAsia" w:ascii="宋体" w:hAnsi="宋体" w:cs="宋体"/>
                <w:b/>
                <w:bCs/>
                <w:color w:val="auto"/>
                <w:szCs w:val="21"/>
                <w:highlight w:val="none"/>
              </w:rPr>
              <w:t>10.需要补充的其他内容</w:t>
            </w:r>
          </w:p>
        </w:tc>
      </w:tr>
      <w:tr w14:paraId="73C153C2">
        <w:tblPrEx>
          <w:tblCellMar>
            <w:top w:w="0" w:type="dxa"/>
            <w:left w:w="108" w:type="dxa"/>
            <w:bottom w:w="0" w:type="dxa"/>
            <w:right w:w="108" w:type="dxa"/>
          </w:tblCellMar>
        </w:tblPrEx>
        <w:trPr>
          <w:trHeight w:val="1654"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0829F2AB">
            <w:pPr>
              <w:adjustRightInd w:val="0"/>
              <w:spacing w:line="360" w:lineRule="auto"/>
              <w:jc w:val="center"/>
              <w:textAlignment w:val="baseline"/>
              <w:rPr>
                <w:rFonts w:hint="default" w:ascii="宋体" w:hAnsi="宋体" w:eastAsia="宋体" w:cs="宋体"/>
                <w:color w:val="auto"/>
                <w:szCs w:val="21"/>
                <w:highlight w:val="none"/>
                <w:lang w:val="en-US" w:eastAsia="zh-CN"/>
              </w:rPr>
            </w:pPr>
            <w:bookmarkStart w:id="25" w:name="_Toc152045529"/>
            <w:bookmarkStart w:id="26" w:name="_Toc152042305"/>
            <w:bookmarkStart w:id="27" w:name="_Toc144974497"/>
            <w:r>
              <w:rPr>
                <w:rFonts w:hint="eastAsia" w:ascii="宋体" w:hAnsi="宋体" w:cs="宋体"/>
                <w:color w:val="auto"/>
                <w:szCs w:val="21"/>
                <w:highlight w:val="none"/>
                <w:lang w:val="en-US" w:eastAsia="zh-CN"/>
              </w:rPr>
              <w:t>10.1</w:t>
            </w:r>
          </w:p>
        </w:tc>
        <w:tc>
          <w:tcPr>
            <w:tcW w:w="2634" w:type="dxa"/>
            <w:tcBorders>
              <w:top w:val="single" w:color="auto" w:sz="4" w:space="0"/>
              <w:left w:val="single" w:color="auto" w:sz="4" w:space="0"/>
              <w:bottom w:val="single" w:color="auto" w:sz="4" w:space="0"/>
              <w:right w:val="single" w:color="auto" w:sz="4" w:space="0"/>
            </w:tcBorders>
            <w:vAlign w:val="center"/>
          </w:tcPr>
          <w:p w14:paraId="1B16EBF7">
            <w:pPr>
              <w:snapToGrid w:val="0"/>
              <w:spacing w:before="0" w:beforeAutospacing="0" w:after="0" w:afterAutospacing="0" w:line="360" w:lineRule="auto"/>
              <w:jc w:val="center"/>
              <w:textAlignment w:val="baseline"/>
              <w:rPr>
                <w:rFonts w:hint="eastAsia" w:ascii="宋体" w:hAnsi="宋体" w:cs="宋体"/>
                <w:color w:val="auto"/>
                <w:szCs w:val="21"/>
                <w:highlight w:val="none"/>
              </w:rPr>
            </w:pPr>
            <w:r>
              <w:rPr>
                <w:rStyle w:val="196"/>
                <w:rFonts w:hint="eastAsia" w:ascii="宋体" w:hAnsi="宋体" w:eastAsia="宋体" w:cs="宋体"/>
                <w:b w:val="0"/>
                <w:i w:val="0"/>
                <w:caps w:val="0"/>
                <w:color w:val="auto"/>
                <w:spacing w:val="0"/>
                <w:w w:val="100"/>
                <w:kern w:val="2"/>
                <w:sz w:val="21"/>
                <w:szCs w:val="21"/>
                <w:highlight w:val="none"/>
                <w:lang w:val="en-US" w:eastAsia="zh-CN" w:bidi="ar-SA"/>
              </w:rPr>
              <w:t>解释权</w:t>
            </w:r>
          </w:p>
        </w:tc>
        <w:tc>
          <w:tcPr>
            <w:tcW w:w="6369" w:type="dxa"/>
            <w:tcBorders>
              <w:top w:val="single" w:color="auto" w:sz="4" w:space="0"/>
              <w:left w:val="single" w:color="auto" w:sz="4" w:space="0"/>
              <w:bottom w:val="single" w:color="auto" w:sz="4" w:space="0"/>
              <w:right w:val="single" w:color="auto" w:sz="4" w:space="0"/>
            </w:tcBorders>
            <w:vAlign w:val="center"/>
          </w:tcPr>
          <w:p w14:paraId="10571DF8">
            <w:pPr>
              <w:snapToGrid w:val="0"/>
              <w:spacing w:before="0" w:beforeAutospacing="0" w:after="0" w:afterAutospacing="0" w:line="360" w:lineRule="auto"/>
              <w:jc w:val="both"/>
              <w:textAlignment w:val="baseline"/>
              <w:rPr>
                <w:rFonts w:ascii="宋体" w:hAnsi="宋体" w:cs="宋体"/>
                <w:color w:val="auto"/>
                <w:szCs w:val="21"/>
                <w:highlight w:val="none"/>
              </w:rPr>
            </w:pPr>
            <w:r>
              <w:rPr>
                <w:rStyle w:val="196"/>
                <w:rFonts w:hint="eastAsia" w:ascii="宋体" w:hAnsi="宋体" w:eastAsia="宋体" w:cs="宋体"/>
                <w:b w:val="0"/>
                <w:i w:val="0"/>
                <w:caps w:val="0"/>
                <w:color w:val="auto"/>
                <w:spacing w:val="0"/>
                <w:w w:val="100"/>
                <w:kern w:val="2"/>
                <w:sz w:val="21"/>
                <w:szCs w:val="21"/>
                <w:highlight w:val="none"/>
                <w:lang w:val="en-US" w:eastAsia="zh-CN" w:bidi="ar-SA"/>
              </w:rPr>
              <w:t>构成本磋商文件的各个组成文件应互为解释，互为说明；如有不明确或不一致，按磋商公告、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D1AC198">
        <w:tblPrEx>
          <w:tblCellMar>
            <w:top w:w="0" w:type="dxa"/>
            <w:left w:w="108" w:type="dxa"/>
            <w:bottom w:w="0" w:type="dxa"/>
            <w:right w:w="108" w:type="dxa"/>
          </w:tblCellMar>
        </w:tblPrEx>
        <w:trPr>
          <w:trHeight w:val="56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596F113B">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10.2</w:t>
            </w:r>
          </w:p>
        </w:tc>
        <w:tc>
          <w:tcPr>
            <w:tcW w:w="2634" w:type="dxa"/>
            <w:tcBorders>
              <w:top w:val="single" w:color="auto" w:sz="4" w:space="0"/>
              <w:left w:val="single" w:color="auto" w:sz="4" w:space="0"/>
              <w:bottom w:val="single" w:color="auto" w:sz="4" w:space="0"/>
              <w:right w:val="single" w:color="auto" w:sz="4" w:space="0"/>
            </w:tcBorders>
            <w:vAlign w:val="center"/>
          </w:tcPr>
          <w:p w14:paraId="0A5CEB48">
            <w:pPr>
              <w:snapToGrid w:val="0"/>
              <w:spacing w:before="0" w:beforeAutospacing="0" w:after="0" w:afterAutospacing="0" w:line="360" w:lineRule="auto"/>
              <w:jc w:val="center"/>
              <w:textAlignment w:val="baseline"/>
              <w:rPr>
                <w:rFonts w:hint="eastAsia" w:ascii="宋体" w:hAnsi="宋体" w:cs="宋体"/>
                <w:b/>
                <w:bCs/>
                <w:color w:val="auto"/>
                <w:szCs w:val="21"/>
                <w:highlight w:val="none"/>
              </w:rPr>
            </w:pPr>
            <w:r>
              <w:rPr>
                <w:rStyle w:val="196"/>
                <w:rFonts w:hint="eastAsia" w:ascii="宋体" w:hAnsi="宋体" w:eastAsia="宋体" w:cs="宋体"/>
                <w:b/>
                <w:bCs/>
                <w:i w:val="0"/>
                <w:caps w:val="0"/>
                <w:color w:val="auto"/>
                <w:spacing w:val="0"/>
                <w:w w:val="100"/>
                <w:kern w:val="2"/>
                <w:sz w:val="21"/>
                <w:szCs w:val="21"/>
                <w:highlight w:val="none"/>
                <w:lang w:val="en-US" w:eastAsia="zh-CN" w:bidi="ar-SA"/>
              </w:rPr>
              <w:t>最高限价</w:t>
            </w:r>
          </w:p>
        </w:tc>
        <w:tc>
          <w:tcPr>
            <w:tcW w:w="6369" w:type="dxa"/>
            <w:tcBorders>
              <w:top w:val="single" w:color="auto" w:sz="4" w:space="0"/>
              <w:left w:val="single" w:color="auto" w:sz="4" w:space="0"/>
              <w:bottom w:val="single" w:color="auto" w:sz="4" w:space="0"/>
              <w:right w:val="single" w:color="auto" w:sz="4" w:space="0"/>
            </w:tcBorders>
            <w:vAlign w:val="center"/>
          </w:tcPr>
          <w:p w14:paraId="4FA2C508">
            <w:pPr>
              <w:snapToGrid w:val="0"/>
              <w:spacing w:before="0" w:beforeAutospacing="0" w:after="0" w:afterAutospacing="0" w:line="360" w:lineRule="auto"/>
              <w:jc w:val="both"/>
              <w:textAlignment w:val="baseline"/>
              <w:rPr>
                <w:rFonts w:ascii="宋体" w:hAnsi="宋体" w:cs="宋体"/>
                <w:color w:val="auto"/>
                <w:szCs w:val="21"/>
                <w:highlight w:val="none"/>
              </w:rPr>
            </w:pPr>
            <w:r>
              <w:rPr>
                <w:rStyle w:val="196"/>
                <w:rFonts w:hint="eastAsia" w:ascii="宋体" w:hAnsi="宋体" w:eastAsia="宋体" w:cs="宋体"/>
                <w:b/>
                <w:bCs/>
                <w:i w:val="0"/>
                <w:caps w:val="0"/>
                <w:color w:val="auto"/>
                <w:spacing w:val="0"/>
                <w:w w:val="100"/>
                <w:kern w:val="2"/>
                <w:sz w:val="21"/>
                <w:szCs w:val="21"/>
                <w:highlight w:val="none"/>
                <w:lang w:val="en-US" w:eastAsia="zh-CN" w:bidi="ar-SA"/>
              </w:rPr>
              <w:t>人民币大写</w:t>
            </w:r>
            <w:r>
              <w:rPr>
                <w:rStyle w:val="196"/>
                <w:rFonts w:hint="eastAsia" w:ascii="宋体" w:hAnsi="宋体" w:cs="宋体"/>
                <w:b/>
                <w:bCs/>
                <w:i w:val="0"/>
                <w:caps w:val="0"/>
                <w:color w:val="auto"/>
                <w:spacing w:val="0"/>
                <w:w w:val="100"/>
                <w:kern w:val="2"/>
                <w:sz w:val="21"/>
                <w:szCs w:val="21"/>
                <w:highlight w:val="none"/>
                <w:lang w:val="en-US" w:eastAsia="zh-CN" w:bidi="ar-SA"/>
              </w:rPr>
              <w:t>：1825200.00</w:t>
            </w:r>
            <w:r>
              <w:rPr>
                <w:rStyle w:val="196"/>
                <w:rFonts w:hint="eastAsia" w:ascii="宋体" w:hAnsi="宋体" w:eastAsia="宋体" w:cs="宋体"/>
                <w:b w:val="0"/>
                <w:i w:val="0"/>
                <w:caps w:val="0"/>
                <w:color w:val="auto"/>
                <w:spacing w:val="0"/>
                <w:w w:val="100"/>
                <w:kern w:val="2"/>
                <w:sz w:val="21"/>
                <w:szCs w:val="21"/>
                <w:highlight w:val="none"/>
                <w:lang w:val="en-US" w:eastAsia="zh-CN" w:bidi="ar-SA"/>
              </w:rPr>
              <w:t>元，超过最高限价的按废标处理。</w:t>
            </w:r>
          </w:p>
        </w:tc>
      </w:tr>
      <w:tr w14:paraId="690B5975">
        <w:tblPrEx>
          <w:tblCellMar>
            <w:top w:w="0" w:type="dxa"/>
            <w:left w:w="108" w:type="dxa"/>
            <w:bottom w:w="0" w:type="dxa"/>
            <w:right w:w="108" w:type="dxa"/>
          </w:tblCellMar>
        </w:tblPrEx>
        <w:trPr>
          <w:trHeight w:val="56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0501A3B4">
            <w:pPr>
              <w:snapToGrid w:val="0"/>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10.3</w:t>
            </w:r>
          </w:p>
        </w:tc>
        <w:tc>
          <w:tcPr>
            <w:tcW w:w="2634" w:type="dxa"/>
            <w:tcBorders>
              <w:top w:val="single" w:color="auto" w:sz="4" w:space="0"/>
              <w:left w:val="single" w:color="auto" w:sz="4" w:space="0"/>
              <w:bottom w:val="single" w:color="auto" w:sz="4" w:space="0"/>
              <w:right w:val="single" w:color="auto" w:sz="4" w:space="0"/>
            </w:tcBorders>
            <w:vAlign w:val="center"/>
          </w:tcPr>
          <w:p w14:paraId="06FCDCC8">
            <w:pPr>
              <w:snapToGrid w:val="0"/>
              <w:spacing w:before="0" w:beforeAutospacing="0" w:after="0" w:afterAutospacing="0" w:line="360" w:lineRule="auto"/>
              <w:jc w:val="center"/>
              <w:textAlignment w:val="baseline"/>
              <w:rPr>
                <w:rFonts w:hint="eastAsia" w:ascii="宋体" w:hAnsi="宋体" w:cs="宋体"/>
                <w:b/>
                <w:bCs/>
                <w:color w:val="auto"/>
                <w:szCs w:val="21"/>
                <w:highlight w:val="none"/>
              </w:rPr>
            </w:pPr>
            <w:r>
              <w:rPr>
                <w:rStyle w:val="196"/>
                <w:rFonts w:hint="eastAsia" w:ascii="宋体" w:hAnsi="宋体" w:eastAsia="宋体" w:cs="宋体"/>
                <w:b/>
                <w:bCs/>
                <w:i w:val="0"/>
                <w:caps w:val="0"/>
                <w:color w:val="auto"/>
                <w:spacing w:val="0"/>
                <w:w w:val="100"/>
                <w:kern w:val="2"/>
                <w:sz w:val="21"/>
                <w:szCs w:val="21"/>
                <w:highlight w:val="none"/>
                <w:lang w:val="en-US" w:eastAsia="zh-CN" w:bidi="ar-SA"/>
              </w:rPr>
              <w:t>付款方式</w:t>
            </w:r>
          </w:p>
        </w:tc>
        <w:tc>
          <w:tcPr>
            <w:tcW w:w="6369" w:type="dxa"/>
            <w:tcBorders>
              <w:top w:val="single" w:color="auto" w:sz="4" w:space="0"/>
              <w:left w:val="single" w:color="auto" w:sz="4" w:space="0"/>
              <w:bottom w:val="single" w:color="auto" w:sz="4" w:space="0"/>
              <w:right w:val="single" w:color="auto" w:sz="4" w:space="0"/>
            </w:tcBorders>
            <w:vAlign w:val="center"/>
          </w:tcPr>
          <w:p w14:paraId="6799226B">
            <w:pPr>
              <w:snapToGrid w:val="0"/>
              <w:spacing w:before="0" w:beforeAutospacing="0" w:after="0" w:afterAutospacing="0" w:line="360" w:lineRule="auto"/>
              <w:jc w:val="both"/>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详见合同</w:t>
            </w:r>
          </w:p>
        </w:tc>
      </w:tr>
      <w:tr w14:paraId="0A35CE13">
        <w:tblPrEx>
          <w:tblCellMar>
            <w:top w:w="0" w:type="dxa"/>
            <w:left w:w="108" w:type="dxa"/>
            <w:bottom w:w="0" w:type="dxa"/>
            <w:right w:w="108" w:type="dxa"/>
          </w:tblCellMar>
        </w:tblPrEx>
        <w:trPr>
          <w:trHeight w:val="37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0A4ACD0F">
            <w:pPr>
              <w:snapToGrid w:val="0"/>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10.4</w:t>
            </w:r>
          </w:p>
        </w:tc>
        <w:tc>
          <w:tcPr>
            <w:tcW w:w="2634" w:type="dxa"/>
            <w:tcBorders>
              <w:top w:val="single" w:color="auto" w:sz="4" w:space="0"/>
              <w:left w:val="single" w:color="auto" w:sz="4" w:space="0"/>
              <w:bottom w:val="single" w:color="auto" w:sz="4" w:space="0"/>
              <w:right w:val="single" w:color="auto" w:sz="4" w:space="0"/>
            </w:tcBorders>
            <w:vAlign w:val="center"/>
          </w:tcPr>
          <w:p w14:paraId="15EF2385">
            <w:pPr>
              <w:snapToGrid w:val="0"/>
              <w:spacing w:before="0" w:beforeAutospacing="0" w:after="0" w:afterAutospacing="0" w:line="360" w:lineRule="auto"/>
              <w:jc w:val="center"/>
              <w:textAlignment w:val="baseline"/>
              <w:rPr>
                <w:rFonts w:hint="eastAsia" w:ascii="宋体" w:hAnsi="宋体" w:cs="宋体"/>
                <w:color w:val="auto"/>
                <w:szCs w:val="21"/>
                <w:highlight w:val="none"/>
              </w:rPr>
            </w:pPr>
            <w:r>
              <w:rPr>
                <w:rStyle w:val="196"/>
                <w:rFonts w:hint="eastAsia" w:ascii="宋体" w:hAnsi="宋体" w:eastAsia="宋体" w:cs="宋体"/>
                <w:b w:val="0"/>
                <w:i w:val="0"/>
                <w:caps w:val="0"/>
                <w:color w:val="auto"/>
                <w:spacing w:val="0"/>
                <w:w w:val="100"/>
                <w:kern w:val="2"/>
                <w:sz w:val="21"/>
                <w:szCs w:val="21"/>
                <w:highlight w:val="none"/>
                <w:lang w:val="en-US" w:eastAsia="zh-CN" w:bidi="ar-SA"/>
              </w:rPr>
              <w:t>成交服务费</w:t>
            </w:r>
          </w:p>
        </w:tc>
        <w:tc>
          <w:tcPr>
            <w:tcW w:w="6369" w:type="dxa"/>
            <w:tcBorders>
              <w:top w:val="single" w:color="auto" w:sz="4" w:space="0"/>
              <w:left w:val="single" w:color="auto" w:sz="4" w:space="0"/>
              <w:bottom w:val="single" w:color="auto" w:sz="4" w:space="0"/>
              <w:right w:val="single" w:color="auto" w:sz="4" w:space="0"/>
            </w:tcBorders>
            <w:vAlign w:val="center"/>
          </w:tcPr>
          <w:p w14:paraId="12BD7CD6">
            <w:pPr>
              <w:snapToGrid w:val="0"/>
              <w:spacing w:before="0" w:beforeAutospacing="0" w:after="0" w:afterAutospacing="0" w:line="360" w:lineRule="auto"/>
              <w:jc w:val="both"/>
              <w:textAlignment w:val="baseline"/>
              <w:rPr>
                <w:rFonts w:ascii="宋体" w:hAnsi="宋体" w:cs="宋体"/>
                <w:color w:val="auto"/>
                <w:kern w:val="0"/>
                <w:szCs w:val="21"/>
                <w:highlight w:val="none"/>
              </w:rPr>
            </w:pPr>
            <w:r>
              <w:rPr>
                <w:rFonts w:hint="eastAsia" w:ascii="宋体" w:hAnsi="宋体" w:eastAsia="宋体" w:cs="华文中宋"/>
                <w:color w:val="auto"/>
                <w:kern w:val="0"/>
                <w:szCs w:val="21"/>
                <w:highlight w:val="none"/>
              </w:rPr>
              <w:t>招标代理费参照发改价格【2015】299 号文件及豫招协【2023】002号文规定向中标人收取代理服务费，按控制价的1.7%在中标人领取中标通知书时以现金方式或转账向采购代理机构缴纳。此费用由供应商综合考虑到投标报价中，不再单独列项。</w:t>
            </w:r>
          </w:p>
        </w:tc>
      </w:tr>
      <w:tr w14:paraId="4F798510">
        <w:tblPrEx>
          <w:tblCellMar>
            <w:top w:w="0" w:type="dxa"/>
            <w:left w:w="108" w:type="dxa"/>
            <w:bottom w:w="0" w:type="dxa"/>
            <w:right w:w="108" w:type="dxa"/>
          </w:tblCellMar>
        </w:tblPrEx>
        <w:trPr>
          <w:trHeight w:val="56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77D9C594">
            <w:pPr>
              <w:snapToGrid w:val="0"/>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10.5</w:t>
            </w:r>
          </w:p>
        </w:tc>
        <w:tc>
          <w:tcPr>
            <w:tcW w:w="2634" w:type="dxa"/>
            <w:tcBorders>
              <w:top w:val="single" w:color="auto" w:sz="4" w:space="0"/>
              <w:left w:val="single" w:color="auto" w:sz="4" w:space="0"/>
              <w:bottom w:val="single" w:color="auto" w:sz="4" w:space="0"/>
              <w:right w:val="single" w:color="auto" w:sz="4" w:space="0"/>
            </w:tcBorders>
            <w:vAlign w:val="center"/>
          </w:tcPr>
          <w:p w14:paraId="075EBB5A">
            <w:pPr>
              <w:snapToGrid w:val="0"/>
              <w:spacing w:before="0" w:beforeAutospacing="0" w:after="0" w:afterAutospacing="0" w:line="360" w:lineRule="auto"/>
              <w:jc w:val="center"/>
              <w:textAlignment w:val="baseline"/>
              <w:rPr>
                <w:rFonts w:hint="eastAsia" w:ascii="宋体" w:hAnsi="宋体" w:cs="宋体"/>
                <w:color w:val="auto"/>
                <w:szCs w:val="21"/>
                <w:highlight w:val="none"/>
              </w:rPr>
            </w:pPr>
            <w:r>
              <w:rPr>
                <w:rStyle w:val="196"/>
                <w:rFonts w:hint="eastAsia" w:ascii="宋体" w:hAnsi="宋体" w:eastAsia="宋体" w:cs="宋体"/>
                <w:b w:val="0"/>
                <w:i w:val="0"/>
                <w:caps w:val="0"/>
                <w:color w:val="auto"/>
                <w:spacing w:val="0"/>
                <w:w w:val="100"/>
                <w:kern w:val="2"/>
                <w:sz w:val="21"/>
                <w:szCs w:val="21"/>
                <w:highlight w:val="none"/>
                <w:lang w:val="en-US" w:eastAsia="zh-CN" w:bidi="ar-SA"/>
              </w:rPr>
              <w:t>政府采购政策要求</w:t>
            </w:r>
          </w:p>
        </w:tc>
        <w:tc>
          <w:tcPr>
            <w:tcW w:w="6369" w:type="dxa"/>
            <w:tcBorders>
              <w:top w:val="single" w:color="auto" w:sz="4" w:space="0"/>
              <w:left w:val="single" w:color="auto" w:sz="4" w:space="0"/>
              <w:bottom w:val="single" w:color="auto" w:sz="4" w:space="0"/>
              <w:right w:val="single" w:color="auto" w:sz="4" w:space="0"/>
            </w:tcBorders>
            <w:vAlign w:val="center"/>
          </w:tcPr>
          <w:p w14:paraId="663ADEB1">
            <w:pPr>
              <w:widowControl w:val="0"/>
              <w:spacing w:line="400" w:lineRule="exact"/>
              <w:jc w:val="left"/>
              <w:rPr>
                <w:rFonts w:hint="eastAsia" w:ascii="宋体" w:hAnsi="宋体" w:cs="Times New Roman"/>
                <w:b/>
                <w:bCs/>
                <w:color w:val="auto"/>
                <w:highlight w:val="none"/>
              </w:rPr>
            </w:pPr>
            <w:r>
              <w:rPr>
                <w:rFonts w:hint="eastAsia" w:ascii="宋体" w:hAnsi="宋体" w:cs="Times New Roman"/>
                <w:b/>
                <w:bCs/>
                <w:color w:val="auto"/>
                <w:highlight w:val="none"/>
              </w:rPr>
              <w:t>一、落实四个“一日办”精神：</w:t>
            </w:r>
          </w:p>
          <w:p w14:paraId="234A8153">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按照《平顶山市财政局关于压减政府采购各环节时限 进一步优化政府采购营商环境的通知》（平财购〔2021〕34号）通知，落实四个“一日办”精神：</w:t>
            </w:r>
          </w:p>
          <w:p w14:paraId="2B66022D">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（1）在评审结束后1日内确定采购结果，同时对中标单位发出中标或成交通知书，并在网上进行公告；</w:t>
            </w:r>
          </w:p>
          <w:p w14:paraId="176C0AAE">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（2）中标或成交通知书发出后，1日内与中标或成交供应商签订合同，合同签订当日完成合同备案工作；</w:t>
            </w:r>
          </w:p>
          <w:p w14:paraId="01B35011">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（3）政府采购项目供应商履约完成后，采购人应在供应商提出验收申请1个工作日内完成验收，同时在平顶山市政府采购网发布验收结果公告；</w:t>
            </w:r>
          </w:p>
          <w:p w14:paraId="1B39350D">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（4）验收合格具备付款条件的项目，采购人要在1个工作日内按照合同约定支付项目资金。</w:t>
            </w:r>
          </w:p>
          <w:p w14:paraId="6F3D7046">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注：签合同需法定代表人携带本人身份证（如为授权委托人，则携带法定代表人授权委托书及本人身份证）、单位公章、合同纸质版本一式六份及合同电子版。</w:t>
            </w:r>
          </w:p>
          <w:p w14:paraId="1453363F">
            <w:pPr>
              <w:widowControl w:val="0"/>
              <w:spacing w:line="400" w:lineRule="exact"/>
              <w:jc w:val="left"/>
              <w:rPr>
                <w:rFonts w:hint="eastAsia" w:ascii="宋体" w:hAnsi="宋体" w:cs="Times New Roman"/>
                <w:b/>
                <w:bCs/>
                <w:color w:val="auto"/>
                <w:highlight w:val="none"/>
              </w:rPr>
            </w:pPr>
            <w:r>
              <w:rPr>
                <w:rFonts w:hint="eastAsia" w:ascii="宋体" w:hAnsi="宋体" w:cs="Times New Roman"/>
                <w:b/>
                <w:bCs/>
                <w:color w:val="auto"/>
                <w:highlight w:val="none"/>
              </w:rPr>
              <w:t>二、维护企业在政府采购活动中的知情权</w:t>
            </w:r>
          </w:p>
          <w:p w14:paraId="54167617">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020233EB">
            <w:pPr>
              <w:widowControl w:val="0"/>
              <w:spacing w:line="400" w:lineRule="exact"/>
              <w:jc w:val="left"/>
              <w:rPr>
                <w:rFonts w:hint="eastAsia" w:ascii="宋体" w:hAnsi="宋体" w:cs="Times New Roman"/>
                <w:b/>
                <w:bCs/>
                <w:color w:val="auto"/>
                <w:highlight w:val="none"/>
              </w:rPr>
            </w:pPr>
            <w:r>
              <w:rPr>
                <w:rFonts w:hint="eastAsia" w:ascii="宋体" w:hAnsi="宋体" w:cs="Times New Roman"/>
                <w:b/>
                <w:bCs/>
                <w:color w:val="auto"/>
                <w:highlight w:val="none"/>
              </w:rPr>
              <w:t>三、提供中小企业声明函格式</w:t>
            </w:r>
          </w:p>
          <w:p w14:paraId="4A7804E7">
            <w:pPr>
              <w:widowControl w:val="0"/>
              <w:spacing w:line="400" w:lineRule="exact"/>
              <w:jc w:val="left"/>
              <w:rPr>
                <w:rFonts w:hint="eastAsia" w:ascii="宋体" w:hAnsi="宋体" w:cs="Times New Roman"/>
                <w:b/>
                <w:bCs/>
                <w:color w:val="auto"/>
                <w:highlight w:val="none"/>
              </w:rPr>
            </w:pPr>
            <w:r>
              <w:rPr>
                <w:rFonts w:hint="eastAsia" w:ascii="宋体" w:hAnsi="宋体" w:cs="Times New Roman"/>
                <w:b/>
                <w:bCs/>
                <w:color w:val="auto"/>
                <w:highlight w:val="none"/>
              </w:rPr>
              <w:t>在采购文件中，采购代理机构应按照财政部、工信部印发的《政府采购促进中小企业发展管理办法》的通知精神（财库〔2020〕46号）提供中小企业声明函格式。</w:t>
            </w:r>
          </w:p>
          <w:p w14:paraId="13C0C325">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根据《政府采购促进中小企业发展管理办法》（财库〔2020〕46号）第四条：在政府采购活动中，供应商提供的货物、工程或者服务符合下列情形的，享受本办法规定的中小企业扶持政策：</w:t>
            </w:r>
          </w:p>
          <w:p w14:paraId="131AA8A3">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（一）在货物采购项目中，货物由中小企业制造，即货物由中小企业生产且使用该中小企业商号或者注册商标；</w:t>
            </w:r>
          </w:p>
          <w:p w14:paraId="0CA82A1F">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（二）在工程采购项目中，工程由中小企业承建，即工程施工单位为中小企业；</w:t>
            </w:r>
          </w:p>
          <w:p w14:paraId="0E790643">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（三）在服务采购项目中，服务由中小企业承接，即提供服务的人员为中小企业依照《中华人民共和国劳动合同法》订立劳动合同的从业人员。</w:t>
            </w:r>
          </w:p>
          <w:p w14:paraId="67506B2B">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在货物采购项目中，供应商提供的货物既有中小企业制</w:t>
            </w:r>
          </w:p>
          <w:p w14:paraId="10F15AF4">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造货物，也有大型企业制造货物的，不享受本办法规定的中小企业扶持政策。</w:t>
            </w:r>
          </w:p>
          <w:p w14:paraId="492C4EE8">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以联合体形式参加政府采购活动，联合体各方均为中小企业的，联合体视同中小企业。其中，联合体各方均为小微企业的，联合体视同小微企业。</w:t>
            </w:r>
          </w:p>
          <w:p w14:paraId="25901757">
            <w:pPr>
              <w:widowControl w:val="0"/>
              <w:spacing w:line="400" w:lineRule="exact"/>
              <w:jc w:val="left"/>
              <w:rPr>
                <w:rFonts w:hint="eastAsia" w:ascii="宋体" w:hAnsi="宋体" w:cs="Times New Roman"/>
                <w:b/>
                <w:bCs/>
                <w:color w:val="auto"/>
                <w:highlight w:val="none"/>
              </w:rPr>
            </w:pPr>
            <w:r>
              <w:rPr>
                <w:rFonts w:hint="eastAsia" w:ascii="宋体" w:hAnsi="宋体" w:cs="Times New Roman"/>
                <w:b/>
                <w:bCs/>
                <w:color w:val="auto"/>
                <w:highlight w:val="none"/>
              </w:rPr>
              <w:t>四、推广政府采购合同融资</w:t>
            </w:r>
          </w:p>
          <w:p w14:paraId="2AD3F631">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要求采购人和代理机构将“政府采购合同融资告知函”写入招标文件，鼓励中标供应商凭借采购合同申请贷款，助力解决中小企业融资难、融资贵的问题。</w:t>
            </w:r>
          </w:p>
          <w:p w14:paraId="5653DD36">
            <w:pPr>
              <w:widowControl w:val="0"/>
              <w:spacing w:line="400" w:lineRule="exact"/>
              <w:jc w:val="left"/>
              <w:rPr>
                <w:rFonts w:hint="eastAsia" w:ascii="宋体" w:hAnsi="宋体" w:cs="Times New Roman"/>
                <w:b/>
                <w:bCs/>
                <w:color w:val="auto"/>
                <w:highlight w:val="none"/>
              </w:rPr>
            </w:pPr>
            <w:r>
              <w:rPr>
                <w:rFonts w:hint="eastAsia" w:ascii="宋体" w:hAnsi="宋体" w:cs="Times New Roman"/>
                <w:b/>
                <w:bCs/>
                <w:color w:val="auto"/>
                <w:highlight w:val="none"/>
              </w:rPr>
              <w:t>五、落实预留采购份额</w:t>
            </w:r>
          </w:p>
          <w:p w14:paraId="36996D90">
            <w:pPr>
              <w:widowControl w:val="0"/>
              <w:spacing w:line="400" w:lineRule="exact"/>
              <w:jc w:val="left"/>
              <w:rPr>
                <w:rFonts w:hint="eastAsia" w:ascii="宋体" w:hAnsi="宋体" w:cs="Times New Roman"/>
                <w:color w:val="auto"/>
                <w:highlight w:val="none"/>
              </w:rPr>
            </w:pPr>
            <w:r>
              <w:rPr>
                <w:rFonts w:hint="eastAsia" w:ascii="宋体" w:hAnsi="宋体" w:cs="Times New Roman"/>
                <w:color w:val="auto"/>
                <w:highlight w:val="none"/>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4FDEEAB8">
            <w:pPr>
              <w:widowControl w:val="0"/>
              <w:spacing w:line="400" w:lineRule="exact"/>
              <w:jc w:val="left"/>
              <w:rPr>
                <w:rFonts w:hint="eastAsia" w:ascii="宋体" w:hAnsi="宋体" w:cs="Times New Roman"/>
                <w:b/>
                <w:bCs/>
                <w:color w:val="auto"/>
                <w:highlight w:val="none"/>
              </w:rPr>
            </w:pPr>
            <w:r>
              <w:rPr>
                <w:rFonts w:hint="eastAsia" w:ascii="宋体" w:hAnsi="宋体" w:cs="Times New Roman"/>
                <w:b/>
                <w:bCs/>
                <w:color w:val="auto"/>
                <w:highlight w:val="none"/>
              </w:rPr>
              <w:t>六、落实价格评审优惠政策</w:t>
            </w:r>
          </w:p>
          <w:p w14:paraId="167980C3">
            <w:pPr>
              <w:widowControl w:val="0"/>
              <w:spacing w:line="400" w:lineRule="exact"/>
              <w:jc w:val="left"/>
              <w:rPr>
                <w:rFonts w:ascii="宋体" w:hAnsi="宋体" w:cs="宋体"/>
                <w:color w:val="auto"/>
                <w:kern w:val="0"/>
                <w:szCs w:val="21"/>
                <w:highlight w:val="none"/>
              </w:rPr>
            </w:pPr>
            <w:r>
              <w:rPr>
                <w:rFonts w:hint="eastAsia" w:ascii="宋体" w:hAnsi="宋体" w:cs="Times New Roman"/>
                <w:color w:val="auto"/>
                <w:highlight w:val="none"/>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r>
              <w:rPr>
                <w:rFonts w:hint="eastAsia" w:ascii="宋体" w:hAnsi="宋体" w:cs="Times New Roman"/>
                <w:b/>
                <w:bCs/>
                <w:color w:val="auto"/>
                <w:highlight w:val="none"/>
              </w:rPr>
              <w:t>注：本项目专门面向中小企业采购，不再进行价格扣除</w:t>
            </w:r>
            <w:r>
              <w:rPr>
                <w:rFonts w:hint="eastAsia" w:ascii="宋体" w:hAnsi="宋体" w:cs="Times New Roman"/>
                <w:b/>
                <w:bCs/>
                <w:color w:val="auto"/>
                <w:highlight w:val="none"/>
                <w:lang w:val="en-US" w:eastAsia="zh-CN"/>
              </w:rPr>
              <w:t>优惠</w:t>
            </w:r>
            <w:r>
              <w:rPr>
                <w:rFonts w:hint="eastAsia" w:ascii="宋体" w:hAnsi="宋体" w:cs="Times New Roman"/>
                <w:b/>
                <w:bCs/>
                <w:color w:val="auto"/>
                <w:highlight w:val="none"/>
              </w:rPr>
              <w:t>。</w:t>
            </w:r>
          </w:p>
        </w:tc>
      </w:tr>
      <w:tr w14:paraId="32656FE7">
        <w:tblPrEx>
          <w:tblCellMar>
            <w:top w:w="0" w:type="dxa"/>
            <w:left w:w="108" w:type="dxa"/>
            <w:bottom w:w="0" w:type="dxa"/>
            <w:right w:w="108" w:type="dxa"/>
          </w:tblCellMar>
        </w:tblPrEx>
        <w:trPr>
          <w:trHeight w:val="56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26CE15FE">
            <w:pPr>
              <w:snapToGrid w:val="0"/>
              <w:spacing w:line="360" w:lineRule="auto"/>
              <w:jc w:val="center"/>
              <w:rPr>
                <w:rFonts w:hint="default" w:ascii="宋体" w:hAnsi="宋体" w:cs="宋体"/>
                <w:color w:val="auto"/>
                <w:szCs w:val="21"/>
                <w:highlight w:val="none"/>
                <w:lang w:val="en-US" w:eastAsia="zh-CN"/>
              </w:rPr>
            </w:pPr>
            <w:bookmarkStart w:id="28" w:name="_Toc509667260"/>
            <w:bookmarkStart w:id="29" w:name="_Toc466298091"/>
            <w:bookmarkStart w:id="30" w:name="_Toc455080108"/>
            <w:r>
              <w:rPr>
                <w:rFonts w:hint="eastAsia" w:ascii="宋体" w:hAnsi="宋体" w:cs="宋体"/>
                <w:color w:val="auto"/>
                <w:szCs w:val="21"/>
                <w:highlight w:val="none"/>
                <w:lang w:val="en-US" w:eastAsia="zh-CN"/>
              </w:rPr>
              <w:t>10.6</w:t>
            </w:r>
          </w:p>
        </w:tc>
        <w:tc>
          <w:tcPr>
            <w:tcW w:w="2634" w:type="dxa"/>
            <w:tcBorders>
              <w:top w:val="single" w:color="auto" w:sz="4" w:space="0"/>
              <w:left w:val="single" w:color="auto" w:sz="4" w:space="0"/>
              <w:bottom w:val="single" w:color="auto" w:sz="4" w:space="0"/>
              <w:right w:val="single" w:color="auto" w:sz="4" w:space="0"/>
            </w:tcBorders>
            <w:vAlign w:val="center"/>
          </w:tcPr>
          <w:p w14:paraId="4916856C">
            <w:pPr>
              <w:spacing w:line="360" w:lineRule="auto"/>
              <w:jc w:val="center"/>
              <w:rPr>
                <w:rFonts w:ascii="宋体" w:hAnsi="宋体" w:cs="宋体"/>
                <w:b/>
                <w:color w:val="auto"/>
                <w:sz w:val="22"/>
                <w:highlight w:val="none"/>
              </w:rPr>
            </w:pPr>
            <w:r>
              <w:rPr>
                <w:rFonts w:hint="eastAsia" w:ascii="宋体" w:hAnsi="宋体" w:cs="宋体"/>
                <w:b/>
                <w:color w:val="auto"/>
                <w:sz w:val="22"/>
                <w:highlight w:val="none"/>
              </w:rPr>
              <w:t>★专家特别注意</w:t>
            </w:r>
          </w:p>
          <w:p w14:paraId="65DC32DA">
            <w:pPr>
              <w:spacing w:line="360" w:lineRule="auto"/>
              <w:jc w:val="center"/>
              <w:rPr>
                <w:rFonts w:hint="eastAsia" w:ascii="宋体" w:hAnsi="宋体" w:cs="宋体"/>
                <w:color w:val="auto"/>
                <w:szCs w:val="21"/>
                <w:highlight w:val="none"/>
              </w:rPr>
            </w:pPr>
            <w:r>
              <w:rPr>
                <w:rFonts w:hint="eastAsia" w:ascii="宋体" w:hAnsi="宋体" w:cs="宋体"/>
                <w:color w:val="auto"/>
                <w:sz w:val="22"/>
                <w:highlight w:val="none"/>
              </w:rPr>
              <w:t>“四方信用评价”须知（采购人、代理机构、</w:t>
            </w:r>
            <w:r>
              <w:rPr>
                <w:rFonts w:hint="eastAsia" w:ascii="宋体" w:hAnsi="宋体" w:cs="宋体"/>
                <w:b/>
                <w:color w:val="auto"/>
                <w:sz w:val="22"/>
                <w:highlight w:val="none"/>
              </w:rPr>
              <w:t>本项目评审专家、本项目中标供应商</w:t>
            </w:r>
            <w:r>
              <w:rPr>
                <w:rFonts w:hint="eastAsia" w:ascii="宋体" w:hAnsi="宋体" w:cs="宋体"/>
                <w:color w:val="auto"/>
                <w:sz w:val="22"/>
                <w:highlight w:val="none"/>
              </w:rPr>
              <w:t>）</w:t>
            </w:r>
          </w:p>
        </w:tc>
        <w:tc>
          <w:tcPr>
            <w:tcW w:w="6369" w:type="dxa"/>
            <w:tcBorders>
              <w:top w:val="single" w:color="auto" w:sz="4" w:space="0"/>
              <w:left w:val="single" w:color="auto" w:sz="4" w:space="0"/>
              <w:bottom w:val="single" w:color="auto" w:sz="4" w:space="0"/>
              <w:right w:val="single" w:color="auto" w:sz="4" w:space="0"/>
            </w:tcBorders>
            <w:vAlign w:val="center"/>
          </w:tcPr>
          <w:p w14:paraId="62E458DE">
            <w:pPr>
              <w:pStyle w:val="19"/>
              <w:ind w:right="105" w:rightChars="50" w:firstLine="220"/>
              <w:rPr>
                <w:rFonts w:ascii="宋体" w:hAnsi="宋体" w:cs="宋体"/>
                <w:color w:val="auto"/>
                <w:sz w:val="22"/>
                <w:szCs w:val="21"/>
                <w:highlight w:val="none"/>
              </w:rPr>
            </w:pPr>
            <w:r>
              <w:rPr>
                <w:rFonts w:hint="eastAsia" w:ascii="宋体" w:hAnsi="宋体" w:cs="宋体"/>
                <w:color w:val="auto"/>
                <w:sz w:val="22"/>
                <w:szCs w:val="21"/>
                <w:highlight w:val="none"/>
              </w:rPr>
              <w:t>《河南省政府采购网》目前已增加“四方信用评价”功能。请本项目</w:t>
            </w:r>
            <w:r>
              <w:rPr>
                <w:rFonts w:hint="eastAsia" w:ascii="宋体" w:hAnsi="宋体" w:cs="宋体"/>
                <w:b/>
                <w:color w:val="auto"/>
                <w:sz w:val="22"/>
                <w:szCs w:val="21"/>
                <w:highlight w:val="none"/>
              </w:rPr>
              <w:t>采购人、代理机构、本项目评审专家、本项目中标供应商</w:t>
            </w:r>
            <w:r>
              <w:rPr>
                <w:rFonts w:hint="eastAsia" w:ascii="宋体" w:hAnsi="宋体" w:cs="宋体"/>
                <w:color w:val="auto"/>
                <w:sz w:val="22"/>
                <w:szCs w:val="21"/>
                <w:highlight w:val="none"/>
              </w:rPr>
              <w:t>，按照评价时间节点按时完成评价工作。</w:t>
            </w:r>
          </w:p>
          <w:p w14:paraId="5CE82941">
            <w:pPr>
              <w:pStyle w:val="19"/>
              <w:ind w:right="105" w:rightChars="50" w:firstLine="220"/>
              <w:rPr>
                <w:rFonts w:hint="eastAsia" w:ascii="宋体" w:hAnsi="宋体" w:cs="宋体"/>
                <w:color w:val="auto"/>
                <w:sz w:val="22"/>
                <w:szCs w:val="21"/>
                <w:highlight w:val="none"/>
              </w:rPr>
            </w:pPr>
            <w:r>
              <w:rPr>
                <w:rFonts w:hint="eastAsia" w:ascii="宋体" w:hAnsi="宋体" w:cs="宋体"/>
                <w:color w:val="auto"/>
                <w:sz w:val="22"/>
                <w:szCs w:val="21"/>
                <w:highlight w:val="none"/>
              </w:rPr>
              <w:t>时间节点在</w:t>
            </w:r>
            <w:r>
              <w:rPr>
                <w:rFonts w:hint="eastAsia" w:ascii="宋体" w:hAnsi="宋体" w:cs="宋体"/>
                <w:b/>
                <w:color w:val="auto"/>
                <w:sz w:val="22"/>
                <w:szCs w:val="21"/>
                <w:highlight w:val="none"/>
              </w:rPr>
              <w:t>评审结束后的五个工作日内</w:t>
            </w:r>
            <w:r>
              <w:rPr>
                <w:rFonts w:hint="eastAsia" w:ascii="宋体" w:hAnsi="宋体" w:cs="宋体"/>
                <w:color w:val="auto"/>
                <w:sz w:val="22"/>
                <w:szCs w:val="21"/>
                <w:highlight w:val="none"/>
              </w:rPr>
              <w:t>。如果超期未评价，系统会默认超期不让评价。</w:t>
            </w:r>
            <w:r>
              <w:rPr>
                <w:rFonts w:hint="eastAsia" w:ascii="宋体" w:hAnsi="宋体" w:cs="宋体"/>
                <w:b/>
                <w:color w:val="auto"/>
                <w:sz w:val="22"/>
                <w:szCs w:val="21"/>
                <w:highlight w:val="none"/>
              </w:rPr>
              <w:t>注：请各方注意时间，避免因超期未评价影响自身信用！</w:t>
            </w:r>
          </w:p>
          <w:p w14:paraId="58BB2F04">
            <w:pPr>
              <w:pStyle w:val="19"/>
              <w:ind w:right="105" w:rightChars="50" w:firstLine="220"/>
              <w:rPr>
                <w:rFonts w:hint="eastAsia" w:ascii="宋体" w:hAnsi="宋体" w:cs="宋体"/>
                <w:color w:val="auto"/>
                <w:sz w:val="22"/>
                <w:szCs w:val="21"/>
                <w:highlight w:val="none"/>
              </w:rPr>
            </w:pPr>
            <w:r>
              <w:rPr>
                <w:rFonts w:hint="eastAsia" w:ascii="宋体" w:hAnsi="宋体" w:cs="宋体"/>
                <w:color w:val="auto"/>
                <w:sz w:val="22"/>
                <w:szCs w:val="21"/>
                <w:highlight w:val="none"/>
              </w:rPr>
              <w:t>1.采购人、采购代理机构应当在</w:t>
            </w:r>
            <w:r>
              <w:rPr>
                <w:rFonts w:hint="eastAsia" w:ascii="宋体" w:hAnsi="宋体" w:cs="宋体"/>
                <w:b/>
                <w:color w:val="auto"/>
                <w:sz w:val="22"/>
                <w:szCs w:val="21"/>
                <w:highlight w:val="none"/>
              </w:rPr>
              <w:t>评审工作结束后五个工作日内</w:t>
            </w:r>
            <w:r>
              <w:rPr>
                <w:rFonts w:hint="eastAsia" w:ascii="宋体" w:hAnsi="宋体" w:cs="宋体"/>
                <w:color w:val="auto"/>
                <w:sz w:val="22"/>
                <w:szCs w:val="21"/>
                <w:highlight w:val="none"/>
              </w:rPr>
              <w:t>对评审专家进行评价。</w:t>
            </w:r>
          </w:p>
          <w:p w14:paraId="746177FC">
            <w:pPr>
              <w:pStyle w:val="19"/>
              <w:ind w:right="105" w:rightChars="50" w:firstLine="220"/>
              <w:rPr>
                <w:rFonts w:hint="eastAsia" w:ascii="宋体" w:hAnsi="宋体" w:cs="宋体"/>
                <w:color w:val="auto"/>
                <w:sz w:val="22"/>
                <w:szCs w:val="21"/>
                <w:highlight w:val="none"/>
              </w:rPr>
            </w:pPr>
            <w:r>
              <w:rPr>
                <w:rFonts w:hint="eastAsia" w:ascii="宋体" w:hAnsi="宋体" w:cs="宋体"/>
                <w:color w:val="auto"/>
                <w:sz w:val="22"/>
                <w:szCs w:val="21"/>
                <w:highlight w:val="none"/>
              </w:rPr>
              <w:t>2.采购人、</w:t>
            </w:r>
            <w:r>
              <w:rPr>
                <w:rFonts w:hint="eastAsia" w:ascii="宋体" w:hAnsi="宋体" w:cs="宋体"/>
                <w:b/>
                <w:color w:val="auto"/>
                <w:sz w:val="22"/>
                <w:szCs w:val="21"/>
                <w:highlight w:val="none"/>
              </w:rPr>
              <w:t>评审专家</w:t>
            </w:r>
            <w:r>
              <w:rPr>
                <w:rFonts w:hint="eastAsia" w:ascii="宋体" w:hAnsi="宋体" w:cs="宋体"/>
                <w:color w:val="auto"/>
                <w:sz w:val="22"/>
                <w:szCs w:val="21"/>
                <w:highlight w:val="none"/>
              </w:rPr>
              <w:t>、供应商应当在</w:t>
            </w:r>
            <w:r>
              <w:rPr>
                <w:rFonts w:hint="eastAsia" w:ascii="宋体" w:hAnsi="宋体" w:cs="宋体"/>
                <w:b/>
                <w:color w:val="auto"/>
                <w:sz w:val="22"/>
                <w:szCs w:val="21"/>
                <w:highlight w:val="none"/>
              </w:rPr>
              <w:t>评审工作结束后五个工作日内</w:t>
            </w:r>
            <w:r>
              <w:rPr>
                <w:rFonts w:hint="eastAsia" w:ascii="宋体" w:hAnsi="宋体" w:cs="宋体"/>
                <w:color w:val="auto"/>
                <w:sz w:val="22"/>
                <w:szCs w:val="21"/>
                <w:highlight w:val="none"/>
              </w:rPr>
              <w:t>对代理机构进行评价。</w:t>
            </w:r>
          </w:p>
          <w:p w14:paraId="72FA08B8">
            <w:pPr>
              <w:pStyle w:val="19"/>
              <w:ind w:right="105" w:rightChars="50" w:firstLine="220"/>
              <w:rPr>
                <w:rFonts w:hint="eastAsia" w:ascii="宋体" w:hAnsi="宋体" w:cs="宋体"/>
                <w:color w:val="auto"/>
                <w:sz w:val="22"/>
                <w:szCs w:val="21"/>
                <w:highlight w:val="none"/>
              </w:rPr>
            </w:pPr>
            <w:r>
              <w:rPr>
                <w:rFonts w:hint="eastAsia" w:ascii="宋体" w:hAnsi="宋体" w:cs="宋体"/>
                <w:color w:val="auto"/>
                <w:sz w:val="22"/>
                <w:szCs w:val="21"/>
                <w:highlight w:val="none"/>
              </w:rPr>
              <w:t>3.采购人应当</w:t>
            </w:r>
            <w:r>
              <w:rPr>
                <w:rFonts w:hint="eastAsia" w:ascii="宋体" w:hAnsi="宋体" w:cs="宋体"/>
                <w:b/>
                <w:color w:val="auto"/>
                <w:sz w:val="22"/>
                <w:szCs w:val="21"/>
                <w:highlight w:val="none"/>
              </w:rPr>
              <w:t>在合同履约完成后</w:t>
            </w:r>
            <w:r>
              <w:rPr>
                <w:rFonts w:hint="eastAsia" w:ascii="宋体" w:hAnsi="宋体" w:cs="宋体"/>
                <w:color w:val="auto"/>
                <w:sz w:val="22"/>
                <w:szCs w:val="21"/>
                <w:highlight w:val="none"/>
              </w:rPr>
              <w:t>对中标供应商进行评价。</w:t>
            </w:r>
          </w:p>
          <w:p w14:paraId="152D9D44">
            <w:pPr>
              <w:pStyle w:val="19"/>
              <w:ind w:right="105" w:rightChars="50" w:firstLine="220" w:firstLineChars="100"/>
              <w:rPr>
                <w:rFonts w:hint="default" w:eastAsia="宋体"/>
                <w:color w:val="auto"/>
                <w:highlight w:val="none"/>
                <w:lang w:val="en-US" w:eastAsia="zh-CN"/>
              </w:rPr>
            </w:pPr>
            <w:r>
              <w:rPr>
                <w:rFonts w:hint="eastAsia" w:ascii="宋体" w:hAnsi="宋体" w:cs="宋体"/>
                <w:color w:val="auto"/>
                <w:sz w:val="22"/>
                <w:szCs w:val="21"/>
                <w:highlight w:val="none"/>
              </w:rPr>
              <w:t>4.中标供应商应当</w:t>
            </w:r>
            <w:r>
              <w:rPr>
                <w:rFonts w:hint="eastAsia" w:ascii="宋体" w:hAnsi="宋体" w:cs="宋体"/>
                <w:b/>
                <w:color w:val="auto"/>
                <w:sz w:val="22"/>
                <w:szCs w:val="21"/>
                <w:highlight w:val="none"/>
              </w:rPr>
              <w:t>在合同履约完成后</w:t>
            </w:r>
            <w:r>
              <w:rPr>
                <w:rFonts w:hint="eastAsia" w:ascii="宋体" w:hAnsi="宋体" w:cs="宋体"/>
                <w:color w:val="auto"/>
                <w:sz w:val="22"/>
                <w:szCs w:val="21"/>
                <w:highlight w:val="none"/>
              </w:rPr>
              <w:t>对采购人进行评价。</w:t>
            </w:r>
          </w:p>
        </w:tc>
      </w:tr>
      <w:tr w14:paraId="3D2EEE01">
        <w:tblPrEx>
          <w:tblCellMar>
            <w:top w:w="0" w:type="dxa"/>
            <w:left w:w="108" w:type="dxa"/>
            <w:bottom w:w="0" w:type="dxa"/>
            <w:right w:w="108" w:type="dxa"/>
          </w:tblCellMar>
        </w:tblPrEx>
        <w:trPr>
          <w:trHeight w:val="56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57DBB8DF">
            <w:pPr>
              <w:snapToGrid w:val="0"/>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10.7</w:t>
            </w:r>
          </w:p>
        </w:tc>
        <w:tc>
          <w:tcPr>
            <w:tcW w:w="2634" w:type="dxa"/>
            <w:tcBorders>
              <w:top w:val="single" w:color="auto" w:sz="4" w:space="0"/>
              <w:left w:val="single" w:color="auto" w:sz="4" w:space="0"/>
              <w:bottom w:val="single" w:color="auto" w:sz="4" w:space="0"/>
              <w:right w:val="single" w:color="auto" w:sz="4" w:space="0"/>
            </w:tcBorders>
            <w:vAlign w:val="center"/>
          </w:tcPr>
          <w:p w14:paraId="6AED8AA9">
            <w:pPr>
              <w:spacing w:line="360" w:lineRule="auto"/>
              <w:jc w:val="center"/>
              <w:rPr>
                <w:rFonts w:hint="eastAsia" w:ascii="宋体" w:hAnsi="宋体" w:cs="宋体"/>
                <w:color w:val="auto"/>
                <w:sz w:val="22"/>
                <w:highlight w:val="none"/>
              </w:rPr>
            </w:pPr>
            <w:r>
              <w:rPr>
                <w:rFonts w:hint="eastAsia" w:ascii="宋体" w:hAnsi="宋体"/>
                <w:b/>
                <w:color w:val="auto"/>
                <w:sz w:val="24"/>
                <w:szCs w:val="20"/>
                <w:highlight w:val="none"/>
              </w:rPr>
              <w:t>合同签订方式</w:t>
            </w:r>
          </w:p>
        </w:tc>
        <w:tc>
          <w:tcPr>
            <w:tcW w:w="6369" w:type="dxa"/>
            <w:tcBorders>
              <w:top w:val="single" w:color="auto" w:sz="4" w:space="0"/>
              <w:left w:val="single" w:color="auto" w:sz="4" w:space="0"/>
              <w:bottom w:val="single" w:color="auto" w:sz="4" w:space="0"/>
              <w:right w:val="single" w:color="auto" w:sz="4" w:space="0"/>
            </w:tcBorders>
            <w:vAlign w:val="center"/>
          </w:tcPr>
          <w:p w14:paraId="07D0A26D">
            <w:pPr>
              <w:spacing w:line="360" w:lineRule="auto"/>
              <w:jc w:val="left"/>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合同在线签订，招标人（采购人）与中标人（供应商）利用平顶山公共资源交易平台“合同在线签订模块”，将电子合同推送至对方进行审核，经双方确认均无异议通过后，进行在线签章，完成合同签订并公示。</w:t>
            </w:r>
          </w:p>
          <w:p w14:paraId="25B4CAB7">
            <w:pPr>
              <w:spacing w:after="120" w:line="360" w:lineRule="auto"/>
              <w:ind w:right="105" w:rightChars="50"/>
              <w:rPr>
                <w:rFonts w:hint="eastAsia" w:ascii="宋体" w:hAnsi="宋体" w:cs="宋体"/>
                <w:color w:val="auto"/>
                <w:sz w:val="22"/>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w:t>
            </w:r>
            <w:r>
              <w:rPr>
                <w:rFonts w:hint="eastAsia" w:ascii="宋体" w:hAnsi="宋体" w:cs="宋体"/>
                <w:color w:val="auto"/>
                <w:szCs w:val="21"/>
                <w:highlight w:val="none"/>
              </w:rPr>
              <w:t>原则支持合同在线签订，</w:t>
            </w:r>
            <w:r>
              <w:rPr>
                <w:rFonts w:hint="eastAsia" w:ascii="宋体" w:hAnsi="宋体"/>
                <w:color w:val="auto"/>
                <w:szCs w:val="21"/>
                <w:highlight w:val="none"/>
              </w:rPr>
              <w:t>如因系统等其他因素合同线签订无法完成时，需法定代表人携带本人身份证（如为授权委托人，则携带法定代表人授权委托书及本人身份证）、单位公章、合同纸质版本一式六份及合同电子版。</w:t>
            </w:r>
          </w:p>
        </w:tc>
      </w:tr>
      <w:tr w14:paraId="66060942">
        <w:tblPrEx>
          <w:tblCellMar>
            <w:top w:w="0" w:type="dxa"/>
            <w:left w:w="108" w:type="dxa"/>
            <w:bottom w:w="0" w:type="dxa"/>
            <w:right w:w="108" w:type="dxa"/>
          </w:tblCellMar>
        </w:tblPrEx>
        <w:trPr>
          <w:trHeight w:val="56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2CDD0C9A">
            <w:pPr>
              <w:snapToGrid w:val="0"/>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10.8</w:t>
            </w:r>
          </w:p>
        </w:tc>
        <w:tc>
          <w:tcPr>
            <w:tcW w:w="2634" w:type="dxa"/>
            <w:tcBorders>
              <w:top w:val="single" w:color="auto" w:sz="4" w:space="0"/>
              <w:left w:val="single" w:color="auto" w:sz="4" w:space="0"/>
              <w:bottom w:val="single" w:color="auto" w:sz="4" w:space="0"/>
              <w:right w:val="single" w:color="auto" w:sz="4" w:space="0"/>
            </w:tcBorders>
            <w:vAlign w:val="center"/>
          </w:tcPr>
          <w:p w14:paraId="02F76689">
            <w:pPr>
              <w:spacing w:line="360" w:lineRule="auto"/>
              <w:jc w:val="center"/>
              <w:rPr>
                <w:rFonts w:hint="eastAsia" w:ascii="宋体" w:hAnsi="宋体"/>
                <w:b/>
                <w:color w:val="auto"/>
                <w:sz w:val="24"/>
                <w:szCs w:val="20"/>
                <w:highlight w:val="none"/>
              </w:rPr>
            </w:pPr>
            <w:r>
              <w:rPr>
                <w:rFonts w:hint="eastAsia" w:ascii="宋体" w:hAnsi="宋体"/>
                <w:b/>
                <w:color w:val="auto"/>
                <w:sz w:val="24"/>
                <w:szCs w:val="20"/>
                <w:highlight w:val="none"/>
              </w:rPr>
              <w:t>本项目所属行业</w:t>
            </w:r>
          </w:p>
        </w:tc>
        <w:tc>
          <w:tcPr>
            <w:tcW w:w="6369" w:type="dxa"/>
            <w:tcBorders>
              <w:top w:val="single" w:color="auto" w:sz="4" w:space="0"/>
              <w:left w:val="single" w:color="auto" w:sz="4" w:space="0"/>
              <w:bottom w:val="single" w:color="auto" w:sz="4" w:space="0"/>
              <w:right w:val="single" w:color="auto" w:sz="4" w:space="0"/>
            </w:tcBorders>
            <w:vAlign w:val="center"/>
          </w:tcPr>
          <w:p w14:paraId="44A84FE4">
            <w:pPr>
              <w:spacing w:after="120"/>
              <w:ind w:right="105" w:rightChars="50"/>
              <w:rPr>
                <w:rFonts w:hint="eastAsia" w:ascii="宋体" w:hAnsi="宋体" w:cs="宋体"/>
                <w:color w:val="auto"/>
                <w:szCs w:val="21"/>
                <w:highlight w:val="none"/>
              </w:rPr>
            </w:pPr>
            <w:r>
              <w:rPr>
                <w:rFonts w:hint="eastAsia" w:ascii="宋体" w:hAnsi="宋体"/>
                <w:color w:val="auto"/>
                <w:szCs w:val="20"/>
                <w:highlight w:val="none"/>
              </w:rPr>
              <w:t>物业管理（行业属性划分参照关于印发中小企业划型标准规定的通知(工信部联企业〔2011〕300号) ）</w:t>
            </w:r>
          </w:p>
        </w:tc>
      </w:tr>
      <w:tr w14:paraId="72054E97">
        <w:tblPrEx>
          <w:tblCellMar>
            <w:top w:w="0" w:type="dxa"/>
            <w:left w:w="108" w:type="dxa"/>
            <w:bottom w:w="0" w:type="dxa"/>
            <w:right w:w="108" w:type="dxa"/>
          </w:tblCellMar>
        </w:tblPrEx>
        <w:trPr>
          <w:trHeight w:val="560" w:hRule="atLeast"/>
          <w:jc w:val="center"/>
        </w:trPr>
        <w:tc>
          <w:tcPr>
            <w:tcW w:w="1100" w:type="dxa"/>
            <w:tcBorders>
              <w:top w:val="single" w:color="auto" w:sz="4" w:space="0"/>
              <w:left w:val="single" w:color="auto" w:sz="4" w:space="0"/>
              <w:bottom w:val="single" w:color="auto" w:sz="4" w:space="0"/>
              <w:right w:val="single" w:color="auto" w:sz="4" w:space="0"/>
            </w:tcBorders>
            <w:vAlign w:val="center"/>
          </w:tcPr>
          <w:p w14:paraId="6603E1C7">
            <w:pPr>
              <w:pageBreakBefore w:val="0"/>
              <w:widowControl w:val="0"/>
              <w:kinsoku/>
              <w:wordWrap/>
              <w:overflowPunct/>
              <w:bidi w:val="0"/>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10.7</w:t>
            </w:r>
          </w:p>
        </w:tc>
        <w:tc>
          <w:tcPr>
            <w:tcW w:w="2634" w:type="dxa"/>
            <w:tcBorders>
              <w:top w:val="single" w:color="auto" w:sz="4" w:space="0"/>
              <w:left w:val="single" w:color="auto" w:sz="4" w:space="0"/>
              <w:bottom w:val="single" w:color="auto" w:sz="4" w:space="0"/>
              <w:right w:val="single" w:color="auto" w:sz="4" w:space="0"/>
            </w:tcBorders>
            <w:vAlign w:val="center"/>
          </w:tcPr>
          <w:p w14:paraId="5EB7C856">
            <w:pPr>
              <w:pStyle w:val="193"/>
              <w:keepNext w:val="0"/>
              <w:keepLines w:val="0"/>
              <w:pageBreakBefore w:val="0"/>
              <w:widowControl/>
              <w:kinsoku/>
              <w:wordWrap/>
              <w:overflowPunct/>
              <w:topLinePunct w:val="0"/>
              <w:autoSpaceDE/>
              <w:autoSpaceDN/>
              <w:bidi w:val="0"/>
              <w:adjustRightInd/>
              <w:snapToGrid/>
              <w:spacing w:line="264" w:lineRule="auto"/>
              <w:ind w:left="144" w:leftChars="0" w:right="144" w:rightChars="0"/>
              <w:jc w:val="center"/>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rPr>
              <w:t>是否采用电子招标投标</w:t>
            </w:r>
          </w:p>
        </w:tc>
        <w:tc>
          <w:tcPr>
            <w:tcW w:w="6369" w:type="dxa"/>
            <w:tcBorders>
              <w:top w:val="single" w:color="auto" w:sz="4" w:space="0"/>
              <w:left w:val="single" w:color="auto" w:sz="4" w:space="0"/>
              <w:bottom w:val="single" w:color="auto" w:sz="4" w:space="0"/>
              <w:right w:val="single" w:color="auto" w:sz="4" w:space="0"/>
            </w:tcBorders>
            <w:vAlign w:val="top"/>
          </w:tcPr>
          <w:p w14:paraId="0237CD51">
            <w:pPr>
              <w:pStyle w:val="193"/>
              <w:keepNext w:val="0"/>
              <w:keepLines w:val="0"/>
              <w:pageBreakBefore w:val="0"/>
              <w:widowControl/>
              <w:kinsoku/>
              <w:wordWrap/>
              <w:overflowPunct/>
              <w:topLinePunct w:val="0"/>
              <w:autoSpaceDE/>
              <w:autoSpaceDN/>
              <w:bidi w:val="0"/>
              <w:adjustRightInd/>
              <w:snapToGrid/>
              <w:spacing w:line="264" w:lineRule="auto"/>
              <w:ind w:right="102" w:rightChars="0"/>
              <w:jc w:val="both"/>
              <w:textAlignment w:val="auto"/>
              <w:rPr>
                <w:rFonts w:hint="eastAsia"/>
                <w:color w:val="auto"/>
                <w:highlight w:val="none"/>
              </w:rPr>
            </w:pPr>
            <w:r>
              <w:rPr>
                <w:rFonts w:hint="eastAsia" w:ascii="宋体" w:hAnsi="宋体" w:eastAsia="宋体" w:cs="宋体"/>
                <w:color w:val="auto"/>
                <w:sz w:val="21"/>
                <w:szCs w:val="21"/>
                <w:highlight w:val="none"/>
              </w:rPr>
              <w:t>是</w:t>
            </w:r>
          </w:p>
        </w:tc>
      </w:tr>
      <w:tr w14:paraId="65AA5F54">
        <w:tblPrEx>
          <w:tblCellMar>
            <w:top w:w="0" w:type="dxa"/>
            <w:left w:w="108" w:type="dxa"/>
            <w:bottom w:w="0" w:type="dxa"/>
            <w:right w:w="108" w:type="dxa"/>
          </w:tblCellMar>
        </w:tblPrEx>
        <w:trPr>
          <w:trHeight w:val="560" w:hRule="atLeast"/>
          <w:jc w:val="center"/>
        </w:trPr>
        <w:tc>
          <w:tcPr>
            <w:tcW w:w="10103" w:type="dxa"/>
            <w:gridSpan w:val="3"/>
            <w:tcBorders>
              <w:top w:val="single" w:color="auto" w:sz="4" w:space="0"/>
              <w:left w:val="single" w:color="auto" w:sz="4" w:space="0"/>
              <w:bottom w:val="single" w:color="auto" w:sz="4" w:space="0"/>
              <w:right w:val="single" w:color="auto" w:sz="4" w:space="0"/>
            </w:tcBorders>
            <w:vAlign w:val="center"/>
          </w:tcPr>
          <w:p w14:paraId="7E31E2AB">
            <w:pPr>
              <w:spacing w:after="120"/>
              <w:ind w:right="105" w:rightChars="50"/>
              <w:jc w:val="center"/>
              <w:rPr>
                <w:rFonts w:hint="eastAsia" w:ascii="宋体" w:hAnsi="宋体"/>
                <w:b/>
                <w:color w:val="auto"/>
                <w:sz w:val="24"/>
                <w:szCs w:val="21"/>
                <w:highlight w:val="none"/>
              </w:rPr>
            </w:pPr>
            <w:r>
              <w:rPr>
                <w:rFonts w:ascii="宋体" w:hAnsi="宋体"/>
                <w:b/>
                <w:color w:val="auto"/>
                <w:sz w:val="24"/>
                <w:szCs w:val="21"/>
                <w:highlight w:val="none"/>
              </w:rPr>
              <w:t>河南省政府采购合同融资政策告知函</w:t>
            </w:r>
          </w:p>
          <w:p w14:paraId="27CE58F0">
            <w:pPr>
              <w:spacing w:after="120"/>
              <w:ind w:right="105" w:rightChars="50"/>
              <w:rPr>
                <w:rFonts w:hint="eastAsia" w:ascii="宋体" w:hAnsi="宋体"/>
                <w:color w:val="auto"/>
                <w:sz w:val="24"/>
                <w:szCs w:val="21"/>
                <w:highlight w:val="none"/>
              </w:rPr>
            </w:pPr>
            <w:r>
              <w:rPr>
                <w:rFonts w:ascii="宋体" w:hAnsi="宋体"/>
                <w:color w:val="auto"/>
                <w:sz w:val="24"/>
                <w:szCs w:val="21"/>
                <w:highlight w:val="none"/>
              </w:rPr>
              <w:t xml:space="preserve">各投标人： </w:t>
            </w:r>
          </w:p>
          <w:p w14:paraId="4D3C717C">
            <w:pPr>
              <w:spacing w:after="120" w:line="360" w:lineRule="auto"/>
              <w:ind w:right="105" w:rightChars="50"/>
              <w:rPr>
                <w:rFonts w:hint="eastAsia" w:ascii="宋体" w:hAnsi="宋体" w:cs="Times New Roman"/>
                <w:color w:val="auto"/>
                <w:szCs w:val="21"/>
                <w:highlight w:val="none"/>
              </w:rPr>
            </w:pPr>
            <w:r>
              <w:rPr>
                <w:rFonts w:hint="eastAsia" w:ascii="宋体" w:hAnsi="宋体" w:cs="Times New Roman"/>
                <w:color w:val="auto"/>
                <w:szCs w:val="21"/>
                <w:highlight w:val="none"/>
              </w:rPr>
              <w:t>欢迎贵公司参与河南省政府采购活动！</w:t>
            </w:r>
          </w:p>
          <w:p w14:paraId="75A4FE0F">
            <w:pPr>
              <w:spacing w:after="120" w:line="360" w:lineRule="auto"/>
              <w:ind w:right="105" w:rightChars="50" w:firstLine="420" w:firstLineChars="200"/>
              <w:rPr>
                <w:rFonts w:hint="eastAsia" w:ascii="宋体" w:hAnsi="宋体" w:cs="Times New Roman"/>
                <w:color w:val="auto"/>
                <w:szCs w:val="21"/>
                <w:highlight w:val="none"/>
              </w:rPr>
            </w:pPr>
            <w:r>
              <w:rPr>
                <w:rFonts w:hint="eastAsia" w:ascii="宋体" w:hAnsi="宋体" w:cs="Times New Roman"/>
                <w:color w:val="auto"/>
                <w:szCs w:val="21"/>
                <w:highlight w:val="none"/>
              </w:rPr>
              <w:t>政府采购合同融资是河南省财政厅支持中小微企业发展，针对参与政府采购活动的投标人融 资难、融资贵问题推出的一项融资政策。贵公司若成为本次政府采购项目的中标成交投标人，可持 政府采购合同向金融机构申请贷款，无需抵押、担保，融资机构将根据《河南省政府采购合同融资 工作实施方案》（豫财购〔2017〕10 号），按照双方自愿的原则提供便捷、优惠的贷款服务。</w:t>
            </w:r>
          </w:p>
          <w:p w14:paraId="216E0D26">
            <w:pPr>
              <w:spacing w:after="120" w:line="360" w:lineRule="auto"/>
              <w:ind w:right="105" w:rightChars="50"/>
              <w:rPr>
                <w:rFonts w:hint="eastAsia" w:ascii="宋体" w:hAnsi="宋体" w:eastAsia="宋体" w:cs="宋体"/>
                <w:color w:val="auto"/>
                <w:sz w:val="21"/>
                <w:szCs w:val="21"/>
                <w:highlight w:val="none"/>
              </w:rPr>
            </w:pPr>
            <w:r>
              <w:rPr>
                <w:rFonts w:hint="eastAsia" w:ascii="宋体" w:hAnsi="宋体" w:cs="Times New Roman"/>
                <w:color w:val="auto"/>
                <w:szCs w:val="21"/>
                <w:highlight w:val="none"/>
              </w:rPr>
              <w:t xml:space="preserve">  贷款渠道和提供贷款的金融机构，可在河南省政府采购网“河南省政府采购合同融资平台” 查询联系。</w:t>
            </w:r>
          </w:p>
        </w:tc>
      </w:tr>
    </w:tbl>
    <w:p w14:paraId="66EFE17F">
      <w:pPr>
        <w:pStyle w:val="168"/>
        <w:spacing w:line="360" w:lineRule="auto"/>
        <w:ind w:firstLine="120" w:firstLineChars="50"/>
        <w:rPr>
          <w:rFonts w:ascii="宋体" w:hAnsi="宋体" w:eastAsia="宋体"/>
          <w:color w:val="auto"/>
          <w:sz w:val="24"/>
          <w:szCs w:val="24"/>
          <w:highlight w:val="none"/>
        </w:rPr>
      </w:pPr>
      <w:bookmarkStart w:id="31" w:name="_Toc30082"/>
      <w:r>
        <w:rPr>
          <w:rFonts w:hint="eastAsia" w:ascii="宋体" w:hAnsi="宋体" w:eastAsia="宋体"/>
          <w:color w:val="auto"/>
          <w:sz w:val="24"/>
          <w:szCs w:val="24"/>
          <w:highlight w:val="none"/>
        </w:rPr>
        <w:t>1. 总则</w:t>
      </w:r>
      <w:bookmarkEnd w:id="25"/>
      <w:bookmarkEnd w:id="26"/>
      <w:bookmarkEnd w:id="27"/>
      <w:bookmarkEnd w:id="28"/>
      <w:bookmarkEnd w:id="29"/>
      <w:bookmarkEnd w:id="30"/>
      <w:bookmarkEnd w:id="31"/>
    </w:p>
    <w:p w14:paraId="6EAA79C7">
      <w:pPr>
        <w:pStyle w:val="154"/>
        <w:spacing w:line="360" w:lineRule="auto"/>
        <w:rPr>
          <w:rFonts w:ascii="宋体" w:hAnsi="宋体" w:eastAsia="宋体"/>
          <w:color w:val="auto"/>
          <w:szCs w:val="24"/>
          <w:highlight w:val="none"/>
        </w:rPr>
      </w:pPr>
      <w:bookmarkStart w:id="32" w:name="_Toc466298092"/>
      <w:bookmarkStart w:id="33" w:name="_Toc281380952"/>
      <w:bookmarkStart w:id="34" w:name="_Toc29023"/>
      <w:bookmarkStart w:id="35" w:name="_Toc274409866"/>
      <w:bookmarkStart w:id="36" w:name="_Toc21458"/>
      <w:bookmarkStart w:id="37" w:name="_Toc490667828"/>
      <w:bookmarkStart w:id="38" w:name="_Toc15709"/>
      <w:bookmarkStart w:id="39" w:name="_Toc1172"/>
      <w:bookmarkStart w:id="40" w:name="_Toc318450675"/>
      <w:bookmarkStart w:id="41" w:name="_Toc455080109"/>
      <w:bookmarkStart w:id="42" w:name="_Toc509667261"/>
      <w:bookmarkStart w:id="43" w:name="_Toc455867769"/>
      <w:bookmarkStart w:id="44" w:name="_Toc31404"/>
      <w:bookmarkStart w:id="45" w:name="_Toc10273"/>
      <w:bookmarkStart w:id="46" w:name="_Toc144974499"/>
      <w:bookmarkStart w:id="47" w:name="_Toc152045531"/>
      <w:bookmarkStart w:id="48" w:name="_Toc152042307"/>
      <w:r>
        <w:rPr>
          <w:rFonts w:hint="eastAsia" w:ascii="宋体" w:hAnsi="宋体" w:eastAsia="宋体"/>
          <w:color w:val="auto"/>
          <w:szCs w:val="24"/>
          <w:highlight w:val="none"/>
        </w:rPr>
        <w:t>1.1 适用范围</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2C245E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1.1.1根据《中华人民共和国政府采购法》等有关法律、法规和规章的规定，编制本项目磋商文件。</w:t>
      </w:r>
    </w:p>
    <w:p w14:paraId="7413CBE0">
      <w:pPr>
        <w:pStyle w:val="154"/>
        <w:tabs>
          <w:tab w:val="left" w:pos="7410"/>
        </w:tabs>
        <w:spacing w:line="360" w:lineRule="auto"/>
        <w:rPr>
          <w:rFonts w:ascii="宋体" w:hAnsi="宋体" w:eastAsia="宋体"/>
          <w:color w:val="auto"/>
          <w:szCs w:val="24"/>
          <w:highlight w:val="none"/>
        </w:rPr>
      </w:pPr>
      <w:bookmarkStart w:id="49" w:name="_Toc509667262"/>
      <w:bookmarkStart w:id="50" w:name="_Toc3336"/>
      <w:bookmarkStart w:id="51" w:name="_Toc274409867"/>
      <w:bookmarkStart w:id="52" w:name="_Toc318450676"/>
      <w:bookmarkStart w:id="53" w:name="_Toc710"/>
      <w:bookmarkStart w:id="54" w:name="_Toc490667829"/>
      <w:bookmarkStart w:id="55" w:name="_Toc466298093"/>
      <w:bookmarkStart w:id="56" w:name="_Toc32619"/>
      <w:bookmarkStart w:id="57" w:name="_Toc30891"/>
      <w:bookmarkStart w:id="58" w:name="_Toc281405468"/>
      <w:bookmarkStart w:id="59" w:name="_Toc455867770"/>
      <w:bookmarkStart w:id="60" w:name="_Toc25773"/>
      <w:bookmarkStart w:id="61" w:name="_Toc455080110"/>
      <w:bookmarkStart w:id="62" w:name="_Toc2929"/>
      <w:r>
        <w:rPr>
          <w:rFonts w:hint="eastAsia" w:ascii="宋体" w:hAnsi="宋体" w:eastAsia="宋体"/>
          <w:color w:val="auto"/>
          <w:szCs w:val="24"/>
          <w:highlight w:val="none"/>
        </w:rPr>
        <w:t>1.2 采购项目说明</w:t>
      </w:r>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6069A76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1.2.1 本项目采购人：见供应商须知前附表。</w:t>
      </w:r>
    </w:p>
    <w:p w14:paraId="30F114C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1.2.2 本项目采购代理机构：见供应商须知前附表。</w:t>
      </w:r>
    </w:p>
    <w:p w14:paraId="55043B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1.2.3 本项目名称：见供应商须知前附表。</w:t>
      </w:r>
    </w:p>
    <w:p w14:paraId="5E261C17">
      <w:pPr>
        <w:pStyle w:val="154"/>
        <w:spacing w:line="360" w:lineRule="auto"/>
        <w:rPr>
          <w:rFonts w:ascii="宋体" w:hAnsi="宋体" w:eastAsia="宋体"/>
          <w:color w:val="auto"/>
          <w:szCs w:val="24"/>
          <w:highlight w:val="none"/>
        </w:rPr>
      </w:pPr>
      <w:bookmarkStart w:id="63" w:name="_Toc490667830"/>
      <w:bookmarkStart w:id="64" w:name="_Toc18960"/>
      <w:bookmarkStart w:id="65" w:name="_Toc455080111"/>
      <w:bookmarkStart w:id="66" w:name="_Toc4952"/>
      <w:bookmarkStart w:id="67" w:name="_Toc16931"/>
      <w:bookmarkStart w:id="68" w:name="_Toc318450677"/>
      <w:bookmarkStart w:id="69" w:name="_Toc1373"/>
      <w:bookmarkStart w:id="70" w:name="_Toc466298094"/>
      <w:bookmarkStart w:id="71" w:name="_Toc455867771"/>
      <w:bookmarkStart w:id="72" w:name="_Toc3477"/>
      <w:bookmarkStart w:id="73" w:name="_Toc274409868"/>
      <w:bookmarkStart w:id="74" w:name="_Toc281405469"/>
      <w:bookmarkStart w:id="75" w:name="_Toc509667263"/>
      <w:bookmarkStart w:id="76" w:name="_Toc17016"/>
      <w:r>
        <w:rPr>
          <w:rFonts w:hint="eastAsia" w:ascii="宋体" w:hAnsi="宋体" w:eastAsia="宋体"/>
          <w:color w:val="auto"/>
          <w:szCs w:val="24"/>
          <w:highlight w:val="none"/>
        </w:rPr>
        <w:t>1.3 定义及解释</w:t>
      </w:r>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7A3478E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1.3.1采购人：依法进行政府采购的国家机关、事业单位、团体组织。</w:t>
      </w:r>
    </w:p>
    <w:p w14:paraId="3F6E262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1.3.2采购代理机构：取得政府采购采购代理资质，受采购人委托组织招标活动的社会中介组织。</w:t>
      </w:r>
    </w:p>
    <w:p w14:paraId="09ACD7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1.3.3服务：系指根据本磋商文件规定供应商须承担的服务以及其他类似的义务等。</w:t>
      </w:r>
    </w:p>
    <w:p w14:paraId="73AEC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1.3.4供应商：供应商是响应磋商文件、参加磋商竞争的中华人民共和国境内的法人、其它组织、自然人。</w:t>
      </w:r>
    </w:p>
    <w:p w14:paraId="7CDD6BF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1.3.5响应文件：指供应商根据磋商文件提交的所有文件。</w:t>
      </w:r>
    </w:p>
    <w:p w14:paraId="7938F07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1.3.6磋商小组：依据</w:t>
      </w:r>
      <w:r>
        <w:rPr>
          <w:rFonts w:hint="eastAsia" w:ascii="宋体" w:hAnsi="宋体" w:cs="宋体"/>
          <w:color w:val="auto"/>
          <w:sz w:val="24"/>
          <w:highlight w:val="none"/>
          <w:lang w:bidi="en-US"/>
        </w:rPr>
        <w:t>《中华人民共和国政府采购法》及有关法律、法规的规定依法组建的专门负责本次评标工作的临时机构</w:t>
      </w:r>
      <w:r>
        <w:rPr>
          <w:rFonts w:hint="eastAsia" w:ascii="宋体" w:hAnsi="宋体" w:cs="宋体"/>
          <w:color w:val="auto"/>
          <w:sz w:val="24"/>
          <w:highlight w:val="none"/>
        </w:rPr>
        <w:t>。</w:t>
      </w:r>
    </w:p>
    <w:p w14:paraId="4A1BF19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1.3.7偏离：响应文件的响应相对于磋商文件要求的偏差，该偏差优于磋商文件要求的为正偏离；劣于的，为负偏离。</w:t>
      </w:r>
    </w:p>
    <w:p w14:paraId="7099E14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1.3.8“日期”或“天”：指日历天。</w:t>
      </w:r>
    </w:p>
    <w:p w14:paraId="22FE314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1.3.9合同：指依据本次服务采购招标结果签订的协议或合约文件。</w:t>
      </w:r>
    </w:p>
    <w:p w14:paraId="5C90CA8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1.3.10磋商文件中的标题或题名仅起引导作用，而不应视为对磋商文件内容的理解和解释。</w:t>
      </w:r>
    </w:p>
    <w:bookmarkEnd w:id="46"/>
    <w:bookmarkEnd w:id="47"/>
    <w:bookmarkEnd w:id="48"/>
    <w:p w14:paraId="7BE130C5">
      <w:pPr>
        <w:pStyle w:val="154"/>
        <w:spacing w:line="360" w:lineRule="auto"/>
        <w:rPr>
          <w:rFonts w:hint="eastAsia" w:ascii="宋体" w:hAnsi="宋体" w:eastAsia="宋体"/>
          <w:color w:val="auto"/>
          <w:szCs w:val="24"/>
          <w:highlight w:val="none"/>
          <w:lang w:eastAsia="zh-CN"/>
        </w:rPr>
      </w:pPr>
      <w:bookmarkStart w:id="77" w:name="_Toc509667264"/>
      <w:bookmarkStart w:id="78" w:name="_Toc14043"/>
      <w:bookmarkStart w:id="79" w:name="_Toc152042308"/>
      <w:bookmarkStart w:id="80" w:name="_Toc152045532"/>
      <w:bookmarkStart w:id="81" w:name="_Toc490667831"/>
      <w:bookmarkStart w:id="82" w:name="_Toc12752"/>
      <w:bookmarkStart w:id="83" w:name="_Toc455080112"/>
      <w:bookmarkStart w:id="84" w:name="_Toc455867772"/>
      <w:bookmarkStart w:id="85" w:name="_Toc466298095"/>
      <w:bookmarkStart w:id="86" w:name="_Toc21766"/>
      <w:bookmarkStart w:id="87" w:name="_Toc144974500"/>
      <w:bookmarkStart w:id="88" w:name="_Toc16470"/>
      <w:bookmarkStart w:id="89" w:name="_Toc318450678"/>
      <w:bookmarkStart w:id="90" w:name="_Toc27407"/>
      <w:bookmarkStart w:id="91" w:name="_Toc19363"/>
      <w:r>
        <w:rPr>
          <w:rFonts w:hint="eastAsia" w:ascii="宋体" w:hAnsi="宋体" w:eastAsia="宋体"/>
          <w:color w:val="auto"/>
          <w:szCs w:val="24"/>
          <w:highlight w:val="none"/>
        </w:rPr>
        <w:t>1.4 磋商内容及标段划分和</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hint="eastAsia" w:ascii="宋体" w:hAnsi="宋体" w:eastAsia="宋体"/>
          <w:color w:val="auto"/>
          <w:szCs w:val="24"/>
          <w:highlight w:val="none"/>
          <w:lang w:val="en-US" w:eastAsia="zh-CN"/>
        </w:rPr>
        <w:t>服务标准</w:t>
      </w:r>
    </w:p>
    <w:p w14:paraId="05ACFF9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 本次磋商内容及标段划分：见供应商须知前附表。</w:t>
      </w:r>
    </w:p>
    <w:p w14:paraId="475223E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1.4.2 本项目的</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地点：见供应商须知前附表。</w:t>
      </w:r>
    </w:p>
    <w:p w14:paraId="42A93E6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1.4.3 本项目的</w:t>
      </w:r>
      <w:r>
        <w:rPr>
          <w:rFonts w:hint="eastAsia" w:ascii="宋体" w:hAnsi="宋体" w:cs="宋体"/>
          <w:color w:val="auto"/>
          <w:sz w:val="24"/>
          <w:highlight w:val="none"/>
          <w:lang w:val="en-US" w:eastAsia="zh-CN"/>
        </w:rPr>
        <w:t>服务期限</w:t>
      </w:r>
      <w:r>
        <w:rPr>
          <w:rFonts w:hint="eastAsia" w:ascii="宋体" w:hAnsi="宋体" w:cs="宋体"/>
          <w:color w:val="auto"/>
          <w:sz w:val="24"/>
          <w:highlight w:val="none"/>
        </w:rPr>
        <w:t>：见供应商须知前附表。</w:t>
      </w:r>
    </w:p>
    <w:p w14:paraId="4E3336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1.4.4 本项目的</w:t>
      </w:r>
      <w:r>
        <w:rPr>
          <w:rFonts w:hint="eastAsia" w:ascii="宋体" w:hAnsi="宋体" w:cs="宋体"/>
          <w:color w:val="auto"/>
          <w:sz w:val="24"/>
          <w:highlight w:val="none"/>
          <w:lang w:val="en-US" w:eastAsia="zh-CN"/>
        </w:rPr>
        <w:t>服务标准</w:t>
      </w:r>
      <w:r>
        <w:rPr>
          <w:rFonts w:hint="eastAsia" w:ascii="宋体" w:hAnsi="宋体" w:cs="宋体"/>
          <w:color w:val="auto"/>
          <w:sz w:val="24"/>
          <w:highlight w:val="none"/>
        </w:rPr>
        <w:t>：见供应商须知前附表。</w:t>
      </w:r>
    </w:p>
    <w:p w14:paraId="30488114">
      <w:pPr>
        <w:pStyle w:val="154"/>
        <w:spacing w:line="360" w:lineRule="auto"/>
        <w:rPr>
          <w:rFonts w:ascii="宋体" w:hAnsi="宋体" w:eastAsia="宋体"/>
          <w:color w:val="auto"/>
          <w:szCs w:val="24"/>
          <w:highlight w:val="none"/>
        </w:rPr>
      </w:pPr>
      <w:bookmarkStart w:id="92" w:name="_Toc152042310"/>
      <w:bookmarkStart w:id="93" w:name="_Toc144974502"/>
      <w:bookmarkStart w:id="94" w:name="_Toc152045534"/>
      <w:bookmarkStart w:id="95" w:name="_Toc318450679"/>
      <w:bookmarkStart w:id="96" w:name="_Toc22643"/>
      <w:bookmarkStart w:id="97" w:name="_Toc11063"/>
      <w:bookmarkStart w:id="98" w:name="_Toc5019"/>
      <w:bookmarkStart w:id="99" w:name="_Toc455867773"/>
      <w:bookmarkStart w:id="100" w:name="_Toc509667265"/>
      <w:bookmarkStart w:id="101" w:name="_Toc466298096"/>
      <w:bookmarkStart w:id="102" w:name="_Toc7209"/>
      <w:bookmarkStart w:id="103" w:name="_Toc4301"/>
      <w:bookmarkStart w:id="104" w:name="_Toc18689"/>
      <w:bookmarkStart w:id="105" w:name="_Toc455080113"/>
      <w:bookmarkStart w:id="106" w:name="_Toc490667832"/>
      <w:r>
        <w:rPr>
          <w:rFonts w:hint="eastAsia" w:ascii="宋体" w:hAnsi="宋体" w:eastAsia="宋体"/>
          <w:color w:val="auto"/>
          <w:szCs w:val="24"/>
          <w:highlight w:val="none"/>
        </w:rPr>
        <w:t xml:space="preserve">1.5 </w:t>
      </w:r>
      <w:bookmarkEnd w:id="92"/>
      <w:bookmarkEnd w:id="93"/>
      <w:bookmarkEnd w:id="94"/>
      <w:bookmarkEnd w:id="95"/>
      <w:r>
        <w:rPr>
          <w:rFonts w:hint="eastAsia" w:ascii="宋体" w:hAnsi="宋体" w:eastAsia="宋体"/>
          <w:color w:val="auto"/>
          <w:szCs w:val="24"/>
          <w:highlight w:val="none"/>
        </w:rPr>
        <w:t>供应商资质条件和能力</w:t>
      </w:r>
      <w:bookmarkEnd w:id="96"/>
      <w:bookmarkEnd w:id="97"/>
      <w:bookmarkEnd w:id="98"/>
      <w:bookmarkEnd w:id="99"/>
      <w:bookmarkEnd w:id="100"/>
      <w:bookmarkEnd w:id="101"/>
      <w:bookmarkEnd w:id="102"/>
      <w:bookmarkEnd w:id="103"/>
      <w:bookmarkEnd w:id="104"/>
      <w:bookmarkEnd w:id="105"/>
      <w:bookmarkEnd w:id="106"/>
    </w:p>
    <w:p w14:paraId="7CD137A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1.5.1供应商资质及能力要求：见供应商须知前附表。</w:t>
      </w:r>
    </w:p>
    <w:p w14:paraId="04738D1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1.5.2是否接受联合体：见供应商须知前附表。</w:t>
      </w:r>
    </w:p>
    <w:p w14:paraId="1E2E2EF2">
      <w:pPr>
        <w:pStyle w:val="154"/>
        <w:spacing w:line="360" w:lineRule="auto"/>
        <w:rPr>
          <w:rFonts w:ascii="宋体" w:hAnsi="宋体" w:eastAsia="宋体"/>
          <w:color w:val="auto"/>
          <w:szCs w:val="24"/>
          <w:highlight w:val="none"/>
        </w:rPr>
      </w:pPr>
      <w:bookmarkStart w:id="107" w:name="_Toc651"/>
      <w:bookmarkStart w:id="108" w:name="_Toc5162"/>
      <w:bookmarkStart w:id="109" w:name="_Toc144974503"/>
      <w:bookmarkStart w:id="110" w:name="_Toc318450680"/>
      <w:bookmarkStart w:id="111" w:name="_Toc12403"/>
      <w:bookmarkStart w:id="112" w:name="_Toc455867774"/>
      <w:bookmarkStart w:id="113" w:name="_Toc152045535"/>
      <w:bookmarkStart w:id="114" w:name="_Toc509667266"/>
      <w:bookmarkStart w:id="115" w:name="_Toc981"/>
      <w:bookmarkStart w:id="116" w:name="_Toc490667833"/>
      <w:bookmarkStart w:id="117" w:name="_Toc16889"/>
      <w:bookmarkStart w:id="118" w:name="_Toc152042311"/>
      <w:bookmarkStart w:id="119" w:name="_Toc466298097"/>
      <w:bookmarkStart w:id="120" w:name="_Toc31854"/>
      <w:bookmarkStart w:id="121" w:name="_Toc455080114"/>
      <w:r>
        <w:rPr>
          <w:rFonts w:hint="eastAsia" w:ascii="宋体" w:hAnsi="宋体" w:eastAsia="宋体"/>
          <w:color w:val="auto"/>
          <w:szCs w:val="24"/>
          <w:highlight w:val="none"/>
        </w:rPr>
        <w:t>1.6 费用承担</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2C8C710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供应商准备和参加磋商活动发生的费用自理，不论磋商的结果如何，采购人和采购代理机构在任何情况下均无义务和责任承担这些费用。</w:t>
      </w:r>
    </w:p>
    <w:p w14:paraId="7D8E5BEC">
      <w:pPr>
        <w:pStyle w:val="154"/>
        <w:spacing w:line="360" w:lineRule="auto"/>
        <w:rPr>
          <w:rFonts w:ascii="宋体" w:hAnsi="宋体" w:eastAsia="宋体"/>
          <w:color w:val="auto"/>
          <w:szCs w:val="24"/>
          <w:highlight w:val="none"/>
        </w:rPr>
      </w:pPr>
      <w:bookmarkStart w:id="122" w:name="_Toc509667267"/>
      <w:bookmarkStart w:id="123" w:name="_Toc2622"/>
      <w:bookmarkStart w:id="124" w:name="_Toc152045536"/>
      <w:bookmarkStart w:id="125" w:name="_Toc318450681"/>
      <w:bookmarkStart w:id="126" w:name="_Toc152042312"/>
      <w:bookmarkStart w:id="127" w:name="_Toc20145"/>
      <w:bookmarkStart w:id="128" w:name="_Toc8055"/>
      <w:bookmarkStart w:id="129" w:name="_Toc5402"/>
      <w:bookmarkStart w:id="130" w:name="_Toc466298098"/>
      <w:bookmarkStart w:id="131" w:name="_Toc455867775"/>
      <w:bookmarkStart w:id="132" w:name="_Toc490667834"/>
      <w:bookmarkStart w:id="133" w:name="_Toc455080115"/>
      <w:bookmarkStart w:id="134" w:name="_Toc32053"/>
      <w:bookmarkStart w:id="135" w:name="_Toc144974504"/>
      <w:bookmarkStart w:id="136" w:name="_Toc6014"/>
      <w:r>
        <w:rPr>
          <w:rFonts w:hint="eastAsia" w:ascii="宋体" w:hAnsi="宋体" w:eastAsia="宋体"/>
          <w:color w:val="auto"/>
          <w:szCs w:val="24"/>
          <w:highlight w:val="none"/>
        </w:rPr>
        <w:t>1.7 保密</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6572A9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参与磋商活动的各方应对磋商文件和响应文件中的商业和技术等秘密保密，违者应对由此造成的后果承担法律责任。 </w:t>
      </w:r>
    </w:p>
    <w:p w14:paraId="787B2C93">
      <w:pPr>
        <w:pStyle w:val="154"/>
        <w:spacing w:line="360" w:lineRule="auto"/>
        <w:rPr>
          <w:rFonts w:ascii="宋体" w:hAnsi="宋体" w:eastAsia="宋体"/>
          <w:color w:val="auto"/>
          <w:szCs w:val="24"/>
          <w:highlight w:val="none"/>
        </w:rPr>
      </w:pPr>
      <w:bookmarkStart w:id="137" w:name="_Toc144974505"/>
      <w:bookmarkStart w:id="138" w:name="_Toc3628"/>
      <w:bookmarkStart w:id="139" w:name="_Toc21089"/>
      <w:bookmarkStart w:id="140" w:name="_Toc318450682"/>
      <w:bookmarkStart w:id="141" w:name="_Toc30747"/>
      <w:bookmarkStart w:id="142" w:name="_Toc25517"/>
      <w:bookmarkStart w:id="143" w:name="_Toc455867776"/>
      <w:bookmarkStart w:id="144" w:name="_Toc30583"/>
      <w:bookmarkStart w:id="145" w:name="_Toc455080116"/>
      <w:bookmarkStart w:id="146" w:name="_Toc490667835"/>
      <w:bookmarkStart w:id="147" w:name="_Toc152042313"/>
      <w:bookmarkStart w:id="148" w:name="_Toc14775"/>
      <w:bookmarkStart w:id="149" w:name="_Toc466298099"/>
      <w:bookmarkStart w:id="150" w:name="_Toc152045537"/>
      <w:bookmarkStart w:id="151" w:name="_Toc509667268"/>
      <w:r>
        <w:rPr>
          <w:rFonts w:hint="eastAsia" w:ascii="宋体" w:hAnsi="宋体" w:eastAsia="宋体"/>
          <w:color w:val="auto"/>
          <w:szCs w:val="24"/>
          <w:highlight w:val="none"/>
        </w:rPr>
        <w:t>1.8 语言</w:t>
      </w:r>
      <w:bookmarkEnd w:id="137"/>
      <w:r>
        <w:rPr>
          <w:rFonts w:hint="eastAsia" w:ascii="宋体" w:hAnsi="宋体" w:eastAsia="宋体"/>
          <w:color w:val="auto"/>
          <w:szCs w:val="24"/>
          <w:highlight w:val="none"/>
        </w:rPr>
        <w:t>文字</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4F6393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除专用术语外，与磋商有关的语言均使用中文。必要时专用术语应附有中文注释，</w:t>
      </w:r>
      <w:r>
        <w:rPr>
          <w:rFonts w:hint="eastAsia" w:ascii="宋体" w:hAnsi="宋体" w:cs="宋体"/>
          <w:color w:val="auto"/>
          <w:sz w:val="24"/>
          <w:highlight w:val="none"/>
          <w:lang w:bidi="en-US"/>
        </w:rPr>
        <w:t>对不同文字文本响应文件的解释发生异议的，以中文文本为准。</w:t>
      </w:r>
    </w:p>
    <w:p w14:paraId="25F1EF2F">
      <w:pPr>
        <w:pStyle w:val="154"/>
        <w:spacing w:line="360" w:lineRule="auto"/>
        <w:rPr>
          <w:rFonts w:ascii="宋体" w:hAnsi="宋体" w:eastAsia="宋体"/>
          <w:color w:val="auto"/>
          <w:szCs w:val="24"/>
          <w:highlight w:val="none"/>
        </w:rPr>
      </w:pPr>
      <w:bookmarkStart w:id="152" w:name="_Toc152045538"/>
      <w:bookmarkStart w:id="153" w:name="_Toc9446"/>
      <w:bookmarkStart w:id="154" w:name="_Toc32507"/>
      <w:bookmarkStart w:id="155" w:name="_Toc24337"/>
      <w:bookmarkStart w:id="156" w:name="_Toc509667269"/>
      <w:bookmarkStart w:id="157" w:name="_Toc152042314"/>
      <w:bookmarkStart w:id="158" w:name="_Toc455080117"/>
      <w:bookmarkStart w:id="159" w:name="_Toc4237"/>
      <w:bookmarkStart w:id="160" w:name="_Toc466298100"/>
      <w:bookmarkStart w:id="161" w:name="_Toc318450683"/>
      <w:bookmarkStart w:id="162" w:name="_Toc490667836"/>
      <w:bookmarkStart w:id="163" w:name="_Toc144974506"/>
      <w:bookmarkStart w:id="164" w:name="_Toc2702"/>
      <w:bookmarkStart w:id="165" w:name="_Toc22378"/>
      <w:bookmarkStart w:id="166" w:name="_Toc455867777"/>
      <w:r>
        <w:rPr>
          <w:rFonts w:hint="eastAsia" w:ascii="宋体" w:hAnsi="宋体" w:eastAsia="宋体"/>
          <w:color w:val="auto"/>
          <w:szCs w:val="24"/>
          <w:highlight w:val="none"/>
        </w:rPr>
        <w:t>1.9 计量单位</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2AEA8A8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所有计量均采用中华人民共和国法定计量单位。</w:t>
      </w:r>
    </w:p>
    <w:p w14:paraId="4A32A63A">
      <w:pPr>
        <w:pStyle w:val="154"/>
        <w:spacing w:line="360" w:lineRule="auto"/>
        <w:rPr>
          <w:rFonts w:ascii="宋体" w:hAnsi="宋体" w:eastAsia="宋体"/>
          <w:color w:val="auto"/>
          <w:szCs w:val="24"/>
          <w:highlight w:val="none"/>
        </w:rPr>
      </w:pPr>
      <w:bookmarkStart w:id="167" w:name="_Toc152045540"/>
      <w:bookmarkStart w:id="168" w:name="_Toc490667837"/>
      <w:bookmarkStart w:id="169" w:name="_Toc12027"/>
      <w:bookmarkStart w:id="170" w:name="_Toc509667270"/>
      <w:bookmarkStart w:id="171" w:name="_Toc2508"/>
      <w:bookmarkStart w:id="172" w:name="_Toc284"/>
      <w:bookmarkStart w:id="173" w:name="_Toc455080118"/>
      <w:bookmarkStart w:id="174" w:name="_Toc466298101"/>
      <w:bookmarkStart w:id="175" w:name="_Toc318450684"/>
      <w:bookmarkStart w:id="176" w:name="_Toc13675"/>
      <w:bookmarkStart w:id="177" w:name="_Toc338"/>
      <w:bookmarkStart w:id="178" w:name="_Toc27570"/>
      <w:bookmarkStart w:id="179" w:name="_Toc455867778"/>
      <w:bookmarkStart w:id="180" w:name="_Toc152042316"/>
      <w:bookmarkStart w:id="181" w:name="_Toc144974508"/>
      <w:r>
        <w:rPr>
          <w:rFonts w:hint="eastAsia" w:ascii="宋体" w:hAnsi="宋体" w:eastAsia="宋体"/>
          <w:color w:val="auto"/>
          <w:szCs w:val="24"/>
          <w:highlight w:val="none"/>
        </w:rPr>
        <w:t>1.10 预备会</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7711283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不召开磋商预备会。</w:t>
      </w:r>
    </w:p>
    <w:p w14:paraId="319C7813">
      <w:pPr>
        <w:pStyle w:val="154"/>
        <w:spacing w:line="360" w:lineRule="auto"/>
        <w:rPr>
          <w:rFonts w:ascii="宋体" w:hAnsi="宋体" w:eastAsia="宋体"/>
          <w:color w:val="auto"/>
          <w:szCs w:val="24"/>
          <w:highlight w:val="none"/>
        </w:rPr>
      </w:pPr>
      <w:bookmarkStart w:id="182" w:name="_Toc455867779"/>
      <w:bookmarkStart w:id="183" w:name="_Toc455080119"/>
      <w:bookmarkStart w:id="184" w:name="_Toc318450685"/>
      <w:bookmarkStart w:id="185" w:name="_Toc23635"/>
      <w:bookmarkStart w:id="186" w:name="_Toc490667838"/>
      <w:bookmarkStart w:id="187" w:name="_Toc24262"/>
      <w:bookmarkStart w:id="188" w:name="_Toc11744"/>
      <w:bookmarkStart w:id="189" w:name="_Toc23678"/>
      <w:bookmarkStart w:id="190" w:name="_Toc152042317"/>
      <w:bookmarkStart w:id="191" w:name="_Toc12562"/>
      <w:bookmarkStart w:id="192" w:name="_Toc509667271"/>
      <w:bookmarkStart w:id="193" w:name="_Toc152045541"/>
      <w:bookmarkStart w:id="194" w:name="_Toc32757"/>
      <w:bookmarkStart w:id="195" w:name="_Toc466298102"/>
      <w:bookmarkStart w:id="196" w:name="_Toc144974509"/>
      <w:r>
        <w:rPr>
          <w:rFonts w:hint="eastAsia" w:ascii="宋体" w:hAnsi="宋体" w:eastAsia="宋体"/>
          <w:color w:val="auto"/>
          <w:szCs w:val="24"/>
          <w:highlight w:val="none"/>
        </w:rPr>
        <w:t>1.11分包</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10A782EC">
      <w:pPr>
        <w:spacing w:line="360" w:lineRule="auto"/>
        <w:ind w:firstLine="648" w:firstLineChars="270"/>
        <w:rPr>
          <w:rFonts w:ascii="宋体" w:hAnsi="宋体" w:cs="宋体"/>
          <w:color w:val="auto"/>
          <w:sz w:val="24"/>
          <w:highlight w:val="none"/>
        </w:rPr>
      </w:pPr>
      <w:r>
        <w:rPr>
          <w:rFonts w:hint="eastAsia" w:ascii="宋体" w:hAnsi="宋体" w:cs="宋体"/>
          <w:color w:val="auto"/>
          <w:sz w:val="24"/>
          <w:highlight w:val="none"/>
        </w:rPr>
        <w:t>不允许分包。</w:t>
      </w:r>
    </w:p>
    <w:p w14:paraId="32009848">
      <w:pPr>
        <w:pStyle w:val="168"/>
        <w:spacing w:line="360" w:lineRule="auto"/>
        <w:rPr>
          <w:rFonts w:ascii="宋体" w:hAnsi="宋体" w:eastAsia="宋体"/>
          <w:color w:val="auto"/>
          <w:sz w:val="24"/>
          <w:szCs w:val="24"/>
          <w:highlight w:val="none"/>
        </w:rPr>
      </w:pPr>
      <w:bookmarkStart w:id="197" w:name="_Toc152045542"/>
      <w:bookmarkStart w:id="198" w:name="_Toc144974510"/>
      <w:bookmarkStart w:id="199" w:name="_Toc152042318"/>
      <w:bookmarkStart w:id="200" w:name="_Toc23668"/>
      <w:bookmarkStart w:id="201" w:name="_Toc509667272"/>
      <w:bookmarkStart w:id="202" w:name="_Toc455080120"/>
      <w:r>
        <w:rPr>
          <w:rFonts w:hint="eastAsia" w:ascii="宋体" w:hAnsi="宋体" w:eastAsia="宋体"/>
          <w:color w:val="auto"/>
          <w:sz w:val="24"/>
          <w:szCs w:val="24"/>
          <w:highlight w:val="none"/>
        </w:rPr>
        <w:t xml:space="preserve">2. </w:t>
      </w:r>
      <w:bookmarkEnd w:id="197"/>
      <w:bookmarkEnd w:id="198"/>
      <w:bookmarkEnd w:id="199"/>
      <w:r>
        <w:rPr>
          <w:rFonts w:hint="eastAsia" w:ascii="宋体" w:hAnsi="宋体" w:eastAsia="宋体"/>
          <w:color w:val="auto"/>
          <w:sz w:val="24"/>
          <w:szCs w:val="24"/>
          <w:highlight w:val="none"/>
        </w:rPr>
        <w:t>磋商文件</w:t>
      </w:r>
      <w:bookmarkEnd w:id="200"/>
      <w:bookmarkEnd w:id="201"/>
      <w:bookmarkEnd w:id="202"/>
    </w:p>
    <w:p w14:paraId="06ECA2FF">
      <w:pPr>
        <w:pStyle w:val="154"/>
        <w:spacing w:line="360" w:lineRule="auto"/>
        <w:rPr>
          <w:rFonts w:ascii="宋体" w:hAnsi="宋体" w:eastAsia="宋体"/>
          <w:color w:val="auto"/>
          <w:szCs w:val="24"/>
          <w:highlight w:val="none"/>
        </w:rPr>
      </w:pPr>
      <w:bookmarkStart w:id="203" w:name="_Toc1008"/>
      <w:bookmarkStart w:id="204" w:name="_Toc490667840"/>
      <w:bookmarkStart w:id="205" w:name="_Toc318450687"/>
      <w:bookmarkStart w:id="206" w:name="_Toc455080121"/>
      <w:bookmarkStart w:id="207" w:name="_Toc152042319"/>
      <w:bookmarkStart w:id="208" w:name="_Toc11567"/>
      <w:bookmarkStart w:id="209" w:name="_Toc466298104"/>
      <w:bookmarkStart w:id="210" w:name="_Toc11599"/>
      <w:bookmarkStart w:id="211" w:name="_Toc9780"/>
      <w:bookmarkStart w:id="212" w:name="_Toc509667273"/>
      <w:bookmarkStart w:id="213" w:name="_Toc32711"/>
      <w:bookmarkStart w:id="214" w:name="_Toc12640"/>
      <w:bookmarkStart w:id="215" w:name="_Toc455867781"/>
      <w:bookmarkStart w:id="216" w:name="_Toc144974511"/>
      <w:bookmarkStart w:id="217" w:name="_Toc152045543"/>
      <w:r>
        <w:rPr>
          <w:rFonts w:hint="eastAsia" w:ascii="宋体" w:hAnsi="宋体" w:eastAsia="宋体"/>
          <w:color w:val="auto"/>
          <w:szCs w:val="24"/>
          <w:highlight w:val="none"/>
        </w:rPr>
        <w:t>2.1 磋商文件的组成</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03E440DF">
      <w:pPr>
        <w:spacing w:line="360" w:lineRule="auto"/>
        <w:rPr>
          <w:rFonts w:ascii="宋体" w:hAnsi="宋体" w:cs="宋体"/>
          <w:color w:val="auto"/>
          <w:sz w:val="24"/>
          <w:highlight w:val="none"/>
        </w:rPr>
      </w:pPr>
      <w:r>
        <w:rPr>
          <w:rFonts w:hint="eastAsia" w:ascii="宋体" w:hAnsi="宋体" w:cs="宋体"/>
          <w:color w:val="auto"/>
          <w:sz w:val="24"/>
          <w:highlight w:val="none"/>
        </w:rPr>
        <w:t>　　本磋商文件包括：</w:t>
      </w:r>
    </w:p>
    <w:p w14:paraId="00A084EC">
      <w:pPr>
        <w:spacing w:line="360" w:lineRule="auto"/>
        <w:ind w:firstLine="648" w:firstLineChars="270"/>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  竞争性磋商公告</w:t>
      </w:r>
    </w:p>
    <w:p w14:paraId="3BE56907">
      <w:pPr>
        <w:spacing w:line="360" w:lineRule="auto"/>
        <w:ind w:firstLine="648" w:firstLineChars="27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  供应商须知及供应商须知前附表</w:t>
      </w:r>
    </w:p>
    <w:p w14:paraId="7ED62AD4">
      <w:pPr>
        <w:spacing w:line="360" w:lineRule="auto"/>
        <w:ind w:firstLine="648" w:firstLineChars="27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评分办法</w:t>
      </w:r>
    </w:p>
    <w:p w14:paraId="7B03992E">
      <w:pPr>
        <w:spacing w:line="360" w:lineRule="auto"/>
        <w:ind w:firstLine="648" w:firstLineChars="2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合同文本</w:t>
      </w:r>
    </w:p>
    <w:p w14:paraId="75975432">
      <w:pPr>
        <w:spacing w:line="360" w:lineRule="auto"/>
        <w:ind w:firstLine="648" w:firstLineChars="27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第五章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eastAsia="zh-CN"/>
        </w:rPr>
        <w:t>采购需求及技术要求</w:t>
      </w:r>
    </w:p>
    <w:p w14:paraId="57A066F1">
      <w:pPr>
        <w:spacing w:line="360" w:lineRule="auto"/>
        <w:ind w:firstLine="648" w:firstLineChars="2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竞争性磋商响应文件格式</w:t>
      </w:r>
    </w:p>
    <w:p w14:paraId="592DF6B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根据本章第1.10款、第2.2款和第2.3款对磋商文件所作的澄清、修改，构成磋商文件的组成部分。</w:t>
      </w:r>
    </w:p>
    <w:p w14:paraId="1584D22B">
      <w:pPr>
        <w:pStyle w:val="154"/>
        <w:spacing w:line="360" w:lineRule="auto"/>
        <w:rPr>
          <w:rFonts w:ascii="宋体" w:hAnsi="宋体" w:eastAsia="宋体"/>
          <w:color w:val="auto"/>
          <w:szCs w:val="24"/>
          <w:highlight w:val="none"/>
        </w:rPr>
      </w:pPr>
      <w:bookmarkStart w:id="218" w:name="_Toc7939"/>
      <w:bookmarkStart w:id="219" w:name="_Toc509667274"/>
      <w:bookmarkStart w:id="220" w:name="_Toc8875"/>
      <w:bookmarkStart w:id="221" w:name="_Toc490667841"/>
      <w:bookmarkStart w:id="222" w:name="_Toc466298105"/>
      <w:bookmarkStart w:id="223" w:name="_Toc455867782"/>
      <w:bookmarkStart w:id="224" w:name="_Toc144974512"/>
      <w:bookmarkStart w:id="225" w:name="_Toc152045544"/>
      <w:bookmarkStart w:id="226" w:name="_Toc455080122"/>
      <w:bookmarkStart w:id="227" w:name="_Toc8943"/>
      <w:bookmarkStart w:id="228" w:name="_Toc17296"/>
      <w:bookmarkStart w:id="229" w:name="_Toc13700"/>
      <w:bookmarkStart w:id="230" w:name="_Toc318450688"/>
      <w:bookmarkStart w:id="231" w:name="_Toc18661"/>
      <w:bookmarkStart w:id="232" w:name="_Toc152042320"/>
      <w:r>
        <w:rPr>
          <w:rFonts w:hint="eastAsia" w:ascii="宋体" w:hAnsi="宋体" w:eastAsia="宋体"/>
          <w:color w:val="auto"/>
          <w:szCs w:val="24"/>
          <w:highlight w:val="none"/>
        </w:rPr>
        <w:t>2.2 磋商文件的澄清</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5F31EC2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2.2.1供应商应仔细阅读和检查磋商文件的全部内容。如发现缺页或附件不全，应及时向采购人提出，以便补齐。如有疑问，应在供应商须知前附表规定的时间前以书面形式（包括信函、电报、传真等可以有形地表现所载内容的形式，下同），要求采购人对磋商文件予以澄清，否则由此引起的任何后果均由供应商自己承担，采购人与采购代理机构均不承担任何责任。</w:t>
      </w:r>
    </w:p>
    <w:p w14:paraId="352BE29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2.2.2 磋商文件的澄清将在供应商须知前附表规定的提交响应文件截止时间5天前以书面形式发给所有购买磋商文件的供应商，但不指明澄清问题的来源，请各供应商及时关注交易平台，因供应商未看到或其他原因造成的损失，由供应商自行承担。如果澄清发出的时间距提交响应文件截止时间不足5天，相应延长提交响应文件截止时间。</w:t>
      </w:r>
    </w:p>
    <w:p w14:paraId="42948B9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2.2.3 供应商在收到澄清后，应在供应商须知前附表规定的时间内以书面形式通知采购人，确认已收到该澄清。</w:t>
      </w:r>
    </w:p>
    <w:p w14:paraId="65EDE0AE">
      <w:pPr>
        <w:pStyle w:val="154"/>
        <w:spacing w:line="360" w:lineRule="auto"/>
        <w:rPr>
          <w:rFonts w:ascii="宋体" w:hAnsi="宋体" w:eastAsia="宋体"/>
          <w:color w:val="auto"/>
          <w:szCs w:val="24"/>
          <w:highlight w:val="none"/>
        </w:rPr>
      </w:pPr>
      <w:bookmarkStart w:id="233" w:name="_Toc455080123"/>
      <w:bookmarkStart w:id="234" w:name="_Toc2131"/>
      <w:bookmarkStart w:id="235" w:name="_Toc13617"/>
      <w:bookmarkStart w:id="236" w:name="_Toc152042321"/>
      <w:bookmarkStart w:id="237" w:name="_Toc152045545"/>
      <w:bookmarkStart w:id="238" w:name="_Toc509667275"/>
      <w:bookmarkStart w:id="239" w:name="_Toc11948"/>
      <w:bookmarkStart w:id="240" w:name="_Toc144974513"/>
      <w:bookmarkStart w:id="241" w:name="_Toc490667842"/>
      <w:bookmarkStart w:id="242" w:name="_Toc5907"/>
      <w:bookmarkStart w:id="243" w:name="_Toc17619"/>
      <w:bookmarkStart w:id="244" w:name="_Toc455867783"/>
      <w:bookmarkStart w:id="245" w:name="_Toc318450689"/>
      <w:bookmarkStart w:id="246" w:name="_Toc466298106"/>
      <w:bookmarkStart w:id="247" w:name="_Toc14966"/>
      <w:r>
        <w:rPr>
          <w:rFonts w:hint="eastAsia" w:ascii="宋体" w:hAnsi="宋体" w:eastAsia="宋体"/>
          <w:color w:val="auto"/>
          <w:szCs w:val="24"/>
          <w:highlight w:val="none"/>
        </w:rPr>
        <w:t>2.3 磋商文件的修改</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070696C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2.3.1 在提交响应文件截止5天前，采购人可以书面形式修改磋商文件，并以书面形式通知所有已购买磋商文件的供应商。如果修改磋商文件的时间距提交响应文件截止时间不足5天，相应延长提交响应文件截止时间。 </w:t>
      </w:r>
    </w:p>
    <w:p w14:paraId="46F9CC2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2.3.2 供应商收到修改内容后，应在供应商须知前附表规定的时间内以书面形式通知采购人，确认已收到该修改。</w:t>
      </w:r>
    </w:p>
    <w:p w14:paraId="28A09F15">
      <w:pPr>
        <w:pStyle w:val="168"/>
        <w:spacing w:line="360" w:lineRule="auto"/>
        <w:rPr>
          <w:rFonts w:ascii="宋体" w:hAnsi="宋体" w:eastAsia="宋体"/>
          <w:color w:val="auto"/>
          <w:sz w:val="24"/>
          <w:szCs w:val="24"/>
          <w:highlight w:val="none"/>
        </w:rPr>
      </w:pPr>
      <w:bookmarkStart w:id="248" w:name="_Toc152042322"/>
      <w:bookmarkStart w:id="249" w:name="_Toc152045546"/>
      <w:bookmarkStart w:id="250" w:name="_Toc144974514"/>
      <w:bookmarkStart w:id="251" w:name="_Toc12256"/>
      <w:bookmarkStart w:id="252" w:name="_Toc509667276"/>
      <w:bookmarkStart w:id="253" w:name="_Toc455080124"/>
      <w:r>
        <w:rPr>
          <w:rFonts w:hint="eastAsia" w:ascii="宋体" w:hAnsi="宋体" w:eastAsia="宋体"/>
          <w:color w:val="auto"/>
          <w:sz w:val="24"/>
          <w:szCs w:val="24"/>
          <w:highlight w:val="none"/>
        </w:rPr>
        <w:t xml:space="preserve">3. </w:t>
      </w:r>
      <w:bookmarkEnd w:id="248"/>
      <w:bookmarkEnd w:id="249"/>
      <w:bookmarkEnd w:id="250"/>
      <w:r>
        <w:rPr>
          <w:rFonts w:hint="eastAsia" w:ascii="宋体" w:hAnsi="宋体" w:eastAsia="宋体"/>
          <w:color w:val="auto"/>
          <w:sz w:val="24"/>
          <w:szCs w:val="24"/>
          <w:highlight w:val="none"/>
        </w:rPr>
        <w:t>响应文件</w:t>
      </w:r>
      <w:bookmarkEnd w:id="251"/>
      <w:bookmarkEnd w:id="252"/>
      <w:bookmarkEnd w:id="253"/>
    </w:p>
    <w:p w14:paraId="099CA1F5">
      <w:pPr>
        <w:pStyle w:val="154"/>
        <w:spacing w:line="360" w:lineRule="auto"/>
        <w:rPr>
          <w:rFonts w:ascii="宋体" w:hAnsi="宋体" w:eastAsia="宋体"/>
          <w:color w:val="auto"/>
          <w:szCs w:val="24"/>
          <w:highlight w:val="none"/>
        </w:rPr>
      </w:pPr>
      <w:bookmarkStart w:id="254" w:name="_Toc15810"/>
      <w:bookmarkStart w:id="255" w:name="_Toc318450691"/>
      <w:bookmarkStart w:id="256" w:name="_Toc24440"/>
      <w:bookmarkStart w:id="257" w:name="_Toc152042323"/>
      <w:bookmarkStart w:id="258" w:name="_Toc152045547"/>
      <w:bookmarkStart w:id="259" w:name="_Toc144974515"/>
      <w:bookmarkStart w:id="260" w:name="_Toc490667844"/>
      <w:r>
        <w:rPr>
          <w:rFonts w:hint="eastAsia" w:ascii="宋体" w:hAnsi="宋体" w:eastAsia="宋体"/>
          <w:color w:val="auto"/>
          <w:szCs w:val="24"/>
          <w:highlight w:val="none"/>
        </w:rPr>
        <w:t>3.1 响应文件的组成</w:t>
      </w:r>
      <w:bookmarkEnd w:id="254"/>
      <w:bookmarkEnd w:id="255"/>
      <w:bookmarkEnd w:id="256"/>
      <w:bookmarkEnd w:id="257"/>
      <w:bookmarkEnd w:id="258"/>
      <w:bookmarkEnd w:id="259"/>
      <w:bookmarkEnd w:id="260"/>
    </w:p>
    <w:p w14:paraId="5BEB2D9A">
      <w:pPr>
        <w:numPr>
          <w:ilvl w:val="2"/>
          <w:numId w:val="0"/>
        </w:numPr>
        <w:tabs>
          <w:tab w:val="left" w:pos="0"/>
          <w:tab w:val="left" w:pos="1050"/>
        </w:tabs>
        <w:spacing w:line="360" w:lineRule="auto"/>
        <w:ind w:firstLine="417" w:firstLineChars="174"/>
        <w:rPr>
          <w:rFonts w:hint="eastAsia" w:ascii="宋体" w:hAnsi="宋体" w:eastAsia="宋体" w:cs="宋体"/>
          <w:color w:val="auto"/>
          <w:sz w:val="24"/>
          <w:highlight w:val="none"/>
        </w:rPr>
      </w:pPr>
      <w:bookmarkStart w:id="261" w:name="_Toc779"/>
      <w:bookmarkStart w:id="262" w:name="_Toc455080125"/>
      <w:bookmarkStart w:id="263" w:name="_Toc18750"/>
      <w:bookmarkStart w:id="264" w:name="_Toc466298108"/>
      <w:bookmarkStart w:id="265" w:name="_Toc455867785"/>
      <w:bookmarkStart w:id="266" w:name="_Toc13280"/>
      <w:bookmarkStart w:id="267" w:name="_Toc30182"/>
      <w:bookmarkStart w:id="268" w:name="_Toc22864"/>
      <w:bookmarkStart w:id="269" w:name="_Toc152045548"/>
      <w:bookmarkStart w:id="270" w:name="_Toc144974516"/>
      <w:bookmarkStart w:id="271" w:name="_Toc26291"/>
      <w:bookmarkStart w:id="272" w:name="_Toc899"/>
      <w:bookmarkStart w:id="273" w:name="_Toc318450692"/>
      <w:bookmarkStart w:id="274" w:name="_Toc152042324"/>
      <w:bookmarkStart w:id="275" w:name="_Toc279156232"/>
      <w:r>
        <w:rPr>
          <w:rFonts w:hint="eastAsia" w:ascii="宋体" w:hAnsi="宋体" w:eastAsia="宋体" w:cs="宋体"/>
          <w:color w:val="auto"/>
          <w:sz w:val="24"/>
          <w:highlight w:val="none"/>
        </w:rPr>
        <w:t>详见第六章“响应文件格式”</w:t>
      </w:r>
      <w:bookmarkEnd w:id="261"/>
      <w:bookmarkEnd w:id="262"/>
      <w:bookmarkEnd w:id="263"/>
      <w:bookmarkEnd w:id="264"/>
      <w:bookmarkEnd w:id="265"/>
      <w:bookmarkEnd w:id="266"/>
      <w:bookmarkEnd w:id="267"/>
      <w:bookmarkEnd w:id="268"/>
    </w:p>
    <w:p w14:paraId="3C99DD92">
      <w:pPr>
        <w:spacing w:line="360" w:lineRule="auto"/>
        <w:outlineLvl w:val="2"/>
        <w:rPr>
          <w:rFonts w:ascii="宋体" w:hAnsi="宋体" w:cs="宋体"/>
          <w:color w:val="auto"/>
          <w:sz w:val="24"/>
          <w:highlight w:val="none"/>
        </w:rPr>
      </w:pPr>
      <w:r>
        <w:rPr>
          <w:rFonts w:hint="eastAsia" w:ascii="宋体" w:hAnsi="宋体" w:cs="宋体"/>
          <w:color w:val="auto"/>
          <w:sz w:val="24"/>
          <w:highlight w:val="none"/>
        </w:rPr>
        <w:t>3.2 磋商报价</w:t>
      </w:r>
      <w:bookmarkEnd w:id="269"/>
      <w:bookmarkEnd w:id="270"/>
      <w:bookmarkEnd w:id="271"/>
      <w:bookmarkEnd w:id="272"/>
      <w:bookmarkEnd w:id="273"/>
      <w:bookmarkEnd w:id="274"/>
      <w:bookmarkEnd w:id="275"/>
    </w:p>
    <w:p w14:paraId="6FC1C280">
      <w:pPr>
        <w:numPr>
          <w:ilvl w:val="2"/>
          <w:numId w:val="0"/>
        </w:numPr>
        <w:tabs>
          <w:tab w:val="left" w:pos="0"/>
          <w:tab w:val="left" w:pos="1050"/>
        </w:tabs>
        <w:spacing w:line="360" w:lineRule="auto"/>
        <w:ind w:firstLine="417" w:firstLineChars="174"/>
        <w:rPr>
          <w:rFonts w:ascii="宋体" w:hAnsi="宋体" w:cs="宋体"/>
          <w:color w:val="auto"/>
          <w:sz w:val="24"/>
          <w:highlight w:val="none"/>
        </w:rPr>
      </w:pPr>
      <w:r>
        <w:rPr>
          <w:rFonts w:hint="eastAsia" w:ascii="宋体" w:hAnsi="宋体" w:cs="宋体"/>
          <w:color w:val="auto"/>
          <w:sz w:val="24"/>
          <w:highlight w:val="none"/>
        </w:rPr>
        <w:t>3.2.1磋商报价应为完成本项目采购内容的所有费用。</w:t>
      </w:r>
    </w:p>
    <w:p w14:paraId="434CC8B0">
      <w:pPr>
        <w:numPr>
          <w:ilvl w:val="2"/>
          <w:numId w:val="0"/>
        </w:numPr>
        <w:tabs>
          <w:tab w:val="left" w:pos="0"/>
          <w:tab w:val="left" w:pos="1050"/>
        </w:tabs>
        <w:spacing w:line="360" w:lineRule="auto"/>
        <w:ind w:firstLine="417" w:firstLineChars="174"/>
        <w:rPr>
          <w:rFonts w:ascii="宋体" w:hAnsi="宋体" w:cs="宋体"/>
          <w:color w:val="auto"/>
          <w:sz w:val="24"/>
          <w:highlight w:val="none"/>
        </w:rPr>
      </w:pPr>
      <w:r>
        <w:rPr>
          <w:rFonts w:hint="eastAsia" w:ascii="宋体" w:hAnsi="宋体" w:cs="宋体"/>
          <w:color w:val="auto"/>
          <w:sz w:val="24"/>
          <w:highlight w:val="none"/>
        </w:rPr>
        <w:t>3.2.2成交总报价为成交人在磋商文件中提出的各项支付金额的总和。</w:t>
      </w:r>
    </w:p>
    <w:p w14:paraId="35C3B074">
      <w:pPr>
        <w:numPr>
          <w:ilvl w:val="2"/>
          <w:numId w:val="0"/>
        </w:numPr>
        <w:tabs>
          <w:tab w:val="left" w:pos="0"/>
          <w:tab w:val="left" w:pos="1050"/>
        </w:tabs>
        <w:spacing w:line="360" w:lineRule="auto"/>
        <w:ind w:firstLine="417" w:firstLineChars="174"/>
        <w:rPr>
          <w:rFonts w:hint="eastAsia" w:ascii="宋体" w:hAnsi="宋体" w:cs="宋体"/>
          <w:color w:val="auto"/>
          <w:sz w:val="24"/>
          <w:highlight w:val="none"/>
        </w:rPr>
      </w:pPr>
      <w:r>
        <w:rPr>
          <w:rFonts w:hint="eastAsia" w:ascii="宋体" w:hAnsi="宋体" w:cs="宋体"/>
          <w:color w:val="auto"/>
          <w:sz w:val="24"/>
          <w:highlight w:val="none"/>
        </w:rPr>
        <w:t>3.2.3成交人的磋商报价均包括完成该项目的成本、利润、税金、风险等所有伴随的其他费用。</w:t>
      </w:r>
    </w:p>
    <w:p w14:paraId="7C27689D">
      <w:pPr>
        <w:numPr>
          <w:ilvl w:val="2"/>
          <w:numId w:val="0"/>
        </w:numPr>
        <w:tabs>
          <w:tab w:val="left" w:pos="0"/>
          <w:tab w:val="left" w:pos="1050"/>
        </w:tabs>
        <w:spacing w:line="360" w:lineRule="auto"/>
        <w:ind w:firstLine="417" w:firstLineChars="174"/>
        <w:rPr>
          <w:rFonts w:ascii="宋体" w:hAnsi="宋体" w:cs="宋体"/>
          <w:b/>
          <w:color w:val="auto"/>
          <w:sz w:val="24"/>
          <w:highlight w:val="none"/>
        </w:rPr>
      </w:pPr>
      <w:r>
        <w:rPr>
          <w:rFonts w:hint="eastAsia" w:ascii="宋体" w:hAnsi="宋体" w:cs="宋体"/>
          <w:color w:val="auto"/>
          <w:sz w:val="24"/>
          <w:highlight w:val="none"/>
        </w:rPr>
        <w:t>3.2.4成交人不得以任何理由在磋商截止后对磋商报价予以修改，报价在磋商有效期内是固定的，不因任何原因而改变。任何包含价格调整要求和条件的磋商，将被视为非实质性响应磋商而予与拒绝。</w:t>
      </w:r>
    </w:p>
    <w:p w14:paraId="0A9A0AFC">
      <w:pPr>
        <w:pStyle w:val="154"/>
        <w:spacing w:line="360" w:lineRule="auto"/>
        <w:rPr>
          <w:rFonts w:ascii="宋体" w:hAnsi="宋体" w:eastAsia="宋体"/>
          <w:color w:val="auto"/>
          <w:szCs w:val="24"/>
          <w:highlight w:val="none"/>
        </w:rPr>
      </w:pPr>
      <w:bookmarkStart w:id="276" w:name="_Toc318450693"/>
      <w:bookmarkStart w:id="277" w:name="_Toc152042325"/>
      <w:bookmarkStart w:id="278" w:name="_Toc509667277"/>
      <w:bookmarkStart w:id="279" w:name="_Toc455080126"/>
      <w:bookmarkStart w:id="280" w:name="_Toc152045549"/>
      <w:bookmarkStart w:id="281" w:name="_Toc144974517"/>
      <w:bookmarkStart w:id="282" w:name="_Toc455867786"/>
      <w:bookmarkStart w:id="283" w:name="_Toc3624"/>
      <w:bookmarkStart w:id="284" w:name="_Toc466298109"/>
      <w:bookmarkStart w:id="285" w:name="_Toc490667846"/>
      <w:bookmarkStart w:id="286" w:name="_Toc21680"/>
      <w:bookmarkStart w:id="287" w:name="_Toc7910"/>
      <w:bookmarkStart w:id="288" w:name="_Toc2425"/>
      <w:bookmarkStart w:id="289" w:name="_Toc6105"/>
      <w:bookmarkStart w:id="290" w:name="_Toc21600"/>
      <w:r>
        <w:rPr>
          <w:rFonts w:hint="eastAsia" w:ascii="宋体" w:hAnsi="宋体" w:eastAsia="宋体"/>
          <w:color w:val="auto"/>
          <w:szCs w:val="24"/>
          <w:highlight w:val="none"/>
        </w:rPr>
        <w:t>3.3 磋商有效期</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2B71910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3.3.1在供应商须知前附表规定的磋商有效期内，供应商不得要求撤销或修改其响应文件。</w:t>
      </w:r>
    </w:p>
    <w:p w14:paraId="10024D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3.3.2出现特殊情况需要延长磋商有效期的，采购人以书面形式通知所有供应商延长磋商有效期。供应商同意延长的，但不得要求或被允许修改或撤销其响应文件；供应商拒绝延长的，其响应文件失效。 </w:t>
      </w:r>
    </w:p>
    <w:p w14:paraId="0D45B6AE">
      <w:pPr>
        <w:pStyle w:val="154"/>
        <w:spacing w:line="360" w:lineRule="auto"/>
        <w:rPr>
          <w:rFonts w:ascii="宋体" w:hAnsi="宋体" w:eastAsia="宋体"/>
          <w:color w:val="auto"/>
          <w:szCs w:val="24"/>
          <w:highlight w:val="none"/>
        </w:rPr>
      </w:pPr>
      <w:bookmarkStart w:id="291" w:name="_Toc7057"/>
      <w:bookmarkStart w:id="292" w:name="_Toc30697"/>
      <w:bookmarkStart w:id="293" w:name="_Toc7973"/>
      <w:bookmarkStart w:id="294" w:name="_Toc152042326"/>
      <w:bookmarkStart w:id="295" w:name="_Toc509667278"/>
      <w:bookmarkStart w:id="296" w:name="_Toc2505"/>
      <w:bookmarkStart w:id="297" w:name="_Toc455080127"/>
      <w:bookmarkStart w:id="298" w:name="_Toc466298110"/>
      <w:bookmarkStart w:id="299" w:name="_Toc4165"/>
      <w:bookmarkStart w:id="300" w:name="_Toc318450694"/>
      <w:bookmarkStart w:id="301" w:name="_Toc455867787"/>
      <w:bookmarkStart w:id="302" w:name="_Toc10370"/>
      <w:bookmarkStart w:id="303" w:name="_Toc490667847"/>
      <w:bookmarkStart w:id="304" w:name="_Toc152045550"/>
      <w:bookmarkStart w:id="305" w:name="_Toc144974518"/>
      <w:r>
        <w:rPr>
          <w:rFonts w:hint="eastAsia" w:ascii="宋体" w:hAnsi="宋体" w:eastAsia="宋体"/>
          <w:color w:val="auto"/>
          <w:szCs w:val="24"/>
          <w:highlight w:val="none"/>
        </w:rPr>
        <w:t>3.4 磋商保证金（本项目不收取）</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FF91E2E">
      <w:pPr>
        <w:pStyle w:val="154"/>
        <w:spacing w:line="360" w:lineRule="auto"/>
        <w:rPr>
          <w:rFonts w:ascii="宋体" w:hAnsi="宋体" w:eastAsia="宋体"/>
          <w:color w:val="auto"/>
          <w:szCs w:val="24"/>
          <w:highlight w:val="none"/>
        </w:rPr>
      </w:pPr>
      <w:bookmarkStart w:id="306" w:name="_Toc318450695"/>
      <w:bookmarkStart w:id="307" w:name="_Toc144974520"/>
      <w:bookmarkStart w:id="308" w:name="_Toc22527"/>
      <w:bookmarkStart w:id="309" w:name="_Toc490667848"/>
      <w:bookmarkStart w:id="310" w:name="_Toc16747"/>
      <w:bookmarkStart w:id="311" w:name="_Toc27579"/>
      <w:bookmarkStart w:id="312" w:name="_Toc152045552"/>
      <w:bookmarkStart w:id="313" w:name="_Toc455867788"/>
      <w:bookmarkStart w:id="314" w:name="_Toc509667279"/>
      <w:bookmarkStart w:id="315" w:name="_Toc152042328"/>
      <w:bookmarkStart w:id="316" w:name="_Toc466298111"/>
      <w:bookmarkStart w:id="317" w:name="_Toc17153"/>
      <w:bookmarkStart w:id="318" w:name="_Toc22384"/>
      <w:bookmarkStart w:id="319" w:name="_Toc455080128"/>
      <w:bookmarkStart w:id="320" w:name="_Toc11077"/>
      <w:r>
        <w:rPr>
          <w:rFonts w:hint="eastAsia" w:ascii="宋体" w:hAnsi="宋体" w:eastAsia="宋体"/>
          <w:color w:val="auto"/>
          <w:szCs w:val="24"/>
          <w:highlight w:val="none"/>
        </w:rPr>
        <w:t>3.5资格审查资料</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4A807322">
      <w:pPr>
        <w:spacing w:line="360" w:lineRule="auto"/>
        <w:ind w:firstLine="480" w:firstLineChars="200"/>
        <w:rPr>
          <w:rFonts w:ascii="宋体" w:hAnsi="宋体" w:cs="宋体"/>
          <w:color w:val="auto"/>
          <w:sz w:val="24"/>
          <w:highlight w:val="none"/>
        </w:rPr>
      </w:pPr>
      <w:bookmarkStart w:id="321" w:name="_Toc5132"/>
      <w:bookmarkStart w:id="322" w:name="_Toc152042329"/>
      <w:bookmarkStart w:id="323" w:name="_Toc152045553"/>
      <w:bookmarkStart w:id="324" w:name="_Toc26258"/>
      <w:bookmarkStart w:id="325" w:name="_Toc318450696"/>
      <w:bookmarkStart w:id="326" w:name="_Toc144974521"/>
      <w:r>
        <w:rPr>
          <w:rFonts w:hint="eastAsia" w:ascii="宋体" w:hAnsi="宋体" w:cs="宋体"/>
          <w:color w:val="auto"/>
          <w:sz w:val="24"/>
          <w:highlight w:val="none"/>
        </w:rPr>
        <w:t>见供应商须知前附表。</w:t>
      </w:r>
    </w:p>
    <w:p w14:paraId="02BEACB5">
      <w:pPr>
        <w:pStyle w:val="154"/>
        <w:spacing w:line="360" w:lineRule="auto"/>
        <w:rPr>
          <w:rFonts w:ascii="宋体" w:hAnsi="宋体" w:eastAsia="宋体"/>
          <w:color w:val="auto"/>
          <w:szCs w:val="24"/>
          <w:highlight w:val="none"/>
        </w:rPr>
      </w:pPr>
      <w:bookmarkStart w:id="327" w:name="_Toc455867789"/>
      <w:bookmarkStart w:id="328" w:name="_Toc30442"/>
      <w:bookmarkStart w:id="329" w:name="_Toc490667849"/>
      <w:bookmarkStart w:id="330" w:name="_Toc19724"/>
      <w:bookmarkStart w:id="331" w:name="_Toc455080129"/>
      <w:bookmarkStart w:id="332" w:name="_Toc509667280"/>
      <w:bookmarkStart w:id="333" w:name="_Toc466298112"/>
      <w:bookmarkStart w:id="334" w:name="_Toc9015"/>
      <w:bookmarkStart w:id="335" w:name="_Toc11694"/>
      <w:r>
        <w:rPr>
          <w:rFonts w:hint="eastAsia" w:ascii="宋体" w:hAnsi="宋体" w:eastAsia="宋体"/>
          <w:color w:val="auto"/>
          <w:szCs w:val="24"/>
          <w:highlight w:val="none"/>
        </w:rPr>
        <w:t>3.6 备选方案</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27B0668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除供应商须知前附表另有规定外，供应商不得递交备选磋商方案。</w:t>
      </w:r>
    </w:p>
    <w:p w14:paraId="55BA86A0">
      <w:pPr>
        <w:pStyle w:val="154"/>
        <w:spacing w:line="360" w:lineRule="auto"/>
        <w:rPr>
          <w:rFonts w:ascii="宋体" w:hAnsi="宋体" w:eastAsia="宋体"/>
          <w:color w:val="auto"/>
          <w:szCs w:val="24"/>
          <w:highlight w:val="none"/>
        </w:rPr>
      </w:pPr>
      <w:bookmarkStart w:id="336" w:name="_Toc144974522"/>
      <w:bookmarkStart w:id="337" w:name="_Toc25620"/>
      <w:bookmarkStart w:id="338" w:name="_Toc490667850"/>
      <w:bookmarkStart w:id="339" w:name="_Toc466298113"/>
      <w:bookmarkStart w:id="340" w:name="_Toc318450697"/>
      <w:bookmarkStart w:id="341" w:name="_Toc7626"/>
      <w:bookmarkStart w:id="342" w:name="_Toc12275"/>
      <w:bookmarkStart w:id="343" w:name="_Toc152042330"/>
      <w:bookmarkStart w:id="344" w:name="_Toc455080130"/>
      <w:bookmarkStart w:id="345" w:name="_Toc28656"/>
      <w:bookmarkStart w:id="346" w:name="_Toc152045554"/>
      <w:bookmarkStart w:id="347" w:name="_Toc7966"/>
      <w:bookmarkStart w:id="348" w:name="_Toc509667281"/>
      <w:bookmarkStart w:id="349" w:name="_Toc6323"/>
      <w:bookmarkStart w:id="350" w:name="_Toc455867790"/>
      <w:r>
        <w:rPr>
          <w:rFonts w:hint="eastAsia" w:ascii="宋体" w:hAnsi="宋体" w:eastAsia="宋体"/>
          <w:color w:val="auto"/>
          <w:szCs w:val="24"/>
          <w:highlight w:val="none"/>
        </w:rPr>
        <w:t>3.7 响应文件的编制</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492C03F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3.7.1响应文件应按第六章“竞争性磋商响应文件格式”进行编写，如有必要，可以增加附页，作为响应文件的组成部分。其中，磋商函附录在满足磋商文件实质性要求的基础上，可以提出比磋商文件要求更有利于采购人的承诺。</w:t>
      </w:r>
    </w:p>
    <w:p w14:paraId="42B0A4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3.7.2 响应文件应当对磋商文件有关采购内容、</w:t>
      </w:r>
      <w:r>
        <w:rPr>
          <w:rFonts w:hint="eastAsia" w:ascii="宋体" w:hAnsi="宋体" w:cs="宋体"/>
          <w:color w:val="auto"/>
          <w:sz w:val="24"/>
          <w:highlight w:val="none"/>
          <w:lang w:eastAsia="zh-CN"/>
        </w:rPr>
        <w:t>检测期限</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服务标准</w:t>
      </w:r>
      <w:r>
        <w:rPr>
          <w:rFonts w:hint="eastAsia" w:ascii="宋体" w:hAnsi="宋体" w:cs="宋体"/>
          <w:color w:val="auto"/>
          <w:sz w:val="24"/>
          <w:highlight w:val="none"/>
        </w:rPr>
        <w:t>、磋商有效期等实质性内容作出响应。</w:t>
      </w:r>
    </w:p>
    <w:p w14:paraId="0BF63A3E">
      <w:pPr>
        <w:spacing w:line="360" w:lineRule="auto"/>
        <w:ind w:firstLine="480" w:firstLineChars="200"/>
        <w:rPr>
          <w:rFonts w:ascii="宋体" w:hAnsi="宋体" w:cs="宋体"/>
          <w:color w:val="auto"/>
          <w:sz w:val="24"/>
          <w:highlight w:val="none"/>
        </w:rPr>
      </w:pPr>
      <w:bookmarkStart w:id="351" w:name="_Toc144974523"/>
      <w:bookmarkStart w:id="352" w:name="_Toc455080131"/>
      <w:bookmarkStart w:id="353" w:name="_Toc152042331"/>
      <w:bookmarkStart w:id="354" w:name="_Toc152045555"/>
      <w:bookmarkStart w:id="355" w:name="_Toc509667282"/>
      <w:r>
        <w:rPr>
          <w:rFonts w:hint="eastAsia" w:ascii="宋体" w:hAnsi="宋体" w:cs="宋体"/>
          <w:color w:val="auto"/>
          <w:sz w:val="24"/>
          <w:highlight w:val="none"/>
        </w:rPr>
        <w:t>3.7.3 响应文件签章要求，具体要求见供应商须知前附表规定。</w:t>
      </w:r>
    </w:p>
    <w:p w14:paraId="3E5D052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3.7.4 响应文件份数要求，具体要求见供应商须知前附表规定。</w:t>
      </w:r>
    </w:p>
    <w:p w14:paraId="3F7C5236">
      <w:pPr>
        <w:pStyle w:val="168"/>
        <w:spacing w:line="360" w:lineRule="auto"/>
        <w:rPr>
          <w:rFonts w:ascii="宋体" w:hAnsi="宋体" w:eastAsia="宋体"/>
          <w:color w:val="auto"/>
          <w:sz w:val="24"/>
          <w:szCs w:val="24"/>
          <w:highlight w:val="none"/>
        </w:rPr>
      </w:pPr>
      <w:bookmarkStart w:id="356" w:name="_Toc4743"/>
      <w:r>
        <w:rPr>
          <w:rFonts w:hint="eastAsia" w:ascii="宋体" w:hAnsi="宋体" w:eastAsia="宋体"/>
          <w:color w:val="auto"/>
          <w:sz w:val="24"/>
          <w:szCs w:val="24"/>
          <w:highlight w:val="none"/>
        </w:rPr>
        <w:t xml:space="preserve">4. </w:t>
      </w:r>
      <w:bookmarkEnd w:id="351"/>
      <w:bookmarkEnd w:id="352"/>
      <w:bookmarkEnd w:id="353"/>
      <w:bookmarkEnd w:id="354"/>
      <w:r>
        <w:rPr>
          <w:rFonts w:hint="eastAsia" w:ascii="宋体" w:hAnsi="宋体" w:eastAsia="宋体"/>
          <w:color w:val="auto"/>
          <w:sz w:val="24"/>
          <w:szCs w:val="24"/>
          <w:highlight w:val="none"/>
        </w:rPr>
        <w:t>磋商</w:t>
      </w:r>
      <w:bookmarkEnd w:id="355"/>
      <w:bookmarkEnd w:id="356"/>
    </w:p>
    <w:p w14:paraId="21D187E4">
      <w:pPr>
        <w:pStyle w:val="154"/>
        <w:spacing w:line="360" w:lineRule="auto"/>
        <w:rPr>
          <w:rFonts w:ascii="宋体" w:hAnsi="宋体" w:eastAsia="宋体"/>
          <w:color w:val="auto"/>
          <w:szCs w:val="24"/>
          <w:highlight w:val="none"/>
        </w:rPr>
      </w:pPr>
      <w:bookmarkStart w:id="357" w:name="_Toc318450699"/>
      <w:bookmarkStart w:id="358" w:name="_Toc16783"/>
      <w:bookmarkStart w:id="359" w:name="_Toc490667852"/>
      <w:bookmarkStart w:id="360" w:name="_Toc16344"/>
      <w:bookmarkStart w:id="361" w:name="_Toc16962"/>
      <w:bookmarkStart w:id="362" w:name="_Toc455080132"/>
      <w:bookmarkStart w:id="363" w:name="_Toc11243"/>
      <w:bookmarkStart w:id="364" w:name="_Toc152045556"/>
      <w:bookmarkStart w:id="365" w:name="_Toc26550"/>
      <w:bookmarkStart w:id="366" w:name="_Toc455867792"/>
      <w:bookmarkStart w:id="367" w:name="_Toc509667283"/>
      <w:bookmarkStart w:id="368" w:name="_Toc144974524"/>
      <w:bookmarkStart w:id="369" w:name="_Toc466298115"/>
      <w:bookmarkStart w:id="370" w:name="_Toc152042332"/>
      <w:bookmarkStart w:id="371" w:name="_Toc31492"/>
      <w:r>
        <w:rPr>
          <w:rFonts w:hint="eastAsia" w:ascii="宋体" w:hAnsi="宋体" w:eastAsia="宋体"/>
          <w:color w:val="auto"/>
          <w:szCs w:val="24"/>
          <w:highlight w:val="none"/>
        </w:rPr>
        <w:t>4.1 响应文件的密封和标记</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1BDA126D">
      <w:pPr>
        <w:spacing w:line="360" w:lineRule="auto"/>
        <w:ind w:firstLine="480" w:firstLineChars="200"/>
        <w:rPr>
          <w:rFonts w:hint="eastAsia" w:ascii="宋体" w:hAnsi="宋体" w:cs="宋体"/>
          <w:color w:val="auto"/>
          <w:sz w:val="24"/>
          <w:highlight w:val="none"/>
        </w:rPr>
      </w:pPr>
      <w:bookmarkStart w:id="372" w:name="_Toc455080133"/>
      <w:bookmarkStart w:id="373" w:name="_Toc152042333"/>
      <w:bookmarkStart w:id="374" w:name="_Toc455867793"/>
      <w:bookmarkStart w:id="375" w:name="_Toc509667284"/>
      <w:bookmarkStart w:id="376" w:name="_Toc466298116"/>
      <w:bookmarkStart w:id="377" w:name="_Toc462"/>
      <w:bookmarkStart w:id="378" w:name="_Toc152045557"/>
      <w:bookmarkStart w:id="379" w:name="_Toc27132"/>
      <w:bookmarkStart w:id="380" w:name="_Toc490667853"/>
      <w:bookmarkStart w:id="381" w:name="_Toc318450700"/>
      <w:bookmarkStart w:id="382" w:name="_Toc28272"/>
      <w:bookmarkStart w:id="383" w:name="_Toc16832"/>
      <w:bookmarkStart w:id="384" w:name="_Toc8754"/>
      <w:bookmarkStart w:id="385" w:name="_Toc21072"/>
      <w:bookmarkStart w:id="386" w:name="_Toc144974525"/>
      <w:r>
        <w:rPr>
          <w:rFonts w:hint="eastAsia" w:ascii="宋体" w:hAnsi="宋体" w:cs="宋体"/>
          <w:color w:val="auto"/>
          <w:sz w:val="24"/>
          <w:highlight w:val="none"/>
        </w:rPr>
        <w:t>4.1.1签字或盖章的具体要求见供应商须知前附表。供应商应当按照磋商文件和电子化交易系统的要求加密响应文件，具体要求见供应商须知前附表。</w:t>
      </w:r>
    </w:p>
    <w:p w14:paraId="57A46B6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4.1.2 未按本章第4.1.1项要求加密和盖章的响应文件，电子化交易系统将予以拒收。</w:t>
      </w:r>
    </w:p>
    <w:p w14:paraId="0AA17C2B">
      <w:pPr>
        <w:pStyle w:val="154"/>
        <w:spacing w:line="360" w:lineRule="auto"/>
        <w:rPr>
          <w:rFonts w:ascii="宋体" w:hAnsi="宋体" w:eastAsia="宋体"/>
          <w:color w:val="auto"/>
          <w:szCs w:val="24"/>
          <w:highlight w:val="none"/>
        </w:rPr>
      </w:pPr>
      <w:r>
        <w:rPr>
          <w:rFonts w:hint="eastAsia" w:ascii="宋体" w:hAnsi="宋体" w:eastAsia="宋体"/>
          <w:color w:val="auto"/>
          <w:szCs w:val="24"/>
          <w:highlight w:val="none"/>
        </w:rPr>
        <w:t>4.2 响应文件的递交</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7810D36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4.2.1 供应商应在本章第2.2.2项规定的磋商截止时间前递交响应文件。</w:t>
      </w:r>
    </w:p>
    <w:p w14:paraId="5C329CD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4.2.2 供应商递交响应文件的地点：见供应商须知前附表。</w:t>
      </w:r>
    </w:p>
    <w:p w14:paraId="2B734B8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4.2.3 除供应商须知前附表另有规定外，供应商所递交的响应文件不予退还。</w:t>
      </w:r>
    </w:p>
    <w:p w14:paraId="2D0BF06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4.2.4 采购人收到响应文件后，向供应商出具签收凭证。</w:t>
      </w:r>
    </w:p>
    <w:p w14:paraId="5E43C3E4">
      <w:pPr>
        <w:spacing w:line="360" w:lineRule="auto"/>
        <w:ind w:firstLine="480" w:firstLineChars="200"/>
        <w:rPr>
          <w:rFonts w:ascii="宋体" w:hAnsi="宋体" w:cs="宋体"/>
          <w:color w:val="auto"/>
          <w:sz w:val="24"/>
          <w:highlight w:val="none"/>
        </w:rPr>
      </w:pPr>
      <w:bookmarkStart w:id="387" w:name="_Toc152042334"/>
      <w:bookmarkStart w:id="388" w:name="_Toc509667285"/>
      <w:bookmarkStart w:id="389" w:name="_Toc318450701"/>
      <w:bookmarkStart w:id="390" w:name="_Toc455080134"/>
      <w:bookmarkStart w:id="391" w:name="_Toc30860"/>
      <w:bookmarkStart w:id="392" w:name="_Toc20281"/>
      <w:bookmarkStart w:id="393" w:name="_Toc2952"/>
      <w:bookmarkStart w:id="394" w:name="_Toc5102"/>
      <w:bookmarkStart w:id="395" w:name="_Toc466298117"/>
      <w:bookmarkStart w:id="396" w:name="_Toc21890"/>
      <w:bookmarkStart w:id="397" w:name="_Toc144974526"/>
      <w:bookmarkStart w:id="398" w:name="_Toc26684"/>
      <w:bookmarkStart w:id="399" w:name="_Toc490667854"/>
      <w:bookmarkStart w:id="400" w:name="_Toc455867794"/>
      <w:bookmarkStart w:id="401" w:name="_Toc152045558"/>
      <w:r>
        <w:rPr>
          <w:rFonts w:hint="eastAsia" w:ascii="宋体" w:hAnsi="宋体" w:cs="宋体"/>
          <w:color w:val="auto"/>
          <w:sz w:val="24"/>
          <w:highlight w:val="none"/>
          <w:lang w:val="en-US" w:eastAsia="zh-CN"/>
        </w:rPr>
        <w:t xml:space="preserve">4.2.5 </w:t>
      </w:r>
      <w:r>
        <w:rPr>
          <w:rFonts w:hint="eastAsia" w:ascii="宋体" w:hAnsi="宋体" w:cs="宋体"/>
          <w:color w:val="auto"/>
          <w:sz w:val="24"/>
          <w:highlight w:val="none"/>
        </w:rPr>
        <w:t>逾期提交的响应文件或未按规定加密的响应文件，电子化交易系统将予以拒收。</w:t>
      </w:r>
    </w:p>
    <w:p w14:paraId="4FD7D23D">
      <w:pPr>
        <w:pStyle w:val="154"/>
        <w:spacing w:line="360" w:lineRule="auto"/>
        <w:rPr>
          <w:rFonts w:ascii="宋体" w:hAnsi="宋体" w:eastAsia="宋体"/>
          <w:color w:val="auto"/>
          <w:szCs w:val="24"/>
          <w:highlight w:val="none"/>
        </w:rPr>
      </w:pPr>
      <w:r>
        <w:rPr>
          <w:rFonts w:hint="eastAsia" w:ascii="宋体" w:hAnsi="宋体" w:eastAsia="宋体"/>
          <w:color w:val="auto"/>
          <w:szCs w:val="24"/>
          <w:highlight w:val="none"/>
        </w:rPr>
        <w:t>4.3 响应文件的修改与撤回</w:t>
      </w:r>
    </w:p>
    <w:p w14:paraId="37C86D3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4.3.1 在本章供应商须知前附表规定的投标截止时间前，供应商可以修改或撤回已递交的响应文件，但应以书面形式通知采购人。</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3E2C79A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4.3.2供应商在响应性文件接收截止时间后不得修改、撤回响应性文件。供应商在响应性文件接收截止时间后修改响应性文件的，将被拒绝。</w:t>
      </w:r>
    </w:p>
    <w:p w14:paraId="63C28C50">
      <w:pPr>
        <w:pStyle w:val="168"/>
        <w:spacing w:line="360" w:lineRule="auto"/>
        <w:rPr>
          <w:rFonts w:ascii="宋体" w:hAnsi="宋体" w:eastAsia="宋体"/>
          <w:color w:val="auto"/>
          <w:sz w:val="24"/>
          <w:szCs w:val="24"/>
          <w:highlight w:val="none"/>
        </w:rPr>
      </w:pPr>
      <w:bookmarkStart w:id="402" w:name="_Toc152042335"/>
      <w:bookmarkStart w:id="403" w:name="_Toc152045559"/>
      <w:bookmarkStart w:id="404" w:name="_Toc144974527"/>
      <w:bookmarkStart w:id="405" w:name="_Toc509667286"/>
      <w:bookmarkStart w:id="406" w:name="_Toc455080135"/>
      <w:bookmarkStart w:id="407" w:name="_Toc7351"/>
      <w:r>
        <w:rPr>
          <w:rFonts w:hint="eastAsia" w:ascii="宋体" w:hAnsi="宋体" w:eastAsia="宋体"/>
          <w:color w:val="auto"/>
          <w:sz w:val="24"/>
          <w:szCs w:val="24"/>
          <w:highlight w:val="none"/>
        </w:rPr>
        <w:t xml:space="preserve">5. </w:t>
      </w:r>
      <w:bookmarkEnd w:id="402"/>
      <w:bookmarkEnd w:id="403"/>
      <w:bookmarkEnd w:id="404"/>
      <w:r>
        <w:rPr>
          <w:rFonts w:hint="eastAsia" w:ascii="宋体" w:hAnsi="宋体" w:eastAsia="宋体"/>
          <w:color w:val="auto"/>
          <w:sz w:val="24"/>
          <w:szCs w:val="24"/>
          <w:highlight w:val="none"/>
        </w:rPr>
        <w:t>磋商开始</w:t>
      </w:r>
      <w:bookmarkEnd w:id="405"/>
      <w:bookmarkEnd w:id="406"/>
      <w:bookmarkEnd w:id="407"/>
    </w:p>
    <w:p w14:paraId="3FF941AE">
      <w:pPr>
        <w:pStyle w:val="154"/>
        <w:spacing w:line="360" w:lineRule="auto"/>
        <w:rPr>
          <w:rFonts w:ascii="宋体" w:hAnsi="宋体" w:eastAsia="宋体"/>
          <w:color w:val="auto"/>
          <w:szCs w:val="24"/>
          <w:highlight w:val="none"/>
        </w:rPr>
      </w:pPr>
      <w:bookmarkStart w:id="408" w:name="_Toc144974528"/>
      <w:bookmarkStart w:id="409" w:name="_Toc455080136"/>
      <w:bookmarkStart w:id="410" w:name="_Toc509667287"/>
      <w:bookmarkStart w:id="411" w:name="_Toc26426"/>
      <w:bookmarkStart w:id="412" w:name="_Toc25809"/>
      <w:bookmarkStart w:id="413" w:name="_Toc466298119"/>
      <w:bookmarkStart w:id="414" w:name="_Toc20333"/>
      <w:bookmarkStart w:id="415" w:name="_Toc152045560"/>
      <w:bookmarkStart w:id="416" w:name="_Toc318450703"/>
      <w:bookmarkStart w:id="417" w:name="_Toc490667856"/>
      <w:bookmarkStart w:id="418" w:name="_Toc14"/>
      <w:bookmarkStart w:id="419" w:name="_Toc25533"/>
      <w:bookmarkStart w:id="420" w:name="_Toc455867796"/>
      <w:bookmarkStart w:id="421" w:name="_Toc9969"/>
      <w:bookmarkStart w:id="422" w:name="_Toc152042336"/>
      <w:r>
        <w:rPr>
          <w:rFonts w:hint="eastAsia" w:ascii="宋体" w:hAnsi="宋体" w:eastAsia="宋体"/>
          <w:color w:val="auto"/>
          <w:szCs w:val="24"/>
          <w:highlight w:val="none"/>
        </w:rPr>
        <w:t>5.1 磋商时间和地点</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34086610">
      <w:pPr>
        <w:spacing w:line="360" w:lineRule="auto"/>
        <w:ind w:firstLine="480"/>
        <w:rPr>
          <w:rFonts w:ascii="宋体" w:hAnsi="宋体"/>
          <w:color w:val="auto"/>
          <w:sz w:val="24"/>
          <w:highlight w:val="none"/>
        </w:rPr>
      </w:pPr>
      <w:bookmarkStart w:id="423" w:name="_Toc144974529"/>
      <w:bookmarkStart w:id="424" w:name="_Toc318450704"/>
      <w:bookmarkStart w:id="425" w:name="_Toc152042337"/>
      <w:bookmarkStart w:id="426" w:name="_Toc30965"/>
      <w:bookmarkStart w:id="427" w:name="_Toc455080137"/>
      <w:bookmarkStart w:id="428" w:name="_Toc152045561"/>
      <w:bookmarkStart w:id="429" w:name="_Toc17491"/>
      <w:bookmarkStart w:id="430" w:name="_Toc30074"/>
      <w:bookmarkStart w:id="431" w:name="_Toc3865"/>
      <w:bookmarkStart w:id="432" w:name="_Toc11148"/>
      <w:bookmarkStart w:id="433" w:name="_Toc25911"/>
      <w:r>
        <w:rPr>
          <w:rFonts w:hint="eastAsia" w:ascii="宋体" w:hAnsi="宋体" w:cs="宋体"/>
          <w:color w:val="auto"/>
          <w:sz w:val="24"/>
          <w:highlight w:val="none"/>
        </w:rPr>
        <w:t>5.1.1采购人在本章第2.2.2项规定的响应文件提交截止时间和供应商须知前附表规定的地点进行磋商，</w:t>
      </w:r>
      <w:r>
        <w:rPr>
          <w:rFonts w:hint="eastAsia" w:ascii="宋体" w:hAnsi="宋体"/>
          <w:color w:val="auto"/>
          <w:sz w:val="24"/>
          <w:highlight w:val="none"/>
        </w:rPr>
        <w:t>并邀请所有供应商代表参加竞争性磋商会议，未出席视为放弃此次磋商。</w:t>
      </w:r>
    </w:p>
    <w:p w14:paraId="721F015B">
      <w:pPr>
        <w:spacing w:line="360" w:lineRule="auto"/>
        <w:rPr>
          <w:rFonts w:ascii="宋体" w:hAnsi="宋体" w:cs="宋体"/>
          <w:b/>
          <w:color w:val="auto"/>
          <w:sz w:val="24"/>
          <w:highlight w:val="none"/>
        </w:rPr>
      </w:pPr>
      <w:r>
        <w:rPr>
          <w:rFonts w:hint="eastAsia" w:ascii="宋体" w:hAnsi="宋体" w:cs="宋体"/>
          <w:b/>
          <w:color w:val="auto"/>
          <w:sz w:val="24"/>
          <w:highlight w:val="none"/>
        </w:rPr>
        <w:t>5.2 磋商会议程序</w:t>
      </w:r>
    </w:p>
    <w:bookmarkEnd w:id="423"/>
    <w:bookmarkEnd w:id="424"/>
    <w:bookmarkEnd w:id="425"/>
    <w:bookmarkEnd w:id="426"/>
    <w:bookmarkEnd w:id="427"/>
    <w:bookmarkEnd w:id="428"/>
    <w:bookmarkEnd w:id="429"/>
    <w:bookmarkEnd w:id="430"/>
    <w:bookmarkEnd w:id="431"/>
    <w:bookmarkEnd w:id="432"/>
    <w:bookmarkEnd w:id="433"/>
    <w:p w14:paraId="1EAAA1A8">
      <w:pPr>
        <w:spacing w:line="360" w:lineRule="auto"/>
        <w:ind w:firstLine="480"/>
        <w:rPr>
          <w:rFonts w:hint="eastAsia" w:ascii="宋体" w:hAnsi="宋体" w:cs="宋体"/>
          <w:color w:val="auto"/>
          <w:sz w:val="24"/>
          <w:highlight w:val="none"/>
        </w:rPr>
      </w:pPr>
      <w:bookmarkStart w:id="434" w:name="_Toc144974530"/>
      <w:bookmarkStart w:id="435" w:name="_Toc152042338"/>
      <w:bookmarkStart w:id="436" w:name="_Toc152045562"/>
      <w:bookmarkStart w:id="437" w:name="_Toc455080138"/>
      <w:bookmarkStart w:id="438" w:name="_Toc509667289"/>
      <w:r>
        <w:rPr>
          <w:rFonts w:hint="eastAsia" w:ascii="宋体" w:hAnsi="宋体" w:cs="宋体"/>
          <w:color w:val="auto"/>
          <w:sz w:val="24"/>
          <w:highlight w:val="none"/>
          <w:lang w:val="en-US" w:eastAsia="zh-CN"/>
        </w:rPr>
        <w:t>详见供应商须知前附表</w:t>
      </w:r>
      <w:r>
        <w:rPr>
          <w:rFonts w:hint="eastAsia" w:ascii="宋体" w:hAnsi="宋体" w:cs="宋体"/>
          <w:color w:val="auto"/>
          <w:sz w:val="24"/>
          <w:highlight w:val="none"/>
        </w:rPr>
        <w:t>。</w:t>
      </w:r>
    </w:p>
    <w:p w14:paraId="28CC18D2">
      <w:pPr>
        <w:pStyle w:val="154"/>
        <w:spacing w:line="360" w:lineRule="auto"/>
        <w:rPr>
          <w:rFonts w:ascii="宋体" w:hAnsi="宋体" w:eastAsia="宋体"/>
          <w:color w:val="auto"/>
          <w:szCs w:val="24"/>
          <w:highlight w:val="none"/>
        </w:rPr>
      </w:pPr>
      <w:bookmarkStart w:id="439" w:name="_Toc509667288"/>
      <w:bookmarkStart w:id="440" w:name="_Toc490667857"/>
      <w:bookmarkStart w:id="441" w:name="_Toc466298120"/>
      <w:bookmarkStart w:id="442" w:name="_Toc455867797"/>
      <w:r>
        <w:rPr>
          <w:rFonts w:hint="eastAsia" w:ascii="宋体" w:hAnsi="宋体" w:eastAsia="宋体"/>
          <w:color w:val="auto"/>
          <w:szCs w:val="24"/>
          <w:highlight w:val="none"/>
          <w:lang w:eastAsia="zh-CN"/>
        </w:rPr>
        <w:t>5.3</w:t>
      </w:r>
      <w:r>
        <w:rPr>
          <w:rFonts w:hint="eastAsia" w:ascii="宋体" w:hAnsi="宋体" w:eastAsia="宋体"/>
          <w:color w:val="auto"/>
          <w:szCs w:val="24"/>
          <w:highlight w:val="none"/>
        </w:rPr>
        <w:t xml:space="preserve"> 磋商程序</w:t>
      </w:r>
      <w:bookmarkEnd w:id="439"/>
      <w:bookmarkEnd w:id="440"/>
      <w:bookmarkEnd w:id="441"/>
      <w:bookmarkEnd w:id="442"/>
    </w:p>
    <w:p w14:paraId="7EDB093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5.3</w:t>
      </w:r>
      <w:r>
        <w:rPr>
          <w:rFonts w:hint="eastAsia" w:ascii="宋体" w:hAnsi="宋体" w:cs="宋体"/>
          <w:color w:val="auto"/>
          <w:sz w:val="24"/>
          <w:highlight w:val="none"/>
        </w:rPr>
        <w:t>.1磋商小组对磋商文件进行熟悉确认。</w:t>
      </w:r>
    </w:p>
    <w:p w14:paraId="354ED3E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5.3</w:t>
      </w:r>
      <w:r>
        <w:rPr>
          <w:rFonts w:hint="eastAsia" w:ascii="宋体" w:hAnsi="宋体" w:cs="宋体"/>
          <w:color w:val="auto"/>
          <w:sz w:val="24"/>
          <w:highlight w:val="none"/>
        </w:rPr>
        <w:t>.2磋商小组推选组长，讨论、通过磋商工作流程和磋商要点。</w:t>
      </w:r>
    </w:p>
    <w:p w14:paraId="38DAE7E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5.3</w:t>
      </w:r>
      <w:r>
        <w:rPr>
          <w:rFonts w:hint="eastAsia" w:ascii="宋体" w:hAnsi="宋体" w:cs="宋体"/>
          <w:color w:val="auto"/>
          <w:sz w:val="24"/>
          <w:highlight w:val="none"/>
        </w:rPr>
        <w:t>.3资格评审审查：磋商开始后，磋商小组依据磋商文件规定，对通过各供应商进行审查，以确定磋商供应商是否具备参与磋商的资格。</w:t>
      </w:r>
    </w:p>
    <w:p w14:paraId="3A550524">
      <w:pPr>
        <w:spacing w:line="360" w:lineRule="auto"/>
        <w:ind w:left="420" w:leftChars="200" w:firstLine="60" w:firstLineChars="25"/>
        <w:rPr>
          <w:rFonts w:ascii="宋体" w:hAnsi="宋体" w:cs="宋体"/>
          <w:color w:val="auto"/>
          <w:sz w:val="24"/>
          <w:highlight w:val="none"/>
        </w:rPr>
      </w:pPr>
      <w:r>
        <w:rPr>
          <w:rFonts w:hint="eastAsia" w:ascii="宋体" w:hAnsi="宋体" w:cs="宋体"/>
          <w:color w:val="auto"/>
          <w:sz w:val="24"/>
          <w:highlight w:val="none"/>
          <w:lang w:eastAsia="zh-CN"/>
        </w:rPr>
        <w:t>5.3</w:t>
      </w:r>
      <w:r>
        <w:rPr>
          <w:rFonts w:hint="eastAsia" w:ascii="宋体" w:hAnsi="宋体" w:cs="宋体"/>
          <w:color w:val="auto"/>
          <w:sz w:val="24"/>
          <w:highlight w:val="none"/>
        </w:rPr>
        <w:t>.4符合性评审审查：磋商开始后，磋商小组依据磋商文件规定，对通过资格评审的供应商进行审查，以确定磋商供应商是否具备参与磋商的资格。</w:t>
      </w:r>
    </w:p>
    <w:p w14:paraId="17607B92">
      <w:pPr>
        <w:spacing w:line="360" w:lineRule="auto"/>
        <w:ind w:left="420" w:leftChars="200" w:firstLine="60" w:firstLineChars="25"/>
        <w:rPr>
          <w:rFonts w:ascii="宋体" w:hAnsi="宋体" w:cs="宋体"/>
          <w:color w:val="auto"/>
          <w:sz w:val="24"/>
          <w:highlight w:val="none"/>
        </w:rPr>
      </w:pPr>
      <w:r>
        <w:rPr>
          <w:rFonts w:hint="eastAsia" w:ascii="宋体" w:hAnsi="宋体" w:cs="宋体"/>
          <w:color w:val="auto"/>
          <w:sz w:val="24"/>
          <w:highlight w:val="none"/>
          <w:lang w:eastAsia="zh-CN"/>
        </w:rPr>
        <w:t>5.3</w:t>
      </w:r>
      <w:r>
        <w:rPr>
          <w:rFonts w:hint="eastAsia" w:ascii="宋体" w:hAnsi="宋体" w:cs="宋体"/>
          <w:color w:val="auto"/>
          <w:sz w:val="24"/>
          <w:highlight w:val="none"/>
        </w:rPr>
        <w:t>.5磋商小组对通过资格性和符合性审查的响应文件进行评估，确定与各竞标人磋商的具体内容。</w:t>
      </w:r>
    </w:p>
    <w:p w14:paraId="50CD0A5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5.3</w:t>
      </w:r>
      <w:r>
        <w:rPr>
          <w:rFonts w:hint="eastAsia" w:ascii="宋体" w:hAnsi="宋体" w:cs="宋体"/>
          <w:color w:val="auto"/>
          <w:sz w:val="24"/>
          <w:highlight w:val="none"/>
        </w:rPr>
        <w:t>.6、围绕磋商要点，磋商小组全体成员集中与单一供应商分别进行磋商。按各供应商递交响应文件的顺序进行磋商。</w:t>
      </w:r>
    </w:p>
    <w:p w14:paraId="53FE207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5.3</w:t>
      </w:r>
      <w:r>
        <w:rPr>
          <w:rFonts w:hint="eastAsia" w:ascii="宋体" w:hAnsi="宋体" w:cs="宋体"/>
          <w:color w:val="auto"/>
          <w:sz w:val="24"/>
          <w:highlight w:val="none"/>
        </w:rPr>
        <w:t>.7磋商过程中，磋商小组可以根据磋商情况实质性变动采购需求中的技术、服务要求以及合同草案条款，但不得变动磋商文件中的其他内容。实质性变动的内容需经采购人(业主)代表确认。并以书面形式通知所有参加磋商的供应商，该变动是磋商文件的有效组成部分。供应商应当按照磋商文件的变动情况和磋商小组的要求重新提交响应文件并由其法定代表人或其授权代表签字或者加盖公章。由授权代表签字的应当附法定代表人授权书。供应商为自然人的应当由本人签字并附身份证。供应商应根据磋商小组的要求，以书面形式在规定时间内做出响应，未做出响应的响应文件将被视为无效竞标。若磋商小组没有实质性变动采购需求中的技术、服务要求以及合同草案条款，则供应商的最终报价不得高于首次报价，否则按废标处理。</w:t>
      </w:r>
    </w:p>
    <w:p w14:paraId="3BFD26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5.3</w:t>
      </w:r>
      <w:r>
        <w:rPr>
          <w:rFonts w:hint="eastAsia" w:ascii="宋体" w:hAnsi="宋体" w:cs="宋体"/>
          <w:color w:val="auto"/>
          <w:sz w:val="24"/>
          <w:highlight w:val="none"/>
        </w:rPr>
        <w:t>.8磋商小组对符合采购需求的供应商进行两轮报价；供应商只有通过资格评审、符合性评审后方可进入下一轮报价，在规定的时间内同时提交报价，最终报价不得超过响应文件中报价。</w:t>
      </w:r>
    </w:p>
    <w:p w14:paraId="541E07D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5.3</w:t>
      </w:r>
      <w:r>
        <w:rPr>
          <w:rFonts w:hint="eastAsia" w:ascii="宋体" w:hAnsi="宋体" w:cs="宋体"/>
          <w:color w:val="auto"/>
          <w:sz w:val="24"/>
          <w:highlight w:val="none"/>
        </w:rPr>
        <w:t>.9经磋商确定最终采购需求和提交最后报价的竞争性磋商响应单位后，由磋商小组采用综合评分法对提交最后报价的竞争性磋商响应单位的响应文件和最后报价进行综合评分，最终得分从高到低的顺序确定成交人。</w:t>
      </w:r>
    </w:p>
    <w:p w14:paraId="0BE68F9B">
      <w:pPr>
        <w:pStyle w:val="168"/>
        <w:spacing w:line="360" w:lineRule="auto"/>
        <w:rPr>
          <w:rFonts w:ascii="宋体" w:hAnsi="宋体" w:eastAsia="宋体"/>
          <w:color w:val="auto"/>
          <w:sz w:val="24"/>
          <w:szCs w:val="24"/>
          <w:highlight w:val="none"/>
        </w:rPr>
      </w:pPr>
      <w:bookmarkStart w:id="443" w:name="_Toc21849"/>
      <w:r>
        <w:rPr>
          <w:rFonts w:hint="eastAsia" w:ascii="宋体" w:hAnsi="宋体" w:eastAsia="宋体"/>
          <w:color w:val="auto"/>
          <w:sz w:val="24"/>
          <w:szCs w:val="24"/>
          <w:highlight w:val="none"/>
        </w:rPr>
        <w:t xml:space="preserve">6. </w:t>
      </w:r>
      <w:bookmarkEnd w:id="434"/>
      <w:bookmarkEnd w:id="435"/>
      <w:bookmarkEnd w:id="436"/>
      <w:r>
        <w:rPr>
          <w:rFonts w:hint="eastAsia" w:ascii="宋体" w:hAnsi="宋体" w:eastAsia="宋体"/>
          <w:color w:val="auto"/>
          <w:sz w:val="24"/>
          <w:szCs w:val="24"/>
          <w:highlight w:val="none"/>
        </w:rPr>
        <w:t>磋商</w:t>
      </w:r>
      <w:bookmarkEnd w:id="437"/>
      <w:r>
        <w:rPr>
          <w:rFonts w:hint="eastAsia" w:ascii="宋体" w:hAnsi="宋体" w:eastAsia="宋体"/>
          <w:color w:val="auto"/>
          <w:sz w:val="24"/>
          <w:szCs w:val="24"/>
          <w:highlight w:val="none"/>
        </w:rPr>
        <w:t>小组</w:t>
      </w:r>
      <w:bookmarkEnd w:id="438"/>
      <w:bookmarkEnd w:id="443"/>
    </w:p>
    <w:p w14:paraId="78C0A2D3">
      <w:pPr>
        <w:pStyle w:val="154"/>
        <w:spacing w:line="360" w:lineRule="auto"/>
        <w:rPr>
          <w:rFonts w:ascii="宋体" w:hAnsi="宋体" w:eastAsia="宋体"/>
          <w:color w:val="auto"/>
          <w:szCs w:val="24"/>
          <w:highlight w:val="none"/>
        </w:rPr>
      </w:pPr>
      <w:bookmarkStart w:id="444" w:name="_Toc152042339"/>
      <w:bookmarkStart w:id="445" w:name="_Toc152045563"/>
      <w:bookmarkStart w:id="446" w:name="_Toc318450706"/>
      <w:bookmarkStart w:id="447" w:name="_Toc26098"/>
      <w:bookmarkStart w:id="448" w:name="_Toc22250"/>
      <w:bookmarkStart w:id="449" w:name="_Toc144974531"/>
      <w:bookmarkStart w:id="450" w:name="_Toc9808"/>
      <w:bookmarkStart w:id="451" w:name="_Toc490667859"/>
      <w:bookmarkStart w:id="452" w:name="_Toc455080139"/>
      <w:bookmarkStart w:id="453" w:name="_Toc1574"/>
      <w:bookmarkStart w:id="454" w:name="_Toc1546"/>
      <w:bookmarkStart w:id="455" w:name="_Toc455867799"/>
      <w:bookmarkStart w:id="456" w:name="_Toc466298122"/>
      <w:bookmarkStart w:id="457" w:name="_Toc509667290"/>
      <w:bookmarkStart w:id="458" w:name="_Toc18985"/>
      <w:r>
        <w:rPr>
          <w:rFonts w:hint="eastAsia" w:ascii="宋体" w:hAnsi="宋体" w:eastAsia="宋体"/>
          <w:color w:val="auto"/>
          <w:szCs w:val="24"/>
          <w:highlight w:val="none"/>
        </w:rPr>
        <w:t xml:space="preserve">6.1 </w:t>
      </w:r>
      <w:bookmarkEnd w:id="444"/>
      <w:bookmarkEnd w:id="445"/>
      <w:bookmarkEnd w:id="446"/>
      <w:bookmarkEnd w:id="447"/>
      <w:bookmarkEnd w:id="448"/>
      <w:bookmarkEnd w:id="449"/>
      <w:bookmarkEnd w:id="450"/>
      <w:r>
        <w:rPr>
          <w:rFonts w:hint="eastAsia" w:ascii="宋体" w:hAnsi="宋体" w:eastAsia="宋体"/>
          <w:color w:val="auto"/>
          <w:szCs w:val="24"/>
          <w:highlight w:val="none"/>
        </w:rPr>
        <w:t>磋商小组</w:t>
      </w:r>
      <w:bookmarkEnd w:id="451"/>
      <w:bookmarkEnd w:id="452"/>
      <w:bookmarkEnd w:id="453"/>
      <w:bookmarkEnd w:id="454"/>
      <w:bookmarkEnd w:id="455"/>
      <w:bookmarkEnd w:id="456"/>
      <w:bookmarkEnd w:id="457"/>
      <w:bookmarkEnd w:id="458"/>
    </w:p>
    <w:p w14:paraId="2508E9B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磋商由采购人依法组建的磋商小组负责。磋商小组由采购人代表以及有关技术、经济等方面的专家组成。磋商小组成员人数以及技术、经济等方面专家的确定方式见供应商须知前附表。</w:t>
      </w:r>
    </w:p>
    <w:p w14:paraId="52099D15">
      <w:pPr>
        <w:pStyle w:val="154"/>
        <w:tabs>
          <w:tab w:val="left" w:pos="2620"/>
        </w:tabs>
        <w:spacing w:line="360" w:lineRule="auto"/>
        <w:rPr>
          <w:rFonts w:ascii="宋体" w:hAnsi="宋体" w:eastAsia="宋体"/>
          <w:color w:val="auto"/>
          <w:szCs w:val="24"/>
          <w:highlight w:val="none"/>
        </w:rPr>
      </w:pPr>
      <w:bookmarkStart w:id="459" w:name="_Toc466298123"/>
      <w:bookmarkStart w:id="460" w:name="_Toc4435"/>
      <w:bookmarkStart w:id="461" w:name="_Toc455080140"/>
      <w:bookmarkStart w:id="462" w:name="_Toc144974532"/>
      <w:bookmarkStart w:id="463" w:name="_Toc152042340"/>
      <w:bookmarkStart w:id="464" w:name="_Toc152045564"/>
      <w:bookmarkStart w:id="465" w:name="_Toc25721"/>
      <w:bookmarkStart w:id="466" w:name="_Toc8248"/>
      <w:bookmarkStart w:id="467" w:name="_Toc22143"/>
      <w:bookmarkStart w:id="468" w:name="_Toc318450707"/>
      <w:bookmarkStart w:id="469" w:name="_Toc21102"/>
      <w:bookmarkStart w:id="470" w:name="_Toc455867800"/>
      <w:bookmarkStart w:id="471" w:name="_Toc490667860"/>
      <w:bookmarkStart w:id="472" w:name="_Toc8240"/>
      <w:bookmarkStart w:id="473" w:name="_Toc509667291"/>
      <w:r>
        <w:rPr>
          <w:rFonts w:hint="eastAsia" w:ascii="宋体" w:hAnsi="宋体" w:eastAsia="宋体"/>
          <w:color w:val="auto"/>
          <w:szCs w:val="24"/>
          <w:highlight w:val="none"/>
        </w:rPr>
        <w:t>6.2 磋商原则</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579C354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磋商活动遵循公平、公正、科学和择优的原则。</w:t>
      </w:r>
    </w:p>
    <w:p w14:paraId="59DACF3D">
      <w:pPr>
        <w:pStyle w:val="154"/>
        <w:spacing w:line="360" w:lineRule="auto"/>
        <w:rPr>
          <w:rFonts w:ascii="宋体" w:hAnsi="宋体" w:eastAsia="宋体"/>
          <w:color w:val="auto"/>
          <w:szCs w:val="24"/>
          <w:highlight w:val="none"/>
        </w:rPr>
      </w:pPr>
      <w:bookmarkStart w:id="474" w:name="_Toc152042341"/>
      <w:bookmarkStart w:id="475" w:name="_Toc8705"/>
      <w:bookmarkStart w:id="476" w:name="_Toc16725"/>
      <w:bookmarkStart w:id="477" w:name="_Toc144974533"/>
      <w:bookmarkStart w:id="478" w:name="_Toc152045565"/>
      <w:bookmarkStart w:id="479" w:name="_Toc318450708"/>
      <w:bookmarkStart w:id="480" w:name="_Toc15595"/>
      <w:bookmarkStart w:id="481" w:name="_Toc27036"/>
      <w:bookmarkStart w:id="482" w:name="_Toc509667292"/>
      <w:bookmarkStart w:id="483" w:name="_Toc455867801"/>
      <w:bookmarkStart w:id="484" w:name="_Toc24358"/>
      <w:bookmarkStart w:id="485" w:name="_Toc466298124"/>
      <w:bookmarkStart w:id="486" w:name="_Toc18756"/>
      <w:bookmarkStart w:id="487" w:name="_Toc455080141"/>
      <w:bookmarkStart w:id="488" w:name="_Toc490667861"/>
      <w:r>
        <w:rPr>
          <w:rFonts w:hint="eastAsia" w:ascii="宋体" w:hAnsi="宋体" w:eastAsia="宋体"/>
          <w:color w:val="auto"/>
          <w:szCs w:val="24"/>
          <w:highlight w:val="none"/>
        </w:rPr>
        <w:t xml:space="preserve">6.3 </w:t>
      </w:r>
      <w:bookmarkEnd w:id="474"/>
      <w:bookmarkEnd w:id="475"/>
      <w:bookmarkEnd w:id="476"/>
      <w:bookmarkEnd w:id="477"/>
      <w:bookmarkEnd w:id="478"/>
      <w:bookmarkEnd w:id="479"/>
      <w:bookmarkEnd w:id="480"/>
      <w:r>
        <w:rPr>
          <w:rFonts w:hint="eastAsia" w:ascii="宋体" w:hAnsi="宋体" w:eastAsia="宋体"/>
          <w:color w:val="auto"/>
          <w:szCs w:val="24"/>
          <w:highlight w:val="none"/>
        </w:rPr>
        <w:t>磋商</w:t>
      </w:r>
      <w:bookmarkEnd w:id="481"/>
      <w:bookmarkEnd w:id="482"/>
      <w:bookmarkEnd w:id="483"/>
      <w:bookmarkEnd w:id="484"/>
      <w:bookmarkEnd w:id="485"/>
      <w:bookmarkEnd w:id="486"/>
      <w:bookmarkEnd w:id="487"/>
      <w:bookmarkEnd w:id="488"/>
    </w:p>
    <w:p w14:paraId="1957E751">
      <w:pPr>
        <w:pStyle w:val="154"/>
        <w:spacing w:line="360" w:lineRule="auto"/>
        <w:ind w:firstLine="480" w:firstLineChars="200"/>
        <w:outlineLvl w:val="9"/>
        <w:rPr>
          <w:rFonts w:ascii="宋体" w:hAnsi="宋体" w:eastAsia="宋体"/>
          <w:color w:val="auto"/>
          <w:szCs w:val="24"/>
          <w:highlight w:val="none"/>
        </w:rPr>
      </w:pPr>
      <w:r>
        <w:rPr>
          <w:rFonts w:hint="eastAsia" w:ascii="宋体" w:hAnsi="宋体" w:eastAsia="宋体"/>
          <w:color w:val="auto"/>
          <w:szCs w:val="24"/>
          <w:highlight w:val="none"/>
        </w:rPr>
        <w:t>磋商小组按照第三章“评审办法”规定的方法、评审因素、标准和程序对响应文件进行评审。第三章“评审办法”没有规定的方法、评审因素和标准，不作为评标依据。</w:t>
      </w:r>
    </w:p>
    <w:p w14:paraId="00AE6173">
      <w:pPr>
        <w:pStyle w:val="168"/>
        <w:spacing w:line="360" w:lineRule="auto"/>
        <w:rPr>
          <w:rFonts w:ascii="宋体" w:hAnsi="宋体" w:eastAsia="宋体"/>
          <w:color w:val="auto"/>
          <w:sz w:val="24"/>
          <w:szCs w:val="24"/>
          <w:highlight w:val="none"/>
        </w:rPr>
      </w:pPr>
      <w:bookmarkStart w:id="489" w:name="_Toc509667293"/>
      <w:bookmarkStart w:id="490" w:name="_Toc144974534"/>
      <w:bookmarkStart w:id="491" w:name="_Toc455080142"/>
      <w:bookmarkStart w:id="492" w:name="_Toc152045566"/>
      <w:bookmarkStart w:id="493" w:name="_Toc152042342"/>
      <w:bookmarkStart w:id="494" w:name="_Toc1166"/>
      <w:r>
        <w:rPr>
          <w:rFonts w:hint="eastAsia" w:ascii="宋体" w:hAnsi="宋体" w:eastAsia="宋体"/>
          <w:color w:val="auto"/>
          <w:sz w:val="24"/>
          <w:szCs w:val="24"/>
          <w:highlight w:val="none"/>
        </w:rPr>
        <w:t>7. 合同授予</w:t>
      </w:r>
      <w:bookmarkEnd w:id="489"/>
      <w:bookmarkEnd w:id="490"/>
      <w:bookmarkEnd w:id="491"/>
      <w:bookmarkEnd w:id="492"/>
      <w:bookmarkEnd w:id="493"/>
      <w:bookmarkEnd w:id="494"/>
    </w:p>
    <w:p w14:paraId="5B459EB9">
      <w:pPr>
        <w:pStyle w:val="154"/>
        <w:spacing w:line="360" w:lineRule="auto"/>
        <w:rPr>
          <w:rFonts w:ascii="宋体" w:hAnsi="宋体" w:eastAsia="宋体"/>
          <w:color w:val="auto"/>
          <w:szCs w:val="24"/>
          <w:highlight w:val="none"/>
        </w:rPr>
      </w:pPr>
      <w:bookmarkStart w:id="495" w:name="_Toc455080143"/>
      <w:bookmarkStart w:id="496" w:name="_Toc152045567"/>
      <w:bookmarkStart w:id="497" w:name="_Toc152042343"/>
      <w:bookmarkStart w:id="498" w:name="_Toc466298126"/>
      <w:bookmarkStart w:id="499" w:name="_Toc318450710"/>
      <w:bookmarkStart w:id="500" w:name="_Toc490667863"/>
      <w:bookmarkStart w:id="501" w:name="_Toc509667294"/>
      <w:bookmarkStart w:id="502" w:name="_Toc455867803"/>
      <w:bookmarkStart w:id="503" w:name="_Toc14528"/>
      <w:bookmarkStart w:id="504" w:name="_Toc11409"/>
      <w:bookmarkStart w:id="505" w:name="_Toc25316"/>
      <w:bookmarkStart w:id="506" w:name="_Toc29664"/>
      <w:bookmarkStart w:id="507" w:name="_Toc7358"/>
      <w:bookmarkStart w:id="508" w:name="_Toc28919"/>
      <w:bookmarkStart w:id="509" w:name="_Toc144974535"/>
      <w:r>
        <w:rPr>
          <w:rFonts w:hint="eastAsia" w:ascii="宋体" w:hAnsi="宋体" w:eastAsia="宋体"/>
          <w:color w:val="auto"/>
          <w:szCs w:val="24"/>
          <w:highlight w:val="none"/>
        </w:rPr>
        <w:t>7.1 定标方式</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19A983D3">
      <w:pPr>
        <w:spacing w:line="360" w:lineRule="auto"/>
        <w:ind w:firstLine="480" w:firstLineChars="200"/>
        <w:rPr>
          <w:rFonts w:ascii="宋体" w:hAnsi="宋体" w:cs="宋体"/>
          <w:color w:val="auto"/>
          <w:sz w:val="24"/>
          <w:highlight w:val="none"/>
        </w:rPr>
      </w:pPr>
      <w:bookmarkStart w:id="510" w:name="_Toc318450711"/>
      <w:bookmarkStart w:id="511" w:name="_Toc28254"/>
      <w:bookmarkStart w:id="512" w:name="_Toc10868"/>
      <w:bookmarkStart w:id="513" w:name="_Toc7066"/>
      <w:bookmarkStart w:id="514" w:name="_Toc152042344"/>
      <w:bookmarkStart w:id="515" w:name="_Toc152045568"/>
      <w:bookmarkStart w:id="516" w:name="_Toc144974536"/>
      <w:r>
        <w:rPr>
          <w:rFonts w:hint="eastAsia" w:ascii="宋体" w:hAnsi="宋体" w:cs="宋体"/>
          <w:color w:val="auto"/>
          <w:sz w:val="24"/>
          <w:highlight w:val="none"/>
        </w:rPr>
        <w:t>除供应商须知前附表规定磋商小组直接确定成交人外，采购人依据磋商小组推荐的成交候选人确定成交人，磋商小组推荐成交候选人的人数见供应商须知前附表。采购人将依序确定排名第一的供应商为成交人，若第一成交候选人放弃成交、因不可抗力不能履行合同、不按照磋商文件要求提交履约保证金，或者被查实存在影响成交结果的违法行为等情形，不符合成交条件的，采购人可以按照磋商小组提出的成交候选人名单排序依次确定其他成交候选人为成交人，也可以重新磋商。</w:t>
      </w:r>
    </w:p>
    <w:p w14:paraId="25946DA2">
      <w:pPr>
        <w:pStyle w:val="154"/>
        <w:spacing w:line="360" w:lineRule="auto"/>
        <w:rPr>
          <w:rFonts w:ascii="宋体" w:hAnsi="宋体" w:eastAsia="宋体"/>
          <w:color w:val="auto"/>
          <w:szCs w:val="24"/>
          <w:highlight w:val="none"/>
        </w:rPr>
      </w:pPr>
      <w:bookmarkStart w:id="517" w:name="_Toc5428"/>
      <w:bookmarkStart w:id="518" w:name="_Toc9897"/>
      <w:bookmarkStart w:id="519" w:name="_Toc466298127"/>
      <w:bookmarkStart w:id="520" w:name="_Toc490667864"/>
      <w:bookmarkStart w:id="521" w:name="_Toc455080144"/>
      <w:bookmarkStart w:id="522" w:name="_Toc15825"/>
      <w:bookmarkStart w:id="523" w:name="_Toc455867804"/>
      <w:bookmarkStart w:id="524" w:name="_Toc509667295"/>
      <w:r>
        <w:rPr>
          <w:rFonts w:hint="eastAsia" w:ascii="宋体" w:hAnsi="宋体" w:eastAsia="宋体"/>
          <w:color w:val="auto"/>
          <w:szCs w:val="24"/>
          <w:highlight w:val="none"/>
        </w:rPr>
        <w:t>7.2 成交通知</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690104B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在本章第3.3款规定的磋商有效期内，采购人以书面形式向成交人发出成交通知书，同时将成交结果通知未成交的供应商。</w:t>
      </w:r>
    </w:p>
    <w:p w14:paraId="7E2E5FDD">
      <w:pPr>
        <w:pStyle w:val="154"/>
        <w:spacing w:line="360" w:lineRule="auto"/>
        <w:rPr>
          <w:rFonts w:ascii="宋体" w:hAnsi="宋体" w:eastAsia="宋体"/>
          <w:color w:val="auto"/>
          <w:szCs w:val="24"/>
          <w:highlight w:val="none"/>
        </w:rPr>
      </w:pPr>
      <w:bookmarkStart w:id="525" w:name="_Toc21271"/>
      <w:bookmarkStart w:id="526" w:name="_Toc509667296"/>
      <w:bookmarkStart w:id="527" w:name="_Toc144974538"/>
      <w:bookmarkStart w:id="528" w:name="_Toc15458"/>
      <w:bookmarkStart w:id="529" w:name="_Toc152045570"/>
      <w:bookmarkStart w:id="530" w:name="_Toc24026"/>
      <w:bookmarkStart w:id="531" w:name="_Toc466298128"/>
      <w:bookmarkStart w:id="532" w:name="_Toc490667865"/>
      <w:bookmarkStart w:id="533" w:name="_Toc13147"/>
      <w:bookmarkStart w:id="534" w:name="_Toc455867805"/>
      <w:bookmarkStart w:id="535" w:name="_Toc26915"/>
      <w:bookmarkStart w:id="536" w:name="_Toc8886"/>
      <w:bookmarkStart w:id="537" w:name="_Toc152042346"/>
      <w:bookmarkStart w:id="538" w:name="_Toc455080145"/>
      <w:bookmarkStart w:id="539" w:name="_Toc318450712"/>
      <w:r>
        <w:rPr>
          <w:rFonts w:hint="eastAsia" w:ascii="宋体" w:hAnsi="宋体" w:eastAsia="宋体"/>
          <w:color w:val="auto"/>
          <w:szCs w:val="24"/>
          <w:highlight w:val="none"/>
        </w:rPr>
        <w:t>7.3 履约保证金</w:t>
      </w:r>
    </w:p>
    <w:p w14:paraId="7B5A7AE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7.3.1 在签订合同前，</w:t>
      </w:r>
      <w:r>
        <w:rPr>
          <w:rFonts w:hint="eastAsia" w:ascii="宋体" w:hAnsi="宋体" w:cs="宋体"/>
          <w:color w:val="auto"/>
          <w:sz w:val="24"/>
          <w:highlight w:val="none"/>
          <w:lang w:eastAsia="zh-CN"/>
        </w:rPr>
        <w:t>成交人</w:t>
      </w:r>
      <w:r>
        <w:rPr>
          <w:rFonts w:hint="eastAsia" w:ascii="宋体" w:hAnsi="宋体" w:cs="宋体"/>
          <w:color w:val="auto"/>
          <w:sz w:val="24"/>
          <w:highlight w:val="none"/>
        </w:rPr>
        <w:t>应按投标人须知前附表规定的形式、金额和事先经过采购人书面认可的履约保证金格式向招标人提交履约保证金。除投标人须知前附表另有规定外，履约保证金为中标合同金额的 10%。</w:t>
      </w:r>
    </w:p>
    <w:p w14:paraId="36881EF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7.3.2 </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人不能按本章第 7.3.1 项要求提交履约保证金的，视为放弃中标，给招标人造成的损失的，</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人还应当对予以赔偿。</w:t>
      </w:r>
    </w:p>
    <w:p w14:paraId="0B4F4466">
      <w:pPr>
        <w:pStyle w:val="154"/>
        <w:spacing w:line="360" w:lineRule="auto"/>
        <w:rPr>
          <w:rFonts w:ascii="宋体" w:hAnsi="宋体" w:eastAsia="宋体"/>
          <w:color w:val="auto"/>
          <w:szCs w:val="24"/>
          <w:highlight w:val="none"/>
        </w:rPr>
      </w:pPr>
      <w:r>
        <w:rPr>
          <w:rFonts w:hint="eastAsia" w:ascii="宋体" w:hAnsi="宋体" w:eastAsia="宋体"/>
          <w:color w:val="auto"/>
          <w:szCs w:val="24"/>
          <w:highlight w:val="none"/>
        </w:rPr>
        <w:t>7.4 签订合同</w:t>
      </w:r>
    </w:p>
    <w:p w14:paraId="2C12B1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7.4.1采购人和成交人应当自成交通知书发出之日起3天内，根据磋商文件和成交人的响应文件订立书面合同。成交人无正当理由拒签合同的，采购人取消其成交资格；给采购人造成的损失的，成交人还应当予以赔偿。 </w:t>
      </w:r>
    </w:p>
    <w:p w14:paraId="001F660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7.4.2 发出成交通知书后，采购人无正当理由拒签合同的，给成交人造成损失的，还应当赔偿损失。 </w:t>
      </w:r>
    </w:p>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14:paraId="69C7390B">
      <w:pPr>
        <w:pStyle w:val="168"/>
        <w:spacing w:line="360" w:lineRule="auto"/>
        <w:rPr>
          <w:rFonts w:ascii="宋体" w:hAnsi="宋体" w:eastAsia="宋体"/>
          <w:color w:val="auto"/>
          <w:sz w:val="24"/>
          <w:szCs w:val="24"/>
          <w:highlight w:val="none"/>
        </w:rPr>
      </w:pPr>
      <w:bookmarkStart w:id="540" w:name="_Toc30098"/>
      <w:bookmarkStart w:id="541" w:name="_Toc455080146"/>
      <w:bookmarkStart w:id="542" w:name="_Toc509667297"/>
      <w:bookmarkStart w:id="543" w:name="_Toc152045574"/>
      <w:bookmarkStart w:id="544" w:name="_Toc144974542"/>
      <w:bookmarkStart w:id="545" w:name="_Toc152042350"/>
      <w:r>
        <w:rPr>
          <w:rFonts w:hint="eastAsia" w:ascii="宋体" w:hAnsi="宋体" w:eastAsia="宋体"/>
          <w:color w:val="auto"/>
          <w:sz w:val="24"/>
          <w:szCs w:val="24"/>
          <w:highlight w:val="none"/>
        </w:rPr>
        <w:t>8.重新招标</w:t>
      </w:r>
      <w:bookmarkEnd w:id="540"/>
      <w:bookmarkEnd w:id="541"/>
      <w:bookmarkEnd w:id="542"/>
    </w:p>
    <w:p w14:paraId="005CE27C">
      <w:pPr>
        <w:spacing w:line="360" w:lineRule="auto"/>
        <w:ind w:firstLine="480"/>
        <w:rPr>
          <w:rFonts w:ascii="宋体" w:hAnsi="宋体" w:cs="宋体"/>
          <w:color w:val="auto"/>
          <w:sz w:val="24"/>
          <w:highlight w:val="none"/>
        </w:rPr>
      </w:pPr>
      <w:bookmarkStart w:id="546" w:name="_Toc16556"/>
      <w:r>
        <w:rPr>
          <w:rFonts w:hint="eastAsia" w:ascii="宋体" w:hAnsi="宋体" w:cs="宋体"/>
          <w:color w:val="auto"/>
          <w:sz w:val="24"/>
          <w:highlight w:val="none"/>
        </w:rPr>
        <w:t>8.1 重新招标</w:t>
      </w:r>
      <w:bookmarkEnd w:id="546"/>
    </w:p>
    <w:p w14:paraId="44394650">
      <w:pPr>
        <w:spacing w:line="360" w:lineRule="auto"/>
        <w:ind w:firstLine="480"/>
        <w:rPr>
          <w:rFonts w:ascii="宋体" w:hAnsi="宋体" w:cs="宋体"/>
          <w:color w:val="auto"/>
          <w:sz w:val="24"/>
          <w:highlight w:val="none"/>
        </w:rPr>
      </w:pPr>
      <w:bookmarkStart w:id="547" w:name="_Toc9985"/>
      <w:r>
        <w:rPr>
          <w:rFonts w:hint="eastAsia" w:ascii="宋体" w:hAnsi="宋体" w:cs="宋体"/>
          <w:color w:val="auto"/>
          <w:sz w:val="24"/>
          <w:highlight w:val="none"/>
        </w:rPr>
        <w:t>有下列情形之一的，采购人将重新招标：</w:t>
      </w:r>
      <w:bookmarkEnd w:id="547"/>
    </w:p>
    <w:p w14:paraId="5B3903A0">
      <w:pPr>
        <w:spacing w:line="360" w:lineRule="auto"/>
        <w:rPr>
          <w:rFonts w:ascii="宋体" w:hAnsi="宋体" w:cs="宋体"/>
          <w:color w:val="auto"/>
          <w:sz w:val="24"/>
          <w:highlight w:val="none"/>
        </w:rPr>
      </w:pPr>
      <w:bookmarkStart w:id="548" w:name="_Toc25063"/>
      <w:r>
        <w:rPr>
          <w:rFonts w:hint="eastAsia" w:ascii="宋体" w:hAnsi="宋体" w:cs="宋体"/>
          <w:color w:val="auto"/>
          <w:sz w:val="24"/>
          <w:highlight w:val="none"/>
        </w:rPr>
        <w:t xml:space="preserve">   （1）提交响应文件截止时间止，供应商少于3个的；</w:t>
      </w:r>
      <w:bookmarkEnd w:id="548"/>
      <w:r>
        <w:rPr>
          <w:rFonts w:hint="eastAsia" w:ascii="宋体" w:hAnsi="宋体" w:cs="宋体"/>
          <w:color w:val="auto"/>
          <w:sz w:val="24"/>
          <w:highlight w:val="none"/>
        </w:rPr>
        <w:t xml:space="preserve"> </w:t>
      </w:r>
    </w:p>
    <w:p w14:paraId="58C3231C">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bookmarkStart w:id="549" w:name="_Toc17911"/>
      <w:r>
        <w:rPr>
          <w:rFonts w:hint="eastAsia" w:ascii="宋体" w:hAnsi="宋体" w:cs="宋体"/>
          <w:color w:val="auto"/>
          <w:sz w:val="24"/>
          <w:highlight w:val="none"/>
        </w:rPr>
        <w:t>（2）经磋商小组评审后否决所有响应文件的。</w:t>
      </w:r>
      <w:bookmarkEnd w:id="549"/>
    </w:p>
    <w:p w14:paraId="62F9492D">
      <w:pPr>
        <w:pStyle w:val="168"/>
        <w:spacing w:line="360" w:lineRule="auto"/>
        <w:rPr>
          <w:rFonts w:ascii="宋体" w:hAnsi="宋体" w:eastAsia="宋体"/>
          <w:color w:val="auto"/>
          <w:sz w:val="24"/>
          <w:szCs w:val="24"/>
          <w:highlight w:val="none"/>
        </w:rPr>
      </w:pPr>
      <w:bookmarkStart w:id="550" w:name="_Toc455080147"/>
      <w:bookmarkStart w:id="551" w:name="_Toc18637"/>
      <w:bookmarkStart w:id="552" w:name="_Toc509667298"/>
      <w:r>
        <w:rPr>
          <w:rFonts w:hint="eastAsia" w:ascii="宋体" w:hAnsi="宋体" w:eastAsia="宋体"/>
          <w:color w:val="auto"/>
          <w:sz w:val="24"/>
          <w:szCs w:val="24"/>
          <w:highlight w:val="none"/>
        </w:rPr>
        <w:t>9.纪律和监督</w:t>
      </w:r>
      <w:bookmarkEnd w:id="543"/>
      <w:bookmarkEnd w:id="544"/>
      <w:bookmarkEnd w:id="545"/>
      <w:bookmarkEnd w:id="550"/>
      <w:bookmarkEnd w:id="551"/>
      <w:bookmarkEnd w:id="552"/>
    </w:p>
    <w:p w14:paraId="588D1C43">
      <w:pPr>
        <w:pStyle w:val="154"/>
        <w:spacing w:line="360" w:lineRule="auto"/>
        <w:rPr>
          <w:rFonts w:ascii="宋体" w:hAnsi="宋体" w:eastAsia="宋体"/>
          <w:color w:val="auto"/>
          <w:szCs w:val="24"/>
          <w:highlight w:val="none"/>
        </w:rPr>
      </w:pPr>
      <w:bookmarkStart w:id="553" w:name="_Toc455867808"/>
      <w:bookmarkStart w:id="554" w:name="_Toc144974543"/>
      <w:bookmarkStart w:id="555" w:name="_Toc19159"/>
      <w:bookmarkStart w:id="556" w:name="_Toc152045575"/>
      <w:bookmarkStart w:id="557" w:name="_Toc13970"/>
      <w:bookmarkStart w:id="558" w:name="_Toc1282"/>
      <w:bookmarkStart w:id="559" w:name="_Toc466298131"/>
      <w:bookmarkStart w:id="560" w:name="_Toc509667299"/>
      <w:bookmarkStart w:id="561" w:name="_Toc318450714"/>
      <w:bookmarkStart w:id="562" w:name="_Toc152042351"/>
      <w:bookmarkStart w:id="563" w:name="_Toc15592"/>
      <w:bookmarkStart w:id="564" w:name="_Toc20009"/>
      <w:bookmarkStart w:id="565" w:name="_Toc455080148"/>
      <w:bookmarkStart w:id="566" w:name="_Toc12992"/>
      <w:bookmarkStart w:id="567" w:name="_Toc490667868"/>
      <w:r>
        <w:rPr>
          <w:rFonts w:hint="eastAsia" w:ascii="宋体" w:hAnsi="宋体" w:eastAsia="宋体"/>
          <w:color w:val="auto"/>
          <w:szCs w:val="24"/>
          <w:highlight w:val="none"/>
        </w:rPr>
        <w:t>9.1 对采购人的纪律要求</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1725B91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采购人不得泄漏磋商活动中应当保密的情况和资料，不得与供应商串通损害国家利益、社会公共利益或者他人合法权益。</w:t>
      </w:r>
    </w:p>
    <w:p w14:paraId="4ACC5D05">
      <w:pPr>
        <w:pStyle w:val="154"/>
        <w:spacing w:line="360" w:lineRule="auto"/>
        <w:rPr>
          <w:rFonts w:ascii="宋体" w:hAnsi="宋体" w:eastAsia="宋体"/>
          <w:color w:val="auto"/>
          <w:szCs w:val="24"/>
          <w:highlight w:val="none"/>
        </w:rPr>
      </w:pPr>
      <w:bookmarkStart w:id="568" w:name="_Toc18604"/>
      <w:bookmarkStart w:id="569" w:name="_Toc509667300"/>
      <w:bookmarkStart w:id="570" w:name="_Toc152042352"/>
      <w:bookmarkStart w:id="571" w:name="_Toc455867809"/>
      <w:bookmarkStart w:id="572" w:name="_Toc318450715"/>
      <w:bookmarkStart w:id="573" w:name="_Toc27698"/>
      <w:bookmarkStart w:id="574" w:name="_Toc3089"/>
      <w:bookmarkStart w:id="575" w:name="_Toc490667869"/>
      <w:bookmarkStart w:id="576" w:name="_Toc7572"/>
      <w:bookmarkStart w:id="577" w:name="_Toc466298132"/>
      <w:bookmarkStart w:id="578" w:name="_Toc144974544"/>
      <w:bookmarkStart w:id="579" w:name="_Toc1743"/>
      <w:bookmarkStart w:id="580" w:name="_Toc152045576"/>
      <w:bookmarkStart w:id="581" w:name="_Toc455080149"/>
      <w:bookmarkStart w:id="582" w:name="_Toc21646"/>
      <w:r>
        <w:rPr>
          <w:rFonts w:hint="eastAsia" w:ascii="宋体" w:hAnsi="宋体" w:eastAsia="宋体"/>
          <w:color w:val="auto"/>
          <w:szCs w:val="24"/>
          <w:highlight w:val="none"/>
        </w:rPr>
        <w:t>9.2 对供应商的纪律要求</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0A30C3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供应商不得相互串通或者与采购人串通，不得向采购人或者</w:t>
      </w:r>
      <w:r>
        <w:rPr>
          <w:rFonts w:hint="eastAsia" w:ascii="宋体" w:hAnsi="宋体" w:cs="宋体"/>
          <w:color w:val="auto"/>
          <w:sz w:val="24"/>
          <w:highlight w:val="none"/>
          <w:lang w:eastAsia="zh-CN"/>
        </w:rPr>
        <w:t>磋商</w:t>
      </w:r>
      <w:r>
        <w:rPr>
          <w:rFonts w:hint="eastAsia" w:ascii="宋体" w:hAnsi="宋体" w:cs="宋体"/>
          <w:color w:val="auto"/>
          <w:sz w:val="24"/>
          <w:highlight w:val="none"/>
        </w:rPr>
        <w:t>小组行贿谋取成交，不得以他人名义或者以其他方式弄虚作假骗取成交；供应商不得以任何方式干扰、影响评审工作。</w:t>
      </w:r>
    </w:p>
    <w:p w14:paraId="7D67A5A0">
      <w:pPr>
        <w:pStyle w:val="154"/>
        <w:spacing w:line="360" w:lineRule="auto"/>
        <w:rPr>
          <w:rFonts w:ascii="宋体" w:hAnsi="宋体" w:eastAsia="宋体"/>
          <w:color w:val="auto"/>
          <w:szCs w:val="24"/>
          <w:highlight w:val="none"/>
        </w:rPr>
      </w:pPr>
      <w:bookmarkStart w:id="583" w:name="_Toc152045577"/>
      <w:bookmarkStart w:id="584" w:name="_Toc32320"/>
      <w:bookmarkStart w:id="585" w:name="_Toc28813"/>
      <w:bookmarkStart w:id="586" w:name="_Toc318450716"/>
      <w:bookmarkStart w:id="587" w:name="_Toc152042353"/>
      <w:bookmarkStart w:id="588" w:name="_Toc509667301"/>
      <w:bookmarkStart w:id="589" w:name="_Toc490667870"/>
      <w:bookmarkStart w:id="590" w:name="_Toc30153"/>
      <w:bookmarkStart w:id="591" w:name="_Toc144974545"/>
      <w:bookmarkStart w:id="592" w:name="_Toc455867810"/>
      <w:bookmarkStart w:id="593" w:name="_Toc7107"/>
      <w:bookmarkStart w:id="594" w:name="_Toc466298133"/>
      <w:bookmarkStart w:id="595" w:name="_Toc7439"/>
      <w:bookmarkStart w:id="596" w:name="_Toc25241"/>
      <w:bookmarkStart w:id="597" w:name="_Toc455080150"/>
      <w:r>
        <w:rPr>
          <w:rFonts w:hint="eastAsia" w:ascii="宋体" w:hAnsi="宋体" w:eastAsia="宋体"/>
          <w:color w:val="auto"/>
          <w:szCs w:val="24"/>
          <w:highlight w:val="none"/>
        </w:rPr>
        <w:t>9.3 对磋商小组成员的纪律要求</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205933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磋商小组成员不得收受他人的财物或者其他好处，不得向他人透漏对响应文件的评审和比较、成交候选人的推荐情况以及评标有关的其他情况。在磋商活动中，磋商小组成员不得擅离职守，影响评标程序正常进行，不得使用第三章“评审办法”没有规定的评审因素和标准进行评标。</w:t>
      </w:r>
    </w:p>
    <w:p w14:paraId="0BA7A790">
      <w:pPr>
        <w:pStyle w:val="154"/>
        <w:spacing w:line="360" w:lineRule="auto"/>
        <w:rPr>
          <w:rFonts w:ascii="宋体" w:hAnsi="宋体" w:eastAsia="宋体"/>
          <w:color w:val="auto"/>
          <w:szCs w:val="24"/>
          <w:highlight w:val="none"/>
        </w:rPr>
      </w:pPr>
      <w:bookmarkStart w:id="598" w:name="_Toc9063"/>
      <w:bookmarkStart w:id="599" w:name="_Toc23717"/>
      <w:bookmarkStart w:id="600" w:name="_Toc318450717"/>
      <w:bookmarkStart w:id="601" w:name="_Toc20546"/>
      <w:bookmarkStart w:id="602" w:name="_Toc27559"/>
      <w:bookmarkStart w:id="603" w:name="_Toc7368"/>
      <w:bookmarkStart w:id="604" w:name="_Toc152042354"/>
      <w:bookmarkStart w:id="605" w:name="_Toc455080151"/>
      <w:bookmarkStart w:id="606" w:name="_Toc490667871"/>
      <w:bookmarkStart w:id="607" w:name="_Toc24"/>
      <w:bookmarkStart w:id="608" w:name="_Toc152045578"/>
      <w:bookmarkStart w:id="609" w:name="_Toc455867811"/>
      <w:bookmarkStart w:id="610" w:name="_Toc466298134"/>
      <w:bookmarkStart w:id="611" w:name="_Toc509667302"/>
      <w:bookmarkStart w:id="612" w:name="_Toc144974546"/>
      <w:r>
        <w:rPr>
          <w:rFonts w:hint="eastAsia" w:ascii="宋体" w:hAnsi="宋体" w:eastAsia="宋体"/>
          <w:color w:val="auto"/>
          <w:szCs w:val="24"/>
          <w:highlight w:val="none"/>
        </w:rPr>
        <w:t>9.4 对与评标活动有关的工作人员的纪律要求</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3F6B271C">
      <w:pPr>
        <w:spacing w:line="360" w:lineRule="auto"/>
        <w:ind w:firstLine="480" w:firstLineChars="200"/>
        <w:rPr>
          <w:rFonts w:ascii="宋体" w:hAnsi="宋体" w:cs="宋体"/>
          <w:color w:val="auto"/>
          <w:sz w:val="24"/>
          <w:highlight w:val="none"/>
        </w:rPr>
      </w:pPr>
      <w:bookmarkStart w:id="613" w:name="_Toc152042355"/>
      <w:r>
        <w:rPr>
          <w:rFonts w:hint="eastAsia" w:ascii="宋体" w:hAnsi="宋体" w:cs="宋体"/>
          <w:color w:val="auto"/>
          <w:sz w:val="24"/>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613"/>
    </w:p>
    <w:p w14:paraId="66FF9731">
      <w:pPr>
        <w:pStyle w:val="154"/>
        <w:spacing w:line="360" w:lineRule="auto"/>
        <w:rPr>
          <w:rFonts w:ascii="宋体" w:hAnsi="宋体" w:eastAsia="宋体"/>
          <w:color w:val="auto"/>
          <w:szCs w:val="24"/>
          <w:highlight w:val="none"/>
        </w:rPr>
      </w:pPr>
      <w:bookmarkStart w:id="614" w:name="_Toc318450718"/>
      <w:bookmarkStart w:id="615" w:name="_Toc490667872"/>
      <w:bookmarkStart w:id="616" w:name="_Toc3303"/>
      <w:bookmarkStart w:id="617" w:name="_Toc152042356"/>
      <w:bookmarkStart w:id="618" w:name="_Toc8074"/>
      <w:bookmarkStart w:id="619" w:name="_Toc455867812"/>
      <w:bookmarkStart w:id="620" w:name="_Toc17735"/>
      <w:bookmarkStart w:id="621" w:name="_Toc509667303"/>
      <w:bookmarkStart w:id="622" w:name="_Toc3617"/>
      <w:bookmarkStart w:id="623" w:name="_Toc25751"/>
      <w:bookmarkStart w:id="624" w:name="_Toc466298135"/>
      <w:bookmarkStart w:id="625" w:name="_Toc455080152"/>
      <w:bookmarkStart w:id="626" w:name="_Toc1820"/>
      <w:bookmarkStart w:id="627" w:name="_Toc152045579"/>
      <w:r>
        <w:rPr>
          <w:rFonts w:hint="eastAsia" w:ascii="宋体" w:hAnsi="宋体" w:eastAsia="宋体"/>
          <w:color w:val="auto"/>
          <w:szCs w:val="24"/>
          <w:highlight w:val="none"/>
        </w:rPr>
        <w:t>9.5 投诉</w:t>
      </w:r>
      <w:bookmarkEnd w:id="612"/>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191468E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供应商和其他利害关系人认为本次磋商活动违反法律、法规和规章规定的，有权向有关行政监督部门投诉。</w:t>
      </w:r>
    </w:p>
    <w:p w14:paraId="0A06D72D">
      <w:pPr>
        <w:pStyle w:val="168"/>
        <w:spacing w:line="360" w:lineRule="auto"/>
        <w:rPr>
          <w:rFonts w:ascii="宋体" w:hAnsi="宋体" w:eastAsia="宋体"/>
          <w:color w:val="auto"/>
          <w:sz w:val="24"/>
          <w:szCs w:val="24"/>
          <w:highlight w:val="none"/>
        </w:rPr>
      </w:pPr>
      <w:bookmarkStart w:id="628" w:name="_Toc13750"/>
      <w:bookmarkStart w:id="629" w:name="_Toc509667304"/>
      <w:bookmarkStart w:id="630" w:name="_Toc152045580"/>
      <w:bookmarkStart w:id="631" w:name="_Toc455080153"/>
      <w:bookmarkStart w:id="632" w:name="_Toc144974547"/>
      <w:bookmarkStart w:id="633" w:name="_Toc152042357"/>
      <w:r>
        <w:rPr>
          <w:rFonts w:hint="eastAsia" w:ascii="宋体" w:hAnsi="宋体" w:eastAsia="宋体"/>
          <w:color w:val="auto"/>
          <w:sz w:val="24"/>
          <w:szCs w:val="24"/>
          <w:highlight w:val="none"/>
        </w:rPr>
        <w:t>10. 需要补充的其他内容</w:t>
      </w:r>
      <w:bookmarkEnd w:id="628"/>
      <w:bookmarkEnd w:id="629"/>
      <w:bookmarkEnd w:id="630"/>
      <w:bookmarkEnd w:id="631"/>
      <w:bookmarkEnd w:id="632"/>
      <w:bookmarkEnd w:id="633"/>
    </w:p>
    <w:p w14:paraId="03E1E94A">
      <w:pPr>
        <w:spacing w:line="360" w:lineRule="auto"/>
        <w:ind w:firstLine="480" w:firstLineChars="200"/>
        <w:rPr>
          <w:rFonts w:ascii="宋体" w:hAnsi="宋体" w:cs="宋体"/>
          <w:color w:val="auto"/>
          <w:sz w:val="24"/>
          <w:highlight w:val="none"/>
        </w:rPr>
      </w:pPr>
      <w:bookmarkStart w:id="634" w:name="_Toc490667874"/>
      <w:bookmarkStart w:id="635" w:name="_Toc509667305"/>
      <w:bookmarkStart w:id="636" w:name="_Toc455080154"/>
      <w:bookmarkStart w:id="637" w:name="_Toc455867814"/>
      <w:bookmarkStart w:id="638" w:name="_Toc466298137"/>
      <w:r>
        <w:rPr>
          <w:rFonts w:hint="eastAsia" w:ascii="宋体" w:hAnsi="宋体" w:cs="宋体"/>
          <w:color w:val="auto"/>
          <w:sz w:val="24"/>
          <w:highlight w:val="none"/>
        </w:rPr>
        <w:t>需要补充的其他内容：见供应商须知前附表。</w:t>
      </w:r>
      <w:bookmarkEnd w:id="634"/>
      <w:bookmarkEnd w:id="635"/>
      <w:bookmarkStart w:id="639" w:name="_Toc144974565"/>
      <w:bookmarkStart w:id="640" w:name="_Toc152042375"/>
      <w:bookmarkStart w:id="641" w:name="_Toc152045598"/>
    </w:p>
    <w:p w14:paraId="3875107F">
      <w:pPr>
        <w:jc w:val="center"/>
        <w:outlineLvl w:val="0"/>
        <w:rPr>
          <w:rFonts w:ascii="宋体" w:hAnsi="宋体" w:cs="宋体"/>
          <w:bCs/>
          <w:color w:val="auto"/>
          <w:sz w:val="32"/>
          <w:highlight w:val="none"/>
        </w:rPr>
      </w:pPr>
      <w:r>
        <w:rPr>
          <w:rFonts w:hint="eastAsia" w:ascii="宋体" w:hAnsi="宋体" w:cs="宋体"/>
          <w:color w:val="auto"/>
          <w:highlight w:val="none"/>
        </w:rPr>
        <w:br w:type="page"/>
      </w:r>
      <w:bookmarkStart w:id="642" w:name="_Toc509667306"/>
      <w:bookmarkStart w:id="643" w:name="_Toc28383"/>
      <w:r>
        <w:rPr>
          <w:rFonts w:hint="eastAsia" w:ascii="宋体" w:hAnsi="宋体" w:cs="宋体"/>
          <w:b/>
          <w:color w:val="auto"/>
          <w:kern w:val="44"/>
          <w:sz w:val="36"/>
          <w:szCs w:val="36"/>
          <w:highlight w:val="none"/>
        </w:rPr>
        <w:t>第三章  评审办法（综合评分法）</w:t>
      </w:r>
      <w:bookmarkEnd w:id="636"/>
      <w:bookmarkEnd w:id="637"/>
      <w:bookmarkEnd w:id="638"/>
      <w:bookmarkEnd w:id="642"/>
      <w:bookmarkEnd w:id="643"/>
    </w:p>
    <w:bookmarkEnd w:id="639"/>
    <w:bookmarkEnd w:id="640"/>
    <w:bookmarkEnd w:id="641"/>
    <w:p w14:paraId="4F8A83B5">
      <w:pPr>
        <w:jc w:val="center"/>
        <w:outlineLvl w:val="1"/>
        <w:rPr>
          <w:rFonts w:ascii="宋体" w:hAnsi="宋体" w:cs="宋体"/>
          <w:b/>
          <w:bCs/>
          <w:color w:val="auto"/>
          <w:sz w:val="28"/>
          <w:szCs w:val="28"/>
          <w:highlight w:val="none"/>
        </w:rPr>
      </w:pPr>
      <w:bookmarkStart w:id="644" w:name="_Toc26792"/>
      <w:bookmarkStart w:id="645" w:name="_Toc455080156"/>
      <w:bookmarkStart w:id="646" w:name="_Toc144974566"/>
      <w:bookmarkStart w:id="647" w:name="_Toc455867816"/>
      <w:bookmarkStart w:id="648" w:name="_Toc27806"/>
      <w:bookmarkStart w:id="649" w:name="_Toc152042376"/>
      <w:bookmarkStart w:id="650" w:name="_Toc281405527"/>
      <w:bookmarkStart w:id="651" w:name="_Toc466298139"/>
      <w:bookmarkStart w:id="652" w:name="_Toc152045599"/>
      <w:bookmarkStart w:id="653" w:name="_Toc318450721"/>
      <w:r>
        <w:rPr>
          <w:rFonts w:hint="eastAsia" w:ascii="宋体" w:hAnsi="宋体" w:cs="宋体"/>
          <w:b/>
          <w:bCs/>
          <w:color w:val="auto"/>
          <w:sz w:val="28"/>
          <w:szCs w:val="28"/>
          <w:highlight w:val="none"/>
        </w:rPr>
        <w:t>评审办法前附表</w:t>
      </w:r>
      <w:bookmarkEnd w:id="644"/>
      <w:bookmarkEnd w:id="645"/>
      <w:bookmarkEnd w:id="646"/>
      <w:bookmarkEnd w:id="647"/>
      <w:bookmarkEnd w:id="648"/>
      <w:bookmarkEnd w:id="649"/>
      <w:bookmarkEnd w:id="650"/>
      <w:bookmarkEnd w:id="651"/>
      <w:bookmarkEnd w:id="652"/>
      <w:bookmarkEnd w:id="653"/>
    </w:p>
    <w:tbl>
      <w:tblPr>
        <w:tblStyle w:val="47"/>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95"/>
        <w:gridCol w:w="583"/>
        <w:gridCol w:w="2529"/>
        <w:gridCol w:w="5453"/>
      </w:tblGrid>
      <w:tr w14:paraId="2EB1B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478" w:type="dxa"/>
            <w:gridSpan w:val="2"/>
            <w:tcBorders>
              <w:top w:val="single" w:color="auto" w:sz="4" w:space="0"/>
              <w:bottom w:val="single" w:color="auto" w:sz="4" w:space="0"/>
              <w:right w:val="single" w:color="auto" w:sz="4" w:space="0"/>
            </w:tcBorders>
            <w:vAlign w:val="center"/>
          </w:tcPr>
          <w:p w14:paraId="6C0B630C">
            <w:pPr>
              <w:adjustRightInd w:val="0"/>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rPr>
              <w:t>条款号</w:t>
            </w:r>
          </w:p>
        </w:tc>
        <w:tc>
          <w:tcPr>
            <w:tcW w:w="2529" w:type="dxa"/>
            <w:tcBorders>
              <w:top w:val="single" w:color="auto" w:sz="4" w:space="0"/>
              <w:left w:val="single" w:color="auto" w:sz="4" w:space="0"/>
              <w:bottom w:val="single" w:color="auto" w:sz="4" w:space="0"/>
              <w:right w:val="single" w:color="auto" w:sz="4" w:space="0"/>
            </w:tcBorders>
            <w:vAlign w:val="center"/>
          </w:tcPr>
          <w:p w14:paraId="64A46202">
            <w:pPr>
              <w:adjustRightInd w:val="0"/>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rPr>
              <w:t>评审因素</w:t>
            </w:r>
          </w:p>
        </w:tc>
        <w:tc>
          <w:tcPr>
            <w:tcW w:w="5453" w:type="dxa"/>
            <w:tcBorders>
              <w:top w:val="single" w:color="auto" w:sz="4" w:space="0"/>
              <w:left w:val="single" w:color="auto" w:sz="4" w:space="0"/>
              <w:bottom w:val="single" w:color="auto" w:sz="4" w:space="0"/>
              <w:right w:val="single" w:color="auto" w:sz="4" w:space="0"/>
            </w:tcBorders>
            <w:vAlign w:val="center"/>
          </w:tcPr>
          <w:p w14:paraId="470E0679">
            <w:pPr>
              <w:adjustRightInd w:val="0"/>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rPr>
              <w:t>评审标准</w:t>
            </w:r>
          </w:p>
        </w:tc>
      </w:tr>
      <w:tr w14:paraId="1B1A62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95" w:type="dxa"/>
            <w:vMerge w:val="restart"/>
            <w:tcBorders>
              <w:top w:val="single" w:color="auto" w:sz="4" w:space="0"/>
              <w:right w:val="single" w:color="auto" w:sz="4" w:space="0"/>
            </w:tcBorders>
            <w:vAlign w:val="center"/>
          </w:tcPr>
          <w:p w14:paraId="34F5A9DD">
            <w:pPr>
              <w:pStyle w:val="65"/>
              <w:jc w:val="center"/>
              <w:rPr>
                <w:rFonts w:hAnsi="宋体"/>
                <w:color w:val="auto"/>
                <w:sz w:val="21"/>
                <w:szCs w:val="21"/>
                <w:highlight w:val="none"/>
              </w:rPr>
            </w:pPr>
            <w:r>
              <w:rPr>
                <w:rFonts w:hint="eastAsia" w:hAnsi="宋体"/>
                <w:color w:val="auto"/>
                <w:sz w:val="21"/>
                <w:szCs w:val="21"/>
                <w:highlight w:val="none"/>
              </w:rPr>
              <w:t>2.1.1</w:t>
            </w:r>
          </w:p>
        </w:tc>
        <w:tc>
          <w:tcPr>
            <w:tcW w:w="583" w:type="dxa"/>
            <w:vMerge w:val="restart"/>
            <w:tcBorders>
              <w:top w:val="single" w:color="auto" w:sz="4" w:space="0"/>
              <w:right w:val="single" w:color="auto" w:sz="4" w:space="0"/>
            </w:tcBorders>
            <w:vAlign w:val="center"/>
          </w:tcPr>
          <w:p w14:paraId="694B1009">
            <w:pPr>
              <w:pStyle w:val="65"/>
              <w:jc w:val="center"/>
              <w:rPr>
                <w:rFonts w:hAnsi="宋体"/>
                <w:color w:val="auto"/>
                <w:sz w:val="21"/>
                <w:szCs w:val="21"/>
                <w:highlight w:val="none"/>
              </w:rPr>
            </w:pPr>
            <w:r>
              <w:rPr>
                <w:rFonts w:hint="eastAsia" w:hAnsi="宋体"/>
                <w:color w:val="auto"/>
                <w:sz w:val="21"/>
                <w:szCs w:val="21"/>
                <w:highlight w:val="none"/>
              </w:rPr>
              <w:t>资</w:t>
            </w:r>
          </w:p>
          <w:p w14:paraId="7310D53B">
            <w:pPr>
              <w:pStyle w:val="65"/>
              <w:jc w:val="center"/>
              <w:rPr>
                <w:rFonts w:hAnsi="宋体"/>
                <w:color w:val="auto"/>
                <w:sz w:val="21"/>
                <w:szCs w:val="21"/>
                <w:highlight w:val="none"/>
              </w:rPr>
            </w:pPr>
            <w:r>
              <w:rPr>
                <w:rFonts w:hint="eastAsia" w:hAnsi="宋体"/>
                <w:color w:val="auto"/>
                <w:sz w:val="21"/>
                <w:szCs w:val="21"/>
                <w:highlight w:val="none"/>
              </w:rPr>
              <w:t>格</w:t>
            </w:r>
          </w:p>
          <w:p w14:paraId="298506AC">
            <w:pPr>
              <w:pStyle w:val="65"/>
              <w:jc w:val="center"/>
              <w:rPr>
                <w:rFonts w:hAnsi="宋体"/>
                <w:color w:val="auto"/>
                <w:sz w:val="21"/>
                <w:szCs w:val="21"/>
                <w:highlight w:val="none"/>
              </w:rPr>
            </w:pPr>
            <w:r>
              <w:rPr>
                <w:rFonts w:hint="eastAsia" w:hAnsi="宋体"/>
                <w:color w:val="auto"/>
                <w:sz w:val="21"/>
                <w:szCs w:val="21"/>
                <w:highlight w:val="none"/>
              </w:rPr>
              <w:t>评</w:t>
            </w:r>
          </w:p>
          <w:p w14:paraId="29E49354">
            <w:pPr>
              <w:pStyle w:val="65"/>
              <w:jc w:val="center"/>
              <w:rPr>
                <w:rFonts w:hAnsi="宋体"/>
                <w:color w:val="auto"/>
                <w:sz w:val="21"/>
                <w:szCs w:val="21"/>
                <w:highlight w:val="none"/>
              </w:rPr>
            </w:pPr>
            <w:r>
              <w:rPr>
                <w:rFonts w:hint="eastAsia" w:hAnsi="宋体"/>
                <w:color w:val="auto"/>
                <w:sz w:val="21"/>
                <w:szCs w:val="21"/>
                <w:highlight w:val="none"/>
              </w:rPr>
              <w:t>审</w:t>
            </w:r>
          </w:p>
          <w:p w14:paraId="66CDD0EC">
            <w:pPr>
              <w:pStyle w:val="65"/>
              <w:jc w:val="center"/>
              <w:rPr>
                <w:rFonts w:hAnsi="宋体"/>
                <w:color w:val="auto"/>
                <w:sz w:val="21"/>
                <w:szCs w:val="21"/>
                <w:highlight w:val="none"/>
              </w:rPr>
            </w:pPr>
            <w:r>
              <w:rPr>
                <w:rFonts w:hint="eastAsia" w:hAnsi="宋体"/>
                <w:color w:val="auto"/>
                <w:sz w:val="21"/>
                <w:szCs w:val="21"/>
                <w:highlight w:val="none"/>
              </w:rPr>
              <w:t>标</w:t>
            </w:r>
          </w:p>
          <w:p w14:paraId="1EC5CC35">
            <w:pPr>
              <w:pStyle w:val="65"/>
              <w:jc w:val="center"/>
              <w:rPr>
                <w:rFonts w:hAnsi="宋体"/>
                <w:color w:val="auto"/>
                <w:sz w:val="21"/>
                <w:szCs w:val="21"/>
                <w:highlight w:val="none"/>
              </w:rPr>
            </w:pPr>
            <w:r>
              <w:rPr>
                <w:rFonts w:hint="eastAsia" w:hAnsi="宋体"/>
                <w:color w:val="auto"/>
                <w:sz w:val="21"/>
                <w:szCs w:val="21"/>
                <w:highlight w:val="none"/>
              </w:rPr>
              <w:t>准</w:t>
            </w:r>
          </w:p>
        </w:tc>
        <w:tc>
          <w:tcPr>
            <w:tcW w:w="2529" w:type="dxa"/>
            <w:tcBorders>
              <w:top w:val="single" w:color="auto" w:sz="4" w:space="0"/>
              <w:left w:val="single" w:color="auto" w:sz="4" w:space="0"/>
              <w:right w:val="single" w:color="auto" w:sz="4" w:space="0"/>
            </w:tcBorders>
            <w:vAlign w:val="center"/>
          </w:tcPr>
          <w:p w14:paraId="4C95FF9C">
            <w:pPr>
              <w:pStyle w:val="193"/>
              <w:widowControl/>
              <w:jc w:val="center"/>
              <w:rPr>
                <w:rFonts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w:t>
            </w:r>
          </w:p>
        </w:tc>
        <w:tc>
          <w:tcPr>
            <w:tcW w:w="5453" w:type="dxa"/>
            <w:tcBorders>
              <w:top w:val="single" w:color="auto" w:sz="4" w:space="0"/>
              <w:left w:val="single" w:color="auto" w:sz="4" w:space="0"/>
              <w:bottom w:val="single" w:color="auto" w:sz="4" w:space="0"/>
              <w:right w:val="single" w:color="auto" w:sz="4" w:space="0"/>
            </w:tcBorders>
            <w:vAlign w:val="center"/>
          </w:tcPr>
          <w:p w14:paraId="015F0089">
            <w:pPr>
              <w:pStyle w:val="65"/>
              <w:rPr>
                <w:rFonts w:hAnsi="宋体"/>
                <w:color w:val="auto"/>
                <w:sz w:val="21"/>
                <w:szCs w:val="21"/>
                <w:highlight w:val="none"/>
              </w:rPr>
            </w:pPr>
            <w:r>
              <w:rPr>
                <w:rFonts w:hint="eastAsia" w:ascii="宋体" w:hAnsi="宋体" w:cs="宋体"/>
                <w:color w:val="auto"/>
                <w:szCs w:val="21"/>
                <w:highlight w:val="none"/>
              </w:rPr>
              <w:t>符合第二章“供应商须知”第1.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.1项规定</w:t>
            </w:r>
          </w:p>
        </w:tc>
      </w:tr>
      <w:tr w14:paraId="77E7D2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95" w:type="dxa"/>
            <w:vMerge w:val="continue"/>
            <w:tcBorders>
              <w:right w:val="single" w:color="auto" w:sz="4" w:space="0"/>
            </w:tcBorders>
            <w:vAlign w:val="center"/>
          </w:tcPr>
          <w:p w14:paraId="44B4FE50">
            <w:pPr>
              <w:pStyle w:val="65"/>
              <w:jc w:val="center"/>
              <w:rPr>
                <w:rFonts w:hAnsi="宋体"/>
                <w:color w:val="auto"/>
                <w:sz w:val="21"/>
                <w:szCs w:val="21"/>
                <w:highlight w:val="none"/>
              </w:rPr>
            </w:pPr>
          </w:p>
        </w:tc>
        <w:tc>
          <w:tcPr>
            <w:tcW w:w="583" w:type="dxa"/>
            <w:vMerge w:val="continue"/>
            <w:tcBorders>
              <w:right w:val="single" w:color="auto" w:sz="4" w:space="0"/>
            </w:tcBorders>
            <w:vAlign w:val="center"/>
          </w:tcPr>
          <w:p w14:paraId="7AF951B6">
            <w:pPr>
              <w:pStyle w:val="65"/>
              <w:jc w:val="center"/>
              <w:rPr>
                <w:rFonts w:hAnsi="宋体"/>
                <w:color w:val="auto"/>
                <w:sz w:val="21"/>
                <w:szCs w:val="21"/>
                <w:highlight w:val="none"/>
              </w:rPr>
            </w:pPr>
          </w:p>
        </w:tc>
        <w:tc>
          <w:tcPr>
            <w:tcW w:w="2529" w:type="dxa"/>
            <w:tcBorders>
              <w:top w:val="single" w:color="auto" w:sz="4" w:space="0"/>
              <w:left w:val="single" w:color="auto" w:sz="4" w:space="0"/>
              <w:right w:val="single" w:color="auto" w:sz="4" w:space="0"/>
            </w:tcBorders>
            <w:vAlign w:val="center"/>
          </w:tcPr>
          <w:p w14:paraId="33CC1B07">
            <w:pPr>
              <w:pStyle w:val="193"/>
              <w:widowControl/>
              <w:jc w:val="center"/>
              <w:rPr>
                <w:rFonts w:ascii="宋体" w:hAnsi="宋体" w:cs="宋体"/>
                <w:color w:val="auto"/>
                <w:szCs w:val="21"/>
                <w:highlight w:val="none"/>
              </w:rPr>
            </w:pPr>
            <w:r>
              <w:rPr>
                <w:rFonts w:hint="eastAsia" w:ascii="宋体" w:hAnsi="宋体" w:cs="宋体"/>
                <w:color w:val="auto"/>
                <w:szCs w:val="21"/>
                <w:highlight w:val="none"/>
              </w:rPr>
              <w:t>信誉要求</w:t>
            </w:r>
          </w:p>
        </w:tc>
        <w:tc>
          <w:tcPr>
            <w:tcW w:w="5453" w:type="dxa"/>
            <w:tcBorders>
              <w:top w:val="single" w:color="auto" w:sz="4" w:space="0"/>
              <w:left w:val="single" w:color="auto" w:sz="4" w:space="0"/>
              <w:bottom w:val="single" w:color="auto" w:sz="4" w:space="0"/>
              <w:right w:val="single" w:color="auto" w:sz="4" w:space="0"/>
            </w:tcBorders>
            <w:vAlign w:val="center"/>
          </w:tcPr>
          <w:p w14:paraId="7DD47284">
            <w:pPr>
              <w:adjustRightInd w:val="0"/>
              <w:spacing w:line="360" w:lineRule="auto"/>
              <w:textAlignment w:val="baseline"/>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根据财库[2016]125号文的规定,凡列入失信被执行人、重大税收违法失信主体、政府采购严重违法失信行为记录名单及其他不符合《中华人民共和国政府采购法》第二十二条规定条件的潜在供应商禁止投标（</w:t>
            </w:r>
            <w:r>
              <w:rPr>
                <w:rFonts w:hint="eastAsia" w:ascii="宋体" w:hAnsi="宋体" w:cs="宋体"/>
                <w:color w:val="auto"/>
                <w:szCs w:val="21"/>
                <w:highlight w:val="none"/>
                <w:lang w:val="en-US" w:eastAsia="zh-CN"/>
              </w:rPr>
              <w:t>在</w:t>
            </w:r>
            <w:r>
              <w:rPr>
                <w:rFonts w:hint="eastAsia" w:hAnsi="宋体"/>
                <w:color w:val="auto"/>
                <w:highlight w:val="none"/>
                <w:lang w:eastAsia="zh-CN" w:bidi="ar"/>
              </w:rPr>
              <w:t>“信用中国”网站（www.creditchina.gov.cn）、中国政府采购网（www.ccgp.gov.cn）等渠道查询供应商信用记录，被列入失信被执行人、重大税收违法失信主体、政府采购严重违法失信行为记录名单、严重违法失信</w:t>
            </w:r>
            <w:r>
              <w:rPr>
                <w:rFonts w:hint="eastAsia" w:hAnsi="宋体"/>
                <w:color w:val="auto"/>
                <w:highlight w:val="none"/>
                <w:lang w:val="en-US" w:eastAsia="zh-CN" w:bidi="ar"/>
              </w:rPr>
              <w:t>主体</w:t>
            </w:r>
            <w:r>
              <w:rPr>
                <w:rFonts w:hint="eastAsia" w:hAnsi="宋体"/>
                <w:color w:val="auto"/>
                <w:highlight w:val="none"/>
                <w:lang w:eastAsia="zh-CN" w:bidi="ar"/>
              </w:rPr>
              <w:t>名单的供应商将被拒绝参与本项目政府采购活动（截止时点：</w:t>
            </w:r>
            <w:r>
              <w:rPr>
                <w:rFonts w:hint="eastAsia" w:hAnsi="宋体"/>
                <w:color w:val="auto"/>
                <w:highlight w:val="none"/>
                <w:lang w:val="en-US" w:eastAsia="zh-CN" w:bidi="ar"/>
              </w:rPr>
              <w:t>响应文件</w:t>
            </w:r>
            <w:r>
              <w:rPr>
                <w:rFonts w:hint="eastAsia" w:hAnsi="宋体"/>
                <w:color w:val="auto"/>
                <w:highlight w:val="none"/>
                <w:lang w:eastAsia="zh-CN" w:bidi="ar"/>
              </w:rPr>
              <w:t>开启时间）</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rPr>
              <w:t>；</w:t>
            </w:r>
          </w:p>
          <w:p w14:paraId="5FF6F1B2">
            <w:pPr>
              <w:widowControl/>
              <w:wordWrap w:val="0"/>
              <w:jc w:val="left"/>
              <w:rPr>
                <w:rFonts w:ascii="宋体" w:hAnsi="宋体" w:cs="宋体"/>
                <w:color w:val="auto"/>
                <w:kern w:val="0"/>
                <w:szCs w:val="21"/>
                <w:highlight w:val="none"/>
              </w:rPr>
            </w:pPr>
            <w:r>
              <w:rPr>
                <w:rFonts w:hint="eastAsia" w:ascii="宋体" w:hAnsi="宋体" w:cs="宋体"/>
                <w:b/>
                <w:bCs/>
                <w:color w:val="auto"/>
                <w:szCs w:val="21"/>
                <w:highlight w:val="none"/>
              </w:rPr>
              <w:t>注：采购代理机构在开标时将通过上述渠道对供应商进行信用查询，信用信息查询记录应当与采购文件一并保存；</w:t>
            </w:r>
          </w:p>
        </w:tc>
      </w:tr>
      <w:tr w14:paraId="243E91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95" w:type="dxa"/>
            <w:vMerge w:val="continue"/>
            <w:tcBorders>
              <w:right w:val="single" w:color="auto" w:sz="4" w:space="0"/>
            </w:tcBorders>
            <w:vAlign w:val="center"/>
          </w:tcPr>
          <w:p w14:paraId="779A413E">
            <w:pPr>
              <w:pStyle w:val="65"/>
              <w:jc w:val="center"/>
              <w:rPr>
                <w:rFonts w:hAnsi="宋体"/>
                <w:color w:val="auto"/>
                <w:sz w:val="21"/>
                <w:szCs w:val="21"/>
                <w:highlight w:val="none"/>
              </w:rPr>
            </w:pPr>
          </w:p>
        </w:tc>
        <w:tc>
          <w:tcPr>
            <w:tcW w:w="583" w:type="dxa"/>
            <w:vMerge w:val="continue"/>
            <w:tcBorders>
              <w:right w:val="single" w:color="auto" w:sz="4" w:space="0"/>
            </w:tcBorders>
            <w:vAlign w:val="center"/>
          </w:tcPr>
          <w:p w14:paraId="7FBD0008">
            <w:pPr>
              <w:pStyle w:val="65"/>
              <w:jc w:val="center"/>
              <w:rPr>
                <w:rFonts w:hAnsi="宋体"/>
                <w:color w:val="auto"/>
                <w:sz w:val="21"/>
                <w:szCs w:val="21"/>
                <w:highlight w:val="none"/>
              </w:rPr>
            </w:pPr>
          </w:p>
        </w:tc>
        <w:tc>
          <w:tcPr>
            <w:tcW w:w="2529" w:type="dxa"/>
            <w:tcBorders>
              <w:top w:val="single" w:color="auto" w:sz="4" w:space="0"/>
              <w:left w:val="single" w:color="auto" w:sz="4" w:space="0"/>
              <w:right w:val="single" w:color="auto" w:sz="4" w:space="0"/>
            </w:tcBorders>
            <w:vAlign w:val="center"/>
          </w:tcPr>
          <w:p w14:paraId="6CF5AED8">
            <w:pPr>
              <w:pStyle w:val="193"/>
              <w:widowControl/>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其他要求</w:t>
            </w:r>
          </w:p>
        </w:tc>
        <w:tc>
          <w:tcPr>
            <w:tcW w:w="5453" w:type="dxa"/>
            <w:tcBorders>
              <w:top w:val="single" w:color="auto" w:sz="4" w:space="0"/>
              <w:left w:val="single" w:color="auto" w:sz="4" w:space="0"/>
              <w:bottom w:val="single" w:color="auto" w:sz="4" w:space="0"/>
              <w:right w:val="single" w:color="auto" w:sz="4" w:space="0"/>
            </w:tcBorders>
            <w:vAlign w:val="center"/>
          </w:tcPr>
          <w:p w14:paraId="0C8F434B">
            <w:pPr>
              <w:widowControl/>
              <w:wordWrap w:val="0"/>
              <w:jc w:val="left"/>
              <w:rPr>
                <w:rFonts w:hint="eastAsia" w:ascii="宋体" w:hAnsi="宋体" w:cs="宋体"/>
                <w:b/>
                <w:bCs/>
                <w:color w:val="auto"/>
                <w:szCs w:val="21"/>
                <w:highlight w:val="none"/>
              </w:rPr>
            </w:pPr>
            <w:r>
              <w:rPr>
                <w:rFonts w:hint="eastAsia" w:ascii="宋体" w:hAnsi="宋体" w:cs="宋体"/>
                <w:color w:val="auto"/>
                <w:szCs w:val="21"/>
                <w:highlight w:val="none"/>
              </w:rPr>
              <w:t>符合第二章“供应商须知”第1.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.1项规定</w:t>
            </w:r>
          </w:p>
        </w:tc>
      </w:tr>
      <w:tr w14:paraId="60D299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95" w:type="dxa"/>
            <w:vMerge w:val="continue"/>
            <w:tcBorders>
              <w:bottom w:val="single" w:color="auto" w:sz="4" w:space="0"/>
              <w:right w:val="single" w:color="auto" w:sz="4" w:space="0"/>
            </w:tcBorders>
            <w:vAlign w:val="center"/>
          </w:tcPr>
          <w:p w14:paraId="4D85ADAD">
            <w:pPr>
              <w:adjustRightInd w:val="0"/>
              <w:jc w:val="center"/>
              <w:textAlignment w:val="baseline"/>
              <w:rPr>
                <w:rFonts w:ascii="宋体" w:hAnsi="宋体" w:cs="宋体"/>
                <w:color w:val="auto"/>
                <w:szCs w:val="21"/>
                <w:highlight w:val="none"/>
              </w:rPr>
            </w:pPr>
          </w:p>
        </w:tc>
        <w:tc>
          <w:tcPr>
            <w:tcW w:w="583" w:type="dxa"/>
            <w:vMerge w:val="continue"/>
            <w:tcBorders>
              <w:bottom w:val="single" w:color="auto" w:sz="4" w:space="0"/>
              <w:right w:val="single" w:color="auto" w:sz="4" w:space="0"/>
            </w:tcBorders>
            <w:vAlign w:val="center"/>
          </w:tcPr>
          <w:p w14:paraId="46C1D0C5">
            <w:pPr>
              <w:adjustRightInd w:val="0"/>
              <w:jc w:val="center"/>
              <w:textAlignment w:val="baseline"/>
              <w:rPr>
                <w:rFonts w:ascii="宋体" w:hAnsi="宋体" w:cs="宋体"/>
                <w:color w:val="auto"/>
                <w:kern w:val="0"/>
                <w:szCs w:val="21"/>
                <w:highlight w:val="none"/>
              </w:rPr>
            </w:pPr>
          </w:p>
        </w:tc>
        <w:tc>
          <w:tcPr>
            <w:tcW w:w="7982" w:type="dxa"/>
            <w:gridSpan w:val="2"/>
            <w:tcBorders>
              <w:top w:val="single" w:color="auto" w:sz="4" w:space="0"/>
              <w:left w:val="single" w:color="auto" w:sz="4" w:space="0"/>
              <w:right w:val="single" w:color="auto" w:sz="4" w:space="0"/>
            </w:tcBorders>
            <w:vAlign w:val="center"/>
          </w:tcPr>
          <w:p w14:paraId="11595586">
            <w:pPr>
              <w:widowControl/>
              <w:jc w:val="left"/>
              <w:rPr>
                <w:rFonts w:ascii="宋体" w:hAnsi="宋体" w:cs="宋体"/>
                <w:color w:val="auto"/>
                <w:kern w:val="0"/>
                <w:szCs w:val="21"/>
                <w:highlight w:val="none"/>
              </w:rPr>
            </w:pPr>
            <w:r>
              <w:rPr>
                <w:rFonts w:hint="eastAsia" w:ascii="宋体" w:hAnsi="宋体" w:cs="宋体"/>
                <w:b/>
                <w:bCs/>
                <w:color w:val="auto"/>
                <w:kern w:val="0"/>
                <w:szCs w:val="21"/>
                <w:highlight w:val="none"/>
              </w:rPr>
              <w:t>注：磋商小组按以上资格评审标准对供应商的资格进行审查（以响应文件中所附相关证明材料的扫描件为准）。有一项不符合资格审查标准的，磋商小组应当否决其投标。</w:t>
            </w:r>
          </w:p>
        </w:tc>
      </w:tr>
      <w:tr w14:paraId="647243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95" w:type="dxa"/>
            <w:vMerge w:val="restart"/>
            <w:tcBorders>
              <w:top w:val="single" w:color="auto" w:sz="4" w:space="0"/>
              <w:right w:val="single" w:color="auto" w:sz="4" w:space="0"/>
            </w:tcBorders>
            <w:vAlign w:val="center"/>
          </w:tcPr>
          <w:p w14:paraId="039AFF59">
            <w:pPr>
              <w:pStyle w:val="65"/>
              <w:jc w:val="center"/>
              <w:rPr>
                <w:rFonts w:hAnsi="宋体"/>
                <w:color w:val="auto"/>
                <w:sz w:val="21"/>
                <w:szCs w:val="21"/>
                <w:highlight w:val="none"/>
              </w:rPr>
            </w:pPr>
            <w:r>
              <w:rPr>
                <w:rFonts w:hint="eastAsia" w:hAnsi="宋体"/>
                <w:color w:val="auto"/>
                <w:sz w:val="21"/>
                <w:szCs w:val="21"/>
                <w:highlight w:val="none"/>
              </w:rPr>
              <w:t>2.1.2</w:t>
            </w:r>
          </w:p>
        </w:tc>
        <w:tc>
          <w:tcPr>
            <w:tcW w:w="583" w:type="dxa"/>
            <w:vMerge w:val="restart"/>
            <w:tcBorders>
              <w:top w:val="single" w:color="auto" w:sz="4" w:space="0"/>
              <w:right w:val="single" w:color="auto" w:sz="4" w:space="0"/>
            </w:tcBorders>
            <w:vAlign w:val="center"/>
          </w:tcPr>
          <w:p w14:paraId="6357552C">
            <w:pPr>
              <w:pStyle w:val="65"/>
              <w:jc w:val="center"/>
              <w:rPr>
                <w:rFonts w:hAnsi="宋体"/>
                <w:color w:val="auto"/>
                <w:sz w:val="21"/>
                <w:szCs w:val="21"/>
                <w:highlight w:val="none"/>
              </w:rPr>
            </w:pPr>
            <w:r>
              <w:rPr>
                <w:rFonts w:hint="eastAsia" w:hAnsi="宋体"/>
                <w:color w:val="auto"/>
                <w:sz w:val="21"/>
                <w:szCs w:val="21"/>
                <w:highlight w:val="none"/>
              </w:rPr>
              <w:t>符合性评</w:t>
            </w:r>
          </w:p>
          <w:p w14:paraId="72809AD1">
            <w:pPr>
              <w:pStyle w:val="65"/>
              <w:jc w:val="center"/>
              <w:rPr>
                <w:rFonts w:hAnsi="宋体"/>
                <w:color w:val="auto"/>
                <w:sz w:val="21"/>
                <w:szCs w:val="21"/>
                <w:highlight w:val="none"/>
              </w:rPr>
            </w:pPr>
            <w:r>
              <w:rPr>
                <w:rFonts w:hint="eastAsia" w:hAnsi="宋体"/>
                <w:color w:val="auto"/>
                <w:sz w:val="21"/>
                <w:szCs w:val="21"/>
                <w:highlight w:val="none"/>
              </w:rPr>
              <w:t>审</w:t>
            </w:r>
          </w:p>
          <w:p w14:paraId="3DFD8EE2">
            <w:pPr>
              <w:pStyle w:val="65"/>
              <w:jc w:val="center"/>
              <w:rPr>
                <w:rFonts w:hAnsi="宋体"/>
                <w:color w:val="auto"/>
                <w:sz w:val="21"/>
                <w:szCs w:val="21"/>
                <w:highlight w:val="none"/>
              </w:rPr>
            </w:pPr>
            <w:r>
              <w:rPr>
                <w:rFonts w:hint="eastAsia" w:hAnsi="宋体"/>
                <w:color w:val="auto"/>
                <w:sz w:val="21"/>
                <w:szCs w:val="21"/>
                <w:highlight w:val="none"/>
              </w:rPr>
              <w:t>标</w:t>
            </w:r>
          </w:p>
          <w:p w14:paraId="78D1F1C9">
            <w:pPr>
              <w:pStyle w:val="65"/>
              <w:jc w:val="center"/>
              <w:rPr>
                <w:rFonts w:hAnsi="宋体"/>
                <w:color w:val="auto"/>
                <w:sz w:val="21"/>
                <w:szCs w:val="21"/>
                <w:highlight w:val="none"/>
              </w:rPr>
            </w:pPr>
            <w:r>
              <w:rPr>
                <w:rFonts w:hint="eastAsia" w:hAnsi="宋体"/>
                <w:color w:val="auto"/>
                <w:sz w:val="21"/>
                <w:szCs w:val="21"/>
                <w:highlight w:val="none"/>
              </w:rPr>
              <w:t>准</w:t>
            </w:r>
          </w:p>
        </w:tc>
        <w:tc>
          <w:tcPr>
            <w:tcW w:w="2529" w:type="dxa"/>
            <w:tcBorders>
              <w:top w:val="single" w:color="auto" w:sz="4" w:space="0"/>
              <w:left w:val="single" w:color="auto" w:sz="4" w:space="0"/>
              <w:right w:val="single" w:color="auto" w:sz="4" w:space="0"/>
            </w:tcBorders>
            <w:vAlign w:val="center"/>
          </w:tcPr>
          <w:p w14:paraId="5D1AD978">
            <w:pPr>
              <w:jc w:val="center"/>
              <w:rPr>
                <w:rFonts w:hint="eastAsia" w:ascii="宋体" w:hAnsi="宋体" w:cs="宋体"/>
                <w:color w:val="auto"/>
                <w:szCs w:val="21"/>
                <w:highlight w:val="none"/>
              </w:rPr>
            </w:pPr>
            <w:r>
              <w:rPr>
                <w:rFonts w:hint="eastAsia" w:ascii="宋体" w:hAnsi="宋体" w:cs="宋体"/>
                <w:color w:val="auto"/>
                <w:szCs w:val="21"/>
                <w:highlight w:val="none"/>
              </w:rPr>
              <w:t>投标函签字盖章</w:t>
            </w:r>
          </w:p>
        </w:tc>
        <w:tc>
          <w:tcPr>
            <w:tcW w:w="5453" w:type="dxa"/>
            <w:tcBorders>
              <w:top w:val="single" w:color="auto" w:sz="4" w:space="0"/>
              <w:left w:val="single" w:color="auto" w:sz="4" w:space="0"/>
              <w:bottom w:val="single" w:color="auto" w:sz="4" w:space="0"/>
              <w:right w:val="single" w:color="auto" w:sz="4" w:space="0"/>
            </w:tcBorders>
            <w:vAlign w:val="center"/>
          </w:tcPr>
          <w:p w14:paraId="43FF4638">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有法定代表人或其委托代理人签字且加盖单位电子签章。由法定代表人电子签章的，应附法定代表人身份证明，由代理人签字的，应附授权委托书。</w:t>
            </w:r>
          </w:p>
        </w:tc>
      </w:tr>
      <w:tr w14:paraId="5231B9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95" w:type="dxa"/>
            <w:vMerge w:val="continue"/>
            <w:tcBorders>
              <w:right w:val="single" w:color="auto" w:sz="4" w:space="0"/>
            </w:tcBorders>
            <w:vAlign w:val="center"/>
          </w:tcPr>
          <w:p w14:paraId="07C611F8">
            <w:pPr>
              <w:pStyle w:val="65"/>
              <w:jc w:val="center"/>
              <w:rPr>
                <w:rFonts w:hAnsi="宋体"/>
                <w:color w:val="auto"/>
                <w:sz w:val="21"/>
                <w:szCs w:val="21"/>
                <w:highlight w:val="none"/>
              </w:rPr>
            </w:pPr>
          </w:p>
        </w:tc>
        <w:tc>
          <w:tcPr>
            <w:tcW w:w="583" w:type="dxa"/>
            <w:vMerge w:val="continue"/>
            <w:tcBorders>
              <w:right w:val="single" w:color="auto" w:sz="4" w:space="0"/>
            </w:tcBorders>
            <w:vAlign w:val="center"/>
          </w:tcPr>
          <w:p w14:paraId="457FFBB1">
            <w:pPr>
              <w:pStyle w:val="65"/>
              <w:jc w:val="center"/>
              <w:rPr>
                <w:rFonts w:hAnsi="宋体"/>
                <w:color w:val="auto"/>
                <w:sz w:val="21"/>
                <w:szCs w:val="21"/>
                <w:highlight w:val="none"/>
              </w:rPr>
            </w:pPr>
          </w:p>
        </w:tc>
        <w:tc>
          <w:tcPr>
            <w:tcW w:w="2529" w:type="dxa"/>
            <w:tcBorders>
              <w:top w:val="single" w:color="auto" w:sz="4" w:space="0"/>
              <w:left w:val="single" w:color="auto" w:sz="4" w:space="0"/>
              <w:right w:val="single" w:color="auto" w:sz="4" w:space="0"/>
            </w:tcBorders>
            <w:vAlign w:val="center"/>
          </w:tcPr>
          <w:p w14:paraId="4C1A2D8C">
            <w:pPr>
              <w:jc w:val="center"/>
              <w:rPr>
                <w:rFonts w:ascii="宋体" w:hAnsi="宋体" w:cs="宋体"/>
                <w:color w:val="auto"/>
                <w:szCs w:val="21"/>
                <w:highlight w:val="none"/>
              </w:rPr>
            </w:pPr>
            <w:r>
              <w:rPr>
                <w:rFonts w:hint="eastAsia" w:ascii="宋体" w:hAnsi="宋体" w:cs="宋体"/>
                <w:color w:val="auto"/>
                <w:szCs w:val="21"/>
                <w:highlight w:val="none"/>
              </w:rPr>
              <w:t>磋商内容</w:t>
            </w:r>
          </w:p>
        </w:tc>
        <w:tc>
          <w:tcPr>
            <w:tcW w:w="5453" w:type="dxa"/>
            <w:tcBorders>
              <w:top w:val="single" w:color="auto" w:sz="4" w:space="0"/>
              <w:left w:val="single" w:color="auto" w:sz="4" w:space="0"/>
              <w:bottom w:val="single" w:color="auto" w:sz="4" w:space="0"/>
              <w:right w:val="single" w:color="auto" w:sz="4" w:space="0"/>
            </w:tcBorders>
            <w:vAlign w:val="center"/>
          </w:tcPr>
          <w:p w14:paraId="1C30AEA0">
            <w:pPr>
              <w:adjustRightInd w:val="0"/>
              <w:jc w:val="left"/>
              <w:textAlignment w:val="baseline"/>
              <w:rPr>
                <w:rFonts w:ascii="宋体" w:hAnsi="宋体" w:cs="宋体"/>
                <w:color w:val="auto"/>
                <w:szCs w:val="21"/>
                <w:highlight w:val="none"/>
              </w:rPr>
            </w:pPr>
            <w:r>
              <w:rPr>
                <w:rFonts w:hint="eastAsia" w:ascii="宋体" w:hAnsi="宋体" w:cs="宋体"/>
                <w:color w:val="auto"/>
                <w:szCs w:val="21"/>
                <w:highlight w:val="none"/>
              </w:rPr>
              <w:t>符合第二章“供应商须知”第1.4.1项规定</w:t>
            </w:r>
          </w:p>
        </w:tc>
      </w:tr>
      <w:tr w14:paraId="58F8FD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95" w:type="dxa"/>
            <w:vMerge w:val="continue"/>
            <w:tcBorders>
              <w:right w:val="single" w:color="auto" w:sz="4" w:space="0"/>
            </w:tcBorders>
            <w:vAlign w:val="center"/>
          </w:tcPr>
          <w:p w14:paraId="31D76B6A">
            <w:pPr>
              <w:pStyle w:val="65"/>
              <w:jc w:val="center"/>
              <w:rPr>
                <w:rFonts w:hAnsi="宋体"/>
                <w:color w:val="auto"/>
                <w:sz w:val="21"/>
                <w:szCs w:val="21"/>
                <w:highlight w:val="none"/>
              </w:rPr>
            </w:pPr>
          </w:p>
        </w:tc>
        <w:tc>
          <w:tcPr>
            <w:tcW w:w="583" w:type="dxa"/>
            <w:vMerge w:val="continue"/>
            <w:tcBorders>
              <w:right w:val="single" w:color="auto" w:sz="4" w:space="0"/>
            </w:tcBorders>
            <w:vAlign w:val="center"/>
          </w:tcPr>
          <w:p w14:paraId="4E456971">
            <w:pPr>
              <w:pStyle w:val="65"/>
              <w:jc w:val="center"/>
              <w:rPr>
                <w:rFonts w:hAnsi="宋体"/>
                <w:color w:val="auto"/>
                <w:sz w:val="21"/>
                <w:szCs w:val="21"/>
                <w:highlight w:val="none"/>
              </w:rPr>
            </w:pPr>
          </w:p>
        </w:tc>
        <w:tc>
          <w:tcPr>
            <w:tcW w:w="2529" w:type="dxa"/>
            <w:tcBorders>
              <w:top w:val="single" w:color="auto" w:sz="4" w:space="0"/>
              <w:left w:val="single" w:color="auto" w:sz="4" w:space="0"/>
              <w:right w:val="single" w:color="auto" w:sz="4" w:space="0"/>
            </w:tcBorders>
            <w:vAlign w:val="center"/>
          </w:tcPr>
          <w:p w14:paraId="3A743A3B">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服务地点</w:t>
            </w:r>
          </w:p>
        </w:tc>
        <w:tc>
          <w:tcPr>
            <w:tcW w:w="5453" w:type="dxa"/>
            <w:tcBorders>
              <w:top w:val="single" w:color="auto" w:sz="4" w:space="0"/>
              <w:left w:val="single" w:color="auto" w:sz="4" w:space="0"/>
              <w:bottom w:val="single" w:color="auto" w:sz="4" w:space="0"/>
              <w:right w:val="single" w:color="auto" w:sz="4" w:space="0"/>
            </w:tcBorders>
            <w:vAlign w:val="center"/>
          </w:tcPr>
          <w:p w14:paraId="3EF63F85">
            <w:pPr>
              <w:adjustRightInd w:val="0"/>
              <w:jc w:val="left"/>
              <w:textAlignment w:val="baseline"/>
              <w:rPr>
                <w:rFonts w:hint="eastAsia" w:ascii="宋体" w:hAnsi="宋体" w:cs="宋体"/>
                <w:color w:val="auto"/>
                <w:szCs w:val="21"/>
                <w:highlight w:val="none"/>
              </w:rPr>
            </w:pPr>
            <w:r>
              <w:rPr>
                <w:rFonts w:hint="eastAsia" w:ascii="宋体" w:hAnsi="宋体" w:cs="宋体"/>
                <w:color w:val="auto"/>
                <w:szCs w:val="21"/>
                <w:highlight w:val="none"/>
              </w:rPr>
              <w:t>符合第二章“供应商须知”第1.4.</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项规定</w:t>
            </w:r>
          </w:p>
        </w:tc>
      </w:tr>
      <w:tr w14:paraId="2245F2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95" w:type="dxa"/>
            <w:vMerge w:val="continue"/>
            <w:tcBorders>
              <w:right w:val="single" w:color="auto" w:sz="4" w:space="0"/>
            </w:tcBorders>
            <w:vAlign w:val="center"/>
          </w:tcPr>
          <w:p w14:paraId="39FEF2F9">
            <w:pPr>
              <w:adjustRightInd w:val="0"/>
              <w:jc w:val="center"/>
              <w:textAlignment w:val="baseline"/>
              <w:rPr>
                <w:rFonts w:ascii="宋体" w:hAnsi="宋体" w:cs="宋体"/>
                <w:color w:val="auto"/>
                <w:szCs w:val="21"/>
                <w:highlight w:val="none"/>
              </w:rPr>
            </w:pPr>
          </w:p>
        </w:tc>
        <w:tc>
          <w:tcPr>
            <w:tcW w:w="583" w:type="dxa"/>
            <w:vMerge w:val="continue"/>
            <w:tcBorders>
              <w:right w:val="single" w:color="auto" w:sz="4" w:space="0"/>
            </w:tcBorders>
            <w:vAlign w:val="center"/>
          </w:tcPr>
          <w:p w14:paraId="44AB9CAB">
            <w:pPr>
              <w:adjustRightInd w:val="0"/>
              <w:jc w:val="center"/>
              <w:textAlignment w:val="baseline"/>
              <w:rPr>
                <w:rFonts w:ascii="宋体" w:hAnsi="宋体" w:cs="宋体"/>
                <w:color w:val="auto"/>
                <w:kern w:val="0"/>
                <w:szCs w:val="21"/>
                <w:highlight w:val="none"/>
              </w:rPr>
            </w:pPr>
          </w:p>
        </w:tc>
        <w:tc>
          <w:tcPr>
            <w:tcW w:w="2529" w:type="dxa"/>
            <w:tcBorders>
              <w:top w:val="single" w:color="auto" w:sz="4" w:space="0"/>
              <w:left w:val="single" w:color="auto" w:sz="4" w:space="0"/>
              <w:right w:val="single" w:color="auto" w:sz="4" w:space="0"/>
            </w:tcBorders>
            <w:vAlign w:val="center"/>
          </w:tcPr>
          <w:p w14:paraId="77CFA3B2">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服务期限</w:t>
            </w:r>
          </w:p>
        </w:tc>
        <w:tc>
          <w:tcPr>
            <w:tcW w:w="5453" w:type="dxa"/>
            <w:tcBorders>
              <w:top w:val="single" w:color="auto" w:sz="4" w:space="0"/>
              <w:left w:val="single" w:color="auto" w:sz="4" w:space="0"/>
              <w:bottom w:val="single" w:color="auto" w:sz="4" w:space="0"/>
              <w:right w:val="single" w:color="auto" w:sz="4" w:space="0"/>
            </w:tcBorders>
            <w:vAlign w:val="center"/>
          </w:tcPr>
          <w:p w14:paraId="74AB5874">
            <w:pPr>
              <w:adjustRightInd w:val="0"/>
              <w:jc w:val="left"/>
              <w:textAlignment w:val="baseline"/>
              <w:rPr>
                <w:rFonts w:ascii="宋体" w:hAnsi="宋体" w:cs="宋体"/>
                <w:color w:val="auto"/>
                <w:szCs w:val="21"/>
                <w:highlight w:val="none"/>
              </w:rPr>
            </w:pPr>
            <w:r>
              <w:rPr>
                <w:rFonts w:hint="eastAsia" w:ascii="宋体" w:hAnsi="宋体" w:cs="宋体"/>
                <w:color w:val="auto"/>
                <w:szCs w:val="21"/>
                <w:highlight w:val="none"/>
              </w:rPr>
              <w:t>符合第二章“供应商须知”第1.4.3项规定</w:t>
            </w:r>
          </w:p>
        </w:tc>
      </w:tr>
      <w:tr w14:paraId="2B6D2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95" w:type="dxa"/>
            <w:vMerge w:val="continue"/>
            <w:tcBorders>
              <w:right w:val="single" w:color="auto" w:sz="4" w:space="0"/>
            </w:tcBorders>
            <w:vAlign w:val="center"/>
          </w:tcPr>
          <w:p w14:paraId="0B4FA7C7">
            <w:pPr>
              <w:adjustRightInd w:val="0"/>
              <w:jc w:val="center"/>
              <w:textAlignment w:val="baseline"/>
              <w:rPr>
                <w:rFonts w:ascii="宋体" w:hAnsi="宋体" w:cs="宋体"/>
                <w:color w:val="auto"/>
                <w:szCs w:val="21"/>
                <w:highlight w:val="none"/>
              </w:rPr>
            </w:pPr>
          </w:p>
        </w:tc>
        <w:tc>
          <w:tcPr>
            <w:tcW w:w="583" w:type="dxa"/>
            <w:vMerge w:val="continue"/>
            <w:tcBorders>
              <w:right w:val="single" w:color="auto" w:sz="4" w:space="0"/>
            </w:tcBorders>
            <w:vAlign w:val="center"/>
          </w:tcPr>
          <w:p w14:paraId="1AE922EF">
            <w:pPr>
              <w:adjustRightInd w:val="0"/>
              <w:jc w:val="center"/>
              <w:textAlignment w:val="baseline"/>
              <w:rPr>
                <w:rFonts w:ascii="宋体" w:hAnsi="宋体" w:cs="宋体"/>
                <w:color w:val="auto"/>
                <w:kern w:val="0"/>
                <w:szCs w:val="21"/>
                <w:highlight w:val="none"/>
              </w:rPr>
            </w:pPr>
          </w:p>
        </w:tc>
        <w:tc>
          <w:tcPr>
            <w:tcW w:w="2529" w:type="dxa"/>
            <w:tcBorders>
              <w:top w:val="single" w:color="auto" w:sz="4" w:space="0"/>
              <w:left w:val="single" w:color="auto" w:sz="4" w:space="0"/>
              <w:right w:val="single" w:color="auto" w:sz="4" w:space="0"/>
            </w:tcBorders>
            <w:vAlign w:val="center"/>
          </w:tcPr>
          <w:p w14:paraId="661B08B5">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服务标准</w:t>
            </w:r>
          </w:p>
        </w:tc>
        <w:tc>
          <w:tcPr>
            <w:tcW w:w="5453" w:type="dxa"/>
            <w:tcBorders>
              <w:top w:val="single" w:color="auto" w:sz="4" w:space="0"/>
              <w:left w:val="single" w:color="auto" w:sz="4" w:space="0"/>
              <w:bottom w:val="single" w:color="auto" w:sz="4" w:space="0"/>
              <w:right w:val="single" w:color="auto" w:sz="4" w:space="0"/>
            </w:tcBorders>
            <w:vAlign w:val="center"/>
          </w:tcPr>
          <w:p w14:paraId="096DE6A9">
            <w:pPr>
              <w:adjustRightInd w:val="0"/>
              <w:jc w:val="left"/>
              <w:textAlignment w:val="baseline"/>
              <w:rPr>
                <w:rFonts w:ascii="宋体" w:hAnsi="宋体" w:cs="宋体"/>
                <w:color w:val="auto"/>
                <w:szCs w:val="21"/>
                <w:highlight w:val="none"/>
              </w:rPr>
            </w:pPr>
            <w:r>
              <w:rPr>
                <w:rFonts w:hint="eastAsia" w:ascii="宋体" w:hAnsi="宋体" w:cs="宋体"/>
                <w:color w:val="auto"/>
                <w:szCs w:val="21"/>
                <w:highlight w:val="none"/>
              </w:rPr>
              <w:t>符合第二章“供应商须知”第1.4.4项规定</w:t>
            </w:r>
          </w:p>
        </w:tc>
      </w:tr>
      <w:tr w14:paraId="2B0DD3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95" w:type="dxa"/>
            <w:vMerge w:val="continue"/>
            <w:tcBorders>
              <w:right w:val="single" w:color="auto" w:sz="4" w:space="0"/>
            </w:tcBorders>
            <w:vAlign w:val="center"/>
          </w:tcPr>
          <w:p w14:paraId="16583420">
            <w:pPr>
              <w:adjustRightInd w:val="0"/>
              <w:jc w:val="center"/>
              <w:textAlignment w:val="baseline"/>
              <w:rPr>
                <w:rFonts w:ascii="宋体" w:hAnsi="宋体" w:cs="宋体"/>
                <w:color w:val="auto"/>
                <w:szCs w:val="21"/>
                <w:highlight w:val="none"/>
              </w:rPr>
            </w:pPr>
          </w:p>
        </w:tc>
        <w:tc>
          <w:tcPr>
            <w:tcW w:w="583" w:type="dxa"/>
            <w:vMerge w:val="continue"/>
            <w:tcBorders>
              <w:right w:val="single" w:color="auto" w:sz="4" w:space="0"/>
            </w:tcBorders>
            <w:vAlign w:val="center"/>
          </w:tcPr>
          <w:p w14:paraId="369EC80D">
            <w:pPr>
              <w:adjustRightInd w:val="0"/>
              <w:jc w:val="center"/>
              <w:textAlignment w:val="baseline"/>
              <w:rPr>
                <w:rFonts w:ascii="宋体" w:hAnsi="宋体" w:cs="宋体"/>
                <w:color w:val="auto"/>
                <w:kern w:val="0"/>
                <w:szCs w:val="21"/>
                <w:highlight w:val="none"/>
              </w:rPr>
            </w:pPr>
          </w:p>
        </w:tc>
        <w:tc>
          <w:tcPr>
            <w:tcW w:w="2529" w:type="dxa"/>
            <w:tcBorders>
              <w:top w:val="single" w:color="auto" w:sz="4" w:space="0"/>
              <w:left w:val="single" w:color="auto" w:sz="4" w:space="0"/>
              <w:right w:val="single" w:color="auto" w:sz="4" w:space="0"/>
            </w:tcBorders>
            <w:vAlign w:val="center"/>
          </w:tcPr>
          <w:p w14:paraId="19C80FD5">
            <w:pPr>
              <w:jc w:val="center"/>
              <w:rPr>
                <w:rFonts w:ascii="宋体" w:hAnsi="宋体" w:cs="宋体"/>
                <w:color w:val="auto"/>
                <w:szCs w:val="21"/>
                <w:highlight w:val="none"/>
              </w:rPr>
            </w:pPr>
            <w:r>
              <w:rPr>
                <w:rFonts w:hint="eastAsia" w:ascii="宋体" w:hAnsi="宋体" w:cs="宋体"/>
                <w:color w:val="auto"/>
                <w:szCs w:val="21"/>
                <w:highlight w:val="none"/>
              </w:rPr>
              <w:t>磋商有效期</w:t>
            </w:r>
          </w:p>
        </w:tc>
        <w:tc>
          <w:tcPr>
            <w:tcW w:w="5453" w:type="dxa"/>
            <w:tcBorders>
              <w:top w:val="single" w:color="auto" w:sz="4" w:space="0"/>
              <w:left w:val="single" w:color="auto" w:sz="4" w:space="0"/>
              <w:bottom w:val="single" w:color="auto" w:sz="4" w:space="0"/>
              <w:right w:val="single" w:color="auto" w:sz="4" w:space="0"/>
            </w:tcBorders>
            <w:vAlign w:val="center"/>
          </w:tcPr>
          <w:p w14:paraId="5EC6A3B3">
            <w:pPr>
              <w:adjustRightInd w:val="0"/>
              <w:jc w:val="left"/>
              <w:textAlignment w:val="baseline"/>
              <w:rPr>
                <w:rFonts w:ascii="宋体" w:hAnsi="宋体" w:cs="宋体"/>
                <w:color w:val="auto"/>
                <w:szCs w:val="21"/>
                <w:highlight w:val="none"/>
              </w:rPr>
            </w:pPr>
            <w:r>
              <w:rPr>
                <w:rFonts w:hint="eastAsia" w:ascii="宋体" w:hAnsi="宋体" w:cs="宋体"/>
                <w:color w:val="auto"/>
                <w:szCs w:val="21"/>
                <w:highlight w:val="none"/>
              </w:rPr>
              <w:t>符合第二章“供应商须知”第3.3.1项规定</w:t>
            </w:r>
          </w:p>
        </w:tc>
      </w:tr>
      <w:tr w14:paraId="5D3DD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95" w:type="dxa"/>
            <w:vMerge w:val="continue"/>
            <w:tcBorders>
              <w:bottom w:val="single" w:color="auto" w:sz="4" w:space="0"/>
              <w:right w:val="single" w:color="auto" w:sz="4" w:space="0"/>
            </w:tcBorders>
            <w:vAlign w:val="center"/>
          </w:tcPr>
          <w:p w14:paraId="474631A3">
            <w:pPr>
              <w:adjustRightInd w:val="0"/>
              <w:jc w:val="center"/>
              <w:textAlignment w:val="baseline"/>
              <w:rPr>
                <w:rFonts w:ascii="宋体" w:hAnsi="宋体" w:cs="宋体"/>
                <w:color w:val="auto"/>
                <w:szCs w:val="21"/>
                <w:highlight w:val="none"/>
              </w:rPr>
            </w:pPr>
          </w:p>
        </w:tc>
        <w:tc>
          <w:tcPr>
            <w:tcW w:w="583" w:type="dxa"/>
            <w:vMerge w:val="continue"/>
            <w:tcBorders>
              <w:bottom w:val="single" w:color="auto" w:sz="4" w:space="0"/>
              <w:right w:val="single" w:color="auto" w:sz="4" w:space="0"/>
            </w:tcBorders>
            <w:vAlign w:val="center"/>
          </w:tcPr>
          <w:p w14:paraId="76564C87">
            <w:pPr>
              <w:adjustRightInd w:val="0"/>
              <w:jc w:val="center"/>
              <w:textAlignment w:val="baseline"/>
              <w:rPr>
                <w:rFonts w:ascii="宋体" w:hAnsi="宋体" w:cs="宋体"/>
                <w:color w:val="auto"/>
                <w:kern w:val="0"/>
                <w:szCs w:val="21"/>
                <w:highlight w:val="none"/>
              </w:rPr>
            </w:pPr>
          </w:p>
        </w:tc>
        <w:tc>
          <w:tcPr>
            <w:tcW w:w="2529" w:type="dxa"/>
            <w:tcBorders>
              <w:top w:val="single" w:color="auto" w:sz="4" w:space="0"/>
              <w:left w:val="single" w:color="auto" w:sz="4" w:space="0"/>
              <w:right w:val="single" w:color="auto" w:sz="4" w:space="0"/>
            </w:tcBorders>
            <w:vAlign w:val="center"/>
          </w:tcPr>
          <w:p w14:paraId="7B49C46F">
            <w:pPr>
              <w:jc w:val="center"/>
              <w:rPr>
                <w:rFonts w:ascii="宋体" w:hAnsi="宋体" w:cs="宋体"/>
                <w:color w:val="auto"/>
                <w:szCs w:val="21"/>
                <w:highlight w:val="none"/>
              </w:rPr>
            </w:pPr>
            <w:r>
              <w:rPr>
                <w:rFonts w:hint="eastAsia" w:ascii="宋体" w:hAnsi="宋体" w:cs="宋体"/>
                <w:color w:val="auto"/>
                <w:szCs w:val="21"/>
                <w:highlight w:val="none"/>
              </w:rPr>
              <w:t>磋商首轮报价、最终报价</w:t>
            </w:r>
          </w:p>
        </w:tc>
        <w:tc>
          <w:tcPr>
            <w:tcW w:w="5453" w:type="dxa"/>
            <w:tcBorders>
              <w:top w:val="single" w:color="auto" w:sz="4" w:space="0"/>
              <w:left w:val="single" w:color="auto" w:sz="4" w:space="0"/>
              <w:bottom w:val="single" w:color="auto" w:sz="4" w:space="0"/>
              <w:right w:val="single" w:color="auto" w:sz="4" w:space="0"/>
            </w:tcBorders>
            <w:vAlign w:val="center"/>
          </w:tcPr>
          <w:p w14:paraId="760DFC07">
            <w:pPr>
              <w:adjustRightInd w:val="0"/>
              <w:textAlignment w:val="baseline"/>
              <w:rPr>
                <w:rFonts w:ascii="宋体" w:hAnsi="宋体" w:cs="宋体"/>
                <w:color w:val="auto"/>
                <w:szCs w:val="21"/>
                <w:highlight w:val="none"/>
              </w:rPr>
            </w:pPr>
            <w:r>
              <w:rPr>
                <w:rFonts w:hint="eastAsia" w:ascii="宋体" w:hAnsi="宋体" w:cs="宋体"/>
                <w:color w:val="auto"/>
                <w:szCs w:val="21"/>
                <w:highlight w:val="none"/>
              </w:rPr>
              <w:t>磋商报价在规定的报价要求范围之内，未超出最高限价</w:t>
            </w:r>
          </w:p>
        </w:tc>
      </w:tr>
    </w:tbl>
    <w:p w14:paraId="130AEED2">
      <w:pPr>
        <w:snapToGrid w:val="0"/>
        <w:spacing w:line="360" w:lineRule="auto"/>
        <w:ind w:firstLine="387" w:firstLineChars="175"/>
        <w:rPr>
          <w:rFonts w:ascii="宋体" w:hAnsi="宋体" w:cs="宋体"/>
          <w:color w:val="auto"/>
          <w:sz w:val="24"/>
          <w:highlight w:val="none"/>
        </w:rPr>
      </w:pPr>
      <w:bookmarkStart w:id="654" w:name="_Toc152045600"/>
      <w:bookmarkStart w:id="655" w:name="_Toc281405528"/>
      <w:bookmarkStart w:id="656" w:name="_Toc144974567"/>
      <w:bookmarkStart w:id="657" w:name="_Toc152042377"/>
      <w:bookmarkStart w:id="658" w:name="_Toc318450722"/>
      <w:r>
        <w:rPr>
          <w:rFonts w:hint="eastAsia" w:ascii="宋体" w:hAnsi="宋体" w:cs="宋体"/>
          <w:b/>
          <w:bCs/>
          <w:color w:val="auto"/>
          <w:sz w:val="22"/>
          <w:szCs w:val="22"/>
          <w:highlight w:val="none"/>
        </w:rPr>
        <w:t>注：以上评审标准未通过的供应商，不得进入下一步评审。</w:t>
      </w:r>
      <w:r>
        <w:rPr>
          <w:rFonts w:hint="eastAsia" w:ascii="宋体" w:hAnsi="宋体" w:cs="宋体"/>
          <w:color w:val="auto"/>
          <w:sz w:val="24"/>
          <w:highlight w:val="none"/>
        </w:rPr>
        <w:br w:type="page"/>
      </w:r>
      <w:r>
        <w:rPr>
          <w:rFonts w:hint="eastAsia" w:ascii="宋体" w:hAnsi="宋体" w:cs="宋体"/>
          <w:color w:val="auto"/>
          <w:sz w:val="24"/>
          <w:highlight w:val="none"/>
        </w:rPr>
        <w:t>2.2在评审过程中，凡遇到磋商文件中无界定或界定不清、前后不一致使磋商小组意见有分歧且又难于协商一致的问题，均由磋商小组予以表决，获半数以上同意的即为通过，未获半数同意的即为否决。</w:t>
      </w:r>
    </w:p>
    <w:tbl>
      <w:tblPr>
        <w:tblStyle w:val="47"/>
        <w:tblW w:w="9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40"/>
        <w:gridCol w:w="1169"/>
        <w:gridCol w:w="6228"/>
      </w:tblGrid>
      <w:tr w14:paraId="14A00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00" w:type="dxa"/>
            <w:vAlign w:val="center"/>
          </w:tcPr>
          <w:p w14:paraId="71219A19">
            <w:pPr>
              <w:adjustRightInd w:val="0"/>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1909" w:type="dxa"/>
            <w:gridSpan w:val="2"/>
            <w:vAlign w:val="center"/>
          </w:tcPr>
          <w:p w14:paraId="12BE00F3">
            <w:pPr>
              <w:adjustRightInd w:val="0"/>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条款内容</w:t>
            </w:r>
          </w:p>
        </w:tc>
        <w:tc>
          <w:tcPr>
            <w:tcW w:w="6228" w:type="dxa"/>
            <w:vAlign w:val="center"/>
          </w:tcPr>
          <w:p w14:paraId="03862FB0">
            <w:pPr>
              <w:adjustRightInd w:val="0"/>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 xml:space="preserve"> 编列内容</w:t>
            </w:r>
          </w:p>
        </w:tc>
      </w:tr>
      <w:tr w14:paraId="1B99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vAlign w:val="center"/>
          </w:tcPr>
          <w:p w14:paraId="0218F55D">
            <w:pPr>
              <w:adjustRightInd w:val="0"/>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2.2.1</w:t>
            </w:r>
          </w:p>
        </w:tc>
        <w:tc>
          <w:tcPr>
            <w:tcW w:w="1909" w:type="dxa"/>
            <w:gridSpan w:val="2"/>
            <w:vAlign w:val="center"/>
          </w:tcPr>
          <w:p w14:paraId="1130AC06">
            <w:pPr>
              <w:widowControl/>
              <w:jc w:val="center"/>
              <w:rPr>
                <w:color w:val="auto"/>
                <w:highlight w:val="none"/>
              </w:rPr>
            </w:pPr>
            <w:r>
              <w:rPr>
                <w:rFonts w:hint="eastAsia" w:ascii="宋体" w:hAnsi="宋体" w:cs="宋体"/>
                <w:color w:val="auto"/>
                <w:kern w:val="0"/>
                <w:sz w:val="20"/>
                <w:szCs w:val="20"/>
                <w:highlight w:val="none"/>
              </w:rPr>
              <w:t>分值构成</w:t>
            </w:r>
          </w:p>
          <w:p w14:paraId="0CBCFEDB">
            <w:pPr>
              <w:widowControl/>
              <w:jc w:val="center"/>
              <w:rPr>
                <w:color w:val="auto"/>
                <w:highlight w:val="none"/>
              </w:rPr>
            </w:pPr>
            <w:r>
              <w:rPr>
                <w:rFonts w:hint="eastAsia" w:ascii="宋体" w:hAnsi="宋体" w:cs="宋体"/>
                <w:color w:val="auto"/>
                <w:kern w:val="0"/>
                <w:sz w:val="20"/>
                <w:szCs w:val="20"/>
                <w:highlight w:val="none"/>
              </w:rPr>
              <w:t>(总分100分)</w:t>
            </w:r>
          </w:p>
          <w:p w14:paraId="4FF765CB">
            <w:pPr>
              <w:adjustRightInd w:val="0"/>
              <w:spacing w:line="360" w:lineRule="auto"/>
              <w:jc w:val="center"/>
              <w:rPr>
                <w:rFonts w:ascii="宋体" w:hAnsi="宋体" w:cs="宋体"/>
                <w:b/>
                <w:color w:val="auto"/>
                <w:szCs w:val="21"/>
                <w:highlight w:val="none"/>
              </w:rPr>
            </w:pPr>
          </w:p>
        </w:tc>
        <w:tc>
          <w:tcPr>
            <w:tcW w:w="6228" w:type="dxa"/>
            <w:vAlign w:val="center"/>
          </w:tcPr>
          <w:p w14:paraId="7E70FE32">
            <w:pPr>
              <w:adjustRightInd w:val="0"/>
              <w:spacing w:line="360" w:lineRule="auto"/>
              <w:jc w:val="left"/>
              <w:rPr>
                <w:rFonts w:hint="eastAsia" w:ascii="宋体" w:hAnsi="宋体" w:cs="宋体"/>
                <w:b w:val="0"/>
                <w:bCs/>
                <w:color w:val="auto"/>
                <w:szCs w:val="21"/>
                <w:highlight w:val="none"/>
              </w:rPr>
            </w:pPr>
            <w:r>
              <w:rPr>
                <w:rFonts w:hint="eastAsia" w:ascii="宋体" w:hAnsi="宋体" w:cs="宋体"/>
                <w:b w:val="0"/>
                <w:bCs/>
                <w:color w:val="auto"/>
                <w:szCs w:val="21"/>
                <w:highlight w:val="none"/>
              </w:rPr>
              <w:t>投标报价：10分</w:t>
            </w:r>
          </w:p>
          <w:p w14:paraId="6B9E94F1">
            <w:pPr>
              <w:adjustRightInd w:val="0"/>
              <w:spacing w:line="360" w:lineRule="auto"/>
              <w:jc w:val="left"/>
              <w:rPr>
                <w:rFonts w:hint="eastAsia" w:ascii="宋体" w:hAnsi="宋体" w:cs="宋体"/>
                <w:b w:val="0"/>
                <w:bCs/>
                <w:color w:val="auto"/>
                <w:szCs w:val="21"/>
                <w:highlight w:val="none"/>
              </w:rPr>
            </w:pPr>
            <w:r>
              <w:rPr>
                <w:rFonts w:hint="eastAsia" w:ascii="宋体" w:hAnsi="宋体" w:cs="宋体"/>
                <w:b w:val="0"/>
                <w:bCs/>
                <w:color w:val="auto"/>
                <w:szCs w:val="21"/>
                <w:highlight w:val="none"/>
              </w:rPr>
              <w:t>技术部分：70分</w:t>
            </w:r>
          </w:p>
          <w:p w14:paraId="21839EF5">
            <w:pPr>
              <w:adjustRightInd w:val="0"/>
              <w:spacing w:line="360" w:lineRule="auto"/>
              <w:jc w:val="left"/>
              <w:rPr>
                <w:rFonts w:ascii="宋体" w:hAnsi="宋体" w:cs="宋体"/>
                <w:b/>
                <w:color w:val="auto"/>
                <w:szCs w:val="21"/>
                <w:highlight w:val="none"/>
              </w:rPr>
            </w:pPr>
            <w:r>
              <w:rPr>
                <w:rFonts w:hint="eastAsia" w:ascii="宋体" w:hAnsi="宋体" w:cs="宋体"/>
                <w:b w:val="0"/>
                <w:bCs/>
                <w:color w:val="auto"/>
                <w:szCs w:val="21"/>
                <w:highlight w:val="none"/>
              </w:rPr>
              <w:t>商务部分：20分</w:t>
            </w:r>
          </w:p>
        </w:tc>
      </w:tr>
      <w:tr w14:paraId="400D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57A92CD6">
            <w:pPr>
              <w:adjustRightInd w:val="0"/>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2.2.2（1）</w:t>
            </w:r>
          </w:p>
        </w:tc>
        <w:tc>
          <w:tcPr>
            <w:tcW w:w="1909" w:type="dxa"/>
            <w:gridSpan w:val="2"/>
            <w:vAlign w:val="center"/>
          </w:tcPr>
          <w:p w14:paraId="457B8EFE">
            <w:pPr>
              <w:adjustRightInd w:val="0"/>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投标报价</w:t>
            </w:r>
          </w:p>
          <w:p w14:paraId="7D78A23A">
            <w:pPr>
              <w:adjustRightInd w:val="0"/>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lang w:val="en-US" w:eastAsia="zh-CN"/>
              </w:rPr>
              <w:t>10</w:t>
            </w:r>
            <w:r>
              <w:rPr>
                <w:rFonts w:hint="eastAsia" w:ascii="宋体" w:hAnsi="宋体" w:cs="宋体"/>
                <w:bCs/>
                <w:color w:val="auto"/>
                <w:szCs w:val="21"/>
                <w:highlight w:val="none"/>
              </w:rPr>
              <w:t>分</w:t>
            </w:r>
          </w:p>
        </w:tc>
        <w:tc>
          <w:tcPr>
            <w:tcW w:w="6228" w:type="dxa"/>
            <w:vAlign w:val="center"/>
          </w:tcPr>
          <w:p w14:paraId="464B765A">
            <w:pP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1.综合评分法中的价格分统一采用低价优先法计算，即满足招标文件要求且投标价格最低的报价为评标基准价，其价格分为满分。其他供应商的价格分统一按以下公式计算：</w:t>
            </w:r>
          </w:p>
          <w:p w14:paraId="7D79F513">
            <w:pP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投标报价得分=（评标基准值／投标报价）×10%×100</w:t>
            </w:r>
          </w:p>
          <w:p w14:paraId="65D397DA">
            <w:pP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2.供应商的报价超出招标控制价的，按无效标处理。</w:t>
            </w:r>
          </w:p>
          <w:p w14:paraId="2DC43C95">
            <w:pP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评标委员会认为供应商的报价明显低于其他通过符合性审查供应商的报价，有可能影响不能诚信履约的，应当要求其在电子交易系统中合理的时间内提供书面说明，必要时提交相关证明材料；供应商不能证明其报价合理性的，评标委员会应当将其作为无效投标处理。</w:t>
            </w:r>
          </w:p>
          <w:p w14:paraId="65032C94">
            <w:pP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注：</w:t>
            </w:r>
            <w:r>
              <w:rPr>
                <w:rFonts w:hint="eastAsia" w:ascii="宋体" w:hAnsi="宋体" w:eastAsia="宋体" w:cs="宋体"/>
                <w:b/>
                <w:bCs/>
                <w:color w:val="auto"/>
                <w:szCs w:val="21"/>
                <w:highlight w:val="none"/>
              </w:rPr>
              <w:t>计算结果按四舍五入法则，保留小数点后两位；</w:t>
            </w:r>
          </w:p>
          <w:p w14:paraId="0F7DEAE2">
            <w:pPr>
              <w:adjustRightInd w:val="0"/>
              <w:spacing w:line="360" w:lineRule="auto"/>
              <w:jc w:val="left"/>
              <w:rPr>
                <w:rFonts w:hint="default" w:ascii="宋体" w:hAnsi="宋体" w:eastAsia="宋体" w:cs="宋体"/>
                <w:bCs/>
                <w:color w:val="auto"/>
                <w:szCs w:val="21"/>
                <w:highlight w:val="none"/>
                <w:lang w:val="en-US" w:eastAsia="zh-CN"/>
              </w:rPr>
            </w:pPr>
            <w:r>
              <w:rPr>
                <w:rFonts w:hint="eastAsia" w:ascii="宋体" w:hAnsi="宋体" w:eastAsia="宋体" w:cs="宋体"/>
                <w:b/>
                <w:color w:val="auto"/>
                <w:kern w:val="0"/>
                <w:szCs w:val="21"/>
                <w:highlight w:val="none"/>
                <w:lang w:val="zh-CN"/>
              </w:rPr>
              <w:t>本项目为专门面向中小企业采购项目，不再进行价格扣除。</w:t>
            </w:r>
          </w:p>
        </w:tc>
      </w:tr>
      <w:tr w14:paraId="06534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restart"/>
            <w:vAlign w:val="center"/>
          </w:tcPr>
          <w:p w14:paraId="3138F4AA">
            <w:pPr>
              <w:adjustRightInd w:val="0"/>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2.2.2（2）</w:t>
            </w:r>
          </w:p>
        </w:tc>
        <w:tc>
          <w:tcPr>
            <w:tcW w:w="740" w:type="dxa"/>
            <w:vMerge w:val="restart"/>
            <w:vAlign w:val="center"/>
          </w:tcPr>
          <w:p w14:paraId="79494BF1">
            <w:pPr>
              <w:adjustRightInd w:val="0"/>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技术评分标准</w:t>
            </w:r>
            <w:r>
              <w:rPr>
                <w:rFonts w:hint="eastAsia" w:ascii="宋体" w:hAnsi="宋体" w:cs="宋体"/>
                <w:bCs/>
                <w:color w:val="auto"/>
                <w:szCs w:val="21"/>
                <w:highlight w:val="none"/>
                <w:lang w:val="en-US" w:eastAsia="zh-CN"/>
              </w:rPr>
              <w:t>70</w:t>
            </w:r>
            <w:r>
              <w:rPr>
                <w:rFonts w:hint="eastAsia" w:ascii="宋体" w:hAnsi="宋体" w:cs="宋体"/>
                <w:bCs/>
                <w:color w:val="auto"/>
                <w:szCs w:val="21"/>
                <w:highlight w:val="none"/>
              </w:rPr>
              <w:t>分</w:t>
            </w:r>
          </w:p>
        </w:tc>
        <w:tc>
          <w:tcPr>
            <w:tcW w:w="1169" w:type="dxa"/>
            <w:vMerge w:val="restart"/>
            <w:vAlign w:val="center"/>
          </w:tcPr>
          <w:p w14:paraId="1FE14B36">
            <w:pPr>
              <w:widowControl/>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服务方案</w:t>
            </w:r>
          </w:p>
          <w:p w14:paraId="0ACA2C3C">
            <w:pPr>
              <w:widowControl/>
              <w:spacing w:line="360" w:lineRule="auto"/>
              <w:jc w:val="center"/>
              <w:rPr>
                <w:rFonts w:hint="default" w:ascii="宋体" w:hAnsi="宋体" w:cs="宋体"/>
                <w:color w:val="auto"/>
                <w:szCs w:val="21"/>
                <w:highlight w:val="none"/>
                <w:lang w:val="en-US" w:eastAsia="zh-CN"/>
              </w:rPr>
            </w:pPr>
          </w:p>
        </w:tc>
        <w:tc>
          <w:tcPr>
            <w:tcW w:w="6228" w:type="dxa"/>
            <w:vAlign w:val="center"/>
          </w:tcPr>
          <w:p w14:paraId="7C97506F">
            <w:pPr>
              <w:wordWrap/>
              <w:topLinePunct w:val="0"/>
              <w:spacing w:line="400" w:lineRule="exact"/>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对项目采购需求的理解，准确全面、理解深入</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分，基本准确全面、比较深入，得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分，理解不太准确、不全面、不深入，得1分。</w:t>
            </w:r>
            <w:r>
              <w:rPr>
                <w:rFonts w:hint="eastAsia" w:ascii="宋体" w:hAnsi="宋体" w:eastAsia="宋体" w:cs="宋体"/>
                <w:color w:val="auto"/>
                <w:sz w:val="21"/>
                <w:szCs w:val="21"/>
                <w:highlight w:val="none"/>
                <w:lang w:eastAsia="zh-CN"/>
              </w:rPr>
              <w:t>缺项得0分</w:t>
            </w:r>
            <w:r>
              <w:rPr>
                <w:rFonts w:hint="eastAsia" w:ascii="宋体" w:hAnsi="宋体" w:eastAsia="宋体" w:cs="宋体"/>
                <w:color w:val="auto"/>
                <w:sz w:val="21"/>
                <w:szCs w:val="21"/>
                <w:highlight w:val="none"/>
              </w:rPr>
              <w:t>。</w:t>
            </w:r>
          </w:p>
        </w:tc>
      </w:tr>
      <w:tr w14:paraId="023C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37E54D82">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3D70EED7">
            <w:pPr>
              <w:adjustRightInd w:val="0"/>
              <w:spacing w:line="360" w:lineRule="auto"/>
              <w:jc w:val="center"/>
              <w:rPr>
                <w:rFonts w:hint="eastAsia" w:ascii="宋体" w:hAnsi="宋体" w:cs="宋体"/>
                <w:bCs/>
                <w:color w:val="auto"/>
                <w:szCs w:val="21"/>
                <w:highlight w:val="none"/>
              </w:rPr>
            </w:pPr>
          </w:p>
        </w:tc>
        <w:tc>
          <w:tcPr>
            <w:tcW w:w="1169" w:type="dxa"/>
            <w:vMerge w:val="continue"/>
            <w:vAlign w:val="center"/>
          </w:tcPr>
          <w:p w14:paraId="05A46304">
            <w:pPr>
              <w:widowControl/>
              <w:spacing w:line="360" w:lineRule="auto"/>
              <w:jc w:val="center"/>
              <w:rPr>
                <w:rFonts w:hint="eastAsia" w:ascii="宋体" w:hAnsi="宋体" w:cs="宋体"/>
                <w:color w:val="auto"/>
                <w:szCs w:val="21"/>
                <w:highlight w:val="none"/>
                <w:lang w:val="en-US" w:eastAsia="zh-CN"/>
              </w:rPr>
            </w:pPr>
          </w:p>
        </w:tc>
        <w:tc>
          <w:tcPr>
            <w:tcW w:w="6228" w:type="dxa"/>
            <w:vAlign w:val="center"/>
          </w:tcPr>
          <w:p w14:paraId="603F47E4">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管理制度</w:t>
            </w:r>
            <w:r>
              <w:rPr>
                <w:rFonts w:hint="eastAsia" w:ascii="宋体" w:hAnsi="宋体" w:eastAsia="宋体" w:cs="宋体"/>
                <w:color w:val="auto"/>
                <w:sz w:val="21"/>
                <w:szCs w:val="21"/>
                <w:highlight w:val="none"/>
                <w:lang w:eastAsia="zh-CN"/>
              </w:rPr>
              <w:t>：</w:t>
            </w:r>
          </w:p>
          <w:p w14:paraId="34DD2233">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供应商内部管理制度健全，考核制度、财务管理制度、员工培训制度、人员岗位职责、工具维护保养制度等综合评审：</w:t>
            </w:r>
          </w:p>
          <w:p w14:paraId="5CBC22F4">
            <w:pPr>
              <w:widowControl/>
              <w:wordWrap/>
              <w:topLinePunct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1）描述清晰，管理制度完备，</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w:t>
            </w:r>
          </w:p>
          <w:p w14:paraId="6F0B1599">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2）管理制度简单，制度不完备，</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p>
          <w:p w14:paraId="1F46E51E">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3）管理制度混乱，制度不健全，</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p w14:paraId="1AADC495">
            <w:pPr>
              <w:wordWrap/>
              <w:topLinePunct w:val="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缺项得0分</w:t>
            </w:r>
            <w:r>
              <w:rPr>
                <w:rFonts w:hint="eastAsia" w:ascii="宋体" w:hAnsi="宋体" w:eastAsia="宋体" w:cs="宋体"/>
                <w:color w:val="auto"/>
                <w:sz w:val="21"/>
                <w:szCs w:val="21"/>
                <w:highlight w:val="none"/>
              </w:rPr>
              <w:t>。</w:t>
            </w:r>
          </w:p>
        </w:tc>
      </w:tr>
      <w:tr w14:paraId="72C4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744BD1E4">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44461F9F">
            <w:pPr>
              <w:adjustRightInd w:val="0"/>
              <w:spacing w:line="360" w:lineRule="auto"/>
              <w:jc w:val="center"/>
              <w:rPr>
                <w:rFonts w:hint="eastAsia" w:ascii="宋体" w:hAnsi="宋体" w:cs="宋体"/>
                <w:bCs/>
                <w:color w:val="auto"/>
                <w:szCs w:val="21"/>
                <w:highlight w:val="none"/>
              </w:rPr>
            </w:pPr>
          </w:p>
        </w:tc>
        <w:tc>
          <w:tcPr>
            <w:tcW w:w="1169" w:type="dxa"/>
            <w:vMerge w:val="continue"/>
            <w:vAlign w:val="center"/>
          </w:tcPr>
          <w:p w14:paraId="2703DCD6">
            <w:pPr>
              <w:widowControl/>
              <w:spacing w:line="360" w:lineRule="auto"/>
              <w:jc w:val="center"/>
              <w:rPr>
                <w:rFonts w:hint="eastAsia" w:ascii="宋体" w:hAnsi="宋体" w:cs="宋体"/>
                <w:color w:val="auto"/>
                <w:szCs w:val="21"/>
                <w:highlight w:val="none"/>
                <w:lang w:val="en-US" w:eastAsia="zh-CN"/>
              </w:rPr>
            </w:pPr>
          </w:p>
        </w:tc>
        <w:tc>
          <w:tcPr>
            <w:tcW w:w="6228" w:type="dxa"/>
            <w:vAlign w:val="center"/>
          </w:tcPr>
          <w:p w14:paraId="15C51FAE">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.拟投入的器具、机械用品、劳保等配置配备</w:t>
            </w:r>
            <w:r>
              <w:rPr>
                <w:rFonts w:hint="eastAsia" w:ascii="宋体" w:hAnsi="宋体" w:eastAsia="宋体" w:cs="宋体"/>
                <w:color w:val="auto"/>
                <w:sz w:val="21"/>
                <w:szCs w:val="21"/>
                <w:highlight w:val="none"/>
                <w:lang w:eastAsia="zh-CN"/>
              </w:rPr>
              <w:t>：</w:t>
            </w:r>
          </w:p>
          <w:p w14:paraId="48BABDE2">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拟投入的器具、机械用品、劳保等配置配备</w:t>
            </w:r>
            <w:r>
              <w:rPr>
                <w:rFonts w:hint="eastAsia" w:ascii="宋体" w:hAnsi="宋体" w:eastAsia="宋体" w:cs="宋体"/>
                <w:color w:val="auto"/>
                <w:sz w:val="21"/>
                <w:szCs w:val="21"/>
                <w:highlight w:val="none"/>
                <w:lang w:val="en-US" w:eastAsia="zh-CN"/>
              </w:rPr>
              <w:t>方案横向对比</w:t>
            </w:r>
            <w:r>
              <w:rPr>
                <w:rFonts w:hint="eastAsia" w:ascii="宋体" w:hAnsi="宋体" w:eastAsia="宋体" w:cs="宋体"/>
                <w:color w:val="auto"/>
                <w:sz w:val="21"/>
                <w:szCs w:val="21"/>
                <w:highlight w:val="none"/>
                <w:lang w:eastAsia="zh-CN"/>
              </w:rPr>
              <w:t>评审。</w:t>
            </w:r>
          </w:p>
          <w:p w14:paraId="1D76DA5A">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配置齐全，针对性强，内容完备、详实，可操作性强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得10分；</w:t>
            </w:r>
          </w:p>
          <w:p w14:paraId="118BEB8B">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配置比较齐全，针对性较强，内容比较完备、详实，可操作性较强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得7分；</w:t>
            </w:r>
          </w:p>
          <w:p w14:paraId="1E3A60A6">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val="en-US" w:eastAsia="zh-CN"/>
              </w:rPr>
              <w:t>配置不齐全，针对性不强，内容不完备，可操作性不强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得3分</w:t>
            </w:r>
            <w:r>
              <w:rPr>
                <w:rFonts w:hint="eastAsia" w:ascii="宋体" w:hAnsi="宋体" w:eastAsia="宋体" w:cs="宋体"/>
                <w:color w:val="auto"/>
                <w:sz w:val="21"/>
                <w:szCs w:val="21"/>
                <w:highlight w:val="none"/>
                <w:lang w:eastAsia="zh-CN"/>
              </w:rPr>
              <w:t>；</w:t>
            </w:r>
          </w:p>
          <w:p w14:paraId="31352A24">
            <w:pPr>
              <w:widowControl/>
              <w:wordWrap/>
              <w:topLinePunct w:val="0"/>
              <w:spacing w:line="4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缺项得0分</w:t>
            </w:r>
            <w:r>
              <w:rPr>
                <w:rFonts w:hint="eastAsia" w:ascii="宋体" w:hAnsi="宋体" w:eastAsia="宋体" w:cs="宋体"/>
                <w:color w:val="auto"/>
                <w:sz w:val="21"/>
                <w:szCs w:val="21"/>
                <w:highlight w:val="none"/>
              </w:rPr>
              <w:t>。</w:t>
            </w:r>
          </w:p>
        </w:tc>
      </w:tr>
      <w:tr w14:paraId="22A36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697B5613">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7E9CB79B">
            <w:pPr>
              <w:adjustRightInd w:val="0"/>
              <w:spacing w:line="360" w:lineRule="auto"/>
              <w:jc w:val="center"/>
              <w:rPr>
                <w:rFonts w:hint="eastAsia" w:ascii="宋体" w:hAnsi="宋体" w:cs="宋体"/>
                <w:bCs/>
                <w:color w:val="auto"/>
                <w:szCs w:val="21"/>
                <w:highlight w:val="none"/>
              </w:rPr>
            </w:pPr>
          </w:p>
        </w:tc>
        <w:tc>
          <w:tcPr>
            <w:tcW w:w="1169" w:type="dxa"/>
            <w:vMerge w:val="continue"/>
            <w:vAlign w:val="center"/>
          </w:tcPr>
          <w:p w14:paraId="3AC31E8E">
            <w:pPr>
              <w:widowControl/>
              <w:spacing w:line="360" w:lineRule="auto"/>
              <w:jc w:val="center"/>
              <w:rPr>
                <w:rFonts w:hint="eastAsia" w:ascii="宋体" w:hAnsi="宋体" w:cs="宋体"/>
                <w:color w:val="auto"/>
                <w:szCs w:val="21"/>
                <w:highlight w:val="none"/>
                <w:lang w:val="en-US" w:eastAsia="zh-CN"/>
              </w:rPr>
            </w:pPr>
          </w:p>
        </w:tc>
        <w:tc>
          <w:tcPr>
            <w:tcW w:w="6228" w:type="dxa"/>
            <w:vAlign w:val="center"/>
          </w:tcPr>
          <w:p w14:paraId="301576BD">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.垃圾清运实施方案</w:t>
            </w:r>
            <w:r>
              <w:rPr>
                <w:rFonts w:hint="eastAsia" w:ascii="宋体" w:hAnsi="宋体" w:eastAsia="宋体" w:cs="宋体"/>
                <w:color w:val="auto"/>
                <w:sz w:val="21"/>
                <w:szCs w:val="21"/>
                <w:highlight w:val="none"/>
                <w:lang w:eastAsia="zh-CN"/>
              </w:rPr>
              <w:t>：</w:t>
            </w:r>
          </w:p>
          <w:p w14:paraId="3EA1BFB3">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根据供应商自行将收集的沿线垃圾及承包范围内的垃圾运输、垃圾收集车辆的冲洗、消杀，运输过程中漏洒、车辆干净整洁、不焚烧、不扬尘等进行评审：</w:t>
            </w:r>
          </w:p>
          <w:p w14:paraId="1AD1B3AB">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1）提供内容完整、详实可行的方案，可实施性和针对性强，</w:t>
            </w:r>
            <w:r>
              <w:rPr>
                <w:rFonts w:hint="eastAsia" w:ascii="宋体" w:hAnsi="宋体" w:eastAsia="宋体" w:cs="宋体"/>
                <w:color w:val="auto"/>
                <w:sz w:val="21"/>
                <w:szCs w:val="21"/>
                <w:highlight w:val="none"/>
                <w:lang w:val="en-US" w:eastAsia="zh-CN"/>
              </w:rPr>
              <w:t>得10分；</w:t>
            </w:r>
          </w:p>
          <w:p w14:paraId="4C01C2BE">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2）提供通用、简单的方案，可实施性和针对性一般，</w:t>
            </w:r>
            <w:r>
              <w:rPr>
                <w:rFonts w:hint="eastAsia" w:ascii="宋体" w:hAnsi="宋体" w:eastAsia="宋体" w:cs="宋体"/>
                <w:color w:val="auto"/>
                <w:sz w:val="21"/>
                <w:szCs w:val="21"/>
                <w:highlight w:val="none"/>
                <w:lang w:val="en-US" w:eastAsia="zh-CN"/>
              </w:rPr>
              <w:t>得7分；</w:t>
            </w:r>
          </w:p>
          <w:p w14:paraId="1A780592">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3）垃圾清运实施方案可实施性和针对性差，</w:t>
            </w:r>
            <w:r>
              <w:rPr>
                <w:rFonts w:hint="eastAsia" w:ascii="宋体" w:hAnsi="宋体" w:eastAsia="宋体" w:cs="宋体"/>
                <w:color w:val="auto"/>
                <w:sz w:val="21"/>
                <w:szCs w:val="21"/>
                <w:highlight w:val="none"/>
                <w:lang w:val="en-US" w:eastAsia="zh-CN"/>
              </w:rPr>
              <w:t>得3分</w:t>
            </w:r>
            <w:r>
              <w:rPr>
                <w:rFonts w:hint="eastAsia" w:ascii="宋体" w:hAnsi="宋体" w:eastAsia="宋体" w:cs="宋体"/>
                <w:color w:val="auto"/>
                <w:sz w:val="21"/>
                <w:szCs w:val="21"/>
                <w:highlight w:val="none"/>
                <w:lang w:eastAsia="zh-CN"/>
              </w:rPr>
              <w:t>；</w:t>
            </w:r>
          </w:p>
          <w:p w14:paraId="050D45E8">
            <w:pPr>
              <w:widowControl/>
              <w:wordWrap/>
              <w:topLinePunct w:val="0"/>
              <w:spacing w:line="4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缺项得0分</w:t>
            </w:r>
            <w:r>
              <w:rPr>
                <w:rFonts w:hint="eastAsia" w:ascii="宋体" w:hAnsi="宋体" w:eastAsia="宋体" w:cs="宋体"/>
                <w:color w:val="auto"/>
                <w:sz w:val="21"/>
                <w:szCs w:val="21"/>
                <w:highlight w:val="none"/>
              </w:rPr>
              <w:t>。</w:t>
            </w:r>
          </w:p>
        </w:tc>
      </w:tr>
      <w:tr w14:paraId="335E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vMerge w:val="continue"/>
            <w:vAlign w:val="center"/>
          </w:tcPr>
          <w:p w14:paraId="2D32AD5B">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476F2541">
            <w:pPr>
              <w:adjustRightInd w:val="0"/>
              <w:spacing w:line="360" w:lineRule="auto"/>
              <w:jc w:val="center"/>
              <w:rPr>
                <w:rFonts w:hint="eastAsia" w:ascii="宋体" w:hAnsi="宋体" w:cs="宋体"/>
                <w:bCs/>
                <w:color w:val="auto"/>
                <w:szCs w:val="21"/>
                <w:highlight w:val="none"/>
              </w:rPr>
            </w:pPr>
          </w:p>
        </w:tc>
        <w:tc>
          <w:tcPr>
            <w:tcW w:w="1169" w:type="dxa"/>
            <w:vMerge w:val="continue"/>
            <w:vAlign w:val="center"/>
          </w:tcPr>
          <w:p w14:paraId="4FB75B60">
            <w:pPr>
              <w:widowControl/>
              <w:spacing w:line="360" w:lineRule="auto"/>
              <w:jc w:val="center"/>
              <w:rPr>
                <w:rFonts w:hint="default" w:ascii="宋体" w:hAnsi="宋体" w:cs="宋体"/>
                <w:color w:val="auto"/>
                <w:szCs w:val="21"/>
                <w:highlight w:val="none"/>
                <w:lang w:val="en-US" w:eastAsia="zh-CN"/>
              </w:rPr>
            </w:pPr>
          </w:p>
        </w:tc>
        <w:tc>
          <w:tcPr>
            <w:tcW w:w="6228" w:type="dxa"/>
            <w:vAlign w:val="center"/>
          </w:tcPr>
          <w:p w14:paraId="680A18CE">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.人员计划安排方案</w:t>
            </w:r>
            <w:r>
              <w:rPr>
                <w:rFonts w:hint="eastAsia" w:ascii="宋体" w:hAnsi="宋体" w:eastAsia="宋体" w:cs="宋体"/>
                <w:color w:val="auto"/>
                <w:sz w:val="21"/>
                <w:szCs w:val="21"/>
                <w:highlight w:val="none"/>
                <w:lang w:eastAsia="zh-CN"/>
              </w:rPr>
              <w:t>：</w:t>
            </w:r>
          </w:p>
          <w:p w14:paraId="10221284">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根据供应商人员配备、组成、结构、专业性、职责分工、经验、综合素质进行综合评审：</w:t>
            </w:r>
          </w:p>
          <w:p w14:paraId="6A8412C6">
            <w:pPr>
              <w:widowControl/>
              <w:wordWrap/>
              <w:topLinePunct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1）人员配备齐全，组成稳定，结构合理，专业性强，职责分工明确，经验丰富，综合素质高，</w:t>
            </w:r>
            <w:r>
              <w:rPr>
                <w:rFonts w:hint="eastAsia" w:ascii="宋体" w:hAnsi="宋体" w:eastAsia="宋体" w:cs="宋体"/>
                <w:color w:val="auto"/>
                <w:sz w:val="21"/>
                <w:szCs w:val="21"/>
                <w:highlight w:val="none"/>
                <w:lang w:val="en-US" w:eastAsia="zh-CN"/>
              </w:rPr>
              <w:t>得10分；</w:t>
            </w:r>
          </w:p>
          <w:p w14:paraId="56E8AEDE">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2）人员配备基本齐全，组成较稳定，结构相对合理，专业性一般，职责分工不够明确，经验稍显不足，综合素质一般，</w:t>
            </w:r>
            <w:r>
              <w:rPr>
                <w:rFonts w:hint="eastAsia" w:ascii="宋体" w:hAnsi="宋体" w:eastAsia="宋体" w:cs="宋体"/>
                <w:color w:val="auto"/>
                <w:sz w:val="21"/>
                <w:szCs w:val="21"/>
                <w:highlight w:val="none"/>
                <w:lang w:val="en-US" w:eastAsia="zh-CN"/>
              </w:rPr>
              <w:t>得7分；</w:t>
            </w:r>
          </w:p>
          <w:p w14:paraId="2B5076ED">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3）人员配备不够齐全，组成较稳定，结构合理性较差，专业性较差，职责分工不明确，经验较少，综合素质较差，</w:t>
            </w:r>
            <w:r>
              <w:rPr>
                <w:rFonts w:hint="eastAsia" w:ascii="宋体" w:hAnsi="宋体" w:eastAsia="宋体" w:cs="宋体"/>
                <w:color w:val="auto"/>
                <w:sz w:val="21"/>
                <w:szCs w:val="21"/>
                <w:highlight w:val="none"/>
                <w:lang w:val="en-US" w:eastAsia="zh-CN"/>
              </w:rPr>
              <w:t>得3分</w:t>
            </w:r>
            <w:r>
              <w:rPr>
                <w:rFonts w:hint="eastAsia" w:ascii="宋体" w:hAnsi="宋体" w:eastAsia="宋体" w:cs="宋体"/>
                <w:color w:val="auto"/>
                <w:sz w:val="21"/>
                <w:szCs w:val="21"/>
                <w:highlight w:val="none"/>
                <w:lang w:eastAsia="zh-CN"/>
              </w:rPr>
              <w:t>；</w:t>
            </w:r>
          </w:p>
          <w:p w14:paraId="1BDFE555">
            <w:pPr>
              <w:widowControl/>
              <w:wordWrap/>
              <w:topLinePunct w:val="0"/>
              <w:spacing w:line="4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缺项得0分</w:t>
            </w:r>
            <w:r>
              <w:rPr>
                <w:rFonts w:hint="eastAsia" w:ascii="宋体" w:hAnsi="宋体" w:eastAsia="宋体" w:cs="宋体"/>
                <w:color w:val="auto"/>
                <w:sz w:val="21"/>
                <w:szCs w:val="21"/>
                <w:highlight w:val="none"/>
              </w:rPr>
              <w:t>。</w:t>
            </w:r>
          </w:p>
        </w:tc>
      </w:tr>
      <w:tr w14:paraId="22D2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vMerge w:val="continue"/>
            <w:vAlign w:val="center"/>
          </w:tcPr>
          <w:p w14:paraId="7DF16AC6">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59E31B55">
            <w:pPr>
              <w:adjustRightInd w:val="0"/>
              <w:spacing w:line="360" w:lineRule="auto"/>
              <w:jc w:val="center"/>
              <w:rPr>
                <w:rFonts w:hint="eastAsia" w:ascii="宋体" w:hAnsi="宋体" w:cs="宋体"/>
                <w:bCs/>
                <w:color w:val="auto"/>
                <w:szCs w:val="21"/>
                <w:highlight w:val="none"/>
              </w:rPr>
            </w:pPr>
          </w:p>
        </w:tc>
        <w:tc>
          <w:tcPr>
            <w:tcW w:w="1169" w:type="dxa"/>
            <w:vMerge w:val="continue"/>
            <w:vAlign w:val="center"/>
          </w:tcPr>
          <w:p w14:paraId="4ED37A52">
            <w:pPr>
              <w:widowControl/>
              <w:spacing w:line="360" w:lineRule="auto"/>
              <w:jc w:val="center"/>
              <w:rPr>
                <w:rFonts w:hint="eastAsia" w:ascii="宋体" w:hAnsi="宋体" w:cs="宋体"/>
                <w:color w:val="auto"/>
                <w:szCs w:val="21"/>
                <w:highlight w:val="none"/>
                <w:lang w:val="en-US" w:eastAsia="zh-CN"/>
              </w:rPr>
            </w:pPr>
          </w:p>
        </w:tc>
        <w:tc>
          <w:tcPr>
            <w:tcW w:w="6228" w:type="dxa"/>
            <w:vAlign w:val="center"/>
          </w:tcPr>
          <w:p w14:paraId="104E71CC">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.重大活动、突发事件应急保障措施：</w:t>
            </w:r>
          </w:p>
          <w:p w14:paraId="51303459">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针对本项目制订的突发事件应急预案及处置措施，如停水停电、消防应急预案及自然灾害应急预案及处置措施。</w:t>
            </w:r>
          </w:p>
          <w:p w14:paraId="0C71BAD0">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1）方案措施具有针对性，内容充实、全面、科学、合理，可行性强，能充分满足采购人的服务需求，</w:t>
            </w:r>
            <w:r>
              <w:rPr>
                <w:rFonts w:hint="eastAsia" w:ascii="宋体" w:hAnsi="宋体" w:eastAsia="宋体" w:cs="宋体"/>
                <w:color w:val="auto"/>
                <w:sz w:val="21"/>
                <w:szCs w:val="21"/>
                <w:highlight w:val="none"/>
                <w:lang w:val="en-US" w:eastAsia="zh-CN"/>
              </w:rPr>
              <w:t>得10分；</w:t>
            </w:r>
          </w:p>
          <w:p w14:paraId="6A3FCEB5">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2）方案措施合理，内容较为全面，有一定的可行性，基本满足采购人服务需求，</w:t>
            </w:r>
            <w:r>
              <w:rPr>
                <w:rFonts w:hint="eastAsia" w:ascii="宋体" w:hAnsi="宋体" w:eastAsia="宋体" w:cs="宋体"/>
                <w:color w:val="auto"/>
                <w:sz w:val="21"/>
                <w:szCs w:val="21"/>
                <w:highlight w:val="none"/>
                <w:lang w:val="en-US" w:eastAsia="zh-CN"/>
              </w:rPr>
              <w:t>得7分；</w:t>
            </w:r>
          </w:p>
          <w:p w14:paraId="44E3C34C">
            <w:pPr>
              <w:widowControl/>
              <w:wordWrap/>
              <w:topLinePunct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3）方案不完善，内容简单，可行性不强，不</w:t>
            </w:r>
            <w:r>
              <w:rPr>
                <w:rFonts w:hint="eastAsia" w:ascii="宋体" w:hAnsi="宋体" w:eastAsia="宋体" w:cs="宋体"/>
                <w:color w:val="auto"/>
                <w:sz w:val="21"/>
                <w:szCs w:val="21"/>
                <w:highlight w:val="none"/>
                <w:lang w:val="en-US" w:eastAsia="zh-CN"/>
              </w:rPr>
              <w:t>满足</w:t>
            </w:r>
            <w:r>
              <w:rPr>
                <w:rFonts w:hint="eastAsia" w:ascii="宋体" w:hAnsi="宋体" w:eastAsia="宋体" w:cs="宋体"/>
                <w:color w:val="auto"/>
                <w:sz w:val="21"/>
                <w:szCs w:val="21"/>
                <w:highlight w:val="none"/>
                <w:lang w:eastAsia="zh-CN"/>
              </w:rPr>
              <w:t>采购人需求，</w:t>
            </w:r>
            <w:r>
              <w:rPr>
                <w:rFonts w:hint="eastAsia" w:ascii="宋体" w:hAnsi="宋体" w:eastAsia="宋体" w:cs="宋体"/>
                <w:color w:val="auto"/>
                <w:sz w:val="21"/>
                <w:szCs w:val="21"/>
                <w:highlight w:val="none"/>
                <w:lang w:val="en-US" w:eastAsia="zh-CN"/>
              </w:rPr>
              <w:t>得3分</w:t>
            </w:r>
            <w:r>
              <w:rPr>
                <w:rFonts w:hint="eastAsia" w:ascii="宋体" w:hAnsi="宋体" w:eastAsia="宋体" w:cs="宋体"/>
                <w:color w:val="auto"/>
                <w:sz w:val="21"/>
                <w:szCs w:val="21"/>
                <w:highlight w:val="none"/>
                <w:lang w:eastAsia="zh-CN"/>
              </w:rPr>
              <w:t>；</w:t>
            </w:r>
          </w:p>
          <w:p w14:paraId="130BBB83">
            <w:pPr>
              <w:widowControl/>
              <w:wordWrap/>
              <w:topLinePunct w:val="0"/>
              <w:spacing w:line="4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缺项得0分</w:t>
            </w:r>
            <w:r>
              <w:rPr>
                <w:rFonts w:hint="eastAsia" w:ascii="宋体" w:hAnsi="宋体" w:eastAsia="宋体" w:cs="宋体"/>
                <w:color w:val="auto"/>
                <w:sz w:val="21"/>
                <w:szCs w:val="21"/>
                <w:highlight w:val="none"/>
              </w:rPr>
              <w:t>。</w:t>
            </w:r>
          </w:p>
        </w:tc>
      </w:tr>
      <w:tr w14:paraId="4E235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vMerge w:val="continue"/>
            <w:vAlign w:val="center"/>
          </w:tcPr>
          <w:p w14:paraId="4AAC2DB2">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3A92409A">
            <w:pPr>
              <w:adjustRightInd w:val="0"/>
              <w:spacing w:line="360" w:lineRule="auto"/>
              <w:jc w:val="center"/>
              <w:rPr>
                <w:rFonts w:hint="eastAsia" w:ascii="宋体" w:hAnsi="宋体" w:cs="宋体"/>
                <w:bCs/>
                <w:color w:val="auto"/>
                <w:szCs w:val="21"/>
                <w:highlight w:val="none"/>
              </w:rPr>
            </w:pPr>
          </w:p>
        </w:tc>
        <w:tc>
          <w:tcPr>
            <w:tcW w:w="1169" w:type="dxa"/>
            <w:vMerge w:val="continue"/>
            <w:vAlign w:val="center"/>
          </w:tcPr>
          <w:p w14:paraId="10240229">
            <w:pPr>
              <w:widowControl/>
              <w:spacing w:line="360" w:lineRule="auto"/>
              <w:jc w:val="center"/>
              <w:rPr>
                <w:rFonts w:hint="eastAsia" w:ascii="宋体" w:hAnsi="宋体" w:cs="宋体"/>
                <w:color w:val="auto"/>
                <w:szCs w:val="21"/>
                <w:highlight w:val="none"/>
                <w:lang w:val="en-US" w:eastAsia="zh-CN"/>
              </w:rPr>
            </w:pPr>
          </w:p>
        </w:tc>
        <w:tc>
          <w:tcPr>
            <w:tcW w:w="6228" w:type="dxa"/>
            <w:vAlign w:val="center"/>
          </w:tcPr>
          <w:p w14:paraId="437737E4">
            <w:pPr>
              <w:widowControl/>
              <w:wordWrap/>
              <w:topLinePunct w:val="0"/>
              <w:spacing w:line="400" w:lineRule="exact"/>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7</w:t>
            </w:r>
            <w:r>
              <w:rPr>
                <w:rFonts w:hint="eastAsia" w:ascii="宋体" w:hAnsi="宋体" w:eastAsia="宋体" w:cs="宋体"/>
                <w:bCs/>
                <w:color w:val="auto"/>
                <w:sz w:val="21"/>
                <w:szCs w:val="21"/>
                <w:highlight w:val="none"/>
                <w:lang w:val="en-US" w:eastAsia="zh-CN"/>
              </w:rPr>
              <w:t>.对本次项目的服务对象分析，制定的针对性服务方案：</w:t>
            </w:r>
          </w:p>
          <w:p w14:paraId="37FD6007">
            <w:pPr>
              <w:widowControl/>
              <w:numPr>
                <w:ilvl w:val="0"/>
                <w:numId w:val="0"/>
              </w:numPr>
              <w:wordWrap/>
              <w:topLinePunct w:val="0"/>
              <w:spacing w:line="400" w:lineRule="exact"/>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1）方案针对性强，可操作性强，完全符合采购人的使用要求得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w:t>
            </w:r>
          </w:p>
          <w:p w14:paraId="690ACFCA">
            <w:pPr>
              <w:widowControl/>
              <w:numPr>
                <w:ilvl w:val="0"/>
                <w:numId w:val="0"/>
              </w:numPr>
              <w:wordWrap/>
              <w:topLinePunct w:val="0"/>
              <w:spacing w:line="400" w:lineRule="exact"/>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2）方案针对性较强，可操作性较强，基本符合采购人的使用要求得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p>
          <w:p w14:paraId="7FAABC54">
            <w:pPr>
              <w:widowControl/>
              <w:numPr>
                <w:ilvl w:val="0"/>
                <w:numId w:val="0"/>
              </w:numPr>
              <w:wordWrap/>
              <w:topLinePunct w:val="0"/>
              <w:spacing w:line="400" w:lineRule="exact"/>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3）方案针对性不强、可操作性不强，对采购人的使用要求理解不深得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643D3293">
            <w:pPr>
              <w:widowControl/>
              <w:numPr>
                <w:ilvl w:val="0"/>
                <w:numId w:val="0"/>
              </w:numPr>
              <w:wordWrap/>
              <w:topLinePunct w:val="0"/>
              <w:spacing w:line="400" w:lineRule="exact"/>
              <w:ind w:left="0" w:leftChars="0" w:firstLine="0" w:firstLineChars="0"/>
              <w:jc w:val="lef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缺项得0分。</w:t>
            </w:r>
          </w:p>
        </w:tc>
      </w:tr>
      <w:tr w14:paraId="57B19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900" w:type="dxa"/>
            <w:vMerge w:val="continue"/>
            <w:vAlign w:val="center"/>
          </w:tcPr>
          <w:p w14:paraId="73440C40">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7F036C26">
            <w:pPr>
              <w:adjustRightInd w:val="0"/>
              <w:spacing w:line="360" w:lineRule="auto"/>
              <w:jc w:val="center"/>
              <w:rPr>
                <w:rFonts w:ascii="宋体" w:hAnsi="宋体" w:cs="宋体"/>
                <w:bCs/>
                <w:color w:val="auto"/>
                <w:szCs w:val="21"/>
                <w:highlight w:val="none"/>
              </w:rPr>
            </w:pPr>
          </w:p>
        </w:tc>
        <w:tc>
          <w:tcPr>
            <w:tcW w:w="1169" w:type="dxa"/>
            <w:vMerge w:val="continue"/>
            <w:vAlign w:val="center"/>
          </w:tcPr>
          <w:p w14:paraId="3436A551">
            <w:pPr>
              <w:widowControl/>
              <w:spacing w:line="360" w:lineRule="auto"/>
              <w:jc w:val="center"/>
              <w:rPr>
                <w:rFonts w:hint="eastAsia" w:ascii="宋体" w:hAnsi="宋体" w:cs="宋体"/>
                <w:bCs/>
                <w:color w:val="auto"/>
                <w:szCs w:val="21"/>
                <w:highlight w:val="none"/>
              </w:rPr>
            </w:pPr>
          </w:p>
        </w:tc>
        <w:tc>
          <w:tcPr>
            <w:tcW w:w="6228" w:type="dxa"/>
            <w:vAlign w:val="center"/>
          </w:tcPr>
          <w:p w14:paraId="39316E08">
            <w:pPr>
              <w:widowControl/>
              <w:wordWrap/>
              <w:topLinePunct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.服务质量保证措施：措施详细、完整，可实施性强得5分；措施比较详细、可实施性较强得3分；措施不完善、可实施性不强得1分；</w:t>
            </w:r>
          </w:p>
          <w:p w14:paraId="7ABE9DFC">
            <w:pPr>
              <w:widowControl/>
              <w:wordWrap/>
              <w:topLinePunct w:val="0"/>
              <w:spacing w:line="4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缺项得0分。</w:t>
            </w:r>
          </w:p>
        </w:tc>
      </w:tr>
      <w:tr w14:paraId="4845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900" w:type="dxa"/>
            <w:vMerge w:val="restart"/>
            <w:vAlign w:val="center"/>
          </w:tcPr>
          <w:p w14:paraId="764FF733">
            <w:pPr>
              <w:adjustRightInd w:val="0"/>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2.2.2（3）</w:t>
            </w:r>
          </w:p>
        </w:tc>
        <w:tc>
          <w:tcPr>
            <w:tcW w:w="740" w:type="dxa"/>
            <w:vMerge w:val="restart"/>
            <w:vAlign w:val="center"/>
          </w:tcPr>
          <w:p w14:paraId="61A20B4A">
            <w:pPr>
              <w:widowControl/>
              <w:spacing w:line="360" w:lineRule="auto"/>
              <w:jc w:val="center"/>
              <w:rPr>
                <w:rFonts w:ascii="宋体" w:hAnsi="宋体" w:cs="宋体"/>
                <w:bCs/>
                <w:color w:val="auto"/>
                <w:szCs w:val="21"/>
                <w:highlight w:val="none"/>
              </w:rPr>
            </w:pPr>
            <w:r>
              <w:rPr>
                <w:rFonts w:hint="eastAsia" w:ascii="宋体" w:hAnsi="宋体" w:cs="宋体"/>
                <w:bCs/>
                <w:color w:val="auto"/>
                <w:kern w:val="0"/>
                <w:szCs w:val="21"/>
                <w:highlight w:val="none"/>
              </w:rPr>
              <w:t>商务部分</w:t>
            </w:r>
          </w:p>
          <w:p w14:paraId="4B063B0A">
            <w:pPr>
              <w:adjustRightInd w:val="0"/>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标准</w:t>
            </w:r>
            <w:r>
              <w:rPr>
                <w:rFonts w:hint="eastAsia" w:ascii="宋体" w:hAnsi="宋体" w:cs="宋体"/>
                <w:bCs/>
                <w:color w:val="auto"/>
                <w:szCs w:val="21"/>
                <w:highlight w:val="none"/>
                <w:lang w:val="en-US" w:eastAsia="zh-CN"/>
              </w:rPr>
              <w:t>20</w:t>
            </w:r>
            <w:r>
              <w:rPr>
                <w:rFonts w:hint="eastAsia" w:ascii="宋体" w:hAnsi="宋体" w:cs="宋体"/>
                <w:bCs/>
                <w:color w:val="auto"/>
                <w:szCs w:val="21"/>
                <w:highlight w:val="none"/>
              </w:rPr>
              <w:t>分</w:t>
            </w:r>
          </w:p>
        </w:tc>
        <w:tc>
          <w:tcPr>
            <w:tcW w:w="1169" w:type="dxa"/>
            <w:vAlign w:val="center"/>
          </w:tcPr>
          <w:p w14:paraId="52AD0FBC">
            <w:pPr>
              <w:pStyle w:val="26"/>
              <w:spacing w:line="360" w:lineRule="auto"/>
              <w:jc w:val="center"/>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eastAsia="zh-CN"/>
              </w:rPr>
              <w:t>服务</w:t>
            </w:r>
            <w:r>
              <w:rPr>
                <w:rFonts w:hint="eastAsia" w:ascii="宋体" w:hAnsi="宋体" w:eastAsia="宋体" w:cs="宋体"/>
                <w:b/>
                <w:color w:val="auto"/>
                <w:kern w:val="0"/>
                <w:sz w:val="21"/>
                <w:szCs w:val="21"/>
                <w:highlight w:val="none"/>
                <w:lang w:val="en-US" w:eastAsia="zh-CN"/>
              </w:rPr>
              <w:t>承诺</w:t>
            </w:r>
          </w:p>
          <w:p w14:paraId="60A203F8">
            <w:pPr>
              <w:pStyle w:val="26"/>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lang w:val="en-US" w:eastAsia="zh-CN"/>
              </w:rPr>
              <w:t>12</w:t>
            </w:r>
            <w:r>
              <w:rPr>
                <w:rFonts w:hint="eastAsia" w:ascii="宋体" w:hAnsi="宋体" w:eastAsia="宋体" w:cs="宋体"/>
                <w:b/>
                <w:color w:val="auto"/>
                <w:kern w:val="0"/>
                <w:sz w:val="21"/>
                <w:szCs w:val="21"/>
                <w:highlight w:val="none"/>
                <w:lang w:eastAsia="zh-CN"/>
              </w:rPr>
              <w:t>分）</w:t>
            </w:r>
          </w:p>
        </w:tc>
        <w:tc>
          <w:tcPr>
            <w:tcW w:w="6228" w:type="dxa"/>
            <w:vAlign w:val="center"/>
          </w:tcPr>
          <w:p w14:paraId="20BF2F9F">
            <w:pPr>
              <w:widowControl/>
              <w:wordWrap/>
              <w:topLinePunct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服务期内服务内容、标准及承诺（</w:t>
            </w:r>
            <w:r>
              <w:rPr>
                <w:rFonts w:hint="eastAsia" w:ascii="宋体" w:hAnsi="宋体" w:eastAsia="宋体" w:cs="宋体"/>
                <w:color w:val="auto"/>
                <w:sz w:val="21"/>
                <w:szCs w:val="21"/>
                <w:highlight w:val="none"/>
                <w:lang w:eastAsia="zh-CN"/>
              </w:rPr>
              <w:t>服务内容完全涵盖服务需求、承诺完整、详细且有具体自罚措施的得</w:t>
            </w:r>
            <w:r>
              <w:rPr>
                <w:rFonts w:hint="eastAsia" w:ascii="宋体" w:hAnsi="宋体" w:eastAsia="宋体" w:cs="宋体"/>
                <w:color w:val="auto"/>
                <w:sz w:val="21"/>
                <w:szCs w:val="21"/>
                <w:highlight w:val="none"/>
                <w:lang w:val="en-US" w:eastAsia="zh-CN"/>
              </w:rPr>
              <w:t>4分，与项目有相应关系、</w:t>
            </w:r>
            <w:r>
              <w:rPr>
                <w:rFonts w:hint="eastAsia" w:ascii="宋体" w:hAnsi="宋体" w:eastAsia="宋体" w:cs="宋体"/>
                <w:color w:val="auto"/>
                <w:sz w:val="21"/>
                <w:szCs w:val="21"/>
                <w:highlight w:val="none"/>
                <w:lang w:eastAsia="zh-CN"/>
              </w:rPr>
              <w:t>承诺完整、较为详细且有具体自罚措施的</w:t>
            </w:r>
            <w:r>
              <w:rPr>
                <w:rFonts w:hint="eastAsia" w:ascii="宋体" w:hAnsi="宋体" w:eastAsia="宋体" w:cs="宋体"/>
                <w:color w:val="auto"/>
                <w:sz w:val="21"/>
                <w:szCs w:val="21"/>
                <w:highlight w:val="none"/>
                <w:lang w:val="en-US" w:eastAsia="zh-CN"/>
              </w:rPr>
              <w:t xml:space="preserve">得2.5分，承诺内容不完整得1分，其他均不得分 </w:t>
            </w:r>
            <w:r>
              <w:rPr>
                <w:rFonts w:hint="eastAsia" w:ascii="宋体" w:hAnsi="宋体" w:eastAsia="宋体" w:cs="宋体"/>
                <w:color w:val="auto"/>
                <w:sz w:val="21"/>
                <w:szCs w:val="21"/>
                <w:highlight w:val="none"/>
              </w:rPr>
              <w:t>）</w:t>
            </w:r>
          </w:p>
          <w:p w14:paraId="280B6A2E">
            <w:pPr>
              <w:widowControl/>
              <w:wordWrap/>
              <w:topLinePunct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.服务时效性保障措施及承诺。（</w:t>
            </w:r>
            <w:r>
              <w:rPr>
                <w:rFonts w:hint="eastAsia" w:ascii="宋体" w:hAnsi="宋体" w:eastAsia="宋体" w:cs="宋体"/>
                <w:color w:val="auto"/>
                <w:sz w:val="21"/>
                <w:szCs w:val="21"/>
                <w:highlight w:val="none"/>
                <w:lang w:eastAsia="zh-CN"/>
              </w:rPr>
              <w:t>有具体、可行性强且能满足采购人紧急需求的保障服务时效的措施和承诺得</w:t>
            </w:r>
            <w:r>
              <w:rPr>
                <w:rFonts w:hint="eastAsia" w:ascii="宋体" w:hAnsi="宋体" w:eastAsia="宋体" w:cs="宋体"/>
                <w:color w:val="auto"/>
                <w:sz w:val="21"/>
                <w:szCs w:val="21"/>
                <w:highlight w:val="none"/>
                <w:lang w:val="en-US" w:eastAsia="zh-CN"/>
              </w:rPr>
              <w:t>4分，有具体、可行性较强且基本能满足采购人需求的保障服务时效的措施和承诺的得2.5分，措施不完善、可行性不强的得1分，其他均不得分</w:t>
            </w:r>
            <w:r>
              <w:rPr>
                <w:rFonts w:hint="eastAsia" w:ascii="宋体" w:hAnsi="宋体" w:eastAsia="宋体" w:cs="宋体"/>
                <w:color w:val="auto"/>
                <w:sz w:val="21"/>
                <w:szCs w:val="21"/>
                <w:highlight w:val="none"/>
              </w:rPr>
              <w:t>）</w:t>
            </w:r>
          </w:p>
          <w:p w14:paraId="219519A6">
            <w:pPr>
              <w:widowControl/>
              <w:wordWrap/>
              <w:topLinePunct w:val="0"/>
              <w:spacing w:line="40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服务期满后服务承诺。（包括物业管理档案的移交、新旧物业管理交接情况承诺内容：具有非常针对性、内容详实且可操作性强的得4分；有一定的针对性、内容详实且可操作性较强的得2.5分；承诺内容一般且可操作性一般的得1分。）</w:t>
            </w:r>
          </w:p>
        </w:tc>
      </w:tr>
      <w:tr w14:paraId="0BEB6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900" w:type="dxa"/>
            <w:vMerge w:val="continue"/>
            <w:vAlign w:val="center"/>
          </w:tcPr>
          <w:p w14:paraId="4E6F6CE9">
            <w:pPr>
              <w:adjustRightInd w:val="0"/>
              <w:spacing w:line="360" w:lineRule="auto"/>
              <w:jc w:val="center"/>
              <w:rPr>
                <w:rFonts w:hint="eastAsia" w:ascii="宋体" w:hAnsi="宋体" w:cs="宋体"/>
                <w:bCs/>
                <w:color w:val="auto"/>
                <w:szCs w:val="21"/>
                <w:highlight w:val="none"/>
              </w:rPr>
            </w:pPr>
          </w:p>
        </w:tc>
        <w:tc>
          <w:tcPr>
            <w:tcW w:w="740" w:type="dxa"/>
            <w:vMerge w:val="continue"/>
            <w:vAlign w:val="center"/>
          </w:tcPr>
          <w:p w14:paraId="09EF1C72">
            <w:pPr>
              <w:adjustRightInd w:val="0"/>
              <w:spacing w:line="360" w:lineRule="auto"/>
              <w:jc w:val="center"/>
              <w:rPr>
                <w:rFonts w:hint="eastAsia" w:ascii="宋体" w:hAnsi="宋体" w:cs="宋体"/>
                <w:bCs/>
                <w:color w:val="auto"/>
                <w:szCs w:val="21"/>
                <w:highlight w:val="none"/>
              </w:rPr>
            </w:pPr>
          </w:p>
        </w:tc>
        <w:tc>
          <w:tcPr>
            <w:tcW w:w="1169" w:type="dxa"/>
            <w:vAlign w:val="center"/>
          </w:tcPr>
          <w:p w14:paraId="7F3FD5C2">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类似项目</w:t>
            </w:r>
            <w:r>
              <w:rPr>
                <w:rFonts w:hint="eastAsia" w:ascii="宋体" w:hAnsi="宋体" w:eastAsia="宋体" w:cs="宋体"/>
                <w:b/>
                <w:color w:val="auto"/>
                <w:sz w:val="21"/>
                <w:szCs w:val="21"/>
                <w:highlight w:val="none"/>
              </w:rPr>
              <w:t>业绩</w:t>
            </w:r>
          </w:p>
          <w:p w14:paraId="6A67FDB2">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8</w:t>
            </w:r>
            <w:r>
              <w:rPr>
                <w:rFonts w:hint="eastAsia" w:ascii="宋体" w:hAnsi="宋体" w:eastAsia="宋体" w:cs="宋体"/>
                <w:b/>
                <w:color w:val="auto"/>
                <w:sz w:val="21"/>
                <w:szCs w:val="21"/>
                <w:highlight w:val="none"/>
              </w:rPr>
              <w:t>分</w:t>
            </w:r>
            <w:r>
              <w:rPr>
                <w:rFonts w:hint="eastAsia" w:ascii="宋体" w:hAnsi="宋体" w:eastAsia="宋体" w:cs="宋体"/>
                <w:b/>
                <w:color w:val="auto"/>
                <w:sz w:val="21"/>
                <w:szCs w:val="21"/>
                <w:highlight w:val="none"/>
                <w:lang w:eastAsia="zh-CN"/>
              </w:rPr>
              <w:t>）</w:t>
            </w:r>
          </w:p>
        </w:tc>
        <w:tc>
          <w:tcPr>
            <w:tcW w:w="6228" w:type="dxa"/>
            <w:vAlign w:val="center"/>
          </w:tcPr>
          <w:p w14:paraId="25C52BFD">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供应商每提供一份自</w:t>
            </w:r>
            <w:r>
              <w:rPr>
                <w:rFonts w:hint="eastAsia" w:ascii="宋体" w:hAnsi="宋体" w:cs="宋体"/>
                <w:color w:val="auto"/>
                <w:sz w:val="21"/>
                <w:szCs w:val="21"/>
                <w:highlight w:val="none"/>
                <w:shd w:val="clear" w:color="auto" w:fill="auto"/>
                <w:lang w:val="en-US" w:eastAsia="zh-CN"/>
              </w:rPr>
              <w:t>2021年1月1日</w:t>
            </w:r>
            <w:r>
              <w:rPr>
                <w:rFonts w:hint="eastAsia" w:ascii="宋体" w:hAnsi="宋体" w:eastAsia="宋体" w:cs="宋体"/>
                <w:color w:val="auto"/>
                <w:sz w:val="21"/>
                <w:szCs w:val="21"/>
                <w:highlight w:val="none"/>
                <w:shd w:val="clear" w:color="auto" w:fill="auto"/>
                <w:lang w:val="en-US" w:eastAsia="zh-CN"/>
              </w:rPr>
              <w:t>以来物业服务管理业绩的得4分，本项最多得8分。</w:t>
            </w:r>
          </w:p>
          <w:p w14:paraId="6A2C240F">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shd w:val="clear" w:color="auto" w:fill="auto"/>
                <w:lang w:val="en-US" w:eastAsia="zh-CN"/>
              </w:rPr>
              <w:t>注：(所有业绩均需提供合同、中标通知书、网页公示截图，缺一不计分，投标文件中附完整的扫描件）。</w:t>
            </w:r>
          </w:p>
        </w:tc>
      </w:tr>
    </w:tbl>
    <w:p w14:paraId="5E9E0F9B">
      <w:pPr>
        <w:adjustRightInd w:val="0"/>
        <w:ind w:firstLine="482"/>
        <w:rPr>
          <w:rFonts w:ascii="宋体" w:hAnsi="宋体" w:cs="宋体"/>
          <w:b/>
          <w:color w:val="auto"/>
          <w:sz w:val="24"/>
          <w:highlight w:val="none"/>
        </w:rPr>
      </w:pPr>
    </w:p>
    <w:p w14:paraId="024EC54C">
      <w:pPr>
        <w:spacing w:line="360" w:lineRule="auto"/>
        <w:outlineLvl w:val="1"/>
        <w:rPr>
          <w:rFonts w:ascii="宋体" w:hAnsi="宋体" w:cs="宋体"/>
          <w:color w:val="auto"/>
          <w:sz w:val="24"/>
          <w:highlight w:val="none"/>
        </w:rPr>
      </w:pPr>
      <w:bookmarkStart w:id="659" w:name="_Toc23733"/>
      <w:r>
        <w:rPr>
          <w:rFonts w:hint="eastAsia" w:ascii="宋体" w:hAnsi="宋体" w:cs="宋体"/>
          <w:color w:val="auto"/>
          <w:sz w:val="24"/>
          <w:highlight w:val="none"/>
        </w:rPr>
        <w:t>1. 评审方法</w:t>
      </w:r>
      <w:bookmarkEnd w:id="654"/>
      <w:bookmarkEnd w:id="655"/>
      <w:bookmarkEnd w:id="656"/>
      <w:bookmarkEnd w:id="657"/>
      <w:bookmarkEnd w:id="658"/>
      <w:bookmarkEnd w:id="659"/>
    </w:p>
    <w:p w14:paraId="0C0755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bidi="en-US"/>
        </w:rPr>
        <w:t>本次评审采用综合评分法。磋商小组对满足磋商文件实质性要求的响应文件</w:t>
      </w:r>
      <w:r>
        <w:rPr>
          <w:rFonts w:hint="eastAsia" w:ascii="宋体" w:hAnsi="宋体" w:cs="宋体"/>
          <w:color w:val="auto"/>
          <w:sz w:val="24"/>
          <w:highlight w:val="none"/>
        </w:rPr>
        <w:t>，按照本章规定的评分标准进行打分，并按得分由高到低顺序推荐成交候选人，</w:t>
      </w:r>
      <w:r>
        <w:rPr>
          <w:rFonts w:hint="eastAsia" w:ascii="宋体" w:hAnsi="宋体" w:cs="宋体"/>
          <w:color w:val="auto"/>
          <w:kern w:val="0"/>
          <w:sz w:val="24"/>
          <w:highlight w:val="none"/>
        </w:rPr>
        <w:t>综合评分相等时，以报价得分高的优先；报价得分也相等的，由采购人自行确定。</w:t>
      </w:r>
    </w:p>
    <w:p w14:paraId="7759BC5B">
      <w:pPr>
        <w:pStyle w:val="168"/>
        <w:spacing w:line="360" w:lineRule="auto"/>
        <w:rPr>
          <w:rFonts w:ascii="宋体" w:hAnsi="宋体" w:eastAsia="宋体"/>
          <w:color w:val="auto"/>
          <w:sz w:val="24"/>
          <w:szCs w:val="24"/>
          <w:highlight w:val="none"/>
        </w:rPr>
      </w:pPr>
      <w:bookmarkStart w:id="660" w:name="_Toc24936"/>
      <w:bookmarkStart w:id="661" w:name="_Toc10437"/>
      <w:bookmarkStart w:id="662" w:name="_Toc152045601"/>
      <w:bookmarkStart w:id="663" w:name="_Toc509667307"/>
      <w:bookmarkStart w:id="664" w:name="_Toc490667876"/>
      <w:bookmarkStart w:id="665" w:name="_Toc281405529"/>
      <w:bookmarkStart w:id="666" w:name="_Toc152042378"/>
      <w:bookmarkStart w:id="667" w:name="_Toc318450723"/>
      <w:bookmarkStart w:id="668" w:name="_Toc455080157"/>
      <w:bookmarkStart w:id="669" w:name="_Toc466298140"/>
      <w:bookmarkStart w:id="670" w:name="_Toc455867817"/>
      <w:bookmarkStart w:id="671" w:name="_Toc144974568"/>
      <w:r>
        <w:rPr>
          <w:rFonts w:hint="eastAsia" w:ascii="宋体" w:hAnsi="宋体" w:eastAsia="宋体"/>
          <w:color w:val="auto"/>
          <w:sz w:val="24"/>
          <w:szCs w:val="24"/>
          <w:highlight w:val="none"/>
        </w:rPr>
        <w:t>2. 评审标准</w:t>
      </w:r>
      <w:bookmarkEnd w:id="660"/>
      <w:bookmarkEnd w:id="661"/>
      <w:bookmarkEnd w:id="662"/>
      <w:bookmarkEnd w:id="663"/>
      <w:bookmarkEnd w:id="664"/>
      <w:bookmarkEnd w:id="665"/>
      <w:bookmarkEnd w:id="666"/>
      <w:bookmarkEnd w:id="667"/>
      <w:bookmarkEnd w:id="668"/>
      <w:bookmarkEnd w:id="669"/>
      <w:bookmarkEnd w:id="670"/>
      <w:bookmarkEnd w:id="671"/>
    </w:p>
    <w:p w14:paraId="72723CC9">
      <w:pPr>
        <w:pStyle w:val="154"/>
        <w:spacing w:line="360" w:lineRule="auto"/>
        <w:rPr>
          <w:rFonts w:ascii="宋体" w:hAnsi="宋体" w:eastAsia="宋体"/>
          <w:color w:val="auto"/>
          <w:szCs w:val="24"/>
          <w:highlight w:val="none"/>
        </w:rPr>
      </w:pPr>
      <w:bookmarkStart w:id="672" w:name="_Toc152042379"/>
      <w:bookmarkStart w:id="673" w:name="_Toc281405530"/>
      <w:bookmarkStart w:id="674" w:name="_Toc490667877"/>
      <w:bookmarkStart w:id="675" w:name="_Toc455867818"/>
      <w:bookmarkStart w:id="676" w:name="_Toc15813"/>
      <w:bookmarkStart w:id="677" w:name="_Toc152045602"/>
      <w:bookmarkStart w:id="678" w:name="_Toc455080158"/>
      <w:bookmarkStart w:id="679" w:name="_Toc144974569"/>
      <w:bookmarkStart w:id="680" w:name="_Toc19934"/>
      <w:bookmarkStart w:id="681" w:name="_Toc318450724"/>
      <w:bookmarkStart w:id="682" w:name="_Toc509667308"/>
      <w:bookmarkStart w:id="683" w:name="_Toc31037"/>
      <w:bookmarkStart w:id="684" w:name="_Toc466298141"/>
      <w:bookmarkStart w:id="685" w:name="_Toc25637"/>
      <w:bookmarkStart w:id="686" w:name="_Toc21120"/>
      <w:r>
        <w:rPr>
          <w:rFonts w:hint="eastAsia" w:ascii="宋体" w:hAnsi="宋体" w:eastAsia="宋体"/>
          <w:color w:val="auto"/>
          <w:szCs w:val="24"/>
          <w:highlight w:val="none"/>
        </w:rPr>
        <w:t>2.1 初步评审标准</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2903CAB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2.1.1 资格性检查评审标准：见评审办法前附表。</w:t>
      </w:r>
    </w:p>
    <w:p w14:paraId="3B400D7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2.1.2 符合性检查评审标准：见评审办法前附表。</w:t>
      </w:r>
    </w:p>
    <w:p w14:paraId="7DF0E7AF">
      <w:pPr>
        <w:pStyle w:val="154"/>
        <w:spacing w:line="360" w:lineRule="auto"/>
        <w:rPr>
          <w:rFonts w:ascii="宋体" w:hAnsi="宋体" w:eastAsia="宋体"/>
          <w:color w:val="auto"/>
          <w:szCs w:val="24"/>
          <w:highlight w:val="none"/>
        </w:rPr>
      </w:pPr>
      <w:bookmarkStart w:id="687" w:name="_Toc30189"/>
      <w:bookmarkStart w:id="688" w:name="_Toc152045603"/>
      <w:bookmarkStart w:id="689" w:name="_Toc12013"/>
      <w:bookmarkStart w:id="690" w:name="_Toc22439"/>
      <w:bookmarkStart w:id="691" w:name="_Toc490667878"/>
      <w:bookmarkStart w:id="692" w:name="_Toc25492"/>
      <w:bookmarkStart w:id="693" w:name="_Toc11061"/>
      <w:bookmarkStart w:id="694" w:name="_Toc152042380"/>
      <w:bookmarkStart w:id="695" w:name="_Toc144974570"/>
      <w:bookmarkStart w:id="696" w:name="_Toc281405531"/>
      <w:bookmarkStart w:id="697" w:name="_Toc455080159"/>
      <w:bookmarkStart w:id="698" w:name="_Toc455867819"/>
      <w:bookmarkStart w:id="699" w:name="_Toc318450725"/>
      <w:bookmarkStart w:id="700" w:name="_Toc466298142"/>
      <w:bookmarkStart w:id="701" w:name="_Toc509667309"/>
      <w:r>
        <w:rPr>
          <w:rFonts w:hint="eastAsia" w:ascii="宋体" w:hAnsi="宋体" w:eastAsia="宋体"/>
          <w:color w:val="auto"/>
          <w:szCs w:val="24"/>
          <w:highlight w:val="none"/>
        </w:rPr>
        <w:t>2.2 分值构成与评分标准</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14:paraId="43E4343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（1）投标报价：见评审办法前附表</w:t>
      </w:r>
    </w:p>
    <w:p w14:paraId="42683D4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（2）技术部分：见评审办法前附表；</w:t>
      </w:r>
    </w:p>
    <w:p w14:paraId="389841B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（3）商务部分：见评审办法前附表；</w:t>
      </w:r>
    </w:p>
    <w:p w14:paraId="1E0D534D">
      <w:pPr>
        <w:pStyle w:val="168"/>
        <w:spacing w:line="360" w:lineRule="auto"/>
        <w:rPr>
          <w:rFonts w:ascii="宋体" w:hAnsi="宋体" w:eastAsia="宋体"/>
          <w:color w:val="auto"/>
          <w:sz w:val="24"/>
          <w:szCs w:val="24"/>
          <w:highlight w:val="none"/>
        </w:rPr>
      </w:pPr>
      <w:bookmarkStart w:id="702" w:name="_Toc17308"/>
      <w:bookmarkStart w:id="703" w:name="_Toc455080160"/>
      <w:bookmarkStart w:id="704" w:name="_Toc281405532"/>
      <w:bookmarkStart w:id="705" w:name="_Toc466298143"/>
      <w:bookmarkStart w:id="706" w:name="_Toc318450726"/>
      <w:bookmarkStart w:id="707" w:name="_Toc455867820"/>
      <w:bookmarkStart w:id="708" w:name="_Toc490667879"/>
      <w:bookmarkStart w:id="709" w:name="_Toc9888"/>
      <w:bookmarkStart w:id="710" w:name="_Toc509667310"/>
      <w:r>
        <w:rPr>
          <w:rFonts w:hint="eastAsia" w:ascii="宋体" w:hAnsi="宋体" w:eastAsia="宋体"/>
          <w:color w:val="auto"/>
          <w:sz w:val="24"/>
          <w:szCs w:val="24"/>
          <w:highlight w:val="none"/>
        </w:rPr>
        <w:t>3. 评审程序</w:t>
      </w:r>
      <w:bookmarkEnd w:id="702"/>
      <w:bookmarkEnd w:id="703"/>
      <w:bookmarkEnd w:id="704"/>
      <w:bookmarkEnd w:id="705"/>
      <w:bookmarkEnd w:id="706"/>
      <w:bookmarkEnd w:id="707"/>
      <w:bookmarkEnd w:id="708"/>
      <w:bookmarkEnd w:id="709"/>
      <w:bookmarkEnd w:id="710"/>
    </w:p>
    <w:p w14:paraId="3F3B377B">
      <w:pPr>
        <w:pStyle w:val="154"/>
        <w:spacing w:line="360" w:lineRule="auto"/>
        <w:rPr>
          <w:rFonts w:ascii="宋体" w:hAnsi="宋体" w:eastAsia="宋体"/>
          <w:color w:val="auto"/>
          <w:szCs w:val="24"/>
          <w:highlight w:val="none"/>
        </w:rPr>
      </w:pPr>
      <w:bookmarkStart w:id="711" w:name="_Toc509667311"/>
      <w:bookmarkStart w:id="712" w:name="_Toc455080161"/>
      <w:bookmarkStart w:id="713" w:name="_Toc29614"/>
      <w:bookmarkStart w:id="714" w:name="_Toc7272"/>
      <w:bookmarkStart w:id="715" w:name="_Toc318450727"/>
      <w:bookmarkStart w:id="716" w:name="_Toc18886"/>
      <w:bookmarkStart w:id="717" w:name="_Toc455867821"/>
      <w:bookmarkStart w:id="718" w:name="_Toc30986"/>
      <w:bookmarkStart w:id="719" w:name="_Toc281405533"/>
      <w:bookmarkStart w:id="720" w:name="_Toc14633"/>
      <w:bookmarkStart w:id="721" w:name="_Toc490667880"/>
      <w:bookmarkStart w:id="722" w:name="_Toc466298144"/>
      <w:bookmarkStart w:id="723" w:name="_Toc5427"/>
      <w:r>
        <w:rPr>
          <w:rFonts w:hint="eastAsia" w:ascii="宋体" w:hAnsi="宋体" w:eastAsia="宋体"/>
          <w:color w:val="auto"/>
          <w:szCs w:val="24"/>
          <w:highlight w:val="none"/>
        </w:rPr>
        <w:t>3.1 初步评审</w:t>
      </w:r>
      <w:bookmarkEnd w:id="711"/>
      <w:bookmarkEnd w:id="712"/>
      <w:bookmarkEnd w:id="713"/>
      <w:bookmarkEnd w:id="714"/>
      <w:bookmarkEnd w:id="715"/>
      <w:bookmarkEnd w:id="716"/>
      <w:bookmarkEnd w:id="717"/>
      <w:bookmarkEnd w:id="718"/>
      <w:bookmarkEnd w:id="719"/>
      <w:bookmarkEnd w:id="720"/>
      <w:bookmarkEnd w:id="721"/>
      <w:bookmarkEnd w:id="722"/>
      <w:bookmarkEnd w:id="723"/>
    </w:p>
    <w:p w14:paraId="669D4F4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3.1.1 磋商小组依据本章第2.1款规定的标准对响应文件进行初步评审。有一项不符合评审标准的，作废标处理。</w:t>
      </w:r>
    </w:p>
    <w:p w14:paraId="0DC8122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3.1.2 供应商有以下情形之一的，其响应文件作无效处理：</w:t>
      </w:r>
    </w:p>
    <w:p w14:paraId="4A591AF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（1）串通或弄虚作假或有其他违法行为的；</w:t>
      </w:r>
    </w:p>
    <w:p w14:paraId="34E407F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（2）不按磋商小组要求澄清、说明或补正的；</w:t>
      </w:r>
    </w:p>
    <w:p w14:paraId="7A5D217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（3）未按规定格式填写、内容不全或关键字迹模糊、无法辨认的；</w:t>
      </w:r>
    </w:p>
    <w:p w14:paraId="5845603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（4）响应文件附有采购人不能接受的条件；</w:t>
      </w:r>
    </w:p>
    <w:p w14:paraId="5328FCC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（5）不符合磋商文件规定的其他实质性要求。</w:t>
      </w:r>
    </w:p>
    <w:p w14:paraId="1C49E554">
      <w:pPr>
        <w:pStyle w:val="154"/>
        <w:spacing w:line="360" w:lineRule="auto"/>
        <w:rPr>
          <w:rFonts w:ascii="宋体" w:hAnsi="宋体" w:eastAsia="宋体"/>
          <w:color w:val="auto"/>
          <w:szCs w:val="24"/>
          <w:highlight w:val="none"/>
        </w:rPr>
      </w:pPr>
      <w:bookmarkStart w:id="724" w:name="_Toc318450728"/>
      <w:bookmarkStart w:id="725" w:name="_Toc455080162"/>
      <w:bookmarkStart w:id="726" w:name="_Toc7121"/>
      <w:bookmarkStart w:id="727" w:name="_Toc12406"/>
      <w:bookmarkStart w:id="728" w:name="_Toc466298145"/>
      <w:bookmarkStart w:id="729" w:name="_Toc455867822"/>
      <w:bookmarkStart w:id="730" w:name="_Toc490667881"/>
      <w:bookmarkStart w:id="731" w:name="_Toc281405534"/>
      <w:bookmarkStart w:id="732" w:name="_Toc26049"/>
      <w:bookmarkStart w:id="733" w:name="_Toc10692"/>
      <w:bookmarkStart w:id="734" w:name="_Toc21570"/>
      <w:bookmarkStart w:id="735" w:name="_Toc21032"/>
      <w:bookmarkStart w:id="736" w:name="_Toc509667312"/>
      <w:r>
        <w:rPr>
          <w:rFonts w:hint="eastAsia" w:ascii="宋体" w:hAnsi="宋体" w:eastAsia="宋体"/>
          <w:color w:val="auto"/>
          <w:szCs w:val="24"/>
          <w:highlight w:val="none"/>
        </w:rPr>
        <w:t>3.2 详细评审</w:t>
      </w:r>
      <w:bookmarkEnd w:id="724"/>
      <w:bookmarkEnd w:id="725"/>
      <w:bookmarkEnd w:id="726"/>
      <w:bookmarkEnd w:id="727"/>
      <w:bookmarkEnd w:id="728"/>
      <w:bookmarkEnd w:id="729"/>
      <w:bookmarkEnd w:id="730"/>
      <w:bookmarkEnd w:id="731"/>
      <w:bookmarkEnd w:id="732"/>
      <w:bookmarkEnd w:id="733"/>
      <w:bookmarkEnd w:id="734"/>
      <w:bookmarkEnd w:id="735"/>
      <w:bookmarkEnd w:id="736"/>
    </w:p>
    <w:p w14:paraId="0E485B0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3.2.1 磋商小组按本章第2.2款规定的量化因素和分值进行打分，并计算出综合评分得分。</w:t>
      </w:r>
    </w:p>
    <w:p w14:paraId="799BC97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（1）按本章第 2.2.2（1）目规定的评审因素和分值对投标报价计算出得分 A；</w:t>
      </w:r>
    </w:p>
    <w:p w14:paraId="23DFBA4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（2）按本章第 2.2.2（2）目规定的评审因素和分值对技术部分计算出得分 B；</w:t>
      </w:r>
    </w:p>
    <w:p w14:paraId="337A766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（3）按本章第 2.2.2（3）目规定的评审因素和分值对商务部分计算出得分 C；</w:t>
      </w:r>
    </w:p>
    <w:p w14:paraId="7A2878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3.2.2 评分分值计算保留小数点后两位，小数点后第三位“四舍五入”。</w:t>
      </w:r>
    </w:p>
    <w:p w14:paraId="3A9CD0A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 供应商得分=A+B+C。</w:t>
      </w:r>
    </w:p>
    <w:p w14:paraId="2BD8C60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3.2.4在磋商过程中，凡遇到磋商文件中无界定或界定不清、前后不一致使磋商小组意见有分歧且又难以协商一致的问题，均由磋商小组予以表决，获半数以上同意的即为通过，未获半数同意的即为否决。</w:t>
      </w:r>
    </w:p>
    <w:p w14:paraId="4B39744F">
      <w:pPr>
        <w:pStyle w:val="154"/>
        <w:spacing w:line="360" w:lineRule="auto"/>
        <w:rPr>
          <w:rFonts w:ascii="宋体" w:hAnsi="宋体" w:eastAsia="宋体"/>
          <w:color w:val="auto"/>
          <w:szCs w:val="24"/>
          <w:highlight w:val="none"/>
        </w:rPr>
      </w:pPr>
      <w:bookmarkStart w:id="737" w:name="_Toc509667313"/>
      <w:bookmarkStart w:id="738" w:name="_Toc8813"/>
      <w:bookmarkStart w:id="739" w:name="_Toc281405535"/>
      <w:bookmarkStart w:id="740" w:name="_Toc455080163"/>
      <w:bookmarkStart w:id="741" w:name="_Toc318450729"/>
      <w:bookmarkStart w:id="742" w:name="_Toc11958"/>
      <w:bookmarkStart w:id="743" w:name="_Toc28633"/>
      <w:bookmarkStart w:id="744" w:name="_Toc24862"/>
      <w:bookmarkStart w:id="745" w:name="_Toc8342"/>
      <w:bookmarkStart w:id="746" w:name="_Toc466298146"/>
      <w:bookmarkStart w:id="747" w:name="_Toc10153"/>
      <w:bookmarkStart w:id="748" w:name="_Toc490667882"/>
      <w:bookmarkStart w:id="749" w:name="_Toc455867823"/>
      <w:r>
        <w:rPr>
          <w:rFonts w:hint="eastAsia" w:ascii="宋体" w:hAnsi="宋体" w:eastAsia="宋体"/>
          <w:color w:val="auto"/>
          <w:szCs w:val="24"/>
          <w:highlight w:val="none"/>
        </w:rPr>
        <w:t>3.3 响应文件的澄清和补正</w:t>
      </w:r>
      <w:bookmarkEnd w:id="737"/>
      <w:bookmarkEnd w:id="738"/>
      <w:bookmarkEnd w:id="739"/>
      <w:bookmarkEnd w:id="740"/>
      <w:bookmarkEnd w:id="741"/>
      <w:bookmarkEnd w:id="742"/>
      <w:bookmarkEnd w:id="743"/>
      <w:bookmarkEnd w:id="744"/>
      <w:bookmarkEnd w:id="745"/>
      <w:bookmarkEnd w:id="746"/>
      <w:bookmarkEnd w:id="747"/>
      <w:bookmarkEnd w:id="748"/>
      <w:bookmarkEnd w:id="749"/>
    </w:p>
    <w:p w14:paraId="70ACF56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3.3.1在磋商过程中，磋商小组可以书面形式要求供应商对所提交的响应文件中不明确的内容进行书面澄清或说明，或者对细微偏离进行补正。磋商小组不接受供应商主动提出的澄清、说明或补正。</w:t>
      </w:r>
    </w:p>
    <w:p w14:paraId="2E26042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3.3.2 澄清、说明和补正不得超出响应文件的范围或者改变响应文件的实质性内容（算术性错误修正的除外）。供应商的书面澄清、说明和补正属于响应文件的组成部分。</w:t>
      </w:r>
    </w:p>
    <w:p w14:paraId="40757A1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3.3.3 磋商小组对供应商提交的澄清、说明或补正有疑问的，可以要求供应商进一步澄清、说明或补正，直至满足磋商小组的要求。</w:t>
      </w:r>
    </w:p>
    <w:p w14:paraId="6EC7E898">
      <w:pPr>
        <w:pStyle w:val="154"/>
        <w:spacing w:line="360" w:lineRule="auto"/>
        <w:rPr>
          <w:rFonts w:ascii="宋体" w:hAnsi="宋体" w:eastAsia="宋体"/>
          <w:color w:val="auto"/>
          <w:szCs w:val="24"/>
          <w:highlight w:val="none"/>
        </w:rPr>
      </w:pPr>
      <w:bookmarkStart w:id="750" w:name="_Toc509667314"/>
      <w:bookmarkStart w:id="751" w:name="_Toc26894"/>
      <w:bookmarkStart w:id="752" w:name="_Toc1857"/>
      <w:bookmarkStart w:id="753" w:name="_Toc490667883"/>
      <w:bookmarkStart w:id="754" w:name="_Toc455080164"/>
      <w:bookmarkStart w:id="755" w:name="_Toc5903"/>
      <w:bookmarkStart w:id="756" w:name="_Toc281405536"/>
      <w:bookmarkStart w:id="757" w:name="_Toc22986"/>
      <w:bookmarkStart w:id="758" w:name="_Toc318450730"/>
      <w:bookmarkStart w:id="759" w:name="_Toc466298147"/>
      <w:bookmarkStart w:id="760" w:name="_Toc455867824"/>
      <w:bookmarkStart w:id="761" w:name="_Toc19453"/>
      <w:bookmarkStart w:id="762" w:name="_Toc32183"/>
      <w:r>
        <w:rPr>
          <w:rFonts w:hint="eastAsia" w:ascii="宋体" w:hAnsi="宋体" w:eastAsia="宋体"/>
          <w:color w:val="auto"/>
          <w:szCs w:val="24"/>
          <w:highlight w:val="none"/>
        </w:rPr>
        <w:t>3.4 评审结果</w:t>
      </w:r>
      <w:bookmarkEnd w:id="750"/>
      <w:bookmarkEnd w:id="751"/>
      <w:bookmarkEnd w:id="752"/>
      <w:bookmarkEnd w:id="753"/>
      <w:bookmarkEnd w:id="754"/>
      <w:bookmarkEnd w:id="755"/>
      <w:bookmarkEnd w:id="756"/>
      <w:bookmarkEnd w:id="757"/>
      <w:bookmarkEnd w:id="758"/>
      <w:bookmarkEnd w:id="759"/>
      <w:bookmarkEnd w:id="760"/>
      <w:bookmarkEnd w:id="761"/>
      <w:bookmarkEnd w:id="762"/>
    </w:p>
    <w:p w14:paraId="0D4F0F9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3.4.1除第二章“供应商须知”前附表授权直接确定成交人外，磋商小组按照得分由高到低的顺序推荐成交候选人。</w:t>
      </w:r>
    </w:p>
    <w:p w14:paraId="6138A787">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3.4.2 磋商小组完成评审后，应当向采购人提交书面评审报告。</w:t>
      </w:r>
    </w:p>
    <w:p w14:paraId="2626C8B8">
      <w:pPr>
        <w:pStyle w:val="2"/>
        <w:numPr>
          <w:ilvl w:val="0"/>
          <w:numId w:val="0"/>
        </w:numPr>
        <w:spacing w:before="120" w:after="120" w:line="400" w:lineRule="exact"/>
        <w:jc w:val="center"/>
        <w:rPr>
          <w:rFonts w:hint="eastAsia" w:ascii="宋体" w:hAnsi="宋体" w:eastAsia="宋体" w:cs="宋体"/>
          <w:bCs w:val="0"/>
          <w:color w:val="auto"/>
          <w:sz w:val="36"/>
          <w:szCs w:val="36"/>
          <w:highlight w:val="none"/>
          <w:lang w:eastAsia="zh-CN"/>
        </w:rPr>
      </w:pPr>
      <w:r>
        <w:rPr>
          <w:rFonts w:hint="eastAsia" w:ascii="宋体" w:hAnsi="宋体" w:cs="宋体"/>
          <w:bCs w:val="0"/>
          <w:color w:val="auto"/>
          <w:sz w:val="36"/>
          <w:szCs w:val="36"/>
          <w:highlight w:val="none"/>
        </w:rPr>
        <w:br w:type="page"/>
      </w:r>
      <w:bookmarkStart w:id="763" w:name="_Toc14046"/>
      <w:bookmarkStart w:id="764" w:name="_Toc152042387"/>
      <w:bookmarkStart w:id="765" w:name="_Toc144974577"/>
      <w:bookmarkStart w:id="766" w:name="_Toc152045609"/>
      <w:bookmarkStart w:id="767" w:name="_Toc509667315"/>
      <w:r>
        <w:rPr>
          <w:rFonts w:hint="eastAsia" w:ascii="宋体" w:hAnsi="宋体" w:cs="宋体"/>
          <w:bCs w:val="0"/>
          <w:color w:val="auto"/>
          <w:sz w:val="36"/>
          <w:szCs w:val="36"/>
          <w:highlight w:val="none"/>
        </w:rPr>
        <w:t>第</w:t>
      </w:r>
      <w:r>
        <w:rPr>
          <w:rFonts w:hint="eastAsia" w:ascii="宋体" w:hAnsi="宋体" w:cs="宋体"/>
          <w:bCs w:val="0"/>
          <w:color w:val="auto"/>
          <w:sz w:val="32"/>
          <w:szCs w:val="32"/>
          <w:highlight w:val="none"/>
        </w:rPr>
        <w:t>四章 合同</w:t>
      </w:r>
      <w:bookmarkEnd w:id="763"/>
    </w:p>
    <w:bookmarkEnd w:id="764"/>
    <w:bookmarkEnd w:id="765"/>
    <w:bookmarkEnd w:id="766"/>
    <w:bookmarkEnd w:id="767"/>
    <w:p w14:paraId="38741286">
      <w:pPr>
        <w:spacing w:line="480" w:lineRule="auto"/>
        <w:ind w:firstLine="480" w:firstLineChars="200"/>
        <w:rPr>
          <w:rFonts w:hint="eastAsia" w:ascii="宋体" w:hAnsi="宋体" w:eastAsia="宋体" w:cs="宋体"/>
          <w:color w:val="auto"/>
          <w:sz w:val="24"/>
          <w:szCs w:val="24"/>
          <w:highlight w:val="none"/>
        </w:rPr>
      </w:pPr>
      <w:bookmarkStart w:id="768" w:name="_Toc152045786"/>
      <w:bookmarkStart w:id="769" w:name="_Toc509667320"/>
      <w:bookmarkStart w:id="770" w:name="_Toc144974855"/>
      <w:bookmarkStart w:id="771" w:name="_Toc152042575"/>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52B75D4">
      <w:pPr>
        <w:spacing w:line="48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p>
    <w:p w14:paraId="681A1627">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根据中华人民共和国《政府采购法》、《招标投标法》和《物业管理条例》及相关法律、法规和政策，甲方通过招标程序，依法选定乙方</w:t>
      </w:r>
      <w:r>
        <w:rPr>
          <w:rFonts w:hint="eastAsia" w:ascii="宋体" w:hAnsi="宋体" w:cs="宋体"/>
          <w:color w:val="auto"/>
          <w:sz w:val="24"/>
          <w:szCs w:val="24"/>
          <w:highlight w:val="none"/>
          <w:lang w:eastAsia="zh-CN"/>
        </w:rPr>
        <w:t>平顶山市公安局交通管理支队物业服务采购项目</w:t>
      </w:r>
      <w:r>
        <w:rPr>
          <w:rFonts w:hint="eastAsia" w:ascii="宋体" w:hAnsi="宋体" w:eastAsia="宋体" w:cs="宋体"/>
          <w:color w:val="auto"/>
          <w:sz w:val="24"/>
          <w:szCs w:val="24"/>
          <w:highlight w:val="none"/>
        </w:rPr>
        <w:t>的中标单位。现本着平等、自愿、协商的原则，订立本合同书。</w:t>
      </w:r>
    </w:p>
    <w:p w14:paraId="5EC73C2C">
      <w:pPr>
        <w:numPr>
          <w:ilvl w:val="0"/>
          <w:numId w:val="2"/>
        </w:numPr>
        <w:spacing w:line="480" w:lineRule="auto"/>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5101058C">
      <w:pPr>
        <w:numPr>
          <w:ilvl w:val="0"/>
          <w:numId w:val="2"/>
        </w:numPr>
        <w:spacing w:line="48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物业基本情况</w:t>
      </w:r>
    </w:p>
    <w:p w14:paraId="0A0E8951">
      <w:pPr>
        <w:spacing w:line="480" w:lineRule="auto"/>
        <w:ind w:left="56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物业类型：</w:t>
      </w:r>
      <w:r>
        <w:rPr>
          <w:rFonts w:hint="eastAsia" w:ascii="宋体" w:hAnsi="宋体" w:eastAsia="宋体" w:cs="宋体"/>
          <w:color w:val="auto"/>
          <w:sz w:val="24"/>
          <w:szCs w:val="24"/>
          <w:highlight w:val="none"/>
          <w:u w:val="single"/>
        </w:rPr>
        <w:t>行政综合办公场所；</w:t>
      </w:r>
    </w:p>
    <w:p w14:paraId="3B0B5D0E">
      <w:pPr>
        <w:spacing w:line="48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坐落位置：</w:t>
      </w:r>
    </w:p>
    <w:p w14:paraId="3582C09F">
      <w:pPr>
        <w:spacing w:line="480" w:lineRule="auto"/>
        <w:ind w:firstLine="480" w:firstLineChars="200"/>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服务区域为</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支队办公楼一号楼二号楼、支队院内、</w:t>
      </w:r>
      <w:r>
        <w:rPr>
          <w:rFonts w:hint="eastAsia" w:ascii="宋体" w:hAnsi="宋体" w:eastAsia="宋体" w:cs="宋体"/>
          <w:color w:val="auto"/>
          <w:kern w:val="2"/>
          <w:sz w:val="24"/>
          <w:szCs w:val="24"/>
          <w:highlight w:val="none"/>
          <w:lang w:val="zh-CN" w:eastAsia="zh-CN" w:bidi="ar-SA"/>
        </w:rPr>
        <w:t>矿工路违法处理大厅及新华大队、示范区大队、新华事故中队</w:t>
      </w:r>
      <w:r>
        <w:rPr>
          <w:rFonts w:hint="eastAsia" w:ascii="宋体" w:hAnsi="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zh-CN" w:eastAsia="zh-CN" w:bidi="ar-SA"/>
        </w:rPr>
        <w:t>应山车管所</w:t>
      </w:r>
      <w:r>
        <w:rPr>
          <w:rFonts w:hint="eastAsia" w:ascii="宋体" w:hAnsi="宋体" w:cs="宋体"/>
          <w:color w:val="auto"/>
          <w:kern w:val="2"/>
          <w:sz w:val="24"/>
          <w:szCs w:val="24"/>
          <w:highlight w:val="none"/>
          <w:lang w:val="zh-CN" w:eastAsia="zh-CN" w:bidi="ar-SA"/>
        </w:rPr>
        <w:t>。</w:t>
      </w:r>
    </w:p>
    <w:p w14:paraId="53AD64E3">
      <w:pPr>
        <w:spacing w:line="48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物业管理区域：</w:t>
      </w:r>
      <w:r>
        <w:rPr>
          <w:rFonts w:hint="eastAsia" w:ascii="宋体" w:hAnsi="宋体" w:eastAsia="宋体" w:cs="宋体"/>
          <w:color w:val="auto"/>
          <w:sz w:val="24"/>
          <w:szCs w:val="24"/>
          <w:highlight w:val="none"/>
          <w:u w:val="single"/>
        </w:rPr>
        <w:t>办公楼及周围院内。</w:t>
      </w:r>
    </w:p>
    <w:p w14:paraId="59C9FCAF">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第三条</w:t>
      </w:r>
      <w:r>
        <w:rPr>
          <w:rFonts w:hint="eastAsia" w:ascii="宋体" w:hAnsi="宋体" w:eastAsia="宋体" w:cs="宋体"/>
          <w:color w:val="auto"/>
          <w:sz w:val="24"/>
          <w:szCs w:val="24"/>
          <w:highlight w:val="none"/>
        </w:rPr>
        <w:t xml:space="preserve"> 服务内容与质量</w:t>
      </w:r>
    </w:p>
    <w:p w14:paraId="211BC54B">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1、服务内容：（</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）物业管理区域清洁卫生服务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）物业设施、设备运行和维护服务；（</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）物业管理区域绿化养护服务；</w:t>
      </w:r>
    </w:p>
    <w:p w14:paraId="7C9E489C">
      <w:pPr>
        <w:spacing w:line="480" w:lineRule="auto"/>
        <w:rPr>
          <w:rFonts w:hint="eastAsia" w:ascii="宋体" w:hAnsi="宋体" w:eastAsia="宋体" w:cs="宋体"/>
          <w:color w:val="auto"/>
          <w:sz w:val="24"/>
          <w:szCs w:val="24"/>
          <w:highlight w:val="none"/>
        </w:rPr>
      </w:pPr>
    </w:p>
    <w:p w14:paraId="06BB2184">
      <w:pPr>
        <w:pStyle w:val="155"/>
        <w:spacing w:line="480" w:lineRule="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0"/>
          <w:sz w:val="24"/>
          <w:szCs w:val="24"/>
          <w:highlight w:val="none"/>
          <w:lang w:val="zh-CN" w:bidi="zh-CN"/>
        </w:rPr>
        <w:t>2、服务质量：</w:t>
      </w:r>
      <w:r>
        <w:rPr>
          <w:rFonts w:hint="eastAsia" w:ascii="宋体" w:hAnsi="宋体" w:eastAsia="宋体" w:cs="宋体"/>
          <w:color w:val="auto"/>
          <w:kern w:val="2"/>
          <w:sz w:val="24"/>
          <w:szCs w:val="24"/>
          <w:highlight w:val="none"/>
          <w:lang w:val="en-US" w:eastAsia="zh-CN" w:bidi="ar-SA"/>
        </w:rPr>
        <w:t>符合国家或行业规定的合格标准，满足采购人的要求</w:t>
      </w:r>
    </w:p>
    <w:p w14:paraId="4B5A2CE2">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第四条</w:t>
      </w:r>
      <w:r>
        <w:rPr>
          <w:rFonts w:hint="eastAsia" w:ascii="宋体" w:hAnsi="宋体" w:eastAsia="宋体" w:cs="宋体"/>
          <w:color w:val="auto"/>
          <w:sz w:val="24"/>
          <w:szCs w:val="24"/>
          <w:highlight w:val="none"/>
        </w:rPr>
        <w:t xml:space="preserve"> 服务期限：</w:t>
      </w:r>
    </w:p>
    <w:p w14:paraId="32C238DB">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本合同期限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3A0E8A0E">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第五条</w:t>
      </w:r>
      <w:r>
        <w:rPr>
          <w:rFonts w:hint="eastAsia" w:ascii="宋体" w:hAnsi="宋体" w:eastAsia="宋体" w:cs="宋体"/>
          <w:color w:val="auto"/>
          <w:sz w:val="24"/>
          <w:szCs w:val="24"/>
          <w:highlight w:val="none"/>
        </w:rPr>
        <w:t xml:space="preserve"> 服务费用</w:t>
      </w:r>
    </w:p>
    <w:p w14:paraId="323FD5D2">
      <w:pPr>
        <w:keepNext w:val="0"/>
        <w:keepLines w:val="0"/>
        <w:pageBreakBefore w:val="0"/>
        <w:widowControl w:val="0"/>
        <w:kinsoku/>
        <w:overflowPunct/>
        <w:topLinePunct w:val="0"/>
        <w:autoSpaceDE/>
        <w:autoSpaceDN/>
        <w:bidi w:val="0"/>
        <w:adjustRightInd/>
        <w:snapToGrid/>
        <w:spacing w:after="500" w:line="3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1、合同金额：大写</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w:t>
      </w:r>
    </w:p>
    <w:p w14:paraId="05B3B10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2、支付办法：物业服务费用按月支付，先服务后付款，甲方在第二个月初凭乙方发票转帐支付上月服务费。每个月的费用为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元人民币。</w:t>
      </w:r>
    </w:p>
    <w:p w14:paraId="1A551F91">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第六条</w:t>
      </w:r>
      <w:r>
        <w:rPr>
          <w:rFonts w:hint="eastAsia" w:ascii="宋体" w:hAnsi="宋体" w:eastAsia="宋体" w:cs="宋体"/>
          <w:color w:val="auto"/>
          <w:sz w:val="24"/>
          <w:szCs w:val="24"/>
          <w:highlight w:val="none"/>
        </w:rPr>
        <w:t xml:space="preserve"> 服务要求</w:t>
      </w:r>
    </w:p>
    <w:p w14:paraId="4C5D998F">
      <w:pPr>
        <w:spacing w:line="48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一、管理及素质要求</w:t>
      </w:r>
    </w:p>
    <w:p w14:paraId="61C8E8A1">
      <w:pPr>
        <w:pStyle w:val="155"/>
        <w:spacing w:line="360" w:lineRule="auto"/>
        <w:ind w:firstLine="480" w:firstLineChars="200"/>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1、人员数及相关要求：乙方共配备在岗人员需</w:t>
      </w:r>
      <w:r>
        <w:rPr>
          <w:rFonts w:hint="eastAsia" w:ascii="宋体" w:hAnsi="宋体" w:eastAsia="宋体" w:cs="宋体"/>
          <w:color w:val="auto"/>
          <w:kern w:val="2"/>
          <w:sz w:val="24"/>
          <w:szCs w:val="24"/>
          <w:highlight w:val="none"/>
          <w:lang w:val="en-US" w:eastAsia="zh-CN" w:bidi="ar-SA"/>
        </w:rPr>
        <w:t>25</w:t>
      </w:r>
      <w:r>
        <w:rPr>
          <w:rFonts w:hint="eastAsia" w:ascii="宋体" w:hAnsi="宋体" w:eastAsia="宋体" w:cs="宋体"/>
          <w:color w:val="auto"/>
          <w:kern w:val="2"/>
          <w:sz w:val="24"/>
          <w:szCs w:val="24"/>
          <w:highlight w:val="none"/>
          <w:lang w:val="zh-CN" w:eastAsia="zh-CN" w:bidi="ar-SA"/>
        </w:rPr>
        <w:t>人，其中支队机关大院</w:t>
      </w:r>
      <w:r>
        <w:rPr>
          <w:rFonts w:hint="eastAsia" w:ascii="宋体" w:hAnsi="宋体" w:eastAsia="宋体" w:cs="宋体"/>
          <w:color w:val="auto"/>
          <w:kern w:val="2"/>
          <w:sz w:val="24"/>
          <w:szCs w:val="24"/>
          <w:highlight w:val="none"/>
          <w:lang w:val="en-US" w:eastAsia="zh-CN" w:bidi="ar-SA"/>
        </w:rPr>
        <w:t>15</w:t>
      </w:r>
      <w:r>
        <w:rPr>
          <w:rFonts w:hint="eastAsia" w:ascii="宋体" w:hAnsi="宋体" w:eastAsia="宋体" w:cs="宋体"/>
          <w:color w:val="auto"/>
          <w:kern w:val="2"/>
          <w:sz w:val="24"/>
          <w:szCs w:val="24"/>
          <w:highlight w:val="none"/>
          <w:lang w:val="zh-CN" w:eastAsia="zh-CN" w:bidi="ar-SA"/>
        </w:rPr>
        <w:t>名（</w:t>
      </w:r>
      <w:r>
        <w:rPr>
          <w:rFonts w:hint="eastAsia" w:ascii="宋体" w:hAnsi="宋体" w:eastAsia="宋体" w:cs="宋体"/>
          <w:color w:val="auto"/>
          <w:kern w:val="2"/>
          <w:sz w:val="24"/>
          <w:szCs w:val="24"/>
          <w:highlight w:val="none"/>
          <w:lang w:val="en-US" w:eastAsia="zh-CN" w:bidi="ar-SA"/>
        </w:rPr>
        <w:t>保洁13名。服务区域为支队办公楼一号楼二号楼、支队院内、</w:t>
      </w:r>
      <w:r>
        <w:rPr>
          <w:rFonts w:hint="eastAsia" w:ascii="宋体" w:hAnsi="宋体" w:eastAsia="宋体" w:cs="宋体"/>
          <w:color w:val="auto"/>
          <w:kern w:val="2"/>
          <w:sz w:val="24"/>
          <w:szCs w:val="24"/>
          <w:highlight w:val="none"/>
          <w:lang w:val="zh-CN" w:eastAsia="zh-CN" w:bidi="ar-SA"/>
        </w:rPr>
        <w:t>矿工路违法处理大厅及新华大队、示范区大队、新华事故中队日常保洁</w:t>
      </w:r>
      <w:r>
        <w:rPr>
          <w:rFonts w:hint="eastAsia" w:ascii="宋体" w:hAnsi="宋体" w:eastAsia="宋体" w:cs="宋体"/>
          <w:color w:val="auto"/>
          <w:kern w:val="2"/>
          <w:sz w:val="24"/>
          <w:szCs w:val="24"/>
          <w:highlight w:val="none"/>
          <w:lang w:val="en-US" w:eastAsia="zh-CN" w:bidi="ar-SA"/>
        </w:rPr>
        <w:t>）、支队电工、水暖工2名，</w:t>
      </w:r>
      <w:r>
        <w:rPr>
          <w:rFonts w:hint="eastAsia" w:ascii="宋体" w:hAnsi="宋体" w:eastAsia="宋体" w:cs="宋体"/>
          <w:color w:val="auto"/>
          <w:kern w:val="2"/>
          <w:sz w:val="24"/>
          <w:szCs w:val="24"/>
          <w:highlight w:val="none"/>
          <w:lang w:val="zh-CN" w:eastAsia="zh-CN" w:bidi="ar-SA"/>
        </w:rPr>
        <w:t>应山车管所</w:t>
      </w:r>
      <w:r>
        <w:rPr>
          <w:rFonts w:hint="eastAsia" w:ascii="宋体" w:hAnsi="宋体" w:eastAsia="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zh-CN" w:eastAsia="zh-CN" w:bidi="ar-SA"/>
        </w:rPr>
        <w:t>名（</w:t>
      </w:r>
      <w:r>
        <w:rPr>
          <w:rFonts w:hint="eastAsia" w:ascii="宋体" w:hAnsi="宋体" w:eastAsia="宋体" w:cs="宋体"/>
          <w:color w:val="auto"/>
          <w:kern w:val="2"/>
          <w:sz w:val="24"/>
          <w:szCs w:val="24"/>
          <w:highlight w:val="none"/>
          <w:lang w:val="en-US" w:eastAsia="zh-CN" w:bidi="ar-SA"/>
        </w:rPr>
        <w:t>保洁10名）。保洁负责人要做到24小时值班随叫随到，确保有任何问题能迅速处理，</w:t>
      </w:r>
      <w:r>
        <w:rPr>
          <w:rFonts w:hint="eastAsia" w:ascii="宋体" w:hAnsi="宋体" w:eastAsia="宋体" w:cs="宋体"/>
          <w:color w:val="auto"/>
          <w:kern w:val="2"/>
          <w:sz w:val="24"/>
          <w:szCs w:val="24"/>
          <w:highlight w:val="none"/>
          <w:lang w:val="zh-CN" w:eastAsia="zh-CN" w:bidi="ar-SA"/>
        </w:rPr>
        <w:t>身体健康，无不良嗜好，无犯罪记录，并定期进行专业培训。乙方须给上岗人员缴纳人身意外保险，费用乙方承担。</w:t>
      </w:r>
    </w:p>
    <w:p w14:paraId="20A109EA">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2、建立健全物业管理区域各项管理制度、各岗位职责标准，并制定具体落实措施和考核办法</w:t>
      </w:r>
      <w:r>
        <w:rPr>
          <w:rFonts w:hint="eastAsia" w:ascii="宋体" w:hAnsi="宋体" w:eastAsia="宋体" w:cs="宋体"/>
          <w:color w:val="auto"/>
          <w:sz w:val="24"/>
          <w:szCs w:val="24"/>
          <w:highlight w:val="none"/>
        </w:rPr>
        <w:t>，每日考核1次各岗位职责完成情况。</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eastAsia="zh-CN"/>
        </w:rPr>
        <w:t>在甲方工作期间，</w:t>
      </w:r>
      <w:r>
        <w:rPr>
          <w:rFonts w:hint="eastAsia" w:ascii="宋体" w:hAnsi="宋体" w:eastAsia="宋体" w:cs="宋体"/>
          <w:color w:val="auto"/>
          <w:sz w:val="24"/>
          <w:szCs w:val="24"/>
          <w:highlight w:val="none"/>
        </w:rPr>
        <w:t>本人致伤、致残、致亡的，或者导致他人财产、人身损害的，甲方不承担任何责任；如出现上述问题，乙方承担</w:t>
      </w:r>
      <w:r>
        <w:rPr>
          <w:rFonts w:hint="eastAsia" w:ascii="宋体" w:hAnsi="宋体" w:eastAsia="宋体" w:cs="宋体"/>
          <w:color w:val="auto"/>
          <w:sz w:val="24"/>
          <w:szCs w:val="24"/>
          <w:highlight w:val="none"/>
          <w:lang w:eastAsia="zh-CN"/>
        </w:rPr>
        <w:t>全部</w:t>
      </w:r>
      <w:r>
        <w:rPr>
          <w:rFonts w:hint="eastAsia" w:ascii="宋体" w:hAnsi="宋体" w:eastAsia="宋体" w:cs="宋体"/>
          <w:color w:val="auto"/>
          <w:sz w:val="24"/>
          <w:szCs w:val="24"/>
          <w:highlight w:val="none"/>
        </w:rPr>
        <w:t>责任，并负责妥善处理善后工作；因乙方公司原因造成的劳资纠纷，由乙方承担全部责任。</w:t>
      </w:r>
    </w:p>
    <w:p w14:paraId="1763FB3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3、建立培训体系，定期组织培训与考核，每年至少组织培训2次。</w:t>
      </w:r>
    </w:p>
    <w:p w14:paraId="6AE74A8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4、从业人员分岗位统一着装、佩戴工卡标志、统一劳保用品。</w:t>
      </w:r>
    </w:p>
    <w:p w14:paraId="275329C0">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、涉及影响甲方正常工作生活的重要事项（如：停水、停电、停气、电梯维护保养等），应在主要出入口、各公示栏内张贴通知或设置安全警示、温馨提示牌，履行告知义务。）</w:t>
      </w:r>
    </w:p>
    <w:p w14:paraId="0074547C">
      <w:pPr>
        <w:pStyle w:val="155"/>
        <w:spacing w:line="480" w:lineRule="auto"/>
        <w:ind w:firstLine="480" w:firstLineChars="200"/>
        <w:rPr>
          <w:rFonts w:hint="eastAsia" w:ascii="宋体" w:hAnsi="宋体" w:eastAsia="宋体" w:cs="宋体"/>
          <w:color w:val="auto"/>
          <w:kern w:val="0"/>
          <w:sz w:val="24"/>
          <w:szCs w:val="24"/>
          <w:highlight w:val="none"/>
          <w:lang w:val="zh-CN" w:bidi="zh-CN"/>
        </w:rPr>
      </w:pPr>
      <w:r>
        <w:rPr>
          <w:rFonts w:hint="eastAsia" w:ascii="宋体" w:hAnsi="宋体" w:cs="宋体"/>
          <w:color w:val="auto"/>
          <w:kern w:val="0"/>
          <w:sz w:val="24"/>
          <w:szCs w:val="24"/>
          <w:highlight w:val="none"/>
          <w:lang w:val="en-US" w:bidi="zh-CN"/>
        </w:rPr>
        <w:t>6</w:t>
      </w:r>
      <w:r>
        <w:rPr>
          <w:rFonts w:hint="eastAsia" w:ascii="宋体" w:hAnsi="宋体" w:eastAsia="宋体" w:cs="宋体"/>
          <w:color w:val="auto"/>
          <w:kern w:val="0"/>
          <w:sz w:val="24"/>
          <w:szCs w:val="24"/>
          <w:highlight w:val="none"/>
          <w:lang w:val="zh-CN" w:bidi="zh-CN"/>
        </w:rPr>
        <w:t>、</w:t>
      </w:r>
      <w:r>
        <w:rPr>
          <w:rFonts w:hint="eastAsia" w:ascii="宋体" w:hAnsi="宋体" w:eastAsia="宋体" w:cs="宋体"/>
          <w:color w:val="auto"/>
          <w:sz w:val="24"/>
          <w:szCs w:val="24"/>
          <w:highlight w:val="none"/>
          <w:lang w:val="zh-CN" w:bidi="zh-CN"/>
        </w:rPr>
        <w:t>水、电、气、暖等急修15分钟内、其他报修30 分钟内到达现场；由专项服务企业负责的设施设备应立即告知。报修回访率不小于90%。</w:t>
      </w:r>
    </w:p>
    <w:p w14:paraId="3AB0552D">
      <w:pPr>
        <w:pStyle w:val="155"/>
        <w:spacing w:line="480" w:lineRule="auto"/>
        <w:ind w:firstLine="480" w:firstLineChars="200"/>
        <w:rPr>
          <w:rFonts w:hint="eastAsia" w:ascii="宋体" w:hAnsi="宋体" w:eastAsia="宋体" w:cs="宋体"/>
          <w:color w:val="auto"/>
          <w:kern w:val="0"/>
          <w:sz w:val="24"/>
          <w:szCs w:val="24"/>
          <w:highlight w:val="none"/>
          <w:lang w:val="zh-CN" w:bidi="zh-CN"/>
        </w:rPr>
      </w:pPr>
      <w:r>
        <w:rPr>
          <w:rFonts w:hint="eastAsia" w:ascii="宋体" w:hAnsi="宋体" w:cs="宋体"/>
          <w:color w:val="auto"/>
          <w:kern w:val="0"/>
          <w:sz w:val="24"/>
          <w:szCs w:val="24"/>
          <w:highlight w:val="none"/>
          <w:lang w:val="en-US" w:bidi="zh-CN"/>
        </w:rPr>
        <w:t>7</w:t>
      </w:r>
      <w:r>
        <w:rPr>
          <w:rFonts w:hint="eastAsia" w:ascii="宋体" w:hAnsi="宋体" w:eastAsia="宋体" w:cs="宋体"/>
          <w:color w:val="auto"/>
          <w:kern w:val="0"/>
          <w:sz w:val="24"/>
          <w:szCs w:val="24"/>
          <w:highlight w:val="none"/>
          <w:lang w:val="zh-CN" w:bidi="zh-CN"/>
        </w:rPr>
        <w:t>、甲方提出的意见、建议、投诉应当在 1 个工作日内回复。投诉回访率 100%。</w:t>
      </w:r>
    </w:p>
    <w:p w14:paraId="1608D048">
      <w:pPr>
        <w:spacing w:line="480" w:lineRule="auto"/>
        <w:rPr>
          <w:rFonts w:hint="eastAsia"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rPr>
        <w:t xml:space="preserve">二、服务项目及标准 </w:t>
      </w:r>
      <w:r>
        <w:rPr>
          <w:rFonts w:hint="eastAsia" w:ascii="宋体" w:hAnsi="宋体" w:eastAsia="宋体" w:cs="宋体"/>
          <w:color w:val="auto"/>
          <w:sz w:val="24"/>
          <w:szCs w:val="24"/>
          <w:highlight w:val="none"/>
        </w:rPr>
        <w:br w:type="textWrapping"/>
      </w:r>
      <w:r>
        <w:rPr>
          <w:rFonts w:hint="eastAsia" w:ascii="宋体" w:hAnsi="宋体" w:eastAsia="宋体" w:cs="宋体"/>
          <w:b/>
          <w:color w:val="auto"/>
          <w:sz w:val="24"/>
          <w:szCs w:val="24"/>
          <w:highlight w:val="none"/>
        </w:rPr>
        <w:t>（一）给排水设备运行维护</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对办公楼（区）室内外给排水系统的设备、设施，如管道、管件、阀门、水嘴、卫生洁具、排水管、透气管及疏通、室外排水管等正常运行使用进行日常养护维修。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建立正常供水管理制度，防止跑、冒、滴、漏，对设备</w:t>
      </w:r>
      <w:r>
        <w:rPr>
          <w:rFonts w:hint="eastAsia" w:ascii="宋体" w:hAnsi="宋体" w:cs="宋体"/>
          <w:color w:val="auto"/>
          <w:sz w:val="24"/>
          <w:szCs w:val="24"/>
          <w:highlight w:val="none"/>
          <w:lang w:eastAsia="zh-CN"/>
        </w:rPr>
        <w:t>、设施</w:t>
      </w:r>
      <w:r>
        <w:rPr>
          <w:rFonts w:hint="eastAsia" w:ascii="宋体" w:hAnsi="宋体" w:eastAsia="宋体" w:cs="宋体"/>
          <w:color w:val="auto"/>
          <w:sz w:val="24"/>
          <w:szCs w:val="24"/>
          <w:highlight w:val="none"/>
        </w:rPr>
        <w:t>等进行日常维护</w:t>
      </w:r>
      <w:r>
        <w:rPr>
          <w:rFonts w:hint="eastAsia" w:ascii="宋体" w:hAnsi="宋体" w:eastAsia="宋体" w:cs="宋体"/>
          <w:color w:val="auto"/>
          <w:sz w:val="24"/>
          <w:szCs w:val="24"/>
          <w:highlight w:val="none"/>
          <w:lang w:val="en-US" w:eastAsia="zh-CN"/>
        </w:rPr>
        <w:t>检查</w:t>
      </w:r>
      <w:r>
        <w:rPr>
          <w:rFonts w:hint="eastAsia" w:ascii="宋体" w:hAnsi="宋体" w:eastAsia="宋体" w:cs="宋体"/>
          <w:color w:val="auto"/>
          <w:sz w:val="24"/>
          <w:szCs w:val="24"/>
          <w:highlight w:val="none"/>
        </w:rPr>
        <w:t>，及时发现并解决故障，给排水系统发生事故时，维修人员在1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分钟内到达现场抢修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rPr>
        <w:t>发现配件需要维修更换时，应上报</w:t>
      </w:r>
      <w:r>
        <w:rPr>
          <w:rFonts w:hint="eastAsia" w:ascii="宋体" w:hAnsi="宋体" w:cs="宋体"/>
          <w:color w:val="auto"/>
          <w:sz w:val="24"/>
          <w:szCs w:val="24"/>
          <w:highlight w:val="none"/>
          <w:lang w:val="en-US" w:eastAsia="zh-CN"/>
        </w:rPr>
        <w:t>上级主管部门，</w:t>
      </w:r>
      <w:r>
        <w:rPr>
          <w:rFonts w:hint="eastAsia" w:ascii="宋体" w:hAnsi="宋体" w:eastAsia="宋体" w:cs="宋体"/>
          <w:color w:val="auto"/>
          <w:sz w:val="24"/>
          <w:szCs w:val="24"/>
          <w:highlight w:val="none"/>
          <w:lang w:val="en-US"/>
        </w:rPr>
        <w:t>经同意后进行维修或更换。</w:t>
      </w:r>
      <w:r>
        <w:rPr>
          <w:rFonts w:hint="eastAsia" w:ascii="宋体" w:hAnsi="宋体" w:eastAsia="宋体" w:cs="宋体"/>
          <w:color w:val="auto"/>
          <w:sz w:val="24"/>
          <w:szCs w:val="24"/>
          <w:highlight w:val="none"/>
        </w:rPr>
        <w:br w:type="textWrapping"/>
      </w:r>
      <w:r>
        <w:rPr>
          <w:rFonts w:hint="eastAsia" w:ascii="宋体" w:hAnsi="宋体" w:eastAsia="宋体" w:cs="宋体"/>
          <w:b/>
          <w:color w:val="auto"/>
          <w:sz w:val="24"/>
          <w:szCs w:val="24"/>
          <w:highlight w:val="none"/>
        </w:rPr>
        <w:t>（二）供电设备管理维护</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对办公楼（区）供电系统高、低压电器设备、电线电缆、网络网线、照明装置等设备正常运行使用进行日常管理和养护维修。 对供电范围内的电器设备、仪器仪表定期巡视维护和重点检测，按照规定周期对变配电设施设备进行检查、维护、清洁，加强日常维护检修，公共使用的照明、指示灯具线路、开关要保证完好，确保用电完全；管理和维护好办公楼（区）灯光亮化的设施；供电运行和维修人员必须持电工证上岗；建立</w:t>
      </w:r>
      <w:r>
        <w:rPr>
          <w:rFonts w:hint="eastAsia" w:ascii="宋体" w:hAnsi="宋体" w:eastAsia="宋体" w:cs="宋体"/>
          <w:color w:val="auto"/>
          <w:sz w:val="24"/>
          <w:szCs w:val="24"/>
          <w:highlight w:val="none"/>
          <w:lang w:val="en-US"/>
        </w:rPr>
        <w:t>24小时运行维修值班制度，及时排除故障，一般故障排除时间不超过2小时。发现配件需要维修更换时，应上报</w:t>
      </w:r>
      <w:r>
        <w:rPr>
          <w:rFonts w:hint="eastAsia" w:ascii="宋体" w:hAnsi="宋体" w:cs="宋体"/>
          <w:color w:val="auto"/>
          <w:sz w:val="24"/>
          <w:szCs w:val="24"/>
          <w:highlight w:val="none"/>
          <w:lang w:val="en-US" w:eastAsia="zh-CN"/>
        </w:rPr>
        <w:t>上级主管部门，</w:t>
      </w:r>
      <w:r>
        <w:rPr>
          <w:rFonts w:hint="eastAsia" w:ascii="宋体" w:hAnsi="宋体" w:eastAsia="宋体" w:cs="宋体"/>
          <w:color w:val="auto"/>
          <w:sz w:val="24"/>
          <w:szCs w:val="24"/>
          <w:highlight w:val="none"/>
          <w:lang w:val="en-US"/>
        </w:rPr>
        <w:t>经同意后进行维修或更换。</w:t>
      </w:r>
    </w:p>
    <w:p w14:paraId="398CF403">
      <w:pPr>
        <w:spacing w:line="48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三</w:t>
      </w:r>
      <w:r>
        <w:rPr>
          <w:rFonts w:hint="eastAsia" w:ascii="宋体" w:hAnsi="宋体" w:eastAsia="宋体" w:cs="宋体"/>
          <w:b/>
          <w:color w:val="auto"/>
          <w:sz w:val="24"/>
          <w:szCs w:val="24"/>
          <w:highlight w:val="none"/>
        </w:rPr>
        <w:t>）环境卫生管理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办公楼（区）内楼梯、大厅、平台、走廊、天台、电梯间、卫生间、公共活动场所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洗漱间、淋浴间、会议室、等所有公共部位，办公区域道路、停车场（库）等所有公共场地及“门前三包”区域的日常清洁保养，垃圾等废弃物清理等。实行标准化清扫保洁，由专人负责检查监督，清洁率100%。</w:t>
      </w:r>
    </w:p>
    <w:p w14:paraId="49B38F0C">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外围及周边道路 </w:t>
      </w:r>
      <w:r>
        <w:rPr>
          <w:rFonts w:hint="eastAsia" w:ascii="宋体" w:hAnsi="宋体" w:eastAsia="宋体" w:cs="宋体"/>
          <w:color w:val="auto"/>
          <w:sz w:val="24"/>
          <w:szCs w:val="24"/>
          <w:highlight w:val="none"/>
        </w:rPr>
        <w:t xml:space="preserve">地面干净无杂物、无积水，无明显污迹、油渍；明沟、各种标示标牌表面干净无积尘、无水印；路灯表面干净无污渍。绿化带及绿地内无杂物，花台表面干净无污渍。 </w:t>
      </w:r>
      <w:r>
        <w:rPr>
          <w:rFonts w:hint="eastAsia" w:ascii="宋体" w:hAnsi="宋体" w:eastAsia="宋体" w:cs="宋体"/>
          <w:color w:val="auto"/>
          <w:sz w:val="24"/>
          <w:szCs w:val="24"/>
          <w:highlight w:val="none"/>
        </w:rPr>
        <w:br w:type="textWrapping"/>
      </w:r>
      <w:r>
        <w:rPr>
          <w:rFonts w:hint="eastAsia" w:ascii="宋体" w:hAnsi="宋体" w:eastAsia="宋体" w:cs="宋体"/>
          <w:b/>
          <w:color w:val="auto"/>
          <w:sz w:val="24"/>
          <w:szCs w:val="24"/>
          <w:highlight w:val="none"/>
        </w:rPr>
        <w:t xml:space="preserve">大厅、楼内、公共通道 </w:t>
      </w:r>
    </w:p>
    <w:p w14:paraId="2B897D84">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p>
    <w:p w14:paraId="7B031B66">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楼梯及楼梯间</w:t>
      </w:r>
    </w:p>
    <w:p w14:paraId="3C46E7D2">
      <w:pP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梯步表面干净无污渍，防滑条（缝）干净，扶手栏杆表面干净无灰尘，防火门及闭门器表面干净无污渍，墙面、天花板无积尘、蛛网。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公共卫生间 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篓杂物超过2/3应及时倾倒，卫生间内空气流通并且无明显异味。 </w:t>
      </w:r>
      <w:r>
        <w:rPr>
          <w:rFonts w:hint="eastAsia" w:ascii="宋体" w:hAnsi="宋体" w:eastAsia="宋体" w:cs="宋体"/>
          <w:color w:val="auto"/>
          <w:sz w:val="24"/>
          <w:szCs w:val="24"/>
          <w:highlight w:val="none"/>
        </w:rPr>
        <w:br w:type="textWrapping"/>
      </w:r>
      <w:r>
        <w:rPr>
          <w:rFonts w:hint="eastAsia" w:ascii="宋体" w:hAnsi="宋体" w:eastAsia="宋体" w:cs="宋体"/>
          <w:b/>
          <w:color w:val="auto"/>
          <w:sz w:val="24"/>
          <w:szCs w:val="24"/>
          <w:highlight w:val="none"/>
        </w:rPr>
        <w:t xml:space="preserve">停车场 </w:t>
      </w:r>
    </w:p>
    <w:p w14:paraId="51F7021B">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地面干净，无杂物，无明显油渍、污渍；各种指示牌表面干净有光泽；消防器材表面干净，摆放整齐；减速带表面干净无明显污迹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开水间及清洁间 地面干净，无杂物、无积水，地垫摆放整齐干净，天花板干净无蛛网，灯罩表面无积尘、蛛网，墙面干净无污渍，各种物品表面干净无渍，清洁工具摆放整齐有序，室内无明显异味。 </w:t>
      </w:r>
      <w:r>
        <w:rPr>
          <w:rFonts w:hint="eastAsia" w:ascii="宋体" w:hAnsi="宋体" w:eastAsia="宋体" w:cs="宋体"/>
          <w:color w:val="auto"/>
          <w:sz w:val="24"/>
          <w:szCs w:val="24"/>
          <w:highlight w:val="none"/>
        </w:rPr>
        <w:br w:type="textWrapping"/>
      </w:r>
    </w:p>
    <w:p w14:paraId="1D4DA4E3">
      <w:pPr>
        <w:spacing w:line="48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电梯及电梯厅</w:t>
      </w:r>
      <w:r>
        <w:rPr>
          <w:rFonts w:hint="eastAsia" w:ascii="宋体" w:hAnsi="宋体" w:eastAsia="宋体" w:cs="宋体"/>
          <w:color w:val="auto"/>
          <w:sz w:val="24"/>
          <w:szCs w:val="24"/>
          <w:highlight w:val="none"/>
        </w:rPr>
        <w:t xml:space="preserve"> </w:t>
      </w:r>
    </w:p>
    <w:p w14:paraId="6B57AC83">
      <w:pP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电梯轿厢四壁光洁明亮，操作面板无污迹、无灰尘、无印迹，地面干净，空气清新、无异味；电梯凹槽内无垃圾无杂物，按钮表面干净无印迹；扶梯踏步表面干净，扶手表面干净无灰尘、污渍，玻璃表面干净透光性好，不锈钢光亮无尘；梳齿板内无杂物污渍；厅内地面干净有光泽。 </w:t>
      </w:r>
      <w:r>
        <w:rPr>
          <w:rFonts w:hint="eastAsia" w:ascii="宋体" w:hAnsi="宋体" w:eastAsia="宋体" w:cs="宋体"/>
          <w:color w:val="auto"/>
          <w:sz w:val="24"/>
          <w:szCs w:val="24"/>
          <w:highlight w:val="none"/>
        </w:rPr>
        <w:br w:type="textWrapping"/>
      </w:r>
      <w:r>
        <w:rPr>
          <w:rFonts w:hint="eastAsia" w:ascii="宋体" w:hAnsi="宋体" w:eastAsia="宋体" w:cs="宋体"/>
          <w:b/>
          <w:color w:val="auto"/>
          <w:sz w:val="24"/>
          <w:szCs w:val="24"/>
          <w:highlight w:val="none"/>
        </w:rPr>
        <w:t xml:space="preserve">电器设施 </w:t>
      </w:r>
    </w:p>
    <w:p w14:paraId="0527988A">
      <w:pP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灯泡、灯管、灯罩无积尘、无污迹。装饰件无积尘、无污迹；开关、插座、配电箱无积尘、无明显污迹。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垃圾桶及果皮箱 桶、箱按指定位置摆放，桶身表面干净无污渍无痰迹，烟灰缸内烟头</w:t>
      </w:r>
      <w:r>
        <w:rPr>
          <w:rFonts w:hint="eastAsia" w:ascii="宋体" w:hAnsi="宋体" w:cs="宋体"/>
          <w:color w:val="auto"/>
          <w:sz w:val="24"/>
          <w:szCs w:val="24"/>
          <w:highlight w:val="none"/>
          <w:lang w:eastAsia="zh-CN"/>
        </w:rPr>
        <w:t>及时倾倒垃</w:t>
      </w:r>
      <w:r>
        <w:rPr>
          <w:rFonts w:hint="eastAsia" w:ascii="宋体" w:hAnsi="宋体" w:eastAsia="宋体" w:cs="宋体"/>
          <w:color w:val="auto"/>
          <w:sz w:val="24"/>
          <w:szCs w:val="24"/>
          <w:highlight w:val="none"/>
        </w:rPr>
        <w:t xml:space="preserve">，垃圾不应超过2/3，内胆应定期清洁、消毒。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消防栓、消防箱、公共设施 保持表面干净，无灰尘、无污渍。报警器、火警通讯电话插座、灭火器表面光亮、无积尘、无污迹；喷淋盖、烟感器、扬声器无积尘、无污渍。监控摄像头、门警器表面光亮、无积尘、无斑点；消防栓外表面光亮、无印迹、无积尘，内侧无积尘、无污迹。 </w:t>
      </w:r>
      <w:r>
        <w:rPr>
          <w:rFonts w:hint="eastAsia" w:ascii="宋体" w:hAnsi="宋体" w:eastAsia="宋体" w:cs="宋体"/>
          <w:color w:val="auto"/>
          <w:sz w:val="24"/>
          <w:szCs w:val="24"/>
          <w:highlight w:val="none"/>
        </w:rPr>
        <w:br w:type="textWrapping"/>
      </w:r>
      <w:r>
        <w:rPr>
          <w:rFonts w:hint="eastAsia" w:ascii="宋体" w:hAnsi="宋体" w:eastAsia="宋体" w:cs="宋体"/>
          <w:b/>
          <w:color w:val="auto"/>
          <w:sz w:val="24"/>
          <w:szCs w:val="24"/>
          <w:highlight w:val="none"/>
        </w:rPr>
        <w:t xml:space="preserve">设备机房、管道、指示牌 </w:t>
      </w:r>
    </w:p>
    <w:p w14:paraId="043D2F2C">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无卫生死角、无垃圾堆积，无积尘、目视无蜘蛛网、无明显污渍、无水渍；指示牌、宣传牌无灰尘、无污迹，金属件表面光亮，无痕迹。 </w:t>
      </w:r>
      <w:r>
        <w:rPr>
          <w:rFonts w:hint="eastAsia" w:ascii="宋体" w:hAnsi="宋体" w:eastAsia="宋体" w:cs="宋体"/>
          <w:color w:val="auto"/>
          <w:sz w:val="24"/>
          <w:szCs w:val="24"/>
          <w:highlight w:val="none"/>
        </w:rPr>
        <w:br w:type="textWrapping"/>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四</w:t>
      </w:r>
      <w:r>
        <w:rPr>
          <w:rFonts w:hint="eastAsia" w:ascii="宋体" w:hAnsi="宋体" w:eastAsia="宋体" w:cs="宋体"/>
          <w:b/>
          <w:color w:val="auto"/>
          <w:sz w:val="24"/>
          <w:szCs w:val="24"/>
          <w:highlight w:val="none"/>
        </w:rPr>
        <w:t>）除“四害”管理和卫生消毒</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1、服务内容： 灭鼠、灭蚊、灭蝇、灭蟑螂达到全国爱卫会规定的标准。科学有效地进行卫生消毒。 每</w:t>
      </w:r>
      <w:r>
        <w:rPr>
          <w:rFonts w:hint="eastAsia" w:ascii="宋体" w:hAnsi="宋体" w:eastAsia="宋体" w:cs="宋体"/>
          <w:color w:val="auto"/>
          <w:sz w:val="24"/>
          <w:szCs w:val="24"/>
          <w:highlight w:val="none"/>
          <w:lang w:eastAsia="zh-CN"/>
        </w:rPr>
        <w:t>季度</w:t>
      </w:r>
      <w:r>
        <w:rPr>
          <w:rFonts w:hint="eastAsia" w:ascii="宋体" w:hAnsi="宋体" w:eastAsia="宋体" w:cs="宋体"/>
          <w:color w:val="auto"/>
          <w:sz w:val="24"/>
          <w:szCs w:val="24"/>
          <w:highlight w:val="none"/>
        </w:rPr>
        <w:t xml:space="preserve">年进行一次灭鼠、灭蟑螂，每年夏季进行一次灭蚊、灭蝇，使用药品及其产生的费用由乙方负责。 </w:t>
      </w:r>
      <w:r>
        <w:rPr>
          <w:rFonts w:hint="eastAsia" w:ascii="宋体" w:hAnsi="宋体" w:eastAsia="宋体" w:cs="宋体"/>
          <w:color w:val="auto"/>
          <w:sz w:val="24"/>
          <w:szCs w:val="24"/>
          <w:highlight w:val="none"/>
        </w:rPr>
        <w:br w:type="textWrapping"/>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eastAsia="zh-CN"/>
        </w:rPr>
        <w:t>五</w:t>
      </w:r>
      <w:r>
        <w:rPr>
          <w:rFonts w:hint="eastAsia" w:ascii="宋体" w:hAnsi="宋体" w:eastAsia="宋体" w:cs="宋体"/>
          <w:b/>
          <w:bCs/>
          <w:color w:val="auto"/>
          <w:sz w:val="24"/>
          <w:szCs w:val="24"/>
          <w:highlight w:val="none"/>
        </w:rPr>
        <w:t>）绿</w:t>
      </w:r>
      <w:r>
        <w:rPr>
          <w:rFonts w:hint="eastAsia" w:ascii="宋体" w:hAnsi="宋体" w:eastAsia="宋体" w:cs="宋体"/>
          <w:b/>
          <w:color w:val="auto"/>
          <w:sz w:val="24"/>
          <w:szCs w:val="24"/>
          <w:highlight w:val="none"/>
        </w:rPr>
        <w:t xml:space="preserve">化管理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绿化管理是指对办公楼（区）树木、花草、绿地等的日常养护管理，包括绿植的病虫害防治及其产生的费用由乙方负责。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对办公楼（区）树木、花草、绿地等的日常养护和管理，办公楼（区）“门前”规定区域绿地的养护管理等。包括绿植的病虫害防治及其产生的费用由乙方负责。植物枯死乙方要按原品种、原规格进行补栽。</w:t>
      </w:r>
    </w:p>
    <w:p w14:paraId="52C08EE5">
      <w:pPr>
        <w:numPr>
          <w:ilvl w:val="0"/>
          <w:numId w:val="0"/>
        </w:numPr>
        <w:spacing w:line="48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kern w:val="2"/>
          <w:sz w:val="24"/>
          <w:szCs w:val="24"/>
          <w:highlight w:val="none"/>
          <w:lang w:val="en-US" w:eastAsia="zh-CN" w:bidi="ar-SA"/>
        </w:rPr>
        <w:t>（</w:t>
      </w:r>
      <w:r>
        <w:rPr>
          <w:rFonts w:hint="eastAsia" w:ascii="宋体" w:hAnsi="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sz w:val="24"/>
          <w:szCs w:val="24"/>
          <w:highlight w:val="none"/>
          <w:lang w:eastAsia="zh-CN"/>
        </w:rPr>
        <w:t>其他工作</w:t>
      </w:r>
    </w:p>
    <w:p w14:paraId="21CE1EE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甲方因实际工作需要</w:t>
      </w:r>
      <w:r>
        <w:rPr>
          <w:rFonts w:hint="eastAsia" w:ascii="宋体" w:hAnsi="宋体" w:eastAsia="宋体" w:cs="华文中宋"/>
          <w:color w:val="auto"/>
          <w:sz w:val="24"/>
          <w:szCs w:val="24"/>
          <w:highlight w:val="none"/>
        </w:rPr>
        <w:t>安排的</w:t>
      </w:r>
      <w:r>
        <w:rPr>
          <w:rFonts w:hint="eastAsia" w:ascii="宋体" w:hAnsi="宋体" w:eastAsia="宋体" w:cs="华文中宋"/>
          <w:color w:val="auto"/>
          <w:sz w:val="24"/>
          <w:szCs w:val="24"/>
          <w:highlight w:val="none"/>
          <w:lang w:val="en-US" w:eastAsia="zh-CN"/>
        </w:rPr>
        <w:t>其他</w:t>
      </w:r>
      <w:r>
        <w:rPr>
          <w:rFonts w:hint="eastAsia" w:ascii="宋体" w:hAnsi="宋体" w:eastAsia="宋体" w:cs="华文中宋"/>
          <w:color w:val="auto"/>
          <w:sz w:val="24"/>
          <w:szCs w:val="24"/>
          <w:highlight w:val="none"/>
        </w:rPr>
        <w:t>工作任务</w:t>
      </w:r>
      <w:r>
        <w:rPr>
          <w:rFonts w:hint="eastAsia" w:ascii="宋体" w:hAnsi="宋体" w:eastAsia="宋体" w:cs="华文中宋"/>
          <w:color w:val="auto"/>
          <w:sz w:val="24"/>
          <w:szCs w:val="24"/>
          <w:highlight w:val="none"/>
          <w:lang w:val="en-US" w:eastAsia="zh-CN"/>
        </w:rPr>
        <w:t>等</w:t>
      </w:r>
      <w:r>
        <w:rPr>
          <w:rFonts w:hint="eastAsia" w:ascii="宋体" w:hAnsi="宋体" w:eastAsia="宋体" w:cs="华文中宋"/>
          <w:color w:val="auto"/>
          <w:sz w:val="24"/>
          <w:szCs w:val="24"/>
          <w:highlight w:val="none"/>
        </w:rPr>
        <w:t>。</w:t>
      </w:r>
      <w:r>
        <w:rPr>
          <w:rFonts w:hint="eastAsia" w:ascii="宋体" w:hAnsi="宋体" w:eastAsia="宋体" w:cs="宋体"/>
          <w:color w:val="auto"/>
          <w:sz w:val="24"/>
          <w:szCs w:val="24"/>
          <w:highlight w:val="none"/>
        </w:rPr>
        <w:t xml:space="preserve"> </w:t>
      </w:r>
    </w:p>
    <w:p w14:paraId="4C547958">
      <w:pPr>
        <w:spacing w:line="48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eastAsia="zh-CN"/>
        </w:rPr>
        <w:t>七</w:t>
      </w:r>
      <w:r>
        <w:rPr>
          <w:rFonts w:hint="eastAsia" w:ascii="宋体" w:hAnsi="宋体" w:eastAsia="宋体" w:cs="宋体"/>
          <w:b/>
          <w:color w:val="auto"/>
          <w:sz w:val="24"/>
          <w:szCs w:val="24"/>
          <w:highlight w:val="none"/>
        </w:rPr>
        <w:t>条  设施使用、保养与维护</w:t>
      </w:r>
    </w:p>
    <w:p w14:paraId="38EF0CD9">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1、乙方应配合甲方制定本物业管理区域内物业共用部位和共用设施设备的使用、公共秩序和环境卫生的维护等方面的规章制度。乙方根据规章制度提供管理服务时，甲乙双方应给予必要配合。</w:t>
      </w:r>
    </w:p>
    <w:p w14:paraId="0C7B0FC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2、乙方可采取规劝、告知、报告等必要措施，制止违反本物业管理区域内物业管理规章制度的行为。</w:t>
      </w:r>
    </w:p>
    <w:p w14:paraId="1419761F">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3、乙方应及时向甲方通告本物业管理区域内有关物业管理的重大事项，及时处理甲方对物业管理方面的合理化建议，接受甲方业主的监督。</w:t>
      </w:r>
    </w:p>
    <w:p w14:paraId="1FF18FD6">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4、需维修的项目：物业项目如房屋、电路及灯具、空调、电梯、</w:t>
      </w:r>
      <w:r>
        <w:rPr>
          <w:rFonts w:hint="eastAsia" w:ascii="宋体" w:hAnsi="宋体" w:cs="宋体"/>
          <w:color w:val="auto"/>
          <w:sz w:val="24"/>
          <w:szCs w:val="24"/>
          <w:highlight w:val="none"/>
          <w:lang w:eastAsia="zh-CN"/>
        </w:rPr>
        <w:t>暖气、</w:t>
      </w:r>
      <w:r>
        <w:rPr>
          <w:rFonts w:hint="eastAsia" w:ascii="宋体" w:hAnsi="宋体" w:eastAsia="宋体" w:cs="宋体"/>
          <w:color w:val="auto"/>
          <w:sz w:val="24"/>
          <w:szCs w:val="24"/>
          <w:highlight w:val="none"/>
        </w:rPr>
        <w:t>卫生间、道路等设施和设备的维修：需要换配件的由乙方提出，经甲方同意后，按程序由乙方安排维修，材料费用由甲方负责。临时占用、挖掘本物业管理区域内道路、场地的，应在约定期限内恢复原状。</w:t>
      </w:r>
    </w:p>
    <w:p w14:paraId="22846E74">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与装饰装修房屋的甲方或物业使用人应签订书面的装饰装修管理服务协议，就允许施工的时间、废弃物的清运与处置、装修管理服务费用等事项进行约定，并事先告知甲方或物业使用人装饰装修中的禁止行为和注意事项。</w:t>
      </w:r>
    </w:p>
    <w:p w14:paraId="5FF5C724">
      <w:pPr>
        <w:spacing w:line="48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eastAsia="zh-CN"/>
        </w:rPr>
        <w:t>八</w:t>
      </w:r>
      <w:r>
        <w:rPr>
          <w:rFonts w:hint="eastAsia" w:ascii="宋体" w:hAnsi="宋体" w:eastAsia="宋体" w:cs="宋体"/>
          <w:b/>
          <w:color w:val="auto"/>
          <w:sz w:val="24"/>
          <w:szCs w:val="24"/>
          <w:highlight w:val="none"/>
        </w:rPr>
        <w:t>条 违约责任</w:t>
      </w:r>
    </w:p>
    <w:p w14:paraId="67068952">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1、乙方的管理服务达不到本合同约定的服务内容和质量标准，应按月服务费的5%的标准向甲方业主支付违约金。</w:t>
      </w:r>
    </w:p>
    <w:p w14:paraId="6C34938B">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2、甲方违反本合同的约定，未能按时足额拨付物业服务费用的，应按月服务费的5%的标准向乙方支付违约金。</w:t>
      </w:r>
    </w:p>
    <w:p w14:paraId="7163C3E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3、因乙方人员给甲方造成的损失，由乙方承担相应的责任。乙方人员出现的工伤、意外事故及个人疾病等人身伤害问题均由乙方自行解决，甲方不承担责任。</w:t>
      </w:r>
    </w:p>
    <w:p w14:paraId="40767C27">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以下情况乙方不承担责任：</w:t>
      </w:r>
      <w:r>
        <w:rPr>
          <w:rFonts w:hint="eastAsia" w:ascii="宋体" w:hAnsi="宋体" w:eastAsia="宋体" w:cs="宋体"/>
          <w:color w:val="auto"/>
          <w:sz w:val="24"/>
          <w:szCs w:val="24"/>
          <w:highlight w:val="none"/>
        </w:rPr>
        <w:tab/>
      </w:r>
    </w:p>
    <w:p w14:paraId="7C7BE202">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1）、因不可抗力导致物业管理服务中断的；</w:t>
      </w:r>
    </w:p>
    <w:p w14:paraId="545A8AA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2)、乙方已履行本合同约定义务，但因物业本身固有瑕疵造成损失的；</w:t>
      </w:r>
    </w:p>
    <w:p w14:paraId="795962D0">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3)、因维修养护物业共用部位、共用设施设备需要且事先已告知甲方和物业使用人，暂时停水、停电、停止共用设施设备使用等造成损失的；</w:t>
      </w:r>
    </w:p>
    <w:p w14:paraId="248C7B47">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4)、因非乙方责任出现供水、供电、供气、供热、通讯、有线电视及其他共用设施设备运行障碍造成损失的。</w:t>
      </w:r>
    </w:p>
    <w:p w14:paraId="4AAA85C6">
      <w:pPr>
        <w:spacing w:line="48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eastAsia="zh-CN"/>
        </w:rPr>
        <w:t>九</w:t>
      </w:r>
      <w:r>
        <w:rPr>
          <w:rFonts w:hint="eastAsia" w:ascii="宋体" w:hAnsi="宋体" w:eastAsia="宋体" w:cs="宋体"/>
          <w:b/>
          <w:color w:val="auto"/>
          <w:sz w:val="24"/>
          <w:szCs w:val="24"/>
          <w:highlight w:val="none"/>
        </w:rPr>
        <w:t>条  其他事项</w:t>
      </w:r>
    </w:p>
    <w:p w14:paraId="65B936C0">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1、乙方按国家有关规定为其从业人员发放劳动报酬、社会保险等相关福利，确保物业服务项目顺利进行。因此引起的有关问题，由乙方负责解决。</w:t>
      </w:r>
    </w:p>
    <w:p w14:paraId="41011C2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2、本合同期满前三个月，甲、乙双方应就延长本合同期限达成协议；双方未能达成协议的，甲方应在本合同期满前选聘新的物业管理企业。</w:t>
      </w:r>
    </w:p>
    <w:p w14:paraId="055A5BF3">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3、甲方必须优先委托乙方在物业管理区域内对其物业的专有部分提供维修养护等服务，服务内容和费用由双方另行商定。</w:t>
      </w:r>
    </w:p>
    <w:p w14:paraId="4BCDF586">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4、本合同终止时，乙方应将物业管理用房、物业管理相关资料等属于甲方业主所有的财物及时完整地移交给甲方。本合同的附件为本合同不可分割的组成部分，与本合同具有同等法律效力。</w:t>
      </w:r>
    </w:p>
    <w:p w14:paraId="2261F2F0">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5、本合同未尽事宜，双方可另行以书面形式签订补充协议，补充协议与本合同存在冲突的，以本合同为准。</w:t>
      </w:r>
    </w:p>
    <w:p w14:paraId="5C95086A">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第十一条 </w:t>
      </w:r>
      <w:r>
        <w:rPr>
          <w:rFonts w:hint="eastAsia" w:ascii="宋体" w:hAnsi="宋体" w:eastAsia="宋体" w:cs="宋体"/>
          <w:color w:val="auto"/>
          <w:sz w:val="24"/>
          <w:szCs w:val="24"/>
          <w:highlight w:val="none"/>
        </w:rPr>
        <w:t xml:space="preserve"> 本合同在履行中发生争议，由双方协商解决。</w:t>
      </w:r>
    </w:p>
    <w:p w14:paraId="2D5341D4">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第十二条</w:t>
      </w:r>
      <w:r>
        <w:rPr>
          <w:rFonts w:hint="eastAsia" w:ascii="宋体" w:hAnsi="宋体" w:eastAsia="宋体" w:cs="宋体"/>
          <w:color w:val="auto"/>
          <w:sz w:val="24"/>
          <w:szCs w:val="24"/>
          <w:highlight w:val="none"/>
        </w:rPr>
        <w:t xml:space="preserve">  本合同一式六份，甲方四份、乙方两份。</w:t>
      </w:r>
    </w:p>
    <w:p w14:paraId="6167D8E7">
      <w:pPr>
        <w:spacing w:line="480" w:lineRule="auto"/>
        <w:ind w:firstLine="480" w:firstLineChars="200"/>
        <w:rPr>
          <w:rFonts w:hint="eastAsia" w:ascii="宋体" w:hAnsi="宋体" w:eastAsia="宋体" w:cs="宋体"/>
          <w:color w:val="auto"/>
          <w:sz w:val="24"/>
          <w:szCs w:val="24"/>
          <w:highlight w:val="none"/>
        </w:rPr>
      </w:pPr>
    </w:p>
    <w:p w14:paraId="3EE2BB64">
      <w:pPr>
        <w:spacing w:line="480" w:lineRule="auto"/>
        <w:ind w:firstLine="480" w:firstLineChars="200"/>
        <w:rPr>
          <w:rFonts w:hint="eastAsia" w:ascii="宋体" w:hAnsi="宋体" w:eastAsia="宋体" w:cs="宋体"/>
          <w:color w:val="auto"/>
          <w:sz w:val="24"/>
          <w:szCs w:val="24"/>
          <w:highlight w:val="none"/>
        </w:rPr>
      </w:pPr>
    </w:p>
    <w:p w14:paraId="3640E91F">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甲方（签章）                                  乙方（签章）</w:t>
      </w:r>
    </w:p>
    <w:p w14:paraId="5DF31294">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法定代表人(签字或盖章)  </w:t>
      </w:r>
    </w:p>
    <w:p w14:paraId="0335404E">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（或法定代表人授权委托人）                    （或法定代表人授权委托人）    </w:t>
      </w:r>
    </w:p>
    <w:p w14:paraId="23B89FF6">
      <w:pPr>
        <w:spacing w:line="480" w:lineRule="auto"/>
        <w:ind w:firstLine="1680" w:firstLineChars="700"/>
        <w:rPr>
          <w:color w:val="auto"/>
          <w:sz w:val="24"/>
          <w:szCs w:val="24"/>
          <w:highlight w:val="none"/>
        </w:rPr>
      </w:pPr>
      <w:r>
        <w:rPr>
          <w:rFonts w:hint="eastAsia" w:ascii="宋体" w:hAnsi="宋体" w:eastAsia="宋体" w:cs="宋体"/>
          <w:color w:val="auto"/>
          <w:sz w:val="24"/>
          <w:szCs w:val="24"/>
          <w:highlight w:val="none"/>
        </w:rPr>
        <w:t>年  月  日                                  年  月  日</w:t>
      </w:r>
    </w:p>
    <w:p w14:paraId="06D6F8F0">
      <w:pPr>
        <w:pStyle w:val="20"/>
        <w:rPr>
          <w:rFonts w:hint="eastAsia" w:ascii="宋体" w:hAnsi="宋体" w:eastAsia="宋体" w:cs="宋体"/>
          <w:color w:val="auto"/>
          <w:sz w:val="24"/>
          <w:highlight w:val="none"/>
        </w:rPr>
      </w:pPr>
    </w:p>
    <w:p w14:paraId="2406CBB3">
      <w:pPr>
        <w:pStyle w:val="20"/>
        <w:rPr>
          <w:rFonts w:ascii="宋体" w:hAnsi="宋体" w:cs="宋体"/>
          <w:color w:val="auto"/>
          <w:sz w:val="24"/>
          <w:highlight w:val="none"/>
        </w:rPr>
        <w:sectPr>
          <w:pgSz w:w="11906" w:h="16838"/>
          <w:pgMar w:top="1559" w:right="1531" w:bottom="1418" w:left="1554" w:header="57" w:footer="992" w:gutter="0"/>
          <w:cols w:space="720" w:num="1"/>
          <w:titlePg/>
          <w:docGrid w:linePitch="312" w:charSpace="0"/>
        </w:sectPr>
      </w:pPr>
    </w:p>
    <w:p w14:paraId="5A18AA7E">
      <w:pPr>
        <w:pStyle w:val="2"/>
        <w:numPr>
          <w:ilvl w:val="0"/>
          <w:numId w:val="3"/>
        </w:numPr>
        <w:spacing w:before="120" w:after="120" w:line="360" w:lineRule="auto"/>
        <w:jc w:val="center"/>
        <w:rPr>
          <w:rFonts w:ascii="宋体" w:hAnsi="宋体" w:cs="宋体"/>
          <w:bCs w:val="0"/>
          <w:color w:val="auto"/>
          <w:sz w:val="32"/>
          <w:szCs w:val="32"/>
          <w:highlight w:val="none"/>
        </w:rPr>
      </w:pPr>
      <w:r>
        <w:rPr>
          <w:rFonts w:hint="eastAsia" w:ascii="宋体" w:hAnsi="宋体" w:cs="宋体"/>
          <w:bCs w:val="0"/>
          <w:color w:val="auto"/>
          <w:sz w:val="32"/>
          <w:szCs w:val="32"/>
          <w:highlight w:val="none"/>
        </w:rPr>
        <w:t xml:space="preserve"> </w:t>
      </w:r>
      <w:bookmarkStart w:id="772" w:name="_Toc6376"/>
      <w:r>
        <w:rPr>
          <w:rFonts w:hint="eastAsia" w:ascii="宋体" w:hAnsi="宋体" w:cs="宋体"/>
          <w:bCs w:val="0"/>
          <w:color w:val="auto"/>
          <w:sz w:val="32"/>
          <w:szCs w:val="32"/>
          <w:highlight w:val="none"/>
          <w:lang w:eastAsia="zh-CN"/>
        </w:rPr>
        <w:t>采购需求及技术要求</w:t>
      </w:r>
      <w:bookmarkEnd w:id="772"/>
    </w:p>
    <w:p w14:paraId="60752E64">
      <w:pPr>
        <w:spacing w:line="360" w:lineRule="auto"/>
        <w:rPr>
          <w:rFonts w:hint="eastAsia" w:ascii="宋体" w:hAnsi="宋体" w:eastAsia="宋体" w:cs="宋体"/>
          <w:b/>
          <w:color w:val="auto"/>
          <w:sz w:val="21"/>
          <w:szCs w:val="21"/>
          <w:highlight w:val="none"/>
        </w:rPr>
      </w:pPr>
      <w:bookmarkStart w:id="773" w:name="_Toc27114"/>
      <w:r>
        <w:rPr>
          <w:rFonts w:hint="eastAsia" w:ascii="宋体" w:hAnsi="宋体" w:eastAsia="宋体" w:cs="宋体"/>
          <w:b/>
          <w:color w:val="auto"/>
          <w:sz w:val="21"/>
          <w:szCs w:val="21"/>
          <w:highlight w:val="none"/>
        </w:rPr>
        <w:t>第一条 服务内容与质量</w:t>
      </w:r>
    </w:p>
    <w:p w14:paraId="61228416">
      <w:pPr>
        <w:spacing w:line="360" w:lineRule="auto"/>
        <w:ind w:firstLine="420" w:firstLineChars="200"/>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1</w:t>
      </w:r>
      <w:r>
        <w:rPr>
          <w:rFonts w:hint="eastAsia" w:ascii="宋体" w:hAnsi="宋体" w:eastAsia="宋体" w:cs="宋体"/>
          <w:color w:val="auto"/>
          <w:kern w:val="0"/>
          <w:sz w:val="21"/>
          <w:szCs w:val="21"/>
          <w:highlight w:val="none"/>
          <w:lang w:val="en-US" w:eastAsia="zh-CN" w:bidi="zh-CN"/>
        </w:rPr>
        <w:t>、服务内容：（1）物业管理区域清洁卫生服务 ；（2）物业设施、设备运行和维护服务；（3）物业管理区域绿化养护服务。</w:t>
      </w:r>
    </w:p>
    <w:p w14:paraId="175F137C">
      <w:pPr>
        <w:pStyle w:val="155"/>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2、服务质量：</w:t>
      </w:r>
      <w:r>
        <w:rPr>
          <w:rFonts w:hint="eastAsia" w:ascii="宋体" w:hAnsi="宋体" w:cs="宋体"/>
          <w:color w:val="auto"/>
          <w:kern w:val="0"/>
          <w:sz w:val="21"/>
          <w:szCs w:val="21"/>
          <w:highlight w:val="none"/>
          <w:lang w:val="en-US" w:eastAsia="zh-CN" w:bidi="zh-CN"/>
        </w:rPr>
        <w:t>符合国家或行业规定的合格标准，满足采购人的要求</w:t>
      </w:r>
    </w:p>
    <w:p w14:paraId="5BA13447">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第二条</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服务要求</w:t>
      </w:r>
    </w:p>
    <w:p w14:paraId="68A88B37">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一、管理及素质要求</w:t>
      </w:r>
    </w:p>
    <w:p w14:paraId="5EB02866">
      <w:pPr>
        <w:pStyle w:val="155"/>
        <w:spacing w:line="360" w:lineRule="auto"/>
        <w:ind w:firstLine="420" w:firstLineChars="200"/>
        <w:rPr>
          <w:rFonts w:hint="eastAsia"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zh-CN" w:bidi="zh-CN"/>
        </w:rPr>
        <w:t>1、人员数及相关要求：1、人员数及相关要求：乙方共配备在岗人员需</w:t>
      </w:r>
      <w:r>
        <w:rPr>
          <w:rFonts w:hint="eastAsia" w:ascii="宋体" w:hAnsi="宋体" w:cs="宋体"/>
          <w:color w:val="auto"/>
          <w:kern w:val="0"/>
          <w:sz w:val="21"/>
          <w:szCs w:val="21"/>
          <w:highlight w:val="none"/>
          <w:lang w:val="en-US" w:bidi="zh-CN"/>
        </w:rPr>
        <w:t>25</w:t>
      </w:r>
      <w:r>
        <w:rPr>
          <w:rFonts w:hint="eastAsia" w:ascii="宋体" w:hAnsi="宋体" w:eastAsia="宋体" w:cs="宋体"/>
          <w:color w:val="auto"/>
          <w:kern w:val="0"/>
          <w:sz w:val="21"/>
          <w:szCs w:val="21"/>
          <w:highlight w:val="none"/>
          <w:lang w:val="zh-CN" w:bidi="zh-CN"/>
        </w:rPr>
        <w:t>人，其中</w:t>
      </w:r>
      <w:r>
        <w:rPr>
          <w:rFonts w:hint="eastAsia" w:ascii="宋体" w:hAnsi="宋体" w:cs="宋体"/>
          <w:color w:val="auto"/>
          <w:kern w:val="0"/>
          <w:sz w:val="21"/>
          <w:szCs w:val="21"/>
          <w:highlight w:val="none"/>
          <w:lang w:val="zh-CN" w:bidi="zh-CN"/>
        </w:rPr>
        <w:t>支队</w:t>
      </w:r>
      <w:r>
        <w:rPr>
          <w:rFonts w:hint="eastAsia" w:ascii="宋体" w:hAnsi="宋体" w:eastAsia="宋体" w:cs="宋体"/>
          <w:color w:val="auto"/>
          <w:kern w:val="0"/>
          <w:sz w:val="21"/>
          <w:szCs w:val="21"/>
          <w:highlight w:val="none"/>
          <w:lang w:val="zh-CN" w:bidi="zh-CN"/>
        </w:rPr>
        <w:t>机关大院</w:t>
      </w:r>
      <w:r>
        <w:rPr>
          <w:rFonts w:hint="eastAsia" w:ascii="宋体" w:hAnsi="宋体" w:cs="宋体"/>
          <w:color w:val="auto"/>
          <w:kern w:val="0"/>
          <w:sz w:val="21"/>
          <w:szCs w:val="21"/>
          <w:highlight w:val="none"/>
          <w:lang w:val="en-US" w:bidi="zh-CN"/>
        </w:rPr>
        <w:t>15</w:t>
      </w:r>
      <w:r>
        <w:rPr>
          <w:rFonts w:hint="eastAsia" w:ascii="宋体" w:hAnsi="宋体" w:eastAsia="宋体" w:cs="宋体"/>
          <w:color w:val="auto"/>
          <w:kern w:val="0"/>
          <w:sz w:val="21"/>
          <w:szCs w:val="21"/>
          <w:highlight w:val="none"/>
          <w:lang w:val="zh-CN" w:bidi="zh-CN"/>
        </w:rPr>
        <w:t>名</w:t>
      </w:r>
      <w:r>
        <w:rPr>
          <w:rFonts w:hint="eastAsia" w:ascii="宋体" w:hAnsi="宋体" w:cs="宋体"/>
          <w:color w:val="auto"/>
          <w:kern w:val="0"/>
          <w:sz w:val="21"/>
          <w:szCs w:val="21"/>
          <w:highlight w:val="none"/>
          <w:lang w:val="zh-CN" w:bidi="zh-CN"/>
        </w:rPr>
        <w:t>（</w:t>
      </w:r>
      <w:r>
        <w:rPr>
          <w:rFonts w:hint="eastAsia" w:ascii="宋体" w:hAnsi="宋体" w:cs="宋体"/>
          <w:color w:val="auto"/>
          <w:kern w:val="0"/>
          <w:sz w:val="21"/>
          <w:szCs w:val="21"/>
          <w:highlight w:val="none"/>
          <w:lang w:val="en-US" w:bidi="zh-CN"/>
        </w:rPr>
        <w:t>保洁13名。服务区域为支队办公楼一号楼二号楼、支队院内、</w:t>
      </w:r>
      <w:r>
        <w:rPr>
          <w:rFonts w:hint="eastAsia" w:ascii="宋体" w:hAnsi="宋体" w:cs="宋体"/>
          <w:color w:val="auto"/>
          <w:kern w:val="0"/>
          <w:sz w:val="21"/>
          <w:szCs w:val="21"/>
          <w:highlight w:val="none"/>
          <w:lang w:val="zh-CN" w:bidi="zh-CN"/>
        </w:rPr>
        <w:t>矿工路违法处理大厅及新华大队、示范区大队、新华事故中队日常保洁</w:t>
      </w:r>
      <w:r>
        <w:rPr>
          <w:rFonts w:hint="eastAsia" w:ascii="宋体" w:hAnsi="宋体" w:cs="宋体"/>
          <w:color w:val="auto"/>
          <w:kern w:val="0"/>
          <w:sz w:val="21"/>
          <w:szCs w:val="21"/>
          <w:highlight w:val="none"/>
          <w:lang w:val="en-US" w:bidi="zh-CN"/>
        </w:rPr>
        <w:t>）、支队电工、水暖工2名，</w:t>
      </w:r>
      <w:r>
        <w:rPr>
          <w:rFonts w:hint="eastAsia" w:ascii="宋体" w:hAnsi="宋体" w:cs="宋体"/>
          <w:color w:val="auto"/>
          <w:kern w:val="0"/>
          <w:sz w:val="21"/>
          <w:szCs w:val="21"/>
          <w:highlight w:val="none"/>
          <w:lang w:val="zh-CN" w:bidi="zh-CN"/>
        </w:rPr>
        <w:t>应山车管所</w:t>
      </w:r>
      <w:r>
        <w:rPr>
          <w:rFonts w:hint="eastAsia" w:ascii="宋体" w:hAnsi="宋体" w:cs="宋体"/>
          <w:color w:val="auto"/>
          <w:kern w:val="0"/>
          <w:sz w:val="21"/>
          <w:szCs w:val="21"/>
          <w:highlight w:val="none"/>
          <w:lang w:val="en-US" w:bidi="zh-CN"/>
        </w:rPr>
        <w:t>10</w:t>
      </w:r>
      <w:r>
        <w:rPr>
          <w:rFonts w:hint="eastAsia" w:ascii="宋体" w:hAnsi="宋体" w:eastAsia="宋体" w:cs="宋体"/>
          <w:color w:val="auto"/>
          <w:kern w:val="0"/>
          <w:sz w:val="21"/>
          <w:szCs w:val="21"/>
          <w:highlight w:val="none"/>
          <w:lang w:val="zh-CN" w:bidi="zh-CN"/>
        </w:rPr>
        <w:t>名</w:t>
      </w:r>
      <w:r>
        <w:rPr>
          <w:rFonts w:hint="eastAsia" w:ascii="宋体" w:hAnsi="宋体" w:cs="宋体"/>
          <w:color w:val="auto"/>
          <w:kern w:val="0"/>
          <w:sz w:val="21"/>
          <w:szCs w:val="21"/>
          <w:highlight w:val="none"/>
          <w:lang w:val="zh-CN" w:bidi="zh-CN"/>
        </w:rPr>
        <w:t>（</w:t>
      </w:r>
      <w:r>
        <w:rPr>
          <w:rFonts w:hint="eastAsia" w:ascii="宋体" w:hAnsi="宋体" w:cs="宋体"/>
          <w:color w:val="auto"/>
          <w:kern w:val="0"/>
          <w:sz w:val="21"/>
          <w:szCs w:val="21"/>
          <w:highlight w:val="none"/>
          <w:lang w:val="en-US" w:bidi="zh-CN"/>
        </w:rPr>
        <w:t>保洁10名）。保洁负责人要做到24小时值班随叫随到，确保有任何问题能迅速处理，</w:t>
      </w:r>
      <w:r>
        <w:rPr>
          <w:rFonts w:hint="eastAsia" w:ascii="宋体" w:hAnsi="宋体" w:eastAsia="宋体" w:cs="宋体"/>
          <w:color w:val="auto"/>
          <w:kern w:val="0"/>
          <w:sz w:val="21"/>
          <w:szCs w:val="21"/>
          <w:highlight w:val="none"/>
          <w:lang w:val="zh-CN" w:bidi="zh-CN"/>
        </w:rPr>
        <w:t>身体健康，无不良嗜好，无犯罪记录，并定期进行专业培训。乙方须给上岗人员缴纳人身意外保险，费用乙方承担。</w:t>
      </w:r>
    </w:p>
    <w:p w14:paraId="31FFB44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2、建立健全物业管理区域各项管理制度、各岗位职责标准，并制定具体落实措施和考核办法，每日考核1次各岗位职责完成情况。</w:t>
      </w:r>
    </w:p>
    <w:p w14:paraId="4EC97C0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3、建立培训体系，定期组织培训与考核，每年至少组织培训2次。</w:t>
      </w:r>
    </w:p>
    <w:p w14:paraId="73F509D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4、从业人员分岗位统一着装、佩戴工卡标志、统一劳保用品。</w:t>
      </w:r>
    </w:p>
    <w:p w14:paraId="794BDC2A">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、涉及影响甲方正常工作生活的重要事项（如：停水、停电、停气、电梯维护保养等），应在主要出入口、各公示栏内张贴通知或设置安全警示、温馨提示牌，履行告知义务。</w:t>
      </w:r>
    </w:p>
    <w:p w14:paraId="3221415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7、水、电、气、暖等急修15分钟内、其他报修30分钟内到达现场；由专项服务企业负责的设施设备应立即告知。报修回访率不小于90%。</w:t>
      </w:r>
    </w:p>
    <w:p w14:paraId="3DB60EC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8、甲方提出的意见、建议、投诉应当在 1 个工作日内回复。投诉回访率 100%。</w:t>
      </w:r>
    </w:p>
    <w:p w14:paraId="4B8D8A54">
      <w:pPr>
        <w:spacing w:line="480" w:lineRule="auto"/>
        <w:rPr>
          <w:rFonts w:hint="eastAsia" w:ascii="宋体" w:hAnsi="宋体" w:eastAsia="宋体" w:cs="宋体"/>
          <w:color w:val="auto"/>
          <w:sz w:val="21"/>
          <w:szCs w:val="21"/>
          <w:highlight w:val="none"/>
          <w:lang w:val="en-US"/>
        </w:rPr>
      </w:pPr>
      <w:r>
        <w:rPr>
          <w:rFonts w:hint="eastAsia" w:ascii="宋体" w:hAnsi="宋体" w:eastAsia="宋体" w:cs="宋体"/>
          <w:b/>
          <w:color w:val="auto"/>
          <w:sz w:val="21"/>
          <w:szCs w:val="21"/>
          <w:highlight w:val="none"/>
        </w:rPr>
        <w:t xml:space="preserve">二、服务项目及标准 </w:t>
      </w:r>
      <w:r>
        <w:rPr>
          <w:rFonts w:hint="eastAsia" w:ascii="宋体" w:hAnsi="宋体" w:eastAsia="宋体" w:cs="宋体"/>
          <w:color w:val="auto"/>
          <w:sz w:val="21"/>
          <w:szCs w:val="21"/>
          <w:highlight w:val="none"/>
        </w:rPr>
        <w:br w:type="textWrapping"/>
      </w:r>
      <w:r>
        <w:rPr>
          <w:rFonts w:hint="eastAsia" w:ascii="宋体" w:hAnsi="宋体" w:eastAsia="宋体" w:cs="宋体"/>
          <w:b/>
          <w:color w:val="auto"/>
          <w:sz w:val="21"/>
          <w:szCs w:val="21"/>
          <w:highlight w:val="none"/>
        </w:rPr>
        <w:t>（一）给排水设备运行维护</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对办公楼（区）室内外给排水系统的设备、设施，如管道、管件、阀门、水嘴、卫生洁具、排水管、透气管及疏通、室外排水管等正常运行使用进行日常养护维修。 建立正常供水管理制度，防止跑、冒、滴、漏，对设备</w:t>
      </w:r>
      <w:r>
        <w:rPr>
          <w:rFonts w:hint="eastAsia" w:ascii="宋体" w:hAnsi="宋体" w:eastAsia="宋体" w:cs="宋体"/>
          <w:color w:val="auto"/>
          <w:sz w:val="21"/>
          <w:szCs w:val="21"/>
          <w:highlight w:val="none"/>
          <w:lang w:eastAsia="zh-CN"/>
        </w:rPr>
        <w:t>、设施</w:t>
      </w:r>
      <w:r>
        <w:rPr>
          <w:rFonts w:hint="eastAsia" w:ascii="宋体" w:hAnsi="宋体" w:eastAsia="宋体" w:cs="宋体"/>
          <w:color w:val="auto"/>
          <w:sz w:val="21"/>
          <w:szCs w:val="21"/>
          <w:highlight w:val="none"/>
        </w:rPr>
        <w:t>等进行日常维护</w:t>
      </w:r>
      <w:r>
        <w:rPr>
          <w:rFonts w:hint="eastAsia" w:ascii="宋体" w:hAnsi="宋体" w:eastAsia="宋体" w:cs="宋体"/>
          <w:color w:val="auto"/>
          <w:sz w:val="21"/>
          <w:szCs w:val="21"/>
          <w:highlight w:val="none"/>
          <w:lang w:val="en-US" w:eastAsia="zh-CN"/>
        </w:rPr>
        <w:t>检查</w:t>
      </w:r>
      <w:r>
        <w:rPr>
          <w:rFonts w:hint="eastAsia" w:ascii="宋体" w:hAnsi="宋体" w:eastAsia="宋体" w:cs="宋体"/>
          <w:color w:val="auto"/>
          <w:sz w:val="21"/>
          <w:szCs w:val="21"/>
          <w:highlight w:val="none"/>
        </w:rPr>
        <w:t>，及时发现并解决故障，给排水系统发生事故时，维修人员在1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分钟内到达现场抢修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rPr>
        <w:t>发现配件需要维修更换时，应上报</w:t>
      </w:r>
      <w:r>
        <w:rPr>
          <w:rFonts w:hint="eastAsia" w:ascii="宋体" w:hAnsi="宋体" w:eastAsia="宋体" w:cs="宋体"/>
          <w:color w:val="auto"/>
          <w:sz w:val="21"/>
          <w:szCs w:val="21"/>
          <w:highlight w:val="none"/>
          <w:lang w:val="en-US" w:eastAsia="zh-CN"/>
        </w:rPr>
        <w:t>上级主管部门，</w:t>
      </w:r>
      <w:r>
        <w:rPr>
          <w:rFonts w:hint="eastAsia" w:ascii="宋体" w:hAnsi="宋体" w:eastAsia="宋体" w:cs="宋体"/>
          <w:color w:val="auto"/>
          <w:sz w:val="21"/>
          <w:szCs w:val="21"/>
          <w:highlight w:val="none"/>
          <w:lang w:val="en-US"/>
        </w:rPr>
        <w:t>经同意后进行维修或更换。</w:t>
      </w:r>
      <w:r>
        <w:rPr>
          <w:rFonts w:hint="eastAsia" w:ascii="宋体" w:hAnsi="宋体" w:eastAsia="宋体" w:cs="宋体"/>
          <w:color w:val="auto"/>
          <w:sz w:val="21"/>
          <w:szCs w:val="21"/>
          <w:highlight w:val="none"/>
        </w:rPr>
        <w:br w:type="textWrapping"/>
      </w:r>
      <w:r>
        <w:rPr>
          <w:rFonts w:hint="eastAsia" w:ascii="宋体" w:hAnsi="宋体" w:eastAsia="宋体" w:cs="宋体"/>
          <w:b/>
          <w:color w:val="auto"/>
          <w:sz w:val="21"/>
          <w:szCs w:val="21"/>
          <w:highlight w:val="none"/>
        </w:rPr>
        <w:t>（二）供电设备管理维护</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对办公楼（区）供电系统高、低压电器设备、电线电缆、网络网线、照明装置等设备正常运行使用进行日常管理和养护维修。 对供电范围内的电器设备、仪器仪表定期巡视维护和重点检测，按照规定周期对变配电设施设备进行检查、维护、清洁，加强日常维护检修，公共使用的照明、指示灯具线路、开关要保证完好，确保用电完全；管理和维护好办公楼（区）灯光亮化的设施；供电运行和维修人员必须持电工证上岗；建立</w:t>
      </w:r>
      <w:r>
        <w:rPr>
          <w:rFonts w:hint="eastAsia" w:ascii="宋体" w:hAnsi="宋体" w:eastAsia="宋体" w:cs="宋体"/>
          <w:color w:val="auto"/>
          <w:sz w:val="21"/>
          <w:szCs w:val="21"/>
          <w:highlight w:val="none"/>
          <w:lang w:val="en-US"/>
        </w:rPr>
        <w:t>24小时运行维修值班制度，及时排除故障，一般故障排除时间不超过2小时。发现配件需要维修更换时，应上报</w:t>
      </w:r>
      <w:r>
        <w:rPr>
          <w:rFonts w:hint="eastAsia" w:ascii="宋体" w:hAnsi="宋体" w:eastAsia="宋体" w:cs="宋体"/>
          <w:color w:val="auto"/>
          <w:sz w:val="21"/>
          <w:szCs w:val="21"/>
          <w:highlight w:val="none"/>
          <w:lang w:val="en-US" w:eastAsia="zh-CN"/>
        </w:rPr>
        <w:t>上级主管部门，</w:t>
      </w:r>
      <w:r>
        <w:rPr>
          <w:rFonts w:hint="eastAsia" w:ascii="宋体" w:hAnsi="宋体" w:eastAsia="宋体" w:cs="宋体"/>
          <w:color w:val="auto"/>
          <w:sz w:val="21"/>
          <w:szCs w:val="21"/>
          <w:highlight w:val="none"/>
          <w:lang w:val="en-US"/>
        </w:rPr>
        <w:t>经同意后进行维修或更换。</w:t>
      </w:r>
    </w:p>
    <w:p w14:paraId="4920415D">
      <w:pPr>
        <w:spacing w:line="48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 xml:space="preserve">）环境卫生管理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办公楼（区）内楼梯、大厅、平台、走廊、天台、电梯间、卫生间、公共活动场所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洗漱间、淋浴间、会议室、等所有公共部位，办公区域道路、停车场（库）等所有公共场地及“门前三包”区域的日常清洁保养，垃圾等废弃物清理等。实行标准化清扫保洁，由专人负责检查监督，清洁率100%。</w:t>
      </w:r>
    </w:p>
    <w:p w14:paraId="5FACC2BB">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外围及周边道路 地面干净无杂物、无积水，无明显污迹、油渍；明沟、各种标示标牌表面干净无积尘、无水印；路灯表面干净无污渍。绿化带及绿地内无杂物，花台表面干净无污渍。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大厅、楼内、公共通道 </w:t>
      </w:r>
    </w:p>
    <w:p w14:paraId="15634BFE">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p>
    <w:p w14:paraId="66E6824D">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楼梯及楼梯间</w:t>
      </w:r>
    </w:p>
    <w:p w14:paraId="64DDAECF">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梯步表面干净无污渍，防滑条（缝）干净，扶手栏杆表面干净无灰尘，防火门及闭门器表面干净无污渍，墙面、天花板无积尘、蛛网。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公共卫生间 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篓杂物超过2/3应及时倾倒，卫生间内空气流通并且无明显异味。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停车场 </w:t>
      </w:r>
    </w:p>
    <w:p w14:paraId="2EF495E5">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地面干净，无杂物，无明显油渍、污渍；各种指示牌表面干净有光泽；消防器材表面干净，摆放整齐；减速带表面干净无明显污迹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开水间及清洁间 地面干净，无杂物、无积水，地垫摆放整齐干净，天花板干净无蛛网，灯罩表面无积尘、蛛网，墙面干净无污渍，各种物品表面干净无渍，清洁工具摆放整齐有序，室内无明显异味。 </w:t>
      </w:r>
      <w:r>
        <w:rPr>
          <w:rFonts w:hint="eastAsia" w:ascii="宋体" w:hAnsi="宋体" w:eastAsia="宋体" w:cs="宋体"/>
          <w:color w:val="auto"/>
          <w:sz w:val="21"/>
          <w:szCs w:val="21"/>
          <w:highlight w:val="none"/>
        </w:rPr>
        <w:br w:type="textWrapping"/>
      </w:r>
    </w:p>
    <w:p w14:paraId="0E5515E6">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电梯及电梯厅 </w:t>
      </w:r>
    </w:p>
    <w:p w14:paraId="3BC45F16">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轿厢四壁光洁明亮，操作面板无污迹、无灰尘、无印迹，地面干净，空气清新、无异味；电梯凹槽内无垃圾无杂物，按钮表面干净无印迹；扶梯踏步表面干净，扶手表面干净无灰尘、污渍，玻璃表面干净透光性好，不锈钢光亮无尘；梳齿板内无杂物污渍；厅内地面干净有光泽。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电器设施 </w:t>
      </w:r>
    </w:p>
    <w:p w14:paraId="558057A7">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灯泡、灯管、灯罩无积尘、无污迹。装饰件无积尘、无污迹；开关、插座、配电箱无积尘、无明显污迹。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垃圾桶及果皮箱 桶、箱按指定位置摆放，桶身表面干净无污渍无痰迹，烟灰缸内烟头</w:t>
      </w:r>
      <w:r>
        <w:rPr>
          <w:rFonts w:hint="eastAsia" w:ascii="宋体" w:hAnsi="宋体" w:eastAsia="宋体" w:cs="宋体"/>
          <w:color w:val="auto"/>
          <w:sz w:val="21"/>
          <w:szCs w:val="21"/>
          <w:highlight w:val="none"/>
          <w:lang w:eastAsia="zh-CN"/>
        </w:rPr>
        <w:t>及时倾倒垃</w:t>
      </w:r>
      <w:r>
        <w:rPr>
          <w:rFonts w:hint="eastAsia" w:ascii="宋体" w:hAnsi="宋体" w:eastAsia="宋体" w:cs="宋体"/>
          <w:color w:val="auto"/>
          <w:sz w:val="21"/>
          <w:szCs w:val="21"/>
          <w:highlight w:val="none"/>
        </w:rPr>
        <w:t xml:space="preserve">，垃圾不应超过2/3，内胆应定期清洁、消毒。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消防栓、消防箱、公共设施 保持表面干净，无灰尘、无污渍。报警器、火警通讯电话插座、灭火器表面光亮、无积尘、无污迹；喷淋盖、烟感器、扬声器无积尘、无污渍。监控摄像头、门警器表面光亮、无积尘、无斑点；消防栓外表面光亮、无印迹、无积尘，内侧无积尘、无污迹。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设备机房、管道、指示牌 </w:t>
      </w:r>
    </w:p>
    <w:p w14:paraId="5E03AC46">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无卫生死角、无垃圾堆积，无积尘、目视无蜘蛛网、无明显污渍、无水渍；指示牌、宣传牌无灰尘、无污迹，金属件表面光亮，无痕迹。 </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四</w:t>
      </w:r>
      <w:r>
        <w:rPr>
          <w:rFonts w:hint="eastAsia" w:ascii="宋体" w:hAnsi="宋体" w:eastAsia="宋体" w:cs="宋体"/>
          <w:b/>
          <w:bCs/>
          <w:color w:val="auto"/>
          <w:sz w:val="21"/>
          <w:szCs w:val="21"/>
          <w:highlight w:val="none"/>
        </w:rPr>
        <w:t xml:space="preserve">）除“四害”管理和卫生消毒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1、服务内容： 灭鼠、灭蚊、灭蝇、灭蟑螂达到全国爱卫会规定的标准。科学有效地进行卫生消毒。 每</w:t>
      </w:r>
      <w:r>
        <w:rPr>
          <w:rFonts w:hint="eastAsia" w:ascii="宋体" w:hAnsi="宋体" w:eastAsia="宋体" w:cs="宋体"/>
          <w:color w:val="auto"/>
          <w:sz w:val="21"/>
          <w:szCs w:val="21"/>
          <w:highlight w:val="none"/>
          <w:lang w:eastAsia="zh-CN"/>
        </w:rPr>
        <w:t>季度</w:t>
      </w:r>
      <w:r>
        <w:rPr>
          <w:rFonts w:hint="eastAsia" w:ascii="宋体" w:hAnsi="宋体" w:eastAsia="宋体" w:cs="宋体"/>
          <w:color w:val="auto"/>
          <w:sz w:val="21"/>
          <w:szCs w:val="21"/>
          <w:highlight w:val="none"/>
        </w:rPr>
        <w:t xml:space="preserve">年进行一次灭鼠、灭蟑螂，每年夏季进行一次灭蚊、灭蝇，使用药品及其产生的费用由乙方负责。 </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lang w:eastAsia="zh-CN"/>
        </w:rPr>
        <w:t>（五</w:t>
      </w:r>
      <w:r>
        <w:rPr>
          <w:rFonts w:hint="eastAsia" w:ascii="宋体" w:hAnsi="宋体" w:eastAsia="宋体" w:cs="宋体"/>
          <w:b/>
          <w:bCs/>
          <w:color w:val="auto"/>
          <w:sz w:val="21"/>
          <w:szCs w:val="21"/>
          <w:highlight w:val="none"/>
        </w:rPr>
        <w:t xml:space="preserve">）绿化管理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xml:space="preserve">绿化管理是指对办公楼（区）树木、花草、绿地等的日常养护管理，包括绿植的病虫害防治及其产生的费用由乙方负责。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对办公楼（区）树木、花草、绿地等的日常养护和管理，办公楼（区）“门前”规定区域绿地的养护管理等。包括绿植的病虫害防治及其产生的费用由乙方负责。植物枯死乙方要按原品种、原规格进行补栽。</w:t>
      </w:r>
    </w:p>
    <w:p w14:paraId="2A047264">
      <w:pPr>
        <w:spacing w:line="48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eastAsia="zh-CN"/>
        </w:rPr>
        <w:t>其他工作</w:t>
      </w:r>
    </w:p>
    <w:p w14:paraId="1368A1CA">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甲方因实际工作需要</w:t>
      </w:r>
      <w:r>
        <w:rPr>
          <w:rFonts w:hint="eastAsia" w:ascii="宋体" w:hAnsi="宋体" w:eastAsia="宋体" w:cs="宋体"/>
          <w:color w:val="auto"/>
          <w:sz w:val="21"/>
          <w:szCs w:val="21"/>
          <w:highlight w:val="none"/>
        </w:rPr>
        <w:t>安排的</w:t>
      </w: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rPr>
        <w:t>工作任务</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 xml:space="preserve">。 </w:t>
      </w:r>
    </w:p>
    <w:p w14:paraId="1E5FF449">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w:t>
      </w:r>
      <w:r>
        <w:rPr>
          <w:rFonts w:hint="eastAsia" w:ascii="宋体" w:hAnsi="宋体" w:cs="宋体"/>
          <w:b/>
          <w:color w:val="auto"/>
          <w:sz w:val="21"/>
          <w:szCs w:val="21"/>
          <w:highlight w:val="none"/>
          <w:lang w:eastAsia="zh-CN"/>
        </w:rPr>
        <w:t>三</w:t>
      </w:r>
      <w:r>
        <w:rPr>
          <w:rFonts w:hint="eastAsia" w:ascii="宋体" w:hAnsi="宋体" w:eastAsia="宋体" w:cs="宋体"/>
          <w:b/>
          <w:color w:val="auto"/>
          <w:sz w:val="21"/>
          <w:szCs w:val="21"/>
          <w:highlight w:val="none"/>
        </w:rPr>
        <w:t>条  设施使用、保养与维护</w:t>
      </w:r>
    </w:p>
    <w:p w14:paraId="0EA4EFA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1、乙方应配合甲方制定本物业管理区域内物业共用部位和共用设施设备的使用、公共秩序和环境卫生的维护等方面的规章制度。乙方根据规章制度提供管理服务时，甲乙双方应给予必要配合。</w:t>
      </w:r>
    </w:p>
    <w:p w14:paraId="2BE14FA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2、乙方可采取规劝、告知、报告等必要措施，制止违反本物业管理区域内物业管理规章制度的行为。</w:t>
      </w:r>
    </w:p>
    <w:p w14:paraId="71A6B05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3、乙方应及时向甲方通告本物业管理区域内有关物业管理的重大事项，及时处理甲方对物业管理方面的合理化建议，接受甲方业主的监督。</w:t>
      </w:r>
    </w:p>
    <w:p w14:paraId="375141C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需维修的项目：物业项目如房屋、电路及灯具、空调、电梯、暖气、卫生间、道路等设施和设备的维修：需要换配件的由乙方提出，经甲方同意后，按程序由乙方安排维修，材料费用由甲方负责。临时占用、挖掘本物业管理区域内道路、场地的，应在约定期限内恢复原状。</w:t>
      </w:r>
    </w:p>
    <w:p w14:paraId="060DD3D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与装饰装修房屋的甲方或物业使用人应签订书面的装饰装修管理服务协议，就允许施工的时间、废弃物的清运与处置、装修管理服务费用等事项进行约定，并事先告知甲方或物业使用人装饰装修中的禁止行为和注意事项。</w:t>
      </w:r>
    </w:p>
    <w:p w14:paraId="33704C81">
      <w:pPr>
        <w:spacing w:line="360" w:lineRule="auto"/>
        <w:rPr>
          <w:rFonts w:hint="eastAsia" w:ascii="宋体" w:hAnsi="宋体" w:eastAsia="宋体" w:cs="宋体"/>
          <w:color w:val="auto"/>
          <w:sz w:val="21"/>
          <w:szCs w:val="21"/>
          <w:highlight w:val="none"/>
        </w:rPr>
      </w:pPr>
    </w:p>
    <w:p w14:paraId="53D03E9E">
      <w:pPr>
        <w:spacing w:line="360" w:lineRule="auto"/>
        <w:rPr>
          <w:rFonts w:hint="eastAsia" w:ascii="宋体" w:hAnsi="宋体" w:eastAsia="宋体" w:cs="宋体"/>
          <w:color w:val="auto"/>
          <w:sz w:val="21"/>
          <w:szCs w:val="21"/>
          <w:highlight w:val="none"/>
        </w:rPr>
      </w:pPr>
    </w:p>
    <w:p w14:paraId="3125570D">
      <w:pPr>
        <w:spacing w:line="360" w:lineRule="auto"/>
        <w:rPr>
          <w:rFonts w:hint="eastAsia" w:ascii="宋体" w:hAnsi="宋体" w:eastAsia="宋体" w:cs="宋体"/>
          <w:color w:val="auto"/>
          <w:sz w:val="21"/>
          <w:szCs w:val="21"/>
          <w:highlight w:val="none"/>
        </w:rPr>
      </w:pPr>
    </w:p>
    <w:p w14:paraId="6C617FD4">
      <w:pPr>
        <w:spacing w:line="360" w:lineRule="auto"/>
        <w:rPr>
          <w:rFonts w:hint="eastAsia" w:ascii="宋体" w:hAnsi="宋体" w:eastAsia="宋体" w:cs="宋体"/>
          <w:color w:val="auto"/>
          <w:sz w:val="21"/>
          <w:szCs w:val="21"/>
          <w:highlight w:val="none"/>
        </w:rPr>
      </w:pPr>
    </w:p>
    <w:p w14:paraId="5C644C66">
      <w:pPr>
        <w:pStyle w:val="2"/>
        <w:numPr>
          <w:ilvl w:val="0"/>
          <w:numId w:val="0"/>
        </w:numPr>
        <w:spacing w:before="120" w:after="120" w:line="400" w:lineRule="exact"/>
        <w:jc w:val="center"/>
        <w:rPr>
          <w:rFonts w:ascii="宋体" w:hAnsi="宋体" w:cs="宋体"/>
          <w:bCs w:val="0"/>
          <w:color w:val="auto"/>
          <w:sz w:val="36"/>
          <w:szCs w:val="36"/>
          <w:highlight w:val="none"/>
        </w:rPr>
      </w:pPr>
      <w:r>
        <w:rPr>
          <w:rFonts w:hint="eastAsia" w:ascii="宋体" w:hAnsi="宋体" w:cs="宋体"/>
          <w:bCs w:val="0"/>
          <w:color w:val="auto"/>
          <w:sz w:val="36"/>
          <w:szCs w:val="36"/>
          <w:highlight w:val="none"/>
        </w:rPr>
        <w:t>第六章 竞争性磋商响应文件格式</w:t>
      </w:r>
      <w:bookmarkEnd w:id="768"/>
      <w:bookmarkEnd w:id="769"/>
      <w:bookmarkEnd w:id="770"/>
      <w:bookmarkEnd w:id="771"/>
      <w:bookmarkEnd w:id="773"/>
    </w:p>
    <w:p w14:paraId="2B3612FF">
      <w:pPr>
        <w:spacing w:line="360" w:lineRule="auto"/>
        <w:jc w:val="right"/>
        <w:rPr>
          <w:rFonts w:ascii="宋体" w:hAnsi="宋体" w:cs="宋体"/>
          <w:b/>
          <w:bCs/>
          <w:color w:val="auto"/>
          <w:sz w:val="28"/>
          <w:szCs w:val="28"/>
          <w:highlight w:val="none"/>
        </w:rPr>
      </w:pPr>
    </w:p>
    <w:p w14:paraId="271DD9D7">
      <w:pPr>
        <w:spacing w:line="360" w:lineRule="auto"/>
        <w:jc w:val="right"/>
        <w:rPr>
          <w:rFonts w:ascii="宋体" w:hAnsi="宋体" w:cs="宋体"/>
          <w:b/>
          <w:bCs/>
          <w:color w:val="auto"/>
          <w:sz w:val="28"/>
          <w:szCs w:val="28"/>
          <w:highlight w:val="none"/>
        </w:rPr>
      </w:pPr>
      <w:r>
        <w:rPr>
          <w:rFonts w:hint="eastAsia" w:ascii="宋体" w:hAnsi="宋体" w:cs="宋体"/>
          <w:b/>
          <w:bCs/>
          <w:color w:val="auto"/>
          <w:sz w:val="28"/>
          <w:szCs w:val="28"/>
          <w:highlight w:val="none"/>
        </w:rPr>
        <w:t>正/副本</w:t>
      </w:r>
    </w:p>
    <w:p w14:paraId="3692E47F">
      <w:pPr>
        <w:pStyle w:val="194"/>
        <w:rPr>
          <w:color w:val="auto"/>
          <w:highlight w:val="none"/>
        </w:rPr>
      </w:pPr>
    </w:p>
    <w:p w14:paraId="663C2A3C">
      <w:pPr>
        <w:spacing w:line="440" w:lineRule="exact"/>
        <w:rPr>
          <w:rFonts w:ascii="宋体" w:hAnsi="宋体" w:cs="宋体"/>
          <w:color w:val="auto"/>
          <w:sz w:val="20"/>
          <w:szCs w:val="20"/>
          <w:highlight w:val="none"/>
        </w:rPr>
      </w:pPr>
    </w:p>
    <w:p w14:paraId="7A41A013">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（项目名称）</w:t>
      </w:r>
    </w:p>
    <w:p w14:paraId="2E57BEBF">
      <w:pPr>
        <w:spacing w:line="360" w:lineRule="auto"/>
        <w:jc w:val="center"/>
        <w:rPr>
          <w:rFonts w:ascii="宋体" w:hAnsi="宋体" w:cs="宋体"/>
          <w:color w:val="auto"/>
          <w:sz w:val="28"/>
          <w:szCs w:val="28"/>
          <w:highlight w:val="none"/>
        </w:rPr>
      </w:pPr>
    </w:p>
    <w:p w14:paraId="2CBC70BC">
      <w:pPr>
        <w:jc w:val="center"/>
        <w:rPr>
          <w:rFonts w:ascii="宋体" w:hAnsi="宋体" w:cs="宋体"/>
          <w:color w:val="auto"/>
          <w:sz w:val="28"/>
          <w:szCs w:val="28"/>
          <w:highlight w:val="none"/>
        </w:rPr>
      </w:pPr>
    </w:p>
    <w:p w14:paraId="59B8413D">
      <w:pPr>
        <w:jc w:val="center"/>
        <w:rPr>
          <w:rFonts w:ascii="宋体" w:hAnsi="宋体" w:cs="宋体"/>
          <w:color w:val="auto"/>
          <w:sz w:val="28"/>
          <w:szCs w:val="28"/>
          <w:highlight w:val="none"/>
        </w:rPr>
      </w:pPr>
    </w:p>
    <w:p w14:paraId="38CA18FB">
      <w:pPr>
        <w:jc w:val="center"/>
        <w:rPr>
          <w:rFonts w:ascii="宋体" w:hAnsi="宋体" w:cs="宋体"/>
          <w:color w:val="auto"/>
          <w:sz w:val="28"/>
          <w:szCs w:val="28"/>
          <w:highlight w:val="none"/>
        </w:rPr>
      </w:pPr>
    </w:p>
    <w:p w14:paraId="08919EA7">
      <w:pPr>
        <w:jc w:val="center"/>
        <w:rPr>
          <w:rFonts w:ascii="宋体" w:hAnsi="宋体" w:cs="宋体"/>
          <w:color w:val="auto"/>
          <w:sz w:val="84"/>
          <w:szCs w:val="84"/>
          <w:highlight w:val="none"/>
        </w:rPr>
      </w:pPr>
      <w:r>
        <w:rPr>
          <w:rFonts w:hint="eastAsia" w:ascii="宋体" w:hAnsi="宋体" w:cs="宋体"/>
          <w:color w:val="auto"/>
          <w:sz w:val="84"/>
          <w:szCs w:val="84"/>
          <w:highlight w:val="none"/>
        </w:rPr>
        <w:t>响 应 文 件</w:t>
      </w:r>
    </w:p>
    <w:p w14:paraId="715AD6A6">
      <w:pPr>
        <w:spacing w:line="400" w:lineRule="exact"/>
        <w:rPr>
          <w:rFonts w:ascii="宋体" w:hAnsi="宋体" w:cs="宋体"/>
          <w:color w:val="auto"/>
          <w:sz w:val="28"/>
          <w:szCs w:val="28"/>
          <w:highlight w:val="none"/>
        </w:rPr>
      </w:pPr>
    </w:p>
    <w:p w14:paraId="0C1A4104">
      <w:pPr>
        <w:spacing w:line="400" w:lineRule="exact"/>
        <w:rPr>
          <w:rFonts w:ascii="宋体" w:hAnsi="宋体" w:cs="宋体"/>
          <w:color w:val="auto"/>
          <w:sz w:val="28"/>
          <w:szCs w:val="28"/>
          <w:highlight w:val="none"/>
        </w:rPr>
      </w:pPr>
    </w:p>
    <w:p w14:paraId="72B1B2DE">
      <w:pPr>
        <w:spacing w:line="400" w:lineRule="exact"/>
        <w:rPr>
          <w:rFonts w:ascii="宋体" w:hAnsi="宋体" w:cs="宋体"/>
          <w:color w:val="auto"/>
          <w:sz w:val="28"/>
          <w:szCs w:val="28"/>
          <w:highlight w:val="none"/>
        </w:rPr>
      </w:pPr>
    </w:p>
    <w:p w14:paraId="2D157118">
      <w:pPr>
        <w:spacing w:line="400" w:lineRule="exact"/>
        <w:rPr>
          <w:rFonts w:ascii="宋体" w:hAnsi="宋体" w:cs="宋体"/>
          <w:color w:val="auto"/>
          <w:sz w:val="28"/>
          <w:szCs w:val="28"/>
          <w:highlight w:val="none"/>
        </w:rPr>
      </w:pPr>
    </w:p>
    <w:p w14:paraId="3E95E3CD">
      <w:pPr>
        <w:spacing w:line="400" w:lineRule="exact"/>
        <w:rPr>
          <w:rFonts w:ascii="宋体" w:hAnsi="宋体" w:cs="宋体"/>
          <w:color w:val="auto"/>
          <w:sz w:val="28"/>
          <w:szCs w:val="28"/>
          <w:highlight w:val="none"/>
        </w:rPr>
      </w:pPr>
    </w:p>
    <w:p w14:paraId="25D98DD5">
      <w:pPr>
        <w:spacing w:line="400" w:lineRule="exact"/>
        <w:rPr>
          <w:rFonts w:ascii="宋体" w:hAnsi="宋体" w:cs="宋体"/>
          <w:color w:val="auto"/>
          <w:sz w:val="28"/>
          <w:szCs w:val="28"/>
          <w:highlight w:val="none"/>
        </w:rPr>
      </w:pPr>
    </w:p>
    <w:p w14:paraId="193D94CA">
      <w:pPr>
        <w:spacing w:line="400" w:lineRule="exact"/>
        <w:rPr>
          <w:rFonts w:ascii="宋体" w:hAnsi="宋体" w:cs="宋体"/>
          <w:color w:val="auto"/>
          <w:sz w:val="28"/>
          <w:szCs w:val="28"/>
          <w:highlight w:val="none"/>
        </w:rPr>
      </w:pPr>
    </w:p>
    <w:p w14:paraId="523A66CA">
      <w:pPr>
        <w:spacing w:line="400" w:lineRule="exact"/>
        <w:rPr>
          <w:rFonts w:ascii="宋体" w:hAnsi="宋体" w:cs="宋体"/>
          <w:color w:val="auto"/>
          <w:sz w:val="28"/>
          <w:szCs w:val="28"/>
          <w:highlight w:val="none"/>
        </w:rPr>
      </w:pPr>
    </w:p>
    <w:p w14:paraId="7E8AB863">
      <w:pPr>
        <w:spacing w:line="400" w:lineRule="exact"/>
        <w:rPr>
          <w:rFonts w:ascii="宋体" w:hAnsi="宋体" w:cs="宋体"/>
          <w:color w:val="auto"/>
          <w:sz w:val="28"/>
          <w:szCs w:val="28"/>
          <w:highlight w:val="none"/>
        </w:rPr>
      </w:pPr>
    </w:p>
    <w:p w14:paraId="5C3C60B7">
      <w:pPr>
        <w:spacing w:line="400" w:lineRule="exact"/>
        <w:rPr>
          <w:rFonts w:ascii="宋体" w:hAnsi="宋体" w:cs="宋体"/>
          <w:color w:val="auto"/>
          <w:sz w:val="28"/>
          <w:szCs w:val="28"/>
          <w:highlight w:val="none"/>
        </w:rPr>
      </w:pPr>
    </w:p>
    <w:p w14:paraId="7A30007E">
      <w:pPr>
        <w:pStyle w:val="179"/>
        <w:ind w:firstLine="560"/>
        <w:rPr>
          <w:rFonts w:hAnsi="宋体" w:cs="宋体"/>
          <w:color w:val="auto"/>
          <w:sz w:val="28"/>
          <w:szCs w:val="28"/>
          <w:highlight w:val="none"/>
        </w:rPr>
      </w:pPr>
    </w:p>
    <w:p w14:paraId="4DFFDE96">
      <w:pPr>
        <w:rPr>
          <w:color w:val="auto"/>
          <w:highlight w:val="none"/>
        </w:rPr>
      </w:pPr>
    </w:p>
    <w:p w14:paraId="1B696B24">
      <w:pPr>
        <w:spacing w:line="480" w:lineRule="auto"/>
        <w:jc w:val="center"/>
        <w:rPr>
          <w:rFonts w:ascii="宋体" w:hAnsi="宋体" w:cs="宋体"/>
          <w:color w:val="auto"/>
          <w:sz w:val="28"/>
          <w:szCs w:val="28"/>
          <w:highlight w:val="none"/>
          <w:u w:val="single"/>
        </w:rPr>
      </w:pPr>
      <w:r>
        <w:rPr>
          <w:rFonts w:hint="eastAsia" w:ascii="宋体" w:hAnsi="宋体" w:cs="宋体"/>
          <w:color w:val="auto"/>
          <w:sz w:val="28"/>
          <w:szCs w:val="28"/>
          <w:highlight w:val="none"/>
        </w:rPr>
        <w:t>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（盖单位公章）</w:t>
      </w:r>
    </w:p>
    <w:p w14:paraId="234E2119">
      <w:pPr>
        <w:spacing w:line="48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（签字或盖章）</w:t>
      </w:r>
    </w:p>
    <w:p w14:paraId="5DC73205">
      <w:pPr>
        <w:spacing w:line="480" w:lineRule="auto"/>
        <w:jc w:val="center"/>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02C23BE4">
      <w:pPr>
        <w:spacing w:line="440" w:lineRule="exact"/>
        <w:rPr>
          <w:rFonts w:ascii="宋体" w:hAnsi="宋体" w:cs="宋体"/>
          <w:color w:val="auto"/>
          <w:sz w:val="20"/>
          <w:szCs w:val="20"/>
          <w:highlight w:val="none"/>
        </w:rPr>
      </w:pPr>
    </w:p>
    <w:p w14:paraId="62CC4CA8">
      <w:pPr>
        <w:spacing w:line="400" w:lineRule="exact"/>
        <w:rPr>
          <w:rFonts w:ascii="宋体" w:hAnsi="宋体" w:cs="宋体"/>
          <w:color w:val="auto"/>
          <w:highlight w:val="none"/>
        </w:rPr>
      </w:pPr>
      <w:r>
        <w:rPr>
          <w:rFonts w:hint="eastAsia" w:ascii="宋体" w:hAnsi="宋体" w:cs="宋体"/>
          <w:color w:val="auto"/>
          <w:highlight w:val="none"/>
        </w:rPr>
        <w:br w:type="page"/>
      </w:r>
    </w:p>
    <w:p w14:paraId="7A146DBB">
      <w:pPr>
        <w:pStyle w:val="168"/>
        <w:jc w:val="center"/>
        <w:outlineLvl w:val="9"/>
        <w:rPr>
          <w:rFonts w:ascii="宋体" w:hAnsi="宋体" w:eastAsia="宋体"/>
          <w:color w:val="auto"/>
          <w:szCs w:val="28"/>
          <w:highlight w:val="none"/>
        </w:rPr>
      </w:pPr>
      <w:bookmarkStart w:id="774" w:name="_Toc152042576"/>
      <w:bookmarkStart w:id="775" w:name="_Toc2645"/>
      <w:bookmarkStart w:id="776" w:name="_Toc466298157"/>
      <w:bookmarkStart w:id="777" w:name="_Toc8413"/>
      <w:bookmarkStart w:id="778" w:name="_Toc144974856"/>
      <w:bookmarkStart w:id="779" w:name="_Toc152045787"/>
      <w:bookmarkStart w:id="780" w:name="_Toc23656"/>
      <w:bookmarkStart w:id="781" w:name="_Toc28226"/>
      <w:bookmarkStart w:id="782" w:name="_Toc17201"/>
      <w:bookmarkStart w:id="783" w:name="_Toc32443"/>
      <w:bookmarkStart w:id="784" w:name="_Toc10473"/>
      <w:bookmarkStart w:id="785" w:name="_Toc509667321"/>
      <w:bookmarkStart w:id="786" w:name="_Toc32683"/>
      <w:r>
        <w:rPr>
          <w:rFonts w:hint="eastAsia" w:ascii="宋体" w:hAnsi="宋体" w:eastAsia="宋体"/>
          <w:color w:val="auto"/>
          <w:szCs w:val="28"/>
          <w:highlight w:val="none"/>
        </w:rPr>
        <w:t>目    录</w:t>
      </w:r>
      <w:bookmarkEnd w:id="774"/>
      <w:bookmarkEnd w:id="775"/>
      <w:bookmarkEnd w:id="776"/>
      <w:bookmarkEnd w:id="777"/>
      <w:bookmarkEnd w:id="778"/>
      <w:bookmarkEnd w:id="779"/>
      <w:bookmarkEnd w:id="780"/>
      <w:bookmarkEnd w:id="781"/>
      <w:bookmarkEnd w:id="782"/>
      <w:bookmarkEnd w:id="783"/>
      <w:bookmarkEnd w:id="784"/>
      <w:bookmarkEnd w:id="785"/>
      <w:bookmarkEnd w:id="786"/>
    </w:p>
    <w:p w14:paraId="6CBB61B2">
      <w:pPr>
        <w:spacing w:line="540" w:lineRule="exact"/>
        <w:rPr>
          <w:rFonts w:ascii="宋体" w:hAnsi="宋体" w:cs="宋体"/>
          <w:color w:val="auto"/>
          <w:highlight w:val="none"/>
        </w:rPr>
      </w:pPr>
      <w:r>
        <w:rPr>
          <w:rFonts w:hint="eastAsia" w:ascii="宋体" w:hAnsi="宋体" w:cs="宋体"/>
          <w:color w:val="auto"/>
          <w:highlight w:val="none"/>
        </w:rPr>
        <w:t>一、磋商函及磋商函附录</w:t>
      </w:r>
      <w:r>
        <w:rPr>
          <w:rFonts w:hint="eastAsia" w:ascii="宋体" w:hAnsi="宋体" w:cs="宋体"/>
          <w:color w:val="auto"/>
          <w:highlight w:val="none"/>
        </w:rPr>
        <w:tab/>
      </w:r>
    </w:p>
    <w:p w14:paraId="1AD801F3">
      <w:pPr>
        <w:spacing w:line="540" w:lineRule="exact"/>
        <w:rPr>
          <w:rFonts w:ascii="宋体" w:hAnsi="宋体" w:cs="宋体"/>
          <w:color w:val="auto"/>
          <w:highlight w:val="none"/>
        </w:rPr>
      </w:pPr>
      <w:r>
        <w:rPr>
          <w:rFonts w:hint="eastAsia" w:ascii="宋体" w:hAnsi="宋体" w:cs="宋体"/>
          <w:color w:val="auto"/>
          <w:highlight w:val="none"/>
        </w:rPr>
        <w:t>二、法定代表身份证明</w:t>
      </w:r>
    </w:p>
    <w:p w14:paraId="20980A4C">
      <w:pPr>
        <w:spacing w:line="540" w:lineRule="exact"/>
        <w:rPr>
          <w:rFonts w:ascii="宋体" w:hAnsi="宋体" w:cs="宋体"/>
          <w:color w:val="auto"/>
          <w:highlight w:val="none"/>
        </w:rPr>
      </w:pPr>
      <w:r>
        <w:rPr>
          <w:rFonts w:hint="eastAsia" w:ascii="宋体" w:hAnsi="宋体" w:cs="宋体"/>
          <w:color w:val="auto"/>
          <w:highlight w:val="none"/>
        </w:rPr>
        <w:t>三、授权委托书</w:t>
      </w:r>
    </w:p>
    <w:p w14:paraId="5ABF1213">
      <w:pPr>
        <w:spacing w:line="540" w:lineRule="exact"/>
        <w:rPr>
          <w:rFonts w:ascii="宋体" w:hAnsi="宋体" w:cs="宋体"/>
          <w:color w:val="auto"/>
          <w:highlight w:val="none"/>
        </w:rPr>
      </w:pPr>
      <w:r>
        <w:rPr>
          <w:rFonts w:hint="eastAsia" w:ascii="宋体" w:hAnsi="宋体" w:cs="宋体"/>
          <w:color w:val="auto"/>
          <w:highlight w:val="none"/>
          <w:lang w:val="en-US" w:eastAsia="zh-CN"/>
        </w:rPr>
        <w:t>四</w:t>
      </w:r>
      <w:r>
        <w:rPr>
          <w:rFonts w:hint="eastAsia" w:ascii="宋体" w:hAnsi="宋体" w:cs="宋体"/>
          <w:color w:val="auto"/>
          <w:highlight w:val="none"/>
        </w:rPr>
        <w:t>、资格审查资料</w:t>
      </w:r>
    </w:p>
    <w:p w14:paraId="6FBA996D">
      <w:pPr>
        <w:spacing w:line="540" w:lineRule="exact"/>
        <w:rPr>
          <w:rFonts w:ascii="宋体" w:hAnsi="宋体" w:cs="宋体"/>
          <w:color w:val="auto"/>
          <w:highlight w:val="none"/>
        </w:rPr>
      </w:pPr>
      <w:r>
        <w:rPr>
          <w:rFonts w:hint="eastAsia" w:ascii="宋体" w:hAnsi="宋体" w:cs="宋体"/>
          <w:color w:val="auto"/>
          <w:highlight w:val="none"/>
          <w:lang w:val="en-US" w:eastAsia="zh-CN"/>
        </w:rPr>
        <w:t>五</w:t>
      </w:r>
      <w:r>
        <w:rPr>
          <w:rFonts w:hint="eastAsia" w:ascii="宋体" w:hAnsi="宋体" w:cs="宋体"/>
          <w:color w:val="auto"/>
          <w:highlight w:val="none"/>
        </w:rPr>
        <w:t>、</w:t>
      </w:r>
      <w:r>
        <w:rPr>
          <w:rFonts w:hint="eastAsia" w:ascii="宋体" w:hAnsi="宋体" w:cs="宋体"/>
          <w:color w:val="auto"/>
          <w:highlight w:val="none"/>
          <w:lang w:val="en-US" w:eastAsia="zh-CN"/>
        </w:rPr>
        <w:t>服务</w:t>
      </w:r>
      <w:r>
        <w:rPr>
          <w:rFonts w:hint="eastAsia" w:ascii="宋体" w:hAnsi="宋体" w:cs="宋体"/>
          <w:color w:val="auto"/>
          <w:highlight w:val="none"/>
        </w:rPr>
        <w:t>方案</w:t>
      </w:r>
    </w:p>
    <w:p w14:paraId="431A1EC5">
      <w:pPr>
        <w:spacing w:line="540" w:lineRule="exact"/>
        <w:rPr>
          <w:rFonts w:ascii="宋体" w:hAnsi="宋体" w:cs="宋体"/>
          <w:color w:val="auto"/>
          <w:highlight w:val="none"/>
        </w:rPr>
      </w:pPr>
      <w:r>
        <w:rPr>
          <w:rFonts w:hint="eastAsia" w:ascii="宋体" w:hAnsi="宋体" w:cs="宋体"/>
          <w:color w:val="auto"/>
          <w:highlight w:val="none"/>
          <w:lang w:val="en-US" w:eastAsia="zh-CN"/>
        </w:rPr>
        <w:t>六</w:t>
      </w:r>
      <w:r>
        <w:rPr>
          <w:rFonts w:hint="eastAsia" w:ascii="宋体" w:hAnsi="宋体" w:cs="宋体"/>
          <w:color w:val="auto"/>
          <w:highlight w:val="none"/>
        </w:rPr>
        <w:t>、其他材料</w:t>
      </w:r>
    </w:p>
    <w:p w14:paraId="2A28A687">
      <w:pPr>
        <w:spacing w:line="540" w:lineRule="exact"/>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七</w:t>
      </w:r>
      <w:r>
        <w:rPr>
          <w:rFonts w:hint="eastAsia" w:ascii="宋体" w:hAnsi="宋体" w:cs="宋体"/>
          <w:color w:val="auto"/>
          <w:highlight w:val="none"/>
        </w:rPr>
        <w:t>、</w:t>
      </w:r>
      <w:r>
        <w:rPr>
          <w:rFonts w:hint="eastAsia" w:ascii="宋体" w:hAnsi="宋体" w:cs="宋体"/>
          <w:color w:val="auto"/>
          <w:highlight w:val="none"/>
          <w:lang w:eastAsia="zh-CN"/>
        </w:rPr>
        <w:t>享有的政府采购优惠政策</w:t>
      </w:r>
    </w:p>
    <w:p w14:paraId="10A5D4A6">
      <w:pPr>
        <w:spacing w:line="540" w:lineRule="exact"/>
        <w:rPr>
          <w:rFonts w:ascii="宋体" w:hAnsi="宋体" w:cs="宋体"/>
          <w:color w:val="auto"/>
          <w:highlight w:val="none"/>
        </w:rPr>
      </w:pPr>
    </w:p>
    <w:p w14:paraId="2C5B1857">
      <w:pPr>
        <w:spacing w:line="540" w:lineRule="exact"/>
        <w:rPr>
          <w:rFonts w:ascii="宋体" w:hAnsi="宋体" w:cs="宋体"/>
          <w:color w:val="auto"/>
          <w:highlight w:val="none"/>
        </w:rPr>
      </w:pPr>
    </w:p>
    <w:p w14:paraId="6E58DCEB">
      <w:pPr>
        <w:spacing w:line="540" w:lineRule="exact"/>
        <w:rPr>
          <w:rFonts w:ascii="宋体" w:hAnsi="宋体" w:cs="宋体"/>
          <w:color w:val="auto"/>
          <w:highlight w:val="none"/>
        </w:rPr>
      </w:pPr>
    </w:p>
    <w:p w14:paraId="2A620824">
      <w:pPr>
        <w:spacing w:line="540" w:lineRule="exact"/>
        <w:rPr>
          <w:rFonts w:ascii="宋体" w:hAnsi="宋体" w:cs="宋体"/>
          <w:color w:val="auto"/>
          <w:highlight w:val="none"/>
        </w:rPr>
      </w:pPr>
    </w:p>
    <w:p w14:paraId="33870B81">
      <w:pPr>
        <w:spacing w:line="540" w:lineRule="exact"/>
        <w:rPr>
          <w:rFonts w:ascii="宋体" w:hAnsi="宋体" w:cs="宋体"/>
          <w:color w:val="auto"/>
          <w:highlight w:val="none"/>
        </w:rPr>
      </w:pPr>
    </w:p>
    <w:p w14:paraId="1FAF155D">
      <w:pPr>
        <w:spacing w:line="540" w:lineRule="exact"/>
        <w:rPr>
          <w:rFonts w:ascii="宋体" w:hAnsi="宋体" w:cs="宋体"/>
          <w:color w:val="auto"/>
          <w:sz w:val="20"/>
          <w:szCs w:val="20"/>
          <w:highlight w:val="none"/>
        </w:rPr>
      </w:pPr>
    </w:p>
    <w:p w14:paraId="4BB51943">
      <w:pPr>
        <w:spacing w:line="540" w:lineRule="exact"/>
        <w:rPr>
          <w:rFonts w:ascii="宋体" w:hAnsi="宋体" w:cs="宋体"/>
          <w:color w:val="auto"/>
          <w:sz w:val="20"/>
          <w:szCs w:val="20"/>
          <w:highlight w:val="none"/>
        </w:rPr>
      </w:pPr>
    </w:p>
    <w:p w14:paraId="3C60771E">
      <w:pPr>
        <w:spacing w:line="540" w:lineRule="exact"/>
        <w:rPr>
          <w:rFonts w:ascii="宋体" w:hAnsi="宋体" w:cs="宋体"/>
          <w:color w:val="auto"/>
          <w:sz w:val="20"/>
          <w:szCs w:val="20"/>
          <w:highlight w:val="none"/>
        </w:rPr>
      </w:pPr>
    </w:p>
    <w:p w14:paraId="14C18575">
      <w:pPr>
        <w:spacing w:line="540" w:lineRule="exact"/>
        <w:rPr>
          <w:rFonts w:ascii="宋体" w:hAnsi="宋体" w:cs="宋体"/>
          <w:color w:val="auto"/>
          <w:sz w:val="20"/>
          <w:szCs w:val="20"/>
          <w:highlight w:val="none"/>
        </w:rPr>
      </w:pPr>
      <w:r>
        <w:rPr>
          <w:rFonts w:hint="eastAsia" w:ascii="宋体" w:hAnsi="宋体" w:cs="宋体"/>
          <w:color w:val="auto"/>
          <w:sz w:val="20"/>
          <w:szCs w:val="20"/>
          <w:highlight w:val="none"/>
        </w:rPr>
        <w:br w:type="page"/>
      </w:r>
    </w:p>
    <w:p w14:paraId="30383BFA">
      <w:pPr>
        <w:pStyle w:val="168"/>
        <w:numPr>
          <w:ilvl w:val="0"/>
          <w:numId w:val="4"/>
        </w:numPr>
        <w:jc w:val="center"/>
        <w:rPr>
          <w:rFonts w:ascii="宋体" w:hAnsi="宋体" w:eastAsia="宋体"/>
          <w:b/>
          <w:color w:val="auto"/>
          <w:highlight w:val="none"/>
        </w:rPr>
      </w:pPr>
      <w:bookmarkStart w:id="787" w:name="_Toc144974857"/>
      <w:bookmarkStart w:id="788" w:name="_Toc152045788"/>
      <w:bookmarkStart w:id="789" w:name="_Toc152042577"/>
      <w:bookmarkStart w:id="790" w:name="_Toc32099"/>
      <w:bookmarkStart w:id="791" w:name="_Toc509667322"/>
      <w:bookmarkStart w:id="792" w:name="_Toc466298158"/>
      <w:r>
        <w:rPr>
          <w:rFonts w:hint="eastAsia" w:ascii="宋体" w:hAnsi="宋体" w:eastAsia="宋体"/>
          <w:b/>
          <w:color w:val="auto"/>
          <w:highlight w:val="none"/>
        </w:rPr>
        <w:t>磋商函及</w:t>
      </w:r>
      <w:bookmarkEnd w:id="787"/>
      <w:bookmarkEnd w:id="788"/>
      <w:bookmarkEnd w:id="789"/>
      <w:r>
        <w:rPr>
          <w:rFonts w:hint="eastAsia" w:ascii="宋体" w:hAnsi="宋体" w:eastAsia="宋体"/>
          <w:b/>
          <w:color w:val="auto"/>
          <w:highlight w:val="none"/>
        </w:rPr>
        <w:t>磋商函附录</w:t>
      </w:r>
      <w:bookmarkEnd w:id="790"/>
      <w:bookmarkEnd w:id="791"/>
      <w:bookmarkEnd w:id="792"/>
    </w:p>
    <w:p w14:paraId="42B7998E">
      <w:pPr>
        <w:pStyle w:val="154"/>
        <w:numPr>
          <w:ilvl w:val="0"/>
          <w:numId w:val="5"/>
        </w:numPr>
        <w:jc w:val="center"/>
        <w:rPr>
          <w:rFonts w:ascii="宋体" w:hAnsi="宋体" w:eastAsia="宋体"/>
          <w:b/>
          <w:color w:val="auto"/>
          <w:szCs w:val="23"/>
          <w:highlight w:val="none"/>
        </w:rPr>
      </w:pPr>
      <w:bookmarkStart w:id="793" w:name="_Toc509667323"/>
      <w:bookmarkStart w:id="794" w:name="_Toc490667892"/>
      <w:bookmarkStart w:id="795" w:name="_Toc152042578"/>
      <w:bookmarkStart w:id="796" w:name="_Toc466298159"/>
      <w:bookmarkStart w:id="797" w:name="_Toc144974858"/>
      <w:bookmarkStart w:id="798" w:name="_Toc26262"/>
      <w:bookmarkStart w:id="799" w:name="_Toc455080170"/>
      <w:bookmarkStart w:id="800" w:name="_Toc18705"/>
      <w:bookmarkStart w:id="801" w:name="_Toc152045789"/>
      <w:bookmarkStart w:id="802" w:name="_Toc455867830"/>
      <w:bookmarkStart w:id="803" w:name="_Toc30581"/>
      <w:bookmarkStart w:id="804" w:name="_Toc318450744"/>
      <w:bookmarkStart w:id="805" w:name="_Toc8915"/>
      <w:bookmarkStart w:id="806" w:name="_Toc11855"/>
      <w:bookmarkStart w:id="807" w:name="_Toc23888"/>
      <w:r>
        <w:rPr>
          <w:rFonts w:hint="eastAsia" w:ascii="宋体" w:hAnsi="宋体" w:eastAsia="宋体"/>
          <w:b/>
          <w:color w:val="auto"/>
          <w:szCs w:val="23"/>
          <w:highlight w:val="none"/>
        </w:rPr>
        <w:t>磋商函</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14:paraId="6A9A6CC9">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p>
    <w:p w14:paraId="114BF9D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1．我方已仔细研究了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（项目名称）磋商文件的全部内容，愿意以人民币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大写</w:t>
      </w:r>
      <w:r>
        <w:rPr>
          <w:rFonts w:hint="eastAsia" w:ascii="宋体" w:hAnsi="宋体" w:cs="宋体"/>
          <w:color w:val="auto"/>
          <w:sz w:val="24"/>
          <w:highlight w:val="none"/>
          <w:lang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eastAsia="zh-CN"/>
        </w:rPr>
        <w:t>（小写）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元</w:t>
      </w:r>
      <w:r>
        <w:rPr>
          <w:rFonts w:hint="eastAsia" w:ascii="宋体" w:hAnsi="宋体" w:cs="宋体"/>
          <w:color w:val="auto"/>
          <w:sz w:val="24"/>
          <w:highlight w:val="none"/>
          <w:lang w:val="en-US" w:eastAsia="zh-CN"/>
        </w:rPr>
        <w:t>为本次</w:t>
      </w: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的首次</w:t>
      </w:r>
      <w:r>
        <w:rPr>
          <w:rFonts w:hint="eastAsia" w:ascii="宋体" w:hAnsi="宋体" w:cs="宋体"/>
          <w:color w:val="auto"/>
          <w:sz w:val="24"/>
          <w:highlight w:val="none"/>
        </w:rPr>
        <w:t>报价，</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lang w:eastAsia="zh-CN"/>
        </w:rPr>
        <w:t>期限</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，按合同约定实施和完成本项目，</w:t>
      </w:r>
      <w:r>
        <w:rPr>
          <w:rFonts w:hint="eastAsia" w:ascii="宋体" w:hAnsi="宋体" w:cs="宋体"/>
          <w:color w:val="auto"/>
          <w:sz w:val="24"/>
          <w:highlight w:val="none"/>
          <w:lang w:val="en-US" w:eastAsia="zh-CN"/>
        </w:rPr>
        <w:t>服务标准</w:t>
      </w:r>
      <w:r>
        <w:rPr>
          <w:rFonts w:hint="eastAsia" w:ascii="宋体" w:hAnsi="宋体" w:cs="宋体"/>
          <w:color w:val="auto"/>
          <w:sz w:val="24"/>
          <w:highlight w:val="none"/>
        </w:rPr>
        <w:t>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6C55B74F">
      <w:pPr>
        <w:spacing w:line="360" w:lineRule="auto"/>
        <w:ind w:firstLine="480" w:firstLineChars="200"/>
        <w:rPr>
          <w:rFonts w:ascii="宋体" w:hAnsi="宋体" w:cs="宋体"/>
          <w:color w:val="auto"/>
          <w:sz w:val="24"/>
          <w:szCs w:val="21"/>
          <w:highlight w:val="none"/>
        </w:rPr>
      </w:pPr>
      <w:bookmarkStart w:id="808" w:name="_Toc466298160"/>
      <w:bookmarkStart w:id="809" w:name="_Toc447888814"/>
      <w:r>
        <w:rPr>
          <w:rFonts w:hint="eastAsia" w:ascii="宋体" w:hAnsi="宋体" w:cs="宋体"/>
          <w:color w:val="auto"/>
          <w:sz w:val="24"/>
          <w:szCs w:val="21"/>
          <w:highlight w:val="none"/>
        </w:rPr>
        <w:t>2．我方承诺在磋商有效期</w:t>
      </w:r>
      <w:r>
        <w:rPr>
          <w:rFonts w:hint="eastAsia" w:ascii="宋体" w:hAnsi="宋体" w:cs="宋体"/>
          <w:color w:val="auto"/>
          <w:sz w:val="24"/>
          <w:szCs w:val="21"/>
          <w:highlight w:val="none"/>
          <w:u w:val="single"/>
        </w:rPr>
        <w:t xml:space="preserve"> 60</w:t>
      </w:r>
      <w:r>
        <w:rPr>
          <w:rFonts w:hint="eastAsia" w:ascii="宋体" w:hAnsi="宋体" w:cs="宋体"/>
          <w:color w:val="auto"/>
          <w:sz w:val="24"/>
          <w:szCs w:val="21"/>
          <w:highlight w:val="none"/>
        </w:rPr>
        <w:t>日历天内不修改、撤销响应文件。</w:t>
      </w:r>
    </w:p>
    <w:p w14:paraId="5221B7FF">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3．如我方中标：</w:t>
      </w:r>
    </w:p>
    <w:p w14:paraId="4B3A0A7B">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(l）我方承诺在收到成交通知书后，在成交通知书规定的期限内与你方签订合同。</w:t>
      </w:r>
    </w:p>
    <w:p w14:paraId="24CC95C8">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(2）随同本磋商函递交的磋商函附录属于合同文件的组成部分。</w:t>
      </w:r>
    </w:p>
    <w:p w14:paraId="11537DDB">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(3）我方承诺按照磋商文件规定向你方递交履约担保。</w:t>
      </w:r>
    </w:p>
    <w:p w14:paraId="2B0AECDC">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(4）我方承诺在合同约定的期限内完成本项目。</w:t>
      </w:r>
    </w:p>
    <w:p w14:paraId="4626480D">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4．我方在此声明，所递交的响应文件及有关资料内容完整、真实和准确。</w:t>
      </w:r>
    </w:p>
    <w:p w14:paraId="6072BBF8">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 xml:space="preserve">5.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（其他补充说明）。</w:t>
      </w:r>
    </w:p>
    <w:p w14:paraId="7F0D9D9D">
      <w:pPr>
        <w:spacing w:line="360" w:lineRule="auto"/>
        <w:ind w:firstLine="480" w:firstLineChars="200"/>
        <w:rPr>
          <w:rFonts w:ascii="宋体" w:hAnsi="宋体" w:cs="宋体"/>
          <w:color w:val="auto"/>
          <w:sz w:val="24"/>
          <w:szCs w:val="21"/>
          <w:highlight w:val="none"/>
        </w:rPr>
      </w:pPr>
    </w:p>
    <w:p w14:paraId="22483790">
      <w:pPr>
        <w:spacing w:line="360" w:lineRule="auto"/>
        <w:ind w:left="3780" w:leftChars="1800" w:firstLine="600" w:firstLineChars="250"/>
        <w:rPr>
          <w:rFonts w:ascii="宋体" w:hAnsi="宋体" w:cs="宋体"/>
          <w:color w:val="auto"/>
          <w:sz w:val="24"/>
          <w:szCs w:val="21"/>
          <w:highlight w:val="none"/>
        </w:rPr>
      </w:pPr>
    </w:p>
    <w:p w14:paraId="2C917F90">
      <w:pPr>
        <w:spacing w:line="360" w:lineRule="auto"/>
        <w:ind w:left="3778" w:leftChars="1620" w:hanging="376" w:hangingChars="157"/>
        <w:rPr>
          <w:rFonts w:ascii="宋体" w:hAnsi="宋体" w:cs="宋体"/>
          <w:color w:val="auto"/>
          <w:sz w:val="24"/>
          <w:szCs w:val="21"/>
          <w:highlight w:val="none"/>
        </w:rPr>
      </w:pPr>
      <w:r>
        <w:rPr>
          <w:rFonts w:hint="eastAsia" w:ascii="宋体" w:hAnsi="宋体" w:cs="宋体"/>
          <w:color w:val="auto"/>
          <w:sz w:val="24"/>
          <w:szCs w:val="21"/>
          <w:highlight w:val="none"/>
        </w:rPr>
        <w:t>供应商：</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（盖单位章）</w:t>
      </w:r>
    </w:p>
    <w:p w14:paraId="5A2C836C">
      <w:pPr>
        <w:spacing w:line="360" w:lineRule="auto"/>
        <w:ind w:left="3778" w:leftChars="1620" w:hanging="376" w:hangingChars="157"/>
        <w:rPr>
          <w:rFonts w:ascii="宋体" w:hAnsi="宋体" w:cs="宋体"/>
          <w:color w:val="auto"/>
          <w:sz w:val="24"/>
          <w:szCs w:val="21"/>
          <w:highlight w:val="none"/>
        </w:rPr>
      </w:pPr>
      <w:r>
        <w:rPr>
          <w:rFonts w:hint="eastAsia" w:ascii="宋体" w:hAnsi="宋体" w:cs="宋体"/>
          <w:color w:val="auto"/>
          <w:sz w:val="24"/>
          <w:szCs w:val="21"/>
          <w:highlight w:val="none"/>
        </w:rPr>
        <w:t>法定代表人或其委托代理人：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（签字或盖章）</w:t>
      </w:r>
    </w:p>
    <w:p w14:paraId="2519D4DA">
      <w:pPr>
        <w:spacing w:line="360" w:lineRule="auto"/>
        <w:ind w:firstLine="3400" w:firstLineChars="1417"/>
        <w:rPr>
          <w:rFonts w:ascii="宋体" w:hAnsi="宋体" w:cs="宋体"/>
          <w:color w:val="auto"/>
          <w:sz w:val="24"/>
          <w:szCs w:val="21"/>
          <w:highlight w:val="none"/>
        </w:rPr>
      </w:pPr>
      <w:r>
        <w:rPr>
          <w:rFonts w:hint="eastAsia" w:ascii="宋体" w:hAnsi="宋体" w:cs="宋体"/>
          <w:color w:val="auto"/>
          <w:sz w:val="24"/>
          <w:szCs w:val="21"/>
          <w:highlight w:val="none"/>
        </w:rPr>
        <w:t>地址：</w:t>
      </w:r>
      <w:r>
        <w:rPr>
          <w:rFonts w:hint="eastAsia" w:ascii="宋体" w:hAnsi="宋体" w:cs="宋体"/>
          <w:color w:val="auto"/>
          <w:sz w:val="24"/>
          <w:szCs w:val="21"/>
          <w:highlight w:val="none"/>
          <w:u w:val="single"/>
        </w:rPr>
        <w:t xml:space="preserve">                                 </w:t>
      </w:r>
    </w:p>
    <w:p w14:paraId="3308D322">
      <w:pPr>
        <w:spacing w:line="360" w:lineRule="auto"/>
        <w:ind w:firstLine="3400" w:firstLineChars="1417"/>
        <w:rPr>
          <w:rFonts w:ascii="宋体" w:hAnsi="宋体" w:cs="宋体"/>
          <w:color w:val="auto"/>
          <w:sz w:val="24"/>
          <w:szCs w:val="21"/>
          <w:highlight w:val="none"/>
        </w:rPr>
      </w:pPr>
      <w:r>
        <w:rPr>
          <w:rFonts w:hint="eastAsia" w:ascii="宋体" w:hAnsi="宋体" w:cs="宋体"/>
          <w:color w:val="auto"/>
          <w:sz w:val="24"/>
          <w:szCs w:val="21"/>
          <w:highlight w:val="none"/>
        </w:rPr>
        <w:t>电话：</w:t>
      </w:r>
      <w:r>
        <w:rPr>
          <w:rFonts w:hint="eastAsia" w:ascii="宋体" w:hAnsi="宋体" w:cs="宋体"/>
          <w:color w:val="auto"/>
          <w:sz w:val="24"/>
          <w:szCs w:val="21"/>
          <w:highlight w:val="none"/>
          <w:u w:val="single"/>
        </w:rPr>
        <w:t xml:space="preserve">                                 </w:t>
      </w:r>
    </w:p>
    <w:p w14:paraId="5EBF072B">
      <w:pPr>
        <w:spacing w:line="360" w:lineRule="auto"/>
        <w:ind w:firstLine="3400" w:firstLineChars="1417"/>
        <w:rPr>
          <w:rFonts w:ascii="宋体" w:hAnsi="宋体" w:cs="宋体"/>
          <w:color w:val="auto"/>
          <w:sz w:val="24"/>
          <w:szCs w:val="21"/>
          <w:highlight w:val="none"/>
        </w:rPr>
      </w:pP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月</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日</w:t>
      </w:r>
    </w:p>
    <w:p w14:paraId="0DC9E639">
      <w:pPr>
        <w:pStyle w:val="4"/>
        <w:numPr>
          <w:ilvl w:val="0"/>
          <w:numId w:val="0"/>
        </w:numPr>
        <w:jc w:val="center"/>
        <w:rPr>
          <w:rFonts w:ascii="宋体" w:hAnsi="宋体" w:eastAsia="宋体" w:cs="宋体"/>
          <w:color w:val="auto"/>
          <w:sz w:val="28"/>
          <w:szCs w:val="28"/>
          <w:highlight w:val="none"/>
        </w:rPr>
      </w:pPr>
      <w:bookmarkStart w:id="810" w:name="_Toc490667893"/>
      <w:bookmarkStart w:id="811" w:name="_Toc509667324"/>
      <w:r>
        <w:rPr>
          <w:rFonts w:hint="eastAsia" w:ascii="宋体" w:hAnsi="宋体" w:eastAsia="宋体" w:cs="宋体"/>
          <w:color w:val="auto"/>
          <w:sz w:val="28"/>
          <w:szCs w:val="28"/>
          <w:highlight w:val="none"/>
        </w:rPr>
        <w:br w:type="page"/>
      </w:r>
      <w:r>
        <w:rPr>
          <w:rFonts w:hint="eastAsia" w:ascii="宋体" w:hAnsi="宋体" w:eastAsia="宋体" w:cs="宋体"/>
          <w:color w:val="auto"/>
          <w:sz w:val="28"/>
          <w:szCs w:val="28"/>
          <w:highlight w:val="none"/>
        </w:rPr>
        <w:t>（二）</w:t>
      </w:r>
      <w:bookmarkEnd w:id="808"/>
      <w:bookmarkEnd w:id="809"/>
      <w:r>
        <w:rPr>
          <w:rFonts w:hint="eastAsia" w:ascii="宋体" w:hAnsi="宋体" w:eastAsia="宋体" w:cs="宋体"/>
          <w:color w:val="auto"/>
          <w:highlight w:val="none"/>
        </w:rPr>
        <w:t>磋商函附录</w:t>
      </w:r>
      <w:bookmarkEnd w:id="810"/>
      <w:bookmarkEnd w:id="811"/>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9"/>
        <w:gridCol w:w="3435"/>
        <w:gridCol w:w="148"/>
        <w:gridCol w:w="1155"/>
        <w:gridCol w:w="2123"/>
      </w:tblGrid>
      <w:tr w14:paraId="0837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2CD67E66">
            <w:pPr>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5035933A">
            <w:pPr>
              <w:rPr>
                <w:rFonts w:ascii="宋体" w:hAnsi="宋体" w:cs="宋体"/>
                <w:color w:val="auto"/>
                <w:szCs w:val="21"/>
                <w:highlight w:val="none"/>
              </w:rPr>
            </w:pPr>
          </w:p>
        </w:tc>
      </w:tr>
      <w:tr w14:paraId="08CA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539A446A">
            <w:pPr>
              <w:jc w:val="center"/>
              <w:rPr>
                <w:rFonts w:ascii="宋体" w:hAnsi="宋体" w:cs="宋体"/>
                <w:color w:val="auto"/>
                <w:szCs w:val="21"/>
                <w:highlight w:val="none"/>
              </w:rPr>
            </w:pPr>
            <w:r>
              <w:rPr>
                <w:rFonts w:hint="eastAsia" w:ascii="宋体" w:hAnsi="宋体" w:cs="宋体"/>
                <w:color w:val="auto"/>
                <w:szCs w:val="21"/>
                <w:highlight w:val="none"/>
              </w:rPr>
              <w:t>供应商</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44963885">
            <w:pPr>
              <w:rPr>
                <w:rFonts w:ascii="宋体" w:hAnsi="宋体" w:cs="宋体"/>
                <w:color w:val="auto"/>
                <w:szCs w:val="21"/>
                <w:highlight w:val="none"/>
              </w:rPr>
            </w:pPr>
          </w:p>
        </w:tc>
      </w:tr>
      <w:tr w14:paraId="1B35B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5388D15B">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磋商内容</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40ECD09E">
            <w:pPr>
              <w:jc w:val="center"/>
              <w:rPr>
                <w:rFonts w:ascii="宋体" w:hAnsi="宋体" w:cs="宋体"/>
                <w:color w:val="auto"/>
                <w:szCs w:val="21"/>
                <w:highlight w:val="none"/>
              </w:rPr>
            </w:pPr>
          </w:p>
        </w:tc>
      </w:tr>
      <w:tr w14:paraId="6FDE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5BB79F02">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首次报价</w:t>
            </w:r>
          </w:p>
        </w:tc>
        <w:tc>
          <w:tcPr>
            <w:tcW w:w="3435" w:type="dxa"/>
            <w:tcBorders>
              <w:top w:val="single" w:color="auto" w:sz="4" w:space="0"/>
              <w:left w:val="single" w:color="auto" w:sz="4" w:space="0"/>
              <w:bottom w:val="single" w:color="auto" w:sz="4" w:space="0"/>
              <w:right w:val="single" w:color="auto" w:sz="4" w:space="0"/>
            </w:tcBorders>
            <w:vAlign w:val="center"/>
          </w:tcPr>
          <w:p w14:paraId="42362CC3">
            <w:pPr>
              <w:rPr>
                <w:rFonts w:ascii="宋体" w:hAnsi="宋体" w:cs="宋体"/>
                <w:color w:val="auto"/>
                <w:szCs w:val="21"/>
                <w:highlight w:val="none"/>
              </w:rPr>
            </w:pPr>
            <w:r>
              <w:rPr>
                <w:rFonts w:hint="eastAsia" w:ascii="宋体" w:hAnsi="宋体" w:cs="宋体"/>
                <w:color w:val="auto"/>
                <w:szCs w:val="21"/>
                <w:highlight w:val="none"/>
              </w:rPr>
              <w:t>（大写）</w:t>
            </w:r>
          </w:p>
        </w:tc>
        <w:tc>
          <w:tcPr>
            <w:tcW w:w="3426" w:type="dxa"/>
            <w:gridSpan w:val="3"/>
            <w:tcBorders>
              <w:top w:val="single" w:color="auto" w:sz="4" w:space="0"/>
              <w:left w:val="single" w:color="auto" w:sz="4" w:space="0"/>
              <w:bottom w:val="single" w:color="auto" w:sz="4" w:space="0"/>
              <w:right w:val="single" w:color="auto" w:sz="4" w:space="0"/>
            </w:tcBorders>
            <w:vAlign w:val="center"/>
          </w:tcPr>
          <w:p w14:paraId="5BF378C9">
            <w:pPr>
              <w:rPr>
                <w:rFonts w:ascii="宋体" w:hAnsi="宋体" w:cs="宋体"/>
                <w:color w:val="auto"/>
                <w:szCs w:val="21"/>
                <w:highlight w:val="none"/>
              </w:rPr>
            </w:pPr>
            <w:r>
              <w:rPr>
                <w:rFonts w:hint="eastAsia" w:ascii="宋体" w:hAnsi="宋体" w:cs="宋体"/>
                <w:color w:val="auto"/>
                <w:szCs w:val="21"/>
                <w:highlight w:val="none"/>
              </w:rPr>
              <w:t>（小写）</w:t>
            </w:r>
          </w:p>
        </w:tc>
      </w:tr>
      <w:tr w14:paraId="1876D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554AD12C">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服务</w:t>
            </w:r>
            <w:r>
              <w:rPr>
                <w:rFonts w:hint="eastAsia" w:ascii="宋体" w:hAnsi="宋体" w:cs="宋体"/>
                <w:color w:val="auto"/>
                <w:szCs w:val="21"/>
                <w:highlight w:val="none"/>
              </w:rPr>
              <w:t>地点</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3807596E">
            <w:pPr>
              <w:jc w:val="center"/>
              <w:rPr>
                <w:rFonts w:ascii="宋体" w:hAnsi="宋体" w:cs="宋体"/>
                <w:color w:val="auto"/>
                <w:szCs w:val="21"/>
                <w:highlight w:val="none"/>
              </w:rPr>
            </w:pPr>
          </w:p>
        </w:tc>
      </w:tr>
      <w:tr w14:paraId="3A02D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50BF2FE3">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服务</w:t>
            </w:r>
            <w:r>
              <w:rPr>
                <w:rFonts w:hint="eastAsia" w:ascii="宋体" w:hAnsi="宋体" w:cs="宋体"/>
                <w:color w:val="auto"/>
                <w:szCs w:val="21"/>
                <w:highlight w:val="none"/>
                <w:lang w:eastAsia="zh-CN"/>
              </w:rPr>
              <w:t>期限</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7815765A">
            <w:pPr>
              <w:jc w:val="center"/>
              <w:rPr>
                <w:rFonts w:ascii="宋体" w:hAnsi="宋体" w:cs="宋体"/>
                <w:color w:val="auto"/>
                <w:szCs w:val="21"/>
                <w:highlight w:val="none"/>
              </w:rPr>
            </w:pPr>
          </w:p>
        </w:tc>
      </w:tr>
      <w:tr w14:paraId="0B1F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2B94E260">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服务标准</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162E8376">
            <w:pPr>
              <w:jc w:val="center"/>
              <w:rPr>
                <w:rFonts w:ascii="宋体" w:hAnsi="宋体" w:cs="宋体"/>
                <w:color w:val="auto"/>
                <w:szCs w:val="21"/>
                <w:highlight w:val="none"/>
              </w:rPr>
            </w:pPr>
          </w:p>
        </w:tc>
      </w:tr>
      <w:tr w14:paraId="0BC8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3BD930F6">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项目负责人</w:t>
            </w:r>
          </w:p>
        </w:tc>
        <w:tc>
          <w:tcPr>
            <w:tcW w:w="3583" w:type="dxa"/>
            <w:gridSpan w:val="2"/>
            <w:tcBorders>
              <w:top w:val="single" w:color="auto" w:sz="4" w:space="0"/>
              <w:left w:val="single" w:color="auto" w:sz="4" w:space="0"/>
              <w:bottom w:val="single" w:color="auto" w:sz="4" w:space="0"/>
              <w:right w:val="single" w:color="auto" w:sz="4" w:space="0"/>
            </w:tcBorders>
            <w:vAlign w:val="center"/>
          </w:tcPr>
          <w:p w14:paraId="67A4A77D">
            <w:pPr>
              <w:jc w:val="center"/>
              <w:rPr>
                <w:rFonts w:ascii="宋体" w:hAnsi="宋体" w:cs="宋体"/>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16762052">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证书编号（如有）</w:t>
            </w:r>
          </w:p>
        </w:tc>
        <w:tc>
          <w:tcPr>
            <w:tcW w:w="2123" w:type="dxa"/>
            <w:tcBorders>
              <w:top w:val="single" w:color="auto" w:sz="4" w:space="0"/>
              <w:left w:val="single" w:color="auto" w:sz="4" w:space="0"/>
              <w:bottom w:val="single" w:color="auto" w:sz="4" w:space="0"/>
              <w:right w:val="single" w:color="auto" w:sz="4" w:space="0"/>
            </w:tcBorders>
            <w:vAlign w:val="center"/>
          </w:tcPr>
          <w:p w14:paraId="557640B0">
            <w:pPr>
              <w:jc w:val="center"/>
              <w:rPr>
                <w:rFonts w:ascii="宋体" w:hAnsi="宋体" w:cs="宋体"/>
                <w:color w:val="auto"/>
                <w:szCs w:val="21"/>
                <w:highlight w:val="none"/>
              </w:rPr>
            </w:pPr>
          </w:p>
        </w:tc>
      </w:tr>
      <w:tr w14:paraId="1362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35DA24C2">
            <w:pPr>
              <w:jc w:val="center"/>
              <w:rPr>
                <w:rFonts w:ascii="宋体" w:hAnsi="宋体" w:cs="宋体"/>
                <w:color w:val="auto"/>
                <w:szCs w:val="21"/>
                <w:highlight w:val="none"/>
              </w:rPr>
            </w:pPr>
            <w:r>
              <w:rPr>
                <w:rFonts w:hint="eastAsia" w:ascii="宋体" w:hAnsi="宋体" w:cs="宋体"/>
                <w:color w:val="auto"/>
                <w:szCs w:val="21"/>
                <w:highlight w:val="none"/>
              </w:rPr>
              <w:t>磋商有效期</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3DDF62E9">
            <w:pPr>
              <w:jc w:val="center"/>
              <w:rPr>
                <w:rFonts w:ascii="宋体" w:hAnsi="宋体" w:cs="宋体"/>
                <w:color w:val="auto"/>
                <w:szCs w:val="21"/>
                <w:highlight w:val="none"/>
              </w:rPr>
            </w:pPr>
            <w:r>
              <w:rPr>
                <w:rFonts w:hint="eastAsia" w:ascii="宋体" w:hAnsi="宋体" w:cs="宋体"/>
                <w:color w:val="auto"/>
                <w:szCs w:val="21"/>
                <w:highlight w:val="none"/>
              </w:rPr>
              <w:t>60日历天（响应文件截止之日起）</w:t>
            </w:r>
          </w:p>
        </w:tc>
      </w:tr>
      <w:tr w14:paraId="1051A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59" w:type="dxa"/>
            <w:tcBorders>
              <w:top w:val="single" w:color="auto" w:sz="4" w:space="0"/>
              <w:left w:val="single" w:color="auto" w:sz="4" w:space="0"/>
              <w:bottom w:val="single" w:color="auto" w:sz="4" w:space="0"/>
              <w:right w:val="single" w:color="auto" w:sz="4" w:space="0"/>
            </w:tcBorders>
            <w:vAlign w:val="center"/>
          </w:tcPr>
          <w:p w14:paraId="16B00B38">
            <w:pPr>
              <w:jc w:val="center"/>
              <w:rPr>
                <w:rFonts w:ascii="宋体" w:hAnsi="宋体" w:cs="宋体"/>
                <w:color w:val="auto"/>
                <w:szCs w:val="21"/>
                <w:highlight w:val="none"/>
              </w:rPr>
            </w:pPr>
            <w:r>
              <w:rPr>
                <w:rFonts w:hint="eastAsia" w:ascii="宋体" w:hAnsi="宋体" w:cs="宋体"/>
                <w:color w:val="auto"/>
                <w:szCs w:val="21"/>
                <w:highlight w:val="none"/>
              </w:rPr>
              <w:t>承诺</w:t>
            </w:r>
          </w:p>
        </w:tc>
        <w:tc>
          <w:tcPr>
            <w:tcW w:w="6861" w:type="dxa"/>
            <w:gridSpan w:val="4"/>
            <w:tcBorders>
              <w:top w:val="single" w:color="auto" w:sz="4" w:space="0"/>
              <w:left w:val="single" w:color="auto" w:sz="4" w:space="0"/>
              <w:bottom w:val="single" w:color="auto" w:sz="4" w:space="0"/>
              <w:right w:val="single" w:color="auto" w:sz="4" w:space="0"/>
            </w:tcBorders>
            <w:vAlign w:val="center"/>
          </w:tcPr>
          <w:p w14:paraId="57D32C73">
            <w:pPr>
              <w:jc w:val="center"/>
              <w:rPr>
                <w:rFonts w:ascii="宋体" w:hAnsi="宋体" w:cs="宋体"/>
                <w:color w:val="auto"/>
                <w:szCs w:val="21"/>
                <w:highlight w:val="none"/>
              </w:rPr>
            </w:pPr>
          </w:p>
        </w:tc>
      </w:tr>
      <w:tr w14:paraId="6EAE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9020" w:type="dxa"/>
            <w:gridSpan w:val="5"/>
            <w:tcBorders>
              <w:top w:val="single" w:color="auto" w:sz="4" w:space="0"/>
              <w:left w:val="single" w:color="auto" w:sz="4" w:space="0"/>
              <w:bottom w:val="single" w:color="auto" w:sz="4" w:space="0"/>
              <w:right w:val="single" w:color="auto" w:sz="4" w:space="0"/>
            </w:tcBorders>
          </w:tcPr>
          <w:p w14:paraId="19A36367">
            <w:pPr>
              <w:rPr>
                <w:rFonts w:ascii="宋体" w:hAnsi="宋体" w:cs="宋体"/>
                <w:color w:val="auto"/>
                <w:szCs w:val="21"/>
                <w:highlight w:val="none"/>
              </w:rPr>
            </w:pPr>
            <w:r>
              <w:rPr>
                <w:rFonts w:hint="eastAsia" w:ascii="宋体" w:hAnsi="宋体" w:cs="宋体"/>
                <w:b/>
                <w:color w:val="auto"/>
                <w:szCs w:val="21"/>
                <w:highlight w:val="none"/>
              </w:rPr>
              <w:t>备注：供应商在竞争性磋商文件中规定的实质性要求和条件的基础上，可做出其他有利于采购人的承诺。此类承诺可在本表中予以补充填写，可另附页。</w:t>
            </w:r>
          </w:p>
        </w:tc>
      </w:tr>
    </w:tbl>
    <w:p w14:paraId="22942C2F">
      <w:pPr>
        <w:rPr>
          <w:rFonts w:ascii="宋体" w:hAnsi="宋体" w:cs="宋体"/>
          <w:color w:val="auto"/>
          <w:sz w:val="24"/>
          <w:highlight w:val="none"/>
        </w:rPr>
      </w:pPr>
    </w:p>
    <w:p w14:paraId="314EDEA9">
      <w:pPr>
        <w:rPr>
          <w:rFonts w:ascii="宋体" w:hAnsi="宋体" w:cs="宋体"/>
          <w:color w:val="auto"/>
          <w:sz w:val="24"/>
          <w:highlight w:val="none"/>
        </w:rPr>
      </w:pPr>
      <w:r>
        <w:rPr>
          <w:rFonts w:hint="eastAsia" w:ascii="宋体" w:hAnsi="宋体" w:cs="宋体"/>
          <w:color w:val="auto"/>
          <w:sz w:val="24"/>
          <w:highlight w:val="none"/>
        </w:rPr>
        <w:t>供应商(盖章)</w:t>
      </w:r>
      <w:r>
        <w:rPr>
          <w:rFonts w:hint="eastAsia" w:ascii="宋体" w:hAnsi="宋体" w:cs="宋体"/>
          <w:color w:val="auto"/>
          <w:sz w:val="24"/>
          <w:highlight w:val="none"/>
          <w:u w:val="none"/>
        </w:rPr>
        <w:t>:</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4F0EA77">
      <w:pPr>
        <w:rPr>
          <w:rFonts w:ascii="宋体" w:hAnsi="宋体" w:cs="宋体"/>
          <w:color w:val="auto"/>
          <w:sz w:val="24"/>
          <w:highlight w:val="none"/>
        </w:rPr>
      </w:pPr>
    </w:p>
    <w:p w14:paraId="30ADAE77">
      <w:pPr>
        <w:rPr>
          <w:rFonts w:ascii="宋体" w:hAnsi="宋体" w:cs="宋体"/>
          <w:color w:val="auto"/>
          <w:sz w:val="24"/>
          <w:highlight w:val="none"/>
        </w:rPr>
      </w:pPr>
      <w:r>
        <w:rPr>
          <w:rFonts w:hint="eastAsia" w:ascii="宋体" w:hAnsi="宋体" w:cs="宋体"/>
          <w:color w:val="auto"/>
          <w:sz w:val="24"/>
          <w:highlight w:val="none"/>
        </w:rPr>
        <w:t>供应商法定代表人或其授权委托人(签字或盖章)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___________________</w:t>
      </w:r>
    </w:p>
    <w:p w14:paraId="7F287F69">
      <w:pPr>
        <w:ind w:firstLine="240" w:firstLineChars="100"/>
        <w:rPr>
          <w:rFonts w:ascii="宋体" w:hAnsi="宋体" w:cs="宋体"/>
          <w:color w:val="auto"/>
          <w:sz w:val="24"/>
          <w:highlight w:val="none"/>
        </w:rPr>
      </w:pPr>
    </w:p>
    <w:p w14:paraId="5C662197">
      <w:pPr>
        <w:ind w:firstLine="4080" w:firstLineChars="1700"/>
        <w:rPr>
          <w:rFonts w:ascii="宋体" w:hAnsi="宋体" w:cs="宋体"/>
          <w:color w:val="auto"/>
          <w:sz w:val="24"/>
          <w:highlight w:val="none"/>
        </w:rPr>
      </w:pPr>
      <w:r>
        <w:rPr>
          <w:rFonts w:hint="eastAsia" w:ascii="宋体" w:hAnsi="宋体" w:cs="宋体"/>
          <w:color w:val="auto"/>
          <w:sz w:val="24"/>
          <w:highlight w:val="none"/>
        </w:rPr>
        <w:t>年  月  日</w:t>
      </w:r>
      <w:bookmarkStart w:id="812" w:name="_Toc144974860"/>
      <w:bookmarkStart w:id="813" w:name="_Toc152042580"/>
      <w:bookmarkStart w:id="814" w:name="_Toc287367268"/>
      <w:bookmarkStart w:id="815" w:name="_Toc152045791"/>
    </w:p>
    <w:p w14:paraId="3FE9FDC3">
      <w:pPr>
        <w:pStyle w:val="168"/>
        <w:jc w:val="center"/>
        <w:rPr>
          <w:rFonts w:ascii="宋体" w:hAnsi="宋体" w:eastAsia="宋体"/>
          <w:b/>
          <w:color w:val="auto"/>
          <w:sz w:val="24"/>
          <w:highlight w:val="none"/>
        </w:rPr>
      </w:pPr>
      <w:bookmarkStart w:id="816" w:name="_Toc466298161"/>
      <w:bookmarkStart w:id="817" w:name="_Toc509667325"/>
      <w:r>
        <w:rPr>
          <w:rFonts w:hint="eastAsia" w:ascii="宋体" w:hAnsi="宋体" w:eastAsia="宋体"/>
          <w:b/>
          <w:color w:val="auto"/>
          <w:highlight w:val="none"/>
        </w:rPr>
        <w:br w:type="page"/>
      </w:r>
      <w:bookmarkStart w:id="818" w:name="_Toc15340"/>
      <w:r>
        <w:rPr>
          <w:rFonts w:hint="eastAsia" w:ascii="宋体" w:hAnsi="宋体" w:eastAsia="宋体"/>
          <w:b/>
          <w:color w:val="auto"/>
          <w:highlight w:val="none"/>
        </w:rPr>
        <w:t>二、</w:t>
      </w:r>
      <w:bookmarkEnd w:id="812"/>
      <w:bookmarkEnd w:id="813"/>
      <w:bookmarkEnd w:id="814"/>
      <w:bookmarkEnd w:id="815"/>
      <w:r>
        <w:rPr>
          <w:rFonts w:hint="eastAsia" w:ascii="宋体" w:hAnsi="宋体" w:eastAsia="宋体"/>
          <w:b/>
          <w:color w:val="auto"/>
          <w:highlight w:val="none"/>
        </w:rPr>
        <w:t>法定代表身份证明</w:t>
      </w:r>
      <w:bookmarkEnd w:id="816"/>
      <w:bookmarkEnd w:id="817"/>
      <w:bookmarkEnd w:id="818"/>
    </w:p>
    <w:p w14:paraId="05E8246A">
      <w:pPr>
        <w:spacing w:line="440" w:lineRule="exact"/>
        <w:jc w:val="center"/>
        <w:rPr>
          <w:rFonts w:ascii="宋体" w:hAnsi="宋体" w:cs="宋体"/>
          <w:color w:val="auto"/>
          <w:szCs w:val="21"/>
          <w:highlight w:val="none"/>
        </w:rPr>
      </w:pPr>
    </w:p>
    <w:p w14:paraId="3D67002F">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供应商名称：</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w:t>
      </w:r>
    </w:p>
    <w:p w14:paraId="7B636253">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单位性质：</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w:t>
      </w:r>
    </w:p>
    <w:p w14:paraId="709744B1">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地址：</w:t>
      </w:r>
      <w:r>
        <w:rPr>
          <w:rFonts w:hint="eastAsia" w:ascii="宋体" w:hAnsi="宋体" w:cs="宋体"/>
          <w:color w:val="auto"/>
          <w:sz w:val="24"/>
          <w:szCs w:val="21"/>
          <w:highlight w:val="none"/>
          <w:u w:val="single"/>
        </w:rPr>
        <w:t xml:space="preserve">                                   </w:t>
      </w:r>
    </w:p>
    <w:p w14:paraId="1B954228">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成立时间：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月</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日</w:t>
      </w:r>
    </w:p>
    <w:p w14:paraId="142F0AF6">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经营期限：</w:t>
      </w:r>
      <w:r>
        <w:rPr>
          <w:rFonts w:hint="eastAsia" w:ascii="宋体" w:hAnsi="宋体" w:cs="宋体"/>
          <w:color w:val="auto"/>
          <w:sz w:val="24"/>
          <w:szCs w:val="21"/>
          <w:highlight w:val="none"/>
          <w:u w:val="single"/>
        </w:rPr>
        <w:t xml:space="preserve">                               </w:t>
      </w:r>
    </w:p>
    <w:p w14:paraId="161A1AC8">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姓名：</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性别：</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年龄：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职务：</w:t>
      </w:r>
      <w:r>
        <w:rPr>
          <w:rFonts w:hint="eastAsia" w:ascii="宋体" w:hAnsi="宋体" w:cs="宋体"/>
          <w:color w:val="auto"/>
          <w:sz w:val="24"/>
          <w:szCs w:val="21"/>
          <w:highlight w:val="none"/>
          <w:u w:val="single"/>
        </w:rPr>
        <w:t xml:space="preserve">        </w:t>
      </w:r>
    </w:p>
    <w:p w14:paraId="3AD1C1B5">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系</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（供应商名称）的法定代表人。</w:t>
      </w:r>
    </w:p>
    <w:p w14:paraId="093B4178">
      <w:pPr>
        <w:spacing w:line="440" w:lineRule="exact"/>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特此证明。</w:t>
      </w:r>
    </w:p>
    <w:p w14:paraId="0BD731AA">
      <w:pPr>
        <w:spacing w:line="440" w:lineRule="exact"/>
        <w:rPr>
          <w:rFonts w:ascii="宋体" w:hAnsi="宋体" w:cs="宋体"/>
          <w:color w:val="auto"/>
          <w:sz w:val="24"/>
          <w:szCs w:val="21"/>
          <w:highlight w:val="none"/>
        </w:rPr>
      </w:pPr>
    </w:p>
    <w:p w14:paraId="499EE725">
      <w:pPr>
        <w:spacing w:line="440" w:lineRule="exact"/>
        <w:rPr>
          <w:rFonts w:ascii="宋体" w:hAnsi="宋体" w:cs="宋体"/>
          <w:color w:val="auto"/>
          <w:sz w:val="24"/>
          <w:szCs w:val="21"/>
          <w:highlight w:val="none"/>
        </w:rPr>
      </w:pPr>
    </w:p>
    <w:p w14:paraId="12EC6CF3">
      <w:pPr>
        <w:spacing w:line="440" w:lineRule="exact"/>
        <w:jc w:val="right"/>
        <w:rPr>
          <w:rFonts w:ascii="宋体" w:hAnsi="宋体" w:cs="宋体"/>
          <w:color w:val="auto"/>
          <w:sz w:val="24"/>
          <w:szCs w:val="21"/>
          <w:highlight w:val="none"/>
        </w:rPr>
      </w:pPr>
      <w:r>
        <w:rPr>
          <w:rFonts w:hint="eastAsia" w:ascii="宋体" w:hAnsi="宋体" w:cs="宋体"/>
          <w:color w:val="auto"/>
          <w:sz w:val="24"/>
          <w:szCs w:val="21"/>
          <w:highlight w:val="none"/>
        </w:rPr>
        <w:t xml:space="preserve">                          供应商：</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（盖单位公章）</w:t>
      </w:r>
    </w:p>
    <w:p w14:paraId="26E8304C">
      <w:pPr>
        <w:spacing w:line="440" w:lineRule="exact"/>
        <w:jc w:val="right"/>
        <w:rPr>
          <w:rFonts w:ascii="宋体" w:hAnsi="宋体" w:cs="宋体"/>
          <w:color w:val="auto"/>
          <w:sz w:val="24"/>
          <w:szCs w:val="21"/>
          <w:highlight w:val="none"/>
        </w:rPr>
      </w:pP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月</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日 </w:t>
      </w:r>
    </w:p>
    <w:p w14:paraId="147D5974">
      <w:pPr>
        <w:spacing w:line="440" w:lineRule="exact"/>
        <w:rPr>
          <w:rFonts w:ascii="宋体" w:hAnsi="宋体" w:cs="宋体"/>
          <w:color w:val="auto"/>
          <w:szCs w:val="21"/>
          <w:highlight w:val="none"/>
        </w:rPr>
      </w:pPr>
    </w:p>
    <w:p w14:paraId="0F5215CB">
      <w:pPr>
        <w:spacing w:line="440" w:lineRule="exact"/>
        <w:rPr>
          <w:rFonts w:ascii="宋体" w:hAnsi="宋体" w:cs="宋体"/>
          <w:color w:val="auto"/>
          <w:szCs w:val="21"/>
          <w:highlight w:val="none"/>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1929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9" w:hRule="atLeast"/>
          <w:jc w:val="center"/>
        </w:trPr>
        <w:tc>
          <w:tcPr>
            <w:tcW w:w="8528" w:type="dxa"/>
            <w:vAlign w:val="center"/>
          </w:tcPr>
          <w:p w14:paraId="39557057">
            <w:pPr>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法定代表人身份证原件扫描件</w:t>
            </w:r>
          </w:p>
          <w:p w14:paraId="5BB4483A">
            <w:pPr>
              <w:spacing w:line="440" w:lineRule="exact"/>
              <w:jc w:val="center"/>
              <w:rPr>
                <w:rFonts w:ascii="宋体" w:hAnsi="宋体" w:cs="宋体"/>
                <w:color w:val="auto"/>
                <w:szCs w:val="21"/>
                <w:highlight w:val="none"/>
              </w:rPr>
            </w:pPr>
          </w:p>
        </w:tc>
      </w:tr>
    </w:tbl>
    <w:p w14:paraId="5AE4A0E1">
      <w:pPr>
        <w:spacing w:line="440" w:lineRule="exact"/>
        <w:rPr>
          <w:rFonts w:ascii="宋体" w:hAnsi="宋体" w:cs="宋体"/>
          <w:color w:val="auto"/>
          <w:szCs w:val="21"/>
          <w:highlight w:val="none"/>
        </w:rPr>
      </w:pPr>
    </w:p>
    <w:p w14:paraId="19D311AE">
      <w:pPr>
        <w:spacing w:line="440" w:lineRule="exact"/>
        <w:rPr>
          <w:rFonts w:ascii="宋体" w:hAnsi="宋体" w:cs="宋体"/>
          <w:color w:val="auto"/>
          <w:szCs w:val="21"/>
          <w:highlight w:val="none"/>
        </w:rPr>
      </w:pPr>
    </w:p>
    <w:p w14:paraId="7DC35606">
      <w:pPr>
        <w:spacing w:line="440" w:lineRule="exact"/>
        <w:rPr>
          <w:rFonts w:ascii="宋体" w:hAnsi="宋体" w:cs="宋体"/>
          <w:color w:val="auto"/>
          <w:sz w:val="20"/>
          <w:szCs w:val="20"/>
          <w:highlight w:val="none"/>
        </w:rPr>
      </w:pPr>
    </w:p>
    <w:p w14:paraId="2CF0887F">
      <w:pPr>
        <w:spacing w:line="440" w:lineRule="exact"/>
        <w:rPr>
          <w:rFonts w:ascii="宋体" w:hAnsi="宋体" w:cs="宋体"/>
          <w:color w:val="auto"/>
          <w:sz w:val="20"/>
          <w:szCs w:val="20"/>
          <w:highlight w:val="none"/>
        </w:rPr>
      </w:pPr>
    </w:p>
    <w:p w14:paraId="6F41F20C">
      <w:pPr>
        <w:spacing w:line="440" w:lineRule="exact"/>
        <w:rPr>
          <w:rFonts w:ascii="宋体" w:hAnsi="宋体" w:cs="宋体"/>
          <w:color w:val="auto"/>
          <w:sz w:val="20"/>
          <w:szCs w:val="20"/>
          <w:highlight w:val="none"/>
        </w:rPr>
      </w:pPr>
    </w:p>
    <w:p w14:paraId="32DBC84F">
      <w:pPr>
        <w:spacing w:line="440" w:lineRule="exact"/>
        <w:rPr>
          <w:rFonts w:ascii="宋体" w:hAnsi="宋体" w:cs="宋体"/>
          <w:color w:val="auto"/>
          <w:sz w:val="20"/>
          <w:szCs w:val="20"/>
          <w:highlight w:val="none"/>
        </w:rPr>
      </w:pPr>
    </w:p>
    <w:p w14:paraId="1BDDBEAC">
      <w:pPr>
        <w:pStyle w:val="3"/>
        <w:numPr>
          <w:ilvl w:val="0"/>
          <w:numId w:val="0"/>
        </w:numPr>
        <w:jc w:val="center"/>
        <w:rPr>
          <w:rFonts w:ascii="宋体" w:hAnsi="宋体" w:eastAsia="宋体" w:cs="宋体"/>
          <w:color w:val="auto"/>
          <w:sz w:val="28"/>
          <w:highlight w:val="none"/>
        </w:rPr>
      </w:pPr>
      <w:bookmarkStart w:id="819" w:name="_Toc466298162"/>
      <w:bookmarkStart w:id="820" w:name="_Toc15207"/>
      <w:bookmarkStart w:id="821" w:name="_Toc202941490"/>
      <w:bookmarkStart w:id="822" w:name="_Toc441791190"/>
      <w:bookmarkStart w:id="823" w:name="_Toc509667326"/>
      <w:bookmarkStart w:id="824" w:name="_Toc318989765"/>
      <w:r>
        <w:rPr>
          <w:rFonts w:hint="eastAsia" w:ascii="宋体" w:hAnsi="宋体" w:eastAsia="宋体" w:cs="宋体"/>
          <w:color w:val="auto"/>
          <w:sz w:val="28"/>
          <w:highlight w:val="none"/>
        </w:rPr>
        <w:t>三、授权委托书</w:t>
      </w:r>
      <w:bookmarkEnd w:id="819"/>
      <w:bookmarkEnd w:id="820"/>
      <w:bookmarkEnd w:id="821"/>
      <w:bookmarkEnd w:id="822"/>
      <w:bookmarkEnd w:id="823"/>
      <w:bookmarkEnd w:id="824"/>
    </w:p>
    <w:p w14:paraId="3FFB4FFA">
      <w:pPr>
        <w:topLinePunct/>
        <w:spacing w:line="440" w:lineRule="exact"/>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本人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（姓名）系</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（供应商名称）的法定代表人，现委托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（姓名）为我方代理人。代理人根据授权，以我方名义签署、澄清、说明、补正、递交、撤回、修改</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（项目名称）响应文件、签订合同和处理有关事宜，其法律后果由我方承担。</w:t>
      </w:r>
    </w:p>
    <w:p w14:paraId="112A4879">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    委托期限：</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w:t>
      </w:r>
    </w:p>
    <w:p w14:paraId="15F3ED5A">
      <w:pPr>
        <w:spacing w:line="440" w:lineRule="exact"/>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代理人无转委托权。</w:t>
      </w:r>
    </w:p>
    <w:p w14:paraId="2E61F63F">
      <w:pPr>
        <w:spacing w:line="440" w:lineRule="exact"/>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附：法定代表人身份证及委托代理人身份证原件扫描件</w:t>
      </w:r>
    </w:p>
    <w:p w14:paraId="28AE9BA1">
      <w:pPr>
        <w:spacing w:line="440" w:lineRule="exact"/>
        <w:rPr>
          <w:rFonts w:ascii="宋体" w:hAnsi="宋体" w:cs="宋体"/>
          <w:color w:val="auto"/>
          <w:sz w:val="24"/>
          <w:szCs w:val="21"/>
          <w:highlight w:val="none"/>
        </w:rPr>
      </w:pPr>
    </w:p>
    <w:p w14:paraId="52682634">
      <w:pPr>
        <w:spacing w:line="440" w:lineRule="exact"/>
        <w:rPr>
          <w:rFonts w:ascii="宋体" w:hAnsi="宋体" w:cs="宋体"/>
          <w:color w:val="auto"/>
          <w:sz w:val="24"/>
          <w:szCs w:val="21"/>
          <w:highlight w:val="none"/>
        </w:rPr>
      </w:pPr>
    </w:p>
    <w:p w14:paraId="45E80675">
      <w:pPr>
        <w:spacing w:line="440" w:lineRule="exact"/>
        <w:rPr>
          <w:rFonts w:ascii="宋体" w:hAnsi="宋体" w:cs="宋体"/>
          <w:color w:val="auto"/>
          <w:sz w:val="24"/>
          <w:szCs w:val="21"/>
          <w:highlight w:val="none"/>
        </w:rPr>
      </w:pPr>
    </w:p>
    <w:p w14:paraId="066E5997">
      <w:pPr>
        <w:spacing w:line="440" w:lineRule="exact"/>
        <w:jc w:val="right"/>
        <w:rPr>
          <w:rFonts w:ascii="宋体" w:hAnsi="宋体" w:cs="宋体"/>
          <w:color w:val="auto"/>
          <w:sz w:val="24"/>
          <w:szCs w:val="21"/>
          <w:highlight w:val="none"/>
        </w:rPr>
      </w:pPr>
      <w:r>
        <w:rPr>
          <w:rFonts w:hint="eastAsia" w:ascii="宋体" w:hAnsi="宋体" w:cs="宋体"/>
          <w:color w:val="auto"/>
          <w:sz w:val="24"/>
          <w:szCs w:val="21"/>
          <w:highlight w:val="none"/>
        </w:rPr>
        <w:t xml:space="preserve">   供应商：</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（盖单位公章）</w:t>
      </w:r>
    </w:p>
    <w:p w14:paraId="70133E3A">
      <w:pPr>
        <w:spacing w:line="440" w:lineRule="exact"/>
        <w:jc w:val="right"/>
        <w:rPr>
          <w:rFonts w:ascii="宋体" w:hAnsi="宋体" w:cs="宋体"/>
          <w:color w:val="auto"/>
          <w:sz w:val="24"/>
          <w:szCs w:val="21"/>
          <w:highlight w:val="none"/>
        </w:rPr>
      </w:pPr>
      <w:r>
        <w:rPr>
          <w:rFonts w:hint="eastAsia" w:ascii="宋体" w:hAnsi="宋体" w:cs="宋体"/>
          <w:color w:val="auto"/>
          <w:sz w:val="24"/>
          <w:szCs w:val="21"/>
          <w:highlight w:val="none"/>
        </w:rPr>
        <w:t>法定代表人：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（签字或盖章）</w:t>
      </w:r>
    </w:p>
    <w:p w14:paraId="0D6309FD">
      <w:pPr>
        <w:spacing w:line="440" w:lineRule="exact"/>
        <w:jc w:val="right"/>
        <w:rPr>
          <w:rFonts w:ascii="宋体" w:hAnsi="宋体" w:cs="宋体"/>
          <w:color w:val="auto"/>
          <w:sz w:val="24"/>
          <w:szCs w:val="21"/>
          <w:highlight w:val="none"/>
        </w:rPr>
      </w:pPr>
      <w:r>
        <w:rPr>
          <w:rFonts w:hint="eastAsia" w:ascii="宋体" w:hAnsi="宋体" w:cs="宋体"/>
          <w:color w:val="auto"/>
          <w:sz w:val="24"/>
          <w:szCs w:val="21"/>
          <w:highlight w:val="none"/>
        </w:rPr>
        <w:t xml:space="preserve"> 身份证号码：</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w:t>
      </w:r>
    </w:p>
    <w:p w14:paraId="172FB800">
      <w:pPr>
        <w:spacing w:line="440" w:lineRule="exact"/>
        <w:jc w:val="right"/>
        <w:rPr>
          <w:rFonts w:ascii="宋体" w:hAnsi="宋体" w:cs="宋体"/>
          <w:color w:val="auto"/>
          <w:sz w:val="24"/>
          <w:szCs w:val="21"/>
          <w:highlight w:val="none"/>
        </w:rPr>
      </w:pPr>
      <w:r>
        <w:rPr>
          <w:rFonts w:hint="eastAsia" w:ascii="宋体" w:hAnsi="宋体" w:cs="宋体"/>
          <w:color w:val="auto"/>
          <w:sz w:val="24"/>
          <w:szCs w:val="21"/>
          <w:highlight w:val="none"/>
        </w:rPr>
        <w:t>委托代理人：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（签字）</w:t>
      </w:r>
    </w:p>
    <w:p w14:paraId="1C8AC8B9">
      <w:pPr>
        <w:spacing w:line="440" w:lineRule="exact"/>
        <w:ind w:firstLine="3240" w:firstLineChars="1350"/>
        <w:rPr>
          <w:rFonts w:ascii="宋体" w:hAnsi="宋体" w:cs="宋体"/>
          <w:color w:val="auto"/>
          <w:sz w:val="24"/>
          <w:szCs w:val="21"/>
          <w:highlight w:val="none"/>
          <w:u w:val="single"/>
        </w:rPr>
      </w:pPr>
      <w:r>
        <w:rPr>
          <w:rFonts w:hint="eastAsia" w:ascii="宋体" w:hAnsi="宋体" w:cs="宋体"/>
          <w:color w:val="auto"/>
          <w:sz w:val="24"/>
          <w:szCs w:val="21"/>
          <w:highlight w:val="none"/>
        </w:rPr>
        <w:t>身份证号码：</w:t>
      </w:r>
      <w:r>
        <w:rPr>
          <w:rFonts w:hint="eastAsia" w:ascii="宋体" w:hAnsi="宋体" w:cs="宋体"/>
          <w:color w:val="auto"/>
          <w:sz w:val="24"/>
          <w:szCs w:val="21"/>
          <w:highlight w:val="none"/>
          <w:u w:val="single"/>
        </w:rPr>
        <w:t xml:space="preserve">                                    </w:t>
      </w:r>
    </w:p>
    <w:p w14:paraId="5341DD1F">
      <w:pPr>
        <w:spacing w:line="440" w:lineRule="exact"/>
        <w:ind w:firstLine="3240" w:firstLineChars="1350"/>
        <w:rPr>
          <w:rFonts w:ascii="宋体" w:hAnsi="宋体" w:cs="宋体"/>
          <w:color w:val="auto"/>
          <w:sz w:val="24"/>
          <w:szCs w:val="21"/>
          <w:highlight w:val="none"/>
        </w:rPr>
      </w:pPr>
      <w:r>
        <w:rPr>
          <w:rFonts w:hint="eastAsia" w:ascii="宋体" w:hAnsi="宋体" w:cs="宋体"/>
          <w:color w:val="auto"/>
          <w:sz w:val="24"/>
          <w:szCs w:val="21"/>
          <w:highlight w:val="none"/>
        </w:rPr>
        <w:t>联系电话：</w:t>
      </w:r>
      <w:r>
        <w:rPr>
          <w:rFonts w:hint="eastAsia" w:ascii="宋体" w:hAnsi="宋体" w:cs="宋体"/>
          <w:color w:val="auto"/>
          <w:sz w:val="24"/>
          <w:szCs w:val="21"/>
          <w:highlight w:val="none"/>
          <w:u w:val="single"/>
        </w:rPr>
        <w:t xml:space="preserve">                                        </w:t>
      </w:r>
    </w:p>
    <w:p w14:paraId="48F5BF4B">
      <w:pPr>
        <w:spacing w:line="440" w:lineRule="exact"/>
        <w:jc w:val="right"/>
        <w:rPr>
          <w:rFonts w:ascii="宋体" w:hAnsi="宋体" w:cs="宋体"/>
          <w:color w:val="auto"/>
          <w:sz w:val="24"/>
          <w:szCs w:val="21"/>
          <w:highlight w:val="none"/>
        </w:rPr>
      </w:pP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月</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日</w:t>
      </w:r>
    </w:p>
    <w:p w14:paraId="4AFE83DB">
      <w:pPr>
        <w:spacing w:line="440" w:lineRule="exact"/>
        <w:rPr>
          <w:rFonts w:ascii="宋体" w:hAnsi="宋体" w:cs="宋体"/>
          <w:color w:val="auto"/>
          <w:szCs w:val="21"/>
          <w:highlight w:val="none"/>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0"/>
      </w:tblGrid>
      <w:tr w14:paraId="23BC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8600" w:type="dxa"/>
            <w:vAlign w:val="center"/>
          </w:tcPr>
          <w:p w14:paraId="26B26A25">
            <w:pPr>
              <w:spacing w:line="440" w:lineRule="exact"/>
              <w:jc w:val="center"/>
              <w:rPr>
                <w:rFonts w:ascii="宋体" w:hAnsi="宋体" w:cs="宋体"/>
                <w:color w:val="auto"/>
                <w:szCs w:val="21"/>
                <w:highlight w:val="none"/>
              </w:rPr>
            </w:pPr>
            <w:r>
              <w:rPr>
                <w:rFonts w:hint="eastAsia" w:ascii="宋体" w:hAnsi="宋体" w:cs="宋体"/>
                <w:color w:val="auto"/>
                <w:sz w:val="32"/>
                <w:szCs w:val="32"/>
                <w:highlight w:val="none"/>
              </w:rPr>
              <w:t>法定代表人身份证原件扫描件</w:t>
            </w:r>
          </w:p>
        </w:tc>
      </w:tr>
      <w:tr w14:paraId="6786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jc w:val="center"/>
        </w:trPr>
        <w:tc>
          <w:tcPr>
            <w:tcW w:w="8600" w:type="dxa"/>
            <w:vAlign w:val="center"/>
          </w:tcPr>
          <w:p w14:paraId="18004615">
            <w:pPr>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委托代理人身份证原件扫描件</w:t>
            </w:r>
          </w:p>
          <w:p w14:paraId="3B2AB448">
            <w:pPr>
              <w:spacing w:line="440" w:lineRule="exact"/>
              <w:jc w:val="center"/>
              <w:rPr>
                <w:rFonts w:ascii="宋体" w:hAnsi="宋体" w:cs="宋体"/>
                <w:color w:val="auto"/>
                <w:szCs w:val="21"/>
                <w:highlight w:val="none"/>
              </w:rPr>
            </w:pPr>
          </w:p>
        </w:tc>
      </w:tr>
    </w:tbl>
    <w:p w14:paraId="658CA85D">
      <w:pPr>
        <w:jc w:val="center"/>
        <w:rPr>
          <w:rFonts w:ascii="宋体" w:hAnsi="宋体" w:cs="宋体"/>
          <w:color w:val="auto"/>
          <w:szCs w:val="21"/>
          <w:highlight w:val="none"/>
        </w:rPr>
      </w:pPr>
      <w:r>
        <w:rPr>
          <w:rFonts w:hint="eastAsia" w:ascii="宋体" w:hAnsi="宋体" w:cs="宋体"/>
          <w:b/>
          <w:bCs/>
          <w:color w:val="auto"/>
          <w:sz w:val="28"/>
          <w:highlight w:val="none"/>
        </w:rPr>
        <w:br w:type="page"/>
      </w:r>
    </w:p>
    <w:p w14:paraId="243ED82F">
      <w:pPr>
        <w:jc w:val="center"/>
        <w:rPr>
          <w:rFonts w:ascii="宋体" w:hAnsi="宋体" w:cs="宋体"/>
          <w:color w:val="auto"/>
          <w:szCs w:val="21"/>
          <w:highlight w:val="none"/>
        </w:rPr>
      </w:pPr>
    </w:p>
    <w:p w14:paraId="5ED195F8">
      <w:pPr>
        <w:pStyle w:val="3"/>
        <w:numPr>
          <w:ilvl w:val="0"/>
          <w:numId w:val="0"/>
        </w:numPr>
        <w:jc w:val="center"/>
        <w:rPr>
          <w:rFonts w:ascii="宋体" w:hAnsi="宋体" w:eastAsia="宋体" w:cs="宋体"/>
          <w:color w:val="auto"/>
          <w:sz w:val="28"/>
          <w:highlight w:val="none"/>
        </w:rPr>
      </w:pPr>
      <w:bookmarkStart w:id="825" w:name="_Toc509667331"/>
      <w:bookmarkStart w:id="826" w:name="_Toc17506"/>
      <w:bookmarkStart w:id="827" w:name="_Toc18821"/>
      <w:bookmarkStart w:id="828" w:name="_Toc475624458"/>
      <w:r>
        <w:rPr>
          <w:rFonts w:hint="eastAsia" w:ascii="宋体" w:hAnsi="宋体" w:eastAsia="宋体" w:cs="宋体"/>
          <w:color w:val="auto"/>
          <w:sz w:val="28"/>
          <w:highlight w:val="none"/>
          <w:lang w:val="en-US" w:eastAsia="zh-CN"/>
        </w:rPr>
        <w:t>四</w:t>
      </w:r>
      <w:r>
        <w:rPr>
          <w:rFonts w:hint="eastAsia" w:ascii="宋体" w:hAnsi="宋体" w:eastAsia="宋体" w:cs="宋体"/>
          <w:color w:val="auto"/>
          <w:sz w:val="28"/>
          <w:highlight w:val="none"/>
        </w:rPr>
        <w:t>、资格审查资料</w:t>
      </w:r>
      <w:bookmarkEnd w:id="825"/>
      <w:bookmarkEnd w:id="826"/>
      <w:bookmarkEnd w:id="827"/>
      <w:bookmarkEnd w:id="828"/>
    </w:p>
    <w:p w14:paraId="2B3FD1EF">
      <w:pPr>
        <w:pStyle w:val="154"/>
        <w:jc w:val="center"/>
        <w:rPr>
          <w:rFonts w:ascii="宋体" w:hAnsi="宋体" w:eastAsia="宋体"/>
          <w:color w:val="auto"/>
          <w:szCs w:val="21"/>
          <w:highlight w:val="none"/>
        </w:rPr>
      </w:pPr>
      <w:bookmarkStart w:id="829" w:name="_Toc475341817"/>
      <w:bookmarkStart w:id="830" w:name="_Toc490667901"/>
      <w:bookmarkStart w:id="831" w:name="_Toc475624459"/>
      <w:bookmarkStart w:id="832" w:name="_Toc509667332"/>
      <w:r>
        <w:rPr>
          <w:rFonts w:hint="eastAsia" w:ascii="宋体" w:hAnsi="宋体" w:eastAsia="宋体"/>
          <w:color w:val="auto"/>
          <w:szCs w:val="21"/>
          <w:highlight w:val="none"/>
        </w:rPr>
        <w:t>（一）供应商基本情况表</w:t>
      </w:r>
      <w:bookmarkEnd w:id="829"/>
      <w:bookmarkEnd w:id="830"/>
      <w:bookmarkEnd w:id="831"/>
      <w:bookmarkEnd w:id="832"/>
    </w:p>
    <w:tbl>
      <w:tblPr>
        <w:tblStyle w:val="4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1113"/>
        <w:gridCol w:w="2731"/>
        <w:gridCol w:w="1366"/>
        <w:gridCol w:w="2613"/>
      </w:tblGrid>
      <w:tr w14:paraId="063C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2FE591AB">
            <w:pPr>
              <w:jc w:val="center"/>
              <w:rPr>
                <w:rFonts w:ascii="宋体" w:hAnsi="宋体" w:cs="宋体"/>
                <w:color w:val="auto"/>
                <w:sz w:val="22"/>
                <w:szCs w:val="21"/>
                <w:highlight w:val="none"/>
              </w:rPr>
            </w:pPr>
            <w:r>
              <w:rPr>
                <w:rFonts w:hint="eastAsia" w:ascii="宋体" w:hAnsi="宋体" w:cs="宋体"/>
                <w:color w:val="auto"/>
                <w:sz w:val="22"/>
                <w:szCs w:val="21"/>
                <w:highlight w:val="none"/>
              </w:rPr>
              <w:t>供应商名称</w:t>
            </w:r>
          </w:p>
        </w:tc>
        <w:tc>
          <w:tcPr>
            <w:tcW w:w="7823" w:type="dxa"/>
            <w:gridSpan w:val="4"/>
            <w:vAlign w:val="center"/>
          </w:tcPr>
          <w:p w14:paraId="16B7BA4E">
            <w:pPr>
              <w:jc w:val="center"/>
              <w:rPr>
                <w:rFonts w:ascii="宋体" w:hAnsi="宋体" w:cs="宋体"/>
                <w:color w:val="auto"/>
                <w:sz w:val="22"/>
                <w:szCs w:val="21"/>
                <w:highlight w:val="none"/>
              </w:rPr>
            </w:pPr>
          </w:p>
        </w:tc>
      </w:tr>
      <w:tr w14:paraId="37E15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4EAE6A9B">
            <w:pPr>
              <w:jc w:val="center"/>
              <w:rPr>
                <w:rFonts w:ascii="宋体" w:hAnsi="宋体" w:cs="宋体"/>
                <w:color w:val="auto"/>
                <w:sz w:val="22"/>
                <w:szCs w:val="21"/>
                <w:highlight w:val="none"/>
              </w:rPr>
            </w:pPr>
            <w:r>
              <w:rPr>
                <w:rFonts w:hint="eastAsia" w:ascii="宋体" w:hAnsi="宋体" w:cs="宋体"/>
                <w:color w:val="auto"/>
                <w:sz w:val="22"/>
                <w:szCs w:val="21"/>
                <w:highlight w:val="none"/>
              </w:rPr>
              <w:t>注册地址</w:t>
            </w:r>
          </w:p>
        </w:tc>
        <w:tc>
          <w:tcPr>
            <w:tcW w:w="3844" w:type="dxa"/>
            <w:gridSpan w:val="2"/>
            <w:vAlign w:val="center"/>
          </w:tcPr>
          <w:p w14:paraId="13655124">
            <w:pPr>
              <w:jc w:val="center"/>
              <w:rPr>
                <w:rFonts w:ascii="宋体" w:hAnsi="宋体" w:cs="宋体"/>
                <w:color w:val="auto"/>
                <w:sz w:val="22"/>
                <w:szCs w:val="21"/>
                <w:highlight w:val="none"/>
              </w:rPr>
            </w:pPr>
          </w:p>
        </w:tc>
        <w:tc>
          <w:tcPr>
            <w:tcW w:w="1366" w:type="dxa"/>
            <w:vAlign w:val="center"/>
          </w:tcPr>
          <w:p w14:paraId="58E7D90C">
            <w:pPr>
              <w:jc w:val="center"/>
              <w:rPr>
                <w:rFonts w:ascii="宋体" w:hAnsi="宋体" w:cs="宋体"/>
                <w:color w:val="auto"/>
                <w:sz w:val="22"/>
                <w:szCs w:val="21"/>
                <w:highlight w:val="none"/>
              </w:rPr>
            </w:pPr>
            <w:r>
              <w:rPr>
                <w:rFonts w:hint="eastAsia" w:ascii="宋体" w:hAnsi="宋体" w:cs="宋体"/>
                <w:color w:val="auto"/>
                <w:sz w:val="22"/>
                <w:szCs w:val="21"/>
                <w:highlight w:val="none"/>
              </w:rPr>
              <w:t>邮政编码</w:t>
            </w:r>
          </w:p>
        </w:tc>
        <w:tc>
          <w:tcPr>
            <w:tcW w:w="2613" w:type="dxa"/>
            <w:vAlign w:val="center"/>
          </w:tcPr>
          <w:p w14:paraId="505E7E19">
            <w:pPr>
              <w:jc w:val="center"/>
              <w:rPr>
                <w:rFonts w:ascii="宋体" w:hAnsi="宋体" w:cs="宋体"/>
                <w:color w:val="auto"/>
                <w:sz w:val="22"/>
                <w:szCs w:val="21"/>
                <w:highlight w:val="none"/>
              </w:rPr>
            </w:pPr>
          </w:p>
        </w:tc>
      </w:tr>
      <w:tr w14:paraId="11E0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Merge w:val="restart"/>
            <w:vAlign w:val="center"/>
          </w:tcPr>
          <w:p w14:paraId="6D757C3F">
            <w:pPr>
              <w:jc w:val="center"/>
              <w:rPr>
                <w:rFonts w:ascii="宋体" w:hAnsi="宋体" w:cs="宋体"/>
                <w:color w:val="auto"/>
                <w:sz w:val="22"/>
                <w:szCs w:val="21"/>
                <w:highlight w:val="none"/>
              </w:rPr>
            </w:pPr>
            <w:r>
              <w:rPr>
                <w:rFonts w:hint="eastAsia" w:ascii="宋体" w:hAnsi="宋体" w:cs="宋体"/>
                <w:color w:val="auto"/>
                <w:sz w:val="22"/>
                <w:szCs w:val="21"/>
                <w:highlight w:val="none"/>
              </w:rPr>
              <w:t>联系方式</w:t>
            </w:r>
          </w:p>
        </w:tc>
        <w:tc>
          <w:tcPr>
            <w:tcW w:w="1113" w:type="dxa"/>
            <w:vAlign w:val="center"/>
          </w:tcPr>
          <w:p w14:paraId="3152914E">
            <w:pPr>
              <w:jc w:val="center"/>
              <w:rPr>
                <w:rFonts w:ascii="宋体" w:hAnsi="宋体" w:cs="宋体"/>
                <w:color w:val="auto"/>
                <w:sz w:val="22"/>
                <w:szCs w:val="21"/>
                <w:highlight w:val="none"/>
              </w:rPr>
            </w:pPr>
            <w:r>
              <w:rPr>
                <w:rFonts w:hint="eastAsia" w:ascii="宋体" w:hAnsi="宋体" w:cs="宋体"/>
                <w:color w:val="auto"/>
                <w:sz w:val="22"/>
                <w:szCs w:val="21"/>
                <w:highlight w:val="none"/>
              </w:rPr>
              <w:t>联系人</w:t>
            </w:r>
          </w:p>
        </w:tc>
        <w:tc>
          <w:tcPr>
            <w:tcW w:w="2731" w:type="dxa"/>
            <w:vAlign w:val="center"/>
          </w:tcPr>
          <w:p w14:paraId="4F7A4BE3">
            <w:pPr>
              <w:jc w:val="center"/>
              <w:rPr>
                <w:rFonts w:ascii="宋体" w:hAnsi="宋体" w:cs="宋体"/>
                <w:color w:val="auto"/>
                <w:sz w:val="22"/>
                <w:szCs w:val="21"/>
                <w:highlight w:val="none"/>
              </w:rPr>
            </w:pPr>
          </w:p>
        </w:tc>
        <w:tc>
          <w:tcPr>
            <w:tcW w:w="1366" w:type="dxa"/>
            <w:vAlign w:val="center"/>
          </w:tcPr>
          <w:p w14:paraId="5B313C3A">
            <w:pPr>
              <w:jc w:val="center"/>
              <w:rPr>
                <w:rFonts w:ascii="宋体" w:hAnsi="宋体" w:cs="宋体"/>
                <w:color w:val="auto"/>
                <w:sz w:val="22"/>
                <w:szCs w:val="21"/>
                <w:highlight w:val="none"/>
              </w:rPr>
            </w:pPr>
            <w:r>
              <w:rPr>
                <w:rFonts w:hint="eastAsia" w:ascii="宋体" w:hAnsi="宋体" w:cs="宋体"/>
                <w:color w:val="auto"/>
                <w:sz w:val="22"/>
                <w:szCs w:val="21"/>
                <w:highlight w:val="none"/>
              </w:rPr>
              <w:t>电  话</w:t>
            </w:r>
          </w:p>
        </w:tc>
        <w:tc>
          <w:tcPr>
            <w:tcW w:w="2613" w:type="dxa"/>
            <w:vAlign w:val="center"/>
          </w:tcPr>
          <w:p w14:paraId="3E8DBDBF">
            <w:pPr>
              <w:jc w:val="center"/>
              <w:rPr>
                <w:rFonts w:ascii="宋体" w:hAnsi="宋体" w:cs="宋体"/>
                <w:color w:val="auto"/>
                <w:sz w:val="22"/>
                <w:szCs w:val="21"/>
                <w:highlight w:val="none"/>
              </w:rPr>
            </w:pPr>
          </w:p>
        </w:tc>
      </w:tr>
      <w:tr w14:paraId="7801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Merge w:val="continue"/>
            <w:vAlign w:val="center"/>
          </w:tcPr>
          <w:p w14:paraId="6A18B9DE">
            <w:pPr>
              <w:jc w:val="center"/>
              <w:rPr>
                <w:rFonts w:ascii="宋体" w:hAnsi="宋体" w:cs="宋体"/>
                <w:color w:val="auto"/>
                <w:sz w:val="22"/>
                <w:szCs w:val="21"/>
                <w:highlight w:val="none"/>
              </w:rPr>
            </w:pPr>
          </w:p>
        </w:tc>
        <w:tc>
          <w:tcPr>
            <w:tcW w:w="1113" w:type="dxa"/>
            <w:vAlign w:val="center"/>
          </w:tcPr>
          <w:p w14:paraId="2177DC1B">
            <w:pPr>
              <w:jc w:val="center"/>
              <w:rPr>
                <w:rFonts w:ascii="宋体" w:hAnsi="宋体" w:cs="宋体"/>
                <w:color w:val="auto"/>
                <w:sz w:val="22"/>
                <w:szCs w:val="21"/>
                <w:highlight w:val="none"/>
              </w:rPr>
            </w:pPr>
            <w:r>
              <w:rPr>
                <w:rFonts w:hint="eastAsia" w:ascii="宋体" w:hAnsi="宋体" w:cs="宋体"/>
                <w:color w:val="auto"/>
                <w:sz w:val="22"/>
                <w:szCs w:val="21"/>
                <w:highlight w:val="none"/>
              </w:rPr>
              <w:t>传  真</w:t>
            </w:r>
          </w:p>
        </w:tc>
        <w:tc>
          <w:tcPr>
            <w:tcW w:w="2731" w:type="dxa"/>
            <w:vAlign w:val="center"/>
          </w:tcPr>
          <w:p w14:paraId="4A29AEF3">
            <w:pPr>
              <w:jc w:val="center"/>
              <w:rPr>
                <w:rFonts w:ascii="宋体" w:hAnsi="宋体" w:cs="宋体"/>
                <w:color w:val="auto"/>
                <w:sz w:val="22"/>
                <w:szCs w:val="21"/>
                <w:highlight w:val="none"/>
              </w:rPr>
            </w:pPr>
          </w:p>
        </w:tc>
        <w:tc>
          <w:tcPr>
            <w:tcW w:w="1366" w:type="dxa"/>
            <w:vAlign w:val="center"/>
          </w:tcPr>
          <w:p w14:paraId="29E391FA">
            <w:pPr>
              <w:jc w:val="center"/>
              <w:rPr>
                <w:rFonts w:ascii="宋体" w:hAnsi="宋体" w:cs="宋体"/>
                <w:color w:val="auto"/>
                <w:sz w:val="22"/>
                <w:szCs w:val="21"/>
                <w:highlight w:val="none"/>
              </w:rPr>
            </w:pPr>
            <w:r>
              <w:rPr>
                <w:rFonts w:hint="eastAsia" w:ascii="宋体" w:hAnsi="宋体" w:cs="宋体"/>
                <w:color w:val="auto"/>
                <w:sz w:val="22"/>
                <w:szCs w:val="21"/>
                <w:highlight w:val="none"/>
              </w:rPr>
              <w:t>网  址</w:t>
            </w:r>
          </w:p>
        </w:tc>
        <w:tc>
          <w:tcPr>
            <w:tcW w:w="2613" w:type="dxa"/>
            <w:vAlign w:val="center"/>
          </w:tcPr>
          <w:p w14:paraId="3F7295FD">
            <w:pPr>
              <w:jc w:val="center"/>
              <w:rPr>
                <w:rFonts w:ascii="宋体" w:hAnsi="宋体" w:cs="宋体"/>
                <w:color w:val="auto"/>
                <w:sz w:val="22"/>
                <w:szCs w:val="21"/>
                <w:highlight w:val="none"/>
              </w:rPr>
            </w:pPr>
          </w:p>
        </w:tc>
      </w:tr>
      <w:tr w14:paraId="30EB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2B6119C6">
            <w:pPr>
              <w:jc w:val="center"/>
              <w:rPr>
                <w:rFonts w:ascii="宋体" w:hAnsi="宋体" w:cs="宋体"/>
                <w:color w:val="auto"/>
                <w:sz w:val="22"/>
                <w:szCs w:val="21"/>
                <w:highlight w:val="none"/>
              </w:rPr>
            </w:pPr>
            <w:r>
              <w:rPr>
                <w:rFonts w:hint="eastAsia" w:ascii="宋体" w:hAnsi="宋体" w:cs="宋体"/>
                <w:color w:val="auto"/>
                <w:sz w:val="22"/>
                <w:szCs w:val="21"/>
                <w:highlight w:val="none"/>
              </w:rPr>
              <w:t>法定代表人</w:t>
            </w:r>
          </w:p>
        </w:tc>
        <w:tc>
          <w:tcPr>
            <w:tcW w:w="1113" w:type="dxa"/>
            <w:vAlign w:val="center"/>
          </w:tcPr>
          <w:p w14:paraId="5D95822F">
            <w:pPr>
              <w:jc w:val="center"/>
              <w:rPr>
                <w:rFonts w:ascii="宋体" w:hAnsi="宋体" w:cs="宋体"/>
                <w:color w:val="auto"/>
                <w:sz w:val="22"/>
                <w:szCs w:val="21"/>
                <w:highlight w:val="none"/>
              </w:rPr>
            </w:pPr>
            <w:r>
              <w:rPr>
                <w:rFonts w:hint="eastAsia" w:ascii="宋体" w:hAnsi="宋体" w:cs="宋体"/>
                <w:color w:val="auto"/>
                <w:sz w:val="22"/>
                <w:szCs w:val="21"/>
                <w:highlight w:val="none"/>
              </w:rPr>
              <w:t>姓  名</w:t>
            </w:r>
          </w:p>
        </w:tc>
        <w:tc>
          <w:tcPr>
            <w:tcW w:w="2731" w:type="dxa"/>
            <w:vAlign w:val="center"/>
          </w:tcPr>
          <w:p w14:paraId="32F41844">
            <w:pPr>
              <w:jc w:val="center"/>
              <w:rPr>
                <w:rFonts w:ascii="宋体" w:hAnsi="宋体" w:cs="宋体"/>
                <w:color w:val="auto"/>
                <w:sz w:val="22"/>
                <w:szCs w:val="21"/>
                <w:highlight w:val="none"/>
              </w:rPr>
            </w:pPr>
          </w:p>
        </w:tc>
        <w:tc>
          <w:tcPr>
            <w:tcW w:w="1366" w:type="dxa"/>
            <w:vAlign w:val="center"/>
          </w:tcPr>
          <w:p w14:paraId="0172D323">
            <w:pPr>
              <w:jc w:val="center"/>
              <w:rPr>
                <w:rFonts w:ascii="宋体" w:hAnsi="宋体" w:cs="宋体"/>
                <w:color w:val="auto"/>
                <w:sz w:val="22"/>
                <w:szCs w:val="21"/>
                <w:highlight w:val="none"/>
              </w:rPr>
            </w:pPr>
            <w:r>
              <w:rPr>
                <w:rFonts w:hint="eastAsia" w:ascii="宋体" w:hAnsi="宋体" w:cs="宋体"/>
                <w:color w:val="auto"/>
                <w:sz w:val="22"/>
                <w:szCs w:val="21"/>
                <w:highlight w:val="none"/>
              </w:rPr>
              <w:t>电  话</w:t>
            </w:r>
          </w:p>
        </w:tc>
        <w:tc>
          <w:tcPr>
            <w:tcW w:w="2613" w:type="dxa"/>
            <w:vAlign w:val="center"/>
          </w:tcPr>
          <w:p w14:paraId="0293D71D">
            <w:pPr>
              <w:jc w:val="center"/>
              <w:rPr>
                <w:rFonts w:ascii="宋体" w:hAnsi="宋体" w:cs="宋体"/>
                <w:color w:val="auto"/>
                <w:sz w:val="22"/>
                <w:szCs w:val="21"/>
                <w:highlight w:val="none"/>
              </w:rPr>
            </w:pPr>
          </w:p>
        </w:tc>
      </w:tr>
      <w:tr w14:paraId="1B27C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3883384C">
            <w:pPr>
              <w:jc w:val="center"/>
              <w:rPr>
                <w:rFonts w:ascii="宋体" w:hAnsi="宋体" w:cs="宋体"/>
                <w:color w:val="auto"/>
                <w:sz w:val="22"/>
                <w:szCs w:val="21"/>
                <w:highlight w:val="none"/>
              </w:rPr>
            </w:pPr>
            <w:r>
              <w:rPr>
                <w:rFonts w:hint="eastAsia" w:ascii="宋体" w:hAnsi="宋体" w:cs="宋体"/>
                <w:color w:val="auto"/>
                <w:sz w:val="22"/>
                <w:szCs w:val="21"/>
                <w:highlight w:val="none"/>
              </w:rPr>
              <w:t>成立时间</w:t>
            </w:r>
          </w:p>
        </w:tc>
        <w:tc>
          <w:tcPr>
            <w:tcW w:w="3844" w:type="dxa"/>
            <w:gridSpan w:val="2"/>
            <w:vAlign w:val="center"/>
          </w:tcPr>
          <w:p w14:paraId="1536DA4E">
            <w:pPr>
              <w:jc w:val="center"/>
              <w:rPr>
                <w:rFonts w:ascii="宋体" w:hAnsi="宋体" w:cs="宋体"/>
                <w:color w:val="auto"/>
                <w:sz w:val="22"/>
                <w:szCs w:val="21"/>
                <w:highlight w:val="none"/>
              </w:rPr>
            </w:pPr>
          </w:p>
        </w:tc>
        <w:tc>
          <w:tcPr>
            <w:tcW w:w="3979" w:type="dxa"/>
            <w:gridSpan w:val="2"/>
            <w:vAlign w:val="center"/>
          </w:tcPr>
          <w:p w14:paraId="549A8B82">
            <w:pPr>
              <w:jc w:val="left"/>
              <w:rPr>
                <w:rFonts w:ascii="宋体" w:hAnsi="宋体" w:cs="宋体"/>
                <w:color w:val="auto"/>
                <w:sz w:val="22"/>
                <w:szCs w:val="21"/>
                <w:highlight w:val="none"/>
              </w:rPr>
            </w:pPr>
            <w:r>
              <w:rPr>
                <w:rFonts w:hint="eastAsia" w:ascii="宋体" w:hAnsi="宋体" w:cs="宋体"/>
                <w:color w:val="auto"/>
                <w:sz w:val="22"/>
                <w:szCs w:val="21"/>
                <w:highlight w:val="none"/>
              </w:rPr>
              <w:t>员工总人数：</w:t>
            </w:r>
          </w:p>
        </w:tc>
      </w:tr>
      <w:tr w14:paraId="01A5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4AE53056">
            <w:pPr>
              <w:jc w:val="center"/>
              <w:rPr>
                <w:rFonts w:ascii="宋体" w:hAnsi="宋体" w:cs="宋体"/>
                <w:color w:val="auto"/>
                <w:sz w:val="22"/>
                <w:szCs w:val="21"/>
                <w:highlight w:val="none"/>
              </w:rPr>
            </w:pPr>
            <w:r>
              <w:rPr>
                <w:rFonts w:hint="eastAsia" w:ascii="宋体" w:hAnsi="宋体" w:cs="宋体"/>
                <w:color w:val="auto"/>
                <w:sz w:val="22"/>
                <w:szCs w:val="21"/>
                <w:highlight w:val="none"/>
              </w:rPr>
              <w:t>营业执照号</w:t>
            </w:r>
          </w:p>
        </w:tc>
        <w:tc>
          <w:tcPr>
            <w:tcW w:w="7823" w:type="dxa"/>
            <w:gridSpan w:val="4"/>
            <w:vAlign w:val="center"/>
          </w:tcPr>
          <w:p w14:paraId="4095B463">
            <w:pPr>
              <w:jc w:val="center"/>
              <w:rPr>
                <w:rFonts w:ascii="宋体" w:hAnsi="宋体" w:cs="宋体"/>
                <w:color w:val="auto"/>
                <w:sz w:val="22"/>
                <w:szCs w:val="21"/>
                <w:highlight w:val="none"/>
              </w:rPr>
            </w:pPr>
          </w:p>
        </w:tc>
      </w:tr>
      <w:tr w14:paraId="1B5F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48CBED9E">
            <w:pPr>
              <w:jc w:val="center"/>
              <w:rPr>
                <w:rFonts w:ascii="宋体" w:hAnsi="宋体" w:cs="宋体"/>
                <w:color w:val="auto"/>
                <w:sz w:val="22"/>
                <w:szCs w:val="21"/>
                <w:highlight w:val="none"/>
              </w:rPr>
            </w:pPr>
            <w:r>
              <w:rPr>
                <w:rFonts w:hint="eastAsia" w:ascii="宋体" w:hAnsi="宋体" w:cs="宋体"/>
                <w:color w:val="auto"/>
                <w:sz w:val="22"/>
                <w:szCs w:val="21"/>
                <w:highlight w:val="none"/>
              </w:rPr>
              <w:t>注册资金</w:t>
            </w:r>
          </w:p>
        </w:tc>
        <w:tc>
          <w:tcPr>
            <w:tcW w:w="7823" w:type="dxa"/>
            <w:gridSpan w:val="4"/>
            <w:vAlign w:val="center"/>
          </w:tcPr>
          <w:p w14:paraId="6A82C58C">
            <w:pPr>
              <w:jc w:val="center"/>
              <w:rPr>
                <w:rFonts w:ascii="宋体" w:hAnsi="宋体" w:cs="宋体"/>
                <w:color w:val="auto"/>
                <w:sz w:val="22"/>
                <w:szCs w:val="21"/>
                <w:highlight w:val="none"/>
              </w:rPr>
            </w:pPr>
          </w:p>
        </w:tc>
      </w:tr>
      <w:tr w14:paraId="2237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1E9EBD8C">
            <w:pPr>
              <w:jc w:val="center"/>
              <w:rPr>
                <w:rFonts w:ascii="宋体" w:hAnsi="宋体" w:cs="宋体"/>
                <w:color w:val="auto"/>
                <w:sz w:val="22"/>
                <w:szCs w:val="21"/>
                <w:highlight w:val="none"/>
              </w:rPr>
            </w:pPr>
            <w:r>
              <w:rPr>
                <w:rFonts w:hint="eastAsia" w:ascii="宋体" w:hAnsi="宋体" w:cs="宋体"/>
                <w:color w:val="auto"/>
                <w:sz w:val="22"/>
                <w:szCs w:val="21"/>
                <w:highlight w:val="none"/>
              </w:rPr>
              <w:t>开户银行</w:t>
            </w:r>
          </w:p>
        </w:tc>
        <w:tc>
          <w:tcPr>
            <w:tcW w:w="7823" w:type="dxa"/>
            <w:gridSpan w:val="4"/>
            <w:vAlign w:val="center"/>
          </w:tcPr>
          <w:p w14:paraId="21C3BA01">
            <w:pPr>
              <w:jc w:val="center"/>
              <w:rPr>
                <w:rFonts w:ascii="宋体" w:hAnsi="宋体" w:cs="宋体"/>
                <w:color w:val="auto"/>
                <w:sz w:val="22"/>
                <w:szCs w:val="21"/>
                <w:highlight w:val="none"/>
              </w:rPr>
            </w:pPr>
          </w:p>
        </w:tc>
      </w:tr>
      <w:tr w14:paraId="7C544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97" w:type="dxa"/>
            <w:vAlign w:val="center"/>
          </w:tcPr>
          <w:p w14:paraId="0A362C3E">
            <w:pPr>
              <w:jc w:val="center"/>
              <w:rPr>
                <w:rFonts w:ascii="宋体" w:hAnsi="宋体" w:cs="宋体"/>
                <w:color w:val="auto"/>
                <w:sz w:val="22"/>
                <w:szCs w:val="21"/>
                <w:highlight w:val="none"/>
              </w:rPr>
            </w:pPr>
            <w:r>
              <w:rPr>
                <w:rFonts w:hint="eastAsia" w:ascii="宋体" w:hAnsi="宋体" w:cs="宋体"/>
                <w:color w:val="auto"/>
                <w:sz w:val="22"/>
                <w:szCs w:val="21"/>
                <w:highlight w:val="none"/>
              </w:rPr>
              <w:t>账号</w:t>
            </w:r>
          </w:p>
        </w:tc>
        <w:tc>
          <w:tcPr>
            <w:tcW w:w="7823" w:type="dxa"/>
            <w:gridSpan w:val="4"/>
            <w:vAlign w:val="center"/>
          </w:tcPr>
          <w:p w14:paraId="094C8DAB">
            <w:pPr>
              <w:jc w:val="center"/>
              <w:rPr>
                <w:rFonts w:ascii="宋体" w:hAnsi="宋体" w:cs="宋体"/>
                <w:color w:val="auto"/>
                <w:sz w:val="22"/>
                <w:szCs w:val="21"/>
                <w:highlight w:val="none"/>
              </w:rPr>
            </w:pPr>
          </w:p>
        </w:tc>
      </w:tr>
      <w:tr w14:paraId="34E7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9" w:hRule="atLeast"/>
          <w:jc w:val="center"/>
        </w:trPr>
        <w:tc>
          <w:tcPr>
            <w:tcW w:w="1497" w:type="dxa"/>
            <w:vAlign w:val="center"/>
          </w:tcPr>
          <w:p w14:paraId="5E1BE479">
            <w:pPr>
              <w:jc w:val="center"/>
              <w:rPr>
                <w:rFonts w:ascii="宋体" w:hAnsi="宋体" w:cs="宋体"/>
                <w:color w:val="auto"/>
                <w:sz w:val="22"/>
                <w:szCs w:val="21"/>
                <w:highlight w:val="none"/>
              </w:rPr>
            </w:pPr>
            <w:r>
              <w:rPr>
                <w:rFonts w:hint="eastAsia" w:ascii="宋体" w:hAnsi="宋体" w:cs="宋体"/>
                <w:color w:val="auto"/>
                <w:sz w:val="22"/>
                <w:szCs w:val="21"/>
                <w:highlight w:val="none"/>
              </w:rPr>
              <w:t>经营范围</w:t>
            </w:r>
          </w:p>
        </w:tc>
        <w:tc>
          <w:tcPr>
            <w:tcW w:w="7823" w:type="dxa"/>
            <w:gridSpan w:val="4"/>
            <w:vAlign w:val="center"/>
          </w:tcPr>
          <w:p w14:paraId="71BBE061">
            <w:pPr>
              <w:jc w:val="center"/>
              <w:rPr>
                <w:rFonts w:ascii="宋体" w:hAnsi="宋体" w:cs="宋体"/>
                <w:color w:val="auto"/>
                <w:sz w:val="22"/>
                <w:szCs w:val="21"/>
                <w:highlight w:val="none"/>
              </w:rPr>
            </w:pPr>
          </w:p>
        </w:tc>
      </w:tr>
      <w:tr w14:paraId="411B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497" w:type="dxa"/>
            <w:vAlign w:val="center"/>
          </w:tcPr>
          <w:p w14:paraId="551330BF">
            <w:pPr>
              <w:jc w:val="center"/>
              <w:rPr>
                <w:rFonts w:ascii="宋体" w:hAnsi="宋体" w:cs="宋体"/>
                <w:color w:val="auto"/>
                <w:sz w:val="22"/>
                <w:szCs w:val="21"/>
                <w:highlight w:val="none"/>
              </w:rPr>
            </w:pPr>
            <w:r>
              <w:rPr>
                <w:rFonts w:hint="eastAsia" w:ascii="宋体" w:hAnsi="宋体" w:cs="宋体"/>
                <w:color w:val="auto"/>
                <w:sz w:val="22"/>
                <w:szCs w:val="21"/>
                <w:highlight w:val="none"/>
              </w:rPr>
              <w:t>备注</w:t>
            </w:r>
          </w:p>
        </w:tc>
        <w:tc>
          <w:tcPr>
            <w:tcW w:w="7823" w:type="dxa"/>
            <w:gridSpan w:val="4"/>
            <w:vAlign w:val="center"/>
          </w:tcPr>
          <w:p w14:paraId="1088BE82">
            <w:pPr>
              <w:jc w:val="center"/>
              <w:rPr>
                <w:rFonts w:ascii="宋体" w:hAnsi="宋体" w:cs="宋体"/>
                <w:color w:val="auto"/>
                <w:sz w:val="22"/>
                <w:szCs w:val="21"/>
                <w:highlight w:val="none"/>
              </w:rPr>
            </w:pPr>
          </w:p>
        </w:tc>
      </w:tr>
    </w:tbl>
    <w:p w14:paraId="18CBDF93">
      <w:pPr>
        <w:spacing w:line="440" w:lineRule="exact"/>
        <w:rPr>
          <w:rFonts w:ascii="宋体" w:hAnsi="宋体" w:cs="宋体"/>
          <w:color w:val="auto"/>
          <w:szCs w:val="21"/>
          <w:highlight w:val="none"/>
        </w:rPr>
        <w:sectPr>
          <w:footerReference r:id="rId12" w:type="default"/>
          <w:pgSz w:w="11906" w:h="16838"/>
          <w:pgMar w:top="1559" w:right="1531" w:bottom="1418" w:left="1554" w:header="57" w:footer="992" w:gutter="0"/>
          <w:cols w:space="720" w:num="1"/>
          <w:titlePg/>
          <w:docGrid w:linePitch="312" w:charSpace="0"/>
        </w:sectPr>
      </w:pPr>
      <w:r>
        <w:rPr>
          <w:rFonts w:hint="eastAsia" w:ascii="宋体" w:hAnsi="宋体" w:cs="宋体"/>
          <w:color w:val="auto"/>
          <w:szCs w:val="21"/>
          <w:highlight w:val="none"/>
        </w:rPr>
        <w:t>备注：本表后应附企业法人营业执照副本等资格要求的其他材料的原件扫描件。</w:t>
      </w:r>
    </w:p>
    <w:p w14:paraId="6F829B0B">
      <w:pPr>
        <w:pStyle w:val="154"/>
        <w:pageBreakBefore w:val="0"/>
        <w:widowControl w:val="0"/>
        <w:kinsoku/>
        <w:wordWrap/>
        <w:overflowPunct/>
        <w:topLinePunct w:val="0"/>
        <w:autoSpaceDE/>
        <w:autoSpaceDN/>
        <w:bidi w:val="0"/>
        <w:spacing w:line="360" w:lineRule="auto"/>
        <w:jc w:val="center"/>
        <w:rPr>
          <w:rFonts w:hint="eastAsia" w:ascii="宋体" w:hAnsi="宋体" w:eastAsia="宋体"/>
          <w:color w:val="auto"/>
          <w:szCs w:val="21"/>
          <w:highlight w:val="none"/>
        </w:rPr>
      </w:pP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二</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资格承诺声明函</w:t>
      </w:r>
    </w:p>
    <w:p w14:paraId="09FE1A6F">
      <w:pPr>
        <w:keepNext w:val="0"/>
        <w:keepLines w:val="0"/>
        <w:pageBreakBefore w:val="0"/>
        <w:widowControl w:val="0"/>
        <w:kinsoku/>
        <w:wordWrap/>
        <w:overflowPunct/>
        <w:topLinePunct w:val="0"/>
        <w:autoSpaceDE/>
        <w:autoSpaceDN/>
        <w:bidi w:val="0"/>
        <w:adjustRightInd w:val="0"/>
        <w:snapToGrid w:val="0"/>
        <w:spacing w:line="360" w:lineRule="auto"/>
        <w:contextualSpacing/>
        <w:textAlignment w:val="baseline"/>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single"/>
        </w:rPr>
        <w:t>致</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single"/>
        </w:rPr>
        <w:t>本项目采购单位</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none"/>
        </w:rPr>
        <w:t>：</w:t>
      </w:r>
    </w:p>
    <w:p w14:paraId="15C98B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u w:val="none"/>
        </w:rPr>
      </w:pPr>
      <w:r>
        <w:rPr>
          <w:rFonts w:hint="eastAsia" w:ascii="宋体" w:hAnsi="宋体" w:eastAsia="宋体" w:cs="宋体"/>
          <w:color w:val="auto"/>
          <w:sz w:val="24"/>
          <w:szCs w:val="24"/>
          <w:highlight w:val="none"/>
          <w:u w:val="none"/>
        </w:rPr>
        <w:t>我单位自愿参加本次政府采购活动，严格遵守《中华人民共和国政府采购法》及相关法律法规，依法诚信经营，</w:t>
      </w:r>
      <w:r>
        <w:rPr>
          <w:rFonts w:hint="eastAsia" w:ascii="宋体" w:hAnsi="宋体" w:eastAsia="宋体" w:cs="宋体"/>
          <w:color w:val="auto"/>
          <w:sz w:val="24"/>
          <w:szCs w:val="24"/>
          <w:highlight w:val="none"/>
          <w:u w:val="none"/>
          <w:lang w:eastAsia="zh-CN"/>
        </w:rPr>
        <w:t>依法</w:t>
      </w:r>
      <w:r>
        <w:rPr>
          <w:rFonts w:hint="eastAsia" w:ascii="宋体" w:hAnsi="宋体" w:eastAsia="宋体" w:cs="宋体"/>
          <w:color w:val="auto"/>
          <w:sz w:val="24"/>
          <w:szCs w:val="24"/>
          <w:highlight w:val="none"/>
          <w:u w:val="none"/>
        </w:rPr>
        <w:t>遵守本次政府采购活动的各项规定。我单位郑重承诺</w:t>
      </w:r>
      <w:r>
        <w:rPr>
          <w:rFonts w:hint="eastAsia" w:ascii="宋体" w:hAnsi="宋体" w:eastAsia="宋体" w:cs="宋体"/>
          <w:color w:val="auto"/>
          <w:kern w:val="0"/>
          <w:sz w:val="24"/>
          <w:szCs w:val="24"/>
          <w:highlight w:val="none"/>
          <w:u w:val="none"/>
        </w:rPr>
        <w:t>声明如下：</w:t>
      </w:r>
    </w:p>
    <w:p w14:paraId="6BDE8F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一、我单位全称为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，注册地点为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，统一社会信用代码为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，法定代表人（单位负责人）为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lang w:eastAsia="zh-CN"/>
        </w:rPr>
        <w:t>，联系方式为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none"/>
        </w:rPr>
        <w:t xml:space="preserve">。        </w:t>
      </w:r>
    </w:p>
    <w:p w14:paraId="694496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二、我单位具有独立承担民事责任的能力。</w:t>
      </w:r>
    </w:p>
    <w:p w14:paraId="1EE950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三、我单位具有良好的商业信誉和健全的财务会计制度。</w:t>
      </w:r>
    </w:p>
    <w:p w14:paraId="4F89A2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四、我单位具有履行合同所必需的设备和专业技术能力。</w:t>
      </w:r>
    </w:p>
    <w:p w14:paraId="1E6A04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五、我单位有依法缴纳税收和社会保障资金的良好记录。</w:t>
      </w:r>
    </w:p>
    <w:p w14:paraId="4C3B11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729552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七、我单位具备法律、行政法规规定的其他条件。</w:t>
      </w:r>
    </w:p>
    <w:p w14:paraId="3A5BAE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我单位保证上述声明的事项都是真实的，符合《中华人民共和国政府采购法》规定的供应商资格条件。如有弄虚作假，我单位愿意</w:t>
      </w:r>
      <w:r>
        <w:rPr>
          <w:rFonts w:hint="eastAsia" w:ascii="宋体" w:hAnsi="宋体" w:eastAsia="宋体" w:cs="宋体"/>
          <w:color w:val="auto"/>
          <w:kern w:val="0"/>
          <w:sz w:val="24"/>
          <w:szCs w:val="24"/>
          <w:highlight w:val="none"/>
          <w:lang w:eastAsia="zh-CN"/>
        </w:rPr>
        <w:t>按照“</w:t>
      </w:r>
      <w:r>
        <w:rPr>
          <w:rFonts w:hint="eastAsia" w:ascii="宋体" w:hAnsi="宋体" w:eastAsia="宋体" w:cs="宋体"/>
          <w:color w:val="auto"/>
          <w:sz w:val="24"/>
          <w:szCs w:val="24"/>
          <w:highlight w:val="none"/>
        </w:rPr>
        <w:t>提供虚假材料谋取中标、成交</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承担相应的法律责任，</w:t>
      </w:r>
      <w:r>
        <w:rPr>
          <w:rFonts w:hint="eastAsia" w:ascii="宋体" w:hAnsi="宋体" w:eastAsia="宋体" w:cs="宋体"/>
          <w:color w:val="auto"/>
          <w:kern w:val="0"/>
          <w:sz w:val="24"/>
          <w:szCs w:val="24"/>
          <w:highlight w:val="none"/>
          <w:lang w:eastAsia="zh-CN"/>
        </w:rPr>
        <w:t>同意</w:t>
      </w:r>
      <w:r>
        <w:rPr>
          <w:rFonts w:hint="eastAsia" w:ascii="宋体" w:hAnsi="宋体" w:eastAsia="宋体" w:cs="宋体"/>
          <w:color w:val="auto"/>
          <w:kern w:val="0"/>
          <w:sz w:val="24"/>
          <w:szCs w:val="24"/>
          <w:highlight w:val="none"/>
        </w:rPr>
        <w:t>将违背承诺行为作为失信行为记录到社会信用信息平台，并承担因此所造成的一切损失。</w:t>
      </w:r>
    </w:p>
    <w:p w14:paraId="2F035507">
      <w:pPr>
        <w:adjustRightInd w:val="0"/>
        <w:snapToGrid w:val="0"/>
        <w:spacing w:line="500" w:lineRule="exact"/>
        <w:ind w:firstLine="480" w:firstLineChars="200"/>
        <w:contextualSpacing/>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承诺单位（盖章）：</w:t>
      </w:r>
    </w:p>
    <w:p w14:paraId="366AE1AF">
      <w:pPr>
        <w:adjustRightInd w:val="0"/>
        <w:snapToGrid w:val="0"/>
        <w:spacing w:line="500" w:lineRule="exact"/>
        <w:ind w:firstLine="480" w:firstLineChars="200"/>
        <w:contextualSpacing/>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法定代表人或授权代表（签名或盖章）：</w:t>
      </w:r>
    </w:p>
    <w:p w14:paraId="6707F8A6">
      <w:pPr>
        <w:adjustRightInd w:val="0"/>
        <w:snapToGrid w:val="0"/>
        <w:spacing w:line="500" w:lineRule="exact"/>
        <w:ind w:firstLine="480" w:firstLineChars="200"/>
        <w:contextualSpacing/>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日期：    年   月   日</w:t>
      </w:r>
    </w:p>
    <w:p w14:paraId="3EEB5CF6">
      <w:pPr>
        <w:widowControl/>
        <w:jc w:val="left"/>
        <w:rPr>
          <w:color w:val="auto"/>
          <w:szCs w:val="21"/>
          <w:highlight w:val="none"/>
        </w:rPr>
      </w:pPr>
    </w:p>
    <w:p w14:paraId="375B5295">
      <w:pPr>
        <w:spacing w:line="400" w:lineRule="exact"/>
        <w:rPr>
          <w:rFonts w:ascii="Times New Roman" w:hAnsi="Times New Roman" w:eastAsia="仿宋_GB2312"/>
          <w:color w:val="auto"/>
          <w:sz w:val="24"/>
          <w:highlight w:val="none"/>
        </w:rPr>
      </w:pPr>
      <w:r>
        <w:rPr>
          <w:rFonts w:ascii="Times New Roman" w:hAnsi="Times New Roman" w:eastAsia="仿宋_GB2312"/>
          <w:color w:val="auto"/>
          <w:sz w:val="24"/>
          <w:highlight w:val="none"/>
        </w:rPr>
        <w:t>注：1.投标人须在投标文件中按此模板提供承诺函，未提供视为未实质性响应招标文件要求，按无效投标处理。</w:t>
      </w:r>
    </w:p>
    <w:p w14:paraId="45F61E04">
      <w:pPr>
        <w:pStyle w:val="179"/>
        <w:ind w:firstLine="480"/>
        <w:rPr>
          <w:color w:val="auto"/>
          <w:highlight w:val="none"/>
        </w:rPr>
      </w:pPr>
      <w:r>
        <w:rPr>
          <w:rFonts w:ascii="Times New Roman" w:hAnsi="Times New Roman" w:eastAsia="仿宋_GB2312"/>
          <w:color w:val="auto"/>
          <w:sz w:val="24"/>
          <w:highlight w:val="none"/>
        </w:rPr>
        <w:t>2.投标人的法定代表人或者授权代表的签字或盖章应真实、有效</w:t>
      </w:r>
      <w:r>
        <w:rPr>
          <w:rFonts w:hint="eastAsia" w:ascii="仿宋_GB2312" w:hAnsi="仿宋_GB2312" w:eastAsia="仿宋_GB2312" w:cs="仿宋_GB2312"/>
          <w:color w:val="auto"/>
          <w:sz w:val="32"/>
          <w:szCs w:val="32"/>
          <w:highlight w:val="none"/>
        </w:rPr>
        <w:t>。</w:t>
      </w:r>
    </w:p>
    <w:p w14:paraId="6B68511F">
      <w:pPr>
        <w:wordWrap w:val="0"/>
        <w:spacing w:line="360" w:lineRule="auto"/>
        <w:jc w:val="center"/>
        <w:outlineLvl w:val="2"/>
        <w:rPr>
          <w:rFonts w:ascii="宋体" w:hAnsi="宋体" w:cs="宋体"/>
          <w:b/>
          <w:bCs/>
          <w:color w:val="auto"/>
          <w:sz w:val="24"/>
          <w:highlight w:val="none"/>
        </w:rPr>
      </w:pPr>
      <w:r>
        <w:rPr>
          <w:rFonts w:hint="eastAsia"/>
          <w:color w:val="auto"/>
          <w:highlight w:val="none"/>
        </w:rPr>
        <w:br w:type="page"/>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）信誉要求</w:t>
      </w:r>
    </w:p>
    <w:p w14:paraId="5CD678FD">
      <w:pPr>
        <w:wordWrap w:val="0"/>
        <w:spacing w:line="360" w:lineRule="auto"/>
        <w:jc w:val="center"/>
        <w:outlineLvl w:val="2"/>
        <w:rPr>
          <w:rFonts w:ascii="宋体" w:hAnsi="宋体" w:cs="宋体"/>
          <w:b/>
          <w:bCs/>
          <w:color w:val="auto"/>
          <w:sz w:val="24"/>
          <w:highlight w:val="none"/>
        </w:rPr>
      </w:pPr>
      <w:r>
        <w:rPr>
          <w:rFonts w:hint="eastAsia"/>
          <w:color w:val="auto"/>
          <w:highlight w:val="none"/>
        </w:rPr>
        <w:br w:type="page"/>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）近年完成的类似项目</w:t>
      </w:r>
    </w:p>
    <w:p w14:paraId="084352DB">
      <w:pPr>
        <w:rPr>
          <w:color w:val="auto"/>
          <w:highlight w:val="none"/>
        </w:rPr>
      </w:pPr>
    </w:p>
    <w:tbl>
      <w:tblPr>
        <w:tblStyle w:val="47"/>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0"/>
        <w:gridCol w:w="6492"/>
      </w:tblGrid>
      <w:tr w14:paraId="5863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2620" w:type="dxa"/>
            <w:noWrap/>
            <w:vAlign w:val="center"/>
          </w:tcPr>
          <w:p w14:paraId="1398186E">
            <w:pPr>
              <w:topLinePunct/>
              <w:spacing w:line="360" w:lineRule="auto"/>
              <w:jc w:val="center"/>
              <w:rPr>
                <w:rFonts w:ascii="宋体" w:hAnsi="宋体"/>
                <w:color w:val="auto"/>
                <w:sz w:val="24"/>
                <w:highlight w:val="none"/>
              </w:rPr>
            </w:pPr>
            <w:r>
              <w:rPr>
                <w:rFonts w:hint="eastAsia" w:ascii="宋体" w:hAnsi="宋体"/>
                <w:color w:val="auto"/>
                <w:sz w:val="24"/>
                <w:highlight w:val="none"/>
              </w:rPr>
              <w:t>项目名称</w:t>
            </w:r>
          </w:p>
        </w:tc>
        <w:tc>
          <w:tcPr>
            <w:tcW w:w="6492" w:type="dxa"/>
            <w:noWrap/>
          </w:tcPr>
          <w:p w14:paraId="77302098">
            <w:pPr>
              <w:topLinePunct/>
              <w:spacing w:line="360" w:lineRule="auto"/>
              <w:rPr>
                <w:rFonts w:ascii="宋体" w:hAnsi="宋体"/>
                <w:color w:val="auto"/>
                <w:sz w:val="24"/>
                <w:highlight w:val="none"/>
              </w:rPr>
            </w:pPr>
          </w:p>
        </w:tc>
      </w:tr>
      <w:tr w14:paraId="21BA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2620" w:type="dxa"/>
            <w:noWrap/>
            <w:vAlign w:val="center"/>
          </w:tcPr>
          <w:p w14:paraId="38205A5D">
            <w:pPr>
              <w:topLinePunct/>
              <w:spacing w:line="360" w:lineRule="auto"/>
              <w:jc w:val="center"/>
              <w:rPr>
                <w:rFonts w:ascii="宋体" w:hAnsi="宋体"/>
                <w:color w:val="auto"/>
                <w:sz w:val="24"/>
                <w:highlight w:val="none"/>
              </w:rPr>
            </w:pPr>
            <w:r>
              <w:rPr>
                <w:rFonts w:hint="eastAsia" w:ascii="宋体" w:hAnsi="宋体"/>
                <w:color w:val="auto"/>
                <w:sz w:val="24"/>
                <w:highlight w:val="none"/>
              </w:rPr>
              <w:t>项目所在地</w:t>
            </w:r>
          </w:p>
        </w:tc>
        <w:tc>
          <w:tcPr>
            <w:tcW w:w="6492" w:type="dxa"/>
            <w:noWrap/>
          </w:tcPr>
          <w:p w14:paraId="54F1BB66">
            <w:pPr>
              <w:topLinePunct/>
              <w:spacing w:line="360" w:lineRule="auto"/>
              <w:rPr>
                <w:rFonts w:ascii="宋体" w:hAnsi="宋体"/>
                <w:color w:val="auto"/>
                <w:sz w:val="24"/>
                <w:highlight w:val="none"/>
              </w:rPr>
            </w:pPr>
          </w:p>
        </w:tc>
      </w:tr>
      <w:tr w14:paraId="0794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2620" w:type="dxa"/>
            <w:noWrap/>
            <w:vAlign w:val="center"/>
          </w:tcPr>
          <w:p w14:paraId="13F4E7D5">
            <w:pPr>
              <w:topLinePunct/>
              <w:spacing w:line="360" w:lineRule="auto"/>
              <w:jc w:val="center"/>
              <w:rPr>
                <w:rFonts w:ascii="宋体" w:hAnsi="宋体"/>
                <w:color w:val="auto"/>
                <w:sz w:val="24"/>
                <w:highlight w:val="none"/>
              </w:rPr>
            </w:pPr>
            <w:r>
              <w:rPr>
                <w:rFonts w:hint="eastAsia" w:ascii="宋体" w:hAnsi="宋体"/>
                <w:color w:val="auto"/>
                <w:sz w:val="24"/>
                <w:highlight w:val="none"/>
              </w:rPr>
              <w:t>采购人名称</w:t>
            </w:r>
          </w:p>
        </w:tc>
        <w:tc>
          <w:tcPr>
            <w:tcW w:w="6492" w:type="dxa"/>
            <w:noWrap/>
          </w:tcPr>
          <w:p w14:paraId="0CD7A16A">
            <w:pPr>
              <w:topLinePunct/>
              <w:spacing w:line="360" w:lineRule="auto"/>
              <w:rPr>
                <w:rFonts w:ascii="宋体" w:hAnsi="宋体"/>
                <w:color w:val="auto"/>
                <w:sz w:val="24"/>
                <w:highlight w:val="none"/>
              </w:rPr>
            </w:pPr>
          </w:p>
        </w:tc>
      </w:tr>
      <w:tr w14:paraId="2E11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2620" w:type="dxa"/>
            <w:noWrap/>
            <w:vAlign w:val="center"/>
          </w:tcPr>
          <w:p w14:paraId="72413865">
            <w:pPr>
              <w:topLinePunct/>
              <w:spacing w:line="360" w:lineRule="auto"/>
              <w:jc w:val="center"/>
              <w:rPr>
                <w:rFonts w:ascii="宋体" w:hAnsi="宋体"/>
                <w:color w:val="auto"/>
                <w:sz w:val="24"/>
                <w:highlight w:val="none"/>
              </w:rPr>
            </w:pPr>
            <w:r>
              <w:rPr>
                <w:rFonts w:hint="eastAsia" w:ascii="宋体" w:hAnsi="宋体"/>
                <w:color w:val="auto"/>
                <w:sz w:val="24"/>
                <w:highlight w:val="none"/>
              </w:rPr>
              <w:t>采购人地址</w:t>
            </w:r>
          </w:p>
        </w:tc>
        <w:tc>
          <w:tcPr>
            <w:tcW w:w="6492" w:type="dxa"/>
            <w:noWrap/>
          </w:tcPr>
          <w:p w14:paraId="14CF80FB">
            <w:pPr>
              <w:topLinePunct/>
              <w:spacing w:line="360" w:lineRule="auto"/>
              <w:rPr>
                <w:rFonts w:ascii="宋体" w:hAnsi="宋体"/>
                <w:color w:val="auto"/>
                <w:sz w:val="24"/>
                <w:highlight w:val="none"/>
              </w:rPr>
            </w:pPr>
          </w:p>
        </w:tc>
      </w:tr>
      <w:tr w14:paraId="2BF9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2620" w:type="dxa"/>
            <w:noWrap/>
            <w:vAlign w:val="center"/>
          </w:tcPr>
          <w:p w14:paraId="209C4525">
            <w:pPr>
              <w:topLinePunct/>
              <w:spacing w:line="360" w:lineRule="auto"/>
              <w:jc w:val="center"/>
              <w:rPr>
                <w:rFonts w:ascii="宋体" w:hAnsi="宋体"/>
                <w:color w:val="auto"/>
                <w:sz w:val="24"/>
                <w:highlight w:val="none"/>
              </w:rPr>
            </w:pPr>
            <w:r>
              <w:rPr>
                <w:rFonts w:hint="eastAsia" w:ascii="宋体" w:hAnsi="宋体"/>
                <w:color w:val="auto"/>
                <w:sz w:val="24"/>
                <w:highlight w:val="none"/>
              </w:rPr>
              <w:t>采购人电话</w:t>
            </w:r>
          </w:p>
        </w:tc>
        <w:tc>
          <w:tcPr>
            <w:tcW w:w="6492" w:type="dxa"/>
            <w:noWrap/>
          </w:tcPr>
          <w:p w14:paraId="75F66856">
            <w:pPr>
              <w:topLinePunct/>
              <w:spacing w:line="360" w:lineRule="auto"/>
              <w:rPr>
                <w:rFonts w:ascii="宋体" w:hAnsi="宋体"/>
                <w:color w:val="auto"/>
                <w:sz w:val="24"/>
                <w:highlight w:val="none"/>
              </w:rPr>
            </w:pPr>
          </w:p>
        </w:tc>
      </w:tr>
      <w:tr w14:paraId="7636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2620" w:type="dxa"/>
            <w:noWrap/>
            <w:vAlign w:val="center"/>
          </w:tcPr>
          <w:p w14:paraId="4DAB594D">
            <w:pPr>
              <w:topLinePunct/>
              <w:spacing w:line="360" w:lineRule="auto"/>
              <w:jc w:val="center"/>
              <w:rPr>
                <w:rFonts w:ascii="宋体" w:hAnsi="宋体"/>
                <w:color w:val="auto"/>
                <w:sz w:val="24"/>
                <w:highlight w:val="none"/>
              </w:rPr>
            </w:pPr>
            <w:r>
              <w:rPr>
                <w:rFonts w:hint="eastAsia" w:ascii="宋体" w:hAnsi="宋体"/>
                <w:color w:val="auto"/>
                <w:sz w:val="24"/>
                <w:highlight w:val="none"/>
              </w:rPr>
              <w:t>合同签订日期</w:t>
            </w:r>
          </w:p>
        </w:tc>
        <w:tc>
          <w:tcPr>
            <w:tcW w:w="6492" w:type="dxa"/>
            <w:noWrap/>
          </w:tcPr>
          <w:p w14:paraId="378309D7">
            <w:pPr>
              <w:topLinePunct/>
              <w:spacing w:line="360" w:lineRule="auto"/>
              <w:rPr>
                <w:rFonts w:ascii="宋体" w:hAnsi="宋体"/>
                <w:color w:val="auto"/>
                <w:sz w:val="24"/>
                <w:highlight w:val="none"/>
              </w:rPr>
            </w:pPr>
          </w:p>
        </w:tc>
      </w:tr>
      <w:tr w14:paraId="0AF13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2620" w:type="dxa"/>
            <w:noWrap/>
            <w:vAlign w:val="center"/>
          </w:tcPr>
          <w:p w14:paraId="7BC8A89E">
            <w:pPr>
              <w:topLinePunct/>
              <w:spacing w:line="360" w:lineRule="auto"/>
              <w:jc w:val="center"/>
              <w:rPr>
                <w:rFonts w:ascii="宋体" w:hAnsi="宋体"/>
                <w:color w:val="auto"/>
                <w:sz w:val="24"/>
                <w:highlight w:val="none"/>
              </w:rPr>
            </w:pPr>
            <w:r>
              <w:rPr>
                <w:rFonts w:hint="eastAsia" w:ascii="宋体" w:hAnsi="宋体"/>
                <w:color w:val="auto"/>
                <w:sz w:val="24"/>
                <w:highlight w:val="none"/>
                <w:lang w:val="en-US" w:eastAsia="zh-CN"/>
              </w:rPr>
              <w:t>完成</w:t>
            </w:r>
            <w:r>
              <w:rPr>
                <w:rFonts w:hint="eastAsia" w:ascii="宋体" w:hAnsi="宋体"/>
                <w:color w:val="auto"/>
                <w:sz w:val="24"/>
                <w:highlight w:val="none"/>
              </w:rPr>
              <w:t>日期</w:t>
            </w:r>
          </w:p>
        </w:tc>
        <w:tc>
          <w:tcPr>
            <w:tcW w:w="6492" w:type="dxa"/>
            <w:noWrap/>
          </w:tcPr>
          <w:p w14:paraId="43DEC5F7">
            <w:pPr>
              <w:topLinePunct/>
              <w:spacing w:line="360" w:lineRule="auto"/>
              <w:rPr>
                <w:rFonts w:ascii="宋体" w:hAnsi="宋体"/>
                <w:color w:val="auto"/>
                <w:sz w:val="24"/>
                <w:highlight w:val="none"/>
              </w:rPr>
            </w:pPr>
          </w:p>
        </w:tc>
      </w:tr>
      <w:tr w14:paraId="6C35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2620" w:type="dxa"/>
            <w:noWrap/>
            <w:vAlign w:val="center"/>
          </w:tcPr>
          <w:p w14:paraId="4054978B">
            <w:pPr>
              <w:topLinePunct/>
              <w:spacing w:line="360" w:lineRule="auto"/>
              <w:jc w:val="center"/>
              <w:rPr>
                <w:rFonts w:ascii="宋体" w:hAnsi="宋体"/>
                <w:color w:val="auto"/>
                <w:sz w:val="24"/>
                <w:highlight w:val="none"/>
              </w:rPr>
            </w:pPr>
            <w:r>
              <w:rPr>
                <w:rFonts w:hint="eastAsia" w:ascii="宋体" w:hAnsi="宋体"/>
                <w:color w:val="auto"/>
                <w:sz w:val="24"/>
                <w:highlight w:val="none"/>
                <w:lang w:val="en-US" w:eastAsia="zh-CN"/>
              </w:rPr>
              <w:t>项目内容</w:t>
            </w:r>
            <w:r>
              <w:rPr>
                <w:rFonts w:hint="eastAsia" w:ascii="宋体" w:hAnsi="宋体"/>
                <w:color w:val="auto"/>
                <w:sz w:val="24"/>
                <w:highlight w:val="none"/>
              </w:rPr>
              <w:t>描述</w:t>
            </w:r>
          </w:p>
        </w:tc>
        <w:tc>
          <w:tcPr>
            <w:tcW w:w="6492" w:type="dxa"/>
            <w:noWrap/>
          </w:tcPr>
          <w:p w14:paraId="3A4EA11F">
            <w:pPr>
              <w:topLinePunct/>
              <w:spacing w:line="360" w:lineRule="auto"/>
              <w:rPr>
                <w:rFonts w:ascii="宋体" w:hAnsi="宋体"/>
                <w:color w:val="auto"/>
                <w:sz w:val="24"/>
                <w:highlight w:val="none"/>
              </w:rPr>
            </w:pPr>
          </w:p>
          <w:p w14:paraId="3847E6E4">
            <w:pPr>
              <w:topLinePunct/>
              <w:spacing w:line="360" w:lineRule="auto"/>
              <w:rPr>
                <w:rFonts w:ascii="宋体" w:hAnsi="宋体"/>
                <w:color w:val="auto"/>
                <w:sz w:val="24"/>
                <w:highlight w:val="none"/>
              </w:rPr>
            </w:pPr>
          </w:p>
          <w:p w14:paraId="04F30A15">
            <w:pPr>
              <w:topLinePunct/>
              <w:spacing w:line="360" w:lineRule="auto"/>
              <w:rPr>
                <w:rFonts w:ascii="宋体" w:hAnsi="宋体"/>
                <w:color w:val="auto"/>
                <w:sz w:val="24"/>
                <w:highlight w:val="none"/>
              </w:rPr>
            </w:pPr>
          </w:p>
          <w:p w14:paraId="3F3E4CF4">
            <w:pPr>
              <w:topLinePunct/>
              <w:spacing w:line="360" w:lineRule="auto"/>
              <w:rPr>
                <w:rFonts w:ascii="宋体" w:hAnsi="宋体"/>
                <w:color w:val="auto"/>
                <w:sz w:val="24"/>
                <w:highlight w:val="none"/>
              </w:rPr>
            </w:pPr>
          </w:p>
          <w:p w14:paraId="68D61FFF">
            <w:pPr>
              <w:topLinePunct/>
              <w:spacing w:line="360" w:lineRule="auto"/>
              <w:rPr>
                <w:rFonts w:ascii="宋体" w:hAnsi="宋体"/>
                <w:color w:val="auto"/>
                <w:sz w:val="24"/>
                <w:highlight w:val="none"/>
              </w:rPr>
            </w:pPr>
          </w:p>
        </w:tc>
      </w:tr>
      <w:tr w14:paraId="6792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2620" w:type="dxa"/>
            <w:noWrap/>
            <w:vAlign w:val="center"/>
          </w:tcPr>
          <w:p w14:paraId="53F70E4F">
            <w:pPr>
              <w:topLinePunct/>
              <w:spacing w:line="360" w:lineRule="auto"/>
              <w:jc w:val="center"/>
              <w:rPr>
                <w:rFonts w:ascii="宋体" w:hAnsi="宋体"/>
                <w:color w:val="auto"/>
                <w:sz w:val="24"/>
                <w:highlight w:val="none"/>
              </w:rPr>
            </w:pPr>
            <w:r>
              <w:rPr>
                <w:rFonts w:hint="eastAsia" w:ascii="宋体" w:hAnsi="宋体"/>
                <w:color w:val="auto"/>
                <w:sz w:val="24"/>
                <w:highlight w:val="none"/>
              </w:rPr>
              <w:t>备注</w:t>
            </w:r>
          </w:p>
        </w:tc>
        <w:tc>
          <w:tcPr>
            <w:tcW w:w="6492" w:type="dxa"/>
            <w:noWrap/>
          </w:tcPr>
          <w:p w14:paraId="3C27DDBF">
            <w:pPr>
              <w:topLinePunct/>
              <w:spacing w:line="360" w:lineRule="auto"/>
              <w:rPr>
                <w:rFonts w:ascii="宋体" w:hAnsi="宋体"/>
                <w:color w:val="auto"/>
                <w:sz w:val="24"/>
                <w:highlight w:val="none"/>
              </w:rPr>
            </w:pPr>
          </w:p>
        </w:tc>
      </w:tr>
    </w:tbl>
    <w:p w14:paraId="39E3807A">
      <w:pPr>
        <w:pStyle w:val="3"/>
        <w:rPr>
          <w:color w:val="auto"/>
          <w:highlight w:val="none"/>
        </w:rPr>
        <w:sectPr>
          <w:pgSz w:w="11906" w:h="16838"/>
          <w:pgMar w:top="1559" w:right="1531" w:bottom="1418" w:left="1554" w:header="57" w:footer="992" w:gutter="0"/>
          <w:cols w:space="720" w:num="1"/>
          <w:titlePg/>
          <w:docGrid w:linePitch="312" w:charSpace="0"/>
        </w:sectPr>
      </w:pPr>
    </w:p>
    <w:p w14:paraId="235466EB">
      <w:pPr>
        <w:pStyle w:val="3"/>
        <w:numPr>
          <w:ilvl w:val="0"/>
          <w:numId w:val="0"/>
        </w:numPr>
        <w:jc w:val="center"/>
        <w:rPr>
          <w:rFonts w:ascii="宋体" w:hAnsi="宋体" w:eastAsia="宋体" w:cs="宋体"/>
          <w:color w:val="auto"/>
          <w:sz w:val="28"/>
          <w:highlight w:val="none"/>
        </w:rPr>
      </w:pPr>
      <w:bookmarkStart w:id="833" w:name="_Toc31270"/>
      <w:bookmarkStart w:id="834" w:name="_Toc17188"/>
      <w:r>
        <w:rPr>
          <w:rFonts w:hint="eastAsia" w:ascii="宋体" w:hAnsi="宋体" w:eastAsia="宋体" w:cs="宋体"/>
          <w:color w:val="auto"/>
          <w:sz w:val="28"/>
          <w:highlight w:val="none"/>
          <w:lang w:val="en-US" w:eastAsia="zh-CN"/>
        </w:rPr>
        <w:t>五</w:t>
      </w:r>
      <w:r>
        <w:rPr>
          <w:rFonts w:hint="eastAsia" w:ascii="宋体" w:hAnsi="宋体" w:eastAsia="宋体" w:cs="宋体"/>
          <w:color w:val="auto"/>
          <w:sz w:val="28"/>
          <w:highlight w:val="none"/>
        </w:rPr>
        <w:t>、</w:t>
      </w:r>
      <w:r>
        <w:rPr>
          <w:rFonts w:hint="eastAsia" w:ascii="宋体" w:hAnsi="宋体" w:eastAsia="宋体" w:cs="宋体"/>
          <w:color w:val="auto"/>
          <w:sz w:val="28"/>
          <w:highlight w:val="none"/>
          <w:lang w:val="en-US" w:eastAsia="zh-CN"/>
        </w:rPr>
        <w:t>服务</w:t>
      </w:r>
      <w:r>
        <w:rPr>
          <w:rFonts w:hint="eastAsia" w:ascii="宋体" w:hAnsi="宋体" w:eastAsia="宋体" w:cs="宋体"/>
          <w:color w:val="auto"/>
          <w:sz w:val="28"/>
          <w:highlight w:val="none"/>
        </w:rPr>
        <w:t>方案</w:t>
      </w:r>
      <w:bookmarkEnd w:id="833"/>
      <w:bookmarkEnd w:id="834"/>
    </w:p>
    <w:p w14:paraId="47A1C5FE">
      <w:pPr>
        <w:jc w:val="center"/>
        <w:rPr>
          <w:color w:val="auto"/>
          <w:highlight w:val="none"/>
        </w:rPr>
        <w:sectPr>
          <w:pgSz w:w="11906" w:h="16838"/>
          <w:pgMar w:top="1559" w:right="1531" w:bottom="1418" w:left="1554" w:header="57" w:footer="992" w:gutter="0"/>
          <w:cols w:space="720" w:num="1"/>
          <w:titlePg/>
          <w:docGrid w:linePitch="312" w:charSpace="0"/>
        </w:sectPr>
      </w:pPr>
      <w:bookmarkStart w:id="835" w:name="_Toc12212"/>
      <w:bookmarkStart w:id="836" w:name="_Toc7147"/>
      <w:bookmarkStart w:id="837" w:name="_Toc21476"/>
      <w:r>
        <w:rPr>
          <w:rFonts w:hint="eastAsia" w:ascii="宋体" w:hAnsi="宋体" w:cs="宋体"/>
          <w:color w:val="auto"/>
          <w:sz w:val="28"/>
          <w:highlight w:val="none"/>
        </w:rPr>
        <w:t>（格式自拟）</w:t>
      </w:r>
      <w:bookmarkEnd w:id="835"/>
      <w:bookmarkEnd w:id="836"/>
      <w:bookmarkEnd w:id="837"/>
    </w:p>
    <w:p w14:paraId="38845BF0">
      <w:pPr>
        <w:pStyle w:val="3"/>
        <w:numPr>
          <w:ilvl w:val="0"/>
          <w:numId w:val="0"/>
        </w:numPr>
        <w:jc w:val="center"/>
        <w:rPr>
          <w:rFonts w:ascii="宋体" w:hAnsi="宋体" w:eastAsia="宋体" w:cs="宋体"/>
          <w:color w:val="auto"/>
          <w:sz w:val="28"/>
          <w:highlight w:val="none"/>
        </w:rPr>
      </w:pPr>
      <w:bookmarkStart w:id="838" w:name="_Toc509667338"/>
      <w:bookmarkStart w:id="839" w:name="_Toc20186"/>
      <w:bookmarkStart w:id="840" w:name="_Toc14632"/>
      <w:bookmarkStart w:id="841" w:name="_Toc30888"/>
      <w:bookmarkStart w:id="842" w:name="_Toc475624464"/>
      <w:r>
        <w:rPr>
          <w:rFonts w:hint="eastAsia" w:ascii="宋体" w:hAnsi="宋体" w:eastAsia="宋体" w:cs="宋体"/>
          <w:color w:val="auto"/>
          <w:sz w:val="28"/>
          <w:highlight w:val="none"/>
          <w:lang w:val="en-US" w:eastAsia="zh-CN"/>
        </w:rPr>
        <w:t>六</w:t>
      </w:r>
      <w:r>
        <w:rPr>
          <w:rFonts w:hint="eastAsia" w:ascii="宋体" w:hAnsi="宋体" w:eastAsia="宋体" w:cs="宋体"/>
          <w:color w:val="auto"/>
          <w:sz w:val="28"/>
          <w:highlight w:val="none"/>
        </w:rPr>
        <w:t>、其他材料</w:t>
      </w:r>
      <w:bookmarkEnd w:id="838"/>
      <w:bookmarkEnd w:id="839"/>
      <w:bookmarkEnd w:id="840"/>
      <w:bookmarkEnd w:id="841"/>
      <w:bookmarkEnd w:id="842"/>
    </w:p>
    <w:p w14:paraId="23E4F949">
      <w:pPr>
        <w:numPr>
          <w:ilvl w:val="0"/>
          <w:numId w:val="6"/>
        </w:numPr>
        <w:spacing w:line="480" w:lineRule="auto"/>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反商业贿赂承诺书</w:t>
      </w:r>
    </w:p>
    <w:p w14:paraId="22516446">
      <w:pPr>
        <w:spacing w:line="500" w:lineRule="exact"/>
        <w:rPr>
          <w:rFonts w:ascii="宋体" w:hAnsi="宋体" w:cs="宋体"/>
          <w:color w:val="auto"/>
          <w:kern w:val="0"/>
          <w:sz w:val="24"/>
          <w:highlight w:val="none"/>
        </w:rPr>
      </w:pPr>
      <w:r>
        <w:rPr>
          <w:rFonts w:hint="eastAsia" w:ascii="宋体" w:hAnsi="宋体" w:cs="宋体"/>
          <w:color w:val="auto"/>
          <w:kern w:val="0"/>
          <w:sz w:val="24"/>
          <w:highlight w:val="none"/>
        </w:rPr>
        <w:t>我公司承诺：</w:t>
      </w:r>
    </w:p>
    <w:p w14:paraId="28EA34D8">
      <w:pPr>
        <w:spacing w:line="500" w:lineRule="exact"/>
        <w:ind w:firstLine="555"/>
        <w:rPr>
          <w:rFonts w:ascii="宋体" w:hAnsi="宋体" w:cs="宋体"/>
          <w:color w:val="auto"/>
          <w:kern w:val="0"/>
          <w:sz w:val="24"/>
          <w:highlight w:val="none"/>
        </w:rPr>
      </w:pPr>
      <w:r>
        <w:rPr>
          <w:rFonts w:hint="eastAsia" w:ascii="宋体" w:hAnsi="宋体" w:cs="宋体"/>
          <w:color w:val="auto"/>
          <w:kern w:val="0"/>
          <w:sz w:val="24"/>
          <w:highlight w:val="none"/>
        </w:rPr>
        <w:t>在</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招标活动中，我公司保证做到：</w:t>
      </w:r>
    </w:p>
    <w:p w14:paraId="1516E494">
      <w:pPr>
        <w:spacing w:line="500" w:lineRule="exact"/>
        <w:ind w:firstLine="555"/>
        <w:rPr>
          <w:rFonts w:ascii="宋体" w:hAnsi="宋体" w:cs="宋体"/>
          <w:color w:val="auto"/>
          <w:kern w:val="0"/>
          <w:sz w:val="24"/>
          <w:highlight w:val="none"/>
        </w:rPr>
      </w:pPr>
      <w:r>
        <w:rPr>
          <w:rFonts w:hint="eastAsia" w:ascii="宋体" w:hAnsi="宋体" w:cs="宋体"/>
          <w:color w:val="auto"/>
          <w:kern w:val="0"/>
          <w:sz w:val="24"/>
          <w:highlight w:val="none"/>
        </w:rPr>
        <w:t>一、公平竞争参见本次招标活动。</w:t>
      </w:r>
    </w:p>
    <w:p w14:paraId="74E47A02">
      <w:pPr>
        <w:spacing w:line="500" w:lineRule="exact"/>
        <w:ind w:firstLine="555"/>
        <w:rPr>
          <w:rFonts w:ascii="宋体" w:hAnsi="宋体" w:cs="宋体"/>
          <w:color w:val="auto"/>
          <w:kern w:val="0"/>
          <w:sz w:val="24"/>
          <w:highlight w:val="none"/>
        </w:rPr>
      </w:pPr>
      <w:r>
        <w:rPr>
          <w:rFonts w:hint="eastAsia" w:ascii="宋体" w:hAnsi="宋体" w:cs="宋体"/>
          <w:color w:val="auto"/>
          <w:kern w:val="0"/>
          <w:sz w:val="24"/>
          <w:highlight w:val="none"/>
        </w:rPr>
        <w:t>二、杜绝任何形式的商业贿赂行为。不向国家工作人员、政府采购代理机构工作人员、评审专家及亲属提供礼品礼金、有价证券、购物券、回扣、佣金、咨询费、劳务费、资助费、宣传费、宴请；不为其报销各种消费凭证，不支付其旅游、娱乐等费用。</w:t>
      </w:r>
    </w:p>
    <w:p w14:paraId="77CD9380">
      <w:pPr>
        <w:spacing w:line="500" w:lineRule="exact"/>
        <w:ind w:firstLine="555"/>
        <w:rPr>
          <w:rFonts w:ascii="宋体" w:hAnsi="宋体" w:cs="宋体"/>
          <w:color w:val="auto"/>
          <w:kern w:val="0"/>
          <w:sz w:val="24"/>
          <w:highlight w:val="none"/>
        </w:rPr>
      </w:pPr>
      <w:r>
        <w:rPr>
          <w:rFonts w:hint="eastAsia" w:ascii="宋体" w:hAnsi="宋体" w:cs="宋体"/>
          <w:color w:val="auto"/>
          <w:kern w:val="0"/>
          <w:sz w:val="24"/>
          <w:highlight w:val="none"/>
        </w:rPr>
        <w:t>三、若出现上述行为，我公司及参与投标的工作人员愿意接受按照国家法律法规等有关规定给予的处罚。</w:t>
      </w:r>
    </w:p>
    <w:p w14:paraId="42EF1E9C">
      <w:pPr>
        <w:spacing w:line="500" w:lineRule="exact"/>
        <w:ind w:firstLine="555"/>
        <w:rPr>
          <w:rFonts w:ascii="宋体" w:hAnsi="宋体" w:cs="宋体"/>
          <w:color w:val="auto"/>
          <w:kern w:val="0"/>
          <w:sz w:val="24"/>
          <w:highlight w:val="none"/>
        </w:rPr>
      </w:pPr>
    </w:p>
    <w:p w14:paraId="6464C52D">
      <w:pPr>
        <w:spacing w:line="500" w:lineRule="exact"/>
        <w:ind w:firstLine="555"/>
        <w:rPr>
          <w:rFonts w:ascii="宋体" w:hAnsi="宋体" w:cs="宋体"/>
          <w:color w:val="auto"/>
          <w:kern w:val="0"/>
          <w:sz w:val="24"/>
          <w:highlight w:val="none"/>
        </w:rPr>
      </w:pPr>
    </w:p>
    <w:p w14:paraId="7D3268FB">
      <w:pPr>
        <w:spacing w:line="500" w:lineRule="exact"/>
        <w:ind w:firstLine="555"/>
        <w:rPr>
          <w:rFonts w:ascii="宋体" w:hAnsi="宋体" w:cs="宋体"/>
          <w:color w:val="auto"/>
          <w:kern w:val="0"/>
          <w:sz w:val="24"/>
          <w:highlight w:val="none"/>
        </w:rPr>
      </w:pPr>
      <w:r>
        <w:rPr>
          <w:rFonts w:hint="eastAsia" w:ascii="宋体" w:hAnsi="宋体" w:cs="宋体"/>
          <w:color w:val="auto"/>
          <w:kern w:val="0"/>
          <w:sz w:val="24"/>
          <w:highlight w:val="none"/>
        </w:rPr>
        <w:t>供应商：（盖单位章）</w:t>
      </w:r>
    </w:p>
    <w:p w14:paraId="0B40ADA6">
      <w:pPr>
        <w:spacing w:line="500" w:lineRule="exact"/>
        <w:ind w:firstLine="555"/>
        <w:rPr>
          <w:rFonts w:ascii="宋体" w:hAnsi="宋体" w:cs="宋体"/>
          <w:color w:val="auto"/>
          <w:kern w:val="0"/>
          <w:sz w:val="24"/>
          <w:highlight w:val="none"/>
        </w:rPr>
      </w:pPr>
      <w:r>
        <w:rPr>
          <w:rFonts w:hint="eastAsia" w:ascii="宋体" w:hAnsi="宋体" w:cs="宋体"/>
          <w:color w:val="auto"/>
          <w:sz w:val="24"/>
          <w:highlight w:val="none"/>
        </w:rPr>
        <w:t>法定代表人（单位负责人）或其委托代理人</w:t>
      </w:r>
      <w:r>
        <w:rPr>
          <w:rFonts w:hint="eastAsia" w:ascii="宋体" w:hAnsi="宋体" w:cs="宋体"/>
          <w:color w:val="auto"/>
          <w:kern w:val="0"/>
          <w:sz w:val="24"/>
          <w:highlight w:val="none"/>
        </w:rPr>
        <w:t>：（签字或盖章）</w:t>
      </w:r>
    </w:p>
    <w:p w14:paraId="109525CB">
      <w:pPr>
        <w:spacing w:line="500" w:lineRule="exact"/>
        <w:ind w:firstLine="555"/>
        <w:rPr>
          <w:rFonts w:ascii="宋体" w:hAnsi="宋体" w:cs="宋体"/>
          <w:color w:val="auto"/>
          <w:kern w:val="0"/>
          <w:sz w:val="24"/>
          <w:highlight w:val="none"/>
        </w:rPr>
      </w:pPr>
      <w:r>
        <w:rPr>
          <w:rFonts w:hint="eastAsia" w:ascii="宋体" w:hAnsi="宋体" w:cs="宋体"/>
          <w:color w:val="auto"/>
          <w:kern w:val="0"/>
          <w:sz w:val="24"/>
          <w:highlight w:val="none"/>
        </w:rPr>
        <w:t xml:space="preserve">  </w:t>
      </w:r>
    </w:p>
    <w:p w14:paraId="7C547897">
      <w:pPr>
        <w:spacing w:line="500" w:lineRule="exact"/>
        <w:ind w:firstLine="555"/>
        <w:rPr>
          <w:rFonts w:ascii="宋体" w:hAnsi="宋体" w:cs="宋体"/>
          <w:color w:val="auto"/>
          <w:kern w:val="0"/>
          <w:sz w:val="24"/>
          <w:highlight w:val="none"/>
        </w:rPr>
      </w:pPr>
      <w:r>
        <w:rPr>
          <w:rFonts w:hint="eastAsia" w:ascii="宋体" w:hAnsi="宋体" w:cs="宋体"/>
          <w:color w:val="auto"/>
          <w:kern w:val="0"/>
          <w:sz w:val="24"/>
          <w:highlight w:val="none"/>
        </w:rPr>
        <w:t xml:space="preserve">                                                年   月   日</w:t>
      </w:r>
    </w:p>
    <w:p w14:paraId="666F6542">
      <w:pPr>
        <w:numPr>
          <w:ilvl w:val="0"/>
          <w:numId w:val="6"/>
        </w:numPr>
        <w:spacing w:line="480" w:lineRule="auto"/>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售后服务承诺（格式自拟）</w:t>
      </w:r>
      <w:bookmarkStart w:id="843" w:name="_Toc341098399"/>
      <w:bookmarkStart w:id="844" w:name="_Toc305822482"/>
      <w:bookmarkStart w:id="845" w:name="_Toc341106712"/>
      <w:bookmarkStart w:id="846" w:name="_Toc380401445"/>
    </w:p>
    <w:p w14:paraId="3B055093">
      <w:pPr>
        <w:pStyle w:val="65"/>
        <w:rPr>
          <w:rFonts w:hAnsi="宋体"/>
          <w:b/>
          <w:bCs/>
          <w:color w:val="auto"/>
          <w:highlight w:val="none"/>
        </w:rPr>
      </w:pPr>
    </w:p>
    <w:p w14:paraId="20FC3B0E">
      <w:pPr>
        <w:pStyle w:val="37"/>
        <w:rPr>
          <w:rFonts w:ascii="宋体" w:hAnsi="宋体" w:cs="宋体"/>
          <w:b/>
          <w:bCs/>
          <w:color w:val="auto"/>
          <w:kern w:val="0"/>
          <w:sz w:val="24"/>
          <w:highlight w:val="none"/>
        </w:rPr>
      </w:pPr>
    </w:p>
    <w:p w14:paraId="65013C7D">
      <w:pPr>
        <w:pStyle w:val="37"/>
        <w:rPr>
          <w:rFonts w:ascii="宋体" w:hAnsi="宋体" w:cs="宋体"/>
          <w:b/>
          <w:bCs/>
          <w:color w:val="auto"/>
          <w:kern w:val="0"/>
          <w:sz w:val="24"/>
          <w:highlight w:val="none"/>
        </w:rPr>
      </w:pPr>
    </w:p>
    <w:p w14:paraId="6E8AEDB5">
      <w:pPr>
        <w:pStyle w:val="37"/>
        <w:rPr>
          <w:rFonts w:ascii="宋体" w:hAnsi="宋体" w:cs="宋体"/>
          <w:b/>
          <w:bCs/>
          <w:color w:val="auto"/>
          <w:kern w:val="0"/>
          <w:sz w:val="24"/>
          <w:highlight w:val="none"/>
        </w:rPr>
      </w:pPr>
    </w:p>
    <w:p w14:paraId="322145F1">
      <w:pPr>
        <w:pStyle w:val="37"/>
        <w:rPr>
          <w:rFonts w:ascii="宋体" w:hAnsi="宋体" w:cs="宋体"/>
          <w:b/>
          <w:bCs/>
          <w:color w:val="auto"/>
          <w:kern w:val="0"/>
          <w:sz w:val="24"/>
          <w:highlight w:val="none"/>
        </w:rPr>
      </w:pPr>
    </w:p>
    <w:p w14:paraId="428821A4">
      <w:pPr>
        <w:pStyle w:val="37"/>
        <w:rPr>
          <w:rFonts w:ascii="宋体" w:hAnsi="宋体" w:cs="宋体"/>
          <w:b/>
          <w:bCs/>
          <w:color w:val="auto"/>
          <w:kern w:val="0"/>
          <w:sz w:val="24"/>
          <w:highlight w:val="none"/>
        </w:rPr>
      </w:pPr>
    </w:p>
    <w:bookmarkEnd w:id="843"/>
    <w:bookmarkEnd w:id="844"/>
    <w:bookmarkEnd w:id="845"/>
    <w:bookmarkEnd w:id="846"/>
    <w:p w14:paraId="28E5E831">
      <w:pPr>
        <w:ind w:firstLine="2380" w:firstLineChars="850"/>
        <w:rPr>
          <w:rFonts w:ascii="宋体" w:hAnsi="宋体" w:cs="宋体"/>
          <w:color w:val="auto"/>
          <w:kern w:val="0"/>
          <w:sz w:val="28"/>
          <w:szCs w:val="28"/>
          <w:highlight w:val="none"/>
        </w:rPr>
      </w:pPr>
    </w:p>
    <w:p w14:paraId="63E47D2B">
      <w:pPr>
        <w:rPr>
          <w:rFonts w:ascii="宋体" w:hAnsi="宋体" w:cs="宋体"/>
          <w:b/>
          <w:bCs/>
          <w:color w:val="auto"/>
          <w:kern w:val="0"/>
          <w:sz w:val="24"/>
          <w:highlight w:val="none"/>
        </w:rPr>
      </w:pPr>
      <w:r>
        <w:rPr>
          <w:rFonts w:hint="eastAsia" w:ascii="宋体" w:hAnsi="宋体" w:cs="宋体"/>
          <w:b/>
          <w:bCs/>
          <w:color w:val="auto"/>
          <w:kern w:val="0"/>
          <w:sz w:val="24"/>
          <w:highlight w:val="none"/>
        </w:rPr>
        <w:t>3、根据竞争性磋商文件要求的，或供应商认为需要提交的资料（如有）</w:t>
      </w:r>
    </w:p>
    <w:p w14:paraId="054C2405">
      <w:pPr>
        <w:spacing w:line="460" w:lineRule="exact"/>
        <w:ind w:firstLine="480" w:firstLineChars="200"/>
        <w:jc w:val="left"/>
        <w:rPr>
          <w:rFonts w:ascii="宋体" w:hAnsi="宋体" w:cs="宋体"/>
          <w:color w:val="auto"/>
          <w:kern w:val="0"/>
          <w:sz w:val="24"/>
          <w:highlight w:val="none"/>
        </w:rPr>
        <w:sectPr>
          <w:headerReference r:id="rId13" w:type="default"/>
          <w:footerReference r:id="rId14" w:type="default"/>
          <w:pgSz w:w="11906" w:h="16838"/>
          <w:pgMar w:top="1440" w:right="1511" w:bottom="1440" w:left="1800" w:header="851" w:footer="992" w:gutter="0"/>
          <w:cols w:space="720" w:num="1"/>
          <w:docGrid w:type="lines" w:linePitch="312" w:charSpace="0"/>
        </w:sectPr>
      </w:pPr>
    </w:p>
    <w:p w14:paraId="24E94AB1">
      <w:pPr>
        <w:pStyle w:val="3"/>
        <w:numPr>
          <w:ilvl w:val="1"/>
          <w:numId w:val="0"/>
        </w:numPr>
        <w:tabs>
          <w:tab w:val="left" w:pos="420"/>
          <w:tab w:val="left" w:pos="840"/>
        </w:tabs>
        <w:spacing w:before="0" w:after="0" w:line="360" w:lineRule="auto"/>
        <w:ind w:leftChars="0"/>
        <w:jc w:val="both"/>
        <w:rPr>
          <w:rFonts w:hint="eastAsia" w:ascii="Times New Roman" w:hAnsi="Times New Roman" w:eastAsia="宋体"/>
          <w:color w:val="auto"/>
          <w:highlight w:val="none"/>
          <w:lang w:eastAsia="zh-CN"/>
        </w:rPr>
      </w:pPr>
      <w:bookmarkStart w:id="847" w:name="_Toc57835574"/>
      <w:bookmarkStart w:id="848" w:name="_Toc234919402"/>
      <w:bookmarkStart w:id="849" w:name="_Toc20493"/>
      <w:bookmarkStart w:id="850" w:name="_Toc248559960"/>
      <w:bookmarkStart w:id="851" w:name="_Toc30077"/>
      <w:bookmarkStart w:id="852" w:name="_Toc26852"/>
      <w:r>
        <w:rPr>
          <w:rFonts w:hint="eastAsia" w:ascii="宋体" w:hAnsi="宋体" w:eastAsia="宋体"/>
          <w:color w:val="auto"/>
          <w:highlight w:val="none"/>
          <w:lang w:val="en-US" w:eastAsia="zh-CN"/>
        </w:rPr>
        <w:t>七</w:t>
      </w:r>
      <w:r>
        <w:rPr>
          <w:rFonts w:hint="eastAsia" w:ascii="宋体" w:hAnsi="宋体" w:eastAsia="宋体"/>
          <w:color w:val="auto"/>
          <w:highlight w:val="none"/>
        </w:rPr>
        <w:t>、</w:t>
      </w:r>
      <w:bookmarkEnd w:id="847"/>
      <w:bookmarkEnd w:id="848"/>
      <w:bookmarkEnd w:id="849"/>
      <w:bookmarkEnd w:id="850"/>
      <w:r>
        <w:rPr>
          <w:rFonts w:hint="eastAsia" w:ascii="Times New Roman" w:hAnsi="Times New Roman" w:eastAsia="宋体"/>
          <w:color w:val="auto"/>
          <w:highlight w:val="none"/>
          <w:lang w:eastAsia="zh-CN"/>
        </w:rPr>
        <w:t>享有的政府采购优惠政策</w:t>
      </w:r>
      <w:bookmarkEnd w:id="851"/>
      <w:bookmarkEnd w:id="852"/>
    </w:p>
    <w:p w14:paraId="75F6A9D4">
      <w:pPr>
        <w:jc w:val="center"/>
        <w:rPr>
          <w:color w:val="auto"/>
          <w:sz w:val="24"/>
          <w:highlight w:val="none"/>
        </w:rPr>
      </w:pPr>
    </w:p>
    <w:p w14:paraId="2673724A">
      <w:pPr>
        <w:tabs>
          <w:tab w:val="left" w:pos="3600"/>
        </w:tabs>
        <w:adjustRightInd w:val="0"/>
        <w:snapToGrid w:val="0"/>
        <w:jc w:val="center"/>
        <w:rPr>
          <w:rFonts w:ascii="宋体" w:hAnsi="宋体" w:cs="宋体"/>
          <w:b/>
          <w:color w:val="auto"/>
          <w:kern w:val="0"/>
          <w:sz w:val="28"/>
          <w:szCs w:val="28"/>
          <w:highlight w:val="none"/>
        </w:rPr>
      </w:pPr>
      <w:r>
        <w:rPr>
          <w:rFonts w:hint="eastAsia" w:ascii="宋体" w:hAnsi="宋体" w:cs="宋体"/>
          <w:b/>
          <w:bCs/>
          <w:color w:val="auto"/>
          <w:spacing w:val="6"/>
          <w:kern w:val="0"/>
          <w:sz w:val="28"/>
          <w:szCs w:val="28"/>
          <w:highlight w:val="none"/>
        </w:rPr>
        <w:t>1、中小企业声明函</w:t>
      </w:r>
    </w:p>
    <w:p w14:paraId="199B057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本公司（联合体）郑重声明，根据《政府采购促进中小 企业发展管理办法》（财库﹝2020﹞46 号）的规定，本公司（联合体）参加</w:t>
      </w:r>
      <w:r>
        <w:rPr>
          <w:rFonts w:hint="eastAsia" w:ascii="宋体" w:hAnsi="宋体" w:eastAsia="宋体" w:cs="宋体"/>
          <w:i w:val="0"/>
          <w:iCs w:val="0"/>
          <w:color w:val="auto"/>
          <w:kern w:val="0"/>
          <w:sz w:val="21"/>
          <w:szCs w:val="21"/>
          <w:highlight w:val="none"/>
          <w:u w:val="single"/>
          <w:lang w:val="en-US" w:eastAsia="zh-CN" w:bidi="ar"/>
        </w:rPr>
        <w:t>（单位名称）</w:t>
      </w:r>
      <w:r>
        <w:rPr>
          <w:rFonts w:hint="eastAsia" w:ascii="宋体" w:hAnsi="宋体" w:eastAsia="宋体" w:cs="宋体"/>
          <w:i w:val="0"/>
          <w:iCs w:val="0"/>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u w:val="single"/>
          <w:lang w:val="en-US" w:eastAsia="zh-CN" w:bidi="ar"/>
        </w:rPr>
        <w:t>（项目名称）</w:t>
      </w:r>
      <w:r>
        <w:rPr>
          <w:rFonts w:hint="eastAsia" w:ascii="宋体" w:hAnsi="宋体" w:eastAsia="宋体" w:cs="宋体"/>
          <w:i w:val="0"/>
          <w:iCs w:val="0"/>
          <w:color w:val="auto"/>
          <w:kern w:val="0"/>
          <w:sz w:val="21"/>
          <w:szCs w:val="21"/>
          <w:highlight w:val="none"/>
          <w:lang w:val="en-US" w:eastAsia="zh-CN" w:bidi="ar"/>
        </w:rPr>
        <w:t>采购活动，服务全部由符合政策要求的中小企业承接。相关企业（含联合体中的中小企业、签订分包意向协议的中小企业）的具体情况如下：</w:t>
      </w:r>
    </w:p>
    <w:p w14:paraId="02D052B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u w:val="single"/>
          <w:lang w:val="en-US" w:eastAsia="zh-CN" w:bidi="ar"/>
        </w:rPr>
        <w:t xml:space="preserve">（标的名称） </w:t>
      </w:r>
      <w:r>
        <w:rPr>
          <w:rFonts w:hint="eastAsia" w:ascii="宋体" w:hAnsi="宋体" w:eastAsia="宋体" w:cs="宋体"/>
          <w:i w:val="0"/>
          <w:iCs w:val="0"/>
          <w:color w:val="auto"/>
          <w:kern w:val="0"/>
          <w:sz w:val="21"/>
          <w:szCs w:val="21"/>
          <w:highlight w:val="none"/>
          <w:lang w:val="en-US" w:eastAsia="zh-CN" w:bidi="ar"/>
        </w:rPr>
        <w:t>，属于</w:t>
      </w:r>
      <w:r>
        <w:rPr>
          <w:rFonts w:hint="eastAsia" w:ascii="宋体" w:hAnsi="宋体" w:eastAsia="宋体" w:cs="宋体"/>
          <w:i w:val="0"/>
          <w:iCs w:val="0"/>
          <w:color w:val="auto"/>
          <w:kern w:val="0"/>
          <w:sz w:val="21"/>
          <w:szCs w:val="21"/>
          <w:highlight w:val="none"/>
          <w:u w:val="single"/>
          <w:lang w:val="en-US" w:eastAsia="zh-CN" w:bidi="ar"/>
        </w:rPr>
        <w:t>（采购文件中明确的所属行业）</w:t>
      </w:r>
      <w:r>
        <w:rPr>
          <w:rFonts w:hint="eastAsia" w:ascii="宋体" w:hAnsi="宋体" w:eastAsia="宋体" w:cs="宋体"/>
          <w:i w:val="0"/>
          <w:iCs w:val="0"/>
          <w:color w:val="auto"/>
          <w:kern w:val="0"/>
          <w:sz w:val="21"/>
          <w:szCs w:val="21"/>
          <w:highlight w:val="none"/>
          <w:lang w:val="en-US" w:eastAsia="zh-CN" w:bidi="ar"/>
        </w:rPr>
        <w:t>； 承建（承接）企业为</w:t>
      </w:r>
      <w:r>
        <w:rPr>
          <w:rFonts w:hint="eastAsia" w:ascii="宋体" w:hAnsi="宋体" w:eastAsia="宋体" w:cs="宋体"/>
          <w:i w:val="0"/>
          <w:iCs w:val="0"/>
          <w:color w:val="auto"/>
          <w:kern w:val="0"/>
          <w:sz w:val="21"/>
          <w:szCs w:val="21"/>
          <w:highlight w:val="none"/>
          <w:u w:val="single"/>
          <w:lang w:val="en-US" w:eastAsia="zh-CN" w:bidi="ar"/>
        </w:rPr>
        <w:t>（企业名称）</w:t>
      </w:r>
      <w:r>
        <w:rPr>
          <w:rFonts w:hint="eastAsia" w:ascii="宋体" w:hAnsi="宋体" w:eastAsia="宋体" w:cs="宋体"/>
          <w:i w:val="0"/>
          <w:iCs w:val="0"/>
          <w:color w:val="auto"/>
          <w:kern w:val="0"/>
          <w:sz w:val="21"/>
          <w:szCs w:val="21"/>
          <w:highlight w:val="none"/>
          <w:lang w:val="en-US" w:eastAsia="zh-CN" w:bidi="ar"/>
        </w:rPr>
        <w:t>，从业人员</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人，营业收入为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万元，资产总额为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w:t>
      </w:r>
      <w:r>
        <w:rPr>
          <w:rFonts w:hint="eastAsia" w:ascii="宋体" w:hAnsi="宋体" w:eastAsia="宋体" w:cs="宋体"/>
          <w:color w:val="auto"/>
          <w:kern w:val="0"/>
          <w:sz w:val="21"/>
          <w:szCs w:val="21"/>
          <w:highlight w:val="none"/>
          <w:lang w:val="en-US" w:eastAsia="en-US" w:bidi="ar"/>
        </w:rPr>
        <w:t>①</w:t>
      </w:r>
      <w:r>
        <w:rPr>
          <w:rFonts w:hint="eastAsia" w:ascii="宋体" w:hAnsi="宋体" w:eastAsia="宋体" w:cs="宋体"/>
          <w:i w:val="0"/>
          <w:iCs w:val="0"/>
          <w:color w:val="auto"/>
          <w:kern w:val="0"/>
          <w:sz w:val="21"/>
          <w:szCs w:val="21"/>
          <w:highlight w:val="none"/>
          <w:lang w:val="en-US" w:eastAsia="zh-CN" w:bidi="ar"/>
        </w:rPr>
        <w:t>，属于</w:t>
      </w:r>
      <w:r>
        <w:rPr>
          <w:rFonts w:hint="eastAsia" w:ascii="宋体" w:hAnsi="宋体" w:eastAsia="宋体" w:cs="宋体"/>
          <w:i w:val="0"/>
          <w:iCs w:val="0"/>
          <w:color w:val="auto"/>
          <w:kern w:val="0"/>
          <w:sz w:val="21"/>
          <w:szCs w:val="21"/>
          <w:highlight w:val="none"/>
          <w:u w:val="single"/>
          <w:lang w:val="en-US" w:eastAsia="zh-CN" w:bidi="ar"/>
        </w:rPr>
        <w:t>（中型企业、 小型企业、微型企业）</w:t>
      </w:r>
      <w:r>
        <w:rPr>
          <w:rFonts w:hint="eastAsia" w:ascii="宋体" w:hAnsi="宋体" w:eastAsia="宋体" w:cs="宋体"/>
          <w:i w:val="0"/>
          <w:iCs w:val="0"/>
          <w:color w:val="auto"/>
          <w:kern w:val="0"/>
          <w:sz w:val="21"/>
          <w:szCs w:val="21"/>
          <w:highlight w:val="none"/>
          <w:lang w:val="en-US" w:eastAsia="zh-CN" w:bidi="ar"/>
        </w:rPr>
        <w:t xml:space="preserve">； </w:t>
      </w:r>
    </w:p>
    <w:p w14:paraId="5D51B87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u w:val="single"/>
          <w:lang w:val="en-US" w:eastAsia="zh-CN" w:bidi="ar"/>
        </w:rPr>
        <w:t xml:space="preserve">（标的名称） </w:t>
      </w:r>
      <w:r>
        <w:rPr>
          <w:rFonts w:hint="eastAsia" w:ascii="宋体" w:hAnsi="宋体" w:eastAsia="宋体" w:cs="宋体"/>
          <w:i w:val="0"/>
          <w:iCs w:val="0"/>
          <w:color w:val="auto"/>
          <w:kern w:val="0"/>
          <w:sz w:val="21"/>
          <w:szCs w:val="21"/>
          <w:highlight w:val="none"/>
          <w:lang w:val="en-US" w:eastAsia="zh-CN" w:bidi="ar"/>
        </w:rPr>
        <w:t>，属于</w:t>
      </w:r>
      <w:r>
        <w:rPr>
          <w:rFonts w:hint="eastAsia" w:ascii="宋体" w:hAnsi="宋体" w:eastAsia="宋体" w:cs="宋体"/>
          <w:i w:val="0"/>
          <w:iCs w:val="0"/>
          <w:color w:val="auto"/>
          <w:kern w:val="0"/>
          <w:sz w:val="21"/>
          <w:szCs w:val="21"/>
          <w:highlight w:val="none"/>
          <w:u w:val="single"/>
          <w:lang w:val="en-US" w:eastAsia="zh-CN" w:bidi="ar"/>
        </w:rPr>
        <w:t>（采购文件中明确的所属行业）</w:t>
      </w:r>
      <w:r>
        <w:rPr>
          <w:rFonts w:hint="eastAsia" w:ascii="宋体" w:hAnsi="宋体" w:eastAsia="宋体" w:cs="宋体"/>
          <w:i w:val="0"/>
          <w:iCs w:val="0"/>
          <w:color w:val="auto"/>
          <w:kern w:val="0"/>
          <w:sz w:val="21"/>
          <w:szCs w:val="21"/>
          <w:highlight w:val="none"/>
          <w:lang w:val="en-US" w:eastAsia="zh-CN" w:bidi="ar"/>
        </w:rPr>
        <w:t>； 承建（承接）企业为</w:t>
      </w:r>
      <w:r>
        <w:rPr>
          <w:rFonts w:hint="eastAsia" w:ascii="宋体" w:hAnsi="宋体" w:eastAsia="宋体" w:cs="宋体"/>
          <w:i w:val="0"/>
          <w:iCs w:val="0"/>
          <w:color w:val="auto"/>
          <w:kern w:val="0"/>
          <w:sz w:val="21"/>
          <w:szCs w:val="21"/>
          <w:highlight w:val="none"/>
          <w:u w:val="single"/>
          <w:lang w:val="en-US" w:eastAsia="zh-CN" w:bidi="ar"/>
        </w:rPr>
        <w:t>（企业名称）</w:t>
      </w:r>
      <w:r>
        <w:rPr>
          <w:rFonts w:hint="eastAsia" w:ascii="宋体" w:hAnsi="宋体" w:eastAsia="宋体" w:cs="宋体"/>
          <w:i w:val="0"/>
          <w:iCs w:val="0"/>
          <w:color w:val="auto"/>
          <w:kern w:val="0"/>
          <w:sz w:val="21"/>
          <w:szCs w:val="21"/>
          <w:highlight w:val="none"/>
          <w:lang w:val="en-US" w:eastAsia="zh-CN" w:bidi="ar"/>
        </w:rPr>
        <w:t>，从业人员</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人，营业收入为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万元，资产总额为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万元，属于</w:t>
      </w:r>
      <w:r>
        <w:rPr>
          <w:rFonts w:hint="eastAsia" w:ascii="宋体" w:hAnsi="宋体" w:eastAsia="宋体" w:cs="宋体"/>
          <w:i w:val="0"/>
          <w:iCs w:val="0"/>
          <w:color w:val="auto"/>
          <w:kern w:val="0"/>
          <w:sz w:val="21"/>
          <w:szCs w:val="21"/>
          <w:highlight w:val="none"/>
          <w:u w:val="single"/>
          <w:lang w:val="en-US" w:eastAsia="zh-CN" w:bidi="ar"/>
        </w:rPr>
        <w:t>（中型企业、 小型企业、微型企业）</w:t>
      </w:r>
      <w:r>
        <w:rPr>
          <w:rFonts w:hint="eastAsia" w:ascii="宋体" w:hAnsi="宋体" w:eastAsia="宋体" w:cs="宋体"/>
          <w:i w:val="0"/>
          <w:iCs w:val="0"/>
          <w:color w:val="auto"/>
          <w:kern w:val="0"/>
          <w:sz w:val="21"/>
          <w:szCs w:val="21"/>
          <w:highlight w:val="none"/>
          <w:lang w:val="en-US" w:eastAsia="zh-CN" w:bidi="ar"/>
        </w:rPr>
        <w:t xml:space="preserve">； </w:t>
      </w:r>
    </w:p>
    <w:p w14:paraId="235A0DC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w:t>
      </w:r>
    </w:p>
    <w:p w14:paraId="183124A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以上企业，不属于大企业的分支机构，不存在控股股东 为大企业的情形，也不存在与大企业的负责人为同一人的情形。</w:t>
      </w:r>
    </w:p>
    <w:p w14:paraId="4A89118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 xml:space="preserve">本企业对上述声明内容的真实性负责。如有虚假，将依法承担相应责任。 </w:t>
      </w:r>
    </w:p>
    <w:p w14:paraId="3E09BEBB">
      <w:pPr>
        <w:keepNext w:val="0"/>
        <w:keepLines w:val="0"/>
        <w:pageBreakBefore w:val="0"/>
        <w:widowControl/>
        <w:suppressLineNumbers w:val="0"/>
        <w:kinsoku/>
        <w:wordWrap/>
        <w:overflowPunct/>
        <w:topLinePunct w:val="0"/>
        <w:autoSpaceDE/>
        <w:autoSpaceDN/>
        <w:bidi w:val="0"/>
        <w:adjustRightInd/>
        <w:snapToGrid/>
        <w:spacing w:line="360" w:lineRule="auto"/>
        <w:ind w:firstLine="5040" w:firstLineChars="2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企业名称（盖章）： </w:t>
      </w:r>
    </w:p>
    <w:p w14:paraId="5EEF0E08">
      <w:pPr>
        <w:keepNext w:val="0"/>
        <w:keepLines w:val="0"/>
        <w:pageBreakBefore w:val="0"/>
        <w:widowControl/>
        <w:suppressLineNumbers w:val="0"/>
        <w:kinsoku/>
        <w:wordWrap/>
        <w:overflowPunct/>
        <w:topLinePunct w:val="0"/>
        <w:autoSpaceDE/>
        <w:autoSpaceDN/>
        <w:bidi w:val="0"/>
        <w:adjustRightInd/>
        <w:snapToGrid/>
        <w:spacing w:line="360" w:lineRule="auto"/>
        <w:ind w:firstLine="5040" w:firstLineChars="2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日 期： </w:t>
      </w:r>
    </w:p>
    <w:p w14:paraId="7BD747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注：</w:t>
      </w:r>
      <w:r>
        <w:rPr>
          <w:rFonts w:hint="eastAsia" w:ascii="宋体" w:hAnsi="宋体" w:eastAsia="宋体" w:cs="宋体"/>
          <w:color w:val="auto"/>
          <w:kern w:val="0"/>
          <w:sz w:val="21"/>
          <w:szCs w:val="21"/>
          <w:highlight w:val="none"/>
          <w:lang w:val="en-US" w:eastAsia="en-US" w:bidi="ar"/>
        </w:rPr>
        <w:t>①</w:t>
      </w:r>
      <w:r>
        <w:rPr>
          <w:rFonts w:hint="eastAsia" w:ascii="宋体" w:hAnsi="宋体" w:eastAsia="宋体" w:cs="宋体"/>
          <w:color w:val="auto"/>
          <w:kern w:val="0"/>
          <w:sz w:val="21"/>
          <w:szCs w:val="21"/>
          <w:highlight w:val="none"/>
          <w:lang w:val="en-US" w:eastAsia="zh-CN" w:bidi="ar"/>
        </w:rPr>
        <w:t>从业人员、营业收入、资产总额填报上一年度数据，无上一年度数据的新成立企业可不填报</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 xml:space="preserve"> </w:t>
      </w:r>
    </w:p>
    <w:p w14:paraId="1E12D43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color w:val="auto"/>
          <w:sz w:val="21"/>
          <w:szCs w:val="21"/>
          <w:highlight w:val="none"/>
          <w:lang w:val="en-US" w:eastAsia="en-US"/>
        </w:rPr>
        <w:t>②</w:t>
      </w:r>
      <w:r>
        <w:rPr>
          <w:rFonts w:hint="eastAsia" w:ascii="宋体" w:hAnsi="宋体" w:eastAsia="宋体" w:cs="宋体"/>
          <w:color w:val="auto"/>
          <w:kern w:val="0"/>
          <w:sz w:val="21"/>
          <w:szCs w:val="21"/>
          <w:highlight w:val="none"/>
          <w:lang w:val="en-US" w:eastAsia="zh-CN" w:bidi="ar"/>
        </w:rPr>
        <w:t xml:space="preserve">以联合体形式参加政府采购活动，联合体各方均为中小企业的，联合体视同中小企业。其中，联合体各方均为小微企业的，联合体视同小微企业。 </w:t>
      </w:r>
    </w:p>
    <w:p w14:paraId="48156068">
      <w:pPr>
        <w:pStyle w:val="20"/>
        <w:keepNext w:val="0"/>
        <w:keepLines w:val="0"/>
        <w:pageBreakBefore w:val="0"/>
        <w:widowControl w:val="0"/>
        <w:tabs>
          <w:tab w:val="left" w:pos="945"/>
          <w:tab w:val="left" w:pos="1155"/>
        </w:tabs>
        <w:kinsoku/>
        <w:wordWrap/>
        <w:overflowPunct/>
        <w:topLinePunct w:val="0"/>
        <w:autoSpaceDE/>
        <w:autoSpaceDN/>
        <w:bidi w:val="0"/>
        <w:adjustRightInd/>
        <w:snapToGrid/>
        <w:spacing w:after="0" w:afterLines="0" w:line="360" w:lineRule="auto"/>
        <w:ind w:left="0" w:leftChars="0" w:firstLine="420" w:firstLineChars="200"/>
        <w:textAlignment w:val="auto"/>
        <w:rPr>
          <w:rFonts w:hint="eastAsia" w:cs="宋体"/>
          <w:i w:val="0"/>
          <w:iCs w:val="0"/>
          <w:color w:val="auto"/>
          <w:kern w:val="0"/>
          <w:sz w:val="21"/>
          <w:szCs w:val="21"/>
          <w:highlight w:val="none"/>
          <w:lang w:val="en-US" w:eastAsia="zh-CN" w:bidi="ar"/>
        </w:rPr>
      </w:pPr>
      <w:r>
        <w:rPr>
          <w:rFonts w:hint="eastAsia"/>
          <w:i w:val="0"/>
          <w:iCs w:val="0"/>
          <w:color w:val="auto"/>
          <w:sz w:val="21"/>
          <w:szCs w:val="21"/>
          <w:highlight w:val="none"/>
          <w:lang w:val="en-US" w:eastAsia="en-US"/>
        </w:rPr>
        <w:t>③</w:t>
      </w:r>
      <w:r>
        <w:rPr>
          <w:rFonts w:hint="eastAsia" w:ascii="宋体" w:hAnsi="宋体" w:eastAsia="宋体" w:cs="宋体"/>
          <w:i w:val="0"/>
          <w:iCs w:val="0"/>
          <w:color w:val="auto"/>
          <w:kern w:val="0"/>
          <w:sz w:val="21"/>
          <w:szCs w:val="21"/>
          <w:highlight w:val="none"/>
          <w:lang w:val="en-US" w:eastAsia="zh-CN" w:bidi="ar"/>
        </w:rPr>
        <w:t>在政府采购活动中，供应商提供</w:t>
      </w:r>
      <w:r>
        <w:rPr>
          <w:rFonts w:hint="eastAsia" w:ascii="宋体" w:hAnsi="宋体" w:cs="宋体"/>
          <w:i w:val="0"/>
          <w:iCs w:val="0"/>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lang w:val="en-US" w:eastAsia="zh-CN" w:bidi="ar"/>
        </w:rPr>
        <w:t>服务由中小企业承接，即提供服务的人员为中小企业依照《中华人民共和国劳动</w:t>
      </w:r>
      <w:r>
        <w:rPr>
          <w:rFonts w:hint="eastAsia" w:cs="宋体"/>
          <w:i w:val="0"/>
          <w:iCs w:val="0"/>
          <w:color w:val="auto"/>
          <w:kern w:val="0"/>
          <w:sz w:val="21"/>
          <w:szCs w:val="21"/>
          <w:highlight w:val="none"/>
          <w:lang w:val="en-US" w:eastAsia="zh-CN" w:bidi="ar"/>
        </w:rPr>
        <w:t>合同法</w:t>
      </w:r>
      <w:r>
        <w:rPr>
          <w:rFonts w:hint="eastAsia" w:ascii="宋体" w:hAnsi="宋体" w:eastAsia="宋体" w:cs="宋体"/>
          <w:i w:val="0"/>
          <w:iCs w:val="0"/>
          <w:color w:val="auto"/>
          <w:kern w:val="0"/>
          <w:sz w:val="21"/>
          <w:szCs w:val="21"/>
          <w:highlight w:val="none"/>
          <w:lang w:val="en-US" w:eastAsia="zh-CN" w:bidi="ar"/>
        </w:rPr>
        <w:t>》订立劳动合同的从业人员</w:t>
      </w:r>
      <w:r>
        <w:rPr>
          <w:rFonts w:hint="eastAsia" w:cs="宋体"/>
          <w:i w:val="0"/>
          <w:iCs w:val="0"/>
          <w:color w:val="auto"/>
          <w:kern w:val="0"/>
          <w:sz w:val="21"/>
          <w:szCs w:val="21"/>
          <w:highlight w:val="none"/>
          <w:lang w:val="en-US" w:eastAsia="zh-CN" w:bidi="ar"/>
        </w:rPr>
        <w:t>。</w:t>
      </w:r>
    </w:p>
    <w:p w14:paraId="4E5F9283">
      <w:pPr>
        <w:pStyle w:val="20"/>
        <w:keepNext w:val="0"/>
        <w:keepLines w:val="0"/>
        <w:pageBreakBefore w:val="0"/>
        <w:widowControl w:val="0"/>
        <w:tabs>
          <w:tab w:val="left" w:pos="945"/>
          <w:tab w:val="left" w:pos="1155"/>
        </w:tabs>
        <w:kinsoku/>
        <w:wordWrap/>
        <w:overflowPunct/>
        <w:topLinePunct w:val="0"/>
        <w:autoSpaceDE/>
        <w:autoSpaceDN/>
        <w:bidi w:val="0"/>
        <w:adjustRightInd/>
        <w:snapToGrid/>
        <w:spacing w:after="0" w:afterLines="0" w:line="360" w:lineRule="auto"/>
        <w:ind w:left="0" w:leftChars="0" w:firstLine="420" w:firstLineChars="200"/>
        <w:textAlignment w:val="auto"/>
        <w:rPr>
          <w:rFonts w:hint="eastAsia"/>
          <w:color w:val="auto"/>
          <w:highlight w:val="none"/>
          <w:lang w:val="en-US" w:eastAsia="zh-CN"/>
        </w:rPr>
      </w:pPr>
      <w:r>
        <w:rPr>
          <w:rFonts w:hint="eastAsia"/>
          <w:i w:val="0"/>
          <w:iCs w:val="0"/>
          <w:color w:val="auto"/>
          <w:sz w:val="21"/>
          <w:szCs w:val="21"/>
          <w:highlight w:val="none"/>
          <w:lang w:val="en-US" w:eastAsia="en-US"/>
        </w:rPr>
        <w:t>③</w:t>
      </w:r>
      <w:r>
        <w:rPr>
          <w:rFonts w:hint="eastAsia" w:ascii="宋体" w:hAnsi="宋体" w:eastAsia="宋体" w:cs="宋体"/>
          <w:i w:val="0"/>
          <w:iCs w:val="0"/>
          <w:color w:val="auto"/>
          <w:kern w:val="0"/>
          <w:sz w:val="21"/>
          <w:szCs w:val="21"/>
          <w:highlight w:val="none"/>
          <w:lang w:val="en-US" w:eastAsia="zh-CN" w:bidi="ar"/>
        </w:rPr>
        <w:t>在政府采购活动中，供应商提供</w:t>
      </w:r>
      <w:r>
        <w:rPr>
          <w:rFonts w:hint="eastAsia" w:ascii="宋体" w:hAnsi="宋体" w:cs="宋体"/>
          <w:i w:val="0"/>
          <w:iCs w:val="0"/>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lang w:val="en-US" w:eastAsia="zh-CN" w:bidi="ar"/>
        </w:rPr>
        <w:t>服务由小微企业承接，即提供服务的人员为小微企业依照《中华人民共和国劳动</w:t>
      </w:r>
      <w:r>
        <w:rPr>
          <w:rFonts w:hint="eastAsia" w:cs="宋体"/>
          <w:i w:val="0"/>
          <w:iCs w:val="0"/>
          <w:color w:val="auto"/>
          <w:kern w:val="0"/>
          <w:sz w:val="21"/>
          <w:szCs w:val="21"/>
          <w:highlight w:val="none"/>
          <w:lang w:val="en-US" w:eastAsia="zh-CN" w:bidi="ar"/>
        </w:rPr>
        <w:t>合同法</w:t>
      </w:r>
      <w:r>
        <w:rPr>
          <w:rFonts w:hint="eastAsia" w:ascii="宋体" w:hAnsi="宋体" w:eastAsia="宋体" w:cs="宋体"/>
          <w:i w:val="0"/>
          <w:iCs w:val="0"/>
          <w:color w:val="auto"/>
          <w:kern w:val="0"/>
          <w:sz w:val="21"/>
          <w:szCs w:val="21"/>
          <w:highlight w:val="none"/>
          <w:lang w:val="en-US" w:eastAsia="zh-CN" w:bidi="ar"/>
        </w:rPr>
        <w:t>》订立劳动合同的从业人员的，</w:t>
      </w:r>
      <w:r>
        <w:rPr>
          <w:rFonts w:hint="eastAsia" w:ascii="Times New Roman" w:hAnsi="Times New Roman" w:eastAsia="宋体" w:cs="Times New Roman"/>
          <w:color w:val="auto"/>
          <w:sz w:val="21"/>
          <w:szCs w:val="21"/>
          <w:highlight w:val="none"/>
          <w:lang w:val="en-US" w:eastAsia="zh-CN"/>
        </w:rPr>
        <w:t>才能享受《政府采购促进中小企业发展管理办法》规定的价格扣减</w:t>
      </w:r>
      <w:r>
        <w:rPr>
          <w:rFonts w:hint="eastAsia" w:cs="宋体"/>
          <w:i w:val="0"/>
          <w:iCs w:val="0"/>
          <w:color w:val="auto"/>
          <w:kern w:val="0"/>
          <w:sz w:val="21"/>
          <w:szCs w:val="21"/>
          <w:highlight w:val="none"/>
          <w:lang w:val="en-US" w:eastAsia="zh-CN" w:bidi="ar"/>
        </w:rPr>
        <w:t>。</w:t>
      </w:r>
    </w:p>
    <w:p w14:paraId="32D56D7D">
      <w:pPr>
        <w:pStyle w:val="19"/>
        <w:rPr>
          <w:rFonts w:hint="eastAsia" w:ascii="宋体" w:hAnsi="宋体" w:eastAsia="宋体" w:cs="宋体"/>
          <w:color w:val="auto"/>
          <w:kern w:val="0"/>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rPr>
        <w:t>④</w:t>
      </w:r>
      <w:r>
        <w:rPr>
          <w:rFonts w:hint="eastAsia" w:ascii="宋体" w:hAnsi="宋体" w:eastAsia="宋体" w:cs="宋体"/>
          <w:color w:val="auto"/>
          <w:kern w:val="0"/>
          <w:sz w:val="21"/>
          <w:szCs w:val="21"/>
          <w:highlight w:val="none"/>
          <w:lang w:val="en-US" w:eastAsia="zh-CN" w:bidi="ar"/>
        </w:rPr>
        <w:t>在服务采购项目中，服务的承接商应当为中小企业，不对其中涉及的货物的制造商作出要求。</w:t>
      </w:r>
    </w:p>
    <w:p w14:paraId="4047E3E4">
      <w:pPr>
        <w:tabs>
          <w:tab w:val="left" w:pos="3600"/>
        </w:tabs>
        <w:adjustRightInd w:val="0"/>
        <w:snapToGrid w:val="0"/>
        <w:jc w:val="center"/>
        <w:rPr>
          <w:rFonts w:ascii="宋体" w:hAnsi="宋体" w:cs="宋体"/>
          <w:b/>
          <w:bCs/>
          <w:color w:val="auto"/>
          <w:spacing w:val="6"/>
          <w:kern w:val="0"/>
          <w:sz w:val="28"/>
          <w:szCs w:val="28"/>
          <w:highlight w:val="none"/>
        </w:rPr>
      </w:pPr>
      <w:bookmarkStart w:id="853" w:name="OLE_LINK14"/>
      <w:bookmarkStart w:id="854" w:name="OLE_LINK13"/>
      <w:r>
        <w:rPr>
          <w:rFonts w:hint="eastAsia" w:ascii="宋体" w:hAnsi="宋体" w:cs="宋体"/>
          <w:b/>
          <w:bCs/>
          <w:color w:val="auto"/>
          <w:spacing w:val="6"/>
          <w:kern w:val="0"/>
          <w:sz w:val="28"/>
          <w:szCs w:val="28"/>
          <w:highlight w:val="none"/>
        </w:rPr>
        <w:t>2、残疾人福利性单位声明函</w:t>
      </w:r>
    </w:p>
    <w:bookmarkEnd w:id="853"/>
    <w:bookmarkEnd w:id="854"/>
    <w:p w14:paraId="08F293EC">
      <w:pPr>
        <w:spacing w:line="360" w:lineRule="auto"/>
        <w:rPr>
          <w:rFonts w:ascii="宋体" w:hAnsi="宋体" w:cs="宋体"/>
          <w:b/>
          <w:color w:val="auto"/>
          <w:spacing w:val="6"/>
          <w:szCs w:val="21"/>
          <w:highlight w:val="none"/>
        </w:rPr>
      </w:pPr>
    </w:p>
    <w:p w14:paraId="6A8DE3EB">
      <w:pPr>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单位的</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6133A629">
      <w:pPr>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14:paraId="693D556D">
      <w:pPr>
        <w:spacing w:line="360" w:lineRule="auto"/>
        <w:ind w:firstLine="444" w:firstLineChars="200"/>
        <w:rPr>
          <w:rFonts w:hint="eastAsia" w:ascii="宋体" w:hAnsi="宋体" w:cs="宋体"/>
          <w:color w:val="auto"/>
          <w:spacing w:val="6"/>
          <w:szCs w:val="21"/>
          <w:highlight w:val="none"/>
        </w:rPr>
      </w:pPr>
    </w:p>
    <w:p w14:paraId="1C6FCB2F">
      <w:pPr>
        <w:spacing w:line="360" w:lineRule="auto"/>
        <w:ind w:firstLine="444" w:firstLineChars="200"/>
        <w:rPr>
          <w:rFonts w:hint="eastAsia" w:ascii="宋体" w:hAnsi="宋体" w:cs="宋体"/>
          <w:color w:val="auto"/>
          <w:spacing w:val="6"/>
          <w:szCs w:val="21"/>
          <w:highlight w:val="none"/>
        </w:rPr>
      </w:pPr>
    </w:p>
    <w:p w14:paraId="6DAFA080">
      <w:pPr>
        <w:tabs>
          <w:tab w:val="left" w:pos="4860"/>
        </w:tabs>
        <w:spacing w:line="360" w:lineRule="auto"/>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p>
    <w:p w14:paraId="5AE63ACF">
      <w:pPr>
        <w:tabs>
          <w:tab w:val="left" w:pos="4860"/>
        </w:tabs>
        <w:spacing w:line="360" w:lineRule="auto"/>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14:paraId="45EA7598">
      <w:pPr>
        <w:tabs>
          <w:tab w:val="left" w:pos="840"/>
        </w:tabs>
        <w:autoSpaceDE w:val="0"/>
        <w:autoSpaceDN w:val="0"/>
        <w:adjustRightInd w:val="0"/>
        <w:spacing w:line="360" w:lineRule="auto"/>
        <w:jc w:val="center"/>
        <w:rPr>
          <w:rFonts w:hint="eastAsia" w:ascii="宋体" w:hAnsi="宋体"/>
          <w:b/>
          <w:color w:val="auto"/>
          <w:sz w:val="24"/>
          <w:highlight w:val="none"/>
        </w:rPr>
      </w:pPr>
    </w:p>
    <w:p w14:paraId="51046998">
      <w:pPr>
        <w:widowControl/>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（提醒：如果</w:t>
      </w:r>
      <w:r>
        <w:rPr>
          <w:rFonts w:hint="eastAsia" w:ascii="宋体" w:hAnsi="宋体" w:cs="宋体"/>
          <w:b/>
          <w:color w:val="auto"/>
          <w:szCs w:val="21"/>
          <w:highlight w:val="none"/>
          <w:lang w:eastAsia="zh-CN"/>
        </w:rPr>
        <w:t>供应商</w:t>
      </w:r>
      <w:r>
        <w:rPr>
          <w:rFonts w:hint="eastAsia" w:ascii="宋体" w:hAnsi="宋体" w:cs="宋体"/>
          <w:b/>
          <w:color w:val="auto"/>
          <w:spacing w:val="10"/>
          <w:kern w:val="0"/>
          <w:szCs w:val="21"/>
          <w:highlight w:val="none"/>
        </w:rPr>
        <w:t>不是残疾人福利性单位</w:t>
      </w:r>
      <w:r>
        <w:rPr>
          <w:rFonts w:hint="eastAsia" w:ascii="宋体" w:hAnsi="宋体" w:cs="宋体"/>
          <w:b/>
          <w:color w:val="auto"/>
          <w:szCs w:val="21"/>
          <w:highlight w:val="none"/>
        </w:rPr>
        <w:t>，则不需要提供《残疾人福利性单位声明函》。否则，因此导致虚假</w:t>
      </w:r>
      <w:r>
        <w:rPr>
          <w:rFonts w:hint="eastAsia" w:cs="宋体"/>
          <w:b/>
          <w:color w:val="auto"/>
          <w:szCs w:val="21"/>
          <w:highlight w:val="none"/>
          <w:lang w:eastAsia="zh-CN"/>
        </w:rPr>
        <w:t>响应</w:t>
      </w:r>
      <w:r>
        <w:rPr>
          <w:rFonts w:hint="eastAsia" w:ascii="宋体" w:hAnsi="宋体" w:cs="宋体"/>
          <w:b/>
          <w:color w:val="auto"/>
          <w:szCs w:val="21"/>
          <w:highlight w:val="none"/>
        </w:rPr>
        <w:t>的后果由</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自行承担。）</w:t>
      </w:r>
    </w:p>
    <w:p w14:paraId="66BCE134">
      <w:pPr>
        <w:tabs>
          <w:tab w:val="left" w:pos="840"/>
        </w:tabs>
        <w:autoSpaceDE w:val="0"/>
        <w:autoSpaceDN w:val="0"/>
        <w:adjustRightInd w:val="0"/>
        <w:spacing w:line="360" w:lineRule="auto"/>
        <w:jc w:val="both"/>
        <w:rPr>
          <w:rFonts w:hint="eastAsia" w:ascii="宋体" w:hAnsi="宋体"/>
          <w:b/>
          <w:color w:val="auto"/>
          <w:sz w:val="24"/>
          <w:highlight w:val="none"/>
        </w:rPr>
      </w:pPr>
    </w:p>
    <w:p w14:paraId="4B1782AC">
      <w:pPr>
        <w:spacing w:line="360" w:lineRule="auto"/>
        <w:rPr>
          <w:rFonts w:hint="eastAsia"/>
          <w:color w:val="auto"/>
          <w:highlight w:val="none"/>
        </w:rPr>
      </w:pPr>
      <w:r>
        <w:rPr>
          <w:rFonts w:hint="eastAsia"/>
          <w:color w:val="auto"/>
          <w:highlight w:val="none"/>
        </w:rPr>
        <w:t>《财政部民政部中国残疾人联合会关于促进残疾人就业政府采购政策的通知》（财库2017〔141〕号）的规定：</w:t>
      </w:r>
    </w:p>
    <w:p w14:paraId="0603D3F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 享受政府采购支持政策的残疾人福利性单位应当同时满足以下条件：</w:t>
      </w:r>
    </w:p>
    <w:p w14:paraId="572A083D">
      <w:pPr>
        <w:spacing w:line="360" w:lineRule="auto"/>
        <w:rPr>
          <w:rFonts w:hint="eastAsia"/>
          <w:color w:val="auto"/>
          <w:highlight w:val="none"/>
        </w:rPr>
      </w:pPr>
      <w:r>
        <w:rPr>
          <w:rFonts w:hint="eastAsia"/>
          <w:color w:val="auto"/>
          <w:highlight w:val="none"/>
        </w:rPr>
        <w:t>（1）安置的残疾人占本单位在职职工人数的比例不低于25%（含25%），并且安置的残疾人人数不少于10人（含10人）；</w:t>
      </w:r>
    </w:p>
    <w:p w14:paraId="2485D8F6">
      <w:pPr>
        <w:spacing w:line="360" w:lineRule="auto"/>
        <w:rPr>
          <w:rFonts w:hint="eastAsia"/>
          <w:color w:val="auto"/>
          <w:highlight w:val="none"/>
        </w:rPr>
      </w:pPr>
      <w:r>
        <w:rPr>
          <w:rFonts w:hint="eastAsia"/>
          <w:color w:val="auto"/>
          <w:highlight w:val="none"/>
        </w:rPr>
        <w:t>（2）依法与安置的每位残疾人签订了一年以上（含一年）的劳动合同或服务协议；</w:t>
      </w:r>
    </w:p>
    <w:p w14:paraId="080E5EDD">
      <w:pPr>
        <w:spacing w:line="360" w:lineRule="auto"/>
        <w:rPr>
          <w:rFonts w:hint="eastAsia"/>
          <w:color w:val="auto"/>
          <w:highlight w:val="none"/>
        </w:rPr>
      </w:pPr>
      <w:r>
        <w:rPr>
          <w:rFonts w:hint="eastAsia"/>
          <w:color w:val="auto"/>
          <w:highlight w:val="none"/>
        </w:rPr>
        <w:t>（3）为安置的每位残疾人按月足额缴纳了基本养老保险、基本医疗保险、失业保险、工伤保险和生育保险等社会保险费；</w:t>
      </w:r>
    </w:p>
    <w:p w14:paraId="26161F78">
      <w:pPr>
        <w:spacing w:line="360" w:lineRule="auto"/>
        <w:rPr>
          <w:rFonts w:hint="eastAsia"/>
          <w:color w:val="auto"/>
          <w:highlight w:val="none"/>
        </w:rPr>
      </w:pPr>
      <w:r>
        <w:rPr>
          <w:rFonts w:hint="eastAsia"/>
          <w:color w:val="auto"/>
          <w:highlight w:val="none"/>
        </w:rPr>
        <w:t>（4）通过银行等金融机构向安置的每位残疾人，按月支付了不低于单位所在区县适用的经省级人民政府批准的月最低工资标准的工资；</w:t>
      </w:r>
    </w:p>
    <w:p w14:paraId="7C858FDC">
      <w:pPr>
        <w:spacing w:line="360" w:lineRule="auto"/>
        <w:rPr>
          <w:rFonts w:hint="eastAsia"/>
          <w:color w:val="auto"/>
          <w:highlight w:val="none"/>
        </w:rPr>
      </w:pPr>
      <w:r>
        <w:rPr>
          <w:rFonts w:hint="eastAsia"/>
          <w:color w:val="auto"/>
          <w:highlight w:val="none"/>
        </w:rPr>
        <w:t>（5）提供本单位制造的货物、承担的工程或者服务（以下简称产品），或者提供其他残疾人福利性单位制造的货物（不包括使用非残疾人福利性单位注册商标的货物）。</w:t>
      </w:r>
    </w:p>
    <w:p w14:paraId="3F7FD4CB">
      <w:pPr>
        <w:spacing w:line="360" w:lineRule="auto"/>
        <w:ind w:firstLine="420" w:firstLineChars="200"/>
        <w:rPr>
          <w:rFonts w:hint="eastAsia" w:ascii="宋体" w:hAnsi="宋体"/>
          <w:b/>
          <w:color w:val="auto"/>
          <w:sz w:val="24"/>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lang w:eastAsia="zh-CN"/>
        </w:rPr>
        <w:t>成交人</w:t>
      </w:r>
      <w:r>
        <w:rPr>
          <w:rFonts w:hint="eastAsia" w:ascii="宋体" w:hAnsi="宋体" w:cs="宋体"/>
          <w:color w:val="auto"/>
          <w:szCs w:val="21"/>
          <w:highlight w:val="none"/>
        </w:rPr>
        <w:t>为残疾人福利性单位的，采购人或者其委托的采购代理机构应当随</w:t>
      </w:r>
      <w:r>
        <w:rPr>
          <w:rFonts w:hint="eastAsia" w:ascii="宋体" w:hAnsi="宋体" w:cs="宋体"/>
          <w:color w:val="auto"/>
          <w:szCs w:val="21"/>
          <w:highlight w:val="none"/>
          <w:lang w:eastAsia="zh-CN"/>
        </w:rPr>
        <w:t>成交</w:t>
      </w:r>
      <w:r>
        <w:rPr>
          <w:rFonts w:hint="eastAsia" w:ascii="宋体" w:hAnsi="宋体" w:cs="宋体"/>
          <w:color w:val="auto"/>
          <w:szCs w:val="21"/>
          <w:highlight w:val="none"/>
        </w:rPr>
        <w:t>、成交结果同时公告其《残疾人福利性单位声明函》，接受社会监督。</w:t>
      </w:r>
    </w:p>
    <w:p w14:paraId="663FB360">
      <w:pPr>
        <w:tabs>
          <w:tab w:val="left" w:pos="3600"/>
        </w:tabs>
        <w:adjustRightInd w:val="0"/>
        <w:snapToGrid w:val="0"/>
        <w:jc w:val="center"/>
        <w:rPr>
          <w:rFonts w:ascii="宋体" w:hAnsi="宋体" w:cs="宋体"/>
          <w:b/>
          <w:bCs/>
          <w:color w:val="auto"/>
          <w:spacing w:val="6"/>
          <w:kern w:val="0"/>
          <w:sz w:val="28"/>
          <w:szCs w:val="28"/>
          <w:highlight w:val="none"/>
        </w:rPr>
      </w:pPr>
      <w:r>
        <w:rPr>
          <w:rFonts w:hint="eastAsia" w:ascii="宋体" w:hAnsi="宋体" w:cs="宋体"/>
          <w:b/>
          <w:bCs/>
          <w:color w:val="auto"/>
          <w:spacing w:val="6"/>
          <w:kern w:val="0"/>
          <w:sz w:val="28"/>
          <w:szCs w:val="28"/>
          <w:highlight w:val="none"/>
        </w:rPr>
        <w:t>3、监狱企业证明文件</w:t>
      </w:r>
    </w:p>
    <w:p w14:paraId="69DFEC2D">
      <w:pPr>
        <w:adjustRightInd w:val="0"/>
        <w:snapToGrid w:val="0"/>
        <w:spacing w:line="360" w:lineRule="auto"/>
        <w:rPr>
          <w:rFonts w:ascii="宋体" w:hAnsi="宋体" w:cs="宋体"/>
          <w:color w:val="auto"/>
          <w:highlight w:val="none"/>
        </w:rPr>
      </w:pPr>
    </w:p>
    <w:p w14:paraId="6898B71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GB" w:eastAsia="zh-CN"/>
        </w:rPr>
      </w:pPr>
      <w:r>
        <w:rPr>
          <w:rFonts w:hint="eastAsia"/>
          <w:color w:val="auto"/>
          <w:highlight w:val="none"/>
          <w:lang w:val="en-GB" w:eastAsia="zh-CN"/>
        </w:rPr>
        <w:t>监狱企业参加政府采购活动时，应当提供由省级以上监狱管理局、戒毒管理局（含新疆生产建设兵团）出具的属于监狱企业的证明文件。</w:t>
      </w:r>
    </w:p>
    <w:p w14:paraId="1F648920">
      <w:pPr>
        <w:rPr>
          <w:rFonts w:hint="eastAsia"/>
          <w:color w:val="auto"/>
          <w:highlight w:val="none"/>
          <w:lang w:val="en-US" w:eastAsia="zh-CN"/>
        </w:rPr>
      </w:pPr>
    </w:p>
    <w:p w14:paraId="1A7F19D1">
      <w:pPr>
        <w:rPr>
          <w:rFonts w:hint="eastAsia"/>
          <w:color w:val="auto"/>
          <w:highlight w:val="none"/>
          <w:lang w:val="en-US" w:eastAsia="zh-CN"/>
        </w:rPr>
      </w:pPr>
    </w:p>
    <w:p w14:paraId="18DA4E32">
      <w:pPr>
        <w:widowControl/>
        <w:spacing w:line="360" w:lineRule="auto"/>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（提醒：如果</w:t>
      </w:r>
      <w:r>
        <w:rPr>
          <w:rFonts w:hint="eastAsia" w:cs="宋体"/>
          <w:b/>
          <w:bCs w:val="0"/>
          <w:color w:val="auto"/>
          <w:sz w:val="21"/>
          <w:szCs w:val="21"/>
          <w:highlight w:val="none"/>
          <w:lang w:eastAsia="zh-CN"/>
        </w:rPr>
        <w:t>供应商</w:t>
      </w:r>
      <w:r>
        <w:rPr>
          <w:rFonts w:hint="eastAsia" w:ascii="宋体" w:hAnsi="宋体" w:cs="宋体"/>
          <w:b/>
          <w:bCs w:val="0"/>
          <w:color w:val="auto"/>
          <w:spacing w:val="10"/>
          <w:kern w:val="0"/>
          <w:sz w:val="21"/>
          <w:szCs w:val="21"/>
          <w:highlight w:val="none"/>
        </w:rPr>
        <w:t>不是</w:t>
      </w:r>
      <w:r>
        <w:rPr>
          <w:rFonts w:hint="eastAsia" w:ascii="宋体" w:hAnsi="宋体" w:eastAsia="宋体"/>
          <w:b/>
          <w:bCs w:val="0"/>
          <w:color w:val="auto"/>
          <w:sz w:val="21"/>
          <w:szCs w:val="21"/>
          <w:highlight w:val="none"/>
          <w:lang w:val="en-GB" w:eastAsia="zh-CN"/>
        </w:rPr>
        <w:t>监狱企业</w:t>
      </w:r>
      <w:r>
        <w:rPr>
          <w:rFonts w:hint="eastAsia" w:ascii="宋体" w:hAnsi="宋体" w:cs="宋体"/>
          <w:b/>
          <w:bCs w:val="0"/>
          <w:color w:val="auto"/>
          <w:sz w:val="21"/>
          <w:szCs w:val="21"/>
          <w:highlight w:val="none"/>
        </w:rPr>
        <w:t>，则不需要提供</w:t>
      </w:r>
      <w:r>
        <w:rPr>
          <w:rFonts w:hint="eastAsia" w:ascii="宋体" w:hAnsi="宋体" w:cs="宋体"/>
          <w:b/>
          <w:bCs w:val="0"/>
          <w:color w:val="auto"/>
          <w:sz w:val="21"/>
          <w:szCs w:val="21"/>
          <w:highlight w:val="none"/>
          <w:lang w:val="en-GB" w:eastAsia="zh-CN"/>
        </w:rPr>
        <w:t>监狱企业证明材料</w:t>
      </w:r>
      <w:r>
        <w:rPr>
          <w:rFonts w:hint="eastAsia" w:ascii="宋体" w:hAnsi="宋体" w:cs="宋体"/>
          <w:b/>
          <w:bCs w:val="0"/>
          <w:color w:val="auto"/>
          <w:sz w:val="21"/>
          <w:szCs w:val="21"/>
          <w:highlight w:val="none"/>
        </w:rPr>
        <w:t>）</w:t>
      </w:r>
    </w:p>
    <w:p w14:paraId="10E74DB8">
      <w:pPr>
        <w:widowControl/>
        <w:spacing w:line="520" w:lineRule="exact"/>
        <w:rPr>
          <w:rFonts w:ascii="宋体" w:hAnsi="宋体"/>
          <w:color w:val="auto"/>
          <w:sz w:val="28"/>
          <w:highlight w:val="none"/>
        </w:rPr>
        <w:sectPr>
          <w:footerReference r:id="rId15" w:type="default"/>
          <w:pgSz w:w="11906" w:h="16838"/>
          <w:pgMar w:top="1440" w:right="1706" w:bottom="1440" w:left="1800" w:header="851" w:footer="992" w:gutter="0"/>
          <w:pgNumType w:fmt="decimal"/>
          <w:cols w:space="720" w:num="1"/>
          <w:docGrid w:type="lines" w:linePitch="312" w:charSpace="0"/>
        </w:sectPr>
      </w:pPr>
    </w:p>
    <w:p w14:paraId="3C4901F7">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附件：（非投标文件格式）</w:t>
      </w:r>
    </w:p>
    <w:p w14:paraId="725C406F">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工信部联企业[2011]300号</w:t>
      </w:r>
    </w:p>
    <w:p w14:paraId="64663BCB">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各省、自治区、直辖市人民政府，国务院各部委、各直属机构及有关单位：</w:t>
      </w:r>
    </w:p>
    <w:p w14:paraId="5117137A">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0FD8637">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工业和信息化部 国家统计局</w:t>
      </w:r>
    </w:p>
    <w:p w14:paraId="3439AF6B">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国家发展和改革委员会 财政部</w:t>
      </w:r>
    </w:p>
    <w:p w14:paraId="4D674F69">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二○一一年六月十八日</w:t>
      </w:r>
    </w:p>
    <w:p w14:paraId="18A7E6C6">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中小企业划型标准规定</w:t>
      </w:r>
    </w:p>
    <w:p w14:paraId="0E7A5AAC">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一、根据《中华人民共和国中小企业促进法》和《国务院关于进一步促进中小企业发展的若干意见》(国发[2009]36号)，制定本规定。</w:t>
      </w:r>
    </w:p>
    <w:p w14:paraId="0F445739">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二、中小企业划分为中型、小型、微型三种类型，具体标准根据企业从业人员、营业收入、资产总额等指标，结合行业特点制定。</w:t>
      </w:r>
    </w:p>
    <w:p w14:paraId="447CEB25">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三、本规定适用的行业包括：农、林、牧、渔业，工业（包括采矿业，制造业，电力、热力、</w:t>
      </w:r>
    </w:p>
    <w:p w14:paraId="7EC5CB35">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2D903C7">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四、各行业划型标准为：</w:t>
      </w:r>
    </w:p>
    <w:p w14:paraId="0A36BCE1">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（一）农、林、牧、渔业。营业收入20000万元以下的为中小微型企业。其中，营业收入500万元及以上的为中型企业，营业收入50万元及以上的为小型企业，营业收入50万元以下的为微型企业。</w:t>
      </w:r>
    </w:p>
    <w:p w14:paraId="663870F4">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D7C5EA4">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1DB45E">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CDF2603">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（五）零售业。从业人员300人以下或营业收入20000万元以下的为中小微型企业。其中，</w:t>
      </w:r>
    </w:p>
    <w:p w14:paraId="055026CE">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从业人员50人及以上，且营业收入500万元及以上的为中型企业；从业人员10人及以上，且营业收入100万元及以上的为小型企业；从业人员10人以下或营业收入100万元以下的为微型企业。</w:t>
      </w:r>
    </w:p>
    <w:p w14:paraId="10580751">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8B51CBF">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0D2C310">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7D1E66A">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D5F9D1">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（十）餐饮业。从业人员300人以下或营业收入10000万元以下的为中小微型企业。其中，从业人员100人及以上，且营业收入2000万元及以上的为中型企业；从业人员10人及以上，</w:t>
      </w:r>
    </w:p>
    <w:p w14:paraId="516A6FC7">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且营业收入100万元及以上的为小型企业；从业人员10人以下或营业收入100万元以下的为微型企业。</w:t>
      </w:r>
    </w:p>
    <w:p w14:paraId="4C1E2AD0">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E50A23E">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2133884">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850D2B">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60AC6D">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5614D68">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（十六）其他未列明行业。从业人员300人以下的为中小微型企业。其中，从业人员100人及以上的为中型企业；从业人员10人及以上的为小型企业；从业人员10人以下的为微型企业。</w:t>
      </w:r>
    </w:p>
    <w:p w14:paraId="4B8C50D5">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五、企业类型的划分以统计部门的统计数据为依据。</w:t>
      </w:r>
    </w:p>
    <w:p w14:paraId="02370CBF">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六、本规定适用于在中华人民共和国境内依法设立的各类所有制和各种组织形式的企业。个体工商户和本规定以外的行业，参照本规定进行划型。</w:t>
      </w:r>
    </w:p>
    <w:p w14:paraId="1C45EFE9">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七、本规定的中型企业标准上限即为大型企业标准的下限，国家统计部门据此制定大中小微型企业的统计分类。国务院有关部门据此进行相关数据分析，不得制定与本规定不一致的企业划型标准。</w:t>
      </w:r>
    </w:p>
    <w:p w14:paraId="030ED53E">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八、本规定由工业和信息化部、国家统计局会同有关部门根据《国民经济行业分类》修订情况和企业发展变化情况适时修订。</w:t>
      </w:r>
    </w:p>
    <w:p w14:paraId="669D30F7">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九、本规定由工业和信息化部、国家统计局会同有关部门负责解释。</w:t>
      </w:r>
    </w:p>
    <w:p w14:paraId="196A3C70">
      <w:pPr>
        <w:pStyle w:val="4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ans-serif" w:hAnsi="sans-serif" w:eastAsia="sans-serif" w:cs="sans-serif"/>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十、本规定自发布之日起执行，原国家经贸委、原国家计委、财政部和国家统计局2003年颁布的《中小企业标准暂行规定》同时废止。</w:t>
      </w:r>
    </w:p>
    <w:p w14:paraId="5B9A91C2">
      <w:pPr>
        <w:rPr>
          <w:color w:val="auto"/>
          <w:highlight w:val="none"/>
        </w:rPr>
      </w:pPr>
    </w:p>
    <w:p w14:paraId="555A2F27">
      <w:pPr>
        <w:rPr>
          <w:color w:val="auto"/>
          <w:highlight w:val="none"/>
        </w:rPr>
      </w:pPr>
    </w:p>
    <w:p w14:paraId="42C58ADF">
      <w:pPr>
        <w:rPr>
          <w:color w:val="auto"/>
          <w:highlight w:val="none"/>
        </w:rPr>
      </w:pPr>
    </w:p>
    <w:p w14:paraId="59E238C1">
      <w:pPr>
        <w:rPr>
          <w:color w:val="auto"/>
          <w:highlight w:val="none"/>
        </w:rPr>
      </w:pPr>
    </w:p>
    <w:p w14:paraId="3AA3CCCE">
      <w:pPr>
        <w:rPr>
          <w:color w:val="auto"/>
          <w:highlight w:val="none"/>
        </w:rPr>
      </w:pPr>
    </w:p>
    <w:p w14:paraId="54382623">
      <w:pPr>
        <w:rPr>
          <w:color w:val="auto"/>
          <w:highlight w:val="none"/>
        </w:rPr>
      </w:pPr>
    </w:p>
    <w:p w14:paraId="38F65C33">
      <w:pPr>
        <w:rPr>
          <w:color w:val="auto"/>
          <w:highlight w:val="none"/>
        </w:rPr>
      </w:pPr>
    </w:p>
    <w:p w14:paraId="52423DB3">
      <w:pPr>
        <w:rPr>
          <w:color w:val="auto"/>
          <w:highlight w:val="none"/>
        </w:rPr>
      </w:pPr>
    </w:p>
    <w:p w14:paraId="45A6A656">
      <w:pPr>
        <w:rPr>
          <w:color w:val="auto"/>
          <w:highlight w:val="none"/>
        </w:rPr>
      </w:pPr>
    </w:p>
    <w:p w14:paraId="1C1BFDE9">
      <w:pPr>
        <w:rPr>
          <w:color w:val="auto"/>
          <w:highlight w:val="none"/>
        </w:rPr>
      </w:pPr>
    </w:p>
    <w:p w14:paraId="09CA63C1">
      <w:pPr>
        <w:rPr>
          <w:color w:val="auto"/>
          <w:highlight w:val="none"/>
        </w:rPr>
      </w:pPr>
    </w:p>
    <w:p w14:paraId="180DCAA6">
      <w:pPr>
        <w:rPr>
          <w:color w:val="auto"/>
          <w:highlight w:val="none"/>
        </w:rPr>
      </w:pPr>
    </w:p>
    <w:p w14:paraId="4FB8D7A8">
      <w:pPr>
        <w:rPr>
          <w:color w:val="auto"/>
          <w:highlight w:val="none"/>
        </w:rPr>
      </w:pPr>
    </w:p>
    <w:p w14:paraId="136E9CA8">
      <w:pPr>
        <w:rPr>
          <w:color w:val="auto"/>
          <w:highlight w:val="none"/>
        </w:rPr>
      </w:pPr>
    </w:p>
    <w:p w14:paraId="6767F6F1">
      <w:pPr>
        <w:rPr>
          <w:color w:val="auto"/>
          <w:highlight w:val="none"/>
        </w:rPr>
      </w:pPr>
    </w:p>
    <w:p w14:paraId="7CFA90C1">
      <w:pPr>
        <w:rPr>
          <w:color w:val="auto"/>
          <w:highlight w:val="none"/>
        </w:rPr>
      </w:pPr>
    </w:p>
    <w:p w14:paraId="6AC765E9">
      <w:pPr>
        <w:rPr>
          <w:color w:val="auto"/>
          <w:highlight w:val="none"/>
        </w:rPr>
      </w:pPr>
    </w:p>
    <w:p w14:paraId="76462036">
      <w:pPr>
        <w:rPr>
          <w:color w:val="auto"/>
          <w:highlight w:val="none"/>
        </w:rPr>
      </w:pPr>
    </w:p>
    <w:p w14:paraId="059C4A3A">
      <w:pPr>
        <w:rPr>
          <w:color w:val="auto"/>
          <w:highlight w:val="none"/>
        </w:rPr>
      </w:pPr>
    </w:p>
    <w:p w14:paraId="012EBD09">
      <w:pPr>
        <w:rPr>
          <w:color w:val="auto"/>
          <w:highlight w:val="none"/>
        </w:rPr>
      </w:pPr>
    </w:p>
    <w:p w14:paraId="2BA00E62">
      <w:pPr>
        <w:rPr>
          <w:color w:val="auto"/>
          <w:highlight w:val="none"/>
        </w:rPr>
      </w:pPr>
    </w:p>
    <w:p w14:paraId="505A89D7">
      <w:pPr>
        <w:rPr>
          <w:color w:val="auto"/>
          <w:highlight w:val="none"/>
        </w:rPr>
      </w:pPr>
    </w:p>
    <w:p w14:paraId="5E988177">
      <w:pPr>
        <w:rPr>
          <w:color w:val="auto"/>
          <w:highlight w:val="none"/>
        </w:rPr>
      </w:pPr>
    </w:p>
    <w:sectPr>
      <w:footerReference r:id="rId16" w:type="default"/>
      <w:pgSz w:w="11906" w:h="16838"/>
      <w:pgMar w:top="1440" w:right="1706"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大标宋简体">
    <w:altName w:val="宋体"/>
    <w:panose1 w:val="00000000000000000000"/>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Albertus">
    <w:altName w:val="Candara"/>
    <w:panose1 w:val="00000000000000000000"/>
    <w:charset w:val="00"/>
    <w:family w:val="swiss"/>
    <w:pitch w:val="default"/>
    <w:sig w:usb0="00000000" w:usb1="00000000" w:usb2="00000000" w:usb3="00000000" w:csb0="00000093" w:csb1="00000000"/>
  </w:font>
  <w:font w:name="华文中宋">
    <w:altName w:val="宋体"/>
    <w:panose1 w:val="02010600040101010101"/>
    <w:charset w:val="86"/>
    <w:family w:val="auto"/>
    <w:pitch w:val="default"/>
    <w:sig w:usb0="00000000" w:usb1="00000000" w:usb2="00000000" w:usb3="00000000" w:csb0="0004009F" w:csb1="DFD7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FB1BF">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4358E1">
                          <w:pPr>
                            <w:pStyle w:val="3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eBz6csBAACc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r5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3gc+nLAQAAnAMAAA4AAAAAAAAAAQAgAAAAHgEAAGRycy9lMm9E&#10;b2MueG1sUEsFBgAAAAAGAAYAWQEAAFsFAAAAAA==&#10;">
              <v:fill on="f" focussize="0,0"/>
              <v:stroke on="f"/>
              <v:imagedata o:title=""/>
              <o:lock v:ext="edit" aspectratio="f"/>
              <v:textbox inset="0mm,0mm,0mm,0mm" style="mso-fit-shape-to-text:t;">
                <w:txbxContent>
                  <w:p w14:paraId="574358E1">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DAEAF">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016A7">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441322">
                          <w:pPr>
                            <w:pStyle w:val="3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vCv6csBAACcAwAADgAAAGRycy9lMm9Eb2MueG1srVNLbtswEN0XyB0I&#10;7mPKKlA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nhb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Lwr+nLAQAAnAMAAA4AAAAAAAAAAQAgAAAAHgEAAGRycy9lMm9E&#10;b2MueG1sUEsFBgAAAAAGAAYAWQEAAFsFAAAAAA==&#10;">
              <v:fill on="f" focussize="0,0"/>
              <v:stroke on="f"/>
              <v:imagedata o:title=""/>
              <o:lock v:ext="edit" aspectratio="f"/>
              <v:textbox inset="0mm,0mm,0mm,0mm" style="mso-fit-shape-to-text:t;">
                <w:txbxContent>
                  <w:p w14:paraId="51441322">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3CCFB">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42E432">
                          <w:pPr>
                            <w:pStyle w:val="3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j9NF/LAQAAnAMAAA4AAAAAAAAAAQAgAAAAHgEAAGRycy9lMm9E&#10;b2MueG1sUEsFBgAAAAAGAAYAWQEAAFsFAAAAAA==&#10;">
              <v:fill on="f" focussize="0,0"/>
              <v:stroke on="f"/>
              <v:imagedata o:title=""/>
              <o:lock v:ext="edit" aspectratio="f"/>
              <v:textbox inset="0mm,0mm,0mm,0mm" style="mso-fit-shape-to-text:t;">
                <w:txbxContent>
                  <w:p w14:paraId="0B42E432">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E7A71">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750410">
                          <w:pPr>
                            <w:pStyle w:val="31"/>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NAX6MsBAACcAwAADgAAAGRycy9lMm9Eb2MueG1srVPNjtMwEL4j8Q6W&#10;79RpWaE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1lW&#10;L2+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zQF+jLAQAAnAMAAA4AAAAAAAAAAQAgAAAAHgEAAGRycy9lMm9E&#10;b2MueG1sUEsFBgAAAAAGAAYAWQEAAFsFAAAAAA==&#10;">
              <v:fill on="f" focussize="0,0"/>
              <v:stroke on="f"/>
              <v:imagedata o:title=""/>
              <o:lock v:ext="edit" aspectratio="f"/>
              <v:textbox inset="0mm,0mm,0mm,0mm" style="mso-fit-shape-to-text:t;">
                <w:txbxContent>
                  <w:p w14:paraId="68750410">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7C790">
    <w:pPr>
      <w:pStyle w:val="3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E86559">
                          <w:pPr>
                            <w:pStyle w:val="3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2MXssBAACcAwAADgAAAGRycy9lMm9Eb2MueG1srVPNjtMwEL4j8Q6W&#10;79Rp0aI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1lW&#10;L2+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HbdjF7LAQAAnAMAAA4AAAAAAAAAAQAgAAAAHgEAAGRycy9lMm9E&#10;b2MueG1sUEsFBgAAAAAGAAYAWQEAAFsFAAAAAA==&#10;">
              <v:fill on="f" focussize="0,0"/>
              <v:stroke on="f"/>
              <v:imagedata o:title=""/>
              <o:lock v:ext="edit" aspectratio="f"/>
              <v:textbox inset="0mm,0mm,0mm,0mm" style="mso-fit-shape-to-text:t;">
                <w:txbxContent>
                  <w:p w14:paraId="49E86559">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99B01">
    <w:pPr>
      <w:pStyle w:val="31"/>
      <w:rPr>
        <w:rFonts w:ascii="宋体" w:hAnsi="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EFE109">
                          <w:pPr>
                            <w:pStyle w:val="3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nNUF7LAQAAnAMAAA4AAAAAAAAAAQAgAAAAHgEAAGRycy9lMm9E&#10;b2MueG1sUEsFBgAAAAAGAAYAWQEAAFsFAAAAAA==&#10;">
              <v:fill on="f" focussize="0,0"/>
              <v:stroke on="f"/>
              <v:imagedata o:title=""/>
              <o:lock v:ext="edit" aspectratio="f"/>
              <v:textbox inset="0mm,0mm,0mm,0mm" style="mso-fit-shape-to-text:t;">
                <w:txbxContent>
                  <w:p w14:paraId="7FEFE109">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278C9">
    <w:pPr>
      <w:pStyle w:val="3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B2759A">
                          <w:pPr>
                            <w:pStyle w:val="31"/>
                          </w:pPr>
                          <w:r>
                            <w:fldChar w:fldCharType="begin"/>
                          </w:r>
                          <w:r>
                            <w:instrText xml:space="preserve"> PAGE  \* MERGEFORMAT </w:instrText>
                          </w:r>
                          <w:r>
                            <w:fldChar w:fldCharType="separate"/>
                          </w:r>
                          <w:r>
                            <w:t>15</w:t>
                          </w:r>
                          <w:r>
                            <w:fldChar w:fldCharType="end"/>
                          </w:r>
                        </w:p>
                      </w:txbxContent>
                    </wps:txbx>
                    <wps:bodyPr wrap="none" lIns="0" tIns="0" rIns="0" bIns="0" upright="0">
                      <a:spAutoFit/>
                    </wps:bodyPr>
                  </wps:wsp>
                </a:graphicData>
              </a:graphic>
            </wp:anchor>
          </w:drawing>
        </mc:Choice>
        <mc:Fallback>
          <w:pict>
            <v:shape id="文本框 103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8DL6MsBAACcAwAADgAAAGRycy9lMm9Eb2MueG1srVPNjtMwEL4j8Q6W&#10;79Rpkdg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1lW&#10;L2+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PAy+jLAQAAnAMAAA4AAAAAAAAAAQAgAAAAHgEAAGRycy9lMm9E&#10;b2MueG1sUEsFBgAAAAAGAAYAWQEAAFsFAAAAAA==&#10;">
              <v:fill on="f" focussize="0,0"/>
              <v:stroke on="f"/>
              <v:imagedata o:title=""/>
              <o:lock v:ext="edit" aspectratio="f"/>
              <v:textbox inset="0mm,0mm,0mm,0mm" style="mso-fit-shape-to-text:t;">
                <w:txbxContent>
                  <w:p w14:paraId="08B2759A">
                    <w:pPr>
                      <w:pStyle w:val="31"/>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500E0">
    <w:pPr>
      <w:pStyle w:val="31"/>
      <w:tabs>
        <w:tab w:val="clear" w:pos="4153"/>
      </w:tabs>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6380CC">
                          <w:pPr>
                            <w:pStyle w:val="31"/>
                          </w:pPr>
                          <w:r>
                            <w:fldChar w:fldCharType="begin"/>
                          </w:r>
                          <w:r>
                            <w:instrText xml:space="preserve"> PAGE  \* MERGEFORMAT </w:instrText>
                          </w:r>
                          <w:r>
                            <w:fldChar w:fldCharType="separate"/>
                          </w:r>
                          <w:r>
                            <w:t>16</w:t>
                          </w:r>
                          <w:r>
                            <w:fldChar w:fldCharType="end"/>
                          </w:r>
                        </w:p>
                      </w:txbxContent>
                    </wps:txbx>
                    <wps:bodyPr wrap="none" lIns="0" tIns="0" rIns="0" bIns="0" upright="0">
                      <a:spAutoFit/>
                    </wps:bodyPr>
                  </wps:wsp>
                </a:graphicData>
              </a:graphic>
            </wp:anchor>
          </w:drawing>
        </mc:Choice>
        <mc:Fallback>
          <w:pict>
            <v:shape id="文本框 1038"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Bn68sBAACcAwAADgAAAGRycy9lMm9Eb2MueG1srVNLbtswEN0XyB0I&#10;7mPKLlA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1x7JYbHPj5+7fzj1/nn1/J&#10;snhbJoV6DxUmPnlMjcOdG3BvZj+gMxEf2mDSFykRjKO+p4u+cohEpEflqiwL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MCQZ+vLAQAAnAMAAA4AAAAAAAAAAQAgAAAAHgEAAGRycy9lMm9E&#10;b2MueG1sUEsFBgAAAAAGAAYAWQEAAFsFAAAAAA==&#10;">
              <v:fill on="f" focussize="0,0"/>
              <v:stroke on="f"/>
              <v:imagedata o:title=""/>
              <o:lock v:ext="edit" aspectratio="f"/>
              <v:textbox inset="0mm,0mm,0mm,0mm" style="mso-fit-shape-to-text:t;">
                <w:txbxContent>
                  <w:p w14:paraId="726380CC">
                    <w:pPr>
                      <w:pStyle w:val="3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15609">
    <w:pPr>
      <w:pStyle w:val="3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27B4D6">
                          <w:pPr>
                            <w:pStyle w:val="31"/>
                          </w:pPr>
                          <w:r>
                            <w:fldChar w:fldCharType="begin"/>
                          </w:r>
                          <w:r>
                            <w:instrText xml:space="preserve"> PAGE  \* MERGEFORMAT </w:instrText>
                          </w:r>
                          <w:r>
                            <w:fldChar w:fldCharType="separate"/>
                          </w:r>
                          <w:r>
                            <w:t>19</w:t>
                          </w:r>
                          <w:r>
                            <w:fldChar w:fldCharType="end"/>
                          </w:r>
                        </w:p>
                      </w:txbxContent>
                    </wps:txbx>
                    <wps:bodyPr wrap="none" lIns="0" tIns="0" rIns="0" bIns="0" upright="0">
                      <a:spAutoFit/>
                    </wps:bodyPr>
                  </wps:wsp>
                </a:graphicData>
              </a:graphic>
            </wp:anchor>
          </w:drawing>
        </mc:Choice>
        <mc:Fallback>
          <w:pict>
            <v:shape id="文本框 1039"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38XcsBAACcAwAADgAAAGRycy9lMm9Eb2MueG1srVPNjtMwEL4j8Q6W&#10;79RpkVA3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1lW&#10;L2+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Aqd/F3LAQAAnAMAAA4AAAAAAAAAAQAgAAAAHgEAAGRycy9lMm9E&#10;b2MueG1sUEsFBgAAAAAGAAYAWQEAAFsFAAAAAA==&#10;">
              <v:fill on="f" focussize="0,0"/>
              <v:stroke on="f"/>
              <v:imagedata o:title=""/>
              <o:lock v:ext="edit" aspectratio="f"/>
              <v:textbox inset="0mm,0mm,0mm,0mm" style="mso-fit-shape-to-text:t;">
                <w:txbxContent>
                  <w:p w14:paraId="6927B4D6">
                    <w:pPr>
                      <w:pStyle w:val="31"/>
                    </w:pPr>
                    <w:r>
                      <w:fldChar w:fldCharType="begin"/>
                    </w:r>
                    <w:r>
                      <w:instrText xml:space="preserve"> PAGE  \* MERGEFORMAT </w:instrText>
                    </w:r>
                    <w:r>
                      <w:fldChar w:fldCharType="separate"/>
                    </w:r>
                    <w:r>
                      <w:t>19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C0E3">
    <w:pPr>
      <w:pStyle w:val="33"/>
      <w:pBdr>
        <w:bottom w:val="none" w:color="auto" w:sz="0" w:space="0"/>
      </w:pBdr>
      <w:jc w:val="both"/>
      <w:rPr>
        <w:sz w:val="21"/>
        <w:szCs w:val="21"/>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7BEE5">
    <w:pPr>
      <w:pStyle w:val="3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57B9A">
    <w:pPr>
      <w:pStyle w:val="33"/>
      <w:pBdr>
        <w:bottom w:val="none" w:color="auto" w:sz="0" w:space="0"/>
      </w:pBdr>
      <w:jc w:val="both"/>
      <w:rPr>
        <w:rFonts w:ascii="宋体" w:hAnsi="宋体" w:cs="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58DC4">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D0D20E"/>
    <w:multiLevelType w:val="singleLevel"/>
    <w:tmpl w:val="8ED0D20E"/>
    <w:lvl w:ilvl="0" w:tentative="0">
      <w:start w:val="1"/>
      <w:numFmt w:val="decimal"/>
      <w:suff w:val="nothing"/>
      <w:lvlText w:val="%1、"/>
      <w:lvlJc w:val="left"/>
    </w:lvl>
  </w:abstractNum>
  <w:abstractNum w:abstractNumId="1">
    <w:nsid w:val="D7AC9D56"/>
    <w:multiLevelType w:val="singleLevel"/>
    <w:tmpl w:val="D7AC9D56"/>
    <w:lvl w:ilvl="0" w:tentative="0">
      <w:start w:val="5"/>
      <w:numFmt w:val="chineseCounting"/>
      <w:suff w:val="space"/>
      <w:lvlText w:val="第%1章"/>
      <w:lvlJc w:val="left"/>
      <w:rPr>
        <w:rFonts w:hint="eastAsia"/>
      </w:rPr>
    </w:lvl>
  </w:abstractNum>
  <w:abstractNum w:abstractNumId="2">
    <w:nsid w:val="0000000E"/>
    <w:multiLevelType w:val="multilevel"/>
    <w:tmpl w:val="0000000E"/>
    <w:lvl w:ilvl="0" w:tentative="0">
      <w:start w:val="1"/>
      <w:numFmt w:val="decimal"/>
      <w:pStyle w:val="2"/>
      <w:suff w:val="nothing"/>
      <w:lvlText w:val="第%1章 "/>
      <w:lvlJc w:val="left"/>
      <w:pPr>
        <w:ind w:left="0" w:firstLine="0"/>
      </w:pPr>
      <w:rPr>
        <w:rFonts w:hint="eastAsia" w:ascii="方正大标宋简体" w:eastAsia="方正大标宋简体"/>
        <w:b w:val="0"/>
        <w:i w:val="0"/>
        <w:sz w:val="36"/>
        <w:szCs w:val="36"/>
        <w14:shadow w14:blurRad="50800" w14:dist="38100" w14:dir="2700000" w14:sx="100000" w14:sy="100000" w14:kx="0" w14:ky="0" w14:algn="tl">
          <w14:srgbClr w14:val="000000">
            <w14:alpha w14:val="60000"/>
          </w14:srgbClr>
        </w14:shadow>
      </w:rPr>
    </w:lvl>
    <w:lvl w:ilvl="1" w:tentative="0">
      <w:start w:val="1"/>
      <w:numFmt w:val="decimal"/>
      <w:pStyle w:val="3"/>
      <w:suff w:val="nothing"/>
      <w:lvlText w:val="    %2、"/>
      <w:lvlJc w:val="left"/>
      <w:pPr>
        <w:ind w:left="0" w:firstLine="0"/>
      </w:pPr>
      <w:rPr>
        <w:rFonts w:hint="eastAsia" w:ascii="黑体" w:eastAsia="黑体"/>
        <w:b/>
        <w:i w:val="0"/>
        <w:sz w:val="30"/>
        <w:szCs w:val="30"/>
      </w:rPr>
    </w:lvl>
    <w:lvl w:ilvl="2" w:tentative="0">
      <w:start w:val="1"/>
      <w:numFmt w:val="decimal"/>
      <w:pStyle w:val="4"/>
      <w:suff w:val="nothing"/>
      <w:lvlText w:val="    %2.%3 "/>
      <w:lvlJc w:val="left"/>
      <w:pPr>
        <w:ind w:left="459" w:firstLine="0"/>
      </w:pPr>
      <w:rPr>
        <w:rFonts w:cs="Times New Roman"/>
        <w:b w:val="0"/>
        <w:bCs w:val="0"/>
        <w:i w:val="0"/>
        <w:iCs w:val="0"/>
        <w:caps w:val="0"/>
        <w:smallCaps w:val="0"/>
        <w:strike w:val="0"/>
        <w:dstrike w:val="0"/>
        <w:outline w:val="0"/>
        <w:shadow w:val="0"/>
        <w:emboss w:val="0"/>
        <w:imprint w:val="0"/>
        <w:vanish w:val="0"/>
        <w:color w:val="000000"/>
        <w:spacing w:val="0"/>
        <w:position w:val="0"/>
        <w:u w:val="none"/>
        <w:vertAlign w:val="baseline"/>
      </w:rPr>
    </w:lvl>
    <w:lvl w:ilvl="3" w:tentative="0">
      <w:start w:val="1"/>
      <w:numFmt w:val="decimal"/>
      <w:pStyle w:val="5"/>
      <w:suff w:val="nothing"/>
      <w:lvlText w:val="    %2.%3.%4  "/>
      <w:lvlJc w:val="left"/>
      <w:pPr>
        <w:ind w:left="0" w:firstLine="0"/>
      </w:pPr>
      <w:rPr>
        <w:rFonts w:hint="eastAsia" w:ascii="仿宋_GB2312" w:eastAsia="仿宋_GB2312"/>
        <w:b/>
        <w:i w:val="0"/>
        <w:sz w:val="28"/>
        <w:szCs w:val="28"/>
      </w:rPr>
    </w:lvl>
    <w:lvl w:ilvl="4" w:tentative="0">
      <w:start w:val="1"/>
      <w:numFmt w:val="none"/>
      <w:pStyle w:val="6"/>
      <w:suff w:val="nothing"/>
      <w:lvlText w:val=""/>
      <w:lvlJc w:val="left"/>
      <w:pPr>
        <w:ind w:left="0" w:firstLine="0"/>
      </w:pPr>
      <w:rPr>
        <w:rFonts w:hint="eastAsia"/>
      </w:rPr>
    </w:lvl>
    <w:lvl w:ilvl="5" w:tentative="0">
      <w:start w:val="1"/>
      <w:numFmt w:val="none"/>
      <w:pStyle w:val="7"/>
      <w:suff w:val="nothing"/>
      <w:lvlText w:val=""/>
      <w:lvlJc w:val="left"/>
      <w:pPr>
        <w:ind w:left="0" w:firstLine="0"/>
      </w:pPr>
      <w:rPr>
        <w:rFonts w:hint="eastAsia"/>
      </w:rPr>
    </w:lvl>
    <w:lvl w:ilvl="6" w:tentative="0">
      <w:start w:val="1"/>
      <w:numFmt w:val="none"/>
      <w:pStyle w:val="8"/>
      <w:suff w:val="nothing"/>
      <w:lvlText w:val=""/>
      <w:lvlJc w:val="left"/>
      <w:pPr>
        <w:ind w:left="0" w:firstLine="0"/>
      </w:pPr>
      <w:rPr>
        <w:rFonts w:hint="eastAsia"/>
      </w:rPr>
    </w:lvl>
    <w:lvl w:ilvl="7" w:tentative="0">
      <w:start w:val="1"/>
      <w:numFmt w:val="none"/>
      <w:pStyle w:val="9"/>
      <w:suff w:val="nothing"/>
      <w:lvlText w:val=""/>
      <w:lvlJc w:val="left"/>
      <w:pPr>
        <w:ind w:left="0" w:firstLine="0"/>
      </w:pPr>
      <w:rPr>
        <w:rFonts w:hint="eastAsia"/>
      </w:rPr>
    </w:lvl>
    <w:lvl w:ilvl="8" w:tentative="0">
      <w:start w:val="1"/>
      <w:numFmt w:val="none"/>
      <w:pStyle w:val="10"/>
      <w:suff w:val="nothing"/>
      <w:lvlText w:val=""/>
      <w:lvlJc w:val="left"/>
      <w:pPr>
        <w:ind w:left="0" w:firstLine="0"/>
      </w:pPr>
      <w:rPr>
        <w:rFonts w:hint="eastAsia"/>
      </w:rPr>
    </w:lvl>
  </w:abstractNum>
  <w:abstractNum w:abstractNumId="3">
    <w:nsid w:val="06E359ED"/>
    <w:multiLevelType w:val="multilevel"/>
    <w:tmpl w:val="06E359ED"/>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1497446"/>
    <w:multiLevelType w:val="multilevel"/>
    <w:tmpl w:val="61497446"/>
    <w:lvl w:ilvl="0" w:tentative="0">
      <w:start w:val="1"/>
      <w:numFmt w:val="japaneseCounting"/>
      <w:lvlText w:val="第%1条"/>
      <w:lvlJc w:val="left"/>
      <w:pPr>
        <w:tabs>
          <w:tab w:val="left" w:pos="1337"/>
        </w:tabs>
        <w:ind w:left="1337" w:hanging="855"/>
      </w:pPr>
      <w:rPr>
        <w:rFonts w:hint="default"/>
        <w:b/>
        <w:u w:val="none"/>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5">
    <w:nsid w:val="62DF4E64"/>
    <w:multiLevelType w:val="multilevel"/>
    <w:tmpl w:val="62DF4E6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4Njk3MDJmZTFkNjRkMTE5NTFiZDVhNzg4OGQwYmMifQ=="/>
  </w:docVars>
  <w:rsids>
    <w:rsidRoot w:val="00172A27"/>
    <w:rsid w:val="00001313"/>
    <w:rsid w:val="00001402"/>
    <w:rsid w:val="00006780"/>
    <w:rsid w:val="00007D45"/>
    <w:rsid w:val="00007F60"/>
    <w:rsid w:val="0002006A"/>
    <w:rsid w:val="00020983"/>
    <w:rsid w:val="0002345B"/>
    <w:rsid w:val="00032F23"/>
    <w:rsid w:val="00034D74"/>
    <w:rsid w:val="000356D6"/>
    <w:rsid w:val="00037FC9"/>
    <w:rsid w:val="000412FD"/>
    <w:rsid w:val="00044ED3"/>
    <w:rsid w:val="00045389"/>
    <w:rsid w:val="00047BC3"/>
    <w:rsid w:val="000573E9"/>
    <w:rsid w:val="0006142D"/>
    <w:rsid w:val="00065E31"/>
    <w:rsid w:val="00067945"/>
    <w:rsid w:val="00070FA0"/>
    <w:rsid w:val="00071C2B"/>
    <w:rsid w:val="000726B9"/>
    <w:rsid w:val="000778C9"/>
    <w:rsid w:val="00085EFD"/>
    <w:rsid w:val="000916CE"/>
    <w:rsid w:val="000A015A"/>
    <w:rsid w:val="000A35CA"/>
    <w:rsid w:val="000A3C01"/>
    <w:rsid w:val="000A6122"/>
    <w:rsid w:val="000B0E12"/>
    <w:rsid w:val="000B1F42"/>
    <w:rsid w:val="000B2039"/>
    <w:rsid w:val="000B37A5"/>
    <w:rsid w:val="000B39AF"/>
    <w:rsid w:val="000B423A"/>
    <w:rsid w:val="000B6C7A"/>
    <w:rsid w:val="000C0B2E"/>
    <w:rsid w:val="000C158D"/>
    <w:rsid w:val="000D1D8A"/>
    <w:rsid w:val="000D3743"/>
    <w:rsid w:val="000D78D0"/>
    <w:rsid w:val="000D7A82"/>
    <w:rsid w:val="000E0E11"/>
    <w:rsid w:val="000E25D6"/>
    <w:rsid w:val="000E4FFB"/>
    <w:rsid w:val="000E5ADD"/>
    <w:rsid w:val="000E5D6D"/>
    <w:rsid w:val="000F1BCD"/>
    <w:rsid w:val="000F261D"/>
    <w:rsid w:val="000F4C11"/>
    <w:rsid w:val="000F4C28"/>
    <w:rsid w:val="000F4D82"/>
    <w:rsid w:val="000F5905"/>
    <w:rsid w:val="000F5CA6"/>
    <w:rsid w:val="000F74E1"/>
    <w:rsid w:val="001009EF"/>
    <w:rsid w:val="00100F3D"/>
    <w:rsid w:val="00103717"/>
    <w:rsid w:val="0010561D"/>
    <w:rsid w:val="0011498D"/>
    <w:rsid w:val="00115801"/>
    <w:rsid w:val="001166D7"/>
    <w:rsid w:val="00126022"/>
    <w:rsid w:val="0012657E"/>
    <w:rsid w:val="00126FF3"/>
    <w:rsid w:val="00131FF6"/>
    <w:rsid w:val="00142D2F"/>
    <w:rsid w:val="001444BE"/>
    <w:rsid w:val="00146A42"/>
    <w:rsid w:val="00161792"/>
    <w:rsid w:val="00165D85"/>
    <w:rsid w:val="00165DA9"/>
    <w:rsid w:val="00171BD6"/>
    <w:rsid w:val="00172A27"/>
    <w:rsid w:val="001810FF"/>
    <w:rsid w:val="001837C3"/>
    <w:rsid w:val="00186D47"/>
    <w:rsid w:val="00187912"/>
    <w:rsid w:val="00194848"/>
    <w:rsid w:val="001A1F91"/>
    <w:rsid w:val="001A4173"/>
    <w:rsid w:val="001B1D73"/>
    <w:rsid w:val="001B2177"/>
    <w:rsid w:val="001B5558"/>
    <w:rsid w:val="001B5FA6"/>
    <w:rsid w:val="001B6A6A"/>
    <w:rsid w:val="001C66AA"/>
    <w:rsid w:val="001D2C37"/>
    <w:rsid w:val="001D422E"/>
    <w:rsid w:val="001D56C5"/>
    <w:rsid w:val="001E300D"/>
    <w:rsid w:val="001F31EC"/>
    <w:rsid w:val="001F3AAA"/>
    <w:rsid w:val="001F3C0D"/>
    <w:rsid w:val="002032C0"/>
    <w:rsid w:val="0020392B"/>
    <w:rsid w:val="00205054"/>
    <w:rsid w:val="0020618D"/>
    <w:rsid w:val="00210685"/>
    <w:rsid w:val="00210783"/>
    <w:rsid w:val="002174F8"/>
    <w:rsid w:val="00221B57"/>
    <w:rsid w:val="00226385"/>
    <w:rsid w:val="0022768A"/>
    <w:rsid w:val="002309BA"/>
    <w:rsid w:val="00232ACD"/>
    <w:rsid w:val="00237312"/>
    <w:rsid w:val="002373B8"/>
    <w:rsid w:val="002375F1"/>
    <w:rsid w:val="00237CE3"/>
    <w:rsid w:val="00242FC3"/>
    <w:rsid w:val="00243237"/>
    <w:rsid w:val="0025429C"/>
    <w:rsid w:val="002643DD"/>
    <w:rsid w:val="00264BD8"/>
    <w:rsid w:val="002677F0"/>
    <w:rsid w:val="00270280"/>
    <w:rsid w:val="0027280A"/>
    <w:rsid w:val="002731DD"/>
    <w:rsid w:val="00273DDE"/>
    <w:rsid w:val="00275FE8"/>
    <w:rsid w:val="00281D35"/>
    <w:rsid w:val="002822E0"/>
    <w:rsid w:val="002837B2"/>
    <w:rsid w:val="002868B6"/>
    <w:rsid w:val="0028720C"/>
    <w:rsid w:val="00290CDA"/>
    <w:rsid w:val="002931DA"/>
    <w:rsid w:val="00295060"/>
    <w:rsid w:val="002957A2"/>
    <w:rsid w:val="00295D5A"/>
    <w:rsid w:val="002A4D2F"/>
    <w:rsid w:val="002A4E1C"/>
    <w:rsid w:val="002A5199"/>
    <w:rsid w:val="002A777D"/>
    <w:rsid w:val="002B0A48"/>
    <w:rsid w:val="002B33E2"/>
    <w:rsid w:val="002B40AE"/>
    <w:rsid w:val="002B6B9A"/>
    <w:rsid w:val="002C00D7"/>
    <w:rsid w:val="002C2ED8"/>
    <w:rsid w:val="002C495F"/>
    <w:rsid w:val="002C551B"/>
    <w:rsid w:val="002C5D55"/>
    <w:rsid w:val="002C7738"/>
    <w:rsid w:val="002D00F7"/>
    <w:rsid w:val="002D28F7"/>
    <w:rsid w:val="002D3156"/>
    <w:rsid w:val="002E6D10"/>
    <w:rsid w:val="002F1E11"/>
    <w:rsid w:val="002F469F"/>
    <w:rsid w:val="002F79D4"/>
    <w:rsid w:val="00301905"/>
    <w:rsid w:val="00303F66"/>
    <w:rsid w:val="003117E4"/>
    <w:rsid w:val="00311AE0"/>
    <w:rsid w:val="00323045"/>
    <w:rsid w:val="00326119"/>
    <w:rsid w:val="00332A00"/>
    <w:rsid w:val="0033518A"/>
    <w:rsid w:val="00340263"/>
    <w:rsid w:val="00345ED5"/>
    <w:rsid w:val="00353268"/>
    <w:rsid w:val="00353B33"/>
    <w:rsid w:val="00355158"/>
    <w:rsid w:val="00356813"/>
    <w:rsid w:val="003602E4"/>
    <w:rsid w:val="00360BFE"/>
    <w:rsid w:val="00361125"/>
    <w:rsid w:val="0036263C"/>
    <w:rsid w:val="003627A1"/>
    <w:rsid w:val="0037649D"/>
    <w:rsid w:val="00381091"/>
    <w:rsid w:val="0038161C"/>
    <w:rsid w:val="003930B8"/>
    <w:rsid w:val="00396374"/>
    <w:rsid w:val="0039662B"/>
    <w:rsid w:val="0039700D"/>
    <w:rsid w:val="003A1D74"/>
    <w:rsid w:val="003A4D36"/>
    <w:rsid w:val="003A4D48"/>
    <w:rsid w:val="003A5EA2"/>
    <w:rsid w:val="003A6F4D"/>
    <w:rsid w:val="003B0C3D"/>
    <w:rsid w:val="003B6418"/>
    <w:rsid w:val="003B676B"/>
    <w:rsid w:val="003B7287"/>
    <w:rsid w:val="003C0F57"/>
    <w:rsid w:val="003C38CD"/>
    <w:rsid w:val="003C45C4"/>
    <w:rsid w:val="003C720D"/>
    <w:rsid w:val="003C7F3D"/>
    <w:rsid w:val="003D0222"/>
    <w:rsid w:val="003D19D4"/>
    <w:rsid w:val="003D4F0B"/>
    <w:rsid w:val="003D77F9"/>
    <w:rsid w:val="003E0404"/>
    <w:rsid w:val="003E0D93"/>
    <w:rsid w:val="003E1861"/>
    <w:rsid w:val="003E3935"/>
    <w:rsid w:val="003E3D97"/>
    <w:rsid w:val="003E4399"/>
    <w:rsid w:val="003E46C7"/>
    <w:rsid w:val="003E5ADE"/>
    <w:rsid w:val="003F3F04"/>
    <w:rsid w:val="003F5843"/>
    <w:rsid w:val="003F67C8"/>
    <w:rsid w:val="00400F02"/>
    <w:rsid w:val="004019D9"/>
    <w:rsid w:val="00403646"/>
    <w:rsid w:val="004172B6"/>
    <w:rsid w:val="004214D5"/>
    <w:rsid w:val="00422112"/>
    <w:rsid w:val="00422BD7"/>
    <w:rsid w:val="00423140"/>
    <w:rsid w:val="004244F4"/>
    <w:rsid w:val="004249B6"/>
    <w:rsid w:val="0042721F"/>
    <w:rsid w:val="0043021C"/>
    <w:rsid w:val="00431543"/>
    <w:rsid w:val="00431728"/>
    <w:rsid w:val="00431FDE"/>
    <w:rsid w:val="00434B1E"/>
    <w:rsid w:val="0043592C"/>
    <w:rsid w:val="0043703D"/>
    <w:rsid w:val="00440091"/>
    <w:rsid w:val="00442AEA"/>
    <w:rsid w:val="00444DA1"/>
    <w:rsid w:val="004475B5"/>
    <w:rsid w:val="0045016B"/>
    <w:rsid w:val="00452562"/>
    <w:rsid w:val="00452D16"/>
    <w:rsid w:val="00460A1E"/>
    <w:rsid w:val="0047672C"/>
    <w:rsid w:val="00476C06"/>
    <w:rsid w:val="00480519"/>
    <w:rsid w:val="00481636"/>
    <w:rsid w:val="00483C1A"/>
    <w:rsid w:val="004843B8"/>
    <w:rsid w:val="0048517E"/>
    <w:rsid w:val="00485B1F"/>
    <w:rsid w:val="00487769"/>
    <w:rsid w:val="00492520"/>
    <w:rsid w:val="00492D51"/>
    <w:rsid w:val="00493250"/>
    <w:rsid w:val="0049421C"/>
    <w:rsid w:val="0049670A"/>
    <w:rsid w:val="004A117E"/>
    <w:rsid w:val="004A58D4"/>
    <w:rsid w:val="004A680A"/>
    <w:rsid w:val="004A7BF3"/>
    <w:rsid w:val="004B0B87"/>
    <w:rsid w:val="004B0FF5"/>
    <w:rsid w:val="004B3316"/>
    <w:rsid w:val="004B3407"/>
    <w:rsid w:val="004B39BB"/>
    <w:rsid w:val="004B6B64"/>
    <w:rsid w:val="004C3DA9"/>
    <w:rsid w:val="004C525A"/>
    <w:rsid w:val="004C6EE1"/>
    <w:rsid w:val="004D06BC"/>
    <w:rsid w:val="004D0A06"/>
    <w:rsid w:val="004D0E03"/>
    <w:rsid w:val="004D262B"/>
    <w:rsid w:val="004D2A10"/>
    <w:rsid w:val="004D4AEB"/>
    <w:rsid w:val="004D54FE"/>
    <w:rsid w:val="004D6BE0"/>
    <w:rsid w:val="004E6E30"/>
    <w:rsid w:val="004F1209"/>
    <w:rsid w:val="004F2328"/>
    <w:rsid w:val="004F4C8E"/>
    <w:rsid w:val="004F52BD"/>
    <w:rsid w:val="004F57D1"/>
    <w:rsid w:val="00503335"/>
    <w:rsid w:val="00504955"/>
    <w:rsid w:val="00507502"/>
    <w:rsid w:val="00511E31"/>
    <w:rsid w:val="00515218"/>
    <w:rsid w:val="00527A3C"/>
    <w:rsid w:val="00532597"/>
    <w:rsid w:val="005327B0"/>
    <w:rsid w:val="00534BF6"/>
    <w:rsid w:val="00537B56"/>
    <w:rsid w:val="00541B12"/>
    <w:rsid w:val="0054282F"/>
    <w:rsid w:val="005445AB"/>
    <w:rsid w:val="00544DFB"/>
    <w:rsid w:val="005453D3"/>
    <w:rsid w:val="00545F01"/>
    <w:rsid w:val="00546D68"/>
    <w:rsid w:val="00554B38"/>
    <w:rsid w:val="005572D5"/>
    <w:rsid w:val="005601BE"/>
    <w:rsid w:val="00562A47"/>
    <w:rsid w:val="0056431A"/>
    <w:rsid w:val="0056437C"/>
    <w:rsid w:val="005652D2"/>
    <w:rsid w:val="00567D9C"/>
    <w:rsid w:val="00572113"/>
    <w:rsid w:val="00572CC7"/>
    <w:rsid w:val="00573332"/>
    <w:rsid w:val="00573459"/>
    <w:rsid w:val="00573607"/>
    <w:rsid w:val="00573C0F"/>
    <w:rsid w:val="00574B92"/>
    <w:rsid w:val="00574B99"/>
    <w:rsid w:val="00575007"/>
    <w:rsid w:val="00581D32"/>
    <w:rsid w:val="005845B3"/>
    <w:rsid w:val="00586E1A"/>
    <w:rsid w:val="00593457"/>
    <w:rsid w:val="00593B15"/>
    <w:rsid w:val="00595997"/>
    <w:rsid w:val="00597315"/>
    <w:rsid w:val="005A76FD"/>
    <w:rsid w:val="005B06E0"/>
    <w:rsid w:val="005B0863"/>
    <w:rsid w:val="005B20BA"/>
    <w:rsid w:val="005B4619"/>
    <w:rsid w:val="005B464D"/>
    <w:rsid w:val="005B4C0D"/>
    <w:rsid w:val="005B741F"/>
    <w:rsid w:val="005C3700"/>
    <w:rsid w:val="005D0696"/>
    <w:rsid w:val="005D2130"/>
    <w:rsid w:val="005D214B"/>
    <w:rsid w:val="005D3930"/>
    <w:rsid w:val="005D4D3F"/>
    <w:rsid w:val="005D6DCA"/>
    <w:rsid w:val="005D6E51"/>
    <w:rsid w:val="005E0E3F"/>
    <w:rsid w:val="005E1962"/>
    <w:rsid w:val="005E26FF"/>
    <w:rsid w:val="005E2702"/>
    <w:rsid w:val="005E2F1A"/>
    <w:rsid w:val="005E381B"/>
    <w:rsid w:val="005E3BEC"/>
    <w:rsid w:val="005E6140"/>
    <w:rsid w:val="005E620E"/>
    <w:rsid w:val="005F304E"/>
    <w:rsid w:val="005F78C3"/>
    <w:rsid w:val="006063FE"/>
    <w:rsid w:val="006113BD"/>
    <w:rsid w:val="00611E04"/>
    <w:rsid w:val="00616A19"/>
    <w:rsid w:val="0062052E"/>
    <w:rsid w:val="006212A1"/>
    <w:rsid w:val="006224F5"/>
    <w:rsid w:val="00624204"/>
    <w:rsid w:val="006259A9"/>
    <w:rsid w:val="00625F7E"/>
    <w:rsid w:val="00627CE5"/>
    <w:rsid w:val="006309B3"/>
    <w:rsid w:val="00631807"/>
    <w:rsid w:val="006327C7"/>
    <w:rsid w:val="00640931"/>
    <w:rsid w:val="00640E7F"/>
    <w:rsid w:val="00650B6C"/>
    <w:rsid w:val="006510C6"/>
    <w:rsid w:val="00653DE8"/>
    <w:rsid w:val="00654269"/>
    <w:rsid w:val="00654333"/>
    <w:rsid w:val="00655EE5"/>
    <w:rsid w:val="006603B4"/>
    <w:rsid w:val="006624D0"/>
    <w:rsid w:val="006656D9"/>
    <w:rsid w:val="00665FE6"/>
    <w:rsid w:val="00670A8F"/>
    <w:rsid w:val="00671C72"/>
    <w:rsid w:val="00672E67"/>
    <w:rsid w:val="00675AD0"/>
    <w:rsid w:val="0068288E"/>
    <w:rsid w:val="00684BA6"/>
    <w:rsid w:val="00685A78"/>
    <w:rsid w:val="00690637"/>
    <w:rsid w:val="0069199D"/>
    <w:rsid w:val="00694E15"/>
    <w:rsid w:val="006975F7"/>
    <w:rsid w:val="006A1160"/>
    <w:rsid w:val="006A2D3E"/>
    <w:rsid w:val="006A3D19"/>
    <w:rsid w:val="006A663D"/>
    <w:rsid w:val="006B06AF"/>
    <w:rsid w:val="006B3258"/>
    <w:rsid w:val="006B4EBB"/>
    <w:rsid w:val="006B6B54"/>
    <w:rsid w:val="006B724F"/>
    <w:rsid w:val="006C1898"/>
    <w:rsid w:val="006C46C2"/>
    <w:rsid w:val="006C59D7"/>
    <w:rsid w:val="006C6EE0"/>
    <w:rsid w:val="006D48A5"/>
    <w:rsid w:val="006D7430"/>
    <w:rsid w:val="006E2942"/>
    <w:rsid w:val="006E3DC0"/>
    <w:rsid w:val="006E4F2A"/>
    <w:rsid w:val="006E545B"/>
    <w:rsid w:val="006E7F04"/>
    <w:rsid w:val="006F13BF"/>
    <w:rsid w:val="006F1565"/>
    <w:rsid w:val="006F1850"/>
    <w:rsid w:val="006F31E6"/>
    <w:rsid w:val="006F345C"/>
    <w:rsid w:val="006F772A"/>
    <w:rsid w:val="00700D5D"/>
    <w:rsid w:val="007029E6"/>
    <w:rsid w:val="00705846"/>
    <w:rsid w:val="00710BDE"/>
    <w:rsid w:val="00712008"/>
    <w:rsid w:val="00713AB5"/>
    <w:rsid w:val="00713FE2"/>
    <w:rsid w:val="0071669A"/>
    <w:rsid w:val="00717910"/>
    <w:rsid w:val="00717C35"/>
    <w:rsid w:val="00717D4B"/>
    <w:rsid w:val="0072270E"/>
    <w:rsid w:val="00724D8F"/>
    <w:rsid w:val="00724FFE"/>
    <w:rsid w:val="0072667B"/>
    <w:rsid w:val="007335FF"/>
    <w:rsid w:val="007423E6"/>
    <w:rsid w:val="00743932"/>
    <w:rsid w:val="0074622E"/>
    <w:rsid w:val="00760333"/>
    <w:rsid w:val="00760447"/>
    <w:rsid w:val="00764E6E"/>
    <w:rsid w:val="00771085"/>
    <w:rsid w:val="0077285B"/>
    <w:rsid w:val="00776814"/>
    <w:rsid w:val="00780E3A"/>
    <w:rsid w:val="007833B5"/>
    <w:rsid w:val="007856B8"/>
    <w:rsid w:val="00790855"/>
    <w:rsid w:val="007908BE"/>
    <w:rsid w:val="007925B1"/>
    <w:rsid w:val="007A1EB0"/>
    <w:rsid w:val="007A58C9"/>
    <w:rsid w:val="007A67DA"/>
    <w:rsid w:val="007B0247"/>
    <w:rsid w:val="007B262B"/>
    <w:rsid w:val="007B3081"/>
    <w:rsid w:val="007C000F"/>
    <w:rsid w:val="007C1A90"/>
    <w:rsid w:val="007C1B3E"/>
    <w:rsid w:val="007C2F2C"/>
    <w:rsid w:val="007C4187"/>
    <w:rsid w:val="007C59D0"/>
    <w:rsid w:val="007C6F67"/>
    <w:rsid w:val="007D07B5"/>
    <w:rsid w:val="007D1397"/>
    <w:rsid w:val="007D291E"/>
    <w:rsid w:val="007D3534"/>
    <w:rsid w:val="007E64D2"/>
    <w:rsid w:val="007E71B7"/>
    <w:rsid w:val="007F2684"/>
    <w:rsid w:val="007F75D1"/>
    <w:rsid w:val="008003CB"/>
    <w:rsid w:val="008021D4"/>
    <w:rsid w:val="00802757"/>
    <w:rsid w:val="008028C6"/>
    <w:rsid w:val="00802FDD"/>
    <w:rsid w:val="00803128"/>
    <w:rsid w:val="00803691"/>
    <w:rsid w:val="00803951"/>
    <w:rsid w:val="00803CBC"/>
    <w:rsid w:val="00804A1A"/>
    <w:rsid w:val="0080734D"/>
    <w:rsid w:val="00811589"/>
    <w:rsid w:val="008142AA"/>
    <w:rsid w:val="00814DC6"/>
    <w:rsid w:val="00816B6D"/>
    <w:rsid w:val="008204FD"/>
    <w:rsid w:val="0082217A"/>
    <w:rsid w:val="00823084"/>
    <w:rsid w:val="00824988"/>
    <w:rsid w:val="00824E30"/>
    <w:rsid w:val="0082688D"/>
    <w:rsid w:val="008317D5"/>
    <w:rsid w:val="00842ECD"/>
    <w:rsid w:val="00845291"/>
    <w:rsid w:val="008464A3"/>
    <w:rsid w:val="0085394B"/>
    <w:rsid w:val="00854664"/>
    <w:rsid w:val="00854898"/>
    <w:rsid w:val="0085514D"/>
    <w:rsid w:val="00855960"/>
    <w:rsid w:val="008559AC"/>
    <w:rsid w:val="0086121B"/>
    <w:rsid w:val="008614CF"/>
    <w:rsid w:val="008734AC"/>
    <w:rsid w:val="008735CD"/>
    <w:rsid w:val="008814EA"/>
    <w:rsid w:val="00882838"/>
    <w:rsid w:val="00882885"/>
    <w:rsid w:val="008915B7"/>
    <w:rsid w:val="00895BA2"/>
    <w:rsid w:val="008972B6"/>
    <w:rsid w:val="008A0206"/>
    <w:rsid w:val="008A0E23"/>
    <w:rsid w:val="008A2A14"/>
    <w:rsid w:val="008A4399"/>
    <w:rsid w:val="008B26A7"/>
    <w:rsid w:val="008C3DF9"/>
    <w:rsid w:val="008C7E5A"/>
    <w:rsid w:val="008D2A9A"/>
    <w:rsid w:val="008D403D"/>
    <w:rsid w:val="008D5821"/>
    <w:rsid w:val="008D59DA"/>
    <w:rsid w:val="008D76B8"/>
    <w:rsid w:val="008E5BB3"/>
    <w:rsid w:val="008E6758"/>
    <w:rsid w:val="008E7676"/>
    <w:rsid w:val="008E7740"/>
    <w:rsid w:val="008F2DDD"/>
    <w:rsid w:val="008F33BE"/>
    <w:rsid w:val="008F58E9"/>
    <w:rsid w:val="008F6242"/>
    <w:rsid w:val="008F684B"/>
    <w:rsid w:val="008F6F0C"/>
    <w:rsid w:val="00900277"/>
    <w:rsid w:val="00903E86"/>
    <w:rsid w:val="00906FC7"/>
    <w:rsid w:val="00907F54"/>
    <w:rsid w:val="009111D8"/>
    <w:rsid w:val="009131F9"/>
    <w:rsid w:val="009212D2"/>
    <w:rsid w:val="0092559E"/>
    <w:rsid w:val="0092678B"/>
    <w:rsid w:val="009342C2"/>
    <w:rsid w:val="00935E1E"/>
    <w:rsid w:val="00943028"/>
    <w:rsid w:val="00944777"/>
    <w:rsid w:val="00945977"/>
    <w:rsid w:val="00946456"/>
    <w:rsid w:val="00946C82"/>
    <w:rsid w:val="00946F78"/>
    <w:rsid w:val="009479EC"/>
    <w:rsid w:val="0095535A"/>
    <w:rsid w:val="009555BE"/>
    <w:rsid w:val="009600B2"/>
    <w:rsid w:val="00963B10"/>
    <w:rsid w:val="009707B4"/>
    <w:rsid w:val="00970E10"/>
    <w:rsid w:val="00971AE8"/>
    <w:rsid w:val="009736CF"/>
    <w:rsid w:val="00984B85"/>
    <w:rsid w:val="00986CC6"/>
    <w:rsid w:val="009904E3"/>
    <w:rsid w:val="009915C1"/>
    <w:rsid w:val="00994F5F"/>
    <w:rsid w:val="009A0EFB"/>
    <w:rsid w:val="009A3DFB"/>
    <w:rsid w:val="009A4F8C"/>
    <w:rsid w:val="009B142E"/>
    <w:rsid w:val="009B233E"/>
    <w:rsid w:val="009B2B8D"/>
    <w:rsid w:val="009B5D8E"/>
    <w:rsid w:val="009C031E"/>
    <w:rsid w:val="009C08A1"/>
    <w:rsid w:val="009D1A30"/>
    <w:rsid w:val="009D1B5D"/>
    <w:rsid w:val="009D2CFF"/>
    <w:rsid w:val="009E0BFF"/>
    <w:rsid w:val="009E3B76"/>
    <w:rsid w:val="009E5843"/>
    <w:rsid w:val="009E61CD"/>
    <w:rsid w:val="009F224E"/>
    <w:rsid w:val="009F3B3B"/>
    <w:rsid w:val="009F3BCC"/>
    <w:rsid w:val="009F3D3E"/>
    <w:rsid w:val="009F61D1"/>
    <w:rsid w:val="009F6EC4"/>
    <w:rsid w:val="00A0172C"/>
    <w:rsid w:val="00A03BD5"/>
    <w:rsid w:val="00A04482"/>
    <w:rsid w:val="00A071B0"/>
    <w:rsid w:val="00A134C1"/>
    <w:rsid w:val="00A143A1"/>
    <w:rsid w:val="00A17BCA"/>
    <w:rsid w:val="00A264C7"/>
    <w:rsid w:val="00A271D7"/>
    <w:rsid w:val="00A31BFA"/>
    <w:rsid w:val="00A3262E"/>
    <w:rsid w:val="00A33AC7"/>
    <w:rsid w:val="00A34FBB"/>
    <w:rsid w:val="00A400B8"/>
    <w:rsid w:val="00A40D6C"/>
    <w:rsid w:val="00A44334"/>
    <w:rsid w:val="00A4470C"/>
    <w:rsid w:val="00A45265"/>
    <w:rsid w:val="00A46603"/>
    <w:rsid w:val="00A507FB"/>
    <w:rsid w:val="00A50F43"/>
    <w:rsid w:val="00A60306"/>
    <w:rsid w:val="00A61CA9"/>
    <w:rsid w:val="00A62510"/>
    <w:rsid w:val="00A63C87"/>
    <w:rsid w:val="00A63F36"/>
    <w:rsid w:val="00A712CF"/>
    <w:rsid w:val="00A72197"/>
    <w:rsid w:val="00A72E93"/>
    <w:rsid w:val="00A735A3"/>
    <w:rsid w:val="00A73D34"/>
    <w:rsid w:val="00A73E17"/>
    <w:rsid w:val="00A73E5C"/>
    <w:rsid w:val="00A75B09"/>
    <w:rsid w:val="00A848CB"/>
    <w:rsid w:val="00A8512C"/>
    <w:rsid w:val="00A914F7"/>
    <w:rsid w:val="00A92246"/>
    <w:rsid w:val="00A95AAA"/>
    <w:rsid w:val="00A95C86"/>
    <w:rsid w:val="00A97532"/>
    <w:rsid w:val="00A97D68"/>
    <w:rsid w:val="00AA10DC"/>
    <w:rsid w:val="00AA31D7"/>
    <w:rsid w:val="00AA5A0C"/>
    <w:rsid w:val="00AA5BAA"/>
    <w:rsid w:val="00AA65DB"/>
    <w:rsid w:val="00AB27F2"/>
    <w:rsid w:val="00AB2855"/>
    <w:rsid w:val="00AB3D1D"/>
    <w:rsid w:val="00AB4FDE"/>
    <w:rsid w:val="00AB7008"/>
    <w:rsid w:val="00AB7153"/>
    <w:rsid w:val="00AC0FFB"/>
    <w:rsid w:val="00AC2229"/>
    <w:rsid w:val="00AD0541"/>
    <w:rsid w:val="00AD0544"/>
    <w:rsid w:val="00AD5145"/>
    <w:rsid w:val="00AD6479"/>
    <w:rsid w:val="00AD7111"/>
    <w:rsid w:val="00AD7C6F"/>
    <w:rsid w:val="00AE0CD5"/>
    <w:rsid w:val="00AE41A0"/>
    <w:rsid w:val="00AE43CD"/>
    <w:rsid w:val="00AF2EDC"/>
    <w:rsid w:val="00AF6544"/>
    <w:rsid w:val="00B0185F"/>
    <w:rsid w:val="00B02022"/>
    <w:rsid w:val="00B03586"/>
    <w:rsid w:val="00B04478"/>
    <w:rsid w:val="00B05536"/>
    <w:rsid w:val="00B0651F"/>
    <w:rsid w:val="00B07D1C"/>
    <w:rsid w:val="00B10EC6"/>
    <w:rsid w:val="00B12EFA"/>
    <w:rsid w:val="00B13002"/>
    <w:rsid w:val="00B13DCB"/>
    <w:rsid w:val="00B21C37"/>
    <w:rsid w:val="00B250E5"/>
    <w:rsid w:val="00B337FC"/>
    <w:rsid w:val="00B34D17"/>
    <w:rsid w:val="00B35AE9"/>
    <w:rsid w:val="00B41758"/>
    <w:rsid w:val="00B434AA"/>
    <w:rsid w:val="00B47C84"/>
    <w:rsid w:val="00B5091A"/>
    <w:rsid w:val="00B52ACF"/>
    <w:rsid w:val="00B5325C"/>
    <w:rsid w:val="00B53465"/>
    <w:rsid w:val="00B54518"/>
    <w:rsid w:val="00B5506C"/>
    <w:rsid w:val="00B635C0"/>
    <w:rsid w:val="00B6652C"/>
    <w:rsid w:val="00B66DF8"/>
    <w:rsid w:val="00B761DB"/>
    <w:rsid w:val="00B763FA"/>
    <w:rsid w:val="00B77E7C"/>
    <w:rsid w:val="00B873AC"/>
    <w:rsid w:val="00B952E4"/>
    <w:rsid w:val="00B9648E"/>
    <w:rsid w:val="00B97518"/>
    <w:rsid w:val="00BA0E98"/>
    <w:rsid w:val="00BA41EB"/>
    <w:rsid w:val="00BA49CA"/>
    <w:rsid w:val="00BB0F74"/>
    <w:rsid w:val="00BB2C46"/>
    <w:rsid w:val="00BB6A7A"/>
    <w:rsid w:val="00BB6AA4"/>
    <w:rsid w:val="00BB7078"/>
    <w:rsid w:val="00BB7F5D"/>
    <w:rsid w:val="00BC0290"/>
    <w:rsid w:val="00BC1A8C"/>
    <w:rsid w:val="00BC36EF"/>
    <w:rsid w:val="00BC3FFD"/>
    <w:rsid w:val="00BC4B65"/>
    <w:rsid w:val="00BC4E8C"/>
    <w:rsid w:val="00BC786B"/>
    <w:rsid w:val="00BC7F36"/>
    <w:rsid w:val="00BD1D63"/>
    <w:rsid w:val="00BD3ED8"/>
    <w:rsid w:val="00BD7E6B"/>
    <w:rsid w:val="00BE01C8"/>
    <w:rsid w:val="00BE304A"/>
    <w:rsid w:val="00BE3724"/>
    <w:rsid w:val="00BE43E9"/>
    <w:rsid w:val="00BE7880"/>
    <w:rsid w:val="00BF14D0"/>
    <w:rsid w:val="00BF4B6D"/>
    <w:rsid w:val="00C03F6D"/>
    <w:rsid w:val="00C139CF"/>
    <w:rsid w:val="00C150F6"/>
    <w:rsid w:val="00C157EA"/>
    <w:rsid w:val="00C17898"/>
    <w:rsid w:val="00C215D4"/>
    <w:rsid w:val="00C2591F"/>
    <w:rsid w:val="00C270D6"/>
    <w:rsid w:val="00C3069E"/>
    <w:rsid w:val="00C30762"/>
    <w:rsid w:val="00C30BE7"/>
    <w:rsid w:val="00C34303"/>
    <w:rsid w:val="00C34983"/>
    <w:rsid w:val="00C34A05"/>
    <w:rsid w:val="00C34BE9"/>
    <w:rsid w:val="00C3772E"/>
    <w:rsid w:val="00C3774A"/>
    <w:rsid w:val="00C40F90"/>
    <w:rsid w:val="00C640DE"/>
    <w:rsid w:val="00C651D5"/>
    <w:rsid w:val="00C657E8"/>
    <w:rsid w:val="00C66D20"/>
    <w:rsid w:val="00C677E6"/>
    <w:rsid w:val="00C70DE2"/>
    <w:rsid w:val="00C72703"/>
    <w:rsid w:val="00C7579B"/>
    <w:rsid w:val="00C7646A"/>
    <w:rsid w:val="00C77959"/>
    <w:rsid w:val="00C82E00"/>
    <w:rsid w:val="00C83904"/>
    <w:rsid w:val="00C85AA5"/>
    <w:rsid w:val="00C85FC5"/>
    <w:rsid w:val="00C86EAB"/>
    <w:rsid w:val="00C917C0"/>
    <w:rsid w:val="00C93228"/>
    <w:rsid w:val="00C93E31"/>
    <w:rsid w:val="00C94642"/>
    <w:rsid w:val="00C94CCB"/>
    <w:rsid w:val="00C95505"/>
    <w:rsid w:val="00C96347"/>
    <w:rsid w:val="00CA0880"/>
    <w:rsid w:val="00CA186A"/>
    <w:rsid w:val="00CA266B"/>
    <w:rsid w:val="00CA36D9"/>
    <w:rsid w:val="00CA6D5B"/>
    <w:rsid w:val="00CA75D2"/>
    <w:rsid w:val="00CB7886"/>
    <w:rsid w:val="00CB7B89"/>
    <w:rsid w:val="00CB7ECE"/>
    <w:rsid w:val="00CC06A5"/>
    <w:rsid w:val="00CC23F4"/>
    <w:rsid w:val="00CC5DF0"/>
    <w:rsid w:val="00CC6FCB"/>
    <w:rsid w:val="00CC741F"/>
    <w:rsid w:val="00CD4CA3"/>
    <w:rsid w:val="00CD653F"/>
    <w:rsid w:val="00CE5617"/>
    <w:rsid w:val="00CE5F55"/>
    <w:rsid w:val="00CF412D"/>
    <w:rsid w:val="00CF6626"/>
    <w:rsid w:val="00D04B1B"/>
    <w:rsid w:val="00D14A24"/>
    <w:rsid w:val="00D15056"/>
    <w:rsid w:val="00D16082"/>
    <w:rsid w:val="00D254EB"/>
    <w:rsid w:val="00D275BF"/>
    <w:rsid w:val="00D302B9"/>
    <w:rsid w:val="00D41613"/>
    <w:rsid w:val="00D45511"/>
    <w:rsid w:val="00D45AD4"/>
    <w:rsid w:val="00D46817"/>
    <w:rsid w:val="00D5111C"/>
    <w:rsid w:val="00D52293"/>
    <w:rsid w:val="00D529D3"/>
    <w:rsid w:val="00D5418E"/>
    <w:rsid w:val="00D60B73"/>
    <w:rsid w:val="00D629CD"/>
    <w:rsid w:val="00D633E8"/>
    <w:rsid w:val="00D634D7"/>
    <w:rsid w:val="00D65C19"/>
    <w:rsid w:val="00D741E4"/>
    <w:rsid w:val="00D76143"/>
    <w:rsid w:val="00D82827"/>
    <w:rsid w:val="00D85522"/>
    <w:rsid w:val="00D87E08"/>
    <w:rsid w:val="00D92D67"/>
    <w:rsid w:val="00DA1660"/>
    <w:rsid w:val="00DA2E92"/>
    <w:rsid w:val="00DA5267"/>
    <w:rsid w:val="00DA7ADE"/>
    <w:rsid w:val="00DB3DE1"/>
    <w:rsid w:val="00DB5507"/>
    <w:rsid w:val="00DC12BA"/>
    <w:rsid w:val="00DC402F"/>
    <w:rsid w:val="00DC4F28"/>
    <w:rsid w:val="00DC72E5"/>
    <w:rsid w:val="00DD4A17"/>
    <w:rsid w:val="00DD6C53"/>
    <w:rsid w:val="00DD72DF"/>
    <w:rsid w:val="00DE110B"/>
    <w:rsid w:val="00DE3BAC"/>
    <w:rsid w:val="00DE413F"/>
    <w:rsid w:val="00DE7462"/>
    <w:rsid w:val="00DE781E"/>
    <w:rsid w:val="00DF1A74"/>
    <w:rsid w:val="00DF331F"/>
    <w:rsid w:val="00DF3718"/>
    <w:rsid w:val="00DF74AC"/>
    <w:rsid w:val="00E01166"/>
    <w:rsid w:val="00E04E47"/>
    <w:rsid w:val="00E051FC"/>
    <w:rsid w:val="00E11C42"/>
    <w:rsid w:val="00E13859"/>
    <w:rsid w:val="00E14F31"/>
    <w:rsid w:val="00E14FFF"/>
    <w:rsid w:val="00E16FD9"/>
    <w:rsid w:val="00E17C0A"/>
    <w:rsid w:val="00E200E0"/>
    <w:rsid w:val="00E257CB"/>
    <w:rsid w:val="00E259A3"/>
    <w:rsid w:val="00E27751"/>
    <w:rsid w:val="00E31101"/>
    <w:rsid w:val="00E3213D"/>
    <w:rsid w:val="00E33C8D"/>
    <w:rsid w:val="00E35158"/>
    <w:rsid w:val="00E379A3"/>
    <w:rsid w:val="00E40A6C"/>
    <w:rsid w:val="00E41642"/>
    <w:rsid w:val="00E4189B"/>
    <w:rsid w:val="00E43363"/>
    <w:rsid w:val="00E471F9"/>
    <w:rsid w:val="00E5088D"/>
    <w:rsid w:val="00E55D4F"/>
    <w:rsid w:val="00E60307"/>
    <w:rsid w:val="00E6721E"/>
    <w:rsid w:val="00E67579"/>
    <w:rsid w:val="00E7080A"/>
    <w:rsid w:val="00E75E01"/>
    <w:rsid w:val="00E77041"/>
    <w:rsid w:val="00E804D2"/>
    <w:rsid w:val="00E855BA"/>
    <w:rsid w:val="00E92386"/>
    <w:rsid w:val="00E9793D"/>
    <w:rsid w:val="00EA15C3"/>
    <w:rsid w:val="00EA1E47"/>
    <w:rsid w:val="00EA4162"/>
    <w:rsid w:val="00EA6529"/>
    <w:rsid w:val="00EB31EE"/>
    <w:rsid w:val="00EB3323"/>
    <w:rsid w:val="00EB48A2"/>
    <w:rsid w:val="00EB5370"/>
    <w:rsid w:val="00EC2C1C"/>
    <w:rsid w:val="00EC3C11"/>
    <w:rsid w:val="00EC6648"/>
    <w:rsid w:val="00ED066A"/>
    <w:rsid w:val="00ED1AB5"/>
    <w:rsid w:val="00ED350B"/>
    <w:rsid w:val="00ED42CB"/>
    <w:rsid w:val="00EE2042"/>
    <w:rsid w:val="00EE2BA9"/>
    <w:rsid w:val="00EF0730"/>
    <w:rsid w:val="00EF0D06"/>
    <w:rsid w:val="00EF2C92"/>
    <w:rsid w:val="00EF55D7"/>
    <w:rsid w:val="00EF6FAD"/>
    <w:rsid w:val="00F02C4D"/>
    <w:rsid w:val="00F04257"/>
    <w:rsid w:val="00F0436E"/>
    <w:rsid w:val="00F07313"/>
    <w:rsid w:val="00F1126B"/>
    <w:rsid w:val="00F1211B"/>
    <w:rsid w:val="00F13517"/>
    <w:rsid w:val="00F207CA"/>
    <w:rsid w:val="00F21208"/>
    <w:rsid w:val="00F354A9"/>
    <w:rsid w:val="00F37F91"/>
    <w:rsid w:val="00F43935"/>
    <w:rsid w:val="00F5061E"/>
    <w:rsid w:val="00F50AAE"/>
    <w:rsid w:val="00F50BF6"/>
    <w:rsid w:val="00F51458"/>
    <w:rsid w:val="00F52AC8"/>
    <w:rsid w:val="00F56F1E"/>
    <w:rsid w:val="00F632A5"/>
    <w:rsid w:val="00F65EF2"/>
    <w:rsid w:val="00F667A5"/>
    <w:rsid w:val="00F71C89"/>
    <w:rsid w:val="00F74A5A"/>
    <w:rsid w:val="00F84C9F"/>
    <w:rsid w:val="00F86E63"/>
    <w:rsid w:val="00F87830"/>
    <w:rsid w:val="00F96097"/>
    <w:rsid w:val="00FA0251"/>
    <w:rsid w:val="00FA3814"/>
    <w:rsid w:val="00FA768B"/>
    <w:rsid w:val="00FB13BD"/>
    <w:rsid w:val="00FB4D4F"/>
    <w:rsid w:val="00FB4FD7"/>
    <w:rsid w:val="00FB503B"/>
    <w:rsid w:val="00FB546B"/>
    <w:rsid w:val="00FB5978"/>
    <w:rsid w:val="00FB6DB3"/>
    <w:rsid w:val="00FB7A86"/>
    <w:rsid w:val="00FC0EBB"/>
    <w:rsid w:val="00FC1363"/>
    <w:rsid w:val="00FC1B7D"/>
    <w:rsid w:val="00FC5092"/>
    <w:rsid w:val="00FC74F3"/>
    <w:rsid w:val="00FD14E5"/>
    <w:rsid w:val="00FD63D9"/>
    <w:rsid w:val="00FD75E1"/>
    <w:rsid w:val="00FE1D10"/>
    <w:rsid w:val="00FE642B"/>
    <w:rsid w:val="00FF057B"/>
    <w:rsid w:val="00FF0680"/>
    <w:rsid w:val="00FF17AF"/>
    <w:rsid w:val="011D4761"/>
    <w:rsid w:val="01424400"/>
    <w:rsid w:val="01836F85"/>
    <w:rsid w:val="01926E78"/>
    <w:rsid w:val="019F3F96"/>
    <w:rsid w:val="01B5752A"/>
    <w:rsid w:val="01B82438"/>
    <w:rsid w:val="01BD17FD"/>
    <w:rsid w:val="01C6705D"/>
    <w:rsid w:val="01D011C6"/>
    <w:rsid w:val="01F36FCC"/>
    <w:rsid w:val="01F85965"/>
    <w:rsid w:val="01F92F81"/>
    <w:rsid w:val="02157BEA"/>
    <w:rsid w:val="021B4775"/>
    <w:rsid w:val="02390D95"/>
    <w:rsid w:val="023F64BA"/>
    <w:rsid w:val="02427F54"/>
    <w:rsid w:val="0248715E"/>
    <w:rsid w:val="026C4B80"/>
    <w:rsid w:val="02900E2C"/>
    <w:rsid w:val="02C32257"/>
    <w:rsid w:val="02C848FD"/>
    <w:rsid w:val="02F81F8E"/>
    <w:rsid w:val="030415AE"/>
    <w:rsid w:val="0304381B"/>
    <w:rsid w:val="033D76D9"/>
    <w:rsid w:val="035C27F0"/>
    <w:rsid w:val="03614A20"/>
    <w:rsid w:val="03627D34"/>
    <w:rsid w:val="036C7CC7"/>
    <w:rsid w:val="037B257B"/>
    <w:rsid w:val="03964470"/>
    <w:rsid w:val="039715E8"/>
    <w:rsid w:val="039D6DCE"/>
    <w:rsid w:val="03A54615"/>
    <w:rsid w:val="03B54519"/>
    <w:rsid w:val="03BC6EE5"/>
    <w:rsid w:val="03E715A9"/>
    <w:rsid w:val="03FF6CB3"/>
    <w:rsid w:val="041114D5"/>
    <w:rsid w:val="04127A33"/>
    <w:rsid w:val="041C0BCC"/>
    <w:rsid w:val="04405E98"/>
    <w:rsid w:val="0446587A"/>
    <w:rsid w:val="044A6FA1"/>
    <w:rsid w:val="0456609E"/>
    <w:rsid w:val="04571288"/>
    <w:rsid w:val="046A7C27"/>
    <w:rsid w:val="04702802"/>
    <w:rsid w:val="04860F7E"/>
    <w:rsid w:val="048B5F61"/>
    <w:rsid w:val="04A22F2C"/>
    <w:rsid w:val="04BF2B82"/>
    <w:rsid w:val="04C75B7A"/>
    <w:rsid w:val="04CB7224"/>
    <w:rsid w:val="04FA4F73"/>
    <w:rsid w:val="05151E4C"/>
    <w:rsid w:val="051F28AC"/>
    <w:rsid w:val="054F1A08"/>
    <w:rsid w:val="05574E85"/>
    <w:rsid w:val="05583029"/>
    <w:rsid w:val="056146EE"/>
    <w:rsid w:val="0565227A"/>
    <w:rsid w:val="05690222"/>
    <w:rsid w:val="05733D65"/>
    <w:rsid w:val="057F15A7"/>
    <w:rsid w:val="059F7D63"/>
    <w:rsid w:val="05CC7B63"/>
    <w:rsid w:val="05D05EF3"/>
    <w:rsid w:val="05F046E4"/>
    <w:rsid w:val="05F418A7"/>
    <w:rsid w:val="05F57389"/>
    <w:rsid w:val="06065F29"/>
    <w:rsid w:val="06100533"/>
    <w:rsid w:val="06303856"/>
    <w:rsid w:val="063C51F4"/>
    <w:rsid w:val="065F2797"/>
    <w:rsid w:val="06670873"/>
    <w:rsid w:val="06690CD0"/>
    <w:rsid w:val="067823B1"/>
    <w:rsid w:val="068C3E93"/>
    <w:rsid w:val="069760A7"/>
    <w:rsid w:val="069A44F0"/>
    <w:rsid w:val="06A23907"/>
    <w:rsid w:val="06A40CFE"/>
    <w:rsid w:val="06AA25C4"/>
    <w:rsid w:val="06D45E98"/>
    <w:rsid w:val="0712730E"/>
    <w:rsid w:val="071B1B4E"/>
    <w:rsid w:val="07237909"/>
    <w:rsid w:val="0727664E"/>
    <w:rsid w:val="073700B7"/>
    <w:rsid w:val="0741609A"/>
    <w:rsid w:val="074324E6"/>
    <w:rsid w:val="07586E6F"/>
    <w:rsid w:val="07A73CF4"/>
    <w:rsid w:val="07AC47E1"/>
    <w:rsid w:val="07BF2F31"/>
    <w:rsid w:val="07BF57EB"/>
    <w:rsid w:val="07C52EA1"/>
    <w:rsid w:val="07CB4AC9"/>
    <w:rsid w:val="07D60E75"/>
    <w:rsid w:val="07E00DB0"/>
    <w:rsid w:val="07E12164"/>
    <w:rsid w:val="07EB2F7D"/>
    <w:rsid w:val="07FE280A"/>
    <w:rsid w:val="080B616A"/>
    <w:rsid w:val="08224E77"/>
    <w:rsid w:val="085216FE"/>
    <w:rsid w:val="08834CFE"/>
    <w:rsid w:val="08B44841"/>
    <w:rsid w:val="08B4544E"/>
    <w:rsid w:val="08BE644D"/>
    <w:rsid w:val="08C41696"/>
    <w:rsid w:val="08D25BC3"/>
    <w:rsid w:val="08F642C1"/>
    <w:rsid w:val="08FD3DAC"/>
    <w:rsid w:val="091B2D32"/>
    <w:rsid w:val="091D4DDE"/>
    <w:rsid w:val="09380ACA"/>
    <w:rsid w:val="093A5A53"/>
    <w:rsid w:val="095055C9"/>
    <w:rsid w:val="09552FDE"/>
    <w:rsid w:val="09873DAF"/>
    <w:rsid w:val="098F3A29"/>
    <w:rsid w:val="098F5318"/>
    <w:rsid w:val="09A81097"/>
    <w:rsid w:val="09B80B46"/>
    <w:rsid w:val="09BD421B"/>
    <w:rsid w:val="09C64E6B"/>
    <w:rsid w:val="09DD4FC6"/>
    <w:rsid w:val="09F53C7E"/>
    <w:rsid w:val="09FA3C01"/>
    <w:rsid w:val="0A022AF5"/>
    <w:rsid w:val="0A22302B"/>
    <w:rsid w:val="0A280D4F"/>
    <w:rsid w:val="0A3539B4"/>
    <w:rsid w:val="0A3C0D3B"/>
    <w:rsid w:val="0A3F03C1"/>
    <w:rsid w:val="0A4C6BB4"/>
    <w:rsid w:val="0A501F24"/>
    <w:rsid w:val="0A8A1F58"/>
    <w:rsid w:val="0AB0559E"/>
    <w:rsid w:val="0AB3528E"/>
    <w:rsid w:val="0AB82321"/>
    <w:rsid w:val="0ABB4884"/>
    <w:rsid w:val="0AD75BBC"/>
    <w:rsid w:val="0ADB2CF4"/>
    <w:rsid w:val="0AF4739D"/>
    <w:rsid w:val="0AF84998"/>
    <w:rsid w:val="0B0D70A0"/>
    <w:rsid w:val="0B124536"/>
    <w:rsid w:val="0B143174"/>
    <w:rsid w:val="0B226B74"/>
    <w:rsid w:val="0B284F0A"/>
    <w:rsid w:val="0B28516F"/>
    <w:rsid w:val="0B2C4833"/>
    <w:rsid w:val="0B392FFB"/>
    <w:rsid w:val="0B575140"/>
    <w:rsid w:val="0B5F79BF"/>
    <w:rsid w:val="0B72438D"/>
    <w:rsid w:val="0B8530FD"/>
    <w:rsid w:val="0B8F2C34"/>
    <w:rsid w:val="0B930DDB"/>
    <w:rsid w:val="0B994DC1"/>
    <w:rsid w:val="0BA5272E"/>
    <w:rsid w:val="0BB145FE"/>
    <w:rsid w:val="0BDD4389"/>
    <w:rsid w:val="0BDF672A"/>
    <w:rsid w:val="0BEF6A57"/>
    <w:rsid w:val="0BF17806"/>
    <w:rsid w:val="0BFE0EC0"/>
    <w:rsid w:val="0C173B72"/>
    <w:rsid w:val="0C204F00"/>
    <w:rsid w:val="0C2F7A77"/>
    <w:rsid w:val="0C33060D"/>
    <w:rsid w:val="0C3B31BC"/>
    <w:rsid w:val="0C3F3A5A"/>
    <w:rsid w:val="0C5314DC"/>
    <w:rsid w:val="0C7613A4"/>
    <w:rsid w:val="0C8A02EA"/>
    <w:rsid w:val="0C8B24E2"/>
    <w:rsid w:val="0C8F1FE8"/>
    <w:rsid w:val="0C995FA3"/>
    <w:rsid w:val="0CA62308"/>
    <w:rsid w:val="0CD92C0C"/>
    <w:rsid w:val="0D00251D"/>
    <w:rsid w:val="0D05762C"/>
    <w:rsid w:val="0D117FEF"/>
    <w:rsid w:val="0D24445A"/>
    <w:rsid w:val="0D3338D6"/>
    <w:rsid w:val="0D382CA4"/>
    <w:rsid w:val="0D543290"/>
    <w:rsid w:val="0D785B08"/>
    <w:rsid w:val="0D7A4A46"/>
    <w:rsid w:val="0D855AD9"/>
    <w:rsid w:val="0D902EF0"/>
    <w:rsid w:val="0DD64821"/>
    <w:rsid w:val="0DD81F43"/>
    <w:rsid w:val="0DE1451B"/>
    <w:rsid w:val="0DFC1242"/>
    <w:rsid w:val="0DFD581B"/>
    <w:rsid w:val="0E031BB0"/>
    <w:rsid w:val="0E110B75"/>
    <w:rsid w:val="0E112F9A"/>
    <w:rsid w:val="0E1924B1"/>
    <w:rsid w:val="0E2A0523"/>
    <w:rsid w:val="0E3177FA"/>
    <w:rsid w:val="0E462535"/>
    <w:rsid w:val="0E483273"/>
    <w:rsid w:val="0E4C53F2"/>
    <w:rsid w:val="0E541747"/>
    <w:rsid w:val="0E544825"/>
    <w:rsid w:val="0E565ABB"/>
    <w:rsid w:val="0E686F94"/>
    <w:rsid w:val="0E954A45"/>
    <w:rsid w:val="0E98683A"/>
    <w:rsid w:val="0EA00768"/>
    <w:rsid w:val="0EAB4B69"/>
    <w:rsid w:val="0ED358B2"/>
    <w:rsid w:val="0EDB5EFC"/>
    <w:rsid w:val="0F221352"/>
    <w:rsid w:val="0F232641"/>
    <w:rsid w:val="0F2410E0"/>
    <w:rsid w:val="0F477340"/>
    <w:rsid w:val="0F495C80"/>
    <w:rsid w:val="0F4965D5"/>
    <w:rsid w:val="0F5634B9"/>
    <w:rsid w:val="0F586C69"/>
    <w:rsid w:val="0F590F78"/>
    <w:rsid w:val="0F666EEA"/>
    <w:rsid w:val="0F6B6464"/>
    <w:rsid w:val="0F7A4F0C"/>
    <w:rsid w:val="0F8F290C"/>
    <w:rsid w:val="0F955364"/>
    <w:rsid w:val="0FA16352"/>
    <w:rsid w:val="0FC255BE"/>
    <w:rsid w:val="0FC321A1"/>
    <w:rsid w:val="0FCB786F"/>
    <w:rsid w:val="0FE026E7"/>
    <w:rsid w:val="0FFD54BA"/>
    <w:rsid w:val="10171A21"/>
    <w:rsid w:val="10522405"/>
    <w:rsid w:val="105C7460"/>
    <w:rsid w:val="10614806"/>
    <w:rsid w:val="107C5D62"/>
    <w:rsid w:val="107C65FA"/>
    <w:rsid w:val="108E5DB9"/>
    <w:rsid w:val="10C51551"/>
    <w:rsid w:val="10EA6278"/>
    <w:rsid w:val="10F0498A"/>
    <w:rsid w:val="11022420"/>
    <w:rsid w:val="11381B75"/>
    <w:rsid w:val="11771E8B"/>
    <w:rsid w:val="1189621A"/>
    <w:rsid w:val="11A343E8"/>
    <w:rsid w:val="11A5319A"/>
    <w:rsid w:val="11E87040"/>
    <w:rsid w:val="11EB7A49"/>
    <w:rsid w:val="11F61F42"/>
    <w:rsid w:val="123717A3"/>
    <w:rsid w:val="12374CB3"/>
    <w:rsid w:val="123B1D64"/>
    <w:rsid w:val="127A5017"/>
    <w:rsid w:val="1281226A"/>
    <w:rsid w:val="12AF4C62"/>
    <w:rsid w:val="12B66D86"/>
    <w:rsid w:val="12BF0B21"/>
    <w:rsid w:val="12CD03B8"/>
    <w:rsid w:val="130D4638"/>
    <w:rsid w:val="13101185"/>
    <w:rsid w:val="1341655E"/>
    <w:rsid w:val="13681C9A"/>
    <w:rsid w:val="136C0C40"/>
    <w:rsid w:val="136F35E3"/>
    <w:rsid w:val="13781BA9"/>
    <w:rsid w:val="13795F78"/>
    <w:rsid w:val="138168D8"/>
    <w:rsid w:val="1392644D"/>
    <w:rsid w:val="13B063E6"/>
    <w:rsid w:val="13CB2430"/>
    <w:rsid w:val="13CB7620"/>
    <w:rsid w:val="13E41D8D"/>
    <w:rsid w:val="13F916A7"/>
    <w:rsid w:val="13FD07C4"/>
    <w:rsid w:val="141E54B3"/>
    <w:rsid w:val="14343527"/>
    <w:rsid w:val="143D51D7"/>
    <w:rsid w:val="14764A2B"/>
    <w:rsid w:val="14861F22"/>
    <w:rsid w:val="14975EDD"/>
    <w:rsid w:val="14A315DB"/>
    <w:rsid w:val="14B04869"/>
    <w:rsid w:val="14C40126"/>
    <w:rsid w:val="14C86ACA"/>
    <w:rsid w:val="14D71D91"/>
    <w:rsid w:val="14E36954"/>
    <w:rsid w:val="14EC2B2A"/>
    <w:rsid w:val="15106BEC"/>
    <w:rsid w:val="15133EBD"/>
    <w:rsid w:val="151571DE"/>
    <w:rsid w:val="153A11CB"/>
    <w:rsid w:val="153F447E"/>
    <w:rsid w:val="153F76B6"/>
    <w:rsid w:val="15526562"/>
    <w:rsid w:val="157016BD"/>
    <w:rsid w:val="15835778"/>
    <w:rsid w:val="158E7517"/>
    <w:rsid w:val="158F338F"/>
    <w:rsid w:val="1592716A"/>
    <w:rsid w:val="159479A9"/>
    <w:rsid w:val="15BE4F56"/>
    <w:rsid w:val="15C011AC"/>
    <w:rsid w:val="15C06836"/>
    <w:rsid w:val="15DF690B"/>
    <w:rsid w:val="16013DF0"/>
    <w:rsid w:val="16060B35"/>
    <w:rsid w:val="16206C36"/>
    <w:rsid w:val="162A24CE"/>
    <w:rsid w:val="162A4822"/>
    <w:rsid w:val="16312F53"/>
    <w:rsid w:val="163306D5"/>
    <w:rsid w:val="166D0E71"/>
    <w:rsid w:val="166F6930"/>
    <w:rsid w:val="167C48D5"/>
    <w:rsid w:val="169329E3"/>
    <w:rsid w:val="16BC1504"/>
    <w:rsid w:val="16F16BD6"/>
    <w:rsid w:val="1718183F"/>
    <w:rsid w:val="17191015"/>
    <w:rsid w:val="1742005E"/>
    <w:rsid w:val="1782465C"/>
    <w:rsid w:val="17872239"/>
    <w:rsid w:val="178B181B"/>
    <w:rsid w:val="178B77D1"/>
    <w:rsid w:val="17A0542A"/>
    <w:rsid w:val="17AA5BF2"/>
    <w:rsid w:val="17B64FD4"/>
    <w:rsid w:val="17DC162C"/>
    <w:rsid w:val="17EE19D8"/>
    <w:rsid w:val="17EF32A9"/>
    <w:rsid w:val="180343DA"/>
    <w:rsid w:val="180C3852"/>
    <w:rsid w:val="181632BF"/>
    <w:rsid w:val="18182993"/>
    <w:rsid w:val="181E5AC1"/>
    <w:rsid w:val="18325178"/>
    <w:rsid w:val="183439B4"/>
    <w:rsid w:val="18357D8B"/>
    <w:rsid w:val="18474A6C"/>
    <w:rsid w:val="18721B95"/>
    <w:rsid w:val="18892E31"/>
    <w:rsid w:val="18933AF4"/>
    <w:rsid w:val="18D11906"/>
    <w:rsid w:val="18D514BD"/>
    <w:rsid w:val="18DE6471"/>
    <w:rsid w:val="192B03C1"/>
    <w:rsid w:val="19404B90"/>
    <w:rsid w:val="194C0970"/>
    <w:rsid w:val="19540841"/>
    <w:rsid w:val="19576FC7"/>
    <w:rsid w:val="19650A2C"/>
    <w:rsid w:val="19736EC8"/>
    <w:rsid w:val="19826E41"/>
    <w:rsid w:val="199575C5"/>
    <w:rsid w:val="19B41A2B"/>
    <w:rsid w:val="19B9573F"/>
    <w:rsid w:val="19C31B88"/>
    <w:rsid w:val="19C90920"/>
    <w:rsid w:val="19DD2D01"/>
    <w:rsid w:val="19EA04AD"/>
    <w:rsid w:val="19F47FB1"/>
    <w:rsid w:val="19FE07AD"/>
    <w:rsid w:val="1A0326D5"/>
    <w:rsid w:val="1A0D1D97"/>
    <w:rsid w:val="1A175565"/>
    <w:rsid w:val="1A2662D5"/>
    <w:rsid w:val="1A2C2862"/>
    <w:rsid w:val="1A417B14"/>
    <w:rsid w:val="1A5031E3"/>
    <w:rsid w:val="1A5E5CF1"/>
    <w:rsid w:val="1A672203"/>
    <w:rsid w:val="1A6E0A87"/>
    <w:rsid w:val="1A7C6E81"/>
    <w:rsid w:val="1A7E3FC5"/>
    <w:rsid w:val="1A827A4B"/>
    <w:rsid w:val="1A8A6851"/>
    <w:rsid w:val="1A937D09"/>
    <w:rsid w:val="1AAC144B"/>
    <w:rsid w:val="1AB3327E"/>
    <w:rsid w:val="1AB85F99"/>
    <w:rsid w:val="1ABA1498"/>
    <w:rsid w:val="1AC37D98"/>
    <w:rsid w:val="1AE37CB8"/>
    <w:rsid w:val="1AEA6731"/>
    <w:rsid w:val="1AFF71DA"/>
    <w:rsid w:val="1B041DF3"/>
    <w:rsid w:val="1B0800C8"/>
    <w:rsid w:val="1B0951AD"/>
    <w:rsid w:val="1B09632A"/>
    <w:rsid w:val="1B0D7BBB"/>
    <w:rsid w:val="1B4F1FA6"/>
    <w:rsid w:val="1B51298E"/>
    <w:rsid w:val="1B5B58E0"/>
    <w:rsid w:val="1B5E636A"/>
    <w:rsid w:val="1B655B0A"/>
    <w:rsid w:val="1B6C313C"/>
    <w:rsid w:val="1B7F7729"/>
    <w:rsid w:val="1BAD407B"/>
    <w:rsid w:val="1BB82887"/>
    <w:rsid w:val="1BB93737"/>
    <w:rsid w:val="1BCB4AC5"/>
    <w:rsid w:val="1C007061"/>
    <w:rsid w:val="1C007E8F"/>
    <w:rsid w:val="1C350D93"/>
    <w:rsid w:val="1C4B7B4E"/>
    <w:rsid w:val="1C564680"/>
    <w:rsid w:val="1C576669"/>
    <w:rsid w:val="1C5E771A"/>
    <w:rsid w:val="1C687115"/>
    <w:rsid w:val="1C7376AE"/>
    <w:rsid w:val="1C7650CC"/>
    <w:rsid w:val="1C780AB9"/>
    <w:rsid w:val="1CA830C0"/>
    <w:rsid w:val="1CAE183C"/>
    <w:rsid w:val="1CCC34E4"/>
    <w:rsid w:val="1CE41D71"/>
    <w:rsid w:val="1CF03180"/>
    <w:rsid w:val="1D0D31E0"/>
    <w:rsid w:val="1D246FA7"/>
    <w:rsid w:val="1D25014C"/>
    <w:rsid w:val="1D3312EC"/>
    <w:rsid w:val="1D3625D3"/>
    <w:rsid w:val="1D423E55"/>
    <w:rsid w:val="1D4F5786"/>
    <w:rsid w:val="1D582AE9"/>
    <w:rsid w:val="1D7B6E10"/>
    <w:rsid w:val="1D9C583C"/>
    <w:rsid w:val="1DBD69DF"/>
    <w:rsid w:val="1DDF07E8"/>
    <w:rsid w:val="1DF0724B"/>
    <w:rsid w:val="1DF666F2"/>
    <w:rsid w:val="1DFF7113"/>
    <w:rsid w:val="1E021A5C"/>
    <w:rsid w:val="1E280946"/>
    <w:rsid w:val="1E4B125C"/>
    <w:rsid w:val="1E634454"/>
    <w:rsid w:val="1E6F7CCF"/>
    <w:rsid w:val="1E7C180B"/>
    <w:rsid w:val="1EB057EC"/>
    <w:rsid w:val="1EBD72BB"/>
    <w:rsid w:val="1ECD7436"/>
    <w:rsid w:val="1EE042A4"/>
    <w:rsid w:val="1EF51645"/>
    <w:rsid w:val="1EF52CEF"/>
    <w:rsid w:val="1F0377CD"/>
    <w:rsid w:val="1F4557FF"/>
    <w:rsid w:val="1F4D4F77"/>
    <w:rsid w:val="1F5934FE"/>
    <w:rsid w:val="1F685689"/>
    <w:rsid w:val="1F6C20D8"/>
    <w:rsid w:val="1F8968AD"/>
    <w:rsid w:val="1F8C6256"/>
    <w:rsid w:val="1F8D668A"/>
    <w:rsid w:val="1F995060"/>
    <w:rsid w:val="1FB44A01"/>
    <w:rsid w:val="1FB950C6"/>
    <w:rsid w:val="1FF64791"/>
    <w:rsid w:val="1FF861A6"/>
    <w:rsid w:val="200535A0"/>
    <w:rsid w:val="2014691B"/>
    <w:rsid w:val="201F4E20"/>
    <w:rsid w:val="204342E6"/>
    <w:rsid w:val="20490330"/>
    <w:rsid w:val="20495081"/>
    <w:rsid w:val="209276F8"/>
    <w:rsid w:val="20AB0428"/>
    <w:rsid w:val="20B1136C"/>
    <w:rsid w:val="20CA38E4"/>
    <w:rsid w:val="20CD68BF"/>
    <w:rsid w:val="20CF245F"/>
    <w:rsid w:val="20DC3C5F"/>
    <w:rsid w:val="20DE5172"/>
    <w:rsid w:val="20E22BD6"/>
    <w:rsid w:val="21055969"/>
    <w:rsid w:val="211D5F33"/>
    <w:rsid w:val="212F7F40"/>
    <w:rsid w:val="21304103"/>
    <w:rsid w:val="214F37F2"/>
    <w:rsid w:val="215A2123"/>
    <w:rsid w:val="216424B3"/>
    <w:rsid w:val="218A4872"/>
    <w:rsid w:val="21A43BF7"/>
    <w:rsid w:val="21B61EF9"/>
    <w:rsid w:val="21BE6182"/>
    <w:rsid w:val="21BF3167"/>
    <w:rsid w:val="21C2076C"/>
    <w:rsid w:val="21E85C3D"/>
    <w:rsid w:val="21F01C7D"/>
    <w:rsid w:val="21F20BEE"/>
    <w:rsid w:val="21FA23CA"/>
    <w:rsid w:val="220678F4"/>
    <w:rsid w:val="222910C2"/>
    <w:rsid w:val="223F003C"/>
    <w:rsid w:val="224A45D4"/>
    <w:rsid w:val="225362AE"/>
    <w:rsid w:val="226E578F"/>
    <w:rsid w:val="22730939"/>
    <w:rsid w:val="227F5E20"/>
    <w:rsid w:val="2286507D"/>
    <w:rsid w:val="22976CC3"/>
    <w:rsid w:val="229B1AD7"/>
    <w:rsid w:val="229F5DF2"/>
    <w:rsid w:val="22A27ACE"/>
    <w:rsid w:val="22A32B5A"/>
    <w:rsid w:val="22A9702B"/>
    <w:rsid w:val="22B413EF"/>
    <w:rsid w:val="22B608D3"/>
    <w:rsid w:val="22CA0B5F"/>
    <w:rsid w:val="22E2470B"/>
    <w:rsid w:val="22ED2CEB"/>
    <w:rsid w:val="231B1310"/>
    <w:rsid w:val="232079E6"/>
    <w:rsid w:val="235F7D09"/>
    <w:rsid w:val="23843AD1"/>
    <w:rsid w:val="238834D8"/>
    <w:rsid w:val="238A06CE"/>
    <w:rsid w:val="23A927E7"/>
    <w:rsid w:val="23C17D28"/>
    <w:rsid w:val="23CD32F3"/>
    <w:rsid w:val="23E60868"/>
    <w:rsid w:val="23EA4E71"/>
    <w:rsid w:val="23FC3FAF"/>
    <w:rsid w:val="240D5427"/>
    <w:rsid w:val="24136406"/>
    <w:rsid w:val="24431139"/>
    <w:rsid w:val="244445F2"/>
    <w:rsid w:val="244A32F5"/>
    <w:rsid w:val="244C5052"/>
    <w:rsid w:val="246965AA"/>
    <w:rsid w:val="24751932"/>
    <w:rsid w:val="247E7C74"/>
    <w:rsid w:val="2490545A"/>
    <w:rsid w:val="24987FAE"/>
    <w:rsid w:val="24A15E2E"/>
    <w:rsid w:val="24AB62D2"/>
    <w:rsid w:val="24BB56AF"/>
    <w:rsid w:val="24C40471"/>
    <w:rsid w:val="24CC1BD9"/>
    <w:rsid w:val="24D40A88"/>
    <w:rsid w:val="24DC0178"/>
    <w:rsid w:val="24EF1DD5"/>
    <w:rsid w:val="24F411FC"/>
    <w:rsid w:val="24FC1211"/>
    <w:rsid w:val="25093223"/>
    <w:rsid w:val="251863BD"/>
    <w:rsid w:val="25324DA6"/>
    <w:rsid w:val="253504A8"/>
    <w:rsid w:val="253A0C62"/>
    <w:rsid w:val="253D3FCB"/>
    <w:rsid w:val="254616C2"/>
    <w:rsid w:val="255010F9"/>
    <w:rsid w:val="255C1929"/>
    <w:rsid w:val="255E7B13"/>
    <w:rsid w:val="255F6F76"/>
    <w:rsid w:val="25690516"/>
    <w:rsid w:val="256F2FD3"/>
    <w:rsid w:val="25706DEF"/>
    <w:rsid w:val="2577673F"/>
    <w:rsid w:val="25820B1E"/>
    <w:rsid w:val="258E3703"/>
    <w:rsid w:val="25A95F86"/>
    <w:rsid w:val="25D60BB4"/>
    <w:rsid w:val="25DD5A95"/>
    <w:rsid w:val="25E60A73"/>
    <w:rsid w:val="25FD2DF8"/>
    <w:rsid w:val="261167EA"/>
    <w:rsid w:val="2621314C"/>
    <w:rsid w:val="26225065"/>
    <w:rsid w:val="26286B07"/>
    <w:rsid w:val="264A575E"/>
    <w:rsid w:val="267F4AED"/>
    <w:rsid w:val="2699701F"/>
    <w:rsid w:val="26C4486E"/>
    <w:rsid w:val="26CA18B4"/>
    <w:rsid w:val="26DC5545"/>
    <w:rsid w:val="26DE3037"/>
    <w:rsid w:val="26DE5D41"/>
    <w:rsid w:val="26F71637"/>
    <w:rsid w:val="26F717BB"/>
    <w:rsid w:val="26FA5D38"/>
    <w:rsid w:val="26FE2DDA"/>
    <w:rsid w:val="27084A19"/>
    <w:rsid w:val="27251853"/>
    <w:rsid w:val="272A4EDE"/>
    <w:rsid w:val="272F3D4A"/>
    <w:rsid w:val="273B59CC"/>
    <w:rsid w:val="27406E67"/>
    <w:rsid w:val="276B512C"/>
    <w:rsid w:val="276D5D05"/>
    <w:rsid w:val="277C5FFF"/>
    <w:rsid w:val="27AC3280"/>
    <w:rsid w:val="27B75D74"/>
    <w:rsid w:val="27BC18D6"/>
    <w:rsid w:val="27C37772"/>
    <w:rsid w:val="27CE0402"/>
    <w:rsid w:val="27F35A0B"/>
    <w:rsid w:val="27FD20A3"/>
    <w:rsid w:val="280921E7"/>
    <w:rsid w:val="2809658F"/>
    <w:rsid w:val="28102525"/>
    <w:rsid w:val="2810621E"/>
    <w:rsid w:val="28161BD2"/>
    <w:rsid w:val="28262078"/>
    <w:rsid w:val="283F090E"/>
    <w:rsid w:val="28653BC8"/>
    <w:rsid w:val="286544DC"/>
    <w:rsid w:val="286730F6"/>
    <w:rsid w:val="287E2B17"/>
    <w:rsid w:val="288922E0"/>
    <w:rsid w:val="28956780"/>
    <w:rsid w:val="28A91F05"/>
    <w:rsid w:val="28AC3268"/>
    <w:rsid w:val="28C05476"/>
    <w:rsid w:val="28C31193"/>
    <w:rsid w:val="28CF4EC6"/>
    <w:rsid w:val="28D339F4"/>
    <w:rsid w:val="28EB041A"/>
    <w:rsid w:val="290870D1"/>
    <w:rsid w:val="290C6471"/>
    <w:rsid w:val="29424EDD"/>
    <w:rsid w:val="294A2312"/>
    <w:rsid w:val="294B5F8F"/>
    <w:rsid w:val="295E3F32"/>
    <w:rsid w:val="29604833"/>
    <w:rsid w:val="296108D7"/>
    <w:rsid w:val="296543A1"/>
    <w:rsid w:val="29661D26"/>
    <w:rsid w:val="29687318"/>
    <w:rsid w:val="296A3D9E"/>
    <w:rsid w:val="296C1C4F"/>
    <w:rsid w:val="29733A70"/>
    <w:rsid w:val="297D349C"/>
    <w:rsid w:val="29813528"/>
    <w:rsid w:val="29A46C7B"/>
    <w:rsid w:val="29A803F6"/>
    <w:rsid w:val="29B16839"/>
    <w:rsid w:val="29CC359F"/>
    <w:rsid w:val="29D20843"/>
    <w:rsid w:val="29FA419C"/>
    <w:rsid w:val="29FC797A"/>
    <w:rsid w:val="2A1278F4"/>
    <w:rsid w:val="2A1D556D"/>
    <w:rsid w:val="2A2278CB"/>
    <w:rsid w:val="2A435155"/>
    <w:rsid w:val="2A6B66D4"/>
    <w:rsid w:val="2AA93F3A"/>
    <w:rsid w:val="2AC0006E"/>
    <w:rsid w:val="2AC83C59"/>
    <w:rsid w:val="2AC9566A"/>
    <w:rsid w:val="2ACB1218"/>
    <w:rsid w:val="2AD0122F"/>
    <w:rsid w:val="2AF05EF0"/>
    <w:rsid w:val="2AF726FB"/>
    <w:rsid w:val="2AFE7F1E"/>
    <w:rsid w:val="2B1E0F3F"/>
    <w:rsid w:val="2B4C2F39"/>
    <w:rsid w:val="2B4D0BF6"/>
    <w:rsid w:val="2B500A8C"/>
    <w:rsid w:val="2B5E7258"/>
    <w:rsid w:val="2B7339CC"/>
    <w:rsid w:val="2B75645A"/>
    <w:rsid w:val="2B7952E1"/>
    <w:rsid w:val="2BC41A3D"/>
    <w:rsid w:val="2BC84ECE"/>
    <w:rsid w:val="2BD610BA"/>
    <w:rsid w:val="2BE84831"/>
    <w:rsid w:val="2BF4428B"/>
    <w:rsid w:val="2BF7287A"/>
    <w:rsid w:val="2BFB53D6"/>
    <w:rsid w:val="2C0D7F07"/>
    <w:rsid w:val="2C270104"/>
    <w:rsid w:val="2C412912"/>
    <w:rsid w:val="2C600681"/>
    <w:rsid w:val="2C673F8F"/>
    <w:rsid w:val="2C6B6AD0"/>
    <w:rsid w:val="2C7D70E0"/>
    <w:rsid w:val="2C7F6EC4"/>
    <w:rsid w:val="2C8579E9"/>
    <w:rsid w:val="2C8B7F10"/>
    <w:rsid w:val="2C9573E5"/>
    <w:rsid w:val="2CD51BCE"/>
    <w:rsid w:val="2CD51DAE"/>
    <w:rsid w:val="2CEA23B8"/>
    <w:rsid w:val="2D0240A7"/>
    <w:rsid w:val="2D104812"/>
    <w:rsid w:val="2D1E6664"/>
    <w:rsid w:val="2D212E42"/>
    <w:rsid w:val="2D2D653D"/>
    <w:rsid w:val="2D3D7237"/>
    <w:rsid w:val="2D412A32"/>
    <w:rsid w:val="2D5F12F9"/>
    <w:rsid w:val="2D63650F"/>
    <w:rsid w:val="2D667EB5"/>
    <w:rsid w:val="2D6F4A22"/>
    <w:rsid w:val="2D7B5871"/>
    <w:rsid w:val="2D8E10AC"/>
    <w:rsid w:val="2DA80BD0"/>
    <w:rsid w:val="2DC82C81"/>
    <w:rsid w:val="2DE10E82"/>
    <w:rsid w:val="2DE67507"/>
    <w:rsid w:val="2DEA0DBC"/>
    <w:rsid w:val="2E014E35"/>
    <w:rsid w:val="2E68192E"/>
    <w:rsid w:val="2E6908E2"/>
    <w:rsid w:val="2E6E0A6B"/>
    <w:rsid w:val="2E6F3034"/>
    <w:rsid w:val="2E6F5815"/>
    <w:rsid w:val="2E7E4EC7"/>
    <w:rsid w:val="2E7F3081"/>
    <w:rsid w:val="2E82083C"/>
    <w:rsid w:val="2E8817F1"/>
    <w:rsid w:val="2E994324"/>
    <w:rsid w:val="2EA150D6"/>
    <w:rsid w:val="2EA54143"/>
    <w:rsid w:val="2EA94BCA"/>
    <w:rsid w:val="2EAC151F"/>
    <w:rsid w:val="2EAE0F12"/>
    <w:rsid w:val="2EE01898"/>
    <w:rsid w:val="2EFC3203"/>
    <w:rsid w:val="2F4C5F88"/>
    <w:rsid w:val="2F561699"/>
    <w:rsid w:val="2F662AEB"/>
    <w:rsid w:val="2F781423"/>
    <w:rsid w:val="2F7F7D8D"/>
    <w:rsid w:val="2F8F71D1"/>
    <w:rsid w:val="2F946BAF"/>
    <w:rsid w:val="2F9D1538"/>
    <w:rsid w:val="2FBD12CD"/>
    <w:rsid w:val="2FC01B8F"/>
    <w:rsid w:val="2FCC77D2"/>
    <w:rsid w:val="2FD3619A"/>
    <w:rsid w:val="2FED624F"/>
    <w:rsid w:val="2FED674E"/>
    <w:rsid w:val="2FFA774F"/>
    <w:rsid w:val="30153D4B"/>
    <w:rsid w:val="30213318"/>
    <w:rsid w:val="30304946"/>
    <w:rsid w:val="303153C6"/>
    <w:rsid w:val="304950F3"/>
    <w:rsid w:val="307F2776"/>
    <w:rsid w:val="30896EDA"/>
    <w:rsid w:val="309B3D02"/>
    <w:rsid w:val="309B6AE4"/>
    <w:rsid w:val="30A905A7"/>
    <w:rsid w:val="30C00E18"/>
    <w:rsid w:val="30D038C8"/>
    <w:rsid w:val="30ED3919"/>
    <w:rsid w:val="30F00A9E"/>
    <w:rsid w:val="30FB3336"/>
    <w:rsid w:val="31163404"/>
    <w:rsid w:val="31376B26"/>
    <w:rsid w:val="31386790"/>
    <w:rsid w:val="313A6116"/>
    <w:rsid w:val="31495154"/>
    <w:rsid w:val="3164048A"/>
    <w:rsid w:val="319348A8"/>
    <w:rsid w:val="31952E88"/>
    <w:rsid w:val="319C5513"/>
    <w:rsid w:val="319E0C7E"/>
    <w:rsid w:val="319F390A"/>
    <w:rsid w:val="31A12370"/>
    <w:rsid w:val="31A634F5"/>
    <w:rsid w:val="31EF701F"/>
    <w:rsid w:val="320D2E45"/>
    <w:rsid w:val="322315EB"/>
    <w:rsid w:val="3227050A"/>
    <w:rsid w:val="322D35E3"/>
    <w:rsid w:val="324036B7"/>
    <w:rsid w:val="32496B0E"/>
    <w:rsid w:val="32527B2F"/>
    <w:rsid w:val="326B6BFE"/>
    <w:rsid w:val="32736AA6"/>
    <w:rsid w:val="32903763"/>
    <w:rsid w:val="329409DA"/>
    <w:rsid w:val="32947E6A"/>
    <w:rsid w:val="32996F9E"/>
    <w:rsid w:val="32A75452"/>
    <w:rsid w:val="32AF51F9"/>
    <w:rsid w:val="32CA466B"/>
    <w:rsid w:val="32D03E5F"/>
    <w:rsid w:val="32D34A95"/>
    <w:rsid w:val="32F20196"/>
    <w:rsid w:val="32F56BB8"/>
    <w:rsid w:val="32F713DD"/>
    <w:rsid w:val="32FC18B9"/>
    <w:rsid w:val="33032F5C"/>
    <w:rsid w:val="3308118F"/>
    <w:rsid w:val="330D37B2"/>
    <w:rsid w:val="33110DF5"/>
    <w:rsid w:val="332542B6"/>
    <w:rsid w:val="333B09B5"/>
    <w:rsid w:val="333B1365"/>
    <w:rsid w:val="333C172B"/>
    <w:rsid w:val="335069F3"/>
    <w:rsid w:val="33545D48"/>
    <w:rsid w:val="335556EC"/>
    <w:rsid w:val="336D7D7F"/>
    <w:rsid w:val="33862E87"/>
    <w:rsid w:val="339473F9"/>
    <w:rsid w:val="33B259F6"/>
    <w:rsid w:val="33BD6603"/>
    <w:rsid w:val="33C017EB"/>
    <w:rsid w:val="33C02980"/>
    <w:rsid w:val="33D449AB"/>
    <w:rsid w:val="33E06871"/>
    <w:rsid w:val="33E15735"/>
    <w:rsid w:val="33EC51C8"/>
    <w:rsid w:val="33F50EBD"/>
    <w:rsid w:val="34041FFD"/>
    <w:rsid w:val="340665AD"/>
    <w:rsid w:val="340C71BA"/>
    <w:rsid w:val="34156C3D"/>
    <w:rsid w:val="341C7131"/>
    <w:rsid w:val="341D0CDE"/>
    <w:rsid w:val="341F42E0"/>
    <w:rsid w:val="345711FF"/>
    <w:rsid w:val="346D569C"/>
    <w:rsid w:val="346F72A2"/>
    <w:rsid w:val="3471595B"/>
    <w:rsid w:val="34790882"/>
    <w:rsid w:val="34872F78"/>
    <w:rsid w:val="34911C30"/>
    <w:rsid w:val="34950869"/>
    <w:rsid w:val="34A23AE8"/>
    <w:rsid w:val="34B16D25"/>
    <w:rsid w:val="34D66B8A"/>
    <w:rsid w:val="35091C62"/>
    <w:rsid w:val="35185D15"/>
    <w:rsid w:val="3527071D"/>
    <w:rsid w:val="35292A71"/>
    <w:rsid w:val="352E2117"/>
    <w:rsid w:val="352E381F"/>
    <w:rsid w:val="354770D3"/>
    <w:rsid w:val="355071F7"/>
    <w:rsid w:val="35571E35"/>
    <w:rsid w:val="35607593"/>
    <w:rsid w:val="356D16E2"/>
    <w:rsid w:val="356E2BCD"/>
    <w:rsid w:val="358B1DFA"/>
    <w:rsid w:val="35986FC0"/>
    <w:rsid w:val="35A065EC"/>
    <w:rsid w:val="35A149B6"/>
    <w:rsid w:val="35B2271F"/>
    <w:rsid w:val="35D10F3F"/>
    <w:rsid w:val="35D1698F"/>
    <w:rsid w:val="35D854A5"/>
    <w:rsid w:val="35FA58AB"/>
    <w:rsid w:val="36104E5C"/>
    <w:rsid w:val="362071D0"/>
    <w:rsid w:val="36270973"/>
    <w:rsid w:val="36415277"/>
    <w:rsid w:val="365A0522"/>
    <w:rsid w:val="366178B7"/>
    <w:rsid w:val="3664038B"/>
    <w:rsid w:val="36A606B9"/>
    <w:rsid w:val="36CF368F"/>
    <w:rsid w:val="36E53D4B"/>
    <w:rsid w:val="36ED732B"/>
    <w:rsid w:val="36F237E7"/>
    <w:rsid w:val="36F32C36"/>
    <w:rsid w:val="36F56A18"/>
    <w:rsid w:val="36F823B4"/>
    <w:rsid w:val="371A3782"/>
    <w:rsid w:val="37235B55"/>
    <w:rsid w:val="37436123"/>
    <w:rsid w:val="376435F9"/>
    <w:rsid w:val="37822CC9"/>
    <w:rsid w:val="37892411"/>
    <w:rsid w:val="378E04A6"/>
    <w:rsid w:val="37B64023"/>
    <w:rsid w:val="37C01AB0"/>
    <w:rsid w:val="37CD5111"/>
    <w:rsid w:val="37D0627B"/>
    <w:rsid w:val="37D23E7A"/>
    <w:rsid w:val="37E85BF9"/>
    <w:rsid w:val="38084878"/>
    <w:rsid w:val="38174CA8"/>
    <w:rsid w:val="383B71ED"/>
    <w:rsid w:val="38420800"/>
    <w:rsid w:val="386A712E"/>
    <w:rsid w:val="386C0218"/>
    <w:rsid w:val="389E3E04"/>
    <w:rsid w:val="38A72D0D"/>
    <w:rsid w:val="38B344A1"/>
    <w:rsid w:val="38B864F5"/>
    <w:rsid w:val="38D1368A"/>
    <w:rsid w:val="38E075A3"/>
    <w:rsid w:val="38E451C1"/>
    <w:rsid w:val="38E714DF"/>
    <w:rsid w:val="38E928A1"/>
    <w:rsid w:val="38EC08A6"/>
    <w:rsid w:val="38F03EA1"/>
    <w:rsid w:val="38F20A3D"/>
    <w:rsid w:val="38F45408"/>
    <w:rsid w:val="38F90CE7"/>
    <w:rsid w:val="391150FA"/>
    <w:rsid w:val="3911653F"/>
    <w:rsid w:val="39136C16"/>
    <w:rsid w:val="391B7319"/>
    <w:rsid w:val="391E2E3B"/>
    <w:rsid w:val="392E1DE8"/>
    <w:rsid w:val="393A4406"/>
    <w:rsid w:val="39665583"/>
    <w:rsid w:val="39667717"/>
    <w:rsid w:val="397C563E"/>
    <w:rsid w:val="39A717A5"/>
    <w:rsid w:val="39B80576"/>
    <w:rsid w:val="39BA19BC"/>
    <w:rsid w:val="39D83C39"/>
    <w:rsid w:val="39F755D0"/>
    <w:rsid w:val="39FB68DA"/>
    <w:rsid w:val="39FC1C7C"/>
    <w:rsid w:val="3A0C0440"/>
    <w:rsid w:val="3A23257A"/>
    <w:rsid w:val="3A5218F0"/>
    <w:rsid w:val="3A70620C"/>
    <w:rsid w:val="3A843C5D"/>
    <w:rsid w:val="3A89474D"/>
    <w:rsid w:val="3AA14448"/>
    <w:rsid w:val="3AA85584"/>
    <w:rsid w:val="3AD6045A"/>
    <w:rsid w:val="3AD75E45"/>
    <w:rsid w:val="3AF22F87"/>
    <w:rsid w:val="3B08422D"/>
    <w:rsid w:val="3B433EFA"/>
    <w:rsid w:val="3B44033E"/>
    <w:rsid w:val="3B442A0F"/>
    <w:rsid w:val="3B470165"/>
    <w:rsid w:val="3B551E8C"/>
    <w:rsid w:val="3B565ADA"/>
    <w:rsid w:val="3B6A1800"/>
    <w:rsid w:val="3B6C511E"/>
    <w:rsid w:val="3B6D66AC"/>
    <w:rsid w:val="3B75247A"/>
    <w:rsid w:val="3B782BCE"/>
    <w:rsid w:val="3B820C02"/>
    <w:rsid w:val="3B882893"/>
    <w:rsid w:val="3B8C1A59"/>
    <w:rsid w:val="3B9E0AC0"/>
    <w:rsid w:val="3BA33E7F"/>
    <w:rsid w:val="3BB065F9"/>
    <w:rsid w:val="3BC662C5"/>
    <w:rsid w:val="3BCD5D5A"/>
    <w:rsid w:val="3BE865FC"/>
    <w:rsid w:val="3BFF595F"/>
    <w:rsid w:val="3C044B76"/>
    <w:rsid w:val="3C1F1095"/>
    <w:rsid w:val="3C370656"/>
    <w:rsid w:val="3C3D2D6D"/>
    <w:rsid w:val="3C5E4409"/>
    <w:rsid w:val="3C613B2F"/>
    <w:rsid w:val="3C683C77"/>
    <w:rsid w:val="3C7C6AAD"/>
    <w:rsid w:val="3C811C8B"/>
    <w:rsid w:val="3C844D2C"/>
    <w:rsid w:val="3C84640F"/>
    <w:rsid w:val="3C8547B6"/>
    <w:rsid w:val="3C8A5C39"/>
    <w:rsid w:val="3CA220CC"/>
    <w:rsid w:val="3CA25CED"/>
    <w:rsid w:val="3CB917C5"/>
    <w:rsid w:val="3CE65B80"/>
    <w:rsid w:val="3CED19F9"/>
    <w:rsid w:val="3CFB4382"/>
    <w:rsid w:val="3D071A51"/>
    <w:rsid w:val="3D16470A"/>
    <w:rsid w:val="3D17011E"/>
    <w:rsid w:val="3D1971C9"/>
    <w:rsid w:val="3D2339B0"/>
    <w:rsid w:val="3D24277A"/>
    <w:rsid w:val="3D27391A"/>
    <w:rsid w:val="3D343CF8"/>
    <w:rsid w:val="3D412091"/>
    <w:rsid w:val="3D55542E"/>
    <w:rsid w:val="3D7C641E"/>
    <w:rsid w:val="3D8653A5"/>
    <w:rsid w:val="3DCD68E2"/>
    <w:rsid w:val="3DEC4757"/>
    <w:rsid w:val="3E001008"/>
    <w:rsid w:val="3E2249EA"/>
    <w:rsid w:val="3E2335F5"/>
    <w:rsid w:val="3E3F338A"/>
    <w:rsid w:val="3E4C17AC"/>
    <w:rsid w:val="3E781FED"/>
    <w:rsid w:val="3E871F62"/>
    <w:rsid w:val="3E9B3FB0"/>
    <w:rsid w:val="3EA757EB"/>
    <w:rsid w:val="3EB0397D"/>
    <w:rsid w:val="3ED5122D"/>
    <w:rsid w:val="3ED64218"/>
    <w:rsid w:val="3EDC3929"/>
    <w:rsid w:val="3EF71E77"/>
    <w:rsid w:val="3F02520A"/>
    <w:rsid w:val="3F0E47F7"/>
    <w:rsid w:val="3F140C05"/>
    <w:rsid w:val="3F1438D0"/>
    <w:rsid w:val="3F7504EC"/>
    <w:rsid w:val="3F76684C"/>
    <w:rsid w:val="3F775C4A"/>
    <w:rsid w:val="3F7E129A"/>
    <w:rsid w:val="3F9623E1"/>
    <w:rsid w:val="3F9E6CC5"/>
    <w:rsid w:val="3F9F0C7F"/>
    <w:rsid w:val="3FA03B08"/>
    <w:rsid w:val="401E3624"/>
    <w:rsid w:val="405278A4"/>
    <w:rsid w:val="405549A5"/>
    <w:rsid w:val="405D5078"/>
    <w:rsid w:val="405E6411"/>
    <w:rsid w:val="40624F67"/>
    <w:rsid w:val="406F0273"/>
    <w:rsid w:val="40720403"/>
    <w:rsid w:val="40801533"/>
    <w:rsid w:val="408B14D6"/>
    <w:rsid w:val="40AE3A22"/>
    <w:rsid w:val="40C407F2"/>
    <w:rsid w:val="40E5738A"/>
    <w:rsid w:val="40E92A92"/>
    <w:rsid w:val="40EC19EF"/>
    <w:rsid w:val="40ED5EF4"/>
    <w:rsid w:val="410E3153"/>
    <w:rsid w:val="413E35DB"/>
    <w:rsid w:val="41481434"/>
    <w:rsid w:val="41687A0A"/>
    <w:rsid w:val="416D7B57"/>
    <w:rsid w:val="417D5613"/>
    <w:rsid w:val="418E6412"/>
    <w:rsid w:val="41A158B4"/>
    <w:rsid w:val="41B06236"/>
    <w:rsid w:val="41B150A0"/>
    <w:rsid w:val="41BE24F6"/>
    <w:rsid w:val="41C5794D"/>
    <w:rsid w:val="41DF4854"/>
    <w:rsid w:val="41E55D31"/>
    <w:rsid w:val="41E719A3"/>
    <w:rsid w:val="41F463EA"/>
    <w:rsid w:val="420524E3"/>
    <w:rsid w:val="420C4A1C"/>
    <w:rsid w:val="42153DB5"/>
    <w:rsid w:val="42223843"/>
    <w:rsid w:val="424E7180"/>
    <w:rsid w:val="424F0502"/>
    <w:rsid w:val="424F0901"/>
    <w:rsid w:val="425D39D3"/>
    <w:rsid w:val="426B127B"/>
    <w:rsid w:val="427A2D38"/>
    <w:rsid w:val="42B12DD8"/>
    <w:rsid w:val="42BD7C06"/>
    <w:rsid w:val="42C741F0"/>
    <w:rsid w:val="42CC06E9"/>
    <w:rsid w:val="42DD27EA"/>
    <w:rsid w:val="42F23616"/>
    <w:rsid w:val="42F957C3"/>
    <w:rsid w:val="430640AA"/>
    <w:rsid w:val="43115B2C"/>
    <w:rsid w:val="43134B5F"/>
    <w:rsid w:val="431B4E0D"/>
    <w:rsid w:val="431D186A"/>
    <w:rsid w:val="431D408D"/>
    <w:rsid w:val="432537ED"/>
    <w:rsid w:val="43335F7C"/>
    <w:rsid w:val="43344A94"/>
    <w:rsid w:val="43543B1C"/>
    <w:rsid w:val="43651149"/>
    <w:rsid w:val="43661E8D"/>
    <w:rsid w:val="43793946"/>
    <w:rsid w:val="437E37E6"/>
    <w:rsid w:val="43A42FAD"/>
    <w:rsid w:val="43AF2DF9"/>
    <w:rsid w:val="43B2264F"/>
    <w:rsid w:val="43B615BF"/>
    <w:rsid w:val="43D9500A"/>
    <w:rsid w:val="43E039DC"/>
    <w:rsid w:val="43EF5F0D"/>
    <w:rsid w:val="43F82916"/>
    <w:rsid w:val="44093E52"/>
    <w:rsid w:val="441F7DEB"/>
    <w:rsid w:val="442A5E65"/>
    <w:rsid w:val="443056E5"/>
    <w:rsid w:val="44310CA5"/>
    <w:rsid w:val="4437253E"/>
    <w:rsid w:val="44395E17"/>
    <w:rsid w:val="443B7544"/>
    <w:rsid w:val="446745AE"/>
    <w:rsid w:val="449C7C39"/>
    <w:rsid w:val="449E13CC"/>
    <w:rsid w:val="449F47B6"/>
    <w:rsid w:val="44A313CA"/>
    <w:rsid w:val="44A75203"/>
    <w:rsid w:val="44B44465"/>
    <w:rsid w:val="44CC6046"/>
    <w:rsid w:val="44CF29DF"/>
    <w:rsid w:val="44D04970"/>
    <w:rsid w:val="44DA6D31"/>
    <w:rsid w:val="44FB3AAC"/>
    <w:rsid w:val="450A6349"/>
    <w:rsid w:val="450C108D"/>
    <w:rsid w:val="45122318"/>
    <w:rsid w:val="4514129C"/>
    <w:rsid w:val="452433D1"/>
    <w:rsid w:val="452F71C3"/>
    <w:rsid w:val="4535521C"/>
    <w:rsid w:val="453B73EB"/>
    <w:rsid w:val="455A2292"/>
    <w:rsid w:val="455F0463"/>
    <w:rsid w:val="456A5E5D"/>
    <w:rsid w:val="456C22DF"/>
    <w:rsid w:val="457747E9"/>
    <w:rsid w:val="45962E38"/>
    <w:rsid w:val="45985479"/>
    <w:rsid w:val="45A25818"/>
    <w:rsid w:val="45A72015"/>
    <w:rsid w:val="45B0500E"/>
    <w:rsid w:val="45C003B5"/>
    <w:rsid w:val="45CF4C28"/>
    <w:rsid w:val="45DE5140"/>
    <w:rsid w:val="461857FD"/>
    <w:rsid w:val="464B2EC1"/>
    <w:rsid w:val="465E2B5A"/>
    <w:rsid w:val="465F5FAB"/>
    <w:rsid w:val="46937966"/>
    <w:rsid w:val="469670EB"/>
    <w:rsid w:val="469B0019"/>
    <w:rsid w:val="46C8451E"/>
    <w:rsid w:val="46D10D08"/>
    <w:rsid w:val="46DC2ED2"/>
    <w:rsid w:val="46DE281A"/>
    <w:rsid w:val="46E362EA"/>
    <w:rsid w:val="46E36EA8"/>
    <w:rsid w:val="46F44434"/>
    <w:rsid w:val="471A2957"/>
    <w:rsid w:val="47354378"/>
    <w:rsid w:val="473E2065"/>
    <w:rsid w:val="474E5C2D"/>
    <w:rsid w:val="47501BEA"/>
    <w:rsid w:val="47811D60"/>
    <w:rsid w:val="478B3EA1"/>
    <w:rsid w:val="47BC5DDF"/>
    <w:rsid w:val="47C611E1"/>
    <w:rsid w:val="47C75E99"/>
    <w:rsid w:val="48060E00"/>
    <w:rsid w:val="480757B5"/>
    <w:rsid w:val="48112DF5"/>
    <w:rsid w:val="481D3E1B"/>
    <w:rsid w:val="4833632B"/>
    <w:rsid w:val="48480FDC"/>
    <w:rsid w:val="484B4060"/>
    <w:rsid w:val="48613839"/>
    <w:rsid w:val="486255F7"/>
    <w:rsid w:val="488766BA"/>
    <w:rsid w:val="48927BC1"/>
    <w:rsid w:val="48A573C4"/>
    <w:rsid w:val="48C73832"/>
    <w:rsid w:val="48C84A4E"/>
    <w:rsid w:val="48C92956"/>
    <w:rsid w:val="48D5229E"/>
    <w:rsid w:val="48DB6392"/>
    <w:rsid w:val="48DE4A40"/>
    <w:rsid w:val="48DE5A8A"/>
    <w:rsid w:val="48EA0324"/>
    <w:rsid w:val="490D203C"/>
    <w:rsid w:val="49156466"/>
    <w:rsid w:val="49563CFB"/>
    <w:rsid w:val="4958173B"/>
    <w:rsid w:val="49795FFB"/>
    <w:rsid w:val="49964168"/>
    <w:rsid w:val="49975D5B"/>
    <w:rsid w:val="49A43DFB"/>
    <w:rsid w:val="49AC2E97"/>
    <w:rsid w:val="49B37716"/>
    <w:rsid w:val="49B51131"/>
    <w:rsid w:val="49BD7C4B"/>
    <w:rsid w:val="49C4798E"/>
    <w:rsid w:val="49D534D6"/>
    <w:rsid w:val="49D722FD"/>
    <w:rsid w:val="49E34E1E"/>
    <w:rsid w:val="49E35060"/>
    <w:rsid w:val="49EA6F4B"/>
    <w:rsid w:val="4A0F122A"/>
    <w:rsid w:val="4A1F3F79"/>
    <w:rsid w:val="4A205A78"/>
    <w:rsid w:val="4A3014C9"/>
    <w:rsid w:val="4A3B11EF"/>
    <w:rsid w:val="4A3E3EA8"/>
    <w:rsid w:val="4A413C1A"/>
    <w:rsid w:val="4A635C95"/>
    <w:rsid w:val="4A6600F9"/>
    <w:rsid w:val="4AA31EFE"/>
    <w:rsid w:val="4AAA41EA"/>
    <w:rsid w:val="4AAE4F20"/>
    <w:rsid w:val="4ABC2486"/>
    <w:rsid w:val="4AE14CC4"/>
    <w:rsid w:val="4AE47532"/>
    <w:rsid w:val="4AE93CF0"/>
    <w:rsid w:val="4B020799"/>
    <w:rsid w:val="4B0F7EEE"/>
    <w:rsid w:val="4B174FB8"/>
    <w:rsid w:val="4B1A30DA"/>
    <w:rsid w:val="4B1F2616"/>
    <w:rsid w:val="4B540936"/>
    <w:rsid w:val="4B544586"/>
    <w:rsid w:val="4B5C6A91"/>
    <w:rsid w:val="4B685C53"/>
    <w:rsid w:val="4B830468"/>
    <w:rsid w:val="4B864278"/>
    <w:rsid w:val="4BC86823"/>
    <w:rsid w:val="4BD21C9F"/>
    <w:rsid w:val="4BDE6A5C"/>
    <w:rsid w:val="4BE25D54"/>
    <w:rsid w:val="4BE72A08"/>
    <w:rsid w:val="4BF24C0D"/>
    <w:rsid w:val="4BF73ADD"/>
    <w:rsid w:val="4BF8524F"/>
    <w:rsid w:val="4C287DA9"/>
    <w:rsid w:val="4C4461E5"/>
    <w:rsid w:val="4C705603"/>
    <w:rsid w:val="4C7C404B"/>
    <w:rsid w:val="4C8E600D"/>
    <w:rsid w:val="4CB3533B"/>
    <w:rsid w:val="4CBF195C"/>
    <w:rsid w:val="4CD17CB7"/>
    <w:rsid w:val="4CD81353"/>
    <w:rsid w:val="4CDE6EC6"/>
    <w:rsid w:val="4CF25EB1"/>
    <w:rsid w:val="4CFB3F36"/>
    <w:rsid w:val="4D2A30A0"/>
    <w:rsid w:val="4D423C40"/>
    <w:rsid w:val="4D473C5B"/>
    <w:rsid w:val="4D4A5CD5"/>
    <w:rsid w:val="4D610693"/>
    <w:rsid w:val="4D6A118E"/>
    <w:rsid w:val="4D773769"/>
    <w:rsid w:val="4D8F6FFC"/>
    <w:rsid w:val="4D977CC1"/>
    <w:rsid w:val="4D9C4EC8"/>
    <w:rsid w:val="4DA573A0"/>
    <w:rsid w:val="4DBA3621"/>
    <w:rsid w:val="4DEE0E05"/>
    <w:rsid w:val="4DF46063"/>
    <w:rsid w:val="4E007573"/>
    <w:rsid w:val="4E01203E"/>
    <w:rsid w:val="4E225580"/>
    <w:rsid w:val="4E2361C3"/>
    <w:rsid w:val="4E51463F"/>
    <w:rsid w:val="4E761535"/>
    <w:rsid w:val="4E7E4AC1"/>
    <w:rsid w:val="4E912624"/>
    <w:rsid w:val="4E9D74E6"/>
    <w:rsid w:val="4EA005F7"/>
    <w:rsid w:val="4EA12155"/>
    <w:rsid w:val="4EAC23FF"/>
    <w:rsid w:val="4EC20205"/>
    <w:rsid w:val="4ECA505F"/>
    <w:rsid w:val="4EF72285"/>
    <w:rsid w:val="4EFD0E06"/>
    <w:rsid w:val="4EFD4DC5"/>
    <w:rsid w:val="4F045897"/>
    <w:rsid w:val="4F14695E"/>
    <w:rsid w:val="4F1E6705"/>
    <w:rsid w:val="4F345C39"/>
    <w:rsid w:val="4F555455"/>
    <w:rsid w:val="4F633DE4"/>
    <w:rsid w:val="4F873FBD"/>
    <w:rsid w:val="4FA16B87"/>
    <w:rsid w:val="4FA9610E"/>
    <w:rsid w:val="4FB7383E"/>
    <w:rsid w:val="4FEF153F"/>
    <w:rsid w:val="4FFB433E"/>
    <w:rsid w:val="4FFE173E"/>
    <w:rsid w:val="4FFF29A0"/>
    <w:rsid w:val="501546E4"/>
    <w:rsid w:val="501B687E"/>
    <w:rsid w:val="502B33A2"/>
    <w:rsid w:val="50411F34"/>
    <w:rsid w:val="504D74F9"/>
    <w:rsid w:val="50672B75"/>
    <w:rsid w:val="506D1EF6"/>
    <w:rsid w:val="50760FBA"/>
    <w:rsid w:val="50806924"/>
    <w:rsid w:val="509B22D6"/>
    <w:rsid w:val="509B3135"/>
    <w:rsid w:val="50AD3B7C"/>
    <w:rsid w:val="50B86D24"/>
    <w:rsid w:val="50C865FC"/>
    <w:rsid w:val="50D20872"/>
    <w:rsid w:val="50F42810"/>
    <w:rsid w:val="511A4054"/>
    <w:rsid w:val="514260BB"/>
    <w:rsid w:val="514A7CA0"/>
    <w:rsid w:val="517B6B73"/>
    <w:rsid w:val="51881C7F"/>
    <w:rsid w:val="51902887"/>
    <w:rsid w:val="51AA02F7"/>
    <w:rsid w:val="51AA36FD"/>
    <w:rsid w:val="51AB795F"/>
    <w:rsid w:val="51AE0661"/>
    <w:rsid w:val="51D704FC"/>
    <w:rsid w:val="51D83C22"/>
    <w:rsid w:val="51E952C3"/>
    <w:rsid w:val="51FF53EF"/>
    <w:rsid w:val="5211086C"/>
    <w:rsid w:val="523B54CC"/>
    <w:rsid w:val="52584576"/>
    <w:rsid w:val="526E2A95"/>
    <w:rsid w:val="52853D2E"/>
    <w:rsid w:val="528A0CF3"/>
    <w:rsid w:val="52DE59D2"/>
    <w:rsid w:val="52E716F2"/>
    <w:rsid w:val="52E9654A"/>
    <w:rsid w:val="52EB291E"/>
    <w:rsid w:val="52FA7C57"/>
    <w:rsid w:val="53035653"/>
    <w:rsid w:val="53102DC5"/>
    <w:rsid w:val="53300CDF"/>
    <w:rsid w:val="5330754C"/>
    <w:rsid w:val="53342B51"/>
    <w:rsid w:val="533559B9"/>
    <w:rsid w:val="53471F8A"/>
    <w:rsid w:val="536858E5"/>
    <w:rsid w:val="536C185B"/>
    <w:rsid w:val="536F17F8"/>
    <w:rsid w:val="53BF3E64"/>
    <w:rsid w:val="53DE2CEA"/>
    <w:rsid w:val="54000CB2"/>
    <w:rsid w:val="540C0B95"/>
    <w:rsid w:val="540E0B38"/>
    <w:rsid w:val="540F5A5E"/>
    <w:rsid w:val="544116F3"/>
    <w:rsid w:val="547D0BE8"/>
    <w:rsid w:val="548B6175"/>
    <w:rsid w:val="54AD538F"/>
    <w:rsid w:val="54B95DA2"/>
    <w:rsid w:val="54E7072F"/>
    <w:rsid w:val="54E70D4A"/>
    <w:rsid w:val="54E925BC"/>
    <w:rsid w:val="54EC4CE3"/>
    <w:rsid w:val="54EF6DA8"/>
    <w:rsid w:val="54F4406B"/>
    <w:rsid w:val="55022000"/>
    <w:rsid w:val="5507036B"/>
    <w:rsid w:val="550C5F40"/>
    <w:rsid w:val="552342B2"/>
    <w:rsid w:val="55284354"/>
    <w:rsid w:val="55497BA5"/>
    <w:rsid w:val="55693EF8"/>
    <w:rsid w:val="55770A4C"/>
    <w:rsid w:val="55856661"/>
    <w:rsid w:val="55BB058B"/>
    <w:rsid w:val="55C45883"/>
    <w:rsid w:val="55D20BF8"/>
    <w:rsid w:val="55D6725A"/>
    <w:rsid w:val="55F036E1"/>
    <w:rsid w:val="56030598"/>
    <w:rsid w:val="56071196"/>
    <w:rsid w:val="561B449A"/>
    <w:rsid w:val="562A5988"/>
    <w:rsid w:val="56405339"/>
    <w:rsid w:val="56757036"/>
    <w:rsid w:val="56777341"/>
    <w:rsid w:val="56853B04"/>
    <w:rsid w:val="56890D17"/>
    <w:rsid w:val="568F48E7"/>
    <w:rsid w:val="56BF1825"/>
    <w:rsid w:val="56C87550"/>
    <w:rsid w:val="56CA54F8"/>
    <w:rsid w:val="56E02FD5"/>
    <w:rsid w:val="56E82E0C"/>
    <w:rsid w:val="56FC53DE"/>
    <w:rsid w:val="570B32D8"/>
    <w:rsid w:val="570F292F"/>
    <w:rsid w:val="573B50DF"/>
    <w:rsid w:val="573C2BA9"/>
    <w:rsid w:val="57525DF2"/>
    <w:rsid w:val="575940E9"/>
    <w:rsid w:val="575D66C7"/>
    <w:rsid w:val="576B2950"/>
    <w:rsid w:val="577A18B9"/>
    <w:rsid w:val="578229E4"/>
    <w:rsid w:val="57827DA9"/>
    <w:rsid w:val="578C4852"/>
    <w:rsid w:val="57947DFF"/>
    <w:rsid w:val="57991FD1"/>
    <w:rsid w:val="57AD1999"/>
    <w:rsid w:val="57B815C7"/>
    <w:rsid w:val="57C82DD6"/>
    <w:rsid w:val="57CA0BFC"/>
    <w:rsid w:val="57D06F9F"/>
    <w:rsid w:val="57DB2419"/>
    <w:rsid w:val="57E253DC"/>
    <w:rsid w:val="57E41A79"/>
    <w:rsid w:val="57E717A3"/>
    <w:rsid w:val="57EA64DD"/>
    <w:rsid w:val="580947CA"/>
    <w:rsid w:val="581657D2"/>
    <w:rsid w:val="58195B77"/>
    <w:rsid w:val="581A3DBE"/>
    <w:rsid w:val="582405BE"/>
    <w:rsid w:val="582E0941"/>
    <w:rsid w:val="583702C1"/>
    <w:rsid w:val="58403274"/>
    <w:rsid w:val="58661283"/>
    <w:rsid w:val="58755E25"/>
    <w:rsid w:val="5891469F"/>
    <w:rsid w:val="589B0D83"/>
    <w:rsid w:val="589C6E37"/>
    <w:rsid w:val="58A25E60"/>
    <w:rsid w:val="58BA4C9E"/>
    <w:rsid w:val="58C32C1B"/>
    <w:rsid w:val="58C87BD9"/>
    <w:rsid w:val="58D4116F"/>
    <w:rsid w:val="58EC2702"/>
    <w:rsid w:val="590E2701"/>
    <w:rsid w:val="59100194"/>
    <w:rsid w:val="591F0ED5"/>
    <w:rsid w:val="59337AAC"/>
    <w:rsid w:val="59363467"/>
    <w:rsid w:val="59612CE1"/>
    <w:rsid w:val="596617A3"/>
    <w:rsid w:val="597A1046"/>
    <w:rsid w:val="59A87E7D"/>
    <w:rsid w:val="59B01907"/>
    <w:rsid w:val="59BF7EC8"/>
    <w:rsid w:val="59D152B0"/>
    <w:rsid w:val="59E27E22"/>
    <w:rsid w:val="59E63C16"/>
    <w:rsid w:val="59E90909"/>
    <w:rsid w:val="59EF3385"/>
    <w:rsid w:val="59F56773"/>
    <w:rsid w:val="5A056EC8"/>
    <w:rsid w:val="5A126368"/>
    <w:rsid w:val="5A3D185F"/>
    <w:rsid w:val="5A454347"/>
    <w:rsid w:val="5A576401"/>
    <w:rsid w:val="5A5D4262"/>
    <w:rsid w:val="5A632865"/>
    <w:rsid w:val="5AB107AD"/>
    <w:rsid w:val="5AB41C06"/>
    <w:rsid w:val="5ACB3E1E"/>
    <w:rsid w:val="5AFE46D2"/>
    <w:rsid w:val="5B0F36A4"/>
    <w:rsid w:val="5B1700C9"/>
    <w:rsid w:val="5B1E1D7F"/>
    <w:rsid w:val="5B1E20CC"/>
    <w:rsid w:val="5B243F61"/>
    <w:rsid w:val="5B292967"/>
    <w:rsid w:val="5B3B7D73"/>
    <w:rsid w:val="5B463169"/>
    <w:rsid w:val="5B770594"/>
    <w:rsid w:val="5B8D3E55"/>
    <w:rsid w:val="5BA0423E"/>
    <w:rsid w:val="5BAB4B68"/>
    <w:rsid w:val="5BAD352A"/>
    <w:rsid w:val="5BB36CE8"/>
    <w:rsid w:val="5BC7719A"/>
    <w:rsid w:val="5BCE2125"/>
    <w:rsid w:val="5BD4380F"/>
    <w:rsid w:val="5BE973CF"/>
    <w:rsid w:val="5C0841AE"/>
    <w:rsid w:val="5C1A5CBD"/>
    <w:rsid w:val="5C1F2252"/>
    <w:rsid w:val="5C4D073C"/>
    <w:rsid w:val="5C510503"/>
    <w:rsid w:val="5C5E2588"/>
    <w:rsid w:val="5C746FFF"/>
    <w:rsid w:val="5C7C16F9"/>
    <w:rsid w:val="5C800ADC"/>
    <w:rsid w:val="5C8503AE"/>
    <w:rsid w:val="5C8A6799"/>
    <w:rsid w:val="5CB45C7E"/>
    <w:rsid w:val="5CE50405"/>
    <w:rsid w:val="5D0D6CA7"/>
    <w:rsid w:val="5D1F3376"/>
    <w:rsid w:val="5D234BD6"/>
    <w:rsid w:val="5D302CB8"/>
    <w:rsid w:val="5D391387"/>
    <w:rsid w:val="5D491496"/>
    <w:rsid w:val="5D59261F"/>
    <w:rsid w:val="5D615756"/>
    <w:rsid w:val="5D6A33A6"/>
    <w:rsid w:val="5D6A4128"/>
    <w:rsid w:val="5D7313CE"/>
    <w:rsid w:val="5D7A2845"/>
    <w:rsid w:val="5D7A334D"/>
    <w:rsid w:val="5D7C3AA1"/>
    <w:rsid w:val="5D831FCE"/>
    <w:rsid w:val="5D841CC9"/>
    <w:rsid w:val="5D9F0731"/>
    <w:rsid w:val="5DAA343B"/>
    <w:rsid w:val="5DC132A4"/>
    <w:rsid w:val="5DE46A36"/>
    <w:rsid w:val="5DE65BCF"/>
    <w:rsid w:val="5DEB5F1F"/>
    <w:rsid w:val="5DF119DE"/>
    <w:rsid w:val="5E016C56"/>
    <w:rsid w:val="5E194CF6"/>
    <w:rsid w:val="5E282A1A"/>
    <w:rsid w:val="5E444113"/>
    <w:rsid w:val="5E57028E"/>
    <w:rsid w:val="5E695B81"/>
    <w:rsid w:val="5E74247D"/>
    <w:rsid w:val="5E783A5C"/>
    <w:rsid w:val="5E787EEA"/>
    <w:rsid w:val="5E82444B"/>
    <w:rsid w:val="5E8714D6"/>
    <w:rsid w:val="5E943C0F"/>
    <w:rsid w:val="5E9B7F33"/>
    <w:rsid w:val="5E9D7002"/>
    <w:rsid w:val="5EC01FD1"/>
    <w:rsid w:val="5EC3254E"/>
    <w:rsid w:val="5EE3464D"/>
    <w:rsid w:val="5F093816"/>
    <w:rsid w:val="5F526F7E"/>
    <w:rsid w:val="5F5C1CC1"/>
    <w:rsid w:val="5F625727"/>
    <w:rsid w:val="5F6726E1"/>
    <w:rsid w:val="5F7D3F0A"/>
    <w:rsid w:val="5F9D018B"/>
    <w:rsid w:val="5FD249D2"/>
    <w:rsid w:val="5FED194F"/>
    <w:rsid w:val="5FEE1804"/>
    <w:rsid w:val="60165416"/>
    <w:rsid w:val="60217693"/>
    <w:rsid w:val="602A6B0A"/>
    <w:rsid w:val="60394403"/>
    <w:rsid w:val="60431F47"/>
    <w:rsid w:val="6051650D"/>
    <w:rsid w:val="60573981"/>
    <w:rsid w:val="60700A89"/>
    <w:rsid w:val="60730BA9"/>
    <w:rsid w:val="60903F97"/>
    <w:rsid w:val="609F5EBF"/>
    <w:rsid w:val="60B140C2"/>
    <w:rsid w:val="60B16BA4"/>
    <w:rsid w:val="60B33680"/>
    <w:rsid w:val="60C27D28"/>
    <w:rsid w:val="60DC3C4A"/>
    <w:rsid w:val="60DE3B76"/>
    <w:rsid w:val="6106450A"/>
    <w:rsid w:val="61084196"/>
    <w:rsid w:val="61113312"/>
    <w:rsid w:val="616C3F2B"/>
    <w:rsid w:val="617D728C"/>
    <w:rsid w:val="6199161C"/>
    <w:rsid w:val="61C95D7C"/>
    <w:rsid w:val="61DD1FC8"/>
    <w:rsid w:val="61E66B8F"/>
    <w:rsid w:val="61EC61E9"/>
    <w:rsid w:val="61F01D56"/>
    <w:rsid w:val="6210408C"/>
    <w:rsid w:val="621350B4"/>
    <w:rsid w:val="621C70F4"/>
    <w:rsid w:val="621E18A6"/>
    <w:rsid w:val="62306E8E"/>
    <w:rsid w:val="623B749E"/>
    <w:rsid w:val="62486BF2"/>
    <w:rsid w:val="624E38E1"/>
    <w:rsid w:val="62534617"/>
    <w:rsid w:val="625D2368"/>
    <w:rsid w:val="62773B4E"/>
    <w:rsid w:val="6282389D"/>
    <w:rsid w:val="62876D01"/>
    <w:rsid w:val="628F059D"/>
    <w:rsid w:val="62901FC1"/>
    <w:rsid w:val="62AF6BCA"/>
    <w:rsid w:val="62BF1D86"/>
    <w:rsid w:val="62C22E49"/>
    <w:rsid w:val="62D00233"/>
    <w:rsid w:val="62F42B1D"/>
    <w:rsid w:val="630447AC"/>
    <w:rsid w:val="630F50D4"/>
    <w:rsid w:val="63204FAA"/>
    <w:rsid w:val="632A2CE0"/>
    <w:rsid w:val="632B573B"/>
    <w:rsid w:val="633A69AE"/>
    <w:rsid w:val="63490F7E"/>
    <w:rsid w:val="634F539C"/>
    <w:rsid w:val="63527BB6"/>
    <w:rsid w:val="635713F2"/>
    <w:rsid w:val="636E1B91"/>
    <w:rsid w:val="637063CC"/>
    <w:rsid w:val="63734432"/>
    <w:rsid w:val="63A2648A"/>
    <w:rsid w:val="63A31DC6"/>
    <w:rsid w:val="63B148F9"/>
    <w:rsid w:val="63C072F2"/>
    <w:rsid w:val="63CA22E3"/>
    <w:rsid w:val="63D52A9D"/>
    <w:rsid w:val="63FD6DAE"/>
    <w:rsid w:val="640C2418"/>
    <w:rsid w:val="64135334"/>
    <w:rsid w:val="641A1F44"/>
    <w:rsid w:val="641D3311"/>
    <w:rsid w:val="644C1BCC"/>
    <w:rsid w:val="64563B70"/>
    <w:rsid w:val="64591CC8"/>
    <w:rsid w:val="645D3529"/>
    <w:rsid w:val="64641137"/>
    <w:rsid w:val="646627A3"/>
    <w:rsid w:val="64675351"/>
    <w:rsid w:val="649412DE"/>
    <w:rsid w:val="649B4B54"/>
    <w:rsid w:val="64A05B0C"/>
    <w:rsid w:val="64A379DD"/>
    <w:rsid w:val="64A56F4D"/>
    <w:rsid w:val="64B20D10"/>
    <w:rsid w:val="64BD38CE"/>
    <w:rsid w:val="64C14848"/>
    <w:rsid w:val="64E42F30"/>
    <w:rsid w:val="64EB3A4D"/>
    <w:rsid w:val="64F04F5B"/>
    <w:rsid w:val="64F65C33"/>
    <w:rsid w:val="64FA6466"/>
    <w:rsid w:val="65324FAA"/>
    <w:rsid w:val="65392D94"/>
    <w:rsid w:val="65471BFB"/>
    <w:rsid w:val="654E4D37"/>
    <w:rsid w:val="655F3768"/>
    <w:rsid w:val="65646EB8"/>
    <w:rsid w:val="656A3E69"/>
    <w:rsid w:val="65790EFE"/>
    <w:rsid w:val="658665CE"/>
    <w:rsid w:val="658E2BB4"/>
    <w:rsid w:val="6596292A"/>
    <w:rsid w:val="659B012C"/>
    <w:rsid w:val="659F798A"/>
    <w:rsid w:val="65A536A5"/>
    <w:rsid w:val="65A71A12"/>
    <w:rsid w:val="65A962D4"/>
    <w:rsid w:val="65AB4911"/>
    <w:rsid w:val="65AF0BB4"/>
    <w:rsid w:val="65BC3620"/>
    <w:rsid w:val="65C80B1F"/>
    <w:rsid w:val="65D10E3D"/>
    <w:rsid w:val="66146283"/>
    <w:rsid w:val="661C1454"/>
    <w:rsid w:val="66203063"/>
    <w:rsid w:val="66247915"/>
    <w:rsid w:val="66307E03"/>
    <w:rsid w:val="66420109"/>
    <w:rsid w:val="66445A5D"/>
    <w:rsid w:val="664536F8"/>
    <w:rsid w:val="664B4671"/>
    <w:rsid w:val="665175F7"/>
    <w:rsid w:val="66644AC0"/>
    <w:rsid w:val="66662256"/>
    <w:rsid w:val="66C92E32"/>
    <w:rsid w:val="66CF3A38"/>
    <w:rsid w:val="66E65E53"/>
    <w:rsid w:val="66F607F7"/>
    <w:rsid w:val="670443B7"/>
    <w:rsid w:val="67254CE9"/>
    <w:rsid w:val="6754440C"/>
    <w:rsid w:val="675B5AF4"/>
    <w:rsid w:val="67693391"/>
    <w:rsid w:val="677F54C3"/>
    <w:rsid w:val="678316BA"/>
    <w:rsid w:val="67970EB3"/>
    <w:rsid w:val="6797552B"/>
    <w:rsid w:val="679C454B"/>
    <w:rsid w:val="67B67302"/>
    <w:rsid w:val="67D9418C"/>
    <w:rsid w:val="67DB2173"/>
    <w:rsid w:val="67E1461B"/>
    <w:rsid w:val="67E353F5"/>
    <w:rsid w:val="680E2FE6"/>
    <w:rsid w:val="68191BC3"/>
    <w:rsid w:val="682B63D8"/>
    <w:rsid w:val="683002E2"/>
    <w:rsid w:val="683A5D10"/>
    <w:rsid w:val="684D2177"/>
    <w:rsid w:val="685851E6"/>
    <w:rsid w:val="68745532"/>
    <w:rsid w:val="68752309"/>
    <w:rsid w:val="68754286"/>
    <w:rsid w:val="6885101C"/>
    <w:rsid w:val="688C3762"/>
    <w:rsid w:val="688F22C8"/>
    <w:rsid w:val="68901596"/>
    <w:rsid w:val="6897117D"/>
    <w:rsid w:val="68BB5364"/>
    <w:rsid w:val="68C161AA"/>
    <w:rsid w:val="68F06086"/>
    <w:rsid w:val="68F3635E"/>
    <w:rsid w:val="690C278F"/>
    <w:rsid w:val="691763A2"/>
    <w:rsid w:val="692A629F"/>
    <w:rsid w:val="69401F86"/>
    <w:rsid w:val="69496541"/>
    <w:rsid w:val="694E7FF6"/>
    <w:rsid w:val="695F694C"/>
    <w:rsid w:val="69833A20"/>
    <w:rsid w:val="698B0049"/>
    <w:rsid w:val="699968F7"/>
    <w:rsid w:val="69A47A61"/>
    <w:rsid w:val="69AA4F0B"/>
    <w:rsid w:val="69BF6266"/>
    <w:rsid w:val="69CE0D09"/>
    <w:rsid w:val="69E9049B"/>
    <w:rsid w:val="69F40A9A"/>
    <w:rsid w:val="6A0F10A5"/>
    <w:rsid w:val="6A181166"/>
    <w:rsid w:val="6A215C76"/>
    <w:rsid w:val="6A2F33FD"/>
    <w:rsid w:val="6A393310"/>
    <w:rsid w:val="6A4D0101"/>
    <w:rsid w:val="6A9E5065"/>
    <w:rsid w:val="6AB31E29"/>
    <w:rsid w:val="6AC14813"/>
    <w:rsid w:val="6AC55C1F"/>
    <w:rsid w:val="6AD84024"/>
    <w:rsid w:val="6ADD6C51"/>
    <w:rsid w:val="6AE01825"/>
    <w:rsid w:val="6AFE63C9"/>
    <w:rsid w:val="6B10479B"/>
    <w:rsid w:val="6B1F3640"/>
    <w:rsid w:val="6B2802D4"/>
    <w:rsid w:val="6B2A532C"/>
    <w:rsid w:val="6B3B0E93"/>
    <w:rsid w:val="6B68145B"/>
    <w:rsid w:val="6B797260"/>
    <w:rsid w:val="6B841D5D"/>
    <w:rsid w:val="6B846042"/>
    <w:rsid w:val="6B847C57"/>
    <w:rsid w:val="6B9278C7"/>
    <w:rsid w:val="6BA76D09"/>
    <w:rsid w:val="6BAE0CB8"/>
    <w:rsid w:val="6BB9072A"/>
    <w:rsid w:val="6BBB0AE6"/>
    <w:rsid w:val="6BCC15ED"/>
    <w:rsid w:val="6BFB5C33"/>
    <w:rsid w:val="6C0E5BDC"/>
    <w:rsid w:val="6C185AA6"/>
    <w:rsid w:val="6C2E77EE"/>
    <w:rsid w:val="6C3118AE"/>
    <w:rsid w:val="6C66732A"/>
    <w:rsid w:val="6C7E223D"/>
    <w:rsid w:val="6C943F83"/>
    <w:rsid w:val="6C9F234E"/>
    <w:rsid w:val="6CAA551B"/>
    <w:rsid w:val="6CAD21DD"/>
    <w:rsid w:val="6CD645F7"/>
    <w:rsid w:val="6CD7088B"/>
    <w:rsid w:val="6CDE55CC"/>
    <w:rsid w:val="6D04501E"/>
    <w:rsid w:val="6D076BAA"/>
    <w:rsid w:val="6D191BF6"/>
    <w:rsid w:val="6D1C280B"/>
    <w:rsid w:val="6D1F62C7"/>
    <w:rsid w:val="6D363087"/>
    <w:rsid w:val="6D3D4345"/>
    <w:rsid w:val="6D546E26"/>
    <w:rsid w:val="6D56618E"/>
    <w:rsid w:val="6D5A2D8C"/>
    <w:rsid w:val="6D845D9A"/>
    <w:rsid w:val="6D8913D9"/>
    <w:rsid w:val="6D9B49E3"/>
    <w:rsid w:val="6DBF7711"/>
    <w:rsid w:val="6DCF21BF"/>
    <w:rsid w:val="6DE025EE"/>
    <w:rsid w:val="6DE86E0D"/>
    <w:rsid w:val="6E086F28"/>
    <w:rsid w:val="6E1D187B"/>
    <w:rsid w:val="6E1E4916"/>
    <w:rsid w:val="6E311CC5"/>
    <w:rsid w:val="6E34707F"/>
    <w:rsid w:val="6E355AC2"/>
    <w:rsid w:val="6E4C5EDF"/>
    <w:rsid w:val="6E5E1B97"/>
    <w:rsid w:val="6E6164B5"/>
    <w:rsid w:val="6E66363A"/>
    <w:rsid w:val="6E6C10E5"/>
    <w:rsid w:val="6E720878"/>
    <w:rsid w:val="6E723152"/>
    <w:rsid w:val="6E7A4982"/>
    <w:rsid w:val="6EA445F4"/>
    <w:rsid w:val="6EC20E2F"/>
    <w:rsid w:val="6EEB75C5"/>
    <w:rsid w:val="6EF145E3"/>
    <w:rsid w:val="6EF16ADD"/>
    <w:rsid w:val="6F057BE2"/>
    <w:rsid w:val="6F286B53"/>
    <w:rsid w:val="6F2C740E"/>
    <w:rsid w:val="6F3730CD"/>
    <w:rsid w:val="6F427489"/>
    <w:rsid w:val="6F4765A8"/>
    <w:rsid w:val="6F5A7B79"/>
    <w:rsid w:val="6F6124E5"/>
    <w:rsid w:val="6F6A2952"/>
    <w:rsid w:val="6F70491A"/>
    <w:rsid w:val="6F844875"/>
    <w:rsid w:val="6FA07B46"/>
    <w:rsid w:val="6FA56875"/>
    <w:rsid w:val="6FBA1033"/>
    <w:rsid w:val="6FDF06FF"/>
    <w:rsid w:val="6FE13412"/>
    <w:rsid w:val="6FE922D4"/>
    <w:rsid w:val="6FF3171D"/>
    <w:rsid w:val="70097675"/>
    <w:rsid w:val="701D40FC"/>
    <w:rsid w:val="702C4B4C"/>
    <w:rsid w:val="70447E42"/>
    <w:rsid w:val="704F179E"/>
    <w:rsid w:val="7067761F"/>
    <w:rsid w:val="707C2518"/>
    <w:rsid w:val="709541F4"/>
    <w:rsid w:val="709D7A39"/>
    <w:rsid w:val="70A15701"/>
    <w:rsid w:val="70A74FB4"/>
    <w:rsid w:val="70AF516B"/>
    <w:rsid w:val="70B76D5C"/>
    <w:rsid w:val="70C65103"/>
    <w:rsid w:val="70CB08C5"/>
    <w:rsid w:val="70F42A05"/>
    <w:rsid w:val="70F5538E"/>
    <w:rsid w:val="710B2476"/>
    <w:rsid w:val="71125D9A"/>
    <w:rsid w:val="71276BFB"/>
    <w:rsid w:val="71367AFF"/>
    <w:rsid w:val="71373137"/>
    <w:rsid w:val="71536730"/>
    <w:rsid w:val="71570DF3"/>
    <w:rsid w:val="7157670D"/>
    <w:rsid w:val="716B3FD6"/>
    <w:rsid w:val="717E28B6"/>
    <w:rsid w:val="718737F0"/>
    <w:rsid w:val="718764FD"/>
    <w:rsid w:val="71876B16"/>
    <w:rsid w:val="718E72BD"/>
    <w:rsid w:val="71A53282"/>
    <w:rsid w:val="71CA5E2D"/>
    <w:rsid w:val="71D32ABA"/>
    <w:rsid w:val="71F20CDA"/>
    <w:rsid w:val="71F605C9"/>
    <w:rsid w:val="721E50C2"/>
    <w:rsid w:val="72245DAA"/>
    <w:rsid w:val="72313234"/>
    <w:rsid w:val="72354BCC"/>
    <w:rsid w:val="7242578E"/>
    <w:rsid w:val="725C15CC"/>
    <w:rsid w:val="726171D0"/>
    <w:rsid w:val="726B4C12"/>
    <w:rsid w:val="727F3F31"/>
    <w:rsid w:val="728E5708"/>
    <w:rsid w:val="72A86105"/>
    <w:rsid w:val="72AA64AC"/>
    <w:rsid w:val="72AB2968"/>
    <w:rsid w:val="72B60825"/>
    <w:rsid w:val="72BD01B9"/>
    <w:rsid w:val="72C921AE"/>
    <w:rsid w:val="72D75819"/>
    <w:rsid w:val="72E31A62"/>
    <w:rsid w:val="72F3388B"/>
    <w:rsid w:val="730300B4"/>
    <w:rsid w:val="73051DB5"/>
    <w:rsid w:val="730E4AA6"/>
    <w:rsid w:val="732859E9"/>
    <w:rsid w:val="73310C0A"/>
    <w:rsid w:val="733E5E7D"/>
    <w:rsid w:val="73410F5D"/>
    <w:rsid w:val="73493708"/>
    <w:rsid w:val="734E7C41"/>
    <w:rsid w:val="73516E5B"/>
    <w:rsid w:val="737C04CD"/>
    <w:rsid w:val="7383413F"/>
    <w:rsid w:val="7392159C"/>
    <w:rsid w:val="739350BC"/>
    <w:rsid w:val="739359BE"/>
    <w:rsid w:val="73D56FFD"/>
    <w:rsid w:val="74361F16"/>
    <w:rsid w:val="745A4B1C"/>
    <w:rsid w:val="745D7AFC"/>
    <w:rsid w:val="747C349C"/>
    <w:rsid w:val="747E09FF"/>
    <w:rsid w:val="74B11857"/>
    <w:rsid w:val="74B4108D"/>
    <w:rsid w:val="74E36D85"/>
    <w:rsid w:val="74F26B04"/>
    <w:rsid w:val="75156CDF"/>
    <w:rsid w:val="751906C2"/>
    <w:rsid w:val="751927B6"/>
    <w:rsid w:val="751C2A52"/>
    <w:rsid w:val="75345C85"/>
    <w:rsid w:val="754601B3"/>
    <w:rsid w:val="75487D39"/>
    <w:rsid w:val="754C03AA"/>
    <w:rsid w:val="75557F7D"/>
    <w:rsid w:val="755B68D9"/>
    <w:rsid w:val="75742C42"/>
    <w:rsid w:val="75770401"/>
    <w:rsid w:val="757E4AE4"/>
    <w:rsid w:val="75856021"/>
    <w:rsid w:val="75964872"/>
    <w:rsid w:val="759C31D5"/>
    <w:rsid w:val="759D5B22"/>
    <w:rsid w:val="759F34F5"/>
    <w:rsid w:val="75AF524A"/>
    <w:rsid w:val="75BD3B3A"/>
    <w:rsid w:val="75D00DC9"/>
    <w:rsid w:val="75DA6A9B"/>
    <w:rsid w:val="75E642C7"/>
    <w:rsid w:val="75ED3468"/>
    <w:rsid w:val="760F0425"/>
    <w:rsid w:val="763B00A6"/>
    <w:rsid w:val="764D4D87"/>
    <w:rsid w:val="766040B8"/>
    <w:rsid w:val="76635DFA"/>
    <w:rsid w:val="767D6AF7"/>
    <w:rsid w:val="7680745A"/>
    <w:rsid w:val="76875CD0"/>
    <w:rsid w:val="76AC04E9"/>
    <w:rsid w:val="76C57A93"/>
    <w:rsid w:val="76D063DC"/>
    <w:rsid w:val="76D317B8"/>
    <w:rsid w:val="76EF5C3F"/>
    <w:rsid w:val="76F33D06"/>
    <w:rsid w:val="770C0F88"/>
    <w:rsid w:val="77415952"/>
    <w:rsid w:val="775B5B1A"/>
    <w:rsid w:val="779B60E0"/>
    <w:rsid w:val="779F1444"/>
    <w:rsid w:val="77A32CF6"/>
    <w:rsid w:val="77A6151F"/>
    <w:rsid w:val="77AB5AE8"/>
    <w:rsid w:val="77CF5776"/>
    <w:rsid w:val="77F14CDD"/>
    <w:rsid w:val="77F708D4"/>
    <w:rsid w:val="77F82BC9"/>
    <w:rsid w:val="77F961EE"/>
    <w:rsid w:val="78037439"/>
    <w:rsid w:val="78091077"/>
    <w:rsid w:val="78146346"/>
    <w:rsid w:val="783740E0"/>
    <w:rsid w:val="783C589D"/>
    <w:rsid w:val="78402F20"/>
    <w:rsid w:val="784E0AB6"/>
    <w:rsid w:val="7851759A"/>
    <w:rsid w:val="78602992"/>
    <w:rsid w:val="78817405"/>
    <w:rsid w:val="788F43D0"/>
    <w:rsid w:val="7896026C"/>
    <w:rsid w:val="789A4674"/>
    <w:rsid w:val="78C16391"/>
    <w:rsid w:val="78DC4032"/>
    <w:rsid w:val="78ED0BF2"/>
    <w:rsid w:val="78FF167B"/>
    <w:rsid w:val="791F19EC"/>
    <w:rsid w:val="792D070A"/>
    <w:rsid w:val="792F2093"/>
    <w:rsid w:val="7936199A"/>
    <w:rsid w:val="79373E15"/>
    <w:rsid w:val="794F47FA"/>
    <w:rsid w:val="79576EBE"/>
    <w:rsid w:val="79660C9D"/>
    <w:rsid w:val="79792855"/>
    <w:rsid w:val="79880021"/>
    <w:rsid w:val="799720A1"/>
    <w:rsid w:val="79993F70"/>
    <w:rsid w:val="79AC11F0"/>
    <w:rsid w:val="79B24069"/>
    <w:rsid w:val="79B308F7"/>
    <w:rsid w:val="79C368D0"/>
    <w:rsid w:val="79D10676"/>
    <w:rsid w:val="79E6297C"/>
    <w:rsid w:val="79EA07C5"/>
    <w:rsid w:val="79EC7FA7"/>
    <w:rsid w:val="7A1E16FE"/>
    <w:rsid w:val="7A213067"/>
    <w:rsid w:val="7A3C6C06"/>
    <w:rsid w:val="7A647AE3"/>
    <w:rsid w:val="7A8E6A78"/>
    <w:rsid w:val="7A8E77D0"/>
    <w:rsid w:val="7AA636E7"/>
    <w:rsid w:val="7AAB4486"/>
    <w:rsid w:val="7ADA0F7F"/>
    <w:rsid w:val="7AF20DF2"/>
    <w:rsid w:val="7AF410CA"/>
    <w:rsid w:val="7AFD1537"/>
    <w:rsid w:val="7B10789F"/>
    <w:rsid w:val="7B193B5E"/>
    <w:rsid w:val="7B1D6BCC"/>
    <w:rsid w:val="7B1F2074"/>
    <w:rsid w:val="7B364021"/>
    <w:rsid w:val="7B3F225C"/>
    <w:rsid w:val="7B4F6249"/>
    <w:rsid w:val="7B561951"/>
    <w:rsid w:val="7B59683D"/>
    <w:rsid w:val="7B657887"/>
    <w:rsid w:val="7B6643F9"/>
    <w:rsid w:val="7B785D94"/>
    <w:rsid w:val="7B7D5773"/>
    <w:rsid w:val="7B7F4A97"/>
    <w:rsid w:val="7B811AEB"/>
    <w:rsid w:val="7B861F41"/>
    <w:rsid w:val="7B8C6B3B"/>
    <w:rsid w:val="7BC069C3"/>
    <w:rsid w:val="7BEA2980"/>
    <w:rsid w:val="7BFD16A1"/>
    <w:rsid w:val="7C097496"/>
    <w:rsid w:val="7C1B4915"/>
    <w:rsid w:val="7C276A62"/>
    <w:rsid w:val="7C2F2F6F"/>
    <w:rsid w:val="7C541183"/>
    <w:rsid w:val="7C946186"/>
    <w:rsid w:val="7CA96CD1"/>
    <w:rsid w:val="7CBD254E"/>
    <w:rsid w:val="7CC85521"/>
    <w:rsid w:val="7CD74706"/>
    <w:rsid w:val="7CDC35AA"/>
    <w:rsid w:val="7CEC3F02"/>
    <w:rsid w:val="7D06483F"/>
    <w:rsid w:val="7D486B04"/>
    <w:rsid w:val="7D5F09B7"/>
    <w:rsid w:val="7D6878F6"/>
    <w:rsid w:val="7D6C0F7F"/>
    <w:rsid w:val="7D7B22B7"/>
    <w:rsid w:val="7D7C2148"/>
    <w:rsid w:val="7DA4354E"/>
    <w:rsid w:val="7DB2284D"/>
    <w:rsid w:val="7DC53BB6"/>
    <w:rsid w:val="7DE077B6"/>
    <w:rsid w:val="7DE21CDA"/>
    <w:rsid w:val="7DE83E4C"/>
    <w:rsid w:val="7DF851CB"/>
    <w:rsid w:val="7DF90CF3"/>
    <w:rsid w:val="7E105DCB"/>
    <w:rsid w:val="7E187D1A"/>
    <w:rsid w:val="7E2E5C95"/>
    <w:rsid w:val="7E325778"/>
    <w:rsid w:val="7E3B133D"/>
    <w:rsid w:val="7E3C0BD8"/>
    <w:rsid w:val="7E856E9D"/>
    <w:rsid w:val="7E9F64DB"/>
    <w:rsid w:val="7EA22CAB"/>
    <w:rsid w:val="7EAD6022"/>
    <w:rsid w:val="7EB7044B"/>
    <w:rsid w:val="7EBB3E0F"/>
    <w:rsid w:val="7EC32F80"/>
    <w:rsid w:val="7EC6368B"/>
    <w:rsid w:val="7EE9283A"/>
    <w:rsid w:val="7EF4389D"/>
    <w:rsid w:val="7EF501BA"/>
    <w:rsid w:val="7EF9313A"/>
    <w:rsid w:val="7F165C81"/>
    <w:rsid w:val="7F266BE3"/>
    <w:rsid w:val="7F2841B1"/>
    <w:rsid w:val="7F443558"/>
    <w:rsid w:val="7F443941"/>
    <w:rsid w:val="7F482CAC"/>
    <w:rsid w:val="7F530614"/>
    <w:rsid w:val="7F5B69DD"/>
    <w:rsid w:val="7F636F13"/>
    <w:rsid w:val="7F67001C"/>
    <w:rsid w:val="7F732CD8"/>
    <w:rsid w:val="7F9B064F"/>
    <w:rsid w:val="7FAC4A66"/>
    <w:rsid w:val="7FBC10CA"/>
    <w:rsid w:val="7FD3344E"/>
    <w:rsid w:val="7FE16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autoRedefine/>
    <w:qFormat/>
    <w:uiPriority w:val="0"/>
    <w:pPr>
      <w:keepNext/>
      <w:keepLines/>
      <w:numPr>
        <w:ilvl w:val="0"/>
        <w:numId w:val="1"/>
      </w:numPr>
      <w:spacing w:before="340" w:after="330" w:line="576" w:lineRule="auto"/>
      <w:outlineLvl w:val="0"/>
    </w:pPr>
    <w:rPr>
      <w:b/>
      <w:bCs/>
      <w:kern w:val="44"/>
      <w:sz w:val="44"/>
      <w:szCs w:val="44"/>
    </w:rPr>
  </w:style>
  <w:style w:type="paragraph" w:styleId="3">
    <w:name w:val="heading 2"/>
    <w:basedOn w:val="1"/>
    <w:next w:val="1"/>
    <w:link w:val="120"/>
    <w:autoRedefine/>
    <w:qFormat/>
    <w:uiPriority w:val="0"/>
    <w:pPr>
      <w:keepNext/>
      <w:keepLines/>
      <w:numPr>
        <w:ilvl w:val="1"/>
        <w:numId w:val="1"/>
      </w:numPr>
      <w:spacing w:before="260" w:after="260" w:line="415" w:lineRule="auto"/>
      <w:outlineLvl w:val="1"/>
    </w:pPr>
    <w:rPr>
      <w:rFonts w:ascii="Arial" w:hAnsi="Arial" w:eastAsia="黑体"/>
      <w:b/>
      <w:kern w:val="0"/>
      <w:sz w:val="32"/>
      <w:szCs w:val="20"/>
    </w:rPr>
  </w:style>
  <w:style w:type="paragraph" w:styleId="4">
    <w:name w:val="heading 3"/>
    <w:basedOn w:val="1"/>
    <w:next w:val="1"/>
    <w:link w:val="146"/>
    <w:autoRedefine/>
    <w:qFormat/>
    <w:uiPriority w:val="0"/>
    <w:pPr>
      <w:keepNext/>
      <w:keepLines/>
      <w:numPr>
        <w:ilvl w:val="2"/>
        <w:numId w:val="1"/>
      </w:numPr>
      <w:spacing w:before="260" w:after="260" w:line="415" w:lineRule="auto"/>
      <w:outlineLvl w:val="2"/>
    </w:pPr>
    <w:rPr>
      <w:rFonts w:eastAsia="仿宋_GB2312"/>
      <w:b/>
      <w:bCs/>
      <w:kern w:val="0"/>
      <w:sz w:val="32"/>
      <w:szCs w:val="32"/>
    </w:rPr>
  </w:style>
  <w:style w:type="paragraph" w:styleId="5">
    <w:name w:val="heading 4"/>
    <w:basedOn w:val="1"/>
    <w:next w:val="1"/>
    <w:link w:val="123"/>
    <w:autoRedefine/>
    <w:qFormat/>
    <w:uiPriority w:val="0"/>
    <w:pPr>
      <w:keepNext/>
      <w:keepLines/>
      <w:numPr>
        <w:ilvl w:val="3"/>
        <w:numId w:val="1"/>
      </w:numPr>
      <w:spacing w:before="280" w:after="290" w:line="374" w:lineRule="auto"/>
      <w:outlineLvl w:val="3"/>
    </w:pPr>
    <w:rPr>
      <w:rFonts w:ascii="Arial" w:hAnsi="Arial" w:eastAsia="黑体"/>
      <w:b/>
      <w:bCs/>
      <w:kern w:val="0"/>
      <w:sz w:val="28"/>
      <w:szCs w:val="28"/>
    </w:rPr>
  </w:style>
  <w:style w:type="paragraph" w:styleId="6">
    <w:name w:val="heading 5"/>
    <w:basedOn w:val="1"/>
    <w:next w:val="1"/>
    <w:link w:val="113"/>
    <w:autoRedefine/>
    <w:qFormat/>
    <w:uiPriority w:val="0"/>
    <w:pPr>
      <w:keepNext/>
      <w:keepLines/>
      <w:numPr>
        <w:ilvl w:val="4"/>
        <w:numId w:val="1"/>
      </w:numPr>
      <w:spacing w:before="280" w:after="290" w:line="374" w:lineRule="auto"/>
      <w:outlineLvl w:val="4"/>
    </w:pPr>
    <w:rPr>
      <w:rFonts w:eastAsia="仿宋_GB2312"/>
      <w:b/>
      <w:bCs/>
      <w:kern w:val="0"/>
      <w:sz w:val="28"/>
      <w:szCs w:val="28"/>
    </w:rPr>
  </w:style>
  <w:style w:type="paragraph" w:styleId="7">
    <w:name w:val="heading 6"/>
    <w:basedOn w:val="1"/>
    <w:next w:val="1"/>
    <w:link w:val="133"/>
    <w:autoRedefine/>
    <w:qFormat/>
    <w:uiPriority w:val="0"/>
    <w:pPr>
      <w:keepNext/>
      <w:keepLines/>
      <w:numPr>
        <w:ilvl w:val="5"/>
        <w:numId w:val="1"/>
      </w:numPr>
      <w:spacing w:before="240" w:after="64" w:line="319" w:lineRule="auto"/>
      <w:outlineLvl w:val="5"/>
    </w:pPr>
    <w:rPr>
      <w:rFonts w:ascii="Arial" w:hAnsi="Arial" w:eastAsia="黑体"/>
      <w:b/>
      <w:bCs/>
      <w:kern w:val="0"/>
      <w:sz w:val="24"/>
    </w:rPr>
  </w:style>
  <w:style w:type="paragraph" w:styleId="8">
    <w:name w:val="heading 7"/>
    <w:basedOn w:val="1"/>
    <w:next w:val="1"/>
    <w:link w:val="126"/>
    <w:autoRedefine/>
    <w:qFormat/>
    <w:uiPriority w:val="0"/>
    <w:pPr>
      <w:keepNext/>
      <w:keepLines/>
      <w:numPr>
        <w:ilvl w:val="6"/>
        <w:numId w:val="1"/>
      </w:numPr>
      <w:spacing w:before="240" w:after="64" w:line="319" w:lineRule="auto"/>
      <w:outlineLvl w:val="6"/>
    </w:pPr>
    <w:rPr>
      <w:rFonts w:eastAsia="仿宋_GB2312"/>
      <w:b/>
      <w:bCs/>
      <w:kern w:val="0"/>
      <w:sz w:val="24"/>
    </w:rPr>
  </w:style>
  <w:style w:type="paragraph" w:styleId="9">
    <w:name w:val="heading 8"/>
    <w:basedOn w:val="1"/>
    <w:next w:val="1"/>
    <w:link w:val="110"/>
    <w:autoRedefine/>
    <w:qFormat/>
    <w:uiPriority w:val="0"/>
    <w:pPr>
      <w:keepNext/>
      <w:keepLines/>
      <w:numPr>
        <w:ilvl w:val="7"/>
        <w:numId w:val="1"/>
      </w:numPr>
      <w:spacing w:before="240" w:after="64" w:line="319" w:lineRule="auto"/>
      <w:outlineLvl w:val="7"/>
    </w:pPr>
    <w:rPr>
      <w:rFonts w:ascii="Arial" w:hAnsi="Arial" w:eastAsia="黑体"/>
      <w:kern w:val="0"/>
      <w:sz w:val="24"/>
    </w:rPr>
  </w:style>
  <w:style w:type="paragraph" w:styleId="10">
    <w:name w:val="heading 9"/>
    <w:basedOn w:val="1"/>
    <w:next w:val="1"/>
    <w:link w:val="140"/>
    <w:autoRedefine/>
    <w:qFormat/>
    <w:uiPriority w:val="0"/>
    <w:pPr>
      <w:keepNext/>
      <w:keepLines/>
      <w:numPr>
        <w:ilvl w:val="8"/>
        <w:numId w:val="1"/>
      </w:numPr>
      <w:spacing w:before="240" w:after="64" w:line="319" w:lineRule="auto"/>
      <w:outlineLvl w:val="8"/>
    </w:pPr>
    <w:rPr>
      <w:rFonts w:ascii="Arial" w:hAnsi="Arial" w:eastAsia="黑体"/>
      <w:kern w:val="0"/>
      <w:sz w:val="20"/>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rPr>
      <w:rFonts w:ascii="Calibri" w:hAnsi="Calibri"/>
      <w:szCs w:val="22"/>
    </w:rPr>
  </w:style>
  <w:style w:type="paragraph" w:styleId="12">
    <w:name w:val="Normal Indent"/>
    <w:basedOn w:val="1"/>
    <w:next w:val="13"/>
    <w:link w:val="87"/>
    <w:autoRedefine/>
    <w:qFormat/>
    <w:uiPriority w:val="0"/>
    <w:pPr>
      <w:ind w:firstLine="420" w:firstLineChars="200"/>
    </w:pPr>
  </w:style>
  <w:style w:type="paragraph" w:styleId="13">
    <w:name w:val="Body Text 2"/>
    <w:basedOn w:val="1"/>
    <w:autoRedefine/>
    <w:qFormat/>
    <w:uiPriority w:val="0"/>
    <w:pPr>
      <w:spacing w:after="120" w:line="480" w:lineRule="auto"/>
    </w:pPr>
  </w:style>
  <w:style w:type="paragraph" w:styleId="14">
    <w:name w:val="caption"/>
    <w:basedOn w:val="1"/>
    <w:next w:val="1"/>
    <w:autoRedefine/>
    <w:qFormat/>
    <w:uiPriority w:val="0"/>
    <w:rPr>
      <w:rFonts w:ascii="Cambria" w:hAnsi="Cambria" w:eastAsia="黑体" w:cs="Cambria"/>
      <w:sz w:val="20"/>
      <w:szCs w:val="20"/>
    </w:rPr>
  </w:style>
  <w:style w:type="paragraph" w:styleId="15">
    <w:name w:val="Document Map"/>
    <w:basedOn w:val="1"/>
    <w:link w:val="111"/>
    <w:autoRedefine/>
    <w:qFormat/>
    <w:uiPriority w:val="0"/>
    <w:rPr>
      <w:kern w:val="0"/>
      <w:sz w:val="18"/>
      <w:szCs w:val="18"/>
    </w:rPr>
  </w:style>
  <w:style w:type="paragraph" w:styleId="16">
    <w:name w:val="annotation text"/>
    <w:basedOn w:val="1"/>
    <w:link w:val="109"/>
    <w:autoRedefine/>
    <w:unhideWhenUsed/>
    <w:qFormat/>
    <w:uiPriority w:val="99"/>
    <w:pPr>
      <w:jc w:val="left"/>
    </w:pPr>
    <w:rPr>
      <w:kern w:val="0"/>
      <w:sz w:val="20"/>
    </w:rPr>
  </w:style>
  <w:style w:type="paragraph" w:styleId="17">
    <w:name w:val="Body Text 3"/>
    <w:basedOn w:val="1"/>
    <w:link w:val="148"/>
    <w:autoRedefine/>
    <w:qFormat/>
    <w:uiPriority w:val="0"/>
    <w:rPr>
      <w:kern w:val="0"/>
      <w:sz w:val="24"/>
      <w:szCs w:val="20"/>
    </w:rPr>
  </w:style>
  <w:style w:type="paragraph" w:styleId="18">
    <w:name w:val="Body Text"/>
    <w:basedOn w:val="1"/>
    <w:next w:val="19"/>
    <w:link w:val="107"/>
    <w:autoRedefine/>
    <w:qFormat/>
    <w:uiPriority w:val="0"/>
    <w:pPr>
      <w:spacing w:after="120"/>
    </w:pPr>
    <w:rPr>
      <w:kern w:val="0"/>
      <w:sz w:val="20"/>
    </w:rPr>
  </w:style>
  <w:style w:type="paragraph" w:styleId="19">
    <w:name w:val="Body Text First Indent"/>
    <w:basedOn w:val="18"/>
    <w:next w:val="20"/>
    <w:autoRedefine/>
    <w:qFormat/>
    <w:uiPriority w:val="0"/>
    <w:pPr>
      <w:tabs>
        <w:tab w:val="left" w:pos="567"/>
      </w:tabs>
      <w:ind w:firstLine="420" w:firstLineChars="100"/>
    </w:pPr>
  </w:style>
  <w:style w:type="paragraph" w:styleId="20">
    <w:name w:val="Body Text First Indent 2"/>
    <w:basedOn w:val="21"/>
    <w:next w:val="12"/>
    <w:autoRedefine/>
    <w:qFormat/>
    <w:uiPriority w:val="0"/>
    <w:pPr>
      <w:ind w:firstLine="420"/>
    </w:pPr>
  </w:style>
  <w:style w:type="paragraph" w:styleId="21">
    <w:name w:val="Body Text Indent"/>
    <w:basedOn w:val="1"/>
    <w:next w:val="1"/>
    <w:link w:val="116"/>
    <w:autoRedefine/>
    <w:qFormat/>
    <w:uiPriority w:val="0"/>
    <w:pPr>
      <w:spacing w:after="120"/>
      <w:ind w:left="420" w:leftChars="200"/>
    </w:pPr>
    <w:rPr>
      <w:kern w:val="0"/>
      <w:sz w:val="20"/>
    </w:rPr>
  </w:style>
  <w:style w:type="paragraph" w:styleId="22">
    <w:name w:val="List 2"/>
    <w:basedOn w:val="1"/>
    <w:autoRedefine/>
    <w:unhideWhenUsed/>
    <w:qFormat/>
    <w:uiPriority w:val="99"/>
    <w:pPr>
      <w:spacing w:before="100" w:beforeAutospacing="1" w:after="100" w:afterAutospacing="1"/>
      <w:ind w:left="100" w:leftChars="200" w:hanging="200" w:hangingChars="200"/>
      <w:contextualSpacing/>
    </w:pPr>
  </w:style>
  <w:style w:type="paragraph" w:styleId="23">
    <w:name w:val="index 4"/>
    <w:basedOn w:val="1"/>
    <w:next w:val="1"/>
    <w:autoRedefine/>
    <w:semiHidden/>
    <w:qFormat/>
    <w:uiPriority w:val="0"/>
    <w:pPr>
      <w:ind w:left="600" w:leftChars="600"/>
    </w:pPr>
    <w:rPr>
      <w:szCs w:val="21"/>
    </w:rPr>
  </w:style>
  <w:style w:type="paragraph" w:styleId="24">
    <w:name w:val="toc 5"/>
    <w:basedOn w:val="1"/>
    <w:next w:val="1"/>
    <w:autoRedefine/>
    <w:qFormat/>
    <w:uiPriority w:val="39"/>
    <w:pPr>
      <w:ind w:left="1680" w:leftChars="800"/>
    </w:pPr>
    <w:rPr>
      <w:rFonts w:ascii="Calibri" w:hAnsi="Calibri"/>
      <w:szCs w:val="22"/>
    </w:rPr>
  </w:style>
  <w:style w:type="paragraph" w:styleId="25">
    <w:name w:val="toc 3"/>
    <w:basedOn w:val="1"/>
    <w:next w:val="1"/>
    <w:autoRedefine/>
    <w:qFormat/>
    <w:uiPriority w:val="39"/>
    <w:pPr>
      <w:ind w:left="840" w:leftChars="400"/>
    </w:pPr>
  </w:style>
  <w:style w:type="paragraph" w:styleId="26">
    <w:name w:val="Plain Text"/>
    <w:basedOn w:val="1"/>
    <w:link w:val="144"/>
    <w:autoRedefine/>
    <w:qFormat/>
    <w:uiPriority w:val="0"/>
    <w:rPr>
      <w:rFonts w:hAnsi="Courier New"/>
      <w:kern w:val="0"/>
      <w:sz w:val="20"/>
      <w:szCs w:val="21"/>
    </w:rPr>
  </w:style>
  <w:style w:type="paragraph" w:styleId="27">
    <w:name w:val="toc 8"/>
    <w:basedOn w:val="1"/>
    <w:next w:val="1"/>
    <w:autoRedefine/>
    <w:qFormat/>
    <w:uiPriority w:val="39"/>
    <w:pPr>
      <w:ind w:left="2940" w:leftChars="1400"/>
    </w:pPr>
    <w:rPr>
      <w:rFonts w:ascii="Calibri" w:hAnsi="Calibri"/>
      <w:szCs w:val="22"/>
    </w:rPr>
  </w:style>
  <w:style w:type="paragraph" w:styleId="28">
    <w:name w:val="Date"/>
    <w:basedOn w:val="1"/>
    <w:next w:val="1"/>
    <w:link w:val="150"/>
    <w:autoRedefine/>
    <w:qFormat/>
    <w:uiPriority w:val="0"/>
    <w:rPr>
      <w:kern w:val="0"/>
      <w:sz w:val="24"/>
      <w:szCs w:val="20"/>
    </w:rPr>
  </w:style>
  <w:style w:type="paragraph" w:styleId="29">
    <w:name w:val="Body Text Indent 2"/>
    <w:basedOn w:val="1"/>
    <w:next w:val="1"/>
    <w:link w:val="84"/>
    <w:autoRedefine/>
    <w:qFormat/>
    <w:uiPriority w:val="0"/>
    <w:pPr>
      <w:ind w:left="424" w:leftChars="202"/>
    </w:pPr>
    <w:rPr>
      <w:rFonts w:eastAsia="楷体_GB2312"/>
      <w:kern w:val="0"/>
      <w:sz w:val="28"/>
    </w:rPr>
  </w:style>
  <w:style w:type="paragraph" w:styleId="30">
    <w:name w:val="Balloon Text"/>
    <w:basedOn w:val="1"/>
    <w:link w:val="103"/>
    <w:autoRedefine/>
    <w:qFormat/>
    <w:uiPriority w:val="0"/>
    <w:rPr>
      <w:kern w:val="0"/>
      <w:sz w:val="18"/>
      <w:szCs w:val="18"/>
    </w:rPr>
  </w:style>
  <w:style w:type="paragraph" w:styleId="31">
    <w:name w:val="footer"/>
    <w:basedOn w:val="1"/>
    <w:link w:val="68"/>
    <w:autoRedefine/>
    <w:qFormat/>
    <w:uiPriority w:val="0"/>
    <w:pPr>
      <w:tabs>
        <w:tab w:val="center" w:pos="4153"/>
        <w:tab w:val="right" w:pos="8306"/>
      </w:tabs>
      <w:snapToGrid w:val="0"/>
      <w:jc w:val="left"/>
    </w:pPr>
    <w:rPr>
      <w:kern w:val="0"/>
      <w:sz w:val="18"/>
      <w:szCs w:val="18"/>
    </w:rPr>
  </w:style>
  <w:style w:type="paragraph" w:styleId="32">
    <w:name w:val="envelope return"/>
    <w:basedOn w:val="1"/>
    <w:autoRedefine/>
    <w:qFormat/>
    <w:uiPriority w:val="0"/>
    <w:pPr>
      <w:snapToGrid w:val="0"/>
    </w:pPr>
    <w:rPr>
      <w:rFonts w:ascii="Arial" w:hAnsi="Arial"/>
    </w:rPr>
  </w:style>
  <w:style w:type="paragraph" w:styleId="33">
    <w:name w:val="header"/>
    <w:basedOn w:val="1"/>
    <w:link w:val="117"/>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34">
    <w:name w:val="toc 1"/>
    <w:basedOn w:val="1"/>
    <w:next w:val="1"/>
    <w:autoRedefine/>
    <w:qFormat/>
    <w:uiPriority w:val="39"/>
    <w:pPr>
      <w:widowControl/>
      <w:spacing w:after="100" w:line="276" w:lineRule="auto"/>
      <w:jc w:val="center"/>
    </w:pPr>
    <w:rPr>
      <w:rFonts w:ascii="Calibri" w:hAnsi="Calibri"/>
      <w:kern w:val="0"/>
      <w:sz w:val="22"/>
      <w:szCs w:val="22"/>
    </w:rPr>
  </w:style>
  <w:style w:type="paragraph" w:styleId="35">
    <w:name w:val="toc 4"/>
    <w:basedOn w:val="1"/>
    <w:next w:val="1"/>
    <w:autoRedefine/>
    <w:qFormat/>
    <w:uiPriority w:val="39"/>
    <w:pPr>
      <w:ind w:left="1260" w:leftChars="600"/>
    </w:pPr>
    <w:rPr>
      <w:rFonts w:ascii="Calibri" w:hAnsi="Calibri"/>
      <w:szCs w:val="22"/>
    </w:rPr>
  </w:style>
  <w:style w:type="paragraph" w:styleId="36">
    <w:name w:val="Subtitle"/>
    <w:basedOn w:val="1"/>
    <w:next w:val="1"/>
    <w:link w:val="138"/>
    <w:autoRedefine/>
    <w:qFormat/>
    <w:uiPriority w:val="0"/>
    <w:pPr>
      <w:spacing w:before="240" w:after="60" w:line="312" w:lineRule="auto"/>
      <w:jc w:val="center"/>
      <w:outlineLvl w:val="1"/>
    </w:pPr>
    <w:rPr>
      <w:rFonts w:ascii="Calibri Light" w:hAnsi="Calibri Light"/>
      <w:b/>
      <w:bCs/>
      <w:kern w:val="28"/>
      <w:sz w:val="32"/>
      <w:szCs w:val="32"/>
    </w:rPr>
  </w:style>
  <w:style w:type="paragraph" w:styleId="37">
    <w:name w:val="footnote text"/>
    <w:basedOn w:val="1"/>
    <w:autoRedefine/>
    <w:qFormat/>
    <w:uiPriority w:val="0"/>
    <w:pPr>
      <w:snapToGrid w:val="0"/>
      <w:jc w:val="left"/>
    </w:pPr>
    <w:rPr>
      <w:sz w:val="18"/>
    </w:rPr>
  </w:style>
  <w:style w:type="paragraph" w:styleId="38">
    <w:name w:val="toc 6"/>
    <w:basedOn w:val="1"/>
    <w:next w:val="1"/>
    <w:autoRedefine/>
    <w:qFormat/>
    <w:uiPriority w:val="39"/>
    <w:pPr>
      <w:ind w:left="2100" w:leftChars="1000"/>
    </w:pPr>
    <w:rPr>
      <w:rFonts w:ascii="Calibri" w:hAnsi="Calibri"/>
      <w:szCs w:val="22"/>
    </w:rPr>
  </w:style>
  <w:style w:type="paragraph" w:styleId="39">
    <w:name w:val="Body Text Indent 3"/>
    <w:basedOn w:val="1"/>
    <w:link w:val="99"/>
    <w:autoRedefine/>
    <w:qFormat/>
    <w:uiPriority w:val="0"/>
    <w:pPr>
      <w:spacing w:after="120"/>
      <w:ind w:left="420" w:leftChars="200"/>
    </w:pPr>
    <w:rPr>
      <w:kern w:val="0"/>
      <w:sz w:val="16"/>
      <w:szCs w:val="16"/>
    </w:rPr>
  </w:style>
  <w:style w:type="paragraph" w:styleId="40">
    <w:name w:val="toc 2"/>
    <w:basedOn w:val="1"/>
    <w:next w:val="1"/>
    <w:autoRedefine/>
    <w:qFormat/>
    <w:uiPriority w:val="39"/>
    <w:pPr>
      <w:widowControl/>
      <w:spacing w:after="100" w:line="276" w:lineRule="auto"/>
      <w:ind w:left="220"/>
      <w:jc w:val="left"/>
    </w:pPr>
    <w:rPr>
      <w:rFonts w:ascii="Calibri" w:hAnsi="Calibri"/>
      <w:kern w:val="0"/>
      <w:sz w:val="22"/>
      <w:szCs w:val="22"/>
    </w:rPr>
  </w:style>
  <w:style w:type="paragraph" w:styleId="41">
    <w:name w:val="toc 9"/>
    <w:basedOn w:val="1"/>
    <w:next w:val="1"/>
    <w:autoRedefine/>
    <w:qFormat/>
    <w:uiPriority w:val="39"/>
    <w:pPr>
      <w:ind w:left="3360" w:leftChars="1600"/>
    </w:pPr>
    <w:rPr>
      <w:rFonts w:ascii="Calibri" w:hAnsi="Calibri"/>
      <w:szCs w:val="22"/>
    </w:rPr>
  </w:style>
  <w:style w:type="paragraph" w:styleId="42">
    <w:name w:val="Message Header"/>
    <w:basedOn w:val="1"/>
    <w:autoRedefine/>
    <w:qFormat/>
    <w:uiPriority w:val="0"/>
    <w:pPr>
      <w:widowControl/>
      <w:pBdr>
        <w:top w:val="single" w:color="auto" w:sz="6" w:space="1"/>
        <w:left w:val="single" w:color="auto" w:sz="6" w:space="1"/>
        <w:bottom w:val="single" w:color="auto" w:sz="6" w:space="1"/>
        <w:right w:val="single" w:color="auto" w:sz="6" w:space="1"/>
      </w:pBdr>
      <w:shd w:val="pct20" w:color="auto" w:fill="auto"/>
      <w:spacing w:line="360" w:lineRule="auto"/>
      <w:ind w:left="1134" w:hanging="1134" w:firstLineChars="200"/>
      <w:jc w:val="left"/>
    </w:pPr>
    <w:rPr>
      <w:rFonts w:ascii="Arial" w:hAnsi="Arial"/>
      <w:kern w:val="0"/>
      <w:sz w:val="24"/>
      <w:shd w:val="pct20" w:color="auto" w:fill="auto"/>
      <w:lang w:eastAsia="en-US"/>
    </w:rPr>
  </w:style>
  <w:style w:type="paragraph" w:styleId="43">
    <w:name w:val="Normal (Web)"/>
    <w:basedOn w:val="1"/>
    <w:autoRedefine/>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44">
    <w:name w:val="index 1"/>
    <w:basedOn w:val="1"/>
    <w:next w:val="1"/>
    <w:autoRedefine/>
    <w:qFormat/>
    <w:uiPriority w:val="0"/>
    <w:pPr>
      <w:spacing w:line="220" w:lineRule="exact"/>
      <w:jc w:val="center"/>
    </w:pPr>
    <w:rPr>
      <w:rFonts w:ascii="仿宋_GB2312" w:eastAsia="仿宋_GB2312"/>
      <w:szCs w:val="21"/>
    </w:rPr>
  </w:style>
  <w:style w:type="paragraph" w:styleId="45">
    <w:name w:val="Title"/>
    <w:basedOn w:val="1"/>
    <w:next w:val="1"/>
    <w:link w:val="89"/>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6">
    <w:name w:val="annotation subject"/>
    <w:basedOn w:val="16"/>
    <w:next w:val="16"/>
    <w:link w:val="88"/>
    <w:autoRedefine/>
    <w:qFormat/>
    <w:uiPriority w:val="0"/>
    <w:rPr>
      <w:b/>
      <w:bCs/>
      <w:kern w:val="2"/>
      <w:sz w:val="21"/>
    </w:rPr>
  </w:style>
  <w:style w:type="table" w:styleId="48">
    <w:name w:val="Table Grid"/>
    <w:basedOn w:val="4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basedOn w:val="49"/>
    <w:autoRedefine/>
    <w:qFormat/>
    <w:uiPriority w:val="0"/>
  </w:style>
  <w:style w:type="character" w:styleId="51">
    <w:name w:val="page number"/>
    <w:basedOn w:val="49"/>
    <w:autoRedefine/>
    <w:qFormat/>
    <w:uiPriority w:val="0"/>
  </w:style>
  <w:style w:type="character" w:styleId="52">
    <w:name w:val="FollowedHyperlink"/>
    <w:basedOn w:val="49"/>
    <w:autoRedefine/>
    <w:qFormat/>
    <w:uiPriority w:val="0"/>
    <w:rPr>
      <w:color w:val="000000"/>
      <w:u w:val="none"/>
    </w:rPr>
  </w:style>
  <w:style w:type="character" w:styleId="53">
    <w:name w:val="Emphasis"/>
    <w:basedOn w:val="49"/>
    <w:autoRedefine/>
    <w:qFormat/>
    <w:uiPriority w:val="0"/>
    <w:rPr>
      <w:color w:val="CC0033"/>
    </w:rPr>
  </w:style>
  <w:style w:type="character" w:styleId="54">
    <w:name w:val="HTML Definition"/>
    <w:basedOn w:val="49"/>
    <w:autoRedefine/>
    <w:unhideWhenUsed/>
    <w:qFormat/>
    <w:uiPriority w:val="99"/>
  </w:style>
  <w:style w:type="character" w:styleId="55">
    <w:name w:val="HTML Typewriter"/>
    <w:basedOn w:val="49"/>
    <w:autoRedefine/>
    <w:unhideWhenUsed/>
    <w:qFormat/>
    <w:uiPriority w:val="99"/>
    <w:rPr>
      <w:rFonts w:hint="default" w:ascii="monospace" w:hAnsi="monospace" w:eastAsia="monospace" w:cs="monospace"/>
      <w:sz w:val="20"/>
    </w:rPr>
  </w:style>
  <w:style w:type="character" w:styleId="56">
    <w:name w:val="HTML Acronym"/>
    <w:basedOn w:val="49"/>
    <w:autoRedefine/>
    <w:unhideWhenUsed/>
    <w:qFormat/>
    <w:uiPriority w:val="99"/>
  </w:style>
  <w:style w:type="character" w:styleId="57">
    <w:name w:val="HTML Variable"/>
    <w:basedOn w:val="49"/>
    <w:autoRedefine/>
    <w:unhideWhenUsed/>
    <w:qFormat/>
    <w:uiPriority w:val="99"/>
  </w:style>
  <w:style w:type="character" w:styleId="58">
    <w:name w:val="Hyperlink"/>
    <w:basedOn w:val="49"/>
    <w:autoRedefine/>
    <w:qFormat/>
    <w:uiPriority w:val="99"/>
    <w:rPr>
      <w:color w:val="000000"/>
      <w:u w:val="none"/>
    </w:rPr>
  </w:style>
  <w:style w:type="character" w:styleId="59">
    <w:name w:val="HTML Code"/>
    <w:basedOn w:val="49"/>
    <w:autoRedefine/>
    <w:unhideWhenUsed/>
    <w:qFormat/>
    <w:uiPriority w:val="99"/>
    <w:rPr>
      <w:rFonts w:hint="default" w:ascii="monospace" w:hAnsi="monospace" w:eastAsia="monospace" w:cs="monospace"/>
      <w:sz w:val="20"/>
    </w:rPr>
  </w:style>
  <w:style w:type="character" w:styleId="60">
    <w:name w:val="annotation reference"/>
    <w:autoRedefine/>
    <w:qFormat/>
    <w:uiPriority w:val="0"/>
    <w:rPr>
      <w:sz w:val="21"/>
      <w:szCs w:val="21"/>
    </w:rPr>
  </w:style>
  <w:style w:type="character" w:styleId="61">
    <w:name w:val="HTML Cite"/>
    <w:basedOn w:val="49"/>
    <w:autoRedefine/>
    <w:unhideWhenUsed/>
    <w:qFormat/>
    <w:uiPriority w:val="99"/>
  </w:style>
  <w:style w:type="character" w:styleId="62">
    <w:name w:val="HTML Keyboard"/>
    <w:basedOn w:val="49"/>
    <w:autoRedefine/>
    <w:unhideWhenUsed/>
    <w:qFormat/>
    <w:uiPriority w:val="99"/>
    <w:rPr>
      <w:rFonts w:ascii="monospace" w:hAnsi="monospace" w:eastAsia="monospace" w:cs="monospace"/>
      <w:sz w:val="20"/>
    </w:rPr>
  </w:style>
  <w:style w:type="character" w:styleId="63">
    <w:name w:val="HTML Sample"/>
    <w:basedOn w:val="49"/>
    <w:autoRedefine/>
    <w:unhideWhenUsed/>
    <w:qFormat/>
    <w:uiPriority w:val="99"/>
    <w:rPr>
      <w:rFonts w:hint="default" w:ascii="monospace" w:hAnsi="monospace" w:eastAsia="monospace" w:cs="monospace"/>
    </w:rPr>
  </w:style>
  <w:style w:type="paragraph" w:customStyle="1" w:styleId="64">
    <w:name w:val="样式 正文首行缩进 2 + Arial"/>
    <w:basedOn w:val="1"/>
    <w:next w:val="1"/>
    <w:autoRedefine/>
    <w:qFormat/>
    <w:uiPriority w:val="0"/>
    <w:pPr>
      <w:spacing w:after="120" w:afterLines="0" w:line="320" w:lineRule="atLeast"/>
      <w:ind w:firstLine="200" w:firstLineChars="200"/>
    </w:pPr>
    <w:rPr>
      <w:rFonts w:ascii="Arial" w:hAnsi="Arial"/>
      <w:kern w:val="0"/>
    </w:rPr>
  </w:style>
  <w:style w:type="paragraph" w:customStyle="1" w:styleId="65">
    <w:name w:val="Default"/>
    <w:next w:val="37"/>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6">
    <w:name w:val="Char Char2"/>
    <w:basedOn w:val="49"/>
    <w:autoRedefine/>
    <w:qFormat/>
    <w:uiPriority w:val="0"/>
    <w:rPr>
      <w:rFonts w:ascii="Arial" w:hAnsi="Arial" w:eastAsia="黑体"/>
      <w:b/>
      <w:bCs/>
      <w:kern w:val="2"/>
      <w:sz w:val="32"/>
      <w:szCs w:val="32"/>
      <w:lang w:val="en-US" w:eastAsia="zh-CN" w:bidi="ar-SA"/>
    </w:rPr>
  </w:style>
  <w:style w:type="character" w:customStyle="1" w:styleId="67">
    <w:name w:val="样式 标书正文 + 下划线 Char"/>
    <w:basedOn w:val="49"/>
    <w:autoRedefine/>
    <w:qFormat/>
    <w:uiPriority w:val="0"/>
    <w:rPr>
      <w:rFonts w:eastAsia="楷体_GB2312"/>
      <w:kern w:val="2"/>
      <w:sz w:val="28"/>
      <w:u w:val="single"/>
      <w:lang w:val="en-US" w:eastAsia="zh-CN"/>
    </w:rPr>
  </w:style>
  <w:style w:type="character" w:customStyle="1" w:styleId="68">
    <w:name w:val="页脚 Char"/>
    <w:link w:val="31"/>
    <w:autoRedefine/>
    <w:qFormat/>
    <w:uiPriority w:val="0"/>
    <w:rPr>
      <w:rFonts w:ascii="Times New Roman" w:hAnsi="Times New Roman" w:cs="Times New Roman"/>
      <w:sz w:val="18"/>
      <w:szCs w:val="18"/>
    </w:rPr>
  </w:style>
  <w:style w:type="character" w:customStyle="1" w:styleId="69">
    <w:name w:val="Char Char11"/>
    <w:basedOn w:val="49"/>
    <w:autoRedefine/>
    <w:qFormat/>
    <w:uiPriority w:val="0"/>
    <w:rPr>
      <w:rFonts w:eastAsia="宋体"/>
      <w:b/>
      <w:bCs/>
      <w:kern w:val="2"/>
      <w:sz w:val="32"/>
      <w:szCs w:val="32"/>
      <w:lang w:val="en-US" w:eastAsia="zh-CN" w:bidi="ar-SA"/>
    </w:rPr>
  </w:style>
  <w:style w:type="character" w:customStyle="1" w:styleId="70">
    <w:name w:val="Char Char12"/>
    <w:basedOn w:val="49"/>
    <w:autoRedefine/>
    <w:qFormat/>
    <w:uiPriority w:val="0"/>
    <w:rPr>
      <w:rFonts w:ascii="Arial" w:hAnsi="Arial" w:eastAsia="黑体"/>
      <w:b/>
      <w:kern w:val="2"/>
      <w:sz w:val="32"/>
      <w:lang w:val="en-US" w:eastAsia="zh-CN" w:bidi="ar-SA"/>
    </w:rPr>
  </w:style>
  <w:style w:type="character" w:customStyle="1" w:styleId="71">
    <w:name w:val="批注文字 Char"/>
    <w:autoRedefine/>
    <w:qFormat/>
    <w:uiPriority w:val="0"/>
    <w:rPr>
      <w:rFonts w:ascii="Times New Roman" w:hAnsi="Times New Roman" w:cs="Times New Roman"/>
      <w:kern w:val="2"/>
      <w:sz w:val="21"/>
      <w:szCs w:val="24"/>
    </w:rPr>
  </w:style>
  <w:style w:type="character" w:customStyle="1" w:styleId="72">
    <w:name w:val="Char Char6"/>
    <w:basedOn w:val="49"/>
    <w:autoRedefine/>
    <w:qFormat/>
    <w:uiPriority w:val="0"/>
    <w:rPr>
      <w:rFonts w:ascii="宋体" w:hAnsi="Courier New" w:eastAsia="宋体" w:cs="Courier New"/>
      <w:kern w:val="2"/>
      <w:sz w:val="21"/>
      <w:szCs w:val="21"/>
      <w:lang w:val="en-US" w:eastAsia="zh-CN" w:bidi="ar-SA"/>
    </w:rPr>
  </w:style>
  <w:style w:type="character" w:customStyle="1" w:styleId="73">
    <w:name w:val="纯文本 Char1"/>
    <w:autoRedefine/>
    <w:semiHidden/>
    <w:qFormat/>
    <w:uiPriority w:val="99"/>
    <w:rPr>
      <w:rFonts w:ascii="宋体" w:hAnsi="Courier New" w:eastAsia="宋体" w:cs="Courier New"/>
      <w:szCs w:val="21"/>
    </w:rPr>
  </w:style>
  <w:style w:type="character" w:customStyle="1" w:styleId="74">
    <w:name w:val="Intense Quote Char1"/>
    <w:basedOn w:val="49"/>
    <w:autoRedefine/>
    <w:qFormat/>
    <w:uiPriority w:val="0"/>
    <w:rPr>
      <w:rFonts w:cs="Calibri"/>
      <w:b/>
      <w:bCs/>
      <w:i/>
      <w:iCs/>
      <w:color w:val="4F81BD"/>
      <w:szCs w:val="21"/>
    </w:rPr>
  </w:style>
  <w:style w:type="character" w:customStyle="1" w:styleId="75">
    <w:name w:val="标题 Char1"/>
    <w:autoRedefine/>
    <w:qFormat/>
    <w:uiPriority w:val="10"/>
    <w:rPr>
      <w:rFonts w:ascii="Cambria" w:hAnsi="Cambria" w:eastAsia="宋体" w:cs="Times New Roman"/>
      <w:b/>
      <w:bCs/>
      <w:sz w:val="32"/>
      <w:szCs w:val="32"/>
    </w:rPr>
  </w:style>
  <w:style w:type="character" w:customStyle="1" w:styleId="76">
    <w:name w:val="标题 1 Char"/>
    <w:link w:val="2"/>
    <w:autoRedefine/>
    <w:qFormat/>
    <w:uiPriority w:val="0"/>
    <w:rPr>
      <w:rFonts w:ascii="Times New Roman" w:hAnsi="Times New Roman"/>
      <w:b/>
      <w:bCs/>
      <w:kern w:val="44"/>
      <w:sz w:val="44"/>
      <w:szCs w:val="44"/>
    </w:rPr>
  </w:style>
  <w:style w:type="character" w:customStyle="1" w:styleId="77">
    <w:name w:val="fr"/>
    <w:basedOn w:val="49"/>
    <w:autoRedefine/>
    <w:qFormat/>
    <w:uiPriority w:val="0"/>
  </w:style>
  <w:style w:type="character" w:customStyle="1" w:styleId="78">
    <w:name w:val="z-窗体顶端 Char"/>
    <w:link w:val="79"/>
    <w:autoRedefine/>
    <w:qFormat/>
    <w:uiPriority w:val="0"/>
    <w:rPr>
      <w:rFonts w:ascii="Arial" w:hAnsi="Times New Roman" w:eastAsia="宋体" w:cs="Times New Roman"/>
      <w:vanish/>
      <w:sz w:val="16"/>
      <w:szCs w:val="24"/>
    </w:rPr>
  </w:style>
  <w:style w:type="paragraph" w:customStyle="1" w:styleId="79">
    <w:name w:val="z-窗体顶端1"/>
    <w:basedOn w:val="1"/>
    <w:next w:val="1"/>
    <w:link w:val="78"/>
    <w:autoRedefine/>
    <w:qFormat/>
    <w:uiPriority w:val="0"/>
    <w:pPr>
      <w:pBdr>
        <w:bottom w:val="single" w:color="auto" w:sz="6" w:space="1"/>
      </w:pBdr>
      <w:jc w:val="center"/>
    </w:pPr>
    <w:rPr>
      <w:rFonts w:ascii="Arial"/>
      <w:vanish/>
      <w:kern w:val="0"/>
      <w:sz w:val="16"/>
    </w:rPr>
  </w:style>
  <w:style w:type="character" w:customStyle="1" w:styleId="80">
    <w:name w:val="first-child1"/>
    <w:basedOn w:val="49"/>
    <w:autoRedefine/>
    <w:qFormat/>
    <w:uiPriority w:val="0"/>
    <w:rPr>
      <w:color w:val="1F3149"/>
      <w:sz w:val="24"/>
      <w:szCs w:val="24"/>
    </w:rPr>
  </w:style>
  <w:style w:type="character" w:customStyle="1" w:styleId="81">
    <w:name w:val="Title Char1"/>
    <w:basedOn w:val="49"/>
    <w:autoRedefine/>
    <w:qFormat/>
    <w:uiPriority w:val="0"/>
    <w:rPr>
      <w:rFonts w:ascii="Cambria" w:hAnsi="Cambria" w:cs="Times New Roman"/>
      <w:b/>
      <w:bCs/>
      <w:sz w:val="32"/>
      <w:szCs w:val="32"/>
    </w:rPr>
  </w:style>
  <w:style w:type="character" w:customStyle="1" w:styleId="82">
    <w:name w:val="item-name"/>
    <w:basedOn w:val="49"/>
    <w:autoRedefine/>
    <w:qFormat/>
    <w:uiPriority w:val="0"/>
  </w:style>
  <w:style w:type="character" w:customStyle="1" w:styleId="83">
    <w:name w:val="正文文本缩进 Char1"/>
    <w:autoRedefine/>
    <w:semiHidden/>
    <w:qFormat/>
    <w:uiPriority w:val="99"/>
    <w:rPr>
      <w:rFonts w:ascii="Times New Roman" w:hAnsi="Times New Roman" w:eastAsia="宋体" w:cs="Times New Roman"/>
      <w:szCs w:val="24"/>
    </w:rPr>
  </w:style>
  <w:style w:type="character" w:customStyle="1" w:styleId="84">
    <w:name w:val="正文文本缩进 2 Char"/>
    <w:link w:val="29"/>
    <w:autoRedefine/>
    <w:qFormat/>
    <w:uiPriority w:val="0"/>
    <w:rPr>
      <w:rFonts w:ascii="Times New Roman" w:hAnsi="Times New Roman" w:eastAsia="楷体_GB2312" w:cs="Times New Roman"/>
      <w:sz w:val="28"/>
      <w:szCs w:val="24"/>
    </w:rPr>
  </w:style>
  <w:style w:type="character" w:customStyle="1" w:styleId="85">
    <w:name w:val="textcontents"/>
    <w:autoRedefine/>
    <w:qFormat/>
    <w:uiPriority w:val="0"/>
  </w:style>
  <w:style w:type="character" w:customStyle="1" w:styleId="86">
    <w:name w:val="日期 Char1"/>
    <w:autoRedefine/>
    <w:qFormat/>
    <w:uiPriority w:val="0"/>
    <w:rPr>
      <w:rFonts w:ascii="Times New Roman" w:hAnsi="Times New Roman" w:eastAsia="宋体" w:cs="Times New Roman"/>
      <w:szCs w:val="24"/>
    </w:rPr>
  </w:style>
  <w:style w:type="character" w:customStyle="1" w:styleId="87">
    <w:name w:val="正文缩进 Char"/>
    <w:link w:val="12"/>
    <w:autoRedefine/>
    <w:qFormat/>
    <w:locked/>
    <w:uiPriority w:val="0"/>
    <w:rPr>
      <w:rFonts w:ascii="Times New Roman" w:hAnsi="Times New Roman"/>
      <w:kern w:val="2"/>
      <w:sz w:val="21"/>
      <w:szCs w:val="24"/>
    </w:rPr>
  </w:style>
  <w:style w:type="character" w:customStyle="1" w:styleId="88">
    <w:name w:val="批注主题 Char"/>
    <w:link w:val="46"/>
    <w:autoRedefine/>
    <w:qFormat/>
    <w:uiPriority w:val="0"/>
    <w:rPr>
      <w:rFonts w:ascii="Times New Roman" w:hAnsi="Times New Roman" w:cs="Times New Roman"/>
      <w:b/>
      <w:bCs/>
      <w:kern w:val="2"/>
      <w:sz w:val="21"/>
      <w:szCs w:val="24"/>
    </w:rPr>
  </w:style>
  <w:style w:type="character" w:customStyle="1" w:styleId="89">
    <w:name w:val="标题 Char"/>
    <w:link w:val="45"/>
    <w:autoRedefine/>
    <w:qFormat/>
    <w:uiPriority w:val="0"/>
    <w:rPr>
      <w:rFonts w:ascii="Arial" w:hAnsi="Arial" w:cs="Times New Roman"/>
      <w:b/>
      <w:sz w:val="32"/>
      <w:szCs w:val="20"/>
    </w:rPr>
  </w:style>
  <w:style w:type="character" w:customStyle="1" w:styleId="90">
    <w:name w:val="页眉 Char1"/>
    <w:autoRedefine/>
    <w:semiHidden/>
    <w:qFormat/>
    <w:uiPriority w:val="99"/>
    <w:rPr>
      <w:rFonts w:ascii="Times New Roman" w:hAnsi="Times New Roman" w:eastAsia="宋体" w:cs="Times New Roman"/>
      <w:sz w:val="18"/>
      <w:szCs w:val="18"/>
    </w:rPr>
  </w:style>
  <w:style w:type="character" w:customStyle="1" w:styleId="91">
    <w:name w:val="书籍标题1"/>
    <w:basedOn w:val="49"/>
    <w:autoRedefine/>
    <w:qFormat/>
    <w:uiPriority w:val="0"/>
    <w:rPr>
      <w:b/>
      <w:bCs/>
      <w:smallCaps/>
      <w:spacing w:val="5"/>
    </w:rPr>
  </w:style>
  <w:style w:type="character" w:customStyle="1" w:styleId="92">
    <w:name w:val="xiadan"/>
    <w:basedOn w:val="49"/>
    <w:autoRedefine/>
    <w:qFormat/>
    <w:uiPriority w:val="0"/>
    <w:rPr>
      <w:shd w:val="clear" w:color="auto" w:fill="E4393C"/>
    </w:rPr>
  </w:style>
  <w:style w:type="character" w:customStyle="1" w:styleId="93">
    <w:name w:val="明显参考1"/>
    <w:basedOn w:val="49"/>
    <w:autoRedefine/>
    <w:qFormat/>
    <w:uiPriority w:val="0"/>
    <w:rPr>
      <w:b/>
      <w:bCs/>
      <w:smallCaps/>
      <w:color w:val="auto"/>
      <w:spacing w:val="5"/>
      <w:u w:val="single"/>
    </w:rPr>
  </w:style>
  <w:style w:type="character" w:customStyle="1" w:styleId="94">
    <w:name w:val="批注主题 Char1"/>
    <w:autoRedefine/>
    <w:qFormat/>
    <w:uiPriority w:val="0"/>
    <w:rPr>
      <w:rFonts w:ascii="Times New Roman" w:hAnsi="Times New Roman" w:eastAsia="宋体" w:cs="Times New Roman"/>
      <w:b/>
      <w:bCs/>
      <w:szCs w:val="24"/>
    </w:rPr>
  </w:style>
  <w:style w:type="character" w:customStyle="1" w:styleId="95">
    <w:name w:val="普通文字1 Char"/>
    <w:basedOn w:val="49"/>
    <w:autoRedefine/>
    <w:qFormat/>
    <w:uiPriority w:val="0"/>
    <w:rPr>
      <w:rFonts w:ascii="宋体" w:hAnsi="Courier New" w:eastAsia="宋体" w:cs="Courier New"/>
      <w:kern w:val="2"/>
      <w:sz w:val="21"/>
      <w:szCs w:val="21"/>
      <w:lang w:val="en-US" w:eastAsia="zh-CN" w:bidi="ar-SA"/>
    </w:rPr>
  </w:style>
  <w:style w:type="character" w:customStyle="1" w:styleId="96">
    <w:name w:val="标题 2 Char"/>
    <w:autoRedefine/>
    <w:qFormat/>
    <w:uiPriority w:val="0"/>
    <w:rPr>
      <w:rFonts w:ascii="Arial" w:hAnsi="Arial" w:eastAsia="黑体"/>
      <w:b/>
      <w:bCs/>
      <w:sz w:val="32"/>
      <w:szCs w:val="32"/>
    </w:rPr>
  </w:style>
  <w:style w:type="character" w:customStyle="1" w:styleId="97">
    <w:name w:val="Intense Quote Char"/>
    <w:link w:val="98"/>
    <w:autoRedefine/>
    <w:qFormat/>
    <w:locked/>
    <w:uiPriority w:val="0"/>
    <w:rPr>
      <w:b/>
      <w:bCs/>
      <w:i/>
      <w:iCs/>
      <w:color w:val="4F81BD"/>
      <w:kern w:val="2"/>
      <w:sz w:val="22"/>
      <w:szCs w:val="22"/>
    </w:rPr>
  </w:style>
  <w:style w:type="paragraph" w:customStyle="1" w:styleId="98">
    <w:name w:val="明显引用1"/>
    <w:basedOn w:val="1"/>
    <w:next w:val="1"/>
    <w:link w:val="97"/>
    <w:autoRedefine/>
    <w:qFormat/>
    <w:uiPriority w:val="0"/>
    <w:pPr>
      <w:pBdr>
        <w:bottom w:val="single" w:color="4F81BD" w:sz="4" w:space="4"/>
      </w:pBdr>
      <w:spacing w:before="200" w:after="280"/>
      <w:ind w:left="936" w:right="936"/>
    </w:pPr>
    <w:rPr>
      <w:b/>
      <w:bCs/>
      <w:i/>
      <w:iCs/>
      <w:color w:val="4F81BD"/>
      <w:sz w:val="22"/>
      <w:szCs w:val="22"/>
    </w:rPr>
  </w:style>
  <w:style w:type="character" w:customStyle="1" w:styleId="99">
    <w:name w:val="正文文本缩进 3 Char"/>
    <w:link w:val="39"/>
    <w:autoRedefine/>
    <w:qFormat/>
    <w:uiPriority w:val="0"/>
    <w:rPr>
      <w:rFonts w:ascii="Times New Roman" w:hAnsi="Times New Roman" w:cs="Times New Roman"/>
      <w:sz w:val="16"/>
      <w:szCs w:val="16"/>
    </w:rPr>
  </w:style>
  <w:style w:type="character" w:customStyle="1" w:styleId="100">
    <w:name w:val="first-child"/>
    <w:basedOn w:val="49"/>
    <w:autoRedefine/>
    <w:qFormat/>
    <w:uiPriority w:val="0"/>
    <w:rPr>
      <w:color w:val="1F3149"/>
      <w:sz w:val="24"/>
      <w:szCs w:val="24"/>
    </w:rPr>
  </w:style>
  <w:style w:type="character" w:customStyle="1" w:styleId="101">
    <w:name w:val="副标题 Char1"/>
    <w:autoRedefine/>
    <w:qFormat/>
    <w:uiPriority w:val="11"/>
    <w:rPr>
      <w:rFonts w:ascii="Cambria" w:hAnsi="Cambria" w:eastAsia="宋体" w:cs="Times New Roman"/>
      <w:b/>
      <w:bCs/>
      <w:kern w:val="28"/>
      <w:sz w:val="32"/>
      <w:szCs w:val="32"/>
    </w:rPr>
  </w:style>
  <w:style w:type="character" w:customStyle="1" w:styleId="102">
    <w:name w:val="明显强调1"/>
    <w:basedOn w:val="49"/>
    <w:autoRedefine/>
    <w:qFormat/>
    <w:uiPriority w:val="0"/>
    <w:rPr>
      <w:b/>
      <w:bCs/>
      <w:i/>
      <w:iCs/>
      <w:color w:val="4F81BD"/>
    </w:rPr>
  </w:style>
  <w:style w:type="character" w:customStyle="1" w:styleId="103">
    <w:name w:val="批注框文本 Char"/>
    <w:link w:val="30"/>
    <w:autoRedefine/>
    <w:qFormat/>
    <w:uiPriority w:val="0"/>
    <w:rPr>
      <w:rFonts w:ascii="Times New Roman" w:hAnsi="Times New Roman" w:cs="Times New Roman"/>
      <w:sz w:val="18"/>
      <w:szCs w:val="18"/>
    </w:rPr>
  </w:style>
  <w:style w:type="character" w:customStyle="1" w:styleId="104">
    <w:name w:val="Char Char14"/>
    <w:basedOn w:val="49"/>
    <w:autoRedefine/>
    <w:qFormat/>
    <w:locked/>
    <w:uiPriority w:val="0"/>
    <w:rPr>
      <w:b/>
      <w:bCs/>
      <w:kern w:val="2"/>
      <w:sz w:val="28"/>
      <w:szCs w:val="28"/>
    </w:rPr>
  </w:style>
  <w:style w:type="character" w:customStyle="1" w:styleId="105">
    <w:name w:val="正文文本 3 Char1"/>
    <w:autoRedefine/>
    <w:semiHidden/>
    <w:qFormat/>
    <w:uiPriority w:val="99"/>
    <w:rPr>
      <w:rFonts w:ascii="Times New Roman" w:hAnsi="Times New Roman" w:eastAsia="宋体" w:cs="Times New Roman"/>
      <w:sz w:val="16"/>
      <w:szCs w:val="16"/>
    </w:rPr>
  </w:style>
  <w:style w:type="character" w:customStyle="1" w:styleId="106">
    <w:name w:val="item-name1"/>
    <w:basedOn w:val="49"/>
    <w:autoRedefine/>
    <w:qFormat/>
    <w:uiPriority w:val="0"/>
  </w:style>
  <w:style w:type="character" w:customStyle="1" w:styleId="107">
    <w:name w:val="正文文本 Char"/>
    <w:link w:val="18"/>
    <w:autoRedefine/>
    <w:qFormat/>
    <w:uiPriority w:val="0"/>
    <w:rPr>
      <w:rFonts w:ascii="Times New Roman" w:hAnsi="Times New Roman" w:cs="Times New Roman"/>
      <w:szCs w:val="24"/>
    </w:rPr>
  </w:style>
  <w:style w:type="character" w:customStyle="1" w:styleId="108">
    <w:name w:val="15"/>
    <w:autoRedefine/>
    <w:qFormat/>
    <w:uiPriority w:val="0"/>
    <w:rPr>
      <w:rFonts w:hint="default" w:ascii="Times New Roman" w:hAnsi="Times New Roman" w:cs="Times New Roman"/>
      <w:color w:val="464445"/>
      <w:u w:val="none"/>
    </w:rPr>
  </w:style>
  <w:style w:type="character" w:customStyle="1" w:styleId="109">
    <w:name w:val="批注文字 Char1"/>
    <w:link w:val="16"/>
    <w:autoRedefine/>
    <w:semiHidden/>
    <w:qFormat/>
    <w:uiPriority w:val="99"/>
    <w:rPr>
      <w:rFonts w:ascii="Times New Roman" w:hAnsi="Times New Roman" w:eastAsia="宋体" w:cs="Times New Roman"/>
      <w:szCs w:val="24"/>
    </w:rPr>
  </w:style>
  <w:style w:type="character" w:customStyle="1" w:styleId="110">
    <w:name w:val="标题 8 Char"/>
    <w:link w:val="9"/>
    <w:autoRedefine/>
    <w:qFormat/>
    <w:uiPriority w:val="0"/>
    <w:rPr>
      <w:rFonts w:ascii="Arial" w:hAnsi="Arial" w:eastAsia="黑体"/>
      <w:sz w:val="24"/>
      <w:szCs w:val="24"/>
    </w:rPr>
  </w:style>
  <w:style w:type="character" w:customStyle="1" w:styleId="111">
    <w:name w:val="文档结构图 Char"/>
    <w:link w:val="15"/>
    <w:autoRedefine/>
    <w:qFormat/>
    <w:uiPriority w:val="0"/>
    <w:rPr>
      <w:rFonts w:hAnsi="Times New Roman"/>
      <w:sz w:val="18"/>
      <w:szCs w:val="18"/>
    </w:rPr>
  </w:style>
  <w:style w:type="character" w:customStyle="1" w:styleId="112">
    <w:name w:val="Char Char16"/>
    <w:basedOn w:val="49"/>
    <w:autoRedefine/>
    <w:qFormat/>
    <w:locked/>
    <w:uiPriority w:val="0"/>
    <w:rPr>
      <w:b/>
      <w:bCs/>
      <w:kern w:val="2"/>
      <w:sz w:val="32"/>
      <w:szCs w:val="32"/>
    </w:rPr>
  </w:style>
  <w:style w:type="character" w:customStyle="1" w:styleId="113">
    <w:name w:val="标题 5 Char"/>
    <w:link w:val="6"/>
    <w:autoRedefine/>
    <w:qFormat/>
    <w:uiPriority w:val="0"/>
    <w:rPr>
      <w:rFonts w:ascii="Times New Roman" w:hAnsi="Times New Roman" w:eastAsia="仿宋_GB2312"/>
      <w:b/>
      <w:bCs/>
      <w:sz w:val="28"/>
      <w:szCs w:val="28"/>
    </w:rPr>
  </w:style>
  <w:style w:type="character" w:customStyle="1" w:styleId="114">
    <w:name w:val="标题5 Char Char"/>
    <w:link w:val="115"/>
    <w:autoRedefine/>
    <w:qFormat/>
    <w:locked/>
    <w:uiPriority w:val="0"/>
    <w:rPr>
      <w:rFonts w:ascii="Arial" w:hAnsi="Arial"/>
      <w:b/>
      <w:bCs/>
      <w:sz w:val="32"/>
      <w:szCs w:val="32"/>
    </w:rPr>
  </w:style>
  <w:style w:type="paragraph" w:customStyle="1" w:styleId="115">
    <w:name w:val="标题5"/>
    <w:basedOn w:val="4"/>
    <w:link w:val="114"/>
    <w:autoRedefine/>
    <w:qFormat/>
    <w:uiPriority w:val="0"/>
    <w:pPr>
      <w:numPr>
        <w:ilvl w:val="0"/>
        <w:numId w:val="0"/>
      </w:numPr>
      <w:spacing w:line="413" w:lineRule="auto"/>
    </w:pPr>
    <w:rPr>
      <w:rFonts w:ascii="Arial" w:hAnsi="Arial" w:eastAsia="宋体"/>
    </w:rPr>
  </w:style>
  <w:style w:type="character" w:customStyle="1" w:styleId="116">
    <w:name w:val="正文文本缩进 Char"/>
    <w:link w:val="21"/>
    <w:autoRedefine/>
    <w:qFormat/>
    <w:uiPriority w:val="0"/>
    <w:rPr>
      <w:rFonts w:ascii="Times New Roman" w:hAnsi="Times New Roman" w:cs="Times New Roman"/>
      <w:szCs w:val="24"/>
    </w:rPr>
  </w:style>
  <w:style w:type="character" w:customStyle="1" w:styleId="117">
    <w:name w:val="页眉 Char"/>
    <w:link w:val="33"/>
    <w:autoRedefine/>
    <w:qFormat/>
    <w:uiPriority w:val="0"/>
    <w:rPr>
      <w:rFonts w:ascii="Times New Roman" w:hAnsi="Times New Roman" w:cs="Times New Roman"/>
      <w:sz w:val="18"/>
      <w:szCs w:val="18"/>
    </w:rPr>
  </w:style>
  <w:style w:type="character" w:customStyle="1" w:styleId="118">
    <w:name w:val="icon_gys"/>
    <w:basedOn w:val="49"/>
    <w:autoRedefine/>
    <w:qFormat/>
    <w:uiPriority w:val="0"/>
    <w:rPr>
      <w:sz w:val="21"/>
      <w:szCs w:val="21"/>
    </w:rPr>
  </w:style>
  <w:style w:type="character" w:customStyle="1" w:styleId="119">
    <w:name w:val="文档结构图 Char1"/>
    <w:autoRedefine/>
    <w:qFormat/>
    <w:uiPriority w:val="0"/>
    <w:rPr>
      <w:rFonts w:ascii="宋体" w:hAnsi="Times New Roman" w:eastAsia="宋体" w:cs="Times New Roman"/>
      <w:sz w:val="18"/>
      <w:szCs w:val="18"/>
    </w:rPr>
  </w:style>
  <w:style w:type="character" w:customStyle="1" w:styleId="120">
    <w:name w:val="标题 2 Char1"/>
    <w:link w:val="3"/>
    <w:autoRedefine/>
    <w:qFormat/>
    <w:uiPriority w:val="0"/>
    <w:rPr>
      <w:rFonts w:ascii="Arial" w:hAnsi="Arial" w:eastAsia="黑体"/>
      <w:b/>
      <w:sz w:val="32"/>
    </w:rPr>
  </w:style>
  <w:style w:type="character" w:customStyle="1" w:styleId="121">
    <w:name w:val="Char Char18"/>
    <w:basedOn w:val="49"/>
    <w:autoRedefine/>
    <w:qFormat/>
    <w:locked/>
    <w:uiPriority w:val="0"/>
    <w:rPr>
      <w:b/>
      <w:bCs/>
      <w:kern w:val="44"/>
      <w:sz w:val="44"/>
      <w:szCs w:val="44"/>
    </w:rPr>
  </w:style>
  <w:style w:type="character" w:customStyle="1" w:styleId="122">
    <w:name w:val="icon_ds"/>
    <w:basedOn w:val="49"/>
    <w:autoRedefine/>
    <w:qFormat/>
    <w:uiPriority w:val="0"/>
  </w:style>
  <w:style w:type="character" w:customStyle="1" w:styleId="123">
    <w:name w:val="标题 4 Char"/>
    <w:link w:val="5"/>
    <w:autoRedefine/>
    <w:qFormat/>
    <w:uiPriority w:val="0"/>
    <w:rPr>
      <w:rFonts w:ascii="Arial" w:hAnsi="Arial" w:eastAsia="黑体"/>
      <w:b/>
      <w:bCs/>
      <w:sz w:val="28"/>
      <w:szCs w:val="28"/>
    </w:rPr>
  </w:style>
  <w:style w:type="character" w:customStyle="1" w:styleId="124">
    <w:name w:val="页脚 Char1"/>
    <w:autoRedefine/>
    <w:semiHidden/>
    <w:qFormat/>
    <w:uiPriority w:val="99"/>
    <w:rPr>
      <w:rFonts w:ascii="Times New Roman" w:hAnsi="Times New Roman" w:eastAsia="宋体" w:cs="Times New Roman"/>
      <w:sz w:val="18"/>
      <w:szCs w:val="18"/>
    </w:rPr>
  </w:style>
  <w:style w:type="character" w:customStyle="1" w:styleId="125">
    <w:name w:val="Quote Char1"/>
    <w:basedOn w:val="49"/>
    <w:autoRedefine/>
    <w:qFormat/>
    <w:uiPriority w:val="0"/>
    <w:rPr>
      <w:rFonts w:cs="Calibri"/>
      <w:i/>
      <w:iCs/>
      <w:color w:val="000000"/>
      <w:szCs w:val="21"/>
    </w:rPr>
  </w:style>
  <w:style w:type="character" w:customStyle="1" w:styleId="126">
    <w:name w:val="标题 7 Char"/>
    <w:link w:val="8"/>
    <w:autoRedefine/>
    <w:qFormat/>
    <w:uiPriority w:val="0"/>
    <w:rPr>
      <w:rFonts w:ascii="Times New Roman" w:hAnsi="Times New Roman" w:eastAsia="仿宋_GB2312"/>
      <w:b/>
      <w:bCs/>
      <w:sz w:val="24"/>
      <w:szCs w:val="24"/>
    </w:rPr>
  </w:style>
  <w:style w:type="character" w:customStyle="1" w:styleId="127">
    <w:name w:val="z-窗体底端 Char"/>
    <w:link w:val="128"/>
    <w:autoRedefine/>
    <w:qFormat/>
    <w:uiPriority w:val="0"/>
    <w:rPr>
      <w:rFonts w:ascii="Arial" w:hAnsi="Times New Roman" w:eastAsia="宋体" w:cs="Times New Roman"/>
      <w:vanish/>
      <w:sz w:val="16"/>
      <w:szCs w:val="24"/>
    </w:rPr>
  </w:style>
  <w:style w:type="paragraph" w:customStyle="1" w:styleId="128">
    <w:name w:val="z-窗体底端1"/>
    <w:basedOn w:val="1"/>
    <w:next w:val="1"/>
    <w:link w:val="127"/>
    <w:autoRedefine/>
    <w:qFormat/>
    <w:uiPriority w:val="0"/>
    <w:pPr>
      <w:pBdr>
        <w:top w:val="single" w:color="auto" w:sz="6" w:space="1"/>
      </w:pBdr>
      <w:jc w:val="center"/>
    </w:pPr>
    <w:rPr>
      <w:rFonts w:ascii="Arial"/>
      <w:vanish/>
      <w:kern w:val="0"/>
      <w:sz w:val="16"/>
    </w:rPr>
  </w:style>
  <w:style w:type="character" w:customStyle="1" w:styleId="129">
    <w:name w:val="font161"/>
    <w:autoRedefine/>
    <w:qFormat/>
    <w:uiPriority w:val="0"/>
    <w:rPr>
      <w:b/>
      <w:bCs/>
      <w:sz w:val="32"/>
      <w:szCs w:val="32"/>
    </w:rPr>
  </w:style>
  <w:style w:type="character" w:customStyle="1" w:styleId="130">
    <w:name w:val="批注框文本 Char1"/>
    <w:autoRedefine/>
    <w:qFormat/>
    <w:uiPriority w:val="0"/>
    <w:rPr>
      <w:rFonts w:ascii="Times New Roman" w:hAnsi="Times New Roman" w:eastAsia="宋体" w:cs="Times New Roman"/>
      <w:sz w:val="18"/>
      <w:szCs w:val="18"/>
    </w:rPr>
  </w:style>
  <w:style w:type="character" w:customStyle="1" w:styleId="131">
    <w:name w:val="Quote Char"/>
    <w:link w:val="132"/>
    <w:autoRedefine/>
    <w:qFormat/>
    <w:locked/>
    <w:uiPriority w:val="0"/>
    <w:rPr>
      <w:i/>
      <w:iCs/>
      <w:color w:val="000000"/>
      <w:kern w:val="2"/>
      <w:sz w:val="22"/>
      <w:szCs w:val="22"/>
    </w:rPr>
  </w:style>
  <w:style w:type="paragraph" w:customStyle="1" w:styleId="132">
    <w:name w:val="引用1"/>
    <w:basedOn w:val="1"/>
    <w:next w:val="1"/>
    <w:link w:val="131"/>
    <w:autoRedefine/>
    <w:qFormat/>
    <w:uiPriority w:val="0"/>
    <w:rPr>
      <w:i/>
      <w:iCs/>
      <w:color w:val="000000"/>
      <w:sz w:val="22"/>
      <w:szCs w:val="22"/>
    </w:rPr>
  </w:style>
  <w:style w:type="character" w:customStyle="1" w:styleId="133">
    <w:name w:val="标题 6 Char"/>
    <w:link w:val="7"/>
    <w:autoRedefine/>
    <w:qFormat/>
    <w:uiPriority w:val="0"/>
    <w:rPr>
      <w:rFonts w:ascii="Arial" w:hAnsi="Arial" w:eastAsia="黑体"/>
      <w:b/>
      <w:bCs/>
      <w:sz w:val="24"/>
      <w:szCs w:val="24"/>
    </w:rPr>
  </w:style>
  <w:style w:type="character" w:customStyle="1" w:styleId="134">
    <w:name w:val="正文文本 Char1"/>
    <w:autoRedefine/>
    <w:qFormat/>
    <w:uiPriority w:val="0"/>
    <w:rPr>
      <w:rFonts w:ascii="Times New Roman" w:hAnsi="Times New Roman" w:eastAsia="宋体" w:cs="Times New Roman"/>
      <w:szCs w:val="24"/>
    </w:rPr>
  </w:style>
  <w:style w:type="character" w:customStyle="1" w:styleId="135">
    <w:name w:val="正文文本缩进 3 Char1"/>
    <w:autoRedefine/>
    <w:semiHidden/>
    <w:qFormat/>
    <w:uiPriority w:val="99"/>
    <w:rPr>
      <w:rFonts w:ascii="Times New Roman" w:hAnsi="Times New Roman" w:eastAsia="宋体" w:cs="Times New Roman"/>
      <w:sz w:val="16"/>
      <w:szCs w:val="16"/>
    </w:rPr>
  </w:style>
  <w:style w:type="character" w:customStyle="1" w:styleId="136">
    <w:name w:val="Char Char17"/>
    <w:basedOn w:val="49"/>
    <w:autoRedefine/>
    <w:qFormat/>
    <w:locked/>
    <w:uiPriority w:val="0"/>
    <w:rPr>
      <w:rFonts w:ascii="Cambria" w:hAnsi="Cambria" w:eastAsia="宋体" w:cs="Cambria"/>
      <w:b/>
      <w:bCs/>
      <w:kern w:val="2"/>
      <w:sz w:val="32"/>
      <w:szCs w:val="32"/>
    </w:rPr>
  </w:style>
  <w:style w:type="character" w:customStyle="1" w:styleId="137">
    <w:name w:val="不明显强调1"/>
    <w:basedOn w:val="49"/>
    <w:autoRedefine/>
    <w:qFormat/>
    <w:uiPriority w:val="0"/>
    <w:rPr>
      <w:i/>
      <w:iCs/>
      <w:color w:val="808080"/>
    </w:rPr>
  </w:style>
  <w:style w:type="character" w:customStyle="1" w:styleId="138">
    <w:name w:val="副标题 Char"/>
    <w:link w:val="36"/>
    <w:autoRedefine/>
    <w:qFormat/>
    <w:uiPriority w:val="0"/>
    <w:rPr>
      <w:rFonts w:ascii="Calibri Light" w:hAnsi="Calibri Light" w:cs="Times New Roman"/>
      <w:b/>
      <w:bCs/>
      <w:kern w:val="28"/>
      <w:sz w:val="32"/>
      <w:szCs w:val="32"/>
    </w:rPr>
  </w:style>
  <w:style w:type="character" w:customStyle="1" w:styleId="139">
    <w:name w:val="Char Char15"/>
    <w:basedOn w:val="49"/>
    <w:autoRedefine/>
    <w:qFormat/>
    <w:locked/>
    <w:uiPriority w:val="0"/>
    <w:rPr>
      <w:rFonts w:ascii="Cambria" w:hAnsi="Cambria" w:eastAsia="宋体" w:cs="Cambria"/>
      <w:b/>
      <w:bCs/>
      <w:kern w:val="2"/>
      <w:sz w:val="28"/>
      <w:szCs w:val="28"/>
    </w:rPr>
  </w:style>
  <w:style w:type="character" w:customStyle="1" w:styleId="140">
    <w:name w:val="标题 9 Char"/>
    <w:link w:val="10"/>
    <w:autoRedefine/>
    <w:qFormat/>
    <w:uiPriority w:val="0"/>
    <w:rPr>
      <w:rFonts w:ascii="Arial" w:hAnsi="Arial" w:eastAsia="黑体"/>
      <w:szCs w:val="21"/>
    </w:rPr>
  </w:style>
  <w:style w:type="character" w:customStyle="1" w:styleId="141">
    <w:name w:val="批注文字 Char Char"/>
    <w:autoRedefine/>
    <w:qFormat/>
    <w:uiPriority w:val="0"/>
    <w:rPr>
      <w:rFonts w:ascii="宋体" w:hAnsi="Times New Roman" w:eastAsia="宋体" w:cs="宋体"/>
      <w:sz w:val="20"/>
      <w:szCs w:val="20"/>
    </w:rPr>
  </w:style>
  <w:style w:type="character" w:customStyle="1" w:styleId="142">
    <w:name w:val="item-name2"/>
    <w:basedOn w:val="49"/>
    <w:autoRedefine/>
    <w:qFormat/>
    <w:uiPriority w:val="0"/>
    <w:rPr>
      <w:rFonts w:hint="eastAsia" w:ascii="宋体" w:hAnsi="宋体" w:eastAsia="宋体" w:cs="宋体"/>
      <w:color w:val="438BD3"/>
      <w:sz w:val="18"/>
      <w:szCs w:val="18"/>
      <w:u w:val="none"/>
    </w:rPr>
  </w:style>
  <w:style w:type="character" w:customStyle="1" w:styleId="143">
    <w:name w:val="Char Char7"/>
    <w:basedOn w:val="49"/>
    <w:autoRedefine/>
    <w:qFormat/>
    <w:uiPriority w:val="0"/>
    <w:rPr>
      <w:sz w:val="21"/>
      <w:lang w:bidi="ar-SA"/>
    </w:rPr>
  </w:style>
  <w:style w:type="character" w:customStyle="1" w:styleId="144">
    <w:name w:val="纯文本 Char"/>
    <w:link w:val="26"/>
    <w:autoRedefine/>
    <w:qFormat/>
    <w:uiPriority w:val="0"/>
    <w:rPr>
      <w:rFonts w:hAnsi="Courier New" w:cs="Courier New"/>
      <w:szCs w:val="21"/>
    </w:rPr>
  </w:style>
  <w:style w:type="character" w:customStyle="1" w:styleId="145">
    <w:name w:val="不明显参考1"/>
    <w:basedOn w:val="49"/>
    <w:autoRedefine/>
    <w:qFormat/>
    <w:uiPriority w:val="0"/>
    <w:rPr>
      <w:smallCaps/>
      <w:color w:val="auto"/>
      <w:u w:val="single"/>
    </w:rPr>
  </w:style>
  <w:style w:type="character" w:customStyle="1" w:styleId="146">
    <w:name w:val="标题 3 Char"/>
    <w:link w:val="4"/>
    <w:autoRedefine/>
    <w:qFormat/>
    <w:uiPriority w:val="0"/>
    <w:rPr>
      <w:rFonts w:ascii="Times New Roman" w:hAnsi="Times New Roman" w:eastAsia="仿宋_GB2312"/>
      <w:b/>
      <w:bCs/>
      <w:sz w:val="32"/>
      <w:szCs w:val="32"/>
    </w:rPr>
  </w:style>
  <w:style w:type="character" w:customStyle="1" w:styleId="147">
    <w:name w:val="hover17"/>
    <w:basedOn w:val="49"/>
    <w:autoRedefine/>
    <w:qFormat/>
    <w:uiPriority w:val="0"/>
  </w:style>
  <w:style w:type="character" w:customStyle="1" w:styleId="148">
    <w:name w:val="正文文本 3 Char"/>
    <w:link w:val="17"/>
    <w:autoRedefine/>
    <w:qFormat/>
    <w:uiPriority w:val="0"/>
    <w:rPr>
      <w:rFonts w:hAnsi="Times New Roman" w:cs="Times New Roman"/>
      <w:sz w:val="24"/>
      <w:szCs w:val="20"/>
    </w:rPr>
  </w:style>
  <w:style w:type="character" w:customStyle="1" w:styleId="149">
    <w:name w:val="apple-converted-space"/>
    <w:basedOn w:val="49"/>
    <w:autoRedefine/>
    <w:qFormat/>
    <w:uiPriority w:val="0"/>
  </w:style>
  <w:style w:type="character" w:customStyle="1" w:styleId="150">
    <w:name w:val="日期 Char"/>
    <w:link w:val="28"/>
    <w:autoRedefine/>
    <w:qFormat/>
    <w:uiPriority w:val="0"/>
    <w:rPr>
      <w:rFonts w:ascii="Times New Roman" w:hAnsi="Times New Roman" w:cs="Times New Roman"/>
      <w:sz w:val="24"/>
      <w:szCs w:val="20"/>
    </w:rPr>
  </w:style>
  <w:style w:type="paragraph" w:customStyle="1" w:styleId="151">
    <w:name w:val="列出段落1"/>
    <w:basedOn w:val="1"/>
    <w:autoRedefine/>
    <w:qFormat/>
    <w:uiPriority w:val="99"/>
    <w:pPr>
      <w:ind w:firstLine="420" w:firstLineChars="200"/>
    </w:pPr>
  </w:style>
  <w:style w:type="paragraph" w:customStyle="1" w:styleId="152">
    <w:name w:val="1 Char"/>
    <w:basedOn w:val="1"/>
    <w:autoRedefine/>
    <w:qFormat/>
    <w:uiPriority w:val="0"/>
    <w:rPr>
      <w:rFonts w:ascii="Tahoma" w:hAnsi="Tahoma"/>
      <w:sz w:val="24"/>
      <w:szCs w:val="20"/>
    </w:rPr>
  </w:style>
  <w:style w:type="paragraph" w:customStyle="1" w:styleId="153">
    <w:name w:val="表格文字"/>
    <w:basedOn w:val="1"/>
    <w:autoRedefine/>
    <w:qFormat/>
    <w:uiPriority w:val="0"/>
    <w:pPr>
      <w:adjustRightInd w:val="0"/>
      <w:spacing w:line="420" w:lineRule="atLeast"/>
      <w:jc w:val="left"/>
      <w:textAlignment w:val="baseline"/>
    </w:pPr>
    <w:rPr>
      <w:kern w:val="0"/>
      <w:szCs w:val="20"/>
    </w:rPr>
  </w:style>
  <w:style w:type="paragraph" w:customStyle="1" w:styleId="154">
    <w:name w:val="样式 标题 3 + (中文) 黑体 小四 非加粗 段前: 7.8 磅 段后: 0 磅 行距: 固定值 20 磅"/>
    <w:basedOn w:val="4"/>
    <w:autoRedefine/>
    <w:qFormat/>
    <w:uiPriority w:val="0"/>
    <w:pPr>
      <w:numPr>
        <w:numId w:val="0"/>
      </w:numPr>
      <w:spacing w:before="0" w:after="0" w:line="400" w:lineRule="exact"/>
    </w:pPr>
    <w:rPr>
      <w:rFonts w:eastAsia="黑体" w:cs="宋体"/>
      <w:b w:val="0"/>
      <w:bCs w:val="0"/>
      <w:sz w:val="24"/>
      <w:szCs w:val="20"/>
    </w:rPr>
  </w:style>
  <w:style w:type="paragraph" w:customStyle="1" w:styleId="155">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156">
    <w:name w:val="无间隔2"/>
    <w:autoRedefine/>
    <w:qFormat/>
    <w:uiPriority w:val="0"/>
    <w:pPr>
      <w:widowControl w:val="0"/>
      <w:spacing w:line="400" w:lineRule="exact"/>
      <w:jc w:val="both"/>
    </w:pPr>
    <w:rPr>
      <w:rFonts w:ascii="Times New Roman" w:hAnsi="Times New Roman" w:eastAsia="宋体" w:cs="Times New Roman"/>
      <w:kern w:val="1"/>
      <w:sz w:val="24"/>
      <w:szCs w:val="24"/>
      <w:lang w:val="en-US" w:eastAsia="zh-CN" w:bidi="ar-SA"/>
    </w:rPr>
  </w:style>
  <w:style w:type="paragraph" w:customStyle="1" w:styleId="157">
    <w:name w:val="样式1"/>
    <w:basedOn w:val="4"/>
    <w:autoRedefine/>
    <w:qFormat/>
    <w:uiPriority w:val="0"/>
    <w:pPr>
      <w:numPr>
        <w:ilvl w:val="0"/>
        <w:numId w:val="0"/>
      </w:numPr>
      <w:tabs>
        <w:tab w:val="left" w:pos="425"/>
      </w:tabs>
      <w:spacing w:line="413" w:lineRule="auto"/>
      <w:ind w:left="425" w:hanging="425"/>
    </w:pPr>
    <w:rPr>
      <w:rFonts w:eastAsia="宋体"/>
      <w:bCs w:val="0"/>
      <w:kern w:val="2"/>
      <w:szCs w:val="20"/>
    </w:rPr>
  </w:style>
  <w:style w:type="paragraph" w:customStyle="1" w:styleId="158">
    <w:name w:val="_Style 4"/>
    <w:basedOn w:val="2"/>
    <w:next w:val="1"/>
    <w:autoRedefine/>
    <w:qFormat/>
    <w:uiPriority w:val="0"/>
    <w:pPr>
      <w:outlineLvl w:val="9"/>
    </w:pPr>
    <w:rPr>
      <w:rFonts w:ascii="Calibri" w:hAnsi="Calibri"/>
    </w:rPr>
  </w:style>
  <w:style w:type="paragraph" w:customStyle="1" w:styleId="159">
    <w:name w:val="二级标题"/>
    <w:basedOn w:val="160"/>
    <w:autoRedefine/>
    <w:qFormat/>
    <w:uiPriority w:val="0"/>
    <w:pPr>
      <w:jc w:val="both"/>
    </w:pPr>
  </w:style>
  <w:style w:type="paragraph" w:customStyle="1" w:styleId="160">
    <w:name w:val="一级标题"/>
    <w:basedOn w:val="2"/>
    <w:autoRedefine/>
    <w:qFormat/>
    <w:uiPriority w:val="0"/>
    <w:pPr>
      <w:numPr>
        <w:numId w:val="0"/>
      </w:numPr>
      <w:spacing w:before="0" w:after="0" w:line="240" w:lineRule="auto"/>
      <w:jc w:val="center"/>
    </w:pPr>
    <w:rPr>
      <w:rFonts w:eastAsia="黑体"/>
      <w:b w:val="0"/>
      <w:sz w:val="28"/>
    </w:rPr>
  </w:style>
  <w:style w:type="paragraph" w:customStyle="1" w:styleId="161">
    <w:name w:val="Char Char Char Char"/>
    <w:basedOn w:val="1"/>
    <w:autoRedefine/>
    <w:qFormat/>
    <w:uiPriority w:val="0"/>
    <w:rPr>
      <w:rFonts w:ascii="Tahoma" w:hAnsi="Tahoma"/>
      <w:sz w:val="24"/>
      <w:szCs w:val="20"/>
    </w:rPr>
  </w:style>
  <w:style w:type="paragraph" w:customStyle="1" w:styleId="162">
    <w:name w:val="标题4 11"/>
    <w:basedOn w:val="4"/>
    <w:autoRedefine/>
    <w:qFormat/>
    <w:uiPriority w:val="0"/>
    <w:pPr>
      <w:numPr>
        <w:ilvl w:val="0"/>
        <w:numId w:val="0"/>
      </w:numPr>
      <w:tabs>
        <w:tab w:val="left" w:pos="567"/>
      </w:tabs>
      <w:spacing w:line="413" w:lineRule="auto"/>
    </w:pPr>
    <w:rPr>
      <w:rFonts w:eastAsia="宋体"/>
      <w:b w:val="0"/>
      <w:kern w:val="2"/>
      <w:sz w:val="28"/>
      <w:szCs w:val="28"/>
    </w:rPr>
  </w:style>
  <w:style w:type="paragraph" w:customStyle="1" w:styleId="163">
    <w:name w:val="1）"/>
    <w:basedOn w:val="1"/>
    <w:next w:val="1"/>
    <w:autoRedefine/>
    <w:qFormat/>
    <w:uiPriority w:val="0"/>
    <w:pPr>
      <w:adjustRightInd w:val="0"/>
      <w:snapToGrid w:val="0"/>
      <w:textAlignment w:val="center"/>
    </w:pPr>
    <w:rPr>
      <w:kern w:val="0"/>
      <w:sz w:val="24"/>
      <w:szCs w:val="20"/>
    </w:rPr>
  </w:style>
  <w:style w:type="paragraph" w:customStyle="1" w:styleId="164">
    <w:name w:val="zhang"/>
    <w:basedOn w:val="1"/>
    <w:autoRedefine/>
    <w:qFormat/>
    <w:uiPriority w:val="0"/>
    <w:pPr>
      <w:spacing w:before="100" w:beforeAutospacing="1" w:after="100" w:afterAutospacing="1"/>
    </w:pPr>
    <w:rPr>
      <w:b/>
      <w:bCs/>
      <w:smallCaps/>
      <w:color w:val="000000"/>
      <w:sz w:val="20"/>
      <w:szCs w:val="20"/>
    </w:rPr>
  </w:style>
  <w:style w:type="paragraph" w:customStyle="1" w:styleId="165">
    <w:name w:val="标题3-1"/>
    <w:basedOn w:val="4"/>
    <w:autoRedefine/>
    <w:qFormat/>
    <w:uiPriority w:val="0"/>
    <w:pPr>
      <w:numPr>
        <w:ilvl w:val="0"/>
        <w:numId w:val="0"/>
      </w:numPr>
      <w:tabs>
        <w:tab w:val="left" w:pos="425"/>
      </w:tabs>
      <w:spacing w:line="413" w:lineRule="auto"/>
    </w:pPr>
    <w:rPr>
      <w:rFonts w:eastAsia="宋体"/>
      <w:kern w:val="2"/>
      <w:sz w:val="24"/>
    </w:rPr>
  </w:style>
  <w:style w:type="paragraph" w:customStyle="1" w:styleId="166">
    <w:name w:val="Char4"/>
    <w:basedOn w:val="1"/>
    <w:autoRedefine/>
    <w:qFormat/>
    <w:uiPriority w:val="0"/>
  </w:style>
  <w:style w:type="paragraph" w:customStyle="1" w:styleId="167">
    <w:name w:val="空半行"/>
    <w:basedOn w:val="1"/>
    <w:autoRedefine/>
    <w:qFormat/>
    <w:uiPriority w:val="0"/>
    <w:pPr>
      <w:adjustRightInd w:val="0"/>
      <w:spacing w:line="120" w:lineRule="exact"/>
      <w:textAlignment w:val="baseline"/>
    </w:pPr>
    <w:rPr>
      <w:rFonts w:eastAsia="仿宋_GB2312"/>
      <w:color w:val="FFFFFF"/>
      <w:kern w:val="0"/>
      <w:sz w:val="30"/>
      <w:szCs w:val="30"/>
    </w:rPr>
  </w:style>
  <w:style w:type="paragraph" w:customStyle="1" w:styleId="168">
    <w:name w:val="样式 标题 2 + Times New Roman 四号 非加粗 段前: 5 磅 段后: 0 磅 行距: 固定值 20..."/>
    <w:basedOn w:val="3"/>
    <w:autoRedefine/>
    <w:qFormat/>
    <w:uiPriority w:val="0"/>
    <w:pPr>
      <w:numPr>
        <w:numId w:val="0"/>
      </w:numPr>
      <w:spacing w:before="100" w:after="0" w:line="400" w:lineRule="exact"/>
    </w:pPr>
    <w:rPr>
      <w:rFonts w:ascii="Times New Roman" w:hAnsi="Times New Roman" w:cs="宋体"/>
      <w:b w:val="0"/>
      <w:bCs/>
      <w:sz w:val="28"/>
    </w:rPr>
  </w:style>
  <w:style w:type="paragraph" w:customStyle="1" w:styleId="169">
    <w:name w:val="样式 一级项标 + 首行缩进:  2 字符 段前: 0.5 行1"/>
    <w:basedOn w:val="1"/>
    <w:autoRedefine/>
    <w:qFormat/>
    <w:uiPriority w:val="0"/>
    <w:pPr>
      <w:spacing w:beforeLines="50" w:line="480" w:lineRule="exact"/>
      <w:ind w:firstLine="455" w:firstLineChars="200"/>
    </w:pPr>
    <w:rPr>
      <w:rFonts w:eastAsia="黑体"/>
      <w:b/>
      <w:bCs/>
      <w:sz w:val="24"/>
      <w:szCs w:val="20"/>
    </w:rPr>
  </w:style>
  <w:style w:type="paragraph" w:customStyle="1" w:styleId="170">
    <w:name w:val="样式 标题 1 + 黑体 三号 非加粗 居中 段前: 6 磅 段后: 6 磅 行距: 固定值 20 磅"/>
    <w:basedOn w:val="2"/>
    <w:autoRedefine/>
    <w:qFormat/>
    <w:uiPriority w:val="0"/>
    <w:pPr>
      <w:numPr>
        <w:numId w:val="0"/>
      </w:numPr>
      <w:spacing w:before="120" w:after="120" w:line="400" w:lineRule="exact"/>
      <w:jc w:val="center"/>
    </w:pPr>
    <w:rPr>
      <w:rFonts w:ascii="黑体" w:hAnsi="黑体" w:eastAsia="黑体" w:cs="宋体"/>
      <w:b w:val="0"/>
      <w:bCs w:val="0"/>
      <w:sz w:val="32"/>
      <w:szCs w:val="20"/>
    </w:rPr>
  </w:style>
  <w:style w:type="paragraph" w:customStyle="1" w:styleId="171">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72">
    <w:name w:val="p0"/>
    <w:basedOn w:val="1"/>
    <w:autoRedefine/>
    <w:qFormat/>
    <w:uiPriority w:val="0"/>
    <w:rPr>
      <w:szCs w:val="21"/>
    </w:rPr>
  </w:style>
  <w:style w:type="paragraph" w:customStyle="1" w:styleId="173">
    <w:name w:val="Char"/>
    <w:basedOn w:val="1"/>
    <w:autoRedefine/>
    <w:qFormat/>
    <w:uiPriority w:val="0"/>
    <w:pPr>
      <w:ind w:left="567" w:hanging="283"/>
    </w:pPr>
    <w:rPr>
      <w:rFonts w:ascii="宋体" w:hAnsi="宋体"/>
      <w:sz w:val="28"/>
    </w:rPr>
  </w:style>
  <w:style w:type="paragraph" w:customStyle="1" w:styleId="174">
    <w:name w:val="修订1"/>
    <w:autoRedefine/>
    <w:qFormat/>
    <w:uiPriority w:val="0"/>
    <w:rPr>
      <w:rFonts w:ascii="Times New Roman" w:hAnsi="Times New Roman" w:eastAsia="宋体" w:cs="Times New Roman"/>
      <w:kern w:val="2"/>
      <w:sz w:val="21"/>
      <w:szCs w:val="21"/>
      <w:lang w:val="en-US" w:eastAsia="zh-CN" w:bidi="ar-SA"/>
    </w:rPr>
  </w:style>
  <w:style w:type="paragraph" w:customStyle="1" w:styleId="175">
    <w:name w:val="TOC 标题1"/>
    <w:basedOn w:val="2"/>
    <w:next w:val="1"/>
    <w:autoRedefine/>
    <w:qFormat/>
    <w:uiPriority w:val="0"/>
    <w:pPr>
      <w:numPr>
        <w:numId w:val="0"/>
      </w:numPr>
      <w:outlineLvl w:val="9"/>
    </w:pPr>
    <w:rPr>
      <w:rFonts w:ascii="Calibri" w:hAnsi="Calibri" w:cs="Calibri"/>
    </w:rPr>
  </w:style>
  <w:style w:type="paragraph" w:styleId="176">
    <w:name w:val="List Paragraph"/>
    <w:basedOn w:val="1"/>
    <w:autoRedefine/>
    <w:qFormat/>
    <w:uiPriority w:val="0"/>
    <w:pPr>
      <w:ind w:firstLine="420" w:firstLineChars="200"/>
    </w:pPr>
    <w:rPr>
      <w:rFonts w:ascii="Calibri" w:hAnsi="Calibri"/>
      <w:szCs w:val="20"/>
    </w:rPr>
  </w:style>
  <w:style w:type="paragraph" w:customStyle="1" w:styleId="177">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78">
    <w:name w:val="Char1"/>
    <w:basedOn w:val="1"/>
    <w:autoRedefine/>
    <w:qFormat/>
    <w:uiPriority w:val="0"/>
    <w:pPr>
      <w:widowControl/>
      <w:spacing w:after="160" w:line="240" w:lineRule="exact"/>
      <w:jc w:val="left"/>
    </w:pPr>
    <w:rPr>
      <w:rFonts w:ascii="宋体" w:hAnsi="宋体"/>
      <w:kern w:val="0"/>
      <w:sz w:val="20"/>
      <w:szCs w:val="20"/>
      <w:lang w:eastAsia="en-US"/>
    </w:rPr>
  </w:style>
  <w:style w:type="paragraph" w:customStyle="1" w:styleId="179">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80">
    <w:name w:val="1"/>
    <w:basedOn w:val="1"/>
    <w:autoRedefine/>
    <w:qFormat/>
    <w:uiPriority w:val="0"/>
  </w:style>
  <w:style w:type="paragraph" w:customStyle="1" w:styleId="181">
    <w:name w:val="Char Char10 Char"/>
    <w:basedOn w:val="1"/>
    <w:autoRedefine/>
    <w:qFormat/>
    <w:uiPriority w:val="0"/>
  </w:style>
  <w:style w:type="paragraph" w:customStyle="1" w:styleId="182">
    <w:name w:val="标题5 1"/>
    <w:basedOn w:val="162"/>
    <w:autoRedefine/>
    <w:qFormat/>
    <w:uiPriority w:val="0"/>
    <w:pPr>
      <w:numPr>
        <w:ilvl w:val="2"/>
      </w:numPr>
      <w:tabs>
        <w:tab w:val="left" w:pos="709"/>
        <w:tab w:val="clear" w:pos="567"/>
      </w:tabs>
      <w:outlineLvl w:val="4"/>
    </w:pPr>
    <w:rPr>
      <w:b/>
      <w:sz w:val="24"/>
      <w:szCs w:val="24"/>
    </w:rPr>
  </w:style>
  <w:style w:type="paragraph" w:customStyle="1" w:styleId="183">
    <w:name w:val="正文文本缩进1"/>
    <w:basedOn w:val="1"/>
    <w:autoRedefine/>
    <w:qFormat/>
    <w:uiPriority w:val="0"/>
    <w:pPr>
      <w:snapToGrid w:val="0"/>
      <w:spacing w:after="120" w:line="360" w:lineRule="auto"/>
      <w:ind w:left="420" w:leftChars="200" w:firstLine="560" w:firstLineChars="200"/>
      <w:jc w:val="left"/>
    </w:pPr>
    <w:rPr>
      <w:rFonts w:ascii="仿宋" w:hAnsi="仿宋" w:eastAsia="仿宋" w:cs="仿宋"/>
      <w:color w:val="000000"/>
      <w:szCs w:val="28"/>
    </w:rPr>
  </w:style>
  <w:style w:type="paragraph" w:customStyle="1" w:styleId="184">
    <w:name w:val="Char2"/>
    <w:basedOn w:val="1"/>
    <w:autoRedefine/>
    <w:qFormat/>
    <w:uiPriority w:val="0"/>
    <w:pPr>
      <w:tabs>
        <w:tab w:val="left" w:pos="360"/>
      </w:tabs>
    </w:pPr>
    <w:rPr>
      <w:sz w:val="24"/>
    </w:rPr>
  </w:style>
  <w:style w:type="paragraph" w:customStyle="1" w:styleId="185">
    <w:name w:val="文档正文"/>
    <w:basedOn w:val="1"/>
    <w:autoRedefine/>
    <w:qFormat/>
    <w:uiPriority w:val="0"/>
    <w:pPr>
      <w:adjustRightInd w:val="0"/>
      <w:spacing w:line="480" w:lineRule="atLeast"/>
      <w:ind w:firstLine="567"/>
      <w:textAlignment w:val="baseline"/>
    </w:pPr>
    <w:rPr>
      <w:rFonts w:ascii="仿宋_GB2312" w:eastAsia="仿宋_GB2312"/>
      <w:kern w:val="0"/>
      <w:sz w:val="28"/>
      <w:szCs w:val="20"/>
    </w:rPr>
  </w:style>
  <w:style w:type="paragraph" w:customStyle="1" w:styleId="186">
    <w:name w:val="Char Char Char"/>
    <w:basedOn w:val="1"/>
    <w:autoRedefine/>
    <w:qFormat/>
    <w:uiPriority w:val="0"/>
    <w:pPr>
      <w:adjustRightInd w:val="0"/>
      <w:spacing w:line="360" w:lineRule="atLeast"/>
    </w:pPr>
  </w:style>
  <w:style w:type="paragraph" w:customStyle="1" w:styleId="187">
    <w:name w:val="表格标题"/>
    <w:basedOn w:val="1"/>
    <w:autoRedefine/>
    <w:qFormat/>
    <w:uiPriority w:val="0"/>
    <w:pPr>
      <w:adjustRightInd w:val="0"/>
      <w:snapToGrid w:val="0"/>
      <w:spacing w:line="480" w:lineRule="exact"/>
      <w:ind w:left="508" w:leftChars="1" w:right="113" w:hanging="505"/>
      <w:jc w:val="center"/>
    </w:pPr>
    <w:rPr>
      <w:rFonts w:ascii="宋体" w:eastAsia="黑体"/>
      <w:sz w:val="36"/>
      <w:szCs w:val="28"/>
    </w:rPr>
  </w:style>
  <w:style w:type="paragraph" w:customStyle="1" w:styleId="188">
    <w:name w:val="flNote"/>
    <w:basedOn w:val="1"/>
    <w:autoRedefine/>
    <w:qFormat/>
    <w:uiPriority w:val="0"/>
    <w:pPr>
      <w:adjustRightInd w:val="0"/>
      <w:spacing w:before="320" w:after="160" w:line="360" w:lineRule="atLeast"/>
      <w:jc w:val="center"/>
      <w:textAlignment w:val="baseline"/>
    </w:pPr>
    <w:rPr>
      <w:rFonts w:ascii="Arial" w:eastAsia="黑体" w:cs="Arial"/>
      <w:kern w:val="0"/>
      <w:sz w:val="30"/>
      <w:szCs w:val="30"/>
    </w:rPr>
  </w:style>
  <w:style w:type="paragraph" w:customStyle="1" w:styleId="189">
    <w:name w:val="TOC Heading1"/>
    <w:basedOn w:val="2"/>
    <w:next w:val="1"/>
    <w:autoRedefine/>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90">
    <w:name w:val="表格"/>
    <w:basedOn w:val="1"/>
    <w:autoRedefine/>
    <w:qFormat/>
    <w:uiPriority w:val="0"/>
    <w:pPr>
      <w:jc w:val="center"/>
      <w:textAlignment w:val="center"/>
    </w:pPr>
    <w:rPr>
      <w:rFonts w:ascii="华文细黑" w:hAnsi="华文细黑"/>
      <w:kern w:val="0"/>
      <w:szCs w:val="20"/>
    </w:rPr>
  </w:style>
  <w:style w:type="paragraph" w:customStyle="1" w:styleId="191">
    <w:name w:val="List Paragraph1"/>
    <w:basedOn w:val="1"/>
    <w:autoRedefine/>
    <w:qFormat/>
    <w:uiPriority w:val="0"/>
    <w:pPr>
      <w:spacing w:line="360" w:lineRule="auto"/>
      <w:ind w:left="200" w:leftChars="200" w:firstLine="420" w:firstLineChars="200"/>
      <w:jc w:val="left"/>
    </w:pPr>
    <w:rPr>
      <w:sz w:val="24"/>
      <w:szCs w:val="22"/>
    </w:rPr>
  </w:style>
  <w:style w:type="paragraph" w:customStyle="1" w:styleId="192">
    <w:name w:val="景逢春公文样式"/>
    <w:basedOn w:val="1"/>
    <w:autoRedefine/>
    <w:qFormat/>
    <w:uiPriority w:val="0"/>
    <w:pPr>
      <w:spacing w:line="360" w:lineRule="auto"/>
    </w:pPr>
    <w:rPr>
      <w:rFonts w:ascii="Albertus" w:hAnsi="Albertus" w:eastAsia="仿宋_GB2312"/>
      <w:sz w:val="28"/>
      <w:szCs w:val="20"/>
    </w:rPr>
  </w:style>
  <w:style w:type="paragraph" w:customStyle="1" w:styleId="193">
    <w:name w:val="Table Paragraph"/>
    <w:autoRedefine/>
    <w:qFormat/>
    <w:uiPriority w:val="0"/>
    <w:pPr>
      <w:widowControl w:val="0"/>
      <w:jc w:val="both"/>
    </w:pPr>
    <w:rPr>
      <w:rFonts w:ascii="Times New Roman" w:hAnsi="Times New Roman" w:eastAsia="宋体" w:cs="Times New Roman"/>
      <w:kern w:val="1"/>
      <w:sz w:val="21"/>
      <w:szCs w:val="24"/>
      <w:lang w:val="en-US" w:eastAsia="zh-CN" w:bidi="ar-SA"/>
    </w:rPr>
  </w:style>
  <w:style w:type="paragraph" w:customStyle="1" w:styleId="194">
    <w:name w:val="无间隔11"/>
    <w:autoRedefine/>
    <w:qFormat/>
    <w:uiPriority w:val="0"/>
    <w:pPr>
      <w:widowControl w:val="0"/>
      <w:jc w:val="both"/>
    </w:pPr>
    <w:rPr>
      <w:rFonts w:ascii="Calibri" w:hAnsi="Calibri" w:eastAsia="宋体" w:cs="Times New Roman"/>
      <w:kern w:val="1"/>
      <w:sz w:val="21"/>
      <w:szCs w:val="22"/>
      <w:lang w:val="en-US" w:eastAsia="zh-CN" w:bidi="ar-SA"/>
    </w:rPr>
  </w:style>
  <w:style w:type="paragraph" w:customStyle="1" w:styleId="195">
    <w:name w:val="正文文本缩进 3 New"/>
    <w:basedOn w:val="1"/>
    <w:autoRedefine/>
    <w:qFormat/>
    <w:uiPriority w:val="0"/>
    <w:pPr>
      <w:ind w:left="630"/>
    </w:pPr>
    <w:rPr>
      <w:sz w:val="30"/>
      <w:szCs w:val="30"/>
    </w:rPr>
  </w:style>
  <w:style w:type="character" w:customStyle="1" w:styleId="196">
    <w:name w:val="NormalCharacter"/>
    <w:link w:val="1"/>
    <w:autoRedefine/>
    <w:qFormat/>
    <w:uiPriority w:val="0"/>
    <w:rPr>
      <w:rFonts w:ascii="Times New Roman" w:hAnsi="Times New Roman" w:eastAsia="宋体" w:cs="Times New Roman"/>
      <w:kern w:val="2"/>
      <w:sz w:val="21"/>
      <w:szCs w:val="24"/>
      <w:lang w:val="en-US" w:eastAsia="zh-CN" w:bidi="ar-SA"/>
    </w:rPr>
  </w:style>
  <w:style w:type="paragraph" w:customStyle="1" w:styleId="197">
    <w:name w:val="BodyText1I"/>
    <w:basedOn w:val="198"/>
    <w:next w:val="200"/>
    <w:autoRedefine/>
    <w:qFormat/>
    <w:uiPriority w:val="0"/>
    <w:pPr>
      <w:tabs>
        <w:tab w:val="left" w:pos="567"/>
      </w:tabs>
      <w:spacing w:after="120"/>
      <w:ind w:firstLine="420" w:firstLineChars="100"/>
      <w:jc w:val="both"/>
      <w:textAlignment w:val="baseline"/>
    </w:pPr>
  </w:style>
  <w:style w:type="paragraph" w:customStyle="1" w:styleId="198">
    <w:name w:val="BodyText"/>
    <w:basedOn w:val="1"/>
    <w:next w:val="199"/>
    <w:autoRedefine/>
    <w:qFormat/>
    <w:uiPriority w:val="0"/>
    <w:pPr>
      <w:spacing w:after="120"/>
      <w:jc w:val="both"/>
      <w:textAlignment w:val="baseline"/>
    </w:pPr>
    <w:rPr>
      <w:kern w:val="0"/>
      <w:sz w:val="20"/>
      <w:szCs w:val="24"/>
      <w:lang w:val="en-US" w:eastAsia="zh-CN" w:bidi="ar-SA"/>
    </w:rPr>
  </w:style>
  <w:style w:type="paragraph" w:customStyle="1" w:styleId="199">
    <w:name w:val="BodyText2"/>
    <w:basedOn w:val="1"/>
    <w:autoRedefine/>
    <w:qFormat/>
    <w:uiPriority w:val="0"/>
    <w:pPr>
      <w:snapToGrid w:val="0"/>
      <w:spacing w:before="120" w:after="120" w:line="360" w:lineRule="auto"/>
      <w:ind w:firstLine="100" w:firstLineChars="100"/>
      <w:jc w:val="both"/>
      <w:textAlignment w:val="baseline"/>
    </w:pPr>
    <w:rPr>
      <w:kern w:val="2"/>
      <w:sz w:val="24"/>
      <w:szCs w:val="20"/>
      <w:lang w:val="en-US" w:eastAsia="zh-CN" w:bidi="ar-SA"/>
    </w:rPr>
  </w:style>
  <w:style w:type="paragraph" w:customStyle="1" w:styleId="200">
    <w:name w:val="BodyText1I2"/>
    <w:basedOn w:val="201"/>
    <w:next w:val="197"/>
    <w:autoRedefine/>
    <w:qFormat/>
    <w:uiPriority w:val="0"/>
    <w:pPr>
      <w:spacing w:after="120"/>
      <w:ind w:left="420" w:leftChars="200" w:firstLine="420"/>
      <w:jc w:val="both"/>
      <w:textAlignment w:val="baseline"/>
    </w:pPr>
  </w:style>
  <w:style w:type="paragraph" w:customStyle="1" w:styleId="201">
    <w:name w:val="BodyTextIndent"/>
    <w:basedOn w:val="1"/>
    <w:next w:val="202"/>
    <w:autoRedefine/>
    <w:qFormat/>
    <w:uiPriority w:val="0"/>
    <w:pPr>
      <w:spacing w:after="120"/>
      <w:ind w:left="420" w:leftChars="200"/>
      <w:jc w:val="both"/>
      <w:textAlignment w:val="baseline"/>
    </w:pPr>
    <w:rPr>
      <w:kern w:val="0"/>
      <w:sz w:val="20"/>
      <w:szCs w:val="24"/>
      <w:lang w:val="en-US" w:eastAsia="zh-CN" w:bidi="ar-SA"/>
    </w:rPr>
  </w:style>
  <w:style w:type="paragraph" w:customStyle="1" w:styleId="202">
    <w:name w:val="UserStyle_14"/>
    <w:next w:val="203"/>
    <w:autoRedefine/>
    <w:qFormat/>
    <w:uiPriority w:val="0"/>
    <w:pPr>
      <w:textAlignment w:val="baseline"/>
    </w:pPr>
    <w:rPr>
      <w:rFonts w:ascii="宋体" w:hAnsi="Times New Roman" w:eastAsia="宋体" w:cstheme="minorBidi"/>
      <w:color w:val="000000"/>
      <w:sz w:val="24"/>
      <w:szCs w:val="24"/>
      <w:lang w:val="en-US" w:eastAsia="zh-CN" w:bidi="ar-SA"/>
    </w:rPr>
  </w:style>
  <w:style w:type="paragraph" w:customStyle="1" w:styleId="203">
    <w:name w:val="FootnoteText"/>
    <w:basedOn w:val="1"/>
    <w:autoRedefine/>
    <w:qFormat/>
    <w:uiPriority w:val="0"/>
    <w:pPr>
      <w:snapToGrid w:val="0"/>
      <w:jc w:val="left"/>
      <w:textAlignment w:val="baseline"/>
    </w:pPr>
    <w:rPr>
      <w:kern w:val="2"/>
      <w:sz w:val="18"/>
      <w:szCs w:val="24"/>
      <w:lang w:val="en-US" w:eastAsia="zh-CN" w:bidi="ar-SA"/>
    </w:rPr>
  </w:style>
  <w:style w:type="character" w:customStyle="1" w:styleId="204">
    <w:name w:val="ul_li_a_1"/>
    <w:basedOn w:val="49"/>
    <w:autoRedefine/>
    <w:qFormat/>
    <w:uiPriority w:val="0"/>
    <w:rPr>
      <w:b/>
      <w:bCs/>
      <w:color w:val="FFFFFF"/>
    </w:rPr>
  </w:style>
  <w:style w:type="character" w:customStyle="1" w:styleId="205">
    <w:name w:val="a_p_2"/>
    <w:basedOn w:val="49"/>
    <w:autoRedefine/>
    <w:qFormat/>
    <w:uiPriority w:val="0"/>
  </w:style>
  <w:style w:type="character" w:customStyle="1" w:styleId="206">
    <w:name w:val="a_p_21"/>
    <w:basedOn w:val="49"/>
    <w:autoRedefine/>
    <w:qFormat/>
    <w:uiPriority w:val="0"/>
    <w:rPr>
      <w:sz w:val="27"/>
      <w:szCs w:val="27"/>
    </w:rPr>
  </w:style>
  <w:style w:type="character" w:customStyle="1" w:styleId="207">
    <w:name w:val="a_p_3"/>
    <w:basedOn w:val="49"/>
    <w:autoRedefine/>
    <w:qFormat/>
    <w:uiPriority w:val="0"/>
    <w:rPr>
      <w:sz w:val="27"/>
      <w:szCs w:val="27"/>
    </w:rPr>
  </w:style>
  <w:style w:type="character" w:customStyle="1" w:styleId="208">
    <w:name w:val="exap"/>
    <w:basedOn w:val="49"/>
    <w:autoRedefine/>
    <w:qFormat/>
    <w:uiPriority w:val="0"/>
    <w:rPr>
      <w:sz w:val="27"/>
      <w:szCs w:val="27"/>
    </w:rPr>
  </w:style>
  <w:style w:type="character" w:customStyle="1" w:styleId="209">
    <w:name w:val="a_p_1"/>
    <w:basedOn w:val="49"/>
    <w:autoRedefine/>
    <w:qFormat/>
    <w:uiPriority w:val="0"/>
    <w:rPr>
      <w:sz w:val="27"/>
      <w:szCs w:val="27"/>
    </w:rPr>
  </w:style>
  <w:style w:type="character" w:customStyle="1" w:styleId="210">
    <w:name w:val="gb-jt"/>
    <w:basedOn w:val="49"/>
    <w:autoRedefine/>
    <w:qFormat/>
    <w:uiPriority w:val="0"/>
  </w:style>
  <w:style w:type="paragraph" w:customStyle="1" w:styleId="211">
    <w:name w:val="UserStyle_0"/>
    <w:basedOn w:val="1"/>
    <w:autoRedefine/>
    <w:qFormat/>
    <w:uiPriority w:val="0"/>
    <w:pPr>
      <w:textAlignment w:val="baseline"/>
    </w:pPr>
    <w:rPr>
      <w:rFonts w:ascii="宋体" w:hAnsi="宋体" w:eastAsia="Calibri"/>
      <w:color w:val="000000"/>
      <w:kern w:val="0"/>
      <w:sz w:val="24"/>
      <w:szCs w:val="24"/>
      <w:lang w:val="en-US" w:eastAsia="en-US" w:bidi="ar-SA"/>
    </w:rPr>
  </w:style>
  <w:style w:type="paragraph" w:customStyle="1" w:styleId="212">
    <w:name w:val="MSG_EN_FONT_STYLE_NAME_TEMPLATE_ROLE_NUMBER MSG_EN_FONT_STYLE_NAME_BY_ROLE_TEXT 21"/>
    <w:basedOn w:val="1"/>
    <w:qFormat/>
    <w:uiPriority w:val="0"/>
    <w:pPr>
      <w:shd w:val="clear" w:color="auto" w:fill="FFFFFF"/>
      <w:spacing w:before="240" w:line="355" w:lineRule="exact"/>
    </w:pPr>
    <w:rPr>
      <w:rFonts w:ascii="宋体" w:hAnsi="宋体" w:eastAsia="宋体"/>
      <w:color w:val="auto"/>
      <w:sz w:val="20"/>
      <w:szCs w:val="20"/>
      <w:lang w:bidi="ar-SA"/>
    </w:rPr>
  </w:style>
  <w:style w:type="character" w:customStyle="1" w:styleId="213">
    <w:name w:val="hover18"/>
    <w:basedOn w:val="49"/>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58</Pages>
  <Words>25475</Words>
  <Characters>27068</Characters>
  <Lines>338</Lines>
  <Paragraphs>95</Paragraphs>
  <TotalTime>29</TotalTime>
  <ScaleCrop>false</ScaleCrop>
  <LinksUpToDate>false</LinksUpToDate>
  <CharactersWithSpaces>28821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2021-04-05T03:18:00Z</dcterms:created>
  <dc:creator>微软用户</dc:creator>
  <cp:lastModifiedBy>Oo滨</cp:lastModifiedBy>
  <cp:lastPrinted>2024-11-19T00:25:00Z</cp:lastPrinted>
  <dcterms:modified xsi:type="dcterms:W3CDTF">2024-11-22T03:53:02Z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3B07A1395F254AF8ACB2F191B4AC21B9_13</vt:lpwstr>
  </property>
</Properties>
</file>