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BDC0D6">
      <w:pPr>
        <w:spacing w:line="420" w:lineRule="exact"/>
        <w:rPr>
          <w:rFonts w:hint="eastAsia" w:ascii="宋体" w:hAnsi="宋体"/>
          <w:b/>
          <w:color w:val="auto"/>
          <w:sz w:val="36"/>
          <w:szCs w:val="40"/>
        </w:rPr>
      </w:pPr>
    </w:p>
    <w:p w14:paraId="4B3425A6">
      <w:pPr>
        <w:rPr>
          <w:rFonts w:hint="eastAsia" w:ascii="宋体" w:eastAsia="宋体" w:cs="宋体"/>
          <w:b/>
          <w:color w:val="auto"/>
          <w:kern w:val="0"/>
          <w:sz w:val="30"/>
          <w:szCs w:val="30"/>
          <w:lang w:eastAsia="zh-CN"/>
        </w:rPr>
        <w:sectPr>
          <w:headerReference r:id="rId3" w:type="default"/>
          <w:footerReference r:id="rId4" w:type="default"/>
          <w:pgSz w:w="11906" w:h="16838"/>
          <w:pgMar w:top="1134" w:right="1701" w:bottom="1134" w:left="1418" w:header="851" w:footer="992" w:gutter="0"/>
          <w:pgNumType w:start="1"/>
          <w:cols w:space="720" w:num="1"/>
          <w:titlePg/>
          <w:docGrid w:type="lines" w:linePitch="312" w:charSpace="0"/>
        </w:sectPr>
      </w:pPr>
      <w:r>
        <w:rPr>
          <w:color w:val="auto"/>
        </w:rPr>
        <w:drawing>
          <wp:inline distT="0" distB="0" distL="114300" distR="114300">
            <wp:extent cx="5574665" cy="7016750"/>
            <wp:effectExtent l="0" t="0" r="3175"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574665" cy="7016750"/>
                    </a:xfrm>
                    <a:prstGeom prst="rect">
                      <a:avLst/>
                    </a:prstGeom>
                    <a:noFill/>
                    <a:ln>
                      <a:noFill/>
                    </a:ln>
                  </pic:spPr>
                </pic:pic>
              </a:graphicData>
            </a:graphic>
          </wp:inline>
        </w:drawing>
      </w:r>
    </w:p>
    <w:p w14:paraId="045B8C48">
      <w:pPr>
        <w:pStyle w:val="10"/>
        <w:spacing w:before="312" w:beforeLines="100" w:after="312" w:afterLines="100" w:line="600" w:lineRule="exact"/>
        <w:jc w:val="center"/>
        <w:rPr>
          <w:b/>
          <w:bCs/>
          <w:color w:val="auto"/>
          <w:sz w:val="32"/>
          <w:szCs w:val="32"/>
        </w:rPr>
      </w:pPr>
      <w:bookmarkStart w:id="0" w:name="_Toc281744719"/>
      <w:bookmarkStart w:id="1" w:name="_Toc11362"/>
      <w:bookmarkStart w:id="2" w:name="_Toc20172"/>
      <w:r>
        <w:rPr>
          <w:rFonts w:hint="eastAsia"/>
          <w:b/>
          <w:bCs/>
          <w:color w:val="auto"/>
          <w:sz w:val="32"/>
          <w:szCs w:val="32"/>
        </w:rPr>
        <w:t>目  录</w:t>
      </w:r>
    </w:p>
    <w:p w14:paraId="74F8E9C1">
      <w:pPr>
        <w:pStyle w:val="14"/>
        <w:tabs>
          <w:tab w:val="right" w:leader="dot" w:pos="9072"/>
        </w:tabs>
        <w:rPr>
          <w:color w:val="auto"/>
        </w:rPr>
      </w:pPr>
      <w:r>
        <w:rPr>
          <w:color w:val="auto"/>
        </w:rPr>
        <w:fldChar w:fldCharType="begin"/>
      </w:r>
      <w:r>
        <w:rPr>
          <w:color w:val="auto"/>
        </w:rPr>
        <w:instrText xml:space="preserve"> TOC \o "1-2" \h \z \u </w:instrText>
      </w:r>
      <w:r>
        <w:rPr>
          <w:color w:val="auto"/>
        </w:rPr>
        <w:fldChar w:fldCharType="separate"/>
      </w:r>
      <w:r>
        <w:rPr>
          <w:color w:val="auto"/>
        </w:rPr>
        <w:fldChar w:fldCharType="begin"/>
      </w:r>
      <w:r>
        <w:rPr>
          <w:color w:val="auto"/>
        </w:rPr>
        <w:instrText xml:space="preserve"> HYPERLINK \l _Toc6907 </w:instrText>
      </w:r>
      <w:r>
        <w:rPr>
          <w:color w:val="auto"/>
        </w:rPr>
        <w:fldChar w:fldCharType="separate"/>
      </w:r>
      <w:r>
        <w:rPr>
          <w:rFonts w:hint="eastAsia"/>
          <w:color w:val="auto"/>
          <w:kern w:val="0"/>
          <w:szCs w:val="36"/>
        </w:rPr>
        <w:t>第一章</w:t>
      </w:r>
      <w:r>
        <w:rPr>
          <w:color w:val="auto"/>
          <w:kern w:val="0"/>
          <w:szCs w:val="36"/>
        </w:rPr>
        <w:t xml:space="preserve"> </w:t>
      </w:r>
      <w:r>
        <w:rPr>
          <w:rFonts w:hint="eastAsia"/>
          <w:color w:val="auto"/>
          <w:kern w:val="0"/>
          <w:szCs w:val="36"/>
          <w:lang w:eastAsia="zh-CN"/>
        </w:rPr>
        <w:t>竞争性</w:t>
      </w:r>
      <w:r>
        <w:rPr>
          <w:rFonts w:hint="eastAsia"/>
          <w:color w:val="auto"/>
          <w:kern w:val="0"/>
          <w:szCs w:val="36"/>
          <w:lang w:val="en-US" w:eastAsia="zh-CN"/>
        </w:rPr>
        <w:t>磋商</w:t>
      </w:r>
      <w:r>
        <w:rPr>
          <w:rFonts w:hint="eastAsia"/>
          <w:color w:val="auto"/>
          <w:kern w:val="0"/>
          <w:szCs w:val="36"/>
        </w:rPr>
        <w:t>公告</w:t>
      </w:r>
      <w:r>
        <w:rPr>
          <w:color w:val="auto"/>
        </w:rPr>
        <w:tab/>
      </w:r>
      <w:r>
        <w:rPr>
          <w:color w:val="auto"/>
        </w:rPr>
        <w:fldChar w:fldCharType="begin"/>
      </w:r>
      <w:r>
        <w:rPr>
          <w:color w:val="auto"/>
        </w:rPr>
        <w:instrText xml:space="preserve"> PAGEREF _Toc6907 \h </w:instrText>
      </w:r>
      <w:r>
        <w:rPr>
          <w:color w:val="auto"/>
        </w:rPr>
        <w:fldChar w:fldCharType="separate"/>
      </w:r>
      <w:r>
        <w:rPr>
          <w:color w:val="auto"/>
        </w:rPr>
        <w:t>3</w:t>
      </w:r>
      <w:r>
        <w:rPr>
          <w:color w:val="auto"/>
        </w:rPr>
        <w:fldChar w:fldCharType="end"/>
      </w:r>
      <w:r>
        <w:rPr>
          <w:color w:val="auto"/>
        </w:rPr>
        <w:fldChar w:fldCharType="end"/>
      </w:r>
    </w:p>
    <w:p w14:paraId="1B0234E3">
      <w:pPr>
        <w:pStyle w:val="14"/>
        <w:tabs>
          <w:tab w:val="right" w:leader="dot" w:pos="9072"/>
        </w:tabs>
        <w:rPr>
          <w:color w:val="auto"/>
        </w:rPr>
      </w:pPr>
      <w:r>
        <w:rPr>
          <w:rFonts w:hAnsi="宋体" w:cs="宋体"/>
          <w:color w:val="auto"/>
        </w:rPr>
        <w:fldChar w:fldCharType="begin"/>
      </w:r>
      <w:r>
        <w:rPr>
          <w:rFonts w:hAnsi="宋体" w:cs="宋体"/>
          <w:color w:val="auto"/>
        </w:rPr>
        <w:instrText xml:space="preserve"> HYPERLINK \l _Toc16932 </w:instrText>
      </w:r>
      <w:r>
        <w:rPr>
          <w:rFonts w:hAnsi="宋体" w:cs="宋体"/>
          <w:color w:val="auto"/>
        </w:rPr>
        <w:fldChar w:fldCharType="separate"/>
      </w:r>
      <w:r>
        <w:rPr>
          <w:rFonts w:hint="eastAsia" w:ascii="Times New Roman" w:hAnsi="Times New Roman" w:eastAsia="宋体" w:cs="Times New Roman"/>
          <w:bCs/>
          <w:color w:val="auto"/>
          <w:kern w:val="0"/>
          <w:szCs w:val="36"/>
          <w:lang w:val="en-US" w:eastAsia="zh-CN"/>
        </w:rPr>
        <w:t>第二章 供应商须知</w:t>
      </w:r>
      <w:r>
        <w:rPr>
          <w:color w:val="auto"/>
        </w:rPr>
        <w:tab/>
      </w:r>
      <w:r>
        <w:rPr>
          <w:color w:val="auto"/>
        </w:rPr>
        <w:fldChar w:fldCharType="begin"/>
      </w:r>
      <w:r>
        <w:rPr>
          <w:color w:val="auto"/>
        </w:rPr>
        <w:instrText xml:space="preserve"> PAGEREF _Toc16932 \h </w:instrText>
      </w:r>
      <w:r>
        <w:rPr>
          <w:color w:val="auto"/>
        </w:rPr>
        <w:fldChar w:fldCharType="separate"/>
      </w:r>
      <w:r>
        <w:rPr>
          <w:color w:val="auto"/>
        </w:rPr>
        <w:t>6</w:t>
      </w:r>
      <w:r>
        <w:rPr>
          <w:color w:val="auto"/>
        </w:rPr>
        <w:fldChar w:fldCharType="end"/>
      </w:r>
      <w:r>
        <w:rPr>
          <w:rFonts w:hAnsi="宋体" w:cs="宋体"/>
          <w:color w:val="auto"/>
        </w:rPr>
        <w:fldChar w:fldCharType="end"/>
      </w:r>
    </w:p>
    <w:p w14:paraId="2D446EB0">
      <w:pPr>
        <w:pStyle w:val="15"/>
        <w:tabs>
          <w:tab w:val="right" w:leader="dot" w:pos="9072"/>
        </w:tabs>
        <w:rPr>
          <w:color w:val="auto"/>
        </w:rPr>
      </w:pPr>
      <w:r>
        <w:rPr>
          <w:rFonts w:hAnsi="宋体" w:cs="宋体"/>
          <w:color w:val="auto"/>
        </w:rPr>
        <w:fldChar w:fldCharType="begin"/>
      </w:r>
      <w:r>
        <w:rPr>
          <w:rFonts w:hAnsi="宋体" w:cs="宋体"/>
          <w:color w:val="auto"/>
        </w:rPr>
        <w:instrText xml:space="preserve"> HYPERLINK \l _Toc362 </w:instrText>
      </w:r>
      <w:r>
        <w:rPr>
          <w:rFonts w:hAnsi="宋体" w:cs="宋体"/>
          <w:color w:val="auto"/>
        </w:rPr>
        <w:fldChar w:fldCharType="separate"/>
      </w:r>
      <w:r>
        <w:rPr>
          <w:rFonts w:hint="default" w:hAnsi="宋体" w:cs="Times New Roman"/>
          <w:color w:val="auto"/>
          <w:kern w:val="2"/>
        </w:rPr>
        <w:t xml:space="preserve">1. </w:t>
      </w:r>
      <w:r>
        <w:rPr>
          <w:rFonts w:hint="eastAsia"/>
          <w:color w:val="auto"/>
        </w:rPr>
        <w:t>总则</w:t>
      </w:r>
      <w:r>
        <w:rPr>
          <w:color w:val="auto"/>
        </w:rPr>
        <w:tab/>
      </w:r>
      <w:r>
        <w:rPr>
          <w:color w:val="auto"/>
        </w:rPr>
        <w:fldChar w:fldCharType="begin"/>
      </w:r>
      <w:r>
        <w:rPr>
          <w:color w:val="auto"/>
        </w:rPr>
        <w:instrText xml:space="preserve"> PAGEREF _Toc362 \h </w:instrText>
      </w:r>
      <w:r>
        <w:rPr>
          <w:color w:val="auto"/>
        </w:rPr>
        <w:fldChar w:fldCharType="separate"/>
      </w:r>
      <w:r>
        <w:rPr>
          <w:color w:val="auto"/>
        </w:rPr>
        <w:t>12</w:t>
      </w:r>
      <w:r>
        <w:rPr>
          <w:color w:val="auto"/>
        </w:rPr>
        <w:fldChar w:fldCharType="end"/>
      </w:r>
      <w:r>
        <w:rPr>
          <w:rFonts w:hAnsi="宋体" w:cs="宋体"/>
          <w:color w:val="auto"/>
        </w:rPr>
        <w:fldChar w:fldCharType="end"/>
      </w:r>
    </w:p>
    <w:p w14:paraId="67E7CA85">
      <w:pPr>
        <w:pStyle w:val="15"/>
        <w:tabs>
          <w:tab w:val="right" w:leader="dot" w:pos="9072"/>
        </w:tabs>
        <w:rPr>
          <w:color w:val="auto"/>
        </w:rPr>
      </w:pPr>
      <w:r>
        <w:rPr>
          <w:rFonts w:hAnsi="宋体" w:cs="宋体"/>
          <w:color w:val="auto"/>
        </w:rPr>
        <w:fldChar w:fldCharType="begin"/>
      </w:r>
      <w:r>
        <w:rPr>
          <w:rFonts w:hAnsi="宋体" w:cs="宋体"/>
          <w:color w:val="auto"/>
        </w:rPr>
        <w:instrText xml:space="preserve"> HYPERLINK \l _Toc18247 </w:instrText>
      </w:r>
      <w:r>
        <w:rPr>
          <w:rFonts w:hAnsi="宋体" w:cs="宋体"/>
          <w:color w:val="auto"/>
        </w:rPr>
        <w:fldChar w:fldCharType="separate"/>
      </w:r>
      <w:r>
        <w:rPr>
          <w:rFonts w:hint="default"/>
          <w:color w:val="auto"/>
        </w:rPr>
        <w:t xml:space="preserve">2. </w:t>
      </w:r>
      <w:r>
        <w:rPr>
          <w:rFonts w:hint="eastAsia"/>
          <w:color w:val="auto"/>
        </w:rPr>
        <w:t>竞争性磋商文件</w:t>
      </w:r>
      <w:r>
        <w:rPr>
          <w:color w:val="auto"/>
        </w:rPr>
        <w:tab/>
      </w:r>
      <w:r>
        <w:rPr>
          <w:color w:val="auto"/>
        </w:rPr>
        <w:fldChar w:fldCharType="begin"/>
      </w:r>
      <w:r>
        <w:rPr>
          <w:color w:val="auto"/>
        </w:rPr>
        <w:instrText xml:space="preserve"> PAGEREF _Toc18247 \h </w:instrText>
      </w:r>
      <w:r>
        <w:rPr>
          <w:color w:val="auto"/>
        </w:rPr>
        <w:fldChar w:fldCharType="separate"/>
      </w:r>
      <w:r>
        <w:rPr>
          <w:color w:val="auto"/>
        </w:rPr>
        <w:t>15</w:t>
      </w:r>
      <w:r>
        <w:rPr>
          <w:color w:val="auto"/>
        </w:rPr>
        <w:fldChar w:fldCharType="end"/>
      </w:r>
      <w:r>
        <w:rPr>
          <w:rFonts w:hAnsi="宋体" w:cs="宋体"/>
          <w:color w:val="auto"/>
        </w:rPr>
        <w:fldChar w:fldCharType="end"/>
      </w:r>
    </w:p>
    <w:p w14:paraId="409A98C1">
      <w:pPr>
        <w:pStyle w:val="15"/>
        <w:tabs>
          <w:tab w:val="right" w:leader="dot" w:pos="9072"/>
        </w:tabs>
        <w:rPr>
          <w:color w:val="auto"/>
        </w:rPr>
      </w:pPr>
      <w:r>
        <w:rPr>
          <w:rFonts w:hAnsi="宋体" w:cs="宋体"/>
          <w:color w:val="auto"/>
        </w:rPr>
        <w:fldChar w:fldCharType="begin"/>
      </w:r>
      <w:r>
        <w:rPr>
          <w:rFonts w:hAnsi="宋体" w:cs="宋体"/>
          <w:color w:val="auto"/>
        </w:rPr>
        <w:instrText xml:space="preserve"> HYPERLINK \l _Toc17615 </w:instrText>
      </w:r>
      <w:r>
        <w:rPr>
          <w:rFonts w:hAnsi="宋体" w:cs="宋体"/>
          <w:color w:val="auto"/>
        </w:rPr>
        <w:fldChar w:fldCharType="separate"/>
      </w:r>
      <w:r>
        <w:rPr>
          <w:rFonts w:hint="default"/>
          <w:color w:val="auto"/>
        </w:rPr>
        <w:t xml:space="preserve">3. </w:t>
      </w:r>
      <w:r>
        <w:rPr>
          <w:rFonts w:hint="eastAsia"/>
          <w:color w:val="auto"/>
        </w:rPr>
        <w:t>磋商响应文件编写</w:t>
      </w:r>
      <w:r>
        <w:rPr>
          <w:color w:val="auto"/>
        </w:rPr>
        <w:tab/>
      </w:r>
      <w:r>
        <w:rPr>
          <w:color w:val="auto"/>
        </w:rPr>
        <w:fldChar w:fldCharType="begin"/>
      </w:r>
      <w:r>
        <w:rPr>
          <w:color w:val="auto"/>
        </w:rPr>
        <w:instrText xml:space="preserve"> PAGEREF _Toc17615 \h </w:instrText>
      </w:r>
      <w:r>
        <w:rPr>
          <w:color w:val="auto"/>
        </w:rPr>
        <w:fldChar w:fldCharType="separate"/>
      </w:r>
      <w:r>
        <w:rPr>
          <w:color w:val="auto"/>
        </w:rPr>
        <w:t>16</w:t>
      </w:r>
      <w:r>
        <w:rPr>
          <w:color w:val="auto"/>
        </w:rPr>
        <w:fldChar w:fldCharType="end"/>
      </w:r>
      <w:r>
        <w:rPr>
          <w:rFonts w:hAnsi="宋体" w:cs="宋体"/>
          <w:color w:val="auto"/>
        </w:rPr>
        <w:fldChar w:fldCharType="end"/>
      </w:r>
    </w:p>
    <w:p w14:paraId="24E292FB">
      <w:pPr>
        <w:pStyle w:val="15"/>
        <w:tabs>
          <w:tab w:val="right" w:leader="dot" w:pos="9072"/>
        </w:tabs>
        <w:rPr>
          <w:color w:val="auto"/>
        </w:rPr>
      </w:pPr>
      <w:r>
        <w:rPr>
          <w:rFonts w:hAnsi="宋体" w:cs="宋体"/>
          <w:color w:val="auto"/>
        </w:rPr>
        <w:fldChar w:fldCharType="begin"/>
      </w:r>
      <w:r>
        <w:rPr>
          <w:rFonts w:hAnsi="宋体" w:cs="宋体"/>
          <w:color w:val="auto"/>
        </w:rPr>
        <w:instrText xml:space="preserve"> HYPERLINK \l _Toc4174 </w:instrText>
      </w:r>
      <w:r>
        <w:rPr>
          <w:rFonts w:hAnsi="宋体" w:cs="宋体"/>
          <w:color w:val="auto"/>
        </w:rPr>
        <w:fldChar w:fldCharType="separate"/>
      </w:r>
      <w:r>
        <w:rPr>
          <w:rFonts w:hint="default"/>
          <w:color w:val="auto"/>
        </w:rPr>
        <w:t xml:space="preserve">4. </w:t>
      </w:r>
      <w:r>
        <w:rPr>
          <w:rFonts w:hint="eastAsia"/>
          <w:color w:val="auto"/>
        </w:rPr>
        <w:t>响应文件的递交</w:t>
      </w:r>
      <w:r>
        <w:rPr>
          <w:color w:val="auto"/>
        </w:rPr>
        <w:tab/>
      </w:r>
      <w:r>
        <w:rPr>
          <w:color w:val="auto"/>
        </w:rPr>
        <w:fldChar w:fldCharType="begin"/>
      </w:r>
      <w:r>
        <w:rPr>
          <w:color w:val="auto"/>
        </w:rPr>
        <w:instrText xml:space="preserve"> PAGEREF _Toc4174 \h </w:instrText>
      </w:r>
      <w:r>
        <w:rPr>
          <w:color w:val="auto"/>
        </w:rPr>
        <w:fldChar w:fldCharType="separate"/>
      </w:r>
      <w:r>
        <w:rPr>
          <w:color w:val="auto"/>
        </w:rPr>
        <w:t>18</w:t>
      </w:r>
      <w:r>
        <w:rPr>
          <w:color w:val="auto"/>
        </w:rPr>
        <w:fldChar w:fldCharType="end"/>
      </w:r>
      <w:r>
        <w:rPr>
          <w:rFonts w:hAnsi="宋体" w:cs="宋体"/>
          <w:color w:val="auto"/>
        </w:rPr>
        <w:fldChar w:fldCharType="end"/>
      </w:r>
    </w:p>
    <w:p w14:paraId="6FFCD7A2">
      <w:pPr>
        <w:pStyle w:val="15"/>
        <w:tabs>
          <w:tab w:val="right" w:leader="dot" w:pos="9072"/>
        </w:tabs>
        <w:rPr>
          <w:color w:val="auto"/>
        </w:rPr>
      </w:pPr>
      <w:r>
        <w:rPr>
          <w:rFonts w:hAnsi="宋体" w:cs="宋体"/>
          <w:color w:val="auto"/>
        </w:rPr>
        <w:fldChar w:fldCharType="begin"/>
      </w:r>
      <w:r>
        <w:rPr>
          <w:rFonts w:hAnsi="宋体" w:cs="宋体"/>
          <w:color w:val="auto"/>
        </w:rPr>
        <w:instrText xml:space="preserve"> HYPERLINK \l _Toc3386 </w:instrText>
      </w:r>
      <w:r>
        <w:rPr>
          <w:rFonts w:hAnsi="宋体" w:cs="宋体"/>
          <w:color w:val="auto"/>
        </w:rPr>
        <w:fldChar w:fldCharType="separate"/>
      </w:r>
      <w:r>
        <w:rPr>
          <w:rFonts w:hint="default"/>
          <w:color w:val="auto"/>
        </w:rPr>
        <w:t xml:space="preserve">5. </w:t>
      </w:r>
      <w:r>
        <w:rPr>
          <w:rFonts w:hint="eastAsia"/>
          <w:color w:val="auto"/>
        </w:rPr>
        <w:t>竞争性磋商</w:t>
      </w:r>
      <w:r>
        <w:rPr>
          <w:color w:val="auto"/>
        </w:rPr>
        <w:tab/>
      </w:r>
      <w:r>
        <w:rPr>
          <w:color w:val="auto"/>
        </w:rPr>
        <w:fldChar w:fldCharType="begin"/>
      </w:r>
      <w:r>
        <w:rPr>
          <w:color w:val="auto"/>
        </w:rPr>
        <w:instrText xml:space="preserve"> PAGEREF _Toc3386 \h </w:instrText>
      </w:r>
      <w:r>
        <w:rPr>
          <w:color w:val="auto"/>
        </w:rPr>
        <w:fldChar w:fldCharType="separate"/>
      </w:r>
      <w:r>
        <w:rPr>
          <w:color w:val="auto"/>
        </w:rPr>
        <w:t>19</w:t>
      </w:r>
      <w:r>
        <w:rPr>
          <w:color w:val="auto"/>
        </w:rPr>
        <w:fldChar w:fldCharType="end"/>
      </w:r>
      <w:r>
        <w:rPr>
          <w:rFonts w:hAnsi="宋体" w:cs="宋体"/>
          <w:color w:val="auto"/>
        </w:rPr>
        <w:fldChar w:fldCharType="end"/>
      </w:r>
    </w:p>
    <w:p w14:paraId="752AEC3C">
      <w:pPr>
        <w:pStyle w:val="15"/>
        <w:tabs>
          <w:tab w:val="right" w:leader="dot" w:pos="9072"/>
        </w:tabs>
        <w:rPr>
          <w:color w:val="auto"/>
        </w:rPr>
      </w:pPr>
      <w:r>
        <w:rPr>
          <w:rFonts w:hAnsi="宋体" w:cs="宋体"/>
          <w:color w:val="auto"/>
        </w:rPr>
        <w:fldChar w:fldCharType="begin"/>
      </w:r>
      <w:r>
        <w:rPr>
          <w:rFonts w:hAnsi="宋体" w:cs="宋体"/>
          <w:color w:val="auto"/>
        </w:rPr>
        <w:instrText xml:space="preserve"> HYPERLINK \l _Toc13607 </w:instrText>
      </w:r>
      <w:r>
        <w:rPr>
          <w:rFonts w:hAnsi="宋体" w:cs="宋体"/>
          <w:color w:val="auto"/>
        </w:rPr>
        <w:fldChar w:fldCharType="separate"/>
      </w:r>
      <w:r>
        <w:rPr>
          <w:rFonts w:hint="default" w:ascii="Times New Roman"/>
          <w:bCs/>
          <w:color w:val="auto"/>
          <w:szCs w:val="20"/>
        </w:rPr>
        <w:t xml:space="preserve">6. </w:t>
      </w:r>
      <w:r>
        <w:rPr>
          <w:rFonts w:hint="eastAsia"/>
          <w:color w:val="auto"/>
        </w:rPr>
        <w:t>授予合同</w:t>
      </w:r>
      <w:r>
        <w:rPr>
          <w:color w:val="auto"/>
        </w:rPr>
        <w:tab/>
      </w:r>
      <w:r>
        <w:rPr>
          <w:color w:val="auto"/>
        </w:rPr>
        <w:fldChar w:fldCharType="begin"/>
      </w:r>
      <w:r>
        <w:rPr>
          <w:color w:val="auto"/>
        </w:rPr>
        <w:instrText xml:space="preserve"> PAGEREF _Toc13607 \h </w:instrText>
      </w:r>
      <w:r>
        <w:rPr>
          <w:color w:val="auto"/>
        </w:rPr>
        <w:fldChar w:fldCharType="separate"/>
      </w:r>
      <w:r>
        <w:rPr>
          <w:color w:val="auto"/>
        </w:rPr>
        <w:t>21</w:t>
      </w:r>
      <w:r>
        <w:rPr>
          <w:color w:val="auto"/>
        </w:rPr>
        <w:fldChar w:fldCharType="end"/>
      </w:r>
      <w:r>
        <w:rPr>
          <w:rFonts w:hAnsi="宋体" w:cs="宋体"/>
          <w:color w:val="auto"/>
        </w:rPr>
        <w:fldChar w:fldCharType="end"/>
      </w:r>
    </w:p>
    <w:p w14:paraId="2B172E92">
      <w:pPr>
        <w:pStyle w:val="15"/>
        <w:tabs>
          <w:tab w:val="right" w:leader="dot" w:pos="9072"/>
        </w:tabs>
        <w:rPr>
          <w:color w:val="auto"/>
        </w:rPr>
      </w:pPr>
      <w:r>
        <w:rPr>
          <w:rFonts w:hAnsi="宋体" w:cs="宋体"/>
          <w:color w:val="auto"/>
        </w:rPr>
        <w:fldChar w:fldCharType="begin"/>
      </w:r>
      <w:r>
        <w:rPr>
          <w:rFonts w:hAnsi="宋体" w:cs="宋体"/>
          <w:color w:val="auto"/>
        </w:rPr>
        <w:instrText xml:space="preserve"> HYPERLINK \l _Toc27264 </w:instrText>
      </w:r>
      <w:r>
        <w:rPr>
          <w:rFonts w:hAnsi="宋体" w:cs="宋体"/>
          <w:color w:val="auto"/>
        </w:rPr>
        <w:fldChar w:fldCharType="separate"/>
      </w:r>
      <w:r>
        <w:rPr>
          <w:rFonts w:hint="default"/>
          <w:color w:val="auto"/>
        </w:rPr>
        <w:t xml:space="preserve">7. </w:t>
      </w:r>
      <w:r>
        <w:rPr>
          <w:rFonts w:hint="eastAsia"/>
          <w:color w:val="auto"/>
        </w:rPr>
        <w:t>纪律和监督</w:t>
      </w:r>
      <w:r>
        <w:rPr>
          <w:color w:val="auto"/>
        </w:rPr>
        <w:tab/>
      </w:r>
      <w:r>
        <w:rPr>
          <w:color w:val="auto"/>
        </w:rPr>
        <w:fldChar w:fldCharType="begin"/>
      </w:r>
      <w:r>
        <w:rPr>
          <w:color w:val="auto"/>
        </w:rPr>
        <w:instrText xml:space="preserve"> PAGEREF _Toc27264 \h </w:instrText>
      </w:r>
      <w:r>
        <w:rPr>
          <w:color w:val="auto"/>
        </w:rPr>
        <w:fldChar w:fldCharType="separate"/>
      </w:r>
      <w:r>
        <w:rPr>
          <w:color w:val="auto"/>
        </w:rPr>
        <w:t>21</w:t>
      </w:r>
      <w:r>
        <w:rPr>
          <w:color w:val="auto"/>
        </w:rPr>
        <w:fldChar w:fldCharType="end"/>
      </w:r>
      <w:r>
        <w:rPr>
          <w:rFonts w:hAnsi="宋体" w:cs="宋体"/>
          <w:color w:val="auto"/>
        </w:rPr>
        <w:fldChar w:fldCharType="end"/>
      </w:r>
    </w:p>
    <w:p w14:paraId="73D09AF2">
      <w:pPr>
        <w:pStyle w:val="14"/>
        <w:tabs>
          <w:tab w:val="right" w:leader="dot" w:pos="9072"/>
        </w:tabs>
        <w:rPr>
          <w:color w:val="auto"/>
        </w:rPr>
      </w:pPr>
      <w:r>
        <w:rPr>
          <w:rFonts w:hAnsi="宋体" w:cs="宋体"/>
          <w:color w:val="auto"/>
        </w:rPr>
        <w:fldChar w:fldCharType="begin"/>
      </w:r>
      <w:r>
        <w:rPr>
          <w:rFonts w:hAnsi="宋体" w:cs="宋体"/>
          <w:color w:val="auto"/>
        </w:rPr>
        <w:instrText xml:space="preserve"> HYPERLINK \l _Toc26507 </w:instrText>
      </w:r>
      <w:r>
        <w:rPr>
          <w:rFonts w:hAnsi="宋体" w:cs="宋体"/>
          <w:color w:val="auto"/>
        </w:rPr>
        <w:fldChar w:fldCharType="separate"/>
      </w:r>
      <w:r>
        <w:rPr>
          <w:rFonts w:hint="eastAsia"/>
          <w:bCs/>
          <w:color w:val="auto"/>
          <w:szCs w:val="32"/>
        </w:rPr>
        <w:t>第三章  评审办法</w:t>
      </w:r>
      <w:r>
        <w:rPr>
          <w:color w:val="auto"/>
        </w:rPr>
        <w:tab/>
      </w:r>
      <w:r>
        <w:rPr>
          <w:color w:val="auto"/>
        </w:rPr>
        <w:fldChar w:fldCharType="begin"/>
      </w:r>
      <w:r>
        <w:rPr>
          <w:color w:val="auto"/>
        </w:rPr>
        <w:instrText xml:space="preserve"> PAGEREF _Toc26507 \h </w:instrText>
      </w:r>
      <w:r>
        <w:rPr>
          <w:color w:val="auto"/>
        </w:rPr>
        <w:fldChar w:fldCharType="separate"/>
      </w:r>
      <w:r>
        <w:rPr>
          <w:color w:val="auto"/>
        </w:rPr>
        <w:t>23</w:t>
      </w:r>
      <w:r>
        <w:rPr>
          <w:color w:val="auto"/>
        </w:rPr>
        <w:fldChar w:fldCharType="end"/>
      </w:r>
      <w:r>
        <w:rPr>
          <w:rFonts w:hAnsi="宋体" w:cs="宋体"/>
          <w:color w:val="auto"/>
        </w:rPr>
        <w:fldChar w:fldCharType="end"/>
      </w:r>
    </w:p>
    <w:p w14:paraId="0D47CA08">
      <w:pPr>
        <w:pStyle w:val="14"/>
        <w:tabs>
          <w:tab w:val="right" w:leader="dot" w:pos="9072"/>
        </w:tabs>
        <w:rPr>
          <w:color w:val="auto"/>
        </w:rPr>
      </w:pPr>
      <w:r>
        <w:rPr>
          <w:rFonts w:hAnsi="宋体" w:cs="宋体"/>
          <w:color w:val="auto"/>
        </w:rPr>
        <w:fldChar w:fldCharType="begin"/>
      </w:r>
      <w:r>
        <w:rPr>
          <w:rFonts w:hAnsi="宋体" w:cs="宋体"/>
          <w:color w:val="auto"/>
        </w:rPr>
        <w:instrText xml:space="preserve"> HYPERLINK \l _Toc27610 </w:instrText>
      </w:r>
      <w:r>
        <w:rPr>
          <w:rFonts w:hAnsi="宋体" w:cs="宋体"/>
          <w:color w:val="auto"/>
        </w:rPr>
        <w:fldChar w:fldCharType="separate"/>
      </w:r>
      <w:r>
        <w:rPr>
          <w:rFonts w:hint="eastAsia" w:ascii="Times New Roman" w:hAnsi="Times New Roman" w:eastAsia="宋体" w:cs="Times New Roman"/>
          <w:bCs/>
          <w:color w:val="auto"/>
          <w:kern w:val="0"/>
          <w:szCs w:val="36"/>
          <w:lang w:val="en-US" w:eastAsia="zh-CN"/>
        </w:rPr>
        <w:t>第四章 合同条款及格式</w:t>
      </w:r>
      <w:r>
        <w:rPr>
          <w:color w:val="auto"/>
        </w:rPr>
        <w:tab/>
      </w:r>
      <w:r>
        <w:rPr>
          <w:color w:val="auto"/>
        </w:rPr>
        <w:fldChar w:fldCharType="begin"/>
      </w:r>
      <w:r>
        <w:rPr>
          <w:color w:val="auto"/>
        </w:rPr>
        <w:instrText xml:space="preserve"> PAGEREF _Toc27610 \h </w:instrText>
      </w:r>
      <w:r>
        <w:rPr>
          <w:color w:val="auto"/>
        </w:rPr>
        <w:fldChar w:fldCharType="separate"/>
      </w:r>
      <w:r>
        <w:rPr>
          <w:color w:val="auto"/>
        </w:rPr>
        <w:t>28</w:t>
      </w:r>
      <w:r>
        <w:rPr>
          <w:color w:val="auto"/>
        </w:rPr>
        <w:fldChar w:fldCharType="end"/>
      </w:r>
      <w:r>
        <w:rPr>
          <w:rFonts w:hAnsi="宋体" w:cs="宋体"/>
          <w:color w:val="auto"/>
        </w:rPr>
        <w:fldChar w:fldCharType="end"/>
      </w:r>
    </w:p>
    <w:p w14:paraId="6A4FC9EF">
      <w:pPr>
        <w:pStyle w:val="14"/>
        <w:tabs>
          <w:tab w:val="right" w:leader="dot" w:pos="9072"/>
        </w:tabs>
        <w:rPr>
          <w:color w:val="auto"/>
        </w:rPr>
      </w:pPr>
      <w:r>
        <w:rPr>
          <w:rFonts w:hAnsi="宋体" w:cs="宋体"/>
          <w:color w:val="auto"/>
        </w:rPr>
        <w:fldChar w:fldCharType="begin"/>
      </w:r>
      <w:r>
        <w:rPr>
          <w:rFonts w:hAnsi="宋体" w:cs="宋体"/>
          <w:color w:val="auto"/>
        </w:rPr>
        <w:instrText xml:space="preserve"> HYPERLINK \l _Toc13449 </w:instrText>
      </w:r>
      <w:r>
        <w:rPr>
          <w:rFonts w:hAnsi="宋体" w:cs="宋体"/>
          <w:color w:val="auto"/>
        </w:rPr>
        <w:fldChar w:fldCharType="separate"/>
      </w:r>
      <w:r>
        <w:rPr>
          <w:rFonts w:hint="eastAsia" w:ascii="宋体" w:hAnsi="宋体" w:eastAsia="宋体" w:cs="宋体"/>
          <w:bCs w:val="0"/>
          <w:color w:val="auto"/>
          <w:kern w:val="2"/>
          <w:szCs w:val="24"/>
          <w:lang w:val="en-US" w:eastAsia="zh-CN" w:bidi="ar-SA"/>
        </w:rPr>
        <w:t>合同模板</w:t>
      </w:r>
      <w:r>
        <w:rPr>
          <w:color w:val="auto"/>
        </w:rPr>
        <w:tab/>
      </w:r>
      <w:r>
        <w:rPr>
          <w:color w:val="auto"/>
        </w:rPr>
        <w:fldChar w:fldCharType="begin"/>
      </w:r>
      <w:r>
        <w:rPr>
          <w:color w:val="auto"/>
        </w:rPr>
        <w:instrText xml:space="preserve"> PAGEREF _Toc13449 \h </w:instrText>
      </w:r>
      <w:r>
        <w:rPr>
          <w:color w:val="auto"/>
        </w:rPr>
        <w:fldChar w:fldCharType="separate"/>
      </w:r>
      <w:r>
        <w:rPr>
          <w:color w:val="auto"/>
        </w:rPr>
        <w:t>28</w:t>
      </w:r>
      <w:r>
        <w:rPr>
          <w:color w:val="auto"/>
        </w:rPr>
        <w:fldChar w:fldCharType="end"/>
      </w:r>
      <w:r>
        <w:rPr>
          <w:rFonts w:hAnsi="宋体" w:cs="宋体"/>
          <w:color w:val="auto"/>
        </w:rPr>
        <w:fldChar w:fldCharType="end"/>
      </w:r>
    </w:p>
    <w:p w14:paraId="3973F76E">
      <w:pPr>
        <w:pStyle w:val="14"/>
        <w:tabs>
          <w:tab w:val="right" w:leader="dot" w:pos="9072"/>
        </w:tabs>
        <w:rPr>
          <w:color w:val="auto"/>
        </w:rPr>
      </w:pPr>
      <w:r>
        <w:rPr>
          <w:rFonts w:hAnsi="宋体" w:cs="宋体"/>
          <w:color w:val="auto"/>
        </w:rPr>
        <w:fldChar w:fldCharType="begin"/>
      </w:r>
      <w:r>
        <w:rPr>
          <w:rFonts w:hAnsi="宋体" w:cs="宋体"/>
          <w:color w:val="auto"/>
        </w:rPr>
        <w:instrText xml:space="preserve"> HYPERLINK \l _Toc16856 </w:instrText>
      </w:r>
      <w:r>
        <w:rPr>
          <w:rFonts w:hAnsi="宋体" w:cs="宋体"/>
          <w:color w:val="auto"/>
        </w:rPr>
        <w:fldChar w:fldCharType="separate"/>
      </w:r>
      <w:r>
        <w:rPr>
          <w:rFonts w:hint="eastAsia"/>
          <w:bCs/>
          <w:color w:val="auto"/>
          <w:szCs w:val="32"/>
        </w:rPr>
        <w:t>第五章  采购需求</w:t>
      </w:r>
      <w:r>
        <w:rPr>
          <w:color w:val="auto"/>
        </w:rPr>
        <w:tab/>
      </w:r>
      <w:r>
        <w:rPr>
          <w:color w:val="auto"/>
        </w:rPr>
        <w:fldChar w:fldCharType="begin"/>
      </w:r>
      <w:r>
        <w:rPr>
          <w:color w:val="auto"/>
        </w:rPr>
        <w:instrText xml:space="preserve"> PAGEREF _Toc16856 \h </w:instrText>
      </w:r>
      <w:r>
        <w:rPr>
          <w:color w:val="auto"/>
        </w:rPr>
        <w:fldChar w:fldCharType="separate"/>
      </w:r>
      <w:r>
        <w:rPr>
          <w:color w:val="auto"/>
        </w:rPr>
        <w:t>34</w:t>
      </w:r>
      <w:r>
        <w:rPr>
          <w:color w:val="auto"/>
        </w:rPr>
        <w:fldChar w:fldCharType="end"/>
      </w:r>
      <w:r>
        <w:rPr>
          <w:rFonts w:hAnsi="宋体" w:cs="宋体"/>
          <w:color w:val="auto"/>
        </w:rPr>
        <w:fldChar w:fldCharType="end"/>
      </w:r>
    </w:p>
    <w:p w14:paraId="49FFF973">
      <w:pPr>
        <w:pStyle w:val="14"/>
        <w:tabs>
          <w:tab w:val="right" w:leader="dot" w:pos="9072"/>
        </w:tabs>
        <w:rPr>
          <w:color w:val="auto"/>
        </w:rPr>
      </w:pPr>
      <w:r>
        <w:rPr>
          <w:rFonts w:hAnsi="宋体" w:cs="宋体"/>
          <w:color w:val="auto"/>
        </w:rPr>
        <w:fldChar w:fldCharType="begin"/>
      </w:r>
      <w:r>
        <w:rPr>
          <w:rFonts w:hAnsi="宋体" w:cs="宋体"/>
          <w:color w:val="auto"/>
        </w:rPr>
        <w:instrText xml:space="preserve"> HYPERLINK \l _Toc27464 </w:instrText>
      </w:r>
      <w:r>
        <w:rPr>
          <w:rFonts w:hAnsi="宋体" w:cs="宋体"/>
          <w:color w:val="auto"/>
        </w:rPr>
        <w:fldChar w:fldCharType="separate"/>
      </w:r>
      <w:r>
        <w:rPr>
          <w:rFonts w:hint="eastAsia"/>
          <w:bCs/>
          <w:color w:val="auto"/>
          <w:szCs w:val="32"/>
        </w:rPr>
        <w:t>第六章  磋商响应文件格式</w:t>
      </w:r>
      <w:r>
        <w:rPr>
          <w:color w:val="auto"/>
        </w:rPr>
        <w:tab/>
      </w:r>
      <w:r>
        <w:rPr>
          <w:color w:val="auto"/>
        </w:rPr>
        <w:fldChar w:fldCharType="begin"/>
      </w:r>
      <w:r>
        <w:rPr>
          <w:color w:val="auto"/>
        </w:rPr>
        <w:instrText xml:space="preserve"> PAGEREF _Toc27464 \h </w:instrText>
      </w:r>
      <w:r>
        <w:rPr>
          <w:color w:val="auto"/>
        </w:rPr>
        <w:fldChar w:fldCharType="separate"/>
      </w:r>
      <w:r>
        <w:rPr>
          <w:color w:val="auto"/>
        </w:rPr>
        <w:t>35</w:t>
      </w:r>
      <w:r>
        <w:rPr>
          <w:color w:val="auto"/>
        </w:rPr>
        <w:fldChar w:fldCharType="end"/>
      </w:r>
      <w:r>
        <w:rPr>
          <w:rFonts w:hAnsi="宋体" w:cs="宋体"/>
          <w:color w:val="auto"/>
        </w:rPr>
        <w:fldChar w:fldCharType="end"/>
      </w:r>
    </w:p>
    <w:p w14:paraId="2E3E4310">
      <w:pPr>
        <w:pStyle w:val="15"/>
        <w:tabs>
          <w:tab w:val="right" w:leader="dot" w:pos="9072"/>
        </w:tabs>
        <w:rPr>
          <w:color w:val="auto"/>
        </w:rPr>
      </w:pPr>
      <w:r>
        <w:rPr>
          <w:rFonts w:hAnsi="宋体" w:cs="宋体"/>
          <w:color w:val="auto"/>
        </w:rPr>
        <w:fldChar w:fldCharType="begin"/>
      </w:r>
      <w:r>
        <w:rPr>
          <w:rFonts w:hAnsi="宋体" w:cs="宋体"/>
          <w:color w:val="auto"/>
        </w:rPr>
        <w:instrText xml:space="preserve"> HYPERLINK \l _Toc9356 </w:instrText>
      </w:r>
      <w:r>
        <w:rPr>
          <w:rFonts w:hAnsi="宋体" w:cs="宋体"/>
          <w:color w:val="auto"/>
        </w:rPr>
        <w:fldChar w:fldCharType="separate"/>
      </w:r>
      <w:r>
        <w:rPr>
          <w:rFonts w:hint="eastAsia"/>
          <w:bCs w:val="0"/>
          <w:color w:val="auto"/>
          <w:szCs w:val="28"/>
        </w:rPr>
        <w:t>一、</w:t>
      </w:r>
      <w:r>
        <w:rPr>
          <w:rFonts w:hint="eastAsia"/>
          <w:bCs w:val="0"/>
          <w:color w:val="auto"/>
          <w:lang w:val="zh-CN" w:eastAsia="zh-CN"/>
        </w:rPr>
        <w:t>投标</w:t>
      </w:r>
      <w:r>
        <w:rPr>
          <w:rFonts w:hint="eastAsia"/>
          <w:bCs w:val="0"/>
          <w:color w:val="auto"/>
          <w:lang w:val="zh-CN"/>
        </w:rPr>
        <w:t>函及</w:t>
      </w:r>
      <w:r>
        <w:rPr>
          <w:rFonts w:hint="eastAsia"/>
          <w:bCs w:val="0"/>
          <w:color w:val="auto"/>
          <w:lang w:val="zh-CN" w:eastAsia="zh-CN"/>
        </w:rPr>
        <w:t>投标</w:t>
      </w:r>
      <w:r>
        <w:rPr>
          <w:rFonts w:hint="eastAsia"/>
          <w:bCs w:val="0"/>
          <w:color w:val="auto"/>
          <w:lang w:val="zh-CN"/>
        </w:rPr>
        <w:t>函附录</w:t>
      </w:r>
      <w:r>
        <w:rPr>
          <w:color w:val="auto"/>
        </w:rPr>
        <w:tab/>
      </w:r>
      <w:r>
        <w:rPr>
          <w:color w:val="auto"/>
        </w:rPr>
        <w:fldChar w:fldCharType="begin"/>
      </w:r>
      <w:r>
        <w:rPr>
          <w:color w:val="auto"/>
        </w:rPr>
        <w:instrText xml:space="preserve"> PAGEREF _Toc9356 \h </w:instrText>
      </w:r>
      <w:r>
        <w:rPr>
          <w:color w:val="auto"/>
        </w:rPr>
        <w:fldChar w:fldCharType="separate"/>
      </w:r>
      <w:r>
        <w:rPr>
          <w:color w:val="auto"/>
        </w:rPr>
        <w:t>38</w:t>
      </w:r>
      <w:r>
        <w:rPr>
          <w:color w:val="auto"/>
        </w:rPr>
        <w:fldChar w:fldCharType="end"/>
      </w:r>
      <w:r>
        <w:rPr>
          <w:rFonts w:hAnsi="宋体" w:cs="宋体"/>
          <w:color w:val="auto"/>
        </w:rPr>
        <w:fldChar w:fldCharType="end"/>
      </w:r>
    </w:p>
    <w:p w14:paraId="10F288F0">
      <w:pPr>
        <w:pStyle w:val="15"/>
        <w:tabs>
          <w:tab w:val="right" w:leader="dot" w:pos="9072"/>
        </w:tabs>
        <w:rPr>
          <w:color w:val="auto"/>
        </w:rPr>
      </w:pPr>
      <w:r>
        <w:rPr>
          <w:rFonts w:hAnsi="宋体" w:cs="宋体"/>
          <w:color w:val="auto"/>
        </w:rPr>
        <w:fldChar w:fldCharType="begin"/>
      </w:r>
      <w:r>
        <w:rPr>
          <w:rFonts w:hAnsi="宋体" w:cs="宋体"/>
          <w:color w:val="auto"/>
        </w:rPr>
        <w:instrText xml:space="preserve"> HYPERLINK \l _Toc6900 </w:instrText>
      </w:r>
      <w:r>
        <w:rPr>
          <w:rFonts w:hAnsi="宋体" w:cs="宋体"/>
          <w:color w:val="auto"/>
        </w:rPr>
        <w:fldChar w:fldCharType="separate"/>
      </w:r>
      <w:r>
        <w:rPr>
          <w:rFonts w:hint="eastAsia"/>
          <w:bCs w:val="0"/>
          <w:color w:val="auto"/>
          <w:lang w:val="zh-CN"/>
        </w:rPr>
        <w:t>二、</w:t>
      </w:r>
      <w:r>
        <w:rPr>
          <w:rFonts w:hint="eastAsia"/>
          <w:color w:val="auto"/>
        </w:rPr>
        <w:t>法定代表人身份证明或授权委托书</w:t>
      </w:r>
      <w:r>
        <w:rPr>
          <w:color w:val="auto"/>
        </w:rPr>
        <w:tab/>
      </w:r>
      <w:r>
        <w:rPr>
          <w:color w:val="auto"/>
        </w:rPr>
        <w:fldChar w:fldCharType="begin"/>
      </w:r>
      <w:r>
        <w:rPr>
          <w:color w:val="auto"/>
        </w:rPr>
        <w:instrText xml:space="preserve"> PAGEREF _Toc6900 \h </w:instrText>
      </w:r>
      <w:r>
        <w:rPr>
          <w:color w:val="auto"/>
        </w:rPr>
        <w:fldChar w:fldCharType="separate"/>
      </w:r>
      <w:r>
        <w:rPr>
          <w:color w:val="auto"/>
        </w:rPr>
        <w:t>40</w:t>
      </w:r>
      <w:r>
        <w:rPr>
          <w:color w:val="auto"/>
        </w:rPr>
        <w:fldChar w:fldCharType="end"/>
      </w:r>
      <w:r>
        <w:rPr>
          <w:rFonts w:hAnsi="宋体" w:cs="宋体"/>
          <w:color w:val="auto"/>
        </w:rPr>
        <w:fldChar w:fldCharType="end"/>
      </w:r>
    </w:p>
    <w:p w14:paraId="5EBCC514">
      <w:pPr>
        <w:pStyle w:val="15"/>
        <w:tabs>
          <w:tab w:val="right" w:leader="dot" w:pos="9072"/>
        </w:tabs>
        <w:rPr>
          <w:color w:val="auto"/>
        </w:rPr>
      </w:pPr>
      <w:r>
        <w:rPr>
          <w:rFonts w:hAnsi="宋体" w:cs="宋体"/>
          <w:color w:val="auto"/>
        </w:rPr>
        <w:fldChar w:fldCharType="begin"/>
      </w:r>
      <w:r>
        <w:rPr>
          <w:rFonts w:hAnsi="宋体" w:cs="宋体"/>
          <w:color w:val="auto"/>
        </w:rPr>
        <w:instrText xml:space="preserve"> HYPERLINK \l _Toc18512 </w:instrText>
      </w:r>
      <w:r>
        <w:rPr>
          <w:rFonts w:hAnsi="宋体" w:cs="宋体"/>
          <w:color w:val="auto"/>
        </w:rPr>
        <w:fldChar w:fldCharType="separate"/>
      </w:r>
      <w:r>
        <w:rPr>
          <w:rFonts w:hint="eastAsia"/>
          <w:bCs w:val="0"/>
          <w:color w:val="auto"/>
          <w:lang w:val="zh-CN"/>
        </w:rPr>
        <w:t>（一）法定代表人身份证明</w:t>
      </w:r>
      <w:r>
        <w:rPr>
          <w:color w:val="auto"/>
        </w:rPr>
        <w:tab/>
      </w:r>
      <w:r>
        <w:rPr>
          <w:color w:val="auto"/>
        </w:rPr>
        <w:fldChar w:fldCharType="begin"/>
      </w:r>
      <w:r>
        <w:rPr>
          <w:color w:val="auto"/>
        </w:rPr>
        <w:instrText xml:space="preserve"> PAGEREF _Toc18512 \h </w:instrText>
      </w:r>
      <w:r>
        <w:rPr>
          <w:color w:val="auto"/>
        </w:rPr>
        <w:fldChar w:fldCharType="separate"/>
      </w:r>
      <w:r>
        <w:rPr>
          <w:color w:val="auto"/>
        </w:rPr>
        <w:t>40</w:t>
      </w:r>
      <w:r>
        <w:rPr>
          <w:color w:val="auto"/>
        </w:rPr>
        <w:fldChar w:fldCharType="end"/>
      </w:r>
      <w:r>
        <w:rPr>
          <w:rFonts w:hAnsi="宋体" w:cs="宋体"/>
          <w:color w:val="auto"/>
        </w:rPr>
        <w:fldChar w:fldCharType="end"/>
      </w:r>
    </w:p>
    <w:p w14:paraId="64731A12">
      <w:pPr>
        <w:pStyle w:val="15"/>
        <w:tabs>
          <w:tab w:val="right" w:leader="dot" w:pos="9072"/>
        </w:tabs>
        <w:rPr>
          <w:color w:val="auto"/>
        </w:rPr>
      </w:pPr>
      <w:r>
        <w:rPr>
          <w:rFonts w:hAnsi="宋体" w:cs="宋体"/>
          <w:color w:val="auto"/>
        </w:rPr>
        <w:fldChar w:fldCharType="begin"/>
      </w:r>
      <w:r>
        <w:rPr>
          <w:rFonts w:hAnsi="宋体" w:cs="宋体"/>
          <w:color w:val="auto"/>
        </w:rPr>
        <w:instrText xml:space="preserve"> HYPERLINK \l _Toc26865 </w:instrText>
      </w:r>
      <w:r>
        <w:rPr>
          <w:rFonts w:hAnsi="宋体" w:cs="宋体"/>
          <w:color w:val="auto"/>
        </w:rPr>
        <w:fldChar w:fldCharType="separate"/>
      </w:r>
      <w:r>
        <w:rPr>
          <w:rFonts w:hint="eastAsia"/>
          <w:bCs w:val="0"/>
          <w:color w:val="auto"/>
          <w:lang w:val="zh-CN"/>
        </w:rPr>
        <w:t>（二）法定代表人授权委托书</w:t>
      </w:r>
      <w:r>
        <w:rPr>
          <w:color w:val="auto"/>
        </w:rPr>
        <w:tab/>
      </w:r>
      <w:r>
        <w:rPr>
          <w:color w:val="auto"/>
        </w:rPr>
        <w:fldChar w:fldCharType="begin"/>
      </w:r>
      <w:r>
        <w:rPr>
          <w:color w:val="auto"/>
        </w:rPr>
        <w:instrText xml:space="preserve"> PAGEREF _Toc26865 \h </w:instrText>
      </w:r>
      <w:r>
        <w:rPr>
          <w:color w:val="auto"/>
        </w:rPr>
        <w:fldChar w:fldCharType="separate"/>
      </w:r>
      <w:r>
        <w:rPr>
          <w:color w:val="auto"/>
        </w:rPr>
        <w:t>41</w:t>
      </w:r>
      <w:r>
        <w:rPr>
          <w:color w:val="auto"/>
        </w:rPr>
        <w:fldChar w:fldCharType="end"/>
      </w:r>
      <w:r>
        <w:rPr>
          <w:rFonts w:hAnsi="宋体" w:cs="宋体"/>
          <w:color w:val="auto"/>
        </w:rPr>
        <w:fldChar w:fldCharType="end"/>
      </w:r>
    </w:p>
    <w:p w14:paraId="344C2631">
      <w:pPr>
        <w:pStyle w:val="15"/>
        <w:tabs>
          <w:tab w:val="right" w:leader="dot" w:pos="9072"/>
        </w:tabs>
        <w:rPr>
          <w:color w:val="auto"/>
        </w:rPr>
      </w:pPr>
      <w:r>
        <w:rPr>
          <w:rFonts w:hAnsi="宋体" w:cs="宋体"/>
          <w:color w:val="auto"/>
        </w:rPr>
        <w:fldChar w:fldCharType="begin"/>
      </w:r>
      <w:r>
        <w:rPr>
          <w:rFonts w:hAnsi="宋体" w:cs="宋体"/>
          <w:color w:val="auto"/>
        </w:rPr>
        <w:instrText xml:space="preserve"> HYPERLINK \l _Toc15777 </w:instrText>
      </w:r>
      <w:r>
        <w:rPr>
          <w:rFonts w:hAnsi="宋体" w:cs="宋体"/>
          <w:color w:val="auto"/>
        </w:rPr>
        <w:fldChar w:fldCharType="separate"/>
      </w:r>
      <w:r>
        <w:rPr>
          <w:rFonts w:hint="eastAsia"/>
          <w:bCs w:val="0"/>
          <w:color w:val="auto"/>
          <w:lang w:val="zh-CN"/>
        </w:rPr>
        <w:t>三、响应承诺函</w:t>
      </w:r>
      <w:r>
        <w:rPr>
          <w:color w:val="auto"/>
        </w:rPr>
        <w:tab/>
      </w:r>
      <w:r>
        <w:rPr>
          <w:color w:val="auto"/>
        </w:rPr>
        <w:fldChar w:fldCharType="begin"/>
      </w:r>
      <w:r>
        <w:rPr>
          <w:color w:val="auto"/>
        </w:rPr>
        <w:instrText xml:space="preserve"> PAGEREF _Toc15777 \h </w:instrText>
      </w:r>
      <w:r>
        <w:rPr>
          <w:color w:val="auto"/>
        </w:rPr>
        <w:fldChar w:fldCharType="separate"/>
      </w:r>
      <w:r>
        <w:rPr>
          <w:color w:val="auto"/>
        </w:rPr>
        <w:t>42</w:t>
      </w:r>
      <w:r>
        <w:rPr>
          <w:color w:val="auto"/>
        </w:rPr>
        <w:fldChar w:fldCharType="end"/>
      </w:r>
      <w:r>
        <w:rPr>
          <w:rFonts w:hAnsi="宋体" w:cs="宋体"/>
          <w:color w:val="auto"/>
        </w:rPr>
        <w:fldChar w:fldCharType="end"/>
      </w:r>
    </w:p>
    <w:p w14:paraId="39B47DC0">
      <w:pPr>
        <w:pStyle w:val="15"/>
        <w:tabs>
          <w:tab w:val="right" w:leader="dot" w:pos="9072"/>
        </w:tabs>
        <w:rPr>
          <w:color w:val="auto"/>
        </w:rPr>
      </w:pPr>
      <w:r>
        <w:rPr>
          <w:rFonts w:hAnsi="宋体" w:cs="宋体"/>
          <w:color w:val="auto"/>
        </w:rPr>
        <w:fldChar w:fldCharType="begin"/>
      </w:r>
      <w:r>
        <w:rPr>
          <w:rFonts w:hAnsi="宋体" w:cs="宋体"/>
          <w:color w:val="auto"/>
        </w:rPr>
        <w:instrText xml:space="preserve"> HYPERLINK \l _Toc18887 </w:instrText>
      </w:r>
      <w:r>
        <w:rPr>
          <w:rFonts w:hAnsi="宋体" w:cs="宋体"/>
          <w:color w:val="auto"/>
        </w:rPr>
        <w:fldChar w:fldCharType="separate"/>
      </w:r>
      <w:r>
        <w:rPr>
          <w:rFonts w:hint="eastAsia"/>
          <w:bCs w:val="0"/>
          <w:color w:val="auto"/>
          <w:lang w:val="zh-CN"/>
        </w:rPr>
        <w:t>四、供应商资格证明文件</w:t>
      </w:r>
      <w:r>
        <w:rPr>
          <w:color w:val="auto"/>
        </w:rPr>
        <w:tab/>
      </w:r>
      <w:r>
        <w:rPr>
          <w:color w:val="auto"/>
        </w:rPr>
        <w:fldChar w:fldCharType="begin"/>
      </w:r>
      <w:r>
        <w:rPr>
          <w:color w:val="auto"/>
        </w:rPr>
        <w:instrText xml:space="preserve"> PAGEREF _Toc18887 \h </w:instrText>
      </w:r>
      <w:r>
        <w:rPr>
          <w:color w:val="auto"/>
        </w:rPr>
        <w:fldChar w:fldCharType="separate"/>
      </w:r>
      <w:r>
        <w:rPr>
          <w:color w:val="auto"/>
        </w:rPr>
        <w:t>43</w:t>
      </w:r>
      <w:r>
        <w:rPr>
          <w:color w:val="auto"/>
        </w:rPr>
        <w:fldChar w:fldCharType="end"/>
      </w:r>
      <w:r>
        <w:rPr>
          <w:rFonts w:hAnsi="宋体" w:cs="宋体"/>
          <w:color w:val="auto"/>
        </w:rPr>
        <w:fldChar w:fldCharType="end"/>
      </w:r>
    </w:p>
    <w:p w14:paraId="4797FFBA">
      <w:pPr>
        <w:pStyle w:val="15"/>
        <w:tabs>
          <w:tab w:val="right" w:leader="dot" w:pos="9072"/>
        </w:tabs>
        <w:rPr>
          <w:color w:val="auto"/>
        </w:rPr>
      </w:pPr>
      <w:r>
        <w:rPr>
          <w:rFonts w:hAnsi="宋体" w:cs="宋体"/>
          <w:color w:val="auto"/>
        </w:rPr>
        <w:fldChar w:fldCharType="begin"/>
      </w:r>
      <w:r>
        <w:rPr>
          <w:rFonts w:hAnsi="宋体" w:cs="宋体"/>
          <w:color w:val="auto"/>
        </w:rPr>
        <w:instrText xml:space="preserve"> HYPERLINK \l _Toc15583 </w:instrText>
      </w:r>
      <w:r>
        <w:rPr>
          <w:rFonts w:hAnsi="宋体" w:cs="宋体"/>
          <w:color w:val="auto"/>
        </w:rPr>
        <w:fldChar w:fldCharType="separate"/>
      </w:r>
      <w:r>
        <w:rPr>
          <w:rFonts w:hint="eastAsia"/>
          <w:bCs w:val="0"/>
          <w:color w:val="auto"/>
          <w:lang w:val="zh-CN"/>
        </w:rPr>
        <w:t>五、服务方案及措施</w:t>
      </w:r>
      <w:r>
        <w:rPr>
          <w:color w:val="auto"/>
        </w:rPr>
        <w:tab/>
      </w:r>
      <w:r>
        <w:rPr>
          <w:color w:val="auto"/>
        </w:rPr>
        <w:fldChar w:fldCharType="begin"/>
      </w:r>
      <w:r>
        <w:rPr>
          <w:color w:val="auto"/>
        </w:rPr>
        <w:instrText xml:space="preserve"> PAGEREF _Toc15583 \h </w:instrText>
      </w:r>
      <w:r>
        <w:rPr>
          <w:color w:val="auto"/>
        </w:rPr>
        <w:fldChar w:fldCharType="separate"/>
      </w:r>
      <w:r>
        <w:rPr>
          <w:color w:val="auto"/>
        </w:rPr>
        <w:t>45</w:t>
      </w:r>
      <w:r>
        <w:rPr>
          <w:color w:val="auto"/>
        </w:rPr>
        <w:fldChar w:fldCharType="end"/>
      </w:r>
      <w:r>
        <w:rPr>
          <w:rFonts w:hAnsi="宋体" w:cs="宋体"/>
          <w:color w:val="auto"/>
        </w:rPr>
        <w:fldChar w:fldCharType="end"/>
      </w:r>
    </w:p>
    <w:p w14:paraId="742E4474">
      <w:pPr>
        <w:pStyle w:val="15"/>
        <w:tabs>
          <w:tab w:val="right" w:leader="dot" w:pos="9072"/>
        </w:tabs>
        <w:rPr>
          <w:color w:val="auto"/>
        </w:rPr>
      </w:pPr>
      <w:r>
        <w:rPr>
          <w:rFonts w:hAnsi="宋体" w:cs="宋体"/>
          <w:color w:val="auto"/>
        </w:rPr>
        <w:fldChar w:fldCharType="begin"/>
      </w:r>
      <w:r>
        <w:rPr>
          <w:rFonts w:hAnsi="宋体" w:cs="宋体"/>
          <w:color w:val="auto"/>
        </w:rPr>
        <w:instrText xml:space="preserve"> HYPERLINK \l _Toc14958 </w:instrText>
      </w:r>
      <w:r>
        <w:rPr>
          <w:rFonts w:hAnsi="宋体" w:cs="宋体"/>
          <w:color w:val="auto"/>
        </w:rPr>
        <w:fldChar w:fldCharType="separate"/>
      </w:r>
      <w:r>
        <w:rPr>
          <w:rFonts w:hint="eastAsia"/>
          <w:bCs w:val="0"/>
          <w:color w:val="auto"/>
          <w:lang w:val="zh-CN"/>
        </w:rPr>
        <w:t>六、供应商近年完成的类似项目清单</w:t>
      </w:r>
      <w:r>
        <w:rPr>
          <w:color w:val="auto"/>
        </w:rPr>
        <w:tab/>
      </w:r>
      <w:r>
        <w:rPr>
          <w:color w:val="auto"/>
        </w:rPr>
        <w:fldChar w:fldCharType="begin"/>
      </w:r>
      <w:r>
        <w:rPr>
          <w:color w:val="auto"/>
        </w:rPr>
        <w:instrText xml:space="preserve"> PAGEREF _Toc14958 \h </w:instrText>
      </w:r>
      <w:r>
        <w:rPr>
          <w:color w:val="auto"/>
        </w:rPr>
        <w:fldChar w:fldCharType="separate"/>
      </w:r>
      <w:r>
        <w:rPr>
          <w:color w:val="auto"/>
        </w:rPr>
        <w:t>46</w:t>
      </w:r>
      <w:r>
        <w:rPr>
          <w:color w:val="auto"/>
        </w:rPr>
        <w:fldChar w:fldCharType="end"/>
      </w:r>
      <w:r>
        <w:rPr>
          <w:rFonts w:hAnsi="宋体" w:cs="宋体"/>
          <w:color w:val="auto"/>
        </w:rPr>
        <w:fldChar w:fldCharType="end"/>
      </w:r>
    </w:p>
    <w:p w14:paraId="112630E8">
      <w:pPr>
        <w:pStyle w:val="15"/>
        <w:tabs>
          <w:tab w:val="right" w:leader="dot" w:pos="9072"/>
        </w:tabs>
        <w:rPr>
          <w:color w:val="auto"/>
        </w:rPr>
      </w:pPr>
      <w:r>
        <w:rPr>
          <w:rFonts w:hAnsi="宋体" w:cs="宋体"/>
          <w:color w:val="auto"/>
        </w:rPr>
        <w:fldChar w:fldCharType="begin"/>
      </w:r>
      <w:r>
        <w:rPr>
          <w:rFonts w:hAnsi="宋体" w:cs="宋体"/>
          <w:color w:val="auto"/>
        </w:rPr>
        <w:instrText xml:space="preserve"> HYPERLINK \l _Toc9453 </w:instrText>
      </w:r>
      <w:r>
        <w:rPr>
          <w:rFonts w:hAnsi="宋体" w:cs="宋体"/>
          <w:color w:val="auto"/>
        </w:rPr>
        <w:fldChar w:fldCharType="separate"/>
      </w:r>
      <w:r>
        <w:rPr>
          <w:rFonts w:hint="eastAsia"/>
          <w:bCs w:val="0"/>
          <w:color w:val="auto"/>
          <w:lang w:val="zh-CN"/>
        </w:rPr>
        <w:t>七、人员配备状况</w:t>
      </w:r>
      <w:r>
        <w:rPr>
          <w:color w:val="auto"/>
        </w:rPr>
        <w:tab/>
      </w:r>
      <w:r>
        <w:rPr>
          <w:color w:val="auto"/>
        </w:rPr>
        <w:fldChar w:fldCharType="begin"/>
      </w:r>
      <w:r>
        <w:rPr>
          <w:color w:val="auto"/>
        </w:rPr>
        <w:instrText xml:space="preserve"> PAGEREF _Toc9453 \h </w:instrText>
      </w:r>
      <w:r>
        <w:rPr>
          <w:color w:val="auto"/>
        </w:rPr>
        <w:fldChar w:fldCharType="separate"/>
      </w:r>
      <w:r>
        <w:rPr>
          <w:color w:val="auto"/>
        </w:rPr>
        <w:t>47</w:t>
      </w:r>
      <w:r>
        <w:rPr>
          <w:color w:val="auto"/>
        </w:rPr>
        <w:fldChar w:fldCharType="end"/>
      </w:r>
      <w:r>
        <w:rPr>
          <w:rFonts w:hAnsi="宋体" w:cs="宋体"/>
          <w:color w:val="auto"/>
        </w:rPr>
        <w:fldChar w:fldCharType="end"/>
      </w:r>
    </w:p>
    <w:p w14:paraId="3DD7092F">
      <w:pPr>
        <w:pStyle w:val="14"/>
        <w:tabs>
          <w:tab w:val="right" w:leader="dot" w:pos="9072"/>
        </w:tabs>
        <w:rPr>
          <w:color w:val="auto"/>
        </w:rPr>
      </w:pPr>
      <w:r>
        <w:rPr>
          <w:rFonts w:hAnsi="宋体" w:cs="宋体"/>
          <w:color w:val="auto"/>
        </w:rPr>
        <w:fldChar w:fldCharType="begin"/>
      </w:r>
      <w:r>
        <w:rPr>
          <w:rFonts w:hAnsi="宋体" w:cs="宋体"/>
          <w:color w:val="auto"/>
        </w:rPr>
        <w:instrText xml:space="preserve"> HYPERLINK \l _Toc17624 </w:instrText>
      </w:r>
      <w:r>
        <w:rPr>
          <w:rFonts w:hAnsi="宋体" w:cs="宋体"/>
          <w:color w:val="auto"/>
        </w:rPr>
        <w:fldChar w:fldCharType="separate"/>
      </w:r>
      <w:r>
        <w:rPr>
          <w:rFonts w:hint="eastAsia" w:ascii="宋体" w:hAnsi="宋体"/>
          <w:bCs w:val="0"/>
          <w:color w:val="auto"/>
          <w:lang w:val="zh-CN"/>
        </w:rPr>
        <w:t>八、</w:t>
      </w:r>
      <w:r>
        <w:rPr>
          <w:rFonts w:hint="eastAsia" w:ascii="宋体" w:hAnsi="宋体"/>
          <w:color w:val="auto"/>
          <w:szCs w:val="32"/>
        </w:rPr>
        <w:t xml:space="preserve"> </w:t>
      </w:r>
      <w:r>
        <w:rPr>
          <w:rFonts w:ascii="宋体" w:hAnsi="宋体"/>
          <w:color w:val="auto"/>
          <w:szCs w:val="32"/>
        </w:rPr>
        <w:t>告知供应商的政府采购相关政策</w:t>
      </w:r>
      <w:r>
        <w:rPr>
          <w:color w:val="auto"/>
        </w:rPr>
        <w:tab/>
      </w:r>
      <w:r>
        <w:rPr>
          <w:color w:val="auto"/>
        </w:rPr>
        <w:fldChar w:fldCharType="begin"/>
      </w:r>
      <w:r>
        <w:rPr>
          <w:color w:val="auto"/>
        </w:rPr>
        <w:instrText xml:space="preserve"> PAGEREF _Toc17624 \h </w:instrText>
      </w:r>
      <w:r>
        <w:rPr>
          <w:color w:val="auto"/>
        </w:rPr>
        <w:fldChar w:fldCharType="separate"/>
      </w:r>
      <w:r>
        <w:rPr>
          <w:color w:val="auto"/>
        </w:rPr>
        <w:t>50</w:t>
      </w:r>
      <w:r>
        <w:rPr>
          <w:color w:val="auto"/>
        </w:rPr>
        <w:fldChar w:fldCharType="end"/>
      </w:r>
      <w:r>
        <w:rPr>
          <w:rFonts w:hAnsi="宋体" w:cs="宋体"/>
          <w:color w:val="auto"/>
        </w:rPr>
        <w:fldChar w:fldCharType="end"/>
      </w:r>
    </w:p>
    <w:p w14:paraId="5455F21D">
      <w:pPr>
        <w:pStyle w:val="2"/>
        <w:spacing w:before="120" w:after="120" w:line="360" w:lineRule="auto"/>
        <w:jc w:val="center"/>
        <w:rPr>
          <w:rFonts w:hAnsi="宋体" w:cs="宋体"/>
          <w:color w:val="auto"/>
        </w:rPr>
      </w:pPr>
      <w:r>
        <w:rPr>
          <w:rFonts w:hAnsi="宋体" w:cs="宋体"/>
          <w:color w:val="auto"/>
        </w:rPr>
        <w:fldChar w:fldCharType="end"/>
      </w:r>
    </w:p>
    <w:p w14:paraId="4F1F4A31">
      <w:pPr>
        <w:pStyle w:val="2"/>
        <w:spacing w:before="120" w:after="120" w:line="360" w:lineRule="auto"/>
        <w:jc w:val="center"/>
        <w:rPr>
          <w:rFonts w:hAnsi="宋体" w:cs="宋体"/>
          <w:color w:val="auto"/>
        </w:rPr>
      </w:pPr>
    </w:p>
    <w:p w14:paraId="2F2ACBC5">
      <w:pPr>
        <w:rPr>
          <w:rFonts w:hAnsi="宋体" w:cs="宋体"/>
          <w:color w:val="auto"/>
        </w:rPr>
      </w:pPr>
    </w:p>
    <w:p w14:paraId="22091B62">
      <w:pPr>
        <w:pStyle w:val="30"/>
        <w:rPr>
          <w:color w:val="auto"/>
        </w:rPr>
      </w:pPr>
    </w:p>
    <w:p w14:paraId="6EB5152F">
      <w:pPr>
        <w:pStyle w:val="2"/>
        <w:spacing w:before="120" w:after="120" w:line="360" w:lineRule="auto"/>
        <w:jc w:val="center"/>
        <w:rPr>
          <w:rFonts w:hint="eastAsia"/>
          <w:color w:val="auto"/>
          <w:kern w:val="0"/>
          <w:sz w:val="36"/>
          <w:szCs w:val="36"/>
        </w:rPr>
      </w:pPr>
    </w:p>
    <w:p w14:paraId="3CB375A8">
      <w:pPr>
        <w:pStyle w:val="2"/>
        <w:spacing w:before="120" w:after="120" w:line="360" w:lineRule="auto"/>
        <w:jc w:val="center"/>
        <w:rPr>
          <w:color w:val="auto"/>
          <w:kern w:val="0"/>
          <w:sz w:val="36"/>
          <w:szCs w:val="36"/>
        </w:rPr>
      </w:pPr>
      <w:bookmarkStart w:id="3" w:name="_Toc6907"/>
      <w:r>
        <w:rPr>
          <w:rFonts w:hint="eastAsia"/>
          <w:color w:val="auto"/>
          <w:kern w:val="0"/>
          <w:sz w:val="36"/>
          <w:szCs w:val="36"/>
        </w:rPr>
        <w:t>第一章</w:t>
      </w:r>
      <w:r>
        <w:rPr>
          <w:color w:val="auto"/>
          <w:kern w:val="0"/>
          <w:sz w:val="36"/>
          <w:szCs w:val="36"/>
        </w:rPr>
        <w:t xml:space="preserve"> </w:t>
      </w:r>
      <w:r>
        <w:rPr>
          <w:rFonts w:hint="eastAsia"/>
          <w:color w:val="auto"/>
          <w:kern w:val="0"/>
          <w:sz w:val="36"/>
          <w:szCs w:val="36"/>
          <w:lang w:eastAsia="zh-CN"/>
        </w:rPr>
        <w:t>竞争性</w:t>
      </w:r>
      <w:r>
        <w:rPr>
          <w:rFonts w:hint="eastAsia"/>
          <w:color w:val="auto"/>
          <w:kern w:val="0"/>
          <w:sz w:val="36"/>
          <w:szCs w:val="36"/>
          <w:lang w:val="en-US" w:eastAsia="zh-CN"/>
        </w:rPr>
        <w:t>磋商</w:t>
      </w:r>
      <w:r>
        <w:rPr>
          <w:rFonts w:hint="eastAsia"/>
          <w:color w:val="auto"/>
          <w:kern w:val="0"/>
          <w:sz w:val="36"/>
          <w:szCs w:val="36"/>
        </w:rPr>
        <w:t>公告</w:t>
      </w:r>
      <w:bookmarkEnd w:id="0"/>
      <w:bookmarkEnd w:id="1"/>
      <w:bookmarkEnd w:id="2"/>
      <w:bookmarkEnd w:id="3"/>
    </w:p>
    <w:p w14:paraId="70F60557">
      <w:pPr>
        <w:keepNext w:val="0"/>
        <w:keepLines w:val="0"/>
        <w:pageBreakBefore w:val="0"/>
        <w:widowControl w:val="0"/>
        <w:kinsoku/>
        <w:wordWrap/>
        <w:overflowPunct/>
        <w:topLinePunct w:val="0"/>
        <w:autoSpaceDE/>
        <w:autoSpaceDN/>
        <w:bidi w:val="0"/>
        <w:adjustRightInd/>
        <w:snapToGrid/>
        <w:spacing w:before="156" w:beforeLines="50" w:after="156" w:afterLines="50" w:line="456" w:lineRule="exact"/>
        <w:ind w:left="0" w:leftChars="0" w:right="0" w:rightChars="0"/>
        <w:jc w:val="center"/>
        <w:textAlignment w:val="auto"/>
        <w:outlineLvl w:val="9"/>
        <w:rPr>
          <w:rFonts w:hint="eastAsia" w:ascii="宋体" w:hAnsi="宋体" w:cs="宋体"/>
          <w:b/>
          <w:bCs/>
          <w:color w:val="auto"/>
          <w:sz w:val="32"/>
          <w:szCs w:val="32"/>
        </w:rPr>
      </w:pPr>
      <w:bookmarkStart w:id="4" w:name="_Toc318932192"/>
      <w:bookmarkStart w:id="5" w:name="_Toc335435259"/>
      <w:bookmarkStart w:id="6" w:name="_Toc294794565"/>
      <w:r>
        <w:rPr>
          <w:rFonts w:hint="eastAsia" w:ascii="宋体" w:hAnsi="宋体" w:cs="宋体"/>
          <w:b/>
          <w:bCs/>
          <w:color w:val="auto"/>
          <w:sz w:val="32"/>
          <w:szCs w:val="32"/>
          <w:lang w:eastAsia="zh-CN"/>
        </w:rPr>
        <w:t>【平公资采2025405</w:t>
      </w:r>
      <w:r>
        <w:rPr>
          <w:rFonts w:hint="eastAsia" w:ascii="宋体" w:hAnsi="宋体" w:cs="宋体"/>
          <w:b/>
          <w:bCs/>
          <w:color w:val="auto"/>
          <w:sz w:val="32"/>
          <w:szCs w:val="32"/>
          <w:lang w:val="en-US" w:eastAsia="zh-CN"/>
        </w:rPr>
        <w:t>号</w:t>
      </w:r>
      <w:r>
        <w:rPr>
          <w:rFonts w:hint="eastAsia" w:ascii="宋体" w:hAnsi="宋体" w:cs="宋体"/>
          <w:b/>
          <w:bCs/>
          <w:color w:val="auto"/>
          <w:sz w:val="32"/>
          <w:szCs w:val="32"/>
          <w:lang w:eastAsia="zh-CN"/>
        </w:rPr>
        <w:t>】郏县人民医院2025年医疗责任险服务项目</w:t>
      </w:r>
      <w:r>
        <w:rPr>
          <w:rFonts w:hint="eastAsia" w:ascii="宋体" w:hAnsi="宋体" w:cs="宋体"/>
          <w:b/>
          <w:bCs/>
          <w:color w:val="auto"/>
          <w:sz w:val="32"/>
          <w:szCs w:val="32"/>
        </w:rPr>
        <w:t>竞争性</w:t>
      </w:r>
      <w:r>
        <w:rPr>
          <w:rFonts w:hint="eastAsia" w:ascii="宋体" w:hAnsi="宋体" w:cs="宋体"/>
          <w:b/>
          <w:bCs/>
          <w:color w:val="auto"/>
          <w:sz w:val="32"/>
          <w:szCs w:val="32"/>
          <w:lang w:val="en-US" w:eastAsia="zh-CN"/>
        </w:rPr>
        <w:t>磋商</w:t>
      </w:r>
      <w:r>
        <w:rPr>
          <w:rFonts w:hint="eastAsia" w:ascii="宋体" w:hAnsi="宋体" w:cs="宋体"/>
          <w:b/>
          <w:bCs/>
          <w:color w:val="auto"/>
          <w:sz w:val="32"/>
          <w:szCs w:val="32"/>
        </w:rPr>
        <w:t>公告</w:t>
      </w:r>
    </w:p>
    <w:p w14:paraId="3FCC2419">
      <w:pPr>
        <w:keepNext w:val="0"/>
        <w:keepLines w:val="0"/>
        <w:pageBreakBefore w:val="0"/>
        <w:widowControl w:val="0"/>
        <w:kinsoku/>
        <w:wordWrap/>
        <w:overflowPunct/>
        <w:topLinePunct w:val="0"/>
        <w:autoSpaceDE/>
        <w:autoSpaceDN/>
        <w:bidi w:val="0"/>
        <w:spacing w:line="440" w:lineRule="exact"/>
        <w:jc w:val="left"/>
        <w:textAlignment w:val="auto"/>
        <w:rPr>
          <w:rFonts w:hint="eastAsia" w:ascii="宋体" w:hAnsi="宋体" w:cs="宋体"/>
          <w:b/>
          <w:bCs/>
          <w:color w:val="auto"/>
          <w:sz w:val="24"/>
        </w:rPr>
      </w:pPr>
      <w:r>
        <w:rPr>
          <w:rFonts w:hint="eastAsia" w:ascii="宋体" w:hAnsi="宋体" w:cs="宋体"/>
          <w:b/>
          <w:bCs/>
          <w:color w:val="auto"/>
          <w:sz w:val="24"/>
        </w:rPr>
        <w:t>项目概况</w:t>
      </w:r>
    </w:p>
    <w:p w14:paraId="4728D2AF">
      <w:pPr>
        <w:keepNext w:val="0"/>
        <w:keepLines w:val="0"/>
        <w:pageBreakBefore w:val="0"/>
        <w:widowControl w:val="0"/>
        <w:kinsoku/>
        <w:wordWrap/>
        <w:overflowPunct/>
        <w:topLinePunct w:val="0"/>
        <w:autoSpaceDE/>
        <w:autoSpaceDN/>
        <w:bidi w:val="0"/>
        <w:spacing w:line="440" w:lineRule="exact"/>
        <w:ind w:firstLine="480" w:firstLineChars="200"/>
        <w:jc w:val="left"/>
        <w:textAlignment w:val="auto"/>
        <w:rPr>
          <w:color w:val="auto"/>
        </w:rPr>
      </w:pPr>
      <w:r>
        <w:rPr>
          <w:rFonts w:hint="eastAsia" w:ascii="宋体" w:hAnsi="宋体" w:cs="宋体"/>
          <w:color w:val="auto"/>
          <w:sz w:val="24"/>
          <w:lang w:eastAsia="zh-CN"/>
        </w:rPr>
        <w:t>郏县人民医院2025年医疗责任险服务项目</w:t>
      </w:r>
      <w:r>
        <w:rPr>
          <w:rFonts w:hint="eastAsia" w:ascii="宋体" w:hAnsi="宋体" w:cs="宋体"/>
          <w:color w:val="auto"/>
          <w:sz w:val="24"/>
        </w:rPr>
        <w:t>的潜在投标人应在</w:t>
      </w:r>
      <w:r>
        <w:rPr>
          <w:rFonts w:hint="eastAsia" w:ascii="宋体" w:hAnsi="宋体" w:cs="宋体"/>
          <w:color w:val="auto"/>
          <w:sz w:val="24"/>
          <w:u w:val="single"/>
        </w:rPr>
        <w:t xml:space="preserve"> 全国公共资源交易平台（河南省·平顶山市） </w:t>
      </w:r>
      <w:r>
        <w:rPr>
          <w:rFonts w:hint="eastAsia" w:ascii="宋体" w:hAnsi="宋体" w:cs="宋体"/>
          <w:color w:val="auto"/>
          <w:sz w:val="24"/>
        </w:rPr>
        <w:t>获取招标文件，并于</w:t>
      </w:r>
      <w:r>
        <w:rPr>
          <w:rFonts w:hint="eastAsia" w:ascii="宋体" w:hAnsi="宋体" w:cs="宋体"/>
          <w:color w:val="auto"/>
          <w:sz w:val="24"/>
          <w:lang w:eastAsia="zh-CN"/>
        </w:rPr>
        <w:t>2025年</w:t>
      </w:r>
      <w:r>
        <w:rPr>
          <w:rFonts w:hint="eastAsia" w:ascii="宋体" w:hAnsi="宋体" w:cs="宋体"/>
          <w:color w:val="auto"/>
          <w:sz w:val="24"/>
          <w:lang w:val="en-US" w:eastAsia="zh-CN"/>
        </w:rPr>
        <w:t>06</w:t>
      </w:r>
      <w:r>
        <w:rPr>
          <w:rFonts w:hint="eastAsia" w:ascii="宋体" w:hAnsi="宋体" w:cs="宋体"/>
          <w:color w:val="auto"/>
          <w:sz w:val="24"/>
        </w:rPr>
        <w:t>月</w:t>
      </w:r>
      <w:r>
        <w:rPr>
          <w:rFonts w:hint="eastAsia" w:ascii="宋体" w:hAnsi="宋体" w:cs="宋体"/>
          <w:color w:val="auto"/>
          <w:sz w:val="24"/>
          <w:lang w:val="en-US" w:eastAsia="zh-CN"/>
        </w:rPr>
        <w:t>09</w:t>
      </w:r>
      <w:r>
        <w:rPr>
          <w:rFonts w:hint="eastAsia" w:ascii="宋体" w:hAnsi="宋体" w:cs="宋体"/>
          <w:color w:val="auto"/>
          <w:sz w:val="24"/>
        </w:rPr>
        <w:t>日</w:t>
      </w:r>
      <w:r>
        <w:rPr>
          <w:rFonts w:hint="eastAsia" w:ascii="宋体" w:hAnsi="宋体" w:cs="宋体"/>
          <w:color w:val="auto"/>
          <w:sz w:val="24"/>
          <w:lang w:val="en-US" w:eastAsia="zh-CN"/>
        </w:rPr>
        <w:t>08</w:t>
      </w:r>
      <w:r>
        <w:rPr>
          <w:rFonts w:hint="eastAsia" w:ascii="宋体" w:hAnsi="宋体" w:cs="宋体"/>
          <w:color w:val="auto"/>
          <w:sz w:val="24"/>
        </w:rPr>
        <w:t>点</w:t>
      </w:r>
      <w:r>
        <w:rPr>
          <w:rFonts w:hint="eastAsia" w:ascii="宋体" w:hAnsi="宋体" w:cs="宋体"/>
          <w:color w:val="auto"/>
          <w:sz w:val="24"/>
          <w:lang w:val="en-US" w:eastAsia="zh-CN"/>
        </w:rPr>
        <w:t>40</w:t>
      </w:r>
      <w:r>
        <w:rPr>
          <w:rFonts w:hint="eastAsia" w:ascii="宋体" w:hAnsi="宋体" w:cs="宋体"/>
          <w:color w:val="auto"/>
          <w:sz w:val="24"/>
        </w:rPr>
        <w:t>分（北京时间）前递交投标文件</w:t>
      </w:r>
    </w:p>
    <w:p w14:paraId="6162EF95">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hint="eastAsia" w:ascii="宋体" w:hAnsi="宋体" w:eastAsia="宋体" w:cs="宋体"/>
          <w:b/>
          <w:bCs/>
          <w:color w:val="auto"/>
          <w:sz w:val="24"/>
          <w:szCs w:val="24"/>
          <w:lang w:val="en-US" w:eastAsia="zh-CN"/>
        </w:rPr>
      </w:pPr>
      <w:bookmarkStart w:id="7" w:name="_Toc35393629"/>
      <w:bookmarkStart w:id="8" w:name="_Toc28359012"/>
      <w:bookmarkStart w:id="9" w:name="_Toc28359089"/>
      <w:bookmarkStart w:id="10" w:name="_Toc35393798"/>
      <w:r>
        <w:rPr>
          <w:rFonts w:hint="eastAsia" w:ascii="宋体" w:hAnsi="宋体" w:eastAsia="宋体" w:cs="宋体"/>
          <w:b/>
          <w:bCs/>
          <w:color w:val="auto"/>
          <w:sz w:val="24"/>
          <w:szCs w:val="24"/>
          <w:lang w:val="en-US" w:eastAsia="zh-CN"/>
        </w:rPr>
        <w:t>一、项目基本情况</w:t>
      </w:r>
      <w:bookmarkEnd w:id="7"/>
      <w:bookmarkEnd w:id="8"/>
      <w:bookmarkEnd w:id="9"/>
      <w:bookmarkEnd w:id="10"/>
    </w:p>
    <w:p w14:paraId="4E39A88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1、项目编号：</w:t>
      </w:r>
      <w:r>
        <w:rPr>
          <w:rFonts w:hint="eastAsia" w:ascii="宋体" w:hAnsi="宋体" w:cs="宋体"/>
          <w:color w:val="auto"/>
          <w:sz w:val="24"/>
          <w:szCs w:val="24"/>
          <w:lang w:val="en-US" w:eastAsia="zh-CN"/>
        </w:rPr>
        <w:t>郏采磋商-2025-14</w:t>
      </w:r>
    </w:p>
    <w:p w14:paraId="7A9451C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2、项目名称：</w:t>
      </w:r>
      <w:r>
        <w:rPr>
          <w:rFonts w:hint="eastAsia" w:ascii="宋体" w:hAnsi="宋体" w:cs="宋体"/>
          <w:color w:val="auto"/>
          <w:sz w:val="24"/>
          <w:szCs w:val="24"/>
          <w:lang w:val="en-US" w:eastAsia="zh-CN"/>
        </w:rPr>
        <w:t>郏县人民医院2025年医疗责任险服务项目</w:t>
      </w:r>
    </w:p>
    <w:p w14:paraId="6F26256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3、采购方式：竞争性磋商 </w:t>
      </w:r>
    </w:p>
    <w:p w14:paraId="6B2E6C0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4、预算金额：</w:t>
      </w:r>
      <w:r>
        <w:rPr>
          <w:rFonts w:hint="eastAsia" w:ascii="宋体" w:hAnsi="宋体" w:eastAsia="宋体" w:cs="宋体"/>
          <w:color w:val="auto"/>
          <w:sz w:val="24"/>
          <w:lang w:eastAsia="zh-CN"/>
        </w:rPr>
        <w:t>550000</w:t>
      </w:r>
      <w:r>
        <w:rPr>
          <w:rFonts w:hint="eastAsia" w:ascii="宋体" w:hAnsi="宋体" w:cs="宋体"/>
          <w:color w:val="auto"/>
          <w:sz w:val="24"/>
          <w:lang w:val="en-US" w:eastAsia="zh-CN"/>
        </w:rPr>
        <w:t>.00</w:t>
      </w:r>
      <w:r>
        <w:rPr>
          <w:rFonts w:hint="eastAsia" w:ascii="宋体" w:hAnsi="宋体" w:eastAsia="宋体" w:cs="宋体"/>
          <w:color w:val="auto"/>
          <w:sz w:val="24"/>
          <w:szCs w:val="24"/>
          <w:lang w:val="en-US" w:eastAsia="zh-CN"/>
        </w:rPr>
        <w:t>元</w:t>
      </w:r>
    </w:p>
    <w:p w14:paraId="71D91662">
      <w:pPr>
        <w:keepNext w:val="0"/>
        <w:keepLines w:val="0"/>
        <w:pageBreakBefore w:val="0"/>
        <w:widowControl w:val="0"/>
        <w:kinsoku/>
        <w:wordWrap/>
        <w:overflowPunct/>
        <w:topLinePunct w:val="0"/>
        <w:autoSpaceDE/>
        <w:autoSpaceDN/>
        <w:bidi w:val="0"/>
        <w:adjustRightInd/>
        <w:snapToGrid/>
        <w:spacing w:line="440" w:lineRule="exact"/>
        <w:ind w:firstLine="960" w:firstLineChars="4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最高限价：</w:t>
      </w:r>
      <w:r>
        <w:rPr>
          <w:rFonts w:hint="eastAsia" w:ascii="宋体" w:hAnsi="宋体" w:eastAsia="宋体" w:cs="宋体"/>
          <w:color w:val="auto"/>
          <w:sz w:val="24"/>
          <w:lang w:eastAsia="zh-CN"/>
        </w:rPr>
        <w:t>550000</w:t>
      </w:r>
      <w:r>
        <w:rPr>
          <w:rFonts w:hint="eastAsia" w:ascii="宋体" w:hAnsi="宋体" w:cs="宋体"/>
          <w:color w:val="auto"/>
          <w:sz w:val="24"/>
          <w:lang w:val="en-US" w:eastAsia="zh-CN"/>
        </w:rPr>
        <w:t>.00</w:t>
      </w:r>
      <w:r>
        <w:rPr>
          <w:rFonts w:hint="eastAsia" w:ascii="宋体" w:hAnsi="宋体" w:eastAsia="宋体" w:cs="宋体"/>
          <w:color w:val="auto"/>
          <w:sz w:val="24"/>
          <w:szCs w:val="24"/>
          <w:lang w:val="en-US" w:eastAsia="zh-CN"/>
        </w:rPr>
        <w:t>元</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028"/>
        <w:gridCol w:w="4472"/>
        <w:gridCol w:w="1616"/>
        <w:gridCol w:w="1384"/>
      </w:tblGrid>
      <w:tr w14:paraId="0B3A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noWrap w:val="0"/>
            <w:vAlign w:val="center"/>
          </w:tcPr>
          <w:p w14:paraId="680C437D">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cs="宋体"/>
                <w:color w:val="auto"/>
                <w:szCs w:val="21"/>
              </w:rPr>
            </w:pPr>
            <w:r>
              <w:rPr>
                <w:rFonts w:hint="eastAsia" w:ascii="宋体" w:hAnsi="宋体" w:cs="宋体"/>
                <w:color w:val="auto"/>
                <w:szCs w:val="21"/>
              </w:rPr>
              <w:t>序号</w:t>
            </w:r>
          </w:p>
        </w:tc>
        <w:tc>
          <w:tcPr>
            <w:tcW w:w="1028" w:type="dxa"/>
            <w:noWrap w:val="0"/>
            <w:vAlign w:val="center"/>
          </w:tcPr>
          <w:p w14:paraId="16CBD789">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cs="宋体"/>
                <w:color w:val="auto"/>
                <w:szCs w:val="21"/>
              </w:rPr>
            </w:pPr>
            <w:r>
              <w:rPr>
                <w:rFonts w:hint="eastAsia" w:ascii="宋体" w:hAnsi="宋体" w:cs="宋体"/>
                <w:color w:val="auto"/>
                <w:szCs w:val="21"/>
              </w:rPr>
              <w:t>包号</w:t>
            </w:r>
          </w:p>
        </w:tc>
        <w:tc>
          <w:tcPr>
            <w:tcW w:w="4472" w:type="dxa"/>
            <w:noWrap w:val="0"/>
            <w:vAlign w:val="center"/>
          </w:tcPr>
          <w:p w14:paraId="69100DA2">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cs="宋体"/>
                <w:color w:val="auto"/>
                <w:szCs w:val="21"/>
              </w:rPr>
            </w:pPr>
            <w:r>
              <w:rPr>
                <w:rFonts w:hint="eastAsia" w:ascii="宋体" w:hAnsi="宋体" w:cs="宋体"/>
                <w:color w:val="auto"/>
                <w:szCs w:val="21"/>
              </w:rPr>
              <w:t>包名称</w:t>
            </w:r>
          </w:p>
        </w:tc>
        <w:tc>
          <w:tcPr>
            <w:tcW w:w="1616" w:type="dxa"/>
            <w:noWrap w:val="0"/>
            <w:vAlign w:val="center"/>
          </w:tcPr>
          <w:p w14:paraId="5EE9456F">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cs="宋体"/>
                <w:color w:val="auto"/>
                <w:szCs w:val="21"/>
              </w:rPr>
            </w:pPr>
            <w:r>
              <w:rPr>
                <w:rFonts w:hint="eastAsia" w:ascii="宋体" w:hAnsi="宋体" w:cs="宋体"/>
                <w:color w:val="auto"/>
                <w:szCs w:val="21"/>
              </w:rPr>
              <w:t>包预算</w:t>
            </w:r>
          </w:p>
          <w:p w14:paraId="282E9EBB">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cs="宋体"/>
                <w:color w:val="auto"/>
                <w:szCs w:val="21"/>
              </w:rPr>
            </w:pPr>
            <w:r>
              <w:rPr>
                <w:rFonts w:hint="eastAsia" w:ascii="宋体" w:hAnsi="宋体" w:cs="宋体"/>
                <w:color w:val="auto"/>
                <w:szCs w:val="21"/>
              </w:rPr>
              <w:t>（元）</w:t>
            </w:r>
          </w:p>
        </w:tc>
        <w:tc>
          <w:tcPr>
            <w:tcW w:w="1384" w:type="dxa"/>
            <w:noWrap w:val="0"/>
            <w:vAlign w:val="center"/>
          </w:tcPr>
          <w:p w14:paraId="613F31AF">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cs="宋体"/>
                <w:color w:val="auto"/>
                <w:szCs w:val="21"/>
              </w:rPr>
            </w:pPr>
            <w:r>
              <w:rPr>
                <w:rFonts w:hint="eastAsia" w:ascii="宋体" w:hAnsi="宋体" w:cs="宋体"/>
                <w:color w:val="auto"/>
                <w:szCs w:val="21"/>
              </w:rPr>
              <w:t>包最高限价</w:t>
            </w:r>
          </w:p>
          <w:p w14:paraId="5B94EC50">
            <w:pPr>
              <w:pStyle w:val="11"/>
              <w:keepNext w:val="0"/>
              <w:keepLines w:val="0"/>
              <w:pageBreakBefore w:val="0"/>
              <w:kinsoku/>
              <w:wordWrap/>
              <w:overflowPunct/>
              <w:topLinePunct w:val="0"/>
              <w:autoSpaceDE/>
              <w:autoSpaceDN/>
              <w:bidi w:val="0"/>
              <w:adjustRightInd/>
              <w:spacing w:line="440" w:lineRule="exact"/>
              <w:ind w:firstLine="0"/>
              <w:jc w:val="center"/>
              <w:textAlignment w:val="auto"/>
              <w:rPr>
                <w:rFonts w:hint="eastAsia" w:ascii="宋体" w:hAnsi="宋体" w:cs="宋体"/>
                <w:color w:val="auto"/>
                <w:sz w:val="21"/>
                <w:szCs w:val="21"/>
              </w:rPr>
            </w:pPr>
            <w:r>
              <w:rPr>
                <w:rFonts w:hint="eastAsia" w:ascii="宋体" w:hAnsi="宋体" w:cs="宋体"/>
                <w:color w:val="auto"/>
                <w:sz w:val="21"/>
                <w:szCs w:val="21"/>
              </w:rPr>
              <w:t>（元）</w:t>
            </w:r>
          </w:p>
        </w:tc>
      </w:tr>
      <w:tr w14:paraId="45B39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noWrap w:val="0"/>
            <w:vAlign w:val="center"/>
          </w:tcPr>
          <w:p w14:paraId="269788C7">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cs="宋体"/>
                <w:color w:val="auto"/>
                <w:szCs w:val="21"/>
              </w:rPr>
            </w:pPr>
            <w:r>
              <w:rPr>
                <w:rFonts w:hint="eastAsia" w:ascii="宋体" w:hAnsi="宋体" w:cs="宋体"/>
                <w:b/>
                <w:bCs/>
                <w:color w:val="auto"/>
                <w:szCs w:val="21"/>
              </w:rPr>
              <w:t>1</w:t>
            </w:r>
          </w:p>
        </w:tc>
        <w:tc>
          <w:tcPr>
            <w:tcW w:w="1028" w:type="dxa"/>
            <w:noWrap w:val="0"/>
            <w:vAlign w:val="center"/>
          </w:tcPr>
          <w:p w14:paraId="7D867EF0">
            <w:pPr>
              <w:keepNext w:val="0"/>
              <w:keepLines w:val="0"/>
              <w:pageBreakBefore w:val="0"/>
              <w:kinsoku/>
              <w:wordWrap/>
              <w:overflowPunct/>
              <w:topLinePunct w:val="0"/>
              <w:autoSpaceDE/>
              <w:autoSpaceDN/>
              <w:bidi w:val="0"/>
              <w:adjustRightInd/>
              <w:spacing w:line="440" w:lineRule="exact"/>
              <w:jc w:val="center"/>
              <w:textAlignment w:val="auto"/>
              <w:rPr>
                <w:rFonts w:hint="default" w:ascii="宋体" w:hAnsi="宋体" w:eastAsia="宋体" w:cs="宋体"/>
                <w:color w:val="auto"/>
                <w:szCs w:val="21"/>
                <w:lang w:val="en-US" w:eastAsia="zh-CN"/>
              </w:rPr>
            </w:pPr>
            <w:r>
              <w:rPr>
                <w:rFonts w:hint="eastAsia" w:ascii="宋体" w:hAnsi="宋体" w:cs="宋体"/>
                <w:color w:val="auto"/>
                <w:szCs w:val="21"/>
                <w:lang w:val="en-US" w:eastAsia="zh-CN"/>
              </w:rPr>
              <w:t xml:space="preserve">平公资采2025405  </w:t>
            </w:r>
            <w:r>
              <w:rPr>
                <w:rFonts w:hint="default" w:ascii="宋体" w:hAnsi="宋体" w:eastAsia="宋体" w:cs="宋体"/>
                <w:color w:val="auto"/>
                <w:szCs w:val="21"/>
                <w:lang w:val="en-US" w:eastAsia="zh-CN"/>
              </w:rPr>
              <w:t>号</w:t>
            </w:r>
            <w:r>
              <w:rPr>
                <w:rFonts w:hint="eastAsia" w:ascii="宋体" w:hAnsi="宋体" w:cs="宋体"/>
                <w:color w:val="auto"/>
                <w:szCs w:val="21"/>
                <w:lang w:val="en-US" w:eastAsia="zh-CN"/>
              </w:rPr>
              <w:t>-1</w:t>
            </w:r>
          </w:p>
        </w:tc>
        <w:tc>
          <w:tcPr>
            <w:tcW w:w="4472" w:type="dxa"/>
            <w:noWrap w:val="0"/>
            <w:vAlign w:val="center"/>
          </w:tcPr>
          <w:p w14:paraId="04ECEF84">
            <w:pPr>
              <w:keepNext w:val="0"/>
              <w:keepLines w:val="0"/>
              <w:pageBreakBefore w:val="0"/>
              <w:kinsoku/>
              <w:wordWrap/>
              <w:overflowPunct/>
              <w:topLinePunct w:val="0"/>
              <w:autoSpaceDE/>
              <w:autoSpaceDN/>
              <w:bidi w:val="0"/>
              <w:adjustRightInd/>
              <w:spacing w:line="440" w:lineRule="exact"/>
              <w:jc w:val="center"/>
              <w:textAlignment w:val="auto"/>
              <w:rPr>
                <w:rFonts w:hint="default"/>
                <w:color w:val="auto"/>
                <w:lang w:val="en-US" w:eastAsia="zh-CN"/>
              </w:rPr>
            </w:pPr>
            <w:r>
              <w:rPr>
                <w:rFonts w:hint="eastAsia"/>
                <w:color w:val="auto"/>
                <w:lang w:val="en-US" w:eastAsia="zh-CN"/>
              </w:rPr>
              <w:t>郏县人民医院2025年医疗责任险服务项目</w:t>
            </w:r>
          </w:p>
        </w:tc>
        <w:tc>
          <w:tcPr>
            <w:tcW w:w="1616" w:type="dxa"/>
            <w:noWrap w:val="0"/>
            <w:vAlign w:val="center"/>
          </w:tcPr>
          <w:p w14:paraId="70918866">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lang w:eastAsia="zh-CN"/>
              </w:rPr>
            </w:pPr>
            <w:r>
              <w:rPr>
                <w:rFonts w:hint="eastAsia" w:ascii="宋体" w:hAnsi="宋体" w:eastAsia="宋体" w:cs="宋体"/>
                <w:color w:val="auto"/>
                <w:sz w:val="24"/>
                <w:lang w:eastAsia="zh-CN"/>
              </w:rPr>
              <w:t>550000</w:t>
            </w:r>
            <w:r>
              <w:rPr>
                <w:rFonts w:hint="eastAsia" w:ascii="宋体" w:hAnsi="宋体" w:cs="宋体"/>
                <w:color w:val="auto"/>
                <w:sz w:val="24"/>
                <w:lang w:val="en-US" w:eastAsia="zh-CN"/>
              </w:rPr>
              <w:t>.00</w:t>
            </w:r>
          </w:p>
        </w:tc>
        <w:tc>
          <w:tcPr>
            <w:tcW w:w="1384" w:type="dxa"/>
            <w:noWrap w:val="0"/>
            <w:vAlign w:val="center"/>
          </w:tcPr>
          <w:p w14:paraId="30F34E65">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lang w:eastAsia="zh-CN"/>
              </w:rPr>
            </w:pPr>
            <w:r>
              <w:rPr>
                <w:rFonts w:hint="eastAsia" w:ascii="宋体" w:hAnsi="宋体" w:eastAsia="宋体" w:cs="宋体"/>
                <w:color w:val="auto"/>
                <w:sz w:val="24"/>
                <w:lang w:eastAsia="zh-CN"/>
              </w:rPr>
              <w:t>550000</w:t>
            </w:r>
            <w:r>
              <w:rPr>
                <w:rFonts w:hint="eastAsia" w:ascii="宋体" w:hAnsi="宋体" w:cs="宋体"/>
                <w:color w:val="auto"/>
                <w:sz w:val="24"/>
                <w:lang w:val="en-US" w:eastAsia="zh-CN"/>
              </w:rPr>
              <w:t>.00</w:t>
            </w:r>
          </w:p>
        </w:tc>
      </w:tr>
    </w:tbl>
    <w:p w14:paraId="24D6D430">
      <w:pPr>
        <w:pStyle w:val="30"/>
        <w:keepNext w:val="0"/>
        <w:keepLines w:val="0"/>
        <w:pageBreakBefore w:val="0"/>
        <w:kinsoku/>
        <w:wordWrap/>
        <w:overflowPunct/>
        <w:topLinePunct w:val="0"/>
        <w:bidi w:val="0"/>
        <w:spacing w:line="440" w:lineRule="exact"/>
        <w:textAlignment w:val="auto"/>
        <w:rPr>
          <w:rFonts w:hint="eastAsia"/>
          <w:color w:val="auto"/>
          <w:lang w:val="en-US" w:eastAsia="zh-CN"/>
        </w:rPr>
      </w:pPr>
    </w:p>
    <w:p w14:paraId="0C2AA4A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5、采购需求：（包括但不限于标的的名称、数量、简要技术需求或服务要求等）</w:t>
      </w:r>
    </w:p>
    <w:p w14:paraId="0D8FABC6">
      <w:pPr>
        <w:spacing w:line="500" w:lineRule="exact"/>
        <w:ind w:firstLine="480" w:firstLineChars="200"/>
        <w:jc w:val="left"/>
        <w:rPr>
          <w:rFonts w:hint="default" w:ascii="宋体" w:hAnsi="宋体" w:eastAsia="宋体" w:cs="宋体"/>
          <w:color w:val="auto"/>
          <w:sz w:val="24"/>
          <w:szCs w:val="24"/>
          <w:lang w:val="en-US"/>
        </w:rPr>
      </w:pPr>
      <w:bookmarkStart w:id="11" w:name="_Toc28359013"/>
      <w:bookmarkStart w:id="12" w:name="_Toc35393799"/>
      <w:bookmarkStart w:id="13" w:name="_Toc28359090"/>
      <w:bookmarkStart w:id="14" w:name="_Toc35393630"/>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.1服务范围：郏县人民医院2025年医疗责任险服务项目</w:t>
      </w:r>
      <w:r>
        <w:rPr>
          <w:rFonts w:hint="eastAsia" w:ascii="宋体" w:hAnsi="宋体" w:eastAsia="宋体" w:cs="宋体"/>
          <w:color w:val="auto"/>
          <w:sz w:val="24"/>
          <w:szCs w:val="24"/>
          <w:lang w:val="en-US" w:eastAsia="zh-CN"/>
        </w:rPr>
        <w:t>，详见磋商文件。</w:t>
      </w:r>
    </w:p>
    <w:p w14:paraId="6E292333">
      <w:pPr>
        <w:spacing w:line="500" w:lineRule="exact"/>
        <w:ind w:firstLine="480" w:firstLineChars="20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5.2</w:t>
      </w:r>
      <w:r>
        <w:rPr>
          <w:rFonts w:hint="eastAsia" w:ascii="宋体" w:hAnsi="宋体" w:eastAsia="宋体" w:cs="宋体"/>
          <w:color w:val="auto"/>
          <w:sz w:val="24"/>
          <w:szCs w:val="24"/>
        </w:rPr>
        <w:t>服务期限：</w:t>
      </w:r>
      <w:r>
        <w:rPr>
          <w:rFonts w:hint="eastAsia" w:ascii="宋体" w:hAnsi="宋体" w:eastAsia="宋体" w:cs="宋体"/>
          <w:color w:val="auto"/>
          <w:sz w:val="24"/>
          <w:szCs w:val="24"/>
          <w:lang w:val="en-US" w:eastAsia="zh-CN"/>
        </w:rPr>
        <w:t>一年</w:t>
      </w:r>
    </w:p>
    <w:p w14:paraId="08B35A28">
      <w:pPr>
        <w:spacing w:line="500" w:lineRule="exact"/>
        <w:ind w:firstLine="480" w:firstLineChars="20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5.3资金来源：自筹资金，已落实。</w:t>
      </w:r>
    </w:p>
    <w:p w14:paraId="7F243D1D">
      <w:pPr>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标段划分：本项目</w:t>
      </w:r>
      <w:r>
        <w:rPr>
          <w:rFonts w:hint="eastAsia" w:ascii="宋体" w:hAnsi="宋体" w:eastAsia="宋体" w:cs="宋体"/>
          <w:color w:val="auto"/>
          <w:sz w:val="24"/>
          <w:szCs w:val="24"/>
          <w:lang w:val="en-US" w:eastAsia="zh-CN"/>
        </w:rPr>
        <w:t>不划分</w:t>
      </w:r>
      <w:r>
        <w:rPr>
          <w:rFonts w:hint="eastAsia" w:ascii="宋体" w:hAnsi="宋体" w:eastAsia="宋体" w:cs="宋体"/>
          <w:color w:val="auto"/>
          <w:sz w:val="24"/>
          <w:szCs w:val="24"/>
        </w:rPr>
        <w:t>标段。</w:t>
      </w:r>
    </w:p>
    <w:p w14:paraId="51F43BD9">
      <w:pPr>
        <w:spacing w:line="500" w:lineRule="exact"/>
        <w:ind w:firstLine="480"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服务地点：采购人指定地点</w:t>
      </w:r>
      <w:r>
        <w:rPr>
          <w:rFonts w:hint="eastAsia" w:ascii="宋体" w:hAnsi="宋体" w:eastAsia="宋体" w:cs="宋体"/>
          <w:color w:val="auto"/>
          <w:sz w:val="24"/>
          <w:szCs w:val="24"/>
          <w:lang w:eastAsia="zh-CN"/>
        </w:rPr>
        <w:t>。</w:t>
      </w:r>
    </w:p>
    <w:p w14:paraId="68E4995F">
      <w:pPr>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服务要求：符合</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文件要求及采购人需求</w:t>
      </w:r>
    </w:p>
    <w:p w14:paraId="0A19A375">
      <w:pPr>
        <w:tabs>
          <w:tab w:val="left" w:pos="6557"/>
        </w:tabs>
        <w:spacing w:line="500" w:lineRule="exact"/>
        <w:ind w:firstLine="480"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服务标准：</w:t>
      </w:r>
      <w:r>
        <w:rPr>
          <w:rFonts w:hint="eastAsia" w:ascii="宋体" w:hAnsi="宋体" w:eastAsia="宋体" w:cs="宋体"/>
          <w:color w:val="auto"/>
          <w:sz w:val="24"/>
          <w:szCs w:val="24"/>
          <w:lang w:eastAsia="zh-CN"/>
        </w:rPr>
        <w:t>合格，</w:t>
      </w:r>
      <w:r>
        <w:rPr>
          <w:rFonts w:hint="eastAsia" w:ascii="宋体" w:hAnsi="宋体" w:eastAsia="宋体" w:cs="宋体"/>
          <w:color w:val="auto"/>
          <w:sz w:val="24"/>
          <w:szCs w:val="24"/>
        </w:rPr>
        <w:t>满足</w:t>
      </w: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文件服务要求</w:t>
      </w:r>
      <w:r>
        <w:rPr>
          <w:rFonts w:hint="eastAsia" w:ascii="宋体" w:hAnsi="宋体" w:eastAsia="宋体" w:cs="宋体"/>
          <w:color w:val="auto"/>
          <w:sz w:val="24"/>
          <w:szCs w:val="24"/>
          <w:lang w:eastAsia="zh-CN"/>
        </w:rPr>
        <w:tab/>
      </w:r>
    </w:p>
    <w:p w14:paraId="741A8A47">
      <w:pPr>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、合同履行期限：见服务期限。</w:t>
      </w:r>
    </w:p>
    <w:p w14:paraId="686492E0">
      <w:pPr>
        <w:spacing w:line="48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、本项目是否接受联合体投标：否。</w:t>
      </w:r>
    </w:p>
    <w:p w14:paraId="1E707C81">
      <w:pPr>
        <w:spacing w:line="48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、是否接受进口产品：否</w:t>
      </w:r>
    </w:p>
    <w:p w14:paraId="50165E1E">
      <w:pPr>
        <w:spacing w:line="480" w:lineRule="exact"/>
        <w:ind w:firstLine="480" w:firstLineChars="200"/>
        <w:jc w:val="lef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9、是否专门面向中小企业：否</w:t>
      </w:r>
    </w:p>
    <w:p w14:paraId="4827AE72">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二、申请人的资格要求：</w:t>
      </w:r>
      <w:bookmarkEnd w:id="11"/>
      <w:bookmarkEnd w:id="12"/>
      <w:bookmarkEnd w:id="13"/>
      <w:bookmarkEnd w:id="14"/>
    </w:p>
    <w:p w14:paraId="37926569">
      <w:pPr>
        <w:spacing w:line="500" w:lineRule="exact"/>
        <w:ind w:firstLine="480" w:firstLineChars="200"/>
        <w:jc w:val="left"/>
        <w:rPr>
          <w:rFonts w:hint="eastAsia" w:ascii="宋体" w:hAnsi="宋体" w:eastAsia="宋体" w:cs="宋体"/>
          <w:color w:val="auto"/>
          <w:sz w:val="24"/>
          <w:szCs w:val="24"/>
        </w:rPr>
      </w:pPr>
      <w:bookmarkStart w:id="15" w:name="_Toc35393800"/>
      <w:bookmarkStart w:id="16" w:name="_Toc35393631"/>
      <w:r>
        <w:rPr>
          <w:rFonts w:hint="eastAsia" w:ascii="宋体" w:hAnsi="宋体" w:eastAsia="宋体" w:cs="宋体"/>
          <w:color w:val="auto"/>
          <w:sz w:val="24"/>
          <w:szCs w:val="24"/>
        </w:rPr>
        <w:t>1、满足《中华人民共和国政府采购法》第二十二条规定；</w:t>
      </w:r>
    </w:p>
    <w:p w14:paraId="60EEEB1A">
      <w:pPr>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2、落实政府采购政策满足的资格要求：</w:t>
      </w:r>
    </w:p>
    <w:p w14:paraId="37235BE5">
      <w:pPr>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根据《政府采购促进中小企业发展管理办法》财库〔2020〕46号、《财政部关于进一步加大政府采购支持中小企业力度的通知》财库〔2022〕19号规定。本项目属于非专门面向中小企业采购的项目。</w:t>
      </w:r>
    </w:p>
    <w:p w14:paraId="2B3342D9">
      <w:pPr>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3、本项目的特定资格要求</w:t>
      </w:r>
    </w:p>
    <w:p w14:paraId="73631134">
      <w:pPr>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3.1供应商具有独立承担民事责任的能力（提供有效的三证合一营业执照扫描件或复印件，也可提供电子营业执照截图）；</w:t>
      </w:r>
    </w:p>
    <w:p w14:paraId="33A0DE35">
      <w:pPr>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为贯彻落实《关于促进政府采购公平竞争优化营商环境的通知》（财库〔2019〕38号）和《关于全面推行证明事项和涉企经营许可事项告知承诺制的指导意见》（国办发[2020]42号），降低供应商参与政府采购活动的制度性交易成本，持续优化政府采购营商环境。按照《郏县财政局关于推行政府采购信用承诺制的通知》（郏财字[2022]35号）要求，在本次招标活动中，供应商只需在资格审查满足相应条件的书面承诺书（格式详见后附件：郏县政府采购供应商信用承诺书），不再需要提供以下证明材料：</w:t>
      </w:r>
    </w:p>
    <w:p w14:paraId="5E6B8F9F">
      <w:pPr>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（1）具有独立承担民事责任的能力；</w:t>
      </w:r>
    </w:p>
    <w:p w14:paraId="2C88FB31">
      <w:pPr>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（2）具有良好的商业信誉和健全的财务会计制度；</w:t>
      </w:r>
    </w:p>
    <w:p w14:paraId="0EDC2DD8">
      <w:pPr>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（3）具有履行合同所必需的设备和专业技术能力；</w:t>
      </w:r>
    </w:p>
    <w:p w14:paraId="115F3804">
      <w:pPr>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（4）有依法缴纳税收和社会保障资金的良好记录；</w:t>
      </w:r>
    </w:p>
    <w:p w14:paraId="356658CA">
      <w:pPr>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（5）参加政府采购活动前三年内，在经营活动中没有重大违法记录；</w:t>
      </w:r>
    </w:p>
    <w:p w14:paraId="1DD99780">
      <w:pPr>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（6）法律、行政法规规定的其他条件。</w:t>
      </w:r>
    </w:p>
    <w:p w14:paraId="3FA95824">
      <w:pPr>
        <w:keepNext w:val="0"/>
        <w:keepLines w:val="0"/>
        <w:pageBreakBefore w:val="0"/>
        <w:widowControl w:val="0"/>
        <w:kinsoku/>
        <w:wordWrap/>
        <w:overflowPunct/>
        <w:topLinePunct w:val="0"/>
        <w:autoSpaceDE/>
        <w:autoSpaceDN/>
        <w:bidi w:val="0"/>
        <w:adjustRightInd/>
        <w:snapToGrid/>
        <w:spacing w:line="456" w:lineRule="exact"/>
        <w:ind w:firstLine="720" w:firstLineChars="3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3.3、供应商应为保险公司总部或省（市）级分公司、中心支公司、县级支公司（不含营销服务部）；</w:t>
      </w:r>
    </w:p>
    <w:p w14:paraId="6DB77EA3">
      <w:pPr>
        <w:keepNext w:val="0"/>
        <w:keepLines w:val="0"/>
        <w:pageBreakBefore w:val="0"/>
        <w:widowControl w:val="0"/>
        <w:kinsoku/>
        <w:wordWrap/>
        <w:overflowPunct/>
        <w:topLinePunct w:val="0"/>
        <w:autoSpaceDE/>
        <w:autoSpaceDN/>
        <w:bidi w:val="0"/>
        <w:adjustRightInd/>
        <w:snapToGrid/>
        <w:spacing w:line="456" w:lineRule="exact"/>
        <w:ind w:firstLine="480" w:firstLineChars="2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中华人民共和国政府采购法实施条例》释义：银行、保险、石油石化、电力、电信行业，分公司（支公司可以参加投标），本文件中需要法定代表人出具的签字、授权等，可以由分公司（支公司）负责人出具。</w:t>
      </w:r>
    </w:p>
    <w:p w14:paraId="131AC4DC">
      <w:pPr>
        <w:keepNext w:val="0"/>
        <w:keepLines w:val="0"/>
        <w:pageBreakBefore w:val="0"/>
        <w:kinsoku/>
        <w:wordWrap/>
        <w:overflowPunct/>
        <w:topLinePunct w:val="0"/>
        <w:bidi w:val="0"/>
        <w:spacing w:line="440" w:lineRule="exact"/>
        <w:ind w:firstLine="720" w:firstLineChars="3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highlight w:val="none"/>
          <w:lang w:val="en-US" w:eastAsia="zh-CN"/>
        </w:rPr>
        <w:t>3.4</w:t>
      </w:r>
      <w:r>
        <w:rPr>
          <w:rFonts w:hint="eastAsia" w:ascii="宋体" w:hAnsi="宋体" w:eastAsia="宋体" w:cs="宋体"/>
          <w:color w:val="auto"/>
          <w:sz w:val="24"/>
          <w:szCs w:val="24"/>
          <w:highlight w:val="none"/>
        </w:rPr>
        <w:t>具有中国保险监督管理委员会批准的保险公司法人许可证</w:t>
      </w: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经营保险业务许可证；</w:t>
      </w:r>
    </w:p>
    <w:p w14:paraId="544B2BAC">
      <w:pPr>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本项目资格审查方式为资格后审，不允许分包或转包。</w:t>
      </w:r>
    </w:p>
    <w:p w14:paraId="1A795BE2">
      <w:pPr>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供应商需提供的“中国执行信息公开网”网站的“失信被执行人”,“信用中国”网站的“</w:t>
      </w:r>
      <w:r>
        <w:rPr>
          <w:rFonts w:hint="eastAsia" w:ascii="宋体" w:hAnsi="宋体" w:eastAsia="宋体" w:cs="宋体"/>
          <w:color w:val="auto"/>
          <w:sz w:val="24"/>
          <w:szCs w:val="24"/>
          <w:lang w:eastAsia="zh-CN"/>
        </w:rPr>
        <w:t>重大税收违法失信主体</w:t>
      </w:r>
      <w:r>
        <w:rPr>
          <w:rFonts w:hint="eastAsia" w:ascii="宋体" w:hAnsi="宋体" w:eastAsia="宋体" w:cs="宋体"/>
          <w:color w:val="auto"/>
          <w:sz w:val="24"/>
          <w:szCs w:val="24"/>
        </w:rPr>
        <w:t>”以及“中国政府采购网”网站的“政府采购严重违法失信行为记录名单”查询结果页面截图，不得有不良记录，（执行财库【2016】125号文），（有效查询结果自招标公告发布之日起）。</w:t>
      </w:r>
    </w:p>
    <w:p w14:paraId="31C56FA1">
      <w:pPr>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本次项目采用资格后审，不接受联合体投标。</w:t>
      </w:r>
    </w:p>
    <w:p w14:paraId="3BB7F8CA">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三、获取采购文件</w:t>
      </w:r>
      <w:bookmarkEnd w:id="15"/>
      <w:bookmarkEnd w:id="16"/>
    </w:p>
    <w:p w14:paraId="399CDC5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1、时间：</w:t>
      </w:r>
      <w:r>
        <w:rPr>
          <w:rFonts w:hint="eastAsia" w:ascii="宋体" w:hAnsi="宋体" w:cs="宋体"/>
          <w:color w:val="auto"/>
          <w:sz w:val="24"/>
          <w:szCs w:val="24"/>
          <w:lang w:val="en-US" w:eastAsia="zh-CN"/>
        </w:rPr>
        <w:t>2025年05</w:t>
      </w:r>
      <w:r>
        <w:rPr>
          <w:rFonts w:hint="eastAsia" w:ascii="宋体" w:hAnsi="宋体" w:eastAsia="宋体" w:cs="宋体"/>
          <w:color w:val="auto"/>
          <w:sz w:val="24"/>
          <w:szCs w:val="24"/>
          <w:lang w:val="en-US" w:eastAsia="zh-CN"/>
        </w:rPr>
        <w:t>月</w:t>
      </w:r>
      <w:r>
        <w:rPr>
          <w:rFonts w:hint="eastAsia" w:ascii="宋体" w:hAnsi="宋体" w:cs="宋体"/>
          <w:color w:val="auto"/>
          <w:sz w:val="24"/>
          <w:szCs w:val="24"/>
          <w:lang w:val="en-US" w:eastAsia="zh-CN"/>
        </w:rPr>
        <w:t>28</w:t>
      </w:r>
      <w:r>
        <w:rPr>
          <w:rFonts w:hint="eastAsia" w:ascii="宋体" w:hAnsi="宋体" w:eastAsia="宋体" w:cs="宋体"/>
          <w:color w:val="auto"/>
          <w:sz w:val="24"/>
          <w:szCs w:val="24"/>
          <w:lang w:val="en-US" w:eastAsia="zh-CN"/>
        </w:rPr>
        <w:t>日至</w:t>
      </w:r>
      <w:r>
        <w:rPr>
          <w:rFonts w:hint="eastAsia" w:ascii="宋体" w:hAnsi="宋体" w:cs="宋体"/>
          <w:color w:val="auto"/>
          <w:sz w:val="24"/>
          <w:szCs w:val="24"/>
          <w:lang w:val="en-US" w:eastAsia="zh-CN"/>
        </w:rPr>
        <w:t>2025年06</w:t>
      </w:r>
      <w:r>
        <w:rPr>
          <w:rFonts w:hint="eastAsia" w:ascii="宋体" w:hAnsi="宋体" w:eastAsia="宋体" w:cs="宋体"/>
          <w:color w:val="auto"/>
          <w:sz w:val="24"/>
          <w:szCs w:val="24"/>
          <w:lang w:val="en-US" w:eastAsia="zh-CN"/>
        </w:rPr>
        <w:t>月</w:t>
      </w:r>
      <w:r>
        <w:rPr>
          <w:rFonts w:hint="eastAsia" w:ascii="宋体" w:hAnsi="宋体" w:cs="宋体"/>
          <w:color w:val="auto"/>
          <w:sz w:val="24"/>
          <w:szCs w:val="24"/>
          <w:lang w:val="en-US" w:eastAsia="zh-CN"/>
        </w:rPr>
        <w:t>08</w:t>
      </w:r>
      <w:r>
        <w:rPr>
          <w:rFonts w:hint="eastAsia" w:ascii="宋体" w:hAnsi="宋体" w:eastAsia="宋体" w:cs="宋体"/>
          <w:color w:val="auto"/>
          <w:sz w:val="24"/>
          <w:szCs w:val="24"/>
          <w:lang w:val="en-US" w:eastAsia="zh-CN"/>
        </w:rPr>
        <w:t>日（每天上午00:00至12:00，下午12:00至23:59，北京时间，法定节假日除外。）</w:t>
      </w:r>
    </w:p>
    <w:p w14:paraId="222DEE6C">
      <w:pPr>
        <w:keepNext w:val="0"/>
        <w:keepLines w:val="0"/>
        <w:pageBreakBefore w:val="0"/>
        <w:widowControl/>
        <w:kinsoku/>
        <w:wordWrap/>
        <w:overflowPunct/>
        <w:topLinePunct w:val="0"/>
        <w:autoSpaceDE/>
        <w:autoSpaceDN/>
        <w:bidi w:val="0"/>
        <w:snapToGrid w:val="0"/>
        <w:spacing w:line="440" w:lineRule="exact"/>
        <w:ind w:firstLine="480" w:firstLineChars="200"/>
        <w:jc w:val="left"/>
        <w:textAlignment w:val="auto"/>
        <w:rPr>
          <w:rFonts w:hint="eastAsia" w:ascii="宋体" w:hAnsi="宋体" w:cs="宋体"/>
          <w:color w:val="auto"/>
          <w:sz w:val="24"/>
        </w:rPr>
      </w:pPr>
      <w:bookmarkStart w:id="17" w:name="_Toc35393635"/>
      <w:bookmarkStart w:id="18" w:name="_Toc35393804"/>
      <w:r>
        <w:rPr>
          <w:rFonts w:hint="eastAsia" w:ascii="宋体" w:hAnsi="宋体" w:cs="宋体"/>
          <w:color w:val="auto"/>
          <w:sz w:val="24"/>
        </w:rPr>
        <w:t>2.地点：潜在投标人下载文件需凭CA数字证书通过平顶山市公共资源交易中心网（网址：http://ggzy.pds.gov.cn/）“供应商登录”入口进入交易系统进行下载。具体操作请查看以下链接：</w:t>
      </w:r>
    </w:p>
    <w:p w14:paraId="0AC3AF58">
      <w:pPr>
        <w:keepNext w:val="0"/>
        <w:keepLines w:val="0"/>
        <w:pageBreakBefore w:val="0"/>
        <w:widowControl/>
        <w:kinsoku/>
        <w:wordWrap/>
        <w:overflowPunct/>
        <w:topLinePunct w:val="0"/>
        <w:autoSpaceDE/>
        <w:autoSpaceDN/>
        <w:bidi w:val="0"/>
        <w:snapToGrid w:val="0"/>
        <w:spacing w:line="440" w:lineRule="exact"/>
        <w:ind w:firstLine="480" w:firstLineChars="200"/>
        <w:jc w:val="left"/>
        <w:textAlignment w:val="auto"/>
        <w:rPr>
          <w:rFonts w:hint="eastAsia" w:ascii="宋体" w:hAnsi="宋体" w:cs="宋体"/>
          <w:color w:val="auto"/>
          <w:sz w:val="24"/>
        </w:rPr>
      </w:pPr>
      <w:r>
        <w:rPr>
          <w:rFonts w:hint="eastAsia" w:ascii="宋体" w:hAnsi="宋体" w:cs="宋体"/>
          <w:color w:val="auto"/>
          <w:sz w:val="24"/>
        </w:rPr>
        <w:t>链接地址：http://ggzy.pds.gov.cn/fwzn/11020.jhtml；</w:t>
      </w:r>
    </w:p>
    <w:p w14:paraId="624BE4FD">
      <w:pPr>
        <w:keepNext w:val="0"/>
        <w:keepLines w:val="0"/>
        <w:pageBreakBefore w:val="0"/>
        <w:widowControl/>
        <w:kinsoku/>
        <w:wordWrap/>
        <w:overflowPunct/>
        <w:topLinePunct w:val="0"/>
        <w:autoSpaceDE/>
        <w:autoSpaceDN/>
        <w:bidi w:val="0"/>
        <w:snapToGrid w:val="0"/>
        <w:spacing w:line="440" w:lineRule="exact"/>
        <w:ind w:firstLine="480" w:firstLineChars="200"/>
        <w:jc w:val="left"/>
        <w:textAlignment w:val="auto"/>
        <w:rPr>
          <w:rFonts w:hint="eastAsia" w:ascii="宋体" w:hAnsi="宋体" w:cs="宋体"/>
          <w:color w:val="auto"/>
          <w:sz w:val="24"/>
        </w:rPr>
      </w:pPr>
      <w:r>
        <w:rPr>
          <w:rFonts w:hint="eastAsia" w:ascii="宋体" w:hAnsi="宋体" w:cs="宋体"/>
          <w:color w:val="auto"/>
          <w:sz w:val="24"/>
        </w:rPr>
        <w:t>办理CA证书：http://ggzy.pds.gov.cn/tzgg/10814.jhtml；</w:t>
      </w:r>
    </w:p>
    <w:p w14:paraId="1C4EB501">
      <w:pPr>
        <w:keepNext w:val="0"/>
        <w:keepLines w:val="0"/>
        <w:pageBreakBefore w:val="0"/>
        <w:widowControl/>
        <w:kinsoku/>
        <w:wordWrap/>
        <w:overflowPunct/>
        <w:topLinePunct w:val="0"/>
        <w:autoSpaceDE/>
        <w:autoSpaceDN/>
        <w:bidi w:val="0"/>
        <w:snapToGrid w:val="0"/>
        <w:spacing w:line="440" w:lineRule="exact"/>
        <w:ind w:firstLine="480" w:firstLineChars="200"/>
        <w:jc w:val="left"/>
        <w:textAlignment w:val="auto"/>
        <w:rPr>
          <w:rFonts w:hint="eastAsia" w:ascii="宋体" w:hAnsi="宋体" w:eastAsia="宋体" w:cs="宋体"/>
          <w:color w:val="auto"/>
          <w:sz w:val="24"/>
          <w:szCs w:val="24"/>
        </w:rPr>
      </w:pPr>
      <w:r>
        <w:rPr>
          <w:rFonts w:hint="eastAsia" w:ascii="宋体" w:hAnsi="宋体" w:cs="宋体"/>
          <w:color w:val="auto"/>
          <w:sz w:val="24"/>
        </w:rPr>
        <w:t>3.方式：在招标文件获取截止时间前，于全国公共资源交易平台（河南省·平顶山市）电子招投标系统自行下载EGP版本招标文件；投标企业未通过全国公共资源交易平台（河南省·平顶山市）电子招投标系统下载EGP招标文件的，其投标文件于系统内无法上传。</w:t>
      </w:r>
    </w:p>
    <w:p w14:paraId="11512D0C">
      <w:pPr>
        <w:keepNext w:val="0"/>
        <w:keepLines w:val="0"/>
        <w:pageBreakBefore w:val="0"/>
        <w:widowControl/>
        <w:kinsoku/>
        <w:wordWrap/>
        <w:overflowPunct/>
        <w:topLinePunct w:val="0"/>
        <w:bidi w:val="0"/>
        <w:spacing w:line="440" w:lineRule="exact"/>
        <w:jc w:val="left"/>
        <w:textAlignment w:val="auto"/>
        <w:rPr>
          <w:rFonts w:hint="eastAsia" w:ascii="宋体" w:hAnsi="宋体" w:eastAsia="宋体" w:cs="宋体"/>
          <w:b/>
          <w:bCs/>
          <w:color w:val="auto"/>
          <w:sz w:val="24"/>
          <w:lang w:val="zh-CN" w:bidi="ar"/>
        </w:rPr>
      </w:pPr>
      <w:r>
        <w:rPr>
          <w:rFonts w:hint="eastAsia" w:ascii="宋体" w:hAnsi="宋体" w:eastAsia="宋体" w:cs="宋体"/>
          <w:b/>
          <w:bCs/>
          <w:color w:val="auto"/>
          <w:sz w:val="24"/>
          <w:lang w:val="zh-CN" w:bidi="ar"/>
        </w:rPr>
        <w:t>四、投标截止时间及地点</w:t>
      </w:r>
    </w:p>
    <w:p w14:paraId="72AC223E">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1、时间：</w:t>
      </w:r>
      <w:r>
        <w:rPr>
          <w:rFonts w:hint="eastAsia" w:ascii="宋体" w:hAnsi="宋体" w:cs="宋体"/>
          <w:color w:val="auto"/>
          <w:sz w:val="24"/>
          <w:szCs w:val="24"/>
          <w:lang w:eastAsia="zh-CN"/>
        </w:rPr>
        <w:t>2025年</w:t>
      </w:r>
      <w:r>
        <w:rPr>
          <w:rFonts w:hint="eastAsia" w:ascii="宋体" w:hAnsi="宋体" w:cs="宋体"/>
          <w:color w:val="auto"/>
          <w:sz w:val="24"/>
          <w:lang w:val="en-US" w:eastAsia="zh-CN"/>
        </w:rPr>
        <w:t>06</w:t>
      </w:r>
      <w:r>
        <w:rPr>
          <w:rFonts w:hint="eastAsia" w:ascii="宋体" w:hAnsi="宋体" w:cs="宋体"/>
          <w:color w:val="auto"/>
          <w:sz w:val="24"/>
        </w:rPr>
        <w:t>月</w:t>
      </w:r>
      <w:r>
        <w:rPr>
          <w:rFonts w:hint="eastAsia" w:ascii="宋体" w:hAnsi="宋体" w:cs="宋体"/>
          <w:color w:val="auto"/>
          <w:sz w:val="24"/>
          <w:lang w:val="en-US" w:eastAsia="zh-CN"/>
        </w:rPr>
        <w:t>09</w:t>
      </w:r>
      <w:r>
        <w:rPr>
          <w:rFonts w:hint="eastAsia" w:ascii="宋体" w:hAnsi="宋体" w:cs="宋体"/>
          <w:color w:val="auto"/>
          <w:sz w:val="24"/>
        </w:rPr>
        <w:t>日</w:t>
      </w:r>
      <w:r>
        <w:rPr>
          <w:rFonts w:hint="eastAsia" w:ascii="宋体" w:hAnsi="宋体" w:cs="宋体"/>
          <w:color w:val="auto"/>
          <w:sz w:val="24"/>
          <w:lang w:val="en-US" w:eastAsia="zh-CN"/>
        </w:rPr>
        <w:t>08</w:t>
      </w:r>
      <w:r>
        <w:rPr>
          <w:rFonts w:hint="eastAsia" w:ascii="宋体" w:hAnsi="宋体" w:cs="宋体"/>
          <w:color w:val="auto"/>
          <w:sz w:val="24"/>
        </w:rPr>
        <w:t>点</w:t>
      </w:r>
      <w:r>
        <w:rPr>
          <w:rFonts w:hint="eastAsia" w:ascii="宋体" w:hAnsi="宋体" w:cs="宋体"/>
          <w:color w:val="auto"/>
          <w:sz w:val="24"/>
          <w:lang w:val="en-US" w:eastAsia="zh-CN"/>
        </w:rPr>
        <w:t>40</w:t>
      </w:r>
      <w:r>
        <w:rPr>
          <w:rFonts w:hint="eastAsia" w:ascii="宋体" w:hAnsi="宋体" w:cs="宋体"/>
          <w:color w:val="auto"/>
          <w:sz w:val="24"/>
        </w:rPr>
        <w:t>分</w:t>
      </w:r>
      <w:r>
        <w:rPr>
          <w:rFonts w:hint="eastAsia" w:ascii="宋体" w:hAnsi="宋体" w:eastAsia="宋体" w:cs="宋体"/>
          <w:color w:val="auto"/>
          <w:sz w:val="24"/>
          <w:szCs w:val="24"/>
        </w:rPr>
        <w:t>（北京时间）</w:t>
      </w:r>
    </w:p>
    <w:p w14:paraId="4C281AD7">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2、地点：《全国公共资源交易平台（河南省·平顶山市）》电子交易系统</w:t>
      </w:r>
    </w:p>
    <w:p w14:paraId="17FDCFAC">
      <w:pPr>
        <w:keepNext w:val="0"/>
        <w:keepLines w:val="0"/>
        <w:pageBreakBefore w:val="0"/>
        <w:widowControl/>
        <w:kinsoku/>
        <w:wordWrap/>
        <w:overflowPunct/>
        <w:topLinePunct w:val="0"/>
        <w:bidi w:val="0"/>
        <w:spacing w:line="440" w:lineRule="exact"/>
        <w:jc w:val="left"/>
        <w:textAlignment w:val="auto"/>
        <w:rPr>
          <w:rFonts w:hint="eastAsia" w:ascii="宋体" w:hAnsi="宋体" w:eastAsia="宋体" w:cs="宋体"/>
          <w:b/>
          <w:bCs/>
          <w:color w:val="auto"/>
          <w:sz w:val="24"/>
          <w:lang w:val="zh-CN" w:bidi="ar"/>
        </w:rPr>
      </w:pPr>
      <w:r>
        <w:rPr>
          <w:rFonts w:hint="eastAsia" w:ascii="宋体" w:hAnsi="宋体" w:eastAsia="宋体" w:cs="宋体"/>
          <w:b/>
          <w:bCs/>
          <w:color w:val="auto"/>
          <w:sz w:val="24"/>
          <w:lang w:val="zh-CN" w:bidi="ar"/>
        </w:rPr>
        <w:t>五、开标时间及地点</w:t>
      </w:r>
    </w:p>
    <w:p w14:paraId="04B8DF96">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1、时时间：</w:t>
      </w:r>
      <w:r>
        <w:rPr>
          <w:rFonts w:hint="eastAsia" w:ascii="宋体" w:hAnsi="宋体" w:cs="宋体"/>
          <w:color w:val="auto"/>
          <w:sz w:val="24"/>
          <w:szCs w:val="24"/>
          <w:lang w:eastAsia="zh-CN"/>
        </w:rPr>
        <w:t>2025年</w:t>
      </w:r>
      <w:r>
        <w:rPr>
          <w:rFonts w:hint="eastAsia" w:ascii="宋体" w:hAnsi="宋体" w:cs="宋体"/>
          <w:color w:val="auto"/>
          <w:sz w:val="24"/>
          <w:lang w:val="en-US" w:eastAsia="zh-CN"/>
        </w:rPr>
        <w:t>06</w:t>
      </w:r>
      <w:r>
        <w:rPr>
          <w:rFonts w:hint="eastAsia" w:ascii="宋体" w:hAnsi="宋体" w:cs="宋体"/>
          <w:color w:val="auto"/>
          <w:sz w:val="24"/>
        </w:rPr>
        <w:t>月</w:t>
      </w:r>
      <w:r>
        <w:rPr>
          <w:rFonts w:hint="eastAsia" w:ascii="宋体" w:hAnsi="宋体" w:cs="宋体"/>
          <w:color w:val="auto"/>
          <w:sz w:val="24"/>
          <w:lang w:val="en-US" w:eastAsia="zh-CN"/>
        </w:rPr>
        <w:t>09</w:t>
      </w:r>
      <w:r>
        <w:rPr>
          <w:rFonts w:hint="eastAsia" w:ascii="宋体" w:hAnsi="宋体" w:cs="宋体"/>
          <w:color w:val="auto"/>
          <w:sz w:val="24"/>
        </w:rPr>
        <w:t>日</w:t>
      </w:r>
      <w:r>
        <w:rPr>
          <w:rFonts w:hint="eastAsia" w:ascii="宋体" w:hAnsi="宋体" w:cs="宋体"/>
          <w:color w:val="auto"/>
          <w:sz w:val="24"/>
          <w:lang w:val="en-US" w:eastAsia="zh-CN"/>
        </w:rPr>
        <w:t>08</w:t>
      </w:r>
      <w:r>
        <w:rPr>
          <w:rFonts w:hint="eastAsia" w:ascii="宋体" w:hAnsi="宋体" w:cs="宋体"/>
          <w:color w:val="auto"/>
          <w:sz w:val="24"/>
        </w:rPr>
        <w:t>点</w:t>
      </w:r>
      <w:r>
        <w:rPr>
          <w:rFonts w:hint="eastAsia" w:ascii="宋体" w:hAnsi="宋体" w:cs="宋体"/>
          <w:color w:val="auto"/>
          <w:sz w:val="24"/>
          <w:lang w:val="en-US" w:eastAsia="zh-CN"/>
        </w:rPr>
        <w:t>40</w:t>
      </w:r>
      <w:r>
        <w:rPr>
          <w:rFonts w:hint="eastAsia" w:ascii="宋体" w:hAnsi="宋体" w:cs="宋体"/>
          <w:color w:val="auto"/>
          <w:sz w:val="24"/>
        </w:rPr>
        <w:t>分</w:t>
      </w:r>
      <w:r>
        <w:rPr>
          <w:rFonts w:hint="eastAsia" w:ascii="宋体" w:hAnsi="宋体" w:eastAsia="宋体" w:cs="宋体"/>
          <w:color w:val="auto"/>
          <w:sz w:val="24"/>
          <w:szCs w:val="24"/>
        </w:rPr>
        <w:t>（北京时间）</w:t>
      </w:r>
    </w:p>
    <w:p w14:paraId="010E35F7">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2、地点：《全国公共资源交易平台（河南省·平顶山市）》电子交易系统</w:t>
      </w:r>
    </w:p>
    <w:p w14:paraId="7405B013">
      <w:pPr>
        <w:keepNext w:val="0"/>
        <w:keepLines w:val="0"/>
        <w:pageBreakBefore w:val="0"/>
        <w:widowControl/>
        <w:kinsoku/>
        <w:wordWrap/>
        <w:overflowPunct/>
        <w:topLinePunct w:val="0"/>
        <w:bidi w:val="0"/>
        <w:spacing w:line="440" w:lineRule="exact"/>
        <w:jc w:val="left"/>
        <w:textAlignment w:val="auto"/>
        <w:rPr>
          <w:rFonts w:hint="eastAsia" w:ascii="宋体" w:hAnsi="宋体" w:eastAsia="宋体" w:cs="宋体"/>
          <w:b/>
          <w:bCs/>
          <w:color w:val="auto"/>
          <w:sz w:val="24"/>
          <w:lang w:val="zh-CN" w:bidi="ar"/>
        </w:rPr>
      </w:pPr>
      <w:r>
        <w:rPr>
          <w:rFonts w:hint="eastAsia" w:ascii="宋体" w:hAnsi="宋体" w:eastAsia="宋体" w:cs="宋体"/>
          <w:b/>
          <w:bCs/>
          <w:color w:val="auto"/>
          <w:sz w:val="24"/>
          <w:lang w:val="zh-CN" w:bidi="ar"/>
        </w:rPr>
        <w:t>六、发布公告的媒介及招标公告期限</w:t>
      </w:r>
    </w:p>
    <w:p w14:paraId="5AD90F3E">
      <w:pPr>
        <w:spacing w:line="46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本公告同时在《河南省政府采购网》</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平顶山</w:t>
      </w:r>
      <w:r>
        <w:rPr>
          <w:rFonts w:hint="eastAsia" w:ascii="宋体" w:hAnsi="宋体" w:eastAsia="宋体" w:cs="宋体"/>
          <w:color w:val="auto"/>
          <w:sz w:val="24"/>
          <w:szCs w:val="24"/>
        </w:rPr>
        <w:t>政府采购网》、《</w:t>
      </w:r>
      <w:r>
        <w:rPr>
          <w:rFonts w:hint="eastAsia" w:ascii="宋体" w:hAnsi="宋体" w:eastAsia="宋体" w:cs="宋体"/>
          <w:color w:val="auto"/>
          <w:sz w:val="24"/>
          <w:szCs w:val="24"/>
          <w:lang w:val="en-US" w:eastAsia="zh-CN"/>
        </w:rPr>
        <w:t>郏县</w:t>
      </w:r>
      <w:r>
        <w:rPr>
          <w:rFonts w:hint="eastAsia" w:ascii="宋体" w:hAnsi="宋体" w:eastAsia="宋体" w:cs="宋体"/>
          <w:color w:val="auto"/>
          <w:sz w:val="24"/>
          <w:szCs w:val="24"/>
        </w:rPr>
        <w:t>政府采购网》、《全国公共资源交易平台（河南省·平顶山市）》</w:t>
      </w:r>
      <w:r>
        <w:rPr>
          <w:rFonts w:hint="eastAsia" w:ascii="宋体" w:hAnsi="宋体" w:eastAsia="宋体" w:cs="宋体"/>
          <w:color w:val="auto"/>
          <w:sz w:val="24"/>
          <w:szCs w:val="24"/>
          <w:lang w:val="en-US" w:eastAsia="zh-CN"/>
        </w:rPr>
        <w:t>上发</w:t>
      </w:r>
      <w:r>
        <w:rPr>
          <w:rFonts w:hint="eastAsia" w:ascii="宋体" w:hAnsi="宋体" w:eastAsia="宋体" w:cs="宋体"/>
          <w:color w:val="auto"/>
          <w:sz w:val="24"/>
          <w:szCs w:val="24"/>
        </w:rPr>
        <w:t>布。招标公告期限为三个工作日。</w:t>
      </w:r>
    </w:p>
    <w:p w14:paraId="7B2D5932">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七、</w:t>
      </w:r>
      <w:bookmarkEnd w:id="17"/>
      <w:bookmarkEnd w:id="18"/>
      <w:bookmarkStart w:id="19" w:name="_Toc28359095"/>
      <w:bookmarkStart w:id="20" w:name="_Toc35393636"/>
      <w:bookmarkStart w:id="21" w:name="_Toc28359018"/>
      <w:bookmarkStart w:id="22" w:name="_Toc35393805"/>
      <w:r>
        <w:rPr>
          <w:rFonts w:hint="eastAsia" w:ascii="宋体" w:hAnsi="宋体" w:cs="宋体"/>
          <w:b/>
          <w:bCs/>
          <w:color w:val="auto"/>
          <w:sz w:val="24"/>
        </w:rPr>
        <w:t>其他补充事宜</w:t>
      </w:r>
    </w:p>
    <w:p w14:paraId="7E247AF5">
      <w:pPr>
        <w:adjustRightInd w:val="0"/>
        <w:snapToGrid w:val="0"/>
        <w:spacing w:line="480" w:lineRule="exact"/>
        <w:ind w:firstLine="480" w:firstLineChars="200"/>
        <w:contextualSpacing/>
        <w:jc w:val="left"/>
        <w:rPr>
          <w:rFonts w:hint="eastAsia" w:ascii="宋体" w:hAnsi="宋体" w:cs="宋体"/>
          <w:color w:val="auto"/>
          <w:sz w:val="24"/>
        </w:rPr>
      </w:pPr>
      <w:r>
        <w:rPr>
          <w:rFonts w:hint="eastAsia" w:ascii="宋体" w:hAnsi="宋体" w:cs="宋体"/>
          <w:color w:val="auto"/>
          <w:sz w:val="24"/>
          <w:lang w:val="en-US" w:eastAsia="zh-CN"/>
        </w:rPr>
        <w:t>1</w:t>
      </w:r>
      <w:r>
        <w:rPr>
          <w:rFonts w:hint="eastAsia" w:ascii="宋体" w:hAnsi="宋体" w:cs="宋体"/>
          <w:color w:val="auto"/>
          <w:sz w:val="24"/>
        </w:rPr>
        <w:t>.本项目实行在线“不见面”开标，投标人远程在线解密投标文件，不再到开标现场，投标人开标前应仔细阅读《“不见面”开标注意事项及操作流程》。</w:t>
      </w:r>
    </w:p>
    <w:p w14:paraId="01552494">
      <w:pPr>
        <w:spacing w:line="440" w:lineRule="exact"/>
        <w:ind w:firstLine="480" w:firstLineChars="200"/>
        <w:jc w:val="left"/>
        <w:rPr>
          <w:rFonts w:hint="eastAsia" w:ascii="宋体" w:hAnsi="宋体" w:cs="宋体"/>
          <w:color w:val="auto"/>
          <w:sz w:val="24"/>
        </w:rPr>
      </w:pPr>
      <w:r>
        <w:rPr>
          <w:rFonts w:hint="eastAsia" w:ascii="宋体" w:hAnsi="宋体" w:cs="宋体"/>
          <w:color w:val="auto"/>
          <w:sz w:val="24"/>
          <w:lang w:val="en-US" w:eastAsia="zh-CN"/>
        </w:rPr>
        <w:t>2</w:t>
      </w:r>
      <w:r>
        <w:rPr>
          <w:rFonts w:hint="eastAsia" w:ascii="宋体" w:hAnsi="宋体" w:cs="宋体"/>
          <w:color w:val="auto"/>
          <w:sz w:val="24"/>
        </w:rPr>
        <w:t>.监督部门：郏县政府采购服务中心</w:t>
      </w:r>
    </w:p>
    <w:p w14:paraId="52450565">
      <w:pPr>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联系电话：0375-5152805</w:t>
      </w:r>
    </w:p>
    <w:p w14:paraId="40C24210">
      <w:pPr>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统一社会信用代码：12410425MB0792757H</w:t>
      </w:r>
    </w:p>
    <w:p w14:paraId="128FD686">
      <w:pPr>
        <w:spacing w:line="440" w:lineRule="exact"/>
        <w:ind w:firstLine="480" w:firstLineChars="200"/>
        <w:jc w:val="left"/>
        <w:rPr>
          <w:rFonts w:hint="default" w:ascii="宋体" w:hAnsi="宋体" w:eastAsia="宋体" w:cs="宋体"/>
          <w:color w:val="auto"/>
          <w:sz w:val="24"/>
          <w:lang w:val="en-US" w:eastAsia="zh-CN"/>
        </w:rPr>
      </w:pPr>
      <w:r>
        <w:rPr>
          <w:rFonts w:hint="eastAsia" w:ascii="宋体" w:hAnsi="宋体" w:cs="宋体"/>
          <w:color w:val="auto"/>
          <w:sz w:val="24"/>
        </w:rPr>
        <w:t>监督人：郏县</w:t>
      </w:r>
      <w:r>
        <w:rPr>
          <w:rFonts w:hint="eastAsia" w:ascii="宋体" w:hAnsi="宋体" w:cs="宋体"/>
          <w:color w:val="auto"/>
          <w:sz w:val="24"/>
          <w:lang w:val="en-US" w:eastAsia="zh-CN"/>
        </w:rPr>
        <w:t>卫生健康委员会</w:t>
      </w:r>
    </w:p>
    <w:p w14:paraId="476B514F">
      <w:pPr>
        <w:spacing w:line="440" w:lineRule="exact"/>
        <w:ind w:firstLine="480" w:firstLineChars="200"/>
        <w:jc w:val="left"/>
        <w:rPr>
          <w:rFonts w:hint="eastAsia" w:ascii="宋体" w:hAnsi="宋体" w:cs="宋体"/>
          <w:color w:val="auto"/>
          <w:sz w:val="24"/>
        </w:rPr>
      </w:pPr>
      <w:r>
        <w:rPr>
          <w:rFonts w:hint="eastAsia" w:ascii="宋体" w:hAnsi="宋体" w:cs="宋体"/>
          <w:color w:val="auto"/>
          <w:sz w:val="24"/>
        </w:rPr>
        <w:t>统一社会信用代码：114104250054922277</w:t>
      </w:r>
    </w:p>
    <w:p w14:paraId="6CDC4637">
      <w:pPr>
        <w:spacing w:line="440" w:lineRule="exact"/>
        <w:ind w:firstLine="480" w:firstLineChars="200"/>
        <w:jc w:val="left"/>
        <w:rPr>
          <w:rFonts w:hint="eastAsia" w:ascii="宋体" w:hAnsi="宋体" w:cs="宋体"/>
          <w:b w:val="0"/>
          <w:bCs w:val="0"/>
          <w:color w:val="auto"/>
          <w:sz w:val="24"/>
        </w:rPr>
      </w:pPr>
      <w:r>
        <w:rPr>
          <w:rFonts w:hint="eastAsia" w:ascii="宋体" w:hAnsi="宋体" w:cs="宋体"/>
          <w:color w:val="auto"/>
          <w:sz w:val="24"/>
        </w:rPr>
        <w:t>联系方式：0375-</w:t>
      </w:r>
      <w:r>
        <w:rPr>
          <w:rFonts w:hint="eastAsia" w:ascii="宋体" w:hAnsi="宋体" w:cs="宋体"/>
          <w:color w:val="auto"/>
          <w:sz w:val="24"/>
          <w:lang w:val="en-US" w:eastAsia="zh-CN"/>
        </w:rPr>
        <w:t>7068010</w:t>
      </w:r>
    </w:p>
    <w:p w14:paraId="0702A695">
      <w:pPr>
        <w:spacing w:line="480" w:lineRule="exact"/>
        <w:ind w:firstLine="480" w:firstLineChars="200"/>
        <w:jc w:val="left"/>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3.各投标人如有异议可通过平顶山公共资源交易平台向招标人（代理机构）、行政监督部门在线提出质疑（异议）、投诉。</w:t>
      </w:r>
    </w:p>
    <w:p w14:paraId="2780F3AE">
      <w:pPr>
        <w:spacing w:line="480" w:lineRule="exact"/>
        <w:ind w:firstLine="480" w:firstLineChars="200"/>
        <w:jc w:val="left"/>
        <w:rPr>
          <w:rFonts w:hint="eastAsia" w:ascii="宋体" w:hAnsi="宋体" w:eastAsia="宋体" w:cs="宋体"/>
          <w:b/>
          <w:bCs/>
          <w:color w:val="auto"/>
          <w:sz w:val="24"/>
          <w:szCs w:val="24"/>
          <w:lang w:val="en-US" w:eastAsia="zh-CN"/>
        </w:rPr>
      </w:pPr>
      <w:r>
        <w:rPr>
          <w:rFonts w:hint="eastAsia" w:ascii="宋体" w:hAnsi="宋体" w:eastAsia="宋体" w:cs="宋体"/>
          <w:color w:val="auto"/>
          <w:sz w:val="24"/>
          <w:lang w:val="en-US" w:eastAsia="zh-CN"/>
        </w:rPr>
        <w:t>4.“该公告已同步至“平顶山市公共资源交易中心微信公众号”，可通过公众号中的服务栏目进行查阅”。</w:t>
      </w:r>
    </w:p>
    <w:p w14:paraId="7FC618E8">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八、凡对本次采购提出询问，请按以下方式联系。</w:t>
      </w:r>
      <w:bookmarkEnd w:id="19"/>
      <w:bookmarkEnd w:id="20"/>
      <w:bookmarkEnd w:id="21"/>
      <w:bookmarkEnd w:id="22"/>
    </w:p>
    <w:p w14:paraId="3F02151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1.采购人信息</w:t>
      </w:r>
    </w:p>
    <w:p w14:paraId="3CF45A6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lang w:val="en-US" w:eastAsia="zh-CN"/>
        </w:rPr>
      </w:pPr>
      <w:bookmarkStart w:id="23" w:name="_Toc28359009"/>
      <w:bookmarkStart w:id="24" w:name="_Toc28359086"/>
      <w:r>
        <w:rPr>
          <w:rFonts w:hint="eastAsia" w:ascii="宋体" w:hAnsi="宋体" w:eastAsia="宋体" w:cs="宋体"/>
          <w:color w:val="auto"/>
          <w:sz w:val="24"/>
          <w:szCs w:val="24"/>
          <w:lang w:val="en-US" w:eastAsia="zh-CN"/>
        </w:rPr>
        <w:t>名    称：郏县人民医院</w:t>
      </w:r>
    </w:p>
    <w:p w14:paraId="74D0041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地    址：郏县南环路</w:t>
      </w:r>
    </w:p>
    <w:p w14:paraId="7976773A">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联 系 人：</w:t>
      </w:r>
      <w:r>
        <w:rPr>
          <w:rFonts w:hint="eastAsia" w:ascii="宋体" w:hAnsi="宋体" w:cs="宋体"/>
          <w:b w:val="0"/>
          <w:bCs w:val="0"/>
          <w:color w:val="auto"/>
          <w:sz w:val="24"/>
          <w:szCs w:val="24"/>
          <w:lang w:val="en-US" w:eastAsia="zh-CN"/>
        </w:rPr>
        <w:t>张</w:t>
      </w:r>
      <w:r>
        <w:rPr>
          <w:rFonts w:hint="eastAsia" w:ascii="宋体" w:hAnsi="宋体" w:eastAsia="宋体" w:cs="宋体"/>
          <w:b w:val="0"/>
          <w:bCs w:val="0"/>
          <w:color w:val="auto"/>
          <w:sz w:val="24"/>
          <w:szCs w:val="24"/>
          <w:lang w:val="en-US" w:eastAsia="zh-CN"/>
        </w:rPr>
        <w:t>先生</w:t>
      </w:r>
    </w:p>
    <w:p w14:paraId="1CA188E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联系电话：13849567482</w:t>
      </w:r>
    </w:p>
    <w:p w14:paraId="5EEDA94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2.采购代理机构信息</w:t>
      </w:r>
      <w:bookmarkEnd w:id="23"/>
      <w:bookmarkEnd w:id="24"/>
    </w:p>
    <w:p w14:paraId="3B5C960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名    称：</w:t>
      </w:r>
      <w:r>
        <w:rPr>
          <w:rFonts w:hint="eastAsia" w:ascii="宋体" w:hAnsi="宋体" w:cs="宋体"/>
          <w:color w:val="auto"/>
          <w:sz w:val="24"/>
          <w:szCs w:val="24"/>
          <w:lang w:val="en-US" w:eastAsia="zh-CN"/>
        </w:rPr>
        <w:t>河南古基工程管理有限公司</w:t>
      </w:r>
    </w:p>
    <w:p w14:paraId="688B5A9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地    址：</w:t>
      </w:r>
      <w:r>
        <w:rPr>
          <w:rFonts w:hint="eastAsia" w:ascii="宋体" w:hAnsi="宋体" w:cs="宋体"/>
          <w:color w:val="auto"/>
          <w:sz w:val="24"/>
          <w:szCs w:val="24"/>
          <w:lang w:val="en-US" w:eastAsia="zh-CN"/>
        </w:rPr>
        <w:t>河南省安阳市汤阴县城关镇集贤路15号院</w:t>
      </w:r>
    </w:p>
    <w:p w14:paraId="73455E7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联系方式：</w:t>
      </w:r>
      <w:bookmarkStart w:id="25" w:name="_Toc28359010"/>
      <w:bookmarkStart w:id="26" w:name="_Toc28359087"/>
      <w:r>
        <w:rPr>
          <w:rFonts w:hint="eastAsia" w:ascii="宋体" w:hAnsi="宋体" w:cs="宋体"/>
          <w:color w:val="auto"/>
          <w:sz w:val="24"/>
          <w:szCs w:val="24"/>
          <w:lang w:val="en-US" w:eastAsia="zh-CN"/>
        </w:rPr>
        <w:t>15637555776</w:t>
      </w:r>
    </w:p>
    <w:p w14:paraId="32BE72F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3.项目联系方式</w:t>
      </w:r>
      <w:bookmarkEnd w:id="25"/>
      <w:bookmarkEnd w:id="26"/>
    </w:p>
    <w:p w14:paraId="2F3C14E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项目联系人：</w:t>
      </w:r>
      <w:r>
        <w:rPr>
          <w:rFonts w:hint="eastAsia" w:ascii="宋体" w:hAnsi="宋体" w:cs="宋体"/>
          <w:color w:val="auto"/>
          <w:sz w:val="24"/>
          <w:szCs w:val="24"/>
          <w:lang w:val="en-US" w:eastAsia="zh-CN"/>
        </w:rPr>
        <w:t>张</w:t>
      </w:r>
      <w:r>
        <w:rPr>
          <w:rFonts w:hint="eastAsia" w:ascii="宋体" w:hAnsi="宋体" w:eastAsia="宋体" w:cs="宋体"/>
          <w:color w:val="auto"/>
          <w:sz w:val="24"/>
          <w:szCs w:val="24"/>
          <w:lang w:val="en-US" w:eastAsia="zh-CN"/>
        </w:rPr>
        <w:t>先生</w:t>
      </w:r>
    </w:p>
    <w:p w14:paraId="3258F517">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      话：</w:t>
      </w:r>
      <w:r>
        <w:rPr>
          <w:rFonts w:hint="eastAsia" w:ascii="宋体" w:hAnsi="宋体" w:cs="宋体"/>
          <w:color w:val="auto"/>
          <w:sz w:val="24"/>
          <w:szCs w:val="24"/>
          <w:lang w:val="en-US" w:eastAsia="zh-CN"/>
        </w:rPr>
        <w:t>15637555776</w:t>
      </w:r>
    </w:p>
    <w:p w14:paraId="4071BE6A">
      <w:pPr>
        <w:pStyle w:val="30"/>
        <w:keepNext w:val="0"/>
        <w:keepLines w:val="0"/>
        <w:pageBreakBefore w:val="0"/>
        <w:kinsoku/>
        <w:wordWrap/>
        <w:overflowPunct/>
        <w:topLinePunct w:val="0"/>
        <w:bidi w:val="0"/>
        <w:spacing w:line="440" w:lineRule="exact"/>
        <w:textAlignment w:val="auto"/>
        <w:rPr>
          <w:rFonts w:hint="eastAsia" w:ascii="宋体" w:hAnsi="宋体" w:eastAsia="宋体" w:cs="宋体"/>
          <w:color w:val="auto"/>
          <w:sz w:val="24"/>
          <w:szCs w:val="24"/>
          <w:lang w:val="en-US" w:eastAsia="zh-CN"/>
        </w:rPr>
      </w:pPr>
    </w:p>
    <w:p w14:paraId="7C1BACAE">
      <w:pPr>
        <w:keepNext w:val="0"/>
        <w:keepLines w:val="0"/>
        <w:pageBreakBefore w:val="0"/>
        <w:kinsoku/>
        <w:wordWrap/>
        <w:overflowPunct/>
        <w:topLinePunct w:val="0"/>
        <w:bidi w:val="0"/>
        <w:spacing w:line="440" w:lineRule="exact"/>
        <w:ind w:firstLine="480" w:firstLineChars="200"/>
        <w:jc w:val="center"/>
        <w:textAlignment w:val="auto"/>
        <w:rPr>
          <w:rFonts w:hint="eastAsia" w:ascii="宋体" w:hAnsi="宋体" w:eastAsia="宋体" w:cs="宋体"/>
          <w:color w:val="auto"/>
          <w:sz w:val="24"/>
          <w:szCs w:val="24"/>
          <w:lang w:val="en-US" w:eastAsia="zh-CN"/>
        </w:rPr>
      </w:pPr>
    </w:p>
    <w:p w14:paraId="7F4961CD">
      <w:pPr>
        <w:keepNext w:val="0"/>
        <w:keepLines w:val="0"/>
        <w:pageBreakBefore w:val="0"/>
        <w:kinsoku/>
        <w:wordWrap/>
        <w:overflowPunct/>
        <w:topLinePunct w:val="0"/>
        <w:bidi w:val="0"/>
        <w:spacing w:line="440" w:lineRule="exact"/>
        <w:ind w:firstLine="480" w:firstLineChars="200"/>
        <w:jc w:val="center"/>
        <w:textAlignment w:val="auto"/>
        <w:rPr>
          <w:rFonts w:hint="eastAsia" w:ascii="宋体" w:hAnsi="宋体" w:eastAsia="宋体" w:cs="宋体"/>
          <w:color w:val="auto"/>
          <w:sz w:val="24"/>
          <w:szCs w:val="24"/>
          <w:lang w:val="en-US" w:eastAsia="zh-CN"/>
        </w:rPr>
      </w:pPr>
      <w:bookmarkStart w:id="848" w:name="_GoBack"/>
      <w:bookmarkEnd w:id="848"/>
    </w:p>
    <w:p w14:paraId="3E79FBA1">
      <w:pPr>
        <w:keepNext w:val="0"/>
        <w:keepLines w:val="0"/>
        <w:pageBreakBefore w:val="0"/>
        <w:kinsoku/>
        <w:wordWrap/>
        <w:overflowPunct/>
        <w:topLinePunct w:val="0"/>
        <w:bidi w:val="0"/>
        <w:spacing w:line="440" w:lineRule="exact"/>
        <w:ind w:firstLine="480" w:firstLineChars="20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温馨提示：</w:t>
      </w:r>
    </w:p>
    <w:p w14:paraId="6F32592B">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注：本项目实行在线“不见面”开标，投标人远程在线解密投标文件，不再到开标现场，投标人开标前应仔细阅读《“不见面”开标注意事项及操作流程》，本项目相关要求与《“不见面”开标注意事项及操作流程》不一致之处以《“不见面”开标注意事项及操作流程》为准。</w:t>
      </w:r>
    </w:p>
    <w:p w14:paraId="12126ABF">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本项目为全流程电子化交易项目，请认真阅读采购文件，并注意以下事项。</w:t>
      </w:r>
    </w:p>
    <w:p w14:paraId="2C88965C">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1.供应商应按招标文件规定编制、提交电子投标文件。</w:t>
      </w:r>
    </w:p>
    <w:p w14:paraId="777D71FC">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2.本项目供应商不用再提供纸质投标文件。</w:t>
      </w:r>
    </w:p>
    <w:p w14:paraId="43A6AC1F">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3.电子文件下载、制作、提交期间和开标（电子投标文件的解密）环节，供应商须使用CA数字证书（证书须在有效期内）。</w:t>
      </w:r>
    </w:p>
    <w:p w14:paraId="4C5A12F0">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4.电子投标文件的制作</w:t>
      </w:r>
    </w:p>
    <w:p w14:paraId="33E31A5C">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4.1 供应商登录《全国公共资源交易平台(河南省▪平顶山市)》公共资源交易系统（http://221.176.192.166:8080/ggzy/）下载“平顶山投标文件制作系统”，按招标文件要求制作电子投标文件。</w:t>
      </w:r>
    </w:p>
    <w:p w14:paraId="383E6C99">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电子投标文件的制作，参考《全国公共资源交易平台(河南省▪平顶山市)》公共资源交易系统——组件下载——交易系统操作手册（投标人、供应商）。</w:t>
      </w:r>
    </w:p>
    <w:p w14:paraId="1CF6CFC7">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4.2 供应商须将招标文件要求的资质、业绩、荣誉及相关人员证明材料等资料原件扫描件（或图片）制作到所提交的电子投标文件中。</w:t>
      </w:r>
    </w:p>
    <w:p w14:paraId="7CF40C85">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5.加密电子投标文件的提交</w:t>
      </w:r>
    </w:p>
    <w:p w14:paraId="3EE505FA">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5.1加密电子投标文件应在招标文件规定的投标截止时间（开标时间）之前成功提交至《全国公共资源交易平台(河南省▪平顶山市)》公共资源交易系统（http://221.176.192.166:8080/ggzy/）。</w:t>
      </w:r>
    </w:p>
    <w:p w14:paraId="7A9273E6">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供应商应充分考虑并预留技术处理和上传数据所需时间。</w:t>
      </w:r>
    </w:p>
    <w:p w14:paraId="6FD34B0E">
      <w:pPr>
        <w:pStyle w:val="9"/>
        <w:rPr>
          <w:rFonts w:hint="default"/>
          <w:color w:val="auto"/>
          <w:lang w:val="en-US" w:eastAsia="zh-CN"/>
        </w:rPr>
      </w:pPr>
    </w:p>
    <w:p w14:paraId="5CBAA3AE">
      <w:pPr>
        <w:rPr>
          <w:rFonts w:hint="default"/>
          <w:color w:val="auto"/>
          <w:lang w:val="en-US" w:eastAsia="zh-CN"/>
        </w:rPr>
      </w:pPr>
    </w:p>
    <w:p w14:paraId="7B10AE4B">
      <w:pPr>
        <w:pStyle w:val="2"/>
        <w:spacing w:before="120" w:after="120" w:line="360" w:lineRule="auto"/>
        <w:jc w:val="center"/>
        <w:rPr>
          <w:rFonts w:hint="eastAsia" w:ascii="Times New Roman" w:hAnsi="Times New Roman" w:eastAsia="宋体" w:cs="Times New Roman"/>
          <w:b/>
          <w:bCs/>
          <w:color w:val="auto"/>
          <w:kern w:val="0"/>
          <w:sz w:val="36"/>
          <w:szCs w:val="36"/>
          <w:lang w:val="en-US" w:eastAsia="zh-CN"/>
        </w:rPr>
      </w:pPr>
      <w:bookmarkStart w:id="27" w:name="_Toc16932"/>
      <w:bookmarkStart w:id="28" w:name="_Toc11392"/>
      <w:bookmarkStart w:id="29" w:name="_Toc12353"/>
      <w:r>
        <w:rPr>
          <w:rFonts w:hint="eastAsia" w:ascii="Times New Roman" w:hAnsi="Times New Roman" w:eastAsia="宋体" w:cs="Times New Roman"/>
          <w:b/>
          <w:bCs/>
          <w:color w:val="auto"/>
          <w:kern w:val="0"/>
          <w:sz w:val="36"/>
          <w:szCs w:val="36"/>
          <w:lang w:val="en-US" w:eastAsia="zh-CN"/>
        </w:rPr>
        <w:t>第二章 供应商须知</w:t>
      </w:r>
      <w:bookmarkEnd w:id="27"/>
      <w:bookmarkEnd w:id="28"/>
      <w:bookmarkEnd w:id="29"/>
    </w:p>
    <w:p w14:paraId="46F7B264">
      <w:pPr>
        <w:keepNext w:val="0"/>
        <w:keepLines w:val="0"/>
        <w:pageBreakBefore w:val="0"/>
        <w:widowControl w:val="0"/>
        <w:kinsoku/>
        <w:wordWrap/>
        <w:overflowPunct/>
        <w:topLinePunct w:val="0"/>
        <w:autoSpaceDE/>
        <w:autoSpaceDN/>
        <w:bidi w:val="0"/>
        <w:adjustRightInd/>
        <w:snapToGrid/>
        <w:spacing w:before="156" w:beforeLines="50" w:after="156" w:afterLines="50" w:line="420" w:lineRule="exact"/>
        <w:ind w:left="0" w:leftChars="0" w:right="0" w:rightChars="0"/>
        <w:jc w:val="center"/>
        <w:textAlignment w:val="auto"/>
        <w:outlineLvl w:val="9"/>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lang w:eastAsia="zh-CN"/>
        </w:rPr>
        <w:t>一．供应商须知前附表</w:t>
      </w:r>
      <w:bookmarkEnd w:id="4"/>
      <w:bookmarkEnd w:id="5"/>
      <w:bookmarkEnd w:id="6"/>
    </w:p>
    <w:tbl>
      <w:tblPr>
        <w:tblStyle w:val="18"/>
        <w:tblW w:w="9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2236"/>
        <w:gridCol w:w="6329"/>
      </w:tblGrid>
      <w:tr w14:paraId="16AF0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2A325A42">
            <w:pPr>
              <w:wordWrap/>
              <w:topLinePunct w:val="0"/>
              <w:spacing w:line="360" w:lineRule="auto"/>
              <w:jc w:val="center"/>
              <w:rPr>
                <w:color w:val="auto"/>
              </w:rPr>
            </w:pPr>
            <w:r>
              <w:rPr>
                <w:rFonts w:hint="eastAsia"/>
                <w:color w:val="auto"/>
              </w:rPr>
              <w:t>序号</w:t>
            </w:r>
          </w:p>
        </w:tc>
        <w:tc>
          <w:tcPr>
            <w:tcW w:w="2236" w:type="dxa"/>
            <w:noWrap w:val="0"/>
            <w:vAlign w:val="center"/>
          </w:tcPr>
          <w:p w14:paraId="5CB91B04">
            <w:pPr>
              <w:wordWrap/>
              <w:topLinePunct w:val="0"/>
              <w:spacing w:line="360" w:lineRule="auto"/>
              <w:jc w:val="center"/>
              <w:rPr>
                <w:color w:val="auto"/>
              </w:rPr>
            </w:pPr>
            <w:r>
              <w:rPr>
                <w:rFonts w:hint="eastAsia"/>
                <w:color w:val="auto"/>
              </w:rPr>
              <w:t>条</w:t>
            </w:r>
            <w:r>
              <w:rPr>
                <w:color w:val="auto"/>
              </w:rPr>
              <w:t xml:space="preserve"> </w:t>
            </w:r>
            <w:r>
              <w:rPr>
                <w:rFonts w:hint="eastAsia"/>
                <w:color w:val="auto"/>
              </w:rPr>
              <w:t>款</w:t>
            </w:r>
            <w:r>
              <w:rPr>
                <w:color w:val="auto"/>
              </w:rPr>
              <w:t xml:space="preserve"> </w:t>
            </w:r>
            <w:r>
              <w:rPr>
                <w:rFonts w:hint="eastAsia"/>
                <w:color w:val="auto"/>
              </w:rPr>
              <w:t>名</w:t>
            </w:r>
            <w:r>
              <w:rPr>
                <w:color w:val="auto"/>
              </w:rPr>
              <w:t xml:space="preserve"> </w:t>
            </w:r>
            <w:r>
              <w:rPr>
                <w:rFonts w:hint="eastAsia"/>
                <w:color w:val="auto"/>
              </w:rPr>
              <w:t>称</w:t>
            </w:r>
          </w:p>
        </w:tc>
        <w:tc>
          <w:tcPr>
            <w:tcW w:w="6329" w:type="dxa"/>
            <w:noWrap w:val="0"/>
            <w:vAlign w:val="center"/>
          </w:tcPr>
          <w:p w14:paraId="7CD959D2">
            <w:pPr>
              <w:wordWrap/>
              <w:topLinePunct w:val="0"/>
              <w:spacing w:line="360" w:lineRule="auto"/>
              <w:jc w:val="center"/>
              <w:rPr>
                <w:color w:val="auto"/>
              </w:rPr>
            </w:pPr>
            <w:r>
              <w:rPr>
                <w:rFonts w:hint="eastAsia"/>
                <w:color w:val="auto"/>
              </w:rPr>
              <w:t>编</w:t>
            </w:r>
            <w:r>
              <w:rPr>
                <w:color w:val="auto"/>
              </w:rPr>
              <w:t xml:space="preserve"> </w:t>
            </w:r>
            <w:r>
              <w:rPr>
                <w:rFonts w:hint="eastAsia"/>
                <w:color w:val="auto"/>
              </w:rPr>
              <w:t>列</w:t>
            </w:r>
            <w:r>
              <w:rPr>
                <w:color w:val="auto"/>
              </w:rPr>
              <w:t xml:space="preserve"> </w:t>
            </w:r>
            <w:r>
              <w:rPr>
                <w:rFonts w:hint="eastAsia"/>
                <w:color w:val="auto"/>
              </w:rPr>
              <w:t>内</w:t>
            </w:r>
            <w:r>
              <w:rPr>
                <w:color w:val="auto"/>
              </w:rPr>
              <w:t xml:space="preserve"> </w:t>
            </w:r>
            <w:r>
              <w:rPr>
                <w:rFonts w:hint="eastAsia"/>
                <w:color w:val="auto"/>
              </w:rPr>
              <w:t>容</w:t>
            </w:r>
          </w:p>
        </w:tc>
      </w:tr>
      <w:tr w14:paraId="0191A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570C38E8">
            <w:pPr>
              <w:wordWrap/>
              <w:topLinePunct w:val="0"/>
              <w:spacing w:line="360" w:lineRule="auto"/>
              <w:rPr>
                <w:color w:val="auto"/>
              </w:rPr>
            </w:pPr>
            <w:r>
              <w:rPr>
                <w:rFonts w:hint="eastAsia"/>
                <w:color w:val="auto"/>
              </w:rPr>
              <w:t>1.1.2</w:t>
            </w:r>
          </w:p>
        </w:tc>
        <w:tc>
          <w:tcPr>
            <w:tcW w:w="2236" w:type="dxa"/>
            <w:noWrap w:val="0"/>
            <w:vAlign w:val="center"/>
          </w:tcPr>
          <w:p w14:paraId="1DF2CB2A">
            <w:pPr>
              <w:wordWrap/>
              <w:topLinePunct w:val="0"/>
              <w:spacing w:line="360" w:lineRule="auto"/>
              <w:rPr>
                <w:rFonts w:hint="eastAsia"/>
                <w:color w:val="auto"/>
                <w:lang w:val="en-US" w:eastAsia="zh-CN"/>
              </w:rPr>
            </w:pPr>
            <w:r>
              <w:rPr>
                <w:rFonts w:hint="eastAsia"/>
                <w:color w:val="auto"/>
                <w:lang w:val="en-US" w:eastAsia="zh-CN"/>
              </w:rPr>
              <w:t>采购人</w:t>
            </w:r>
          </w:p>
        </w:tc>
        <w:tc>
          <w:tcPr>
            <w:tcW w:w="6329" w:type="dxa"/>
            <w:noWrap w:val="0"/>
            <w:vAlign w:val="center"/>
          </w:tcPr>
          <w:p w14:paraId="09E1A6F1">
            <w:pPr>
              <w:wordWrap/>
              <w:topLinePunct w:val="0"/>
              <w:spacing w:line="360" w:lineRule="auto"/>
              <w:rPr>
                <w:rFonts w:hint="eastAsia"/>
                <w:color w:val="auto"/>
                <w:lang w:val="en-US" w:eastAsia="zh-CN"/>
              </w:rPr>
            </w:pPr>
            <w:r>
              <w:rPr>
                <w:rFonts w:hint="eastAsia"/>
                <w:color w:val="auto"/>
                <w:lang w:val="en-US" w:eastAsia="zh-CN"/>
              </w:rPr>
              <w:t>采购人：郏县人民医院</w:t>
            </w:r>
          </w:p>
          <w:p w14:paraId="15673F48">
            <w:pPr>
              <w:wordWrap/>
              <w:topLinePunct w:val="0"/>
              <w:spacing w:line="360" w:lineRule="auto"/>
              <w:rPr>
                <w:rFonts w:hint="default"/>
                <w:color w:val="auto"/>
                <w:lang w:val="en-US" w:eastAsia="zh-CN"/>
              </w:rPr>
            </w:pPr>
            <w:r>
              <w:rPr>
                <w:rFonts w:hint="eastAsia"/>
                <w:color w:val="auto"/>
                <w:lang w:val="en-US" w:eastAsia="zh-CN"/>
              </w:rPr>
              <w:t>地    址：郏县南环路</w:t>
            </w:r>
          </w:p>
          <w:p w14:paraId="72904980">
            <w:pPr>
              <w:wordWrap/>
              <w:topLinePunct w:val="0"/>
              <w:spacing w:line="360" w:lineRule="auto"/>
              <w:rPr>
                <w:rFonts w:hint="default"/>
                <w:color w:val="auto"/>
                <w:lang w:val="en-US" w:eastAsia="zh-CN"/>
              </w:rPr>
            </w:pPr>
            <w:r>
              <w:rPr>
                <w:rFonts w:hint="eastAsia"/>
                <w:color w:val="auto"/>
                <w:lang w:val="en-US" w:eastAsia="zh-CN"/>
              </w:rPr>
              <w:t>联 系 人：张先生</w:t>
            </w:r>
          </w:p>
          <w:p w14:paraId="1D3AF29C">
            <w:pPr>
              <w:wordWrap/>
              <w:topLinePunct w:val="0"/>
              <w:spacing w:line="360" w:lineRule="auto"/>
              <w:rPr>
                <w:rFonts w:hint="default"/>
                <w:color w:val="auto"/>
                <w:lang w:val="en-US" w:eastAsia="zh-CN"/>
              </w:rPr>
            </w:pPr>
            <w:r>
              <w:rPr>
                <w:rFonts w:hint="eastAsia"/>
                <w:color w:val="auto"/>
                <w:lang w:val="en-US" w:eastAsia="zh-CN"/>
              </w:rPr>
              <w:t>电  话：</w:t>
            </w:r>
            <w:r>
              <w:rPr>
                <w:rFonts w:hint="eastAsia" w:ascii="宋体" w:hAnsi="宋体" w:eastAsia="宋体" w:cs="Times New Roman"/>
                <w:color w:val="auto"/>
                <w:lang w:val="en-US" w:eastAsia="zh-CN"/>
              </w:rPr>
              <w:t>13849567482</w:t>
            </w:r>
          </w:p>
        </w:tc>
      </w:tr>
      <w:tr w14:paraId="05C9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265AD98F">
            <w:pPr>
              <w:wordWrap/>
              <w:topLinePunct w:val="0"/>
              <w:spacing w:line="360" w:lineRule="auto"/>
              <w:rPr>
                <w:color w:val="auto"/>
              </w:rPr>
            </w:pPr>
            <w:r>
              <w:rPr>
                <w:rFonts w:hint="eastAsia"/>
                <w:color w:val="auto"/>
              </w:rPr>
              <w:t>1.1.3</w:t>
            </w:r>
          </w:p>
        </w:tc>
        <w:tc>
          <w:tcPr>
            <w:tcW w:w="2236" w:type="dxa"/>
            <w:noWrap w:val="0"/>
            <w:vAlign w:val="center"/>
          </w:tcPr>
          <w:p w14:paraId="625C7A52">
            <w:pPr>
              <w:wordWrap/>
              <w:topLinePunct w:val="0"/>
              <w:spacing w:line="360" w:lineRule="auto"/>
              <w:jc w:val="center"/>
              <w:rPr>
                <w:color w:val="auto"/>
              </w:rPr>
            </w:pPr>
            <w:r>
              <w:rPr>
                <w:rFonts w:hint="eastAsia"/>
                <w:color w:val="auto"/>
              </w:rPr>
              <w:t>采购代理机构</w:t>
            </w:r>
          </w:p>
        </w:tc>
        <w:tc>
          <w:tcPr>
            <w:tcW w:w="6329" w:type="dxa"/>
            <w:noWrap w:val="0"/>
            <w:vAlign w:val="center"/>
          </w:tcPr>
          <w:p w14:paraId="30123273">
            <w:pPr>
              <w:wordWrap/>
              <w:topLinePunct w:val="0"/>
              <w:spacing w:line="360" w:lineRule="auto"/>
              <w:rPr>
                <w:rFonts w:hint="eastAsia" w:eastAsia="宋体"/>
                <w:color w:val="auto"/>
                <w:lang w:eastAsia="zh-CN"/>
              </w:rPr>
            </w:pPr>
            <w:r>
              <w:rPr>
                <w:rFonts w:hint="eastAsia"/>
                <w:color w:val="auto"/>
              </w:rPr>
              <w:t>采购代理机构：</w:t>
            </w:r>
            <w:r>
              <w:rPr>
                <w:rFonts w:hint="eastAsia"/>
                <w:color w:val="auto"/>
                <w:lang w:eastAsia="zh-CN"/>
              </w:rPr>
              <w:t>河南古基工程管理有限公司</w:t>
            </w:r>
          </w:p>
          <w:p w14:paraId="1988F4D0">
            <w:pPr>
              <w:wordWrap/>
              <w:topLinePunct w:val="0"/>
              <w:spacing w:line="360" w:lineRule="auto"/>
              <w:rPr>
                <w:rFonts w:hint="eastAsia" w:eastAsia="宋体"/>
                <w:color w:val="auto"/>
                <w:lang w:eastAsia="zh-CN"/>
              </w:rPr>
            </w:pPr>
            <w:r>
              <w:rPr>
                <w:rFonts w:hint="eastAsia"/>
                <w:color w:val="auto"/>
              </w:rPr>
              <w:t>地址：</w:t>
            </w:r>
            <w:r>
              <w:rPr>
                <w:rFonts w:hint="eastAsia"/>
                <w:color w:val="auto"/>
                <w:lang w:eastAsia="zh-CN"/>
              </w:rPr>
              <w:t>河南省安阳市汤阴县城关镇集贤路15号院</w:t>
            </w:r>
          </w:p>
          <w:p w14:paraId="3527EF68">
            <w:pPr>
              <w:wordWrap/>
              <w:topLinePunct w:val="0"/>
              <w:spacing w:line="360" w:lineRule="auto"/>
              <w:rPr>
                <w:rFonts w:hint="default" w:eastAsia="宋体"/>
                <w:color w:val="auto"/>
                <w:lang w:val="en-US" w:eastAsia="zh-CN"/>
              </w:rPr>
            </w:pPr>
            <w:r>
              <w:rPr>
                <w:rFonts w:hint="eastAsia"/>
                <w:color w:val="auto"/>
              </w:rPr>
              <w:t>联系人：</w:t>
            </w:r>
            <w:r>
              <w:rPr>
                <w:rFonts w:hint="eastAsia"/>
                <w:color w:val="auto"/>
                <w:lang w:val="en-US" w:eastAsia="zh-CN"/>
              </w:rPr>
              <w:t>张先生</w:t>
            </w:r>
          </w:p>
          <w:p w14:paraId="52B44582">
            <w:pPr>
              <w:wordWrap/>
              <w:topLinePunct w:val="0"/>
              <w:spacing w:line="360" w:lineRule="auto"/>
              <w:rPr>
                <w:rFonts w:hint="default" w:eastAsia="宋体"/>
                <w:color w:val="auto"/>
                <w:lang w:val="en-US" w:eastAsia="zh-CN"/>
              </w:rPr>
            </w:pPr>
            <w:r>
              <w:rPr>
                <w:rFonts w:hint="eastAsia"/>
                <w:color w:val="auto"/>
              </w:rPr>
              <w:t>联系方式：</w:t>
            </w:r>
            <w:r>
              <w:rPr>
                <w:rFonts w:hint="eastAsia"/>
                <w:color w:val="auto"/>
                <w:lang w:val="en-US" w:eastAsia="zh-CN"/>
              </w:rPr>
              <w:t>15637555776</w:t>
            </w:r>
          </w:p>
        </w:tc>
      </w:tr>
      <w:tr w14:paraId="1DFC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74" w:type="dxa"/>
            <w:noWrap w:val="0"/>
            <w:vAlign w:val="center"/>
          </w:tcPr>
          <w:p w14:paraId="10713B50">
            <w:pPr>
              <w:wordWrap/>
              <w:topLinePunct w:val="0"/>
              <w:spacing w:line="360" w:lineRule="auto"/>
              <w:rPr>
                <w:color w:val="auto"/>
              </w:rPr>
            </w:pPr>
            <w:r>
              <w:rPr>
                <w:rFonts w:hint="eastAsia"/>
                <w:color w:val="auto"/>
              </w:rPr>
              <w:t>1.1.4</w:t>
            </w:r>
          </w:p>
        </w:tc>
        <w:tc>
          <w:tcPr>
            <w:tcW w:w="2236" w:type="dxa"/>
            <w:noWrap w:val="0"/>
            <w:vAlign w:val="center"/>
          </w:tcPr>
          <w:p w14:paraId="0B34CC32">
            <w:pPr>
              <w:wordWrap/>
              <w:topLinePunct w:val="0"/>
              <w:spacing w:line="360" w:lineRule="auto"/>
              <w:jc w:val="center"/>
              <w:rPr>
                <w:color w:val="auto"/>
              </w:rPr>
            </w:pPr>
            <w:r>
              <w:rPr>
                <w:rFonts w:hint="eastAsia"/>
                <w:color w:val="auto"/>
              </w:rPr>
              <w:t>采购方式</w:t>
            </w:r>
          </w:p>
        </w:tc>
        <w:tc>
          <w:tcPr>
            <w:tcW w:w="6329" w:type="dxa"/>
            <w:noWrap w:val="0"/>
            <w:vAlign w:val="center"/>
          </w:tcPr>
          <w:p w14:paraId="0F810F1E">
            <w:pPr>
              <w:wordWrap/>
              <w:topLinePunct w:val="0"/>
              <w:spacing w:line="360" w:lineRule="auto"/>
              <w:rPr>
                <w:color w:val="auto"/>
              </w:rPr>
            </w:pPr>
            <w:r>
              <w:rPr>
                <w:rFonts w:hint="eastAsia"/>
                <w:color w:val="auto"/>
              </w:rPr>
              <w:t>竞争性磋商</w:t>
            </w:r>
          </w:p>
        </w:tc>
      </w:tr>
      <w:tr w14:paraId="036F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974" w:type="dxa"/>
            <w:noWrap w:val="0"/>
            <w:vAlign w:val="center"/>
          </w:tcPr>
          <w:p w14:paraId="1A4A21CB">
            <w:pPr>
              <w:wordWrap/>
              <w:topLinePunct w:val="0"/>
              <w:spacing w:line="360" w:lineRule="auto"/>
              <w:rPr>
                <w:color w:val="auto"/>
              </w:rPr>
            </w:pPr>
            <w:r>
              <w:rPr>
                <w:rFonts w:hint="eastAsia"/>
                <w:color w:val="auto"/>
              </w:rPr>
              <w:t>1.1.5</w:t>
            </w:r>
          </w:p>
        </w:tc>
        <w:tc>
          <w:tcPr>
            <w:tcW w:w="2236" w:type="dxa"/>
            <w:noWrap w:val="0"/>
            <w:vAlign w:val="center"/>
          </w:tcPr>
          <w:p w14:paraId="2A1A0A2E">
            <w:pPr>
              <w:wordWrap/>
              <w:topLinePunct w:val="0"/>
              <w:spacing w:line="360" w:lineRule="auto"/>
              <w:jc w:val="center"/>
              <w:rPr>
                <w:color w:val="auto"/>
              </w:rPr>
            </w:pPr>
            <w:r>
              <w:rPr>
                <w:rFonts w:hint="eastAsia"/>
                <w:color w:val="auto"/>
              </w:rPr>
              <w:t>项目名称</w:t>
            </w:r>
          </w:p>
        </w:tc>
        <w:tc>
          <w:tcPr>
            <w:tcW w:w="6329" w:type="dxa"/>
            <w:noWrap w:val="0"/>
            <w:vAlign w:val="center"/>
          </w:tcPr>
          <w:p w14:paraId="4DFA8E2B">
            <w:pPr>
              <w:wordWrap/>
              <w:topLinePunct w:val="0"/>
              <w:spacing w:line="360" w:lineRule="auto"/>
              <w:rPr>
                <w:color w:val="auto"/>
              </w:rPr>
            </w:pPr>
            <w:r>
              <w:rPr>
                <w:rFonts w:hint="eastAsia"/>
                <w:color w:val="auto"/>
                <w:lang w:val="en-US" w:eastAsia="zh-CN"/>
              </w:rPr>
              <w:t>郏县</w:t>
            </w:r>
            <w:r>
              <w:rPr>
                <w:rFonts w:hint="eastAsia"/>
                <w:color w:val="auto"/>
              </w:rPr>
              <w:t>人民医院</w:t>
            </w:r>
            <w:r>
              <w:rPr>
                <w:rFonts w:hint="eastAsia"/>
                <w:color w:val="auto"/>
                <w:lang w:val="en-US" w:eastAsia="zh-CN"/>
              </w:rPr>
              <w:t>2025年</w:t>
            </w:r>
            <w:r>
              <w:rPr>
                <w:rFonts w:hint="eastAsia"/>
                <w:color w:val="auto"/>
              </w:rPr>
              <w:t>医疗责任险采购项目</w:t>
            </w:r>
          </w:p>
        </w:tc>
      </w:tr>
      <w:tr w14:paraId="420E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74" w:type="dxa"/>
            <w:noWrap w:val="0"/>
            <w:vAlign w:val="center"/>
          </w:tcPr>
          <w:p w14:paraId="5056A22D">
            <w:pPr>
              <w:wordWrap/>
              <w:topLinePunct w:val="0"/>
              <w:spacing w:line="360" w:lineRule="auto"/>
              <w:rPr>
                <w:color w:val="auto"/>
              </w:rPr>
            </w:pPr>
            <w:r>
              <w:rPr>
                <w:rFonts w:hint="eastAsia"/>
                <w:color w:val="auto"/>
              </w:rPr>
              <w:t>1.2.1</w:t>
            </w:r>
          </w:p>
        </w:tc>
        <w:tc>
          <w:tcPr>
            <w:tcW w:w="2236" w:type="dxa"/>
            <w:noWrap w:val="0"/>
            <w:vAlign w:val="center"/>
          </w:tcPr>
          <w:p w14:paraId="0B26B85E">
            <w:pPr>
              <w:wordWrap/>
              <w:topLinePunct w:val="0"/>
              <w:spacing w:line="360" w:lineRule="auto"/>
              <w:jc w:val="center"/>
              <w:rPr>
                <w:color w:val="auto"/>
              </w:rPr>
            </w:pPr>
            <w:r>
              <w:rPr>
                <w:rFonts w:hint="eastAsia"/>
                <w:color w:val="auto"/>
              </w:rPr>
              <w:t>资金来源</w:t>
            </w:r>
          </w:p>
        </w:tc>
        <w:tc>
          <w:tcPr>
            <w:tcW w:w="6329" w:type="dxa"/>
            <w:noWrap w:val="0"/>
            <w:vAlign w:val="center"/>
          </w:tcPr>
          <w:p w14:paraId="6B7995B9">
            <w:pPr>
              <w:wordWrap/>
              <w:topLinePunct w:val="0"/>
              <w:spacing w:line="360" w:lineRule="auto"/>
              <w:rPr>
                <w:color w:val="auto"/>
              </w:rPr>
            </w:pPr>
            <w:r>
              <w:rPr>
                <w:rFonts w:hint="eastAsia"/>
                <w:b/>
                <w:color w:val="auto"/>
              </w:rPr>
              <w:t xml:space="preserve"> </w:t>
            </w:r>
            <w:r>
              <w:rPr>
                <w:rFonts w:hint="eastAsia"/>
                <w:color w:val="auto"/>
              </w:rPr>
              <w:t>自筹资金</w:t>
            </w:r>
          </w:p>
        </w:tc>
      </w:tr>
      <w:tr w14:paraId="5375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74" w:type="dxa"/>
            <w:noWrap w:val="0"/>
            <w:vAlign w:val="center"/>
          </w:tcPr>
          <w:p w14:paraId="6E783494">
            <w:pPr>
              <w:wordWrap/>
              <w:topLinePunct w:val="0"/>
              <w:spacing w:line="360" w:lineRule="auto"/>
              <w:rPr>
                <w:color w:val="auto"/>
              </w:rPr>
            </w:pPr>
            <w:r>
              <w:rPr>
                <w:rFonts w:hint="eastAsia"/>
                <w:color w:val="auto"/>
              </w:rPr>
              <w:t>1.2.2</w:t>
            </w:r>
          </w:p>
        </w:tc>
        <w:tc>
          <w:tcPr>
            <w:tcW w:w="2236" w:type="dxa"/>
            <w:noWrap w:val="0"/>
            <w:vAlign w:val="center"/>
          </w:tcPr>
          <w:p w14:paraId="0D65C2AF">
            <w:pPr>
              <w:wordWrap/>
              <w:topLinePunct w:val="0"/>
              <w:spacing w:line="360" w:lineRule="auto"/>
              <w:jc w:val="center"/>
              <w:rPr>
                <w:color w:val="auto"/>
              </w:rPr>
            </w:pPr>
            <w:r>
              <w:rPr>
                <w:rFonts w:hint="eastAsia"/>
                <w:color w:val="auto"/>
              </w:rPr>
              <w:t>采购预算金额</w:t>
            </w:r>
          </w:p>
        </w:tc>
        <w:tc>
          <w:tcPr>
            <w:tcW w:w="6329" w:type="dxa"/>
            <w:noWrap w:val="0"/>
            <w:vAlign w:val="center"/>
          </w:tcPr>
          <w:p w14:paraId="1681FDC5">
            <w:pPr>
              <w:wordWrap/>
              <w:topLinePunct w:val="0"/>
              <w:spacing w:line="360" w:lineRule="auto"/>
              <w:rPr>
                <w:color w:val="auto"/>
              </w:rPr>
            </w:pPr>
            <w:r>
              <w:rPr>
                <w:rFonts w:hint="eastAsia"/>
                <w:b/>
                <w:color w:val="auto"/>
              </w:rPr>
              <w:t>5</w:t>
            </w:r>
            <w:r>
              <w:rPr>
                <w:rFonts w:hint="eastAsia"/>
                <w:b/>
                <w:color w:val="auto"/>
                <w:lang w:val="en-US" w:eastAsia="zh-CN"/>
              </w:rPr>
              <w:t>5</w:t>
            </w:r>
            <w:r>
              <w:rPr>
                <w:b/>
                <w:color w:val="auto"/>
              </w:rPr>
              <w:t>0000.00元</w:t>
            </w:r>
          </w:p>
        </w:tc>
      </w:tr>
      <w:tr w14:paraId="3F8D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74" w:type="dxa"/>
            <w:noWrap w:val="0"/>
            <w:vAlign w:val="center"/>
          </w:tcPr>
          <w:p w14:paraId="1B379FE6">
            <w:pPr>
              <w:wordWrap/>
              <w:topLinePunct w:val="0"/>
              <w:spacing w:line="360" w:lineRule="auto"/>
              <w:rPr>
                <w:color w:val="auto"/>
              </w:rPr>
            </w:pPr>
            <w:r>
              <w:rPr>
                <w:rFonts w:hint="eastAsia"/>
                <w:color w:val="auto"/>
              </w:rPr>
              <w:t>1.2.3</w:t>
            </w:r>
          </w:p>
        </w:tc>
        <w:tc>
          <w:tcPr>
            <w:tcW w:w="2236" w:type="dxa"/>
            <w:noWrap w:val="0"/>
            <w:vAlign w:val="center"/>
          </w:tcPr>
          <w:p w14:paraId="2B74B8AE">
            <w:pPr>
              <w:wordWrap/>
              <w:topLinePunct w:val="0"/>
              <w:spacing w:line="360" w:lineRule="auto"/>
              <w:jc w:val="center"/>
              <w:rPr>
                <w:color w:val="auto"/>
              </w:rPr>
            </w:pPr>
            <w:r>
              <w:rPr>
                <w:rFonts w:hint="eastAsia"/>
                <w:color w:val="auto"/>
              </w:rPr>
              <w:t>采购项目性质</w:t>
            </w:r>
          </w:p>
        </w:tc>
        <w:tc>
          <w:tcPr>
            <w:tcW w:w="6329" w:type="dxa"/>
            <w:noWrap w:val="0"/>
            <w:vAlign w:val="top"/>
          </w:tcPr>
          <w:p w14:paraId="5AE908C2">
            <w:pPr>
              <w:wordWrap/>
              <w:topLinePunct w:val="0"/>
              <w:spacing w:line="360" w:lineRule="auto"/>
              <w:rPr>
                <w:color w:val="auto"/>
              </w:rPr>
            </w:pPr>
            <w:r>
              <w:rPr>
                <w:rFonts w:hint="eastAsia"/>
                <w:color w:val="auto"/>
              </w:rPr>
              <w:t>服务</w:t>
            </w:r>
          </w:p>
        </w:tc>
      </w:tr>
      <w:tr w14:paraId="7CA18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74" w:type="dxa"/>
            <w:noWrap w:val="0"/>
            <w:vAlign w:val="center"/>
          </w:tcPr>
          <w:p w14:paraId="3D140A90">
            <w:pPr>
              <w:wordWrap/>
              <w:topLinePunct w:val="0"/>
              <w:spacing w:line="360" w:lineRule="auto"/>
              <w:rPr>
                <w:color w:val="auto"/>
              </w:rPr>
            </w:pPr>
            <w:r>
              <w:rPr>
                <w:rFonts w:hint="eastAsia"/>
                <w:color w:val="auto"/>
              </w:rPr>
              <w:t>1.2.4</w:t>
            </w:r>
          </w:p>
        </w:tc>
        <w:tc>
          <w:tcPr>
            <w:tcW w:w="2236" w:type="dxa"/>
            <w:noWrap w:val="0"/>
            <w:vAlign w:val="center"/>
          </w:tcPr>
          <w:p w14:paraId="57D930B2">
            <w:pPr>
              <w:wordWrap/>
              <w:topLinePunct w:val="0"/>
              <w:spacing w:line="360" w:lineRule="auto"/>
              <w:jc w:val="center"/>
              <w:rPr>
                <w:color w:val="auto"/>
              </w:rPr>
            </w:pPr>
            <w:r>
              <w:rPr>
                <w:rFonts w:hint="eastAsia"/>
                <w:color w:val="auto"/>
              </w:rPr>
              <w:t>资金落实情况</w:t>
            </w:r>
          </w:p>
        </w:tc>
        <w:tc>
          <w:tcPr>
            <w:tcW w:w="6329" w:type="dxa"/>
            <w:noWrap w:val="0"/>
            <w:vAlign w:val="top"/>
          </w:tcPr>
          <w:p w14:paraId="650F99FB">
            <w:pPr>
              <w:wordWrap/>
              <w:topLinePunct w:val="0"/>
              <w:spacing w:line="360" w:lineRule="auto"/>
              <w:rPr>
                <w:color w:val="auto"/>
              </w:rPr>
            </w:pPr>
            <w:r>
              <w:rPr>
                <w:rFonts w:hint="eastAsia"/>
                <w:b/>
                <w:color w:val="auto"/>
              </w:rPr>
              <w:t>已落实</w:t>
            </w:r>
          </w:p>
        </w:tc>
      </w:tr>
      <w:tr w14:paraId="1F678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74" w:type="dxa"/>
            <w:noWrap w:val="0"/>
            <w:vAlign w:val="center"/>
          </w:tcPr>
          <w:p w14:paraId="324CE2B6">
            <w:pPr>
              <w:wordWrap/>
              <w:topLinePunct w:val="0"/>
              <w:spacing w:line="360" w:lineRule="auto"/>
              <w:rPr>
                <w:color w:val="auto"/>
              </w:rPr>
            </w:pPr>
            <w:r>
              <w:rPr>
                <w:rFonts w:hint="eastAsia"/>
                <w:color w:val="auto"/>
              </w:rPr>
              <w:t>1.3.1</w:t>
            </w:r>
          </w:p>
        </w:tc>
        <w:tc>
          <w:tcPr>
            <w:tcW w:w="2236" w:type="dxa"/>
            <w:noWrap w:val="0"/>
            <w:vAlign w:val="center"/>
          </w:tcPr>
          <w:p w14:paraId="03430A44">
            <w:pPr>
              <w:wordWrap/>
              <w:topLinePunct w:val="0"/>
              <w:spacing w:line="360" w:lineRule="auto"/>
              <w:jc w:val="center"/>
              <w:rPr>
                <w:color w:val="auto"/>
              </w:rPr>
            </w:pPr>
            <w:r>
              <w:rPr>
                <w:rFonts w:hint="eastAsia"/>
                <w:color w:val="auto"/>
              </w:rPr>
              <w:t>采购范围</w:t>
            </w:r>
          </w:p>
        </w:tc>
        <w:tc>
          <w:tcPr>
            <w:tcW w:w="6329" w:type="dxa"/>
            <w:noWrap w:val="0"/>
            <w:vAlign w:val="top"/>
          </w:tcPr>
          <w:p w14:paraId="3C4CBBA7">
            <w:pPr>
              <w:wordWrap/>
              <w:topLinePunct w:val="0"/>
              <w:spacing w:line="360" w:lineRule="auto"/>
              <w:rPr>
                <w:color w:val="auto"/>
              </w:rPr>
            </w:pPr>
            <w:r>
              <w:rPr>
                <w:rFonts w:hint="eastAsia"/>
                <w:bCs/>
                <w:color w:val="auto"/>
              </w:rPr>
              <w:t>采购</w:t>
            </w:r>
            <w:r>
              <w:rPr>
                <w:rFonts w:hint="eastAsia"/>
                <w:bCs/>
                <w:color w:val="auto"/>
                <w:lang w:eastAsia="zh-CN"/>
              </w:rPr>
              <w:t>2025年</w:t>
            </w:r>
            <w:r>
              <w:rPr>
                <w:rFonts w:hint="eastAsia"/>
                <w:bCs/>
                <w:color w:val="auto"/>
              </w:rPr>
              <w:t>医疗责任险等，具体服务内容及要求详见磋商文件</w:t>
            </w:r>
          </w:p>
        </w:tc>
      </w:tr>
      <w:tr w14:paraId="2DE6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974" w:type="dxa"/>
            <w:noWrap w:val="0"/>
            <w:vAlign w:val="center"/>
          </w:tcPr>
          <w:p w14:paraId="65F9DF67">
            <w:pPr>
              <w:wordWrap/>
              <w:topLinePunct w:val="0"/>
              <w:spacing w:line="360" w:lineRule="auto"/>
              <w:rPr>
                <w:color w:val="auto"/>
              </w:rPr>
            </w:pPr>
            <w:r>
              <w:rPr>
                <w:rFonts w:hint="eastAsia"/>
                <w:color w:val="auto"/>
              </w:rPr>
              <w:t>1.3.2</w:t>
            </w:r>
          </w:p>
        </w:tc>
        <w:tc>
          <w:tcPr>
            <w:tcW w:w="2236" w:type="dxa"/>
            <w:noWrap w:val="0"/>
            <w:vAlign w:val="center"/>
          </w:tcPr>
          <w:p w14:paraId="076DCDE9">
            <w:pPr>
              <w:wordWrap/>
              <w:topLinePunct w:val="0"/>
              <w:spacing w:line="360" w:lineRule="auto"/>
              <w:jc w:val="center"/>
              <w:rPr>
                <w:color w:val="auto"/>
              </w:rPr>
            </w:pPr>
            <w:r>
              <w:rPr>
                <w:color w:val="auto"/>
              </w:rPr>
              <w:t>服务期限</w:t>
            </w:r>
          </w:p>
        </w:tc>
        <w:tc>
          <w:tcPr>
            <w:tcW w:w="6329" w:type="dxa"/>
            <w:noWrap w:val="0"/>
            <w:vAlign w:val="top"/>
          </w:tcPr>
          <w:p w14:paraId="309304C7">
            <w:pPr>
              <w:wordWrap/>
              <w:topLinePunct w:val="0"/>
              <w:spacing w:line="360" w:lineRule="auto"/>
              <w:rPr>
                <w:color w:val="auto"/>
              </w:rPr>
            </w:pPr>
            <w:r>
              <w:rPr>
                <w:rFonts w:hint="eastAsia"/>
                <w:color w:val="auto"/>
              </w:rPr>
              <w:t>自合同签订之日起一年</w:t>
            </w:r>
          </w:p>
        </w:tc>
      </w:tr>
      <w:tr w14:paraId="6781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74" w:type="dxa"/>
            <w:noWrap w:val="0"/>
            <w:vAlign w:val="center"/>
          </w:tcPr>
          <w:p w14:paraId="59A3C4D9">
            <w:pPr>
              <w:wordWrap/>
              <w:topLinePunct w:val="0"/>
              <w:spacing w:line="360" w:lineRule="auto"/>
              <w:rPr>
                <w:color w:val="auto"/>
              </w:rPr>
            </w:pPr>
            <w:r>
              <w:rPr>
                <w:rFonts w:hint="eastAsia"/>
                <w:color w:val="auto"/>
              </w:rPr>
              <w:t>1.3.3</w:t>
            </w:r>
          </w:p>
        </w:tc>
        <w:tc>
          <w:tcPr>
            <w:tcW w:w="2236" w:type="dxa"/>
            <w:noWrap w:val="0"/>
            <w:vAlign w:val="center"/>
          </w:tcPr>
          <w:p w14:paraId="7FE6FF5C">
            <w:pPr>
              <w:wordWrap/>
              <w:topLinePunct w:val="0"/>
              <w:spacing w:line="360" w:lineRule="auto"/>
              <w:jc w:val="center"/>
              <w:rPr>
                <w:color w:val="auto"/>
              </w:rPr>
            </w:pPr>
            <w:r>
              <w:rPr>
                <w:rFonts w:hint="eastAsia"/>
                <w:color w:val="auto"/>
              </w:rPr>
              <w:t>服务地点</w:t>
            </w:r>
          </w:p>
        </w:tc>
        <w:tc>
          <w:tcPr>
            <w:tcW w:w="6329" w:type="dxa"/>
            <w:noWrap w:val="0"/>
            <w:vAlign w:val="top"/>
          </w:tcPr>
          <w:p w14:paraId="3A88FC52">
            <w:pPr>
              <w:wordWrap/>
              <w:topLinePunct w:val="0"/>
              <w:spacing w:line="360" w:lineRule="auto"/>
              <w:rPr>
                <w:color w:val="auto"/>
              </w:rPr>
            </w:pPr>
            <w:r>
              <w:rPr>
                <w:rFonts w:hint="eastAsia"/>
                <w:color w:val="auto"/>
                <w:lang w:val="en-US" w:eastAsia="zh-CN"/>
              </w:rPr>
              <w:t>郏县</w:t>
            </w:r>
            <w:r>
              <w:rPr>
                <w:rFonts w:hint="eastAsia"/>
                <w:color w:val="auto"/>
              </w:rPr>
              <w:t>人民医院</w:t>
            </w:r>
          </w:p>
        </w:tc>
      </w:tr>
      <w:tr w14:paraId="101B2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974" w:type="dxa"/>
            <w:noWrap w:val="0"/>
            <w:vAlign w:val="center"/>
          </w:tcPr>
          <w:p w14:paraId="1E1FD476">
            <w:pPr>
              <w:wordWrap/>
              <w:topLinePunct w:val="0"/>
              <w:spacing w:line="360" w:lineRule="auto"/>
              <w:rPr>
                <w:color w:val="auto"/>
              </w:rPr>
            </w:pPr>
            <w:r>
              <w:rPr>
                <w:rFonts w:hint="eastAsia"/>
                <w:color w:val="auto"/>
              </w:rPr>
              <w:t>1.3.4</w:t>
            </w:r>
          </w:p>
        </w:tc>
        <w:tc>
          <w:tcPr>
            <w:tcW w:w="2236" w:type="dxa"/>
            <w:noWrap w:val="0"/>
            <w:vAlign w:val="center"/>
          </w:tcPr>
          <w:p w14:paraId="5FF7DD15">
            <w:pPr>
              <w:wordWrap/>
              <w:topLinePunct w:val="0"/>
              <w:spacing w:line="360" w:lineRule="auto"/>
              <w:jc w:val="center"/>
              <w:rPr>
                <w:color w:val="auto"/>
              </w:rPr>
            </w:pPr>
            <w:r>
              <w:rPr>
                <w:rFonts w:hint="eastAsia"/>
                <w:color w:val="auto"/>
              </w:rPr>
              <w:t>服务要求</w:t>
            </w:r>
          </w:p>
        </w:tc>
        <w:tc>
          <w:tcPr>
            <w:tcW w:w="6329" w:type="dxa"/>
            <w:noWrap w:val="0"/>
            <w:vAlign w:val="bottom"/>
          </w:tcPr>
          <w:p w14:paraId="23A1C2DE">
            <w:pPr>
              <w:wordWrap/>
              <w:topLinePunct w:val="0"/>
              <w:spacing w:line="360" w:lineRule="auto"/>
              <w:rPr>
                <w:color w:val="auto"/>
              </w:rPr>
            </w:pPr>
            <w:r>
              <w:rPr>
                <w:rFonts w:hint="eastAsia"/>
                <w:color w:val="auto"/>
              </w:rPr>
              <w:t>达到国家及行业相关服务规定合格标准</w:t>
            </w:r>
          </w:p>
        </w:tc>
      </w:tr>
      <w:tr w14:paraId="3BBF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57808266">
            <w:pPr>
              <w:wordWrap/>
              <w:topLinePunct w:val="0"/>
              <w:spacing w:line="360" w:lineRule="auto"/>
              <w:rPr>
                <w:color w:val="auto"/>
              </w:rPr>
            </w:pPr>
            <w:r>
              <w:rPr>
                <w:rFonts w:hint="eastAsia"/>
                <w:color w:val="auto"/>
              </w:rPr>
              <w:t>1.4.1</w:t>
            </w:r>
          </w:p>
        </w:tc>
        <w:tc>
          <w:tcPr>
            <w:tcW w:w="2236" w:type="dxa"/>
            <w:noWrap w:val="0"/>
            <w:vAlign w:val="center"/>
          </w:tcPr>
          <w:p w14:paraId="57618AB7">
            <w:pPr>
              <w:wordWrap/>
              <w:topLinePunct w:val="0"/>
              <w:spacing w:line="360" w:lineRule="auto"/>
              <w:jc w:val="center"/>
              <w:rPr>
                <w:color w:val="auto"/>
              </w:rPr>
            </w:pPr>
            <w:r>
              <w:rPr>
                <w:rFonts w:hint="eastAsia"/>
                <w:color w:val="auto"/>
              </w:rPr>
              <w:t>供应商资质条件</w:t>
            </w:r>
          </w:p>
        </w:tc>
        <w:tc>
          <w:tcPr>
            <w:tcW w:w="6329" w:type="dxa"/>
            <w:noWrap w:val="0"/>
            <w:vAlign w:val="top"/>
          </w:tcPr>
          <w:p w14:paraId="08585DA6">
            <w:pPr>
              <w:wordWrap/>
              <w:topLinePunct w:val="0"/>
              <w:spacing w:line="360" w:lineRule="auto"/>
              <w:rPr>
                <w:rFonts w:hint="eastAsia" w:eastAsia="宋体"/>
                <w:bCs/>
                <w:color w:val="auto"/>
                <w:lang w:eastAsia="zh-CN"/>
              </w:rPr>
            </w:pPr>
            <w:r>
              <w:rPr>
                <w:rFonts w:hint="eastAsia" w:eastAsia="宋体"/>
                <w:bCs/>
                <w:color w:val="auto"/>
                <w:lang w:eastAsia="zh-CN"/>
              </w:rPr>
              <w:t>1、满足《中华人民共和国政府采购法》第二十二条规定；</w:t>
            </w:r>
          </w:p>
          <w:p w14:paraId="443567BB">
            <w:pPr>
              <w:wordWrap/>
              <w:topLinePunct w:val="0"/>
              <w:spacing w:line="360" w:lineRule="auto"/>
              <w:rPr>
                <w:rFonts w:hint="eastAsia" w:eastAsia="宋体"/>
                <w:bCs/>
                <w:color w:val="auto"/>
                <w:lang w:eastAsia="zh-CN"/>
              </w:rPr>
            </w:pPr>
            <w:r>
              <w:rPr>
                <w:rFonts w:hint="eastAsia" w:eastAsia="宋体"/>
                <w:bCs/>
                <w:color w:val="auto"/>
                <w:lang w:eastAsia="zh-CN"/>
              </w:rPr>
              <w:t>2、落实政府采购政策满足的资格要求：</w:t>
            </w:r>
          </w:p>
          <w:p w14:paraId="7ED7BD60">
            <w:pPr>
              <w:wordWrap/>
              <w:topLinePunct w:val="0"/>
              <w:spacing w:line="360" w:lineRule="auto"/>
              <w:rPr>
                <w:rFonts w:hint="eastAsia" w:eastAsia="宋体"/>
                <w:bCs/>
                <w:color w:val="auto"/>
                <w:lang w:eastAsia="zh-CN"/>
              </w:rPr>
            </w:pPr>
            <w:r>
              <w:rPr>
                <w:rFonts w:hint="eastAsia" w:eastAsia="宋体"/>
                <w:bCs/>
                <w:color w:val="auto"/>
                <w:lang w:eastAsia="zh-CN"/>
              </w:rPr>
              <w:t>根据《政府采购促进中小企业发展管理办法》财库〔2020〕46号、《财政部关于进一步加大政府采购支持中小企业力度的通知》财库〔2022〕19号规定。本项目属于非专门面向中小企业采购的项目。</w:t>
            </w:r>
          </w:p>
          <w:p w14:paraId="750671BA">
            <w:pPr>
              <w:wordWrap/>
              <w:topLinePunct w:val="0"/>
              <w:spacing w:line="360" w:lineRule="auto"/>
              <w:rPr>
                <w:rFonts w:hint="eastAsia" w:eastAsia="宋体"/>
                <w:bCs/>
                <w:color w:val="auto"/>
                <w:lang w:eastAsia="zh-CN"/>
              </w:rPr>
            </w:pPr>
            <w:r>
              <w:rPr>
                <w:rFonts w:hint="eastAsia" w:eastAsia="宋体"/>
                <w:bCs/>
                <w:color w:val="auto"/>
                <w:lang w:eastAsia="zh-CN"/>
              </w:rPr>
              <w:t>3、本项目的特定资格要求</w:t>
            </w:r>
          </w:p>
          <w:p w14:paraId="368830FC">
            <w:pPr>
              <w:wordWrap/>
              <w:topLinePunct w:val="0"/>
              <w:spacing w:line="360" w:lineRule="auto"/>
              <w:rPr>
                <w:rFonts w:hint="eastAsia" w:eastAsia="宋体"/>
                <w:bCs/>
                <w:color w:val="auto"/>
                <w:lang w:eastAsia="zh-CN"/>
              </w:rPr>
            </w:pPr>
            <w:r>
              <w:rPr>
                <w:rFonts w:hint="eastAsia" w:eastAsia="宋体"/>
                <w:bCs/>
                <w:color w:val="auto"/>
                <w:lang w:eastAsia="zh-CN"/>
              </w:rPr>
              <w:t>3.1供应商具有独立承担民事责任的能力（提供有效的三证合一营业执照扫描件或复印件，也可提供电子营业执照截图）；</w:t>
            </w:r>
          </w:p>
          <w:p w14:paraId="131BC0F7">
            <w:pPr>
              <w:wordWrap/>
              <w:topLinePunct w:val="0"/>
              <w:spacing w:line="360" w:lineRule="auto"/>
              <w:rPr>
                <w:rFonts w:hint="eastAsia" w:eastAsia="宋体"/>
                <w:bCs/>
                <w:color w:val="auto"/>
                <w:lang w:eastAsia="zh-CN"/>
              </w:rPr>
            </w:pPr>
            <w:r>
              <w:rPr>
                <w:rFonts w:hint="eastAsia" w:eastAsia="宋体"/>
                <w:bCs/>
                <w:color w:val="auto"/>
                <w:lang w:eastAsia="zh-CN"/>
              </w:rPr>
              <w:t>3.2为贯彻落实《关于促进政府采购公平竞争优化营商环境的通知》（财库〔2019〕38号）和《关于全面推行证明事项和涉企经营许可事项告知承诺制的指导意见》（国办发[2020]42号），降低供应商参与政府采购活动的制度性交易成本，持续优化政府采购营商环境。按照《郏县财政局关于推行政府采购信用承诺制的通知》（郏财字[2022]35号）要求，在本次招标活动中，供应商只需在资格审查满足相应条件的书面承诺书（格式详见后附件：郏县政府采购供应商信用承诺书），不再需要提供以下证明材料：</w:t>
            </w:r>
          </w:p>
          <w:p w14:paraId="611EC20B">
            <w:pPr>
              <w:wordWrap/>
              <w:topLinePunct w:val="0"/>
              <w:spacing w:line="360" w:lineRule="auto"/>
              <w:rPr>
                <w:rFonts w:hint="eastAsia" w:eastAsia="宋体"/>
                <w:bCs/>
                <w:color w:val="auto"/>
                <w:lang w:eastAsia="zh-CN"/>
              </w:rPr>
            </w:pPr>
            <w:r>
              <w:rPr>
                <w:rFonts w:hint="eastAsia" w:eastAsia="宋体"/>
                <w:bCs/>
                <w:color w:val="auto"/>
                <w:lang w:eastAsia="zh-CN"/>
              </w:rPr>
              <w:t>（1）具有独立承担民事责任的能力；</w:t>
            </w:r>
          </w:p>
          <w:p w14:paraId="4F8CFDE0">
            <w:pPr>
              <w:wordWrap/>
              <w:topLinePunct w:val="0"/>
              <w:spacing w:line="360" w:lineRule="auto"/>
              <w:rPr>
                <w:rFonts w:hint="eastAsia" w:eastAsia="宋体"/>
                <w:bCs/>
                <w:color w:val="auto"/>
                <w:lang w:eastAsia="zh-CN"/>
              </w:rPr>
            </w:pPr>
            <w:r>
              <w:rPr>
                <w:rFonts w:hint="eastAsia" w:eastAsia="宋体"/>
                <w:bCs/>
                <w:color w:val="auto"/>
                <w:lang w:eastAsia="zh-CN"/>
              </w:rPr>
              <w:t>（2）具有良好的商业信誉和健全的财务会计制度；</w:t>
            </w:r>
          </w:p>
          <w:p w14:paraId="06337360">
            <w:pPr>
              <w:wordWrap/>
              <w:topLinePunct w:val="0"/>
              <w:spacing w:line="360" w:lineRule="auto"/>
              <w:rPr>
                <w:rFonts w:hint="eastAsia" w:eastAsia="宋体"/>
                <w:bCs/>
                <w:color w:val="auto"/>
                <w:lang w:eastAsia="zh-CN"/>
              </w:rPr>
            </w:pPr>
            <w:r>
              <w:rPr>
                <w:rFonts w:hint="eastAsia" w:eastAsia="宋体"/>
                <w:bCs/>
                <w:color w:val="auto"/>
                <w:lang w:eastAsia="zh-CN"/>
              </w:rPr>
              <w:t>（3）具有履行合同所必需的设备和专业技术能力；</w:t>
            </w:r>
          </w:p>
          <w:p w14:paraId="50E876DD">
            <w:pPr>
              <w:wordWrap/>
              <w:topLinePunct w:val="0"/>
              <w:spacing w:line="360" w:lineRule="auto"/>
              <w:rPr>
                <w:rFonts w:hint="eastAsia" w:eastAsia="宋体"/>
                <w:bCs/>
                <w:color w:val="auto"/>
                <w:lang w:eastAsia="zh-CN"/>
              </w:rPr>
            </w:pPr>
            <w:r>
              <w:rPr>
                <w:rFonts w:hint="eastAsia" w:eastAsia="宋体"/>
                <w:bCs/>
                <w:color w:val="auto"/>
                <w:lang w:eastAsia="zh-CN"/>
              </w:rPr>
              <w:t>（4）有依法缴纳税收和社会保障资金的良好记录；</w:t>
            </w:r>
          </w:p>
          <w:p w14:paraId="00281972">
            <w:pPr>
              <w:wordWrap/>
              <w:topLinePunct w:val="0"/>
              <w:spacing w:line="360" w:lineRule="auto"/>
              <w:rPr>
                <w:rFonts w:hint="eastAsia" w:eastAsia="宋体"/>
                <w:bCs/>
                <w:color w:val="auto"/>
                <w:lang w:eastAsia="zh-CN"/>
              </w:rPr>
            </w:pPr>
            <w:r>
              <w:rPr>
                <w:rFonts w:hint="eastAsia" w:eastAsia="宋体"/>
                <w:bCs/>
                <w:color w:val="auto"/>
                <w:lang w:eastAsia="zh-CN"/>
              </w:rPr>
              <w:t>（5）参加政府采购活动前三年内，在经营活动中没有重大违法记录；</w:t>
            </w:r>
          </w:p>
          <w:p w14:paraId="63D145A7">
            <w:pPr>
              <w:wordWrap/>
              <w:topLinePunct w:val="0"/>
              <w:spacing w:line="360" w:lineRule="auto"/>
              <w:rPr>
                <w:rFonts w:hint="eastAsia" w:eastAsia="宋体"/>
                <w:bCs/>
                <w:color w:val="auto"/>
                <w:lang w:eastAsia="zh-CN"/>
              </w:rPr>
            </w:pPr>
            <w:r>
              <w:rPr>
                <w:rFonts w:hint="eastAsia" w:eastAsia="宋体"/>
                <w:bCs/>
                <w:color w:val="auto"/>
                <w:lang w:eastAsia="zh-CN"/>
              </w:rPr>
              <w:t>（6）法律、行政法规规定的其他条件。</w:t>
            </w:r>
          </w:p>
          <w:p w14:paraId="4BA13BE0">
            <w:pPr>
              <w:wordWrap/>
              <w:topLinePunct w:val="0"/>
              <w:spacing w:line="360" w:lineRule="auto"/>
              <w:rPr>
                <w:rFonts w:hint="eastAsia" w:eastAsia="宋体"/>
                <w:bCs/>
                <w:color w:val="auto"/>
                <w:lang w:eastAsia="zh-CN"/>
              </w:rPr>
            </w:pPr>
            <w:r>
              <w:rPr>
                <w:rFonts w:hint="eastAsia" w:eastAsia="宋体"/>
                <w:bCs/>
                <w:color w:val="auto"/>
                <w:lang w:eastAsia="zh-CN"/>
              </w:rPr>
              <w:t>3.3、供应商应为保险公司总部或省（市）级分公司、中心支公司、县级支公司（不含营销服务部）；</w:t>
            </w:r>
          </w:p>
          <w:p w14:paraId="2B3BBE04">
            <w:pPr>
              <w:wordWrap/>
              <w:topLinePunct w:val="0"/>
              <w:spacing w:line="360" w:lineRule="auto"/>
              <w:rPr>
                <w:rFonts w:hint="eastAsia" w:eastAsia="宋体"/>
                <w:bCs/>
                <w:color w:val="auto"/>
                <w:lang w:eastAsia="zh-CN"/>
              </w:rPr>
            </w:pPr>
            <w:r>
              <w:rPr>
                <w:rFonts w:hint="eastAsia" w:eastAsia="宋体"/>
                <w:bCs/>
                <w:color w:val="auto"/>
                <w:lang w:eastAsia="zh-CN"/>
              </w:rPr>
              <w:t>根据《中华人民共和国政府采购法实施条例》释义：银行、保险、石油石化、电力、电信行业，分公司（支公司可以参加投标），本文件中需要法定代表人出具的签字、授权等，可以由分公司（支公司）负责人出具。</w:t>
            </w:r>
          </w:p>
          <w:p w14:paraId="6A3C0EB3">
            <w:pPr>
              <w:wordWrap/>
              <w:topLinePunct w:val="0"/>
              <w:spacing w:line="360" w:lineRule="auto"/>
              <w:rPr>
                <w:rFonts w:hint="eastAsia" w:eastAsia="宋体"/>
                <w:bCs/>
                <w:color w:val="auto"/>
                <w:lang w:eastAsia="zh-CN"/>
              </w:rPr>
            </w:pPr>
            <w:r>
              <w:rPr>
                <w:rFonts w:hint="eastAsia" w:eastAsia="宋体"/>
                <w:bCs/>
                <w:color w:val="auto"/>
                <w:lang w:eastAsia="zh-CN"/>
              </w:rPr>
              <w:t>3.4具有中国保险监督管理委员会批准的保险公司法人许可证或经营保险业务许可证；</w:t>
            </w:r>
          </w:p>
          <w:p w14:paraId="22BED753">
            <w:pPr>
              <w:wordWrap/>
              <w:topLinePunct w:val="0"/>
              <w:spacing w:line="360" w:lineRule="auto"/>
              <w:rPr>
                <w:rFonts w:hint="eastAsia" w:eastAsia="宋体"/>
                <w:bCs/>
                <w:color w:val="auto"/>
                <w:lang w:eastAsia="zh-CN"/>
              </w:rPr>
            </w:pPr>
            <w:r>
              <w:rPr>
                <w:rFonts w:hint="eastAsia" w:eastAsia="宋体"/>
                <w:bCs/>
                <w:color w:val="auto"/>
                <w:lang w:eastAsia="zh-CN"/>
              </w:rPr>
              <w:t>3.5本项目资格审查方式为资格后审，不允许分包或转包。</w:t>
            </w:r>
          </w:p>
          <w:p w14:paraId="7621ED0E">
            <w:pPr>
              <w:wordWrap/>
              <w:topLinePunct w:val="0"/>
              <w:spacing w:line="360" w:lineRule="auto"/>
              <w:rPr>
                <w:rFonts w:hint="eastAsia" w:eastAsia="宋体"/>
                <w:bCs/>
                <w:color w:val="auto"/>
                <w:lang w:eastAsia="zh-CN"/>
              </w:rPr>
            </w:pPr>
            <w:r>
              <w:rPr>
                <w:rFonts w:hint="eastAsia" w:eastAsia="宋体"/>
                <w:bCs/>
                <w:color w:val="auto"/>
                <w:lang w:eastAsia="zh-CN"/>
              </w:rPr>
              <w:t>3.6供应商需提供的“中国执行信息公开网”网站的“失信被执行人”,“信用中国”网站的“重大税收违法失信主体”以及“中国政府采购网”网站的“政府采购严重违法失信行为记录名单”查询结果页面截图，不得有不良记录，（执行财库【2016】125号文），（有效查询结果自招标公告发布之日起）。</w:t>
            </w:r>
          </w:p>
          <w:p w14:paraId="604D8BD9">
            <w:pPr>
              <w:wordWrap/>
              <w:topLinePunct w:val="0"/>
              <w:spacing w:line="360" w:lineRule="auto"/>
              <w:rPr>
                <w:rFonts w:hint="eastAsia" w:eastAsia="宋体"/>
                <w:bCs/>
                <w:color w:val="auto"/>
                <w:lang w:eastAsia="zh-CN"/>
              </w:rPr>
            </w:pPr>
            <w:r>
              <w:rPr>
                <w:rFonts w:hint="eastAsia" w:eastAsia="宋体"/>
                <w:bCs/>
                <w:color w:val="auto"/>
                <w:lang w:eastAsia="zh-CN"/>
              </w:rPr>
              <w:t>3.7本次项目采用资格后审，不接受联合体投标。</w:t>
            </w:r>
          </w:p>
        </w:tc>
      </w:tr>
      <w:tr w14:paraId="1F13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13F876B2">
            <w:pPr>
              <w:wordWrap/>
              <w:topLinePunct w:val="0"/>
              <w:spacing w:line="360" w:lineRule="auto"/>
              <w:rPr>
                <w:color w:val="auto"/>
              </w:rPr>
            </w:pPr>
            <w:r>
              <w:rPr>
                <w:rFonts w:hint="eastAsia"/>
                <w:color w:val="auto"/>
              </w:rPr>
              <w:t>1.4.2</w:t>
            </w:r>
          </w:p>
        </w:tc>
        <w:tc>
          <w:tcPr>
            <w:tcW w:w="2236" w:type="dxa"/>
            <w:noWrap w:val="0"/>
            <w:vAlign w:val="center"/>
          </w:tcPr>
          <w:p w14:paraId="13547369">
            <w:pPr>
              <w:wordWrap/>
              <w:topLinePunct w:val="0"/>
              <w:spacing w:line="360" w:lineRule="auto"/>
              <w:jc w:val="center"/>
              <w:rPr>
                <w:color w:val="auto"/>
              </w:rPr>
            </w:pPr>
            <w:r>
              <w:rPr>
                <w:rFonts w:hint="eastAsia"/>
                <w:color w:val="auto"/>
              </w:rPr>
              <w:t>是否接受联合体参加磋商</w:t>
            </w:r>
          </w:p>
        </w:tc>
        <w:tc>
          <w:tcPr>
            <w:tcW w:w="6329" w:type="dxa"/>
            <w:noWrap w:val="0"/>
            <w:vAlign w:val="top"/>
          </w:tcPr>
          <w:p w14:paraId="446F22A5">
            <w:pPr>
              <w:wordWrap/>
              <w:topLinePunct w:val="0"/>
              <w:spacing w:line="360" w:lineRule="auto"/>
              <w:rPr>
                <w:color w:val="auto"/>
              </w:rPr>
            </w:pPr>
            <w:r>
              <w:rPr>
                <w:rFonts w:hint="eastAsia"/>
                <w:color w:val="auto"/>
              </w:rPr>
              <w:t>不接受</w:t>
            </w:r>
          </w:p>
        </w:tc>
      </w:tr>
      <w:tr w14:paraId="30FD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974" w:type="dxa"/>
            <w:noWrap w:val="0"/>
            <w:vAlign w:val="center"/>
          </w:tcPr>
          <w:p w14:paraId="3408C0DC">
            <w:pPr>
              <w:wordWrap/>
              <w:topLinePunct w:val="0"/>
              <w:spacing w:line="360" w:lineRule="auto"/>
              <w:rPr>
                <w:color w:val="auto"/>
              </w:rPr>
            </w:pPr>
            <w:r>
              <w:rPr>
                <w:rFonts w:hint="eastAsia"/>
                <w:color w:val="auto"/>
              </w:rPr>
              <w:t>1.9.1</w:t>
            </w:r>
          </w:p>
        </w:tc>
        <w:tc>
          <w:tcPr>
            <w:tcW w:w="2236" w:type="dxa"/>
            <w:noWrap w:val="0"/>
            <w:vAlign w:val="center"/>
          </w:tcPr>
          <w:p w14:paraId="1D456215">
            <w:pPr>
              <w:wordWrap/>
              <w:topLinePunct w:val="0"/>
              <w:spacing w:line="360" w:lineRule="auto"/>
              <w:jc w:val="center"/>
              <w:rPr>
                <w:color w:val="auto"/>
              </w:rPr>
            </w:pPr>
            <w:r>
              <w:rPr>
                <w:rFonts w:hint="eastAsia"/>
                <w:color w:val="auto"/>
              </w:rPr>
              <w:t>现场考察</w:t>
            </w:r>
          </w:p>
        </w:tc>
        <w:tc>
          <w:tcPr>
            <w:tcW w:w="6329" w:type="dxa"/>
            <w:noWrap w:val="0"/>
            <w:vAlign w:val="center"/>
          </w:tcPr>
          <w:p w14:paraId="3B275C60">
            <w:pPr>
              <w:wordWrap/>
              <w:topLinePunct w:val="0"/>
              <w:spacing w:line="360" w:lineRule="auto"/>
              <w:rPr>
                <w:color w:val="auto"/>
              </w:rPr>
            </w:pPr>
            <w:r>
              <w:rPr>
                <w:rFonts w:hint="eastAsia"/>
                <w:color w:val="auto"/>
              </w:rPr>
              <w:t>不组织</w:t>
            </w:r>
          </w:p>
        </w:tc>
      </w:tr>
      <w:tr w14:paraId="7E9C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974" w:type="dxa"/>
            <w:noWrap w:val="0"/>
            <w:vAlign w:val="center"/>
          </w:tcPr>
          <w:p w14:paraId="56FE42ED">
            <w:pPr>
              <w:wordWrap/>
              <w:topLinePunct w:val="0"/>
              <w:spacing w:line="360" w:lineRule="auto"/>
              <w:rPr>
                <w:color w:val="auto"/>
              </w:rPr>
            </w:pPr>
            <w:r>
              <w:rPr>
                <w:rFonts w:hint="eastAsia"/>
                <w:color w:val="auto"/>
              </w:rPr>
              <w:t>1.9.5</w:t>
            </w:r>
          </w:p>
        </w:tc>
        <w:tc>
          <w:tcPr>
            <w:tcW w:w="2236" w:type="dxa"/>
            <w:noWrap w:val="0"/>
            <w:vAlign w:val="center"/>
          </w:tcPr>
          <w:p w14:paraId="2973EC89">
            <w:pPr>
              <w:wordWrap/>
              <w:topLinePunct w:val="0"/>
              <w:spacing w:line="400" w:lineRule="exact"/>
              <w:ind w:left="38" w:leftChars="18"/>
              <w:jc w:val="center"/>
              <w:rPr>
                <w:color w:val="auto"/>
              </w:rPr>
            </w:pPr>
            <w:r>
              <w:rPr>
                <w:rFonts w:hint="eastAsia"/>
                <w:color w:val="auto"/>
              </w:rPr>
              <w:t>答 疑 会</w:t>
            </w:r>
          </w:p>
        </w:tc>
        <w:tc>
          <w:tcPr>
            <w:tcW w:w="6329" w:type="dxa"/>
            <w:noWrap w:val="0"/>
            <w:vAlign w:val="center"/>
          </w:tcPr>
          <w:p w14:paraId="54BE5C4C">
            <w:pPr>
              <w:tabs>
                <w:tab w:val="left" w:pos="720"/>
                <w:tab w:val="left" w:pos="1904"/>
              </w:tabs>
              <w:wordWrap/>
              <w:topLinePunct w:val="0"/>
              <w:spacing w:line="400" w:lineRule="exact"/>
              <w:rPr>
                <w:color w:val="auto"/>
              </w:rPr>
            </w:pPr>
            <w:r>
              <w:rPr>
                <w:rFonts w:hint="eastAsia"/>
                <w:color w:val="auto"/>
              </w:rPr>
              <w:t>不召开</w:t>
            </w:r>
          </w:p>
        </w:tc>
      </w:tr>
      <w:tr w14:paraId="76E8C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974" w:type="dxa"/>
            <w:noWrap w:val="0"/>
            <w:vAlign w:val="center"/>
          </w:tcPr>
          <w:p w14:paraId="6199DB31">
            <w:pPr>
              <w:wordWrap/>
              <w:topLinePunct w:val="0"/>
              <w:spacing w:line="360" w:lineRule="auto"/>
              <w:jc w:val="center"/>
              <w:rPr>
                <w:color w:val="auto"/>
              </w:rPr>
            </w:pPr>
            <w:r>
              <w:rPr>
                <w:rFonts w:hint="eastAsia"/>
                <w:color w:val="auto"/>
              </w:rPr>
              <w:t>1.10</w:t>
            </w:r>
          </w:p>
        </w:tc>
        <w:tc>
          <w:tcPr>
            <w:tcW w:w="2236" w:type="dxa"/>
            <w:noWrap w:val="0"/>
            <w:vAlign w:val="center"/>
          </w:tcPr>
          <w:p w14:paraId="1BA75A02">
            <w:pPr>
              <w:wordWrap/>
              <w:topLinePunct w:val="0"/>
              <w:spacing w:line="360" w:lineRule="auto"/>
              <w:ind w:firstLine="840" w:firstLineChars="400"/>
              <w:rPr>
                <w:color w:val="auto"/>
              </w:rPr>
            </w:pPr>
            <w:r>
              <w:rPr>
                <w:rFonts w:hint="eastAsia"/>
                <w:color w:val="auto"/>
              </w:rPr>
              <w:t>分包</w:t>
            </w:r>
          </w:p>
        </w:tc>
        <w:tc>
          <w:tcPr>
            <w:tcW w:w="6329" w:type="dxa"/>
            <w:noWrap w:val="0"/>
            <w:vAlign w:val="center"/>
          </w:tcPr>
          <w:p w14:paraId="3EF5AB49">
            <w:pPr>
              <w:wordWrap/>
              <w:topLinePunct w:val="0"/>
              <w:spacing w:line="360" w:lineRule="auto"/>
              <w:rPr>
                <w:color w:val="auto"/>
              </w:rPr>
            </w:pPr>
            <w:r>
              <w:rPr>
                <w:rFonts w:hint="eastAsia"/>
                <w:color w:val="auto"/>
              </w:rPr>
              <w:t>不允许</w:t>
            </w:r>
          </w:p>
        </w:tc>
      </w:tr>
      <w:tr w14:paraId="493E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noWrap w:val="0"/>
            <w:vAlign w:val="center"/>
          </w:tcPr>
          <w:p w14:paraId="63CDCAEF">
            <w:pPr>
              <w:wordWrap/>
              <w:topLinePunct w:val="0"/>
              <w:spacing w:line="360" w:lineRule="auto"/>
              <w:rPr>
                <w:color w:val="auto"/>
              </w:rPr>
            </w:pPr>
            <w:r>
              <w:rPr>
                <w:rFonts w:hint="eastAsia"/>
                <w:color w:val="auto"/>
              </w:rPr>
              <w:t>1.11.1</w:t>
            </w:r>
          </w:p>
        </w:tc>
        <w:tc>
          <w:tcPr>
            <w:tcW w:w="2236" w:type="dxa"/>
            <w:noWrap w:val="0"/>
            <w:vAlign w:val="center"/>
          </w:tcPr>
          <w:p w14:paraId="447E08AF">
            <w:pPr>
              <w:wordWrap/>
              <w:topLinePunct w:val="0"/>
              <w:spacing w:line="360" w:lineRule="auto"/>
              <w:jc w:val="center"/>
              <w:rPr>
                <w:color w:val="auto"/>
              </w:rPr>
            </w:pPr>
            <w:r>
              <w:rPr>
                <w:rFonts w:hint="eastAsia"/>
                <w:color w:val="auto"/>
                <w:kern w:val="0"/>
              </w:rPr>
              <w:t>实质性偏差</w:t>
            </w:r>
          </w:p>
        </w:tc>
        <w:tc>
          <w:tcPr>
            <w:tcW w:w="6329" w:type="dxa"/>
            <w:noWrap w:val="0"/>
            <w:vAlign w:val="center"/>
          </w:tcPr>
          <w:p w14:paraId="350DEA5E">
            <w:pPr>
              <w:wordWrap/>
              <w:topLinePunct w:val="0"/>
              <w:spacing w:line="360" w:lineRule="auto"/>
              <w:rPr>
                <w:color w:val="auto"/>
              </w:rPr>
            </w:pPr>
            <w:r>
              <w:rPr>
                <w:rFonts w:hint="eastAsia"/>
                <w:color w:val="auto"/>
              </w:rPr>
              <w:t>不允许</w:t>
            </w:r>
          </w:p>
        </w:tc>
      </w:tr>
      <w:tr w14:paraId="40D1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noWrap w:val="0"/>
            <w:vAlign w:val="center"/>
          </w:tcPr>
          <w:p w14:paraId="37F66179">
            <w:pPr>
              <w:wordWrap/>
              <w:topLinePunct w:val="0"/>
              <w:spacing w:line="360" w:lineRule="auto"/>
              <w:rPr>
                <w:color w:val="auto"/>
              </w:rPr>
            </w:pPr>
            <w:r>
              <w:rPr>
                <w:rFonts w:hint="eastAsia"/>
                <w:color w:val="auto"/>
              </w:rPr>
              <w:t>1.12</w:t>
            </w:r>
          </w:p>
        </w:tc>
        <w:tc>
          <w:tcPr>
            <w:tcW w:w="2236" w:type="dxa"/>
            <w:noWrap w:val="0"/>
            <w:vAlign w:val="center"/>
          </w:tcPr>
          <w:p w14:paraId="79105CCA">
            <w:pPr>
              <w:wordWrap/>
              <w:topLinePunct w:val="0"/>
              <w:spacing w:line="360" w:lineRule="auto"/>
              <w:jc w:val="center"/>
              <w:rPr>
                <w:color w:val="auto"/>
              </w:rPr>
            </w:pPr>
            <w:r>
              <w:rPr>
                <w:rFonts w:hint="eastAsia"/>
                <w:color w:val="auto"/>
              </w:rPr>
              <w:t>是否接受选择性报价方案</w:t>
            </w:r>
          </w:p>
        </w:tc>
        <w:tc>
          <w:tcPr>
            <w:tcW w:w="6329" w:type="dxa"/>
            <w:noWrap w:val="0"/>
            <w:vAlign w:val="center"/>
          </w:tcPr>
          <w:p w14:paraId="067C8F39">
            <w:pPr>
              <w:wordWrap/>
              <w:topLinePunct w:val="0"/>
              <w:spacing w:line="360" w:lineRule="auto"/>
              <w:rPr>
                <w:color w:val="auto"/>
              </w:rPr>
            </w:pPr>
            <w:r>
              <w:rPr>
                <w:rFonts w:hint="eastAsia"/>
                <w:color w:val="auto"/>
              </w:rPr>
              <w:t>不接受</w:t>
            </w:r>
          </w:p>
        </w:tc>
      </w:tr>
      <w:tr w14:paraId="03577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noWrap w:val="0"/>
            <w:vAlign w:val="center"/>
          </w:tcPr>
          <w:p w14:paraId="2D970537">
            <w:pPr>
              <w:wordWrap/>
              <w:topLinePunct w:val="0"/>
              <w:spacing w:line="360" w:lineRule="auto"/>
              <w:rPr>
                <w:color w:val="auto"/>
              </w:rPr>
            </w:pPr>
            <w:r>
              <w:rPr>
                <w:rFonts w:hint="eastAsia"/>
                <w:color w:val="auto"/>
              </w:rPr>
              <w:t>2.1</w:t>
            </w:r>
          </w:p>
        </w:tc>
        <w:tc>
          <w:tcPr>
            <w:tcW w:w="2236" w:type="dxa"/>
            <w:noWrap w:val="0"/>
            <w:vAlign w:val="center"/>
          </w:tcPr>
          <w:p w14:paraId="4D737F47">
            <w:pPr>
              <w:wordWrap/>
              <w:topLinePunct w:val="0"/>
              <w:spacing w:line="360" w:lineRule="auto"/>
              <w:jc w:val="center"/>
              <w:rPr>
                <w:color w:val="auto"/>
              </w:rPr>
            </w:pPr>
            <w:r>
              <w:rPr>
                <w:rFonts w:hint="eastAsia"/>
                <w:color w:val="auto"/>
              </w:rPr>
              <w:t>构成竞争性磋商文件的其他材料</w:t>
            </w:r>
          </w:p>
        </w:tc>
        <w:tc>
          <w:tcPr>
            <w:tcW w:w="6329" w:type="dxa"/>
            <w:noWrap w:val="0"/>
            <w:vAlign w:val="center"/>
          </w:tcPr>
          <w:p w14:paraId="50D82CD3">
            <w:pPr>
              <w:wordWrap/>
              <w:topLinePunct w:val="0"/>
              <w:spacing w:line="360" w:lineRule="auto"/>
              <w:rPr>
                <w:color w:val="auto"/>
              </w:rPr>
            </w:pPr>
            <w:r>
              <w:rPr>
                <w:rFonts w:hint="eastAsia"/>
                <w:color w:val="auto"/>
              </w:rPr>
              <w:t>无</w:t>
            </w:r>
          </w:p>
        </w:tc>
      </w:tr>
      <w:tr w14:paraId="7DD8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restart"/>
            <w:noWrap w:val="0"/>
            <w:vAlign w:val="center"/>
          </w:tcPr>
          <w:p w14:paraId="53BA68A7">
            <w:pPr>
              <w:wordWrap/>
              <w:topLinePunct w:val="0"/>
              <w:spacing w:line="360" w:lineRule="auto"/>
              <w:rPr>
                <w:color w:val="auto"/>
              </w:rPr>
            </w:pPr>
            <w:r>
              <w:rPr>
                <w:rFonts w:hint="eastAsia"/>
                <w:color w:val="auto"/>
              </w:rPr>
              <w:t>2.2.1</w:t>
            </w:r>
          </w:p>
        </w:tc>
        <w:tc>
          <w:tcPr>
            <w:tcW w:w="2236" w:type="dxa"/>
            <w:vMerge w:val="restart"/>
            <w:noWrap w:val="0"/>
            <w:vAlign w:val="center"/>
          </w:tcPr>
          <w:p w14:paraId="14871B8E">
            <w:pPr>
              <w:wordWrap/>
              <w:topLinePunct w:val="0"/>
              <w:spacing w:line="360" w:lineRule="auto"/>
              <w:jc w:val="center"/>
              <w:rPr>
                <w:color w:val="auto"/>
              </w:rPr>
            </w:pPr>
            <w:r>
              <w:rPr>
                <w:rFonts w:hint="eastAsia"/>
                <w:color w:val="auto"/>
              </w:rPr>
              <w:t>供应商要求澄清竞争性磋商文件</w:t>
            </w:r>
          </w:p>
        </w:tc>
        <w:tc>
          <w:tcPr>
            <w:tcW w:w="6329" w:type="dxa"/>
            <w:noWrap w:val="0"/>
            <w:vAlign w:val="center"/>
          </w:tcPr>
          <w:p w14:paraId="6285A980">
            <w:pPr>
              <w:wordWrap/>
              <w:topLinePunct w:val="0"/>
              <w:spacing w:line="360" w:lineRule="auto"/>
              <w:rPr>
                <w:color w:val="auto"/>
              </w:rPr>
            </w:pPr>
            <w:r>
              <w:rPr>
                <w:rFonts w:hint="eastAsia"/>
                <w:color w:val="auto"/>
              </w:rPr>
              <w:t>时间：提交首次响应文件截止时间前</w:t>
            </w:r>
            <w:r>
              <w:rPr>
                <w:rFonts w:hint="eastAsia"/>
                <w:color w:val="auto"/>
                <w:u w:val="single"/>
              </w:rPr>
              <w:t xml:space="preserve">   5  </w:t>
            </w:r>
            <w:r>
              <w:rPr>
                <w:rFonts w:hint="eastAsia"/>
                <w:color w:val="auto"/>
              </w:rPr>
              <w:t>日</w:t>
            </w:r>
          </w:p>
        </w:tc>
      </w:tr>
      <w:tr w14:paraId="17BC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continue"/>
            <w:noWrap w:val="0"/>
            <w:vAlign w:val="center"/>
          </w:tcPr>
          <w:p w14:paraId="2ED92F31">
            <w:pPr>
              <w:wordWrap/>
              <w:topLinePunct w:val="0"/>
              <w:spacing w:line="360" w:lineRule="auto"/>
              <w:rPr>
                <w:color w:val="auto"/>
              </w:rPr>
            </w:pPr>
          </w:p>
        </w:tc>
        <w:tc>
          <w:tcPr>
            <w:tcW w:w="2236" w:type="dxa"/>
            <w:vMerge w:val="continue"/>
            <w:noWrap w:val="0"/>
            <w:vAlign w:val="center"/>
          </w:tcPr>
          <w:p w14:paraId="56653D56">
            <w:pPr>
              <w:wordWrap/>
              <w:topLinePunct w:val="0"/>
              <w:spacing w:line="360" w:lineRule="auto"/>
              <w:jc w:val="center"/>
              <w:rPr>
                <w:color w:val="auto"/>
              </w:rPr>
            </w:pPr>
          </w:p>
        </w:tc>
        <w:tc>
          <w:tcPr>
            <w:tcW w:w="6329" w:type="dxa"/>
            <w:noWrap w:val="0"/>
            <w:vAlign w:val="center"/>
          </w:tcPr>
          <w:p w14:paraId="0EB40D94">
            <w:pPr>
              <w:wordWrap/>
              <w:topLinePunct w:val="0"/>
              <w:spacing w:line="360" w:lineRule="auto"/>
              <w:rPr>
                <w:color w:val="auto"/>
              </w:rPr>
            </w:pPr>
            <w:r>
              <w:rPr>
                <w:rFonts w:hint="eastAsia"/>
                <w:color w:val="auto"/>
              </w:rPr>
              <w:t>形式：在</w:t>
            </w:r>
            <w:r>
              <w:rPr>
                <w:rFonts w:hint="eastAsia"/>
                <w:color w:val="auto"/>
                <w:kern w:val="0"/>
              </w:rPr>
              <w:t>全国公共资源交易平台（河南省·平顶山市）系统内</w:t>
            </w:r>
            <w:r>
              <w:rPr>
                <w:rFonts w:hint="eastAsia"/>
                <w:color w:val="auto"/>
              </w:rPr>
              <w:t>提出</w:t>
            </w:r>
          </w:p>
        </w:tc>
      </w:tr>
      <w:tr w14:paraId="6AB0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noWrap w:val="0"/>
            <w:vAlign w:val="center"/>
          </w:tcPr>
          <w:p w14:paraId="7AC3CBF7">
            <w:pPr>
              <w:wordWrap/>
              <w:topLinePunct w:val="0"/>
              <w:spacing w:line="360" w:lineRule="auto"/>
              <w:rPr>
                <w:color w:val="auto"/>
              </w:rPr>
            </w:pPr>
            <w:r>
              <w:rPr>
                <w:rFonts w:hint="eastAsia"/>
                <w:color w:val="auto"/>
              </w:rPr>
              <w:t>2.2.2</w:t>
            </w:r>
          </w:p>
        </w:tc>
        <w:tc>
          <w:tcPr>
            <w:tcW w:w="2236" w:type="dxa"/>
            <w:noWrap w:val="0"/>
            <w:vAlign w:val="center"/>
          </w:tcPr>
          <w:p w14:paraId="1F2E3036">
            <w:pPr>
              <w:wordWrap/>
              <w:topLinePunct w:val="0"/>
              <w:spacing w:line="360" w:lineRule="auto"/>
              <w:jc w:val="center"/>
              <w:rPr>
                <w:color w:val="auto"/>
              </w:rPr>
            </w:pPr>
            <w:r>
              <w:rPr>
                <w:rFonts w:hint="eastAsia"/>
                <w:color w:val="auto"/>
              </w:rPr>
              <w:t>竞争性磋商文件澄清发出的形式</w:t>
            </w:r>
          </w:p>
        </w:tc>
        <w:tc>
          <w:tcPr>
            <w:tcW w:w="6329" w:type="dxa"/>
            <w:noWrap w:val="0"/>
            <w:vAlign w:val="center"/>
          </w:tcPr>
          <w:p w14:paraId="6A0951C2">
            <w:pPr>
              <w:wordWrap/>
              <w:topLinePunct w:val="0"/>
              <w:spacing w:line="360" w:lineRule="auto"/>
              <w:rPr>
                <w:color w:val="auto"/>
              </w:rPr>
            </w:pPr>
            <w:r>
              <w:rPr>
                <w:rFonts w:hint="eastAsia"/>
                <w:color w:val="auto"/>
              </w:rPr>
              <w:t>通过</w:t>
            </w:r>
            <w:r>
              <w:rPr>
                <w:rFonts w:hint="eastAsia"/>
                <w:color w:val="auto"/>
                <w:kern w:val="0"/>
              </w:rPr>
              <w:t>全国公共资源交易平台（河南省·平顶山市）</w:t>
            </w:r>
            <w:r>
              <w:rPr>
                <w:rFonts w:hint="eastAsia"/>
                <w:color w:val="auto"/>
              </w:rPr>
              <w:t>发布且同时在原公告媒体发布澄清公告</w:t>
            </w:r>
          </w:p>
        </w:tc>
      </w:tr>
      <w:tr w14:paraId="5256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restart"/>
            <w:noWrap w:val="0"/>
            <w:vAlign w:val="center"/>
          </w:tcPr>
          <w:p w14:paraId="160D2E7A">
            <w:pPr>
              <w:wordWrap/>
              <w:topLinePunct w:val="0"/>
              <w:spacing w:line="360" w:lineRule="auto"/>
              <w:rPr>
                <w:color w:val="auto"/>
              </w:rPr>
            </w:pPr>
            <w:r>
              <w:rPr>
                <w:rFonts w:hint="eastAsia"/>
                <w:color w:val="auto"/>
              </w:rPr>
              <w:t>2.2.3</w:t>
            </w:r>
          </w:p>
        </w:tc>
        <w:tc>
          <w:tcPr>
            <w:tcW w:w="2236" w:type="dxa"/>
            <w:vMerge w:val="restart"/>
            <w:noWrap w:val="0"/>
            <w:vAlign w:val="center"/>
          </w:tcPr>
          <w:p w14:paraId="2B806B4C">
            <w:pPr>
              <w:wordWrap/>
              <w:topLinePunct w:val="0"/>
              <w:spacing w:line="360" w:lineRule="auto"/>
              <w:jc w:val="center"/>
              <w:rPr>
                <w:color w:val="auto"/>
              </w:rPr>
            </w:pPr>
            <w:r>
              <w:rPr>
                <w:rFonts w:hint="eastAsia"/>
                <w:color w:val="auto"/>
              </w:rPr>
              <w:t>供应商确认收到竞争性磋商文件澄清</w:t>
            </w:r>
          </w:p>
        </w:tc>
        <w:tc>
          <w:tcPr>
            <w:tcW w:w="6329" w:type="dxa"/>
            <w:noWrap w:val="0"/>
            <w:vAlign w:val="center"/>
          </w:tcPr>
          <w:p w14:paraId="49083911">
            <w:pPr>
              <w:wordWrap/>
              <w:topLinePunct w:val="0"/>
              <w:spacing w:line="360" w:lineRule="auto"/>
              <w:rPr>
                <w:color w:val="auto"/>
              </w:rPr>
            </w:pPr>
            <w:r>
              <w:rPr>
                <w:rFonts w:hint="eastAsia"/>
                <w:color w:val="auto"/>
              </w:rPr>
              <w:t>时间：在收到相应澄清文件后 24 小时内</w:t>
            </w:r>
          </w:p>
        </w:tc>
      </w:tr>
      <w:tr w14:paraId="026DE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continue"/>
            <w:noWrap w:val="0"/>
            <w:vAlign w:val="center"/>
          </w:tcPr>
          <w:p w14:paraId="0C209CB8">
            <w:pPr>
              <w:wordWrap/>
              <w:topLinePunct w:val="0"/>
              <w:spacing w:line="360" w:lineRule="auto"/>
              <w:rPr>
                <w:color w:val="auto"/>
              </w:rPr>
            </w:pPr>
          </w:p>
        </w:tc>
        <w:tc>
          <w:tcPr>
            <w:tcW w:w="2236" w:type="dxa"/>
            <w:vMerge w:val="continue"/>
            <w:noWrap w:val="0"/>
            <w:vAlign w:val="center"/>
          </w:tcPr>
          <w:p w14:paraId="255E58E9">
            <w:pPr>
              <w:wordWrap/>
              <w:topLinePunct w:val="0"/>
              <w:spacing w:line="360" w:lineRule="auto"/>
              <w:jc w:val="center"/>
              <w:rPr>
                <w:color w:val="auto"/>
              </w:rPr>
            </w:pPr>
          </w:p>
        </w:tc>
        <w:tc>
          <w:tcPr>
            <w:tcW w:w="6329" w:type="dxa"/>
            <w:noWrap w:val="0"/>
            <w:vAlign w:val="center"/>
          </w:tcPr>
          <w:p w14:paraId="678447D8">
            <w:pPr>
              <w:wordWrap/>
              <w:topLinePunct w:val="0"/>
              <w:spacing w:line="360" w:lineRule="auto"/>
              <w:rPr>
                <w:color w:val="auto"/>
              </w:rPr>
            </w:pPr>
            <w:r>
              <w:rPr>
                <w:rFonts w:hint="eastAsia"/>
                <w:color w:val="auto"/>
              </w:rPr>
              <w:t>形式：</w:t>
            </w:r>
            <w:r>
              <w:rPr>
                <w:rFonts w:hint="eastAsia"/>
                <w:color w:val="auto"/>
                <w:kern w:val="0"/>
              </w:rPr>
              <w:t>在全国公共资源交易平台（河南省·平顶山市）进行确认</w:t>
            </w:r>
          </w:p>
        </w:tc>
      </w:tr>
      <w:tr w14:paraId="76F0A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noWrap w:val="0"/>
            <w:vAlign w:val="center"/>
          </w:tcPr>
          <w:p w14:paraId="752B230A">
            <w:pPr>
              <w:wordWrap/>
              <w:topLinePunct w:val="0"/>
              <w:spacing w:line="360" w:lineRule="auto"/>
              <w:rPr>
                <w:color w:val="auto"/>
              </w:rPr>
            </w:pPr>
            <w:r>
              <w:rPr>
                <w:rFonts w:hint="eastAsia"/>
                <w:color w:val="auto"/>
              </w:rPr>
              <w:t>2.3.2</w:t>
            </w:r>
          </w:p>
        </w:tc>
        <w:tc>
          <w:tcPr>
            <w:tcW w:w="2236" w:type="dxa"/>
            <w:noWrap w:val="0"/>
            <w:vAlign w:val="center"/>
          </w:tcPr>
          <w:p w14:paraId="54B607E5">
            <w:pPr>
              <w:wordWrap/>
              <w:topLinePunct w:val="0"/>
              <w:spacing w:line="360" w:lineRule="auto"/>
              <w:jc w:val="center"/>
              <w:rPr>
                <w:color w:val="auto"/>
              </w:rPr>
            </w:pPr>
            <w:r>
              <w:rPr>
                <w:rFonts w:hint="eastAsia"/>
                <w:color w:val="auto"/>
              </w:rPr>
              <w:t>竞争性磋商文件修改发出的形式</w:t>
            </w:r>
          </w:p>
        </w:tc>
        <w:tc>
          <w:tcPr>
            <w:tcW w:w="6329" w:type="dxa"/>
            <w:noWrap w:val="0"/>
            <w:vAlign w:val="center"/>
          </w:tcPr>
          <w:p w14:paraId="46026F2B">
            <w:pPr>
              <w:wordWrap/>
              <w:topLinePunct w:val="0"/>
              <w:spacing w:line="360" w:lineRule="auto"/>
              <w:rPr>
                <w:color w:val="auto"/>
              </w:rPr>
            </w:pPr>
            <w:r>
              <w:rPr>
                <w:rFonts w:hint="eastAsia"/>
                <w:color w:val="auto"/>
              </w:rPr>
              <w:t>通过</w:t>
            </w:r>
            <w:r>
              <w:rPr>
                <w:rFonts w:hint="eastAsia"/>
                <w:color w:val="auto"/>
                <w:kern w:val="0"/>
              </w:rPr>
              <w:t>全国公共资源交易平台（河南省·平顶山市）</w:t>
            </w:r>
            <w:r>
              <w:rPr>
                <w:rFonts w:hint="eastAsia"/>
                <w:color w:val="auto"/>
              </w:rPr>
              <w:t>发布且同时在原公告媒体发布澄清公告</w:t>
            </w:r>
          </w:p>
        </w:tc>
      </w:tr>
      <w:tr w14:paraId="2C44F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restart"/>
            <w:noWrap w:val="0"/>
            <w:vAlign w:val="center"/>
          </w:tcPr>
          <w:p w14:paraId="5705CDF4">
            <w:pPr>
              <w:wordWrap/>
              <w:topLinePunct w:val="0"/>
              <w:spacing w:line="360" w:lineRule="auto"/>
              <w:rPr>
                <w:color w:val="auto"/>
              </w:rPr>
            </w:pPr>
            <w:r>
              <w:rPr>
                <w:rFonts w:hint="eastAsia"/>
                <w:color w:val="auto"/>
              </w:rPr>
              <w:t>2.3.3</w:t>
            </w:r>
          </w:p>
        </w:tc>
        <w:tc>
          <w:tcPr>
            <w:tcW w:w="2236" w:type="dxa"/>
            <w:vMerge w:val="restart"/>
            <w:noWrap w:val="0"/>
            <w:vAlign w:val="center"/>
          </w:tcPr>
          <w:p w14:paraId="1CE66E2F">
            <w:pPr>
              <w:wordWrap/>
              <w:topLinePunct w:val="0"/>
              <w:spacing w:line="360" w:lineRule="auto"/>
              <w:jc w:val="center"/>
              <w:rPr>
                <w:color w:val="auto"/>
              </w:rPr>
            </w:pPr>
            <w:r>
              <w:rPr>
                <w:rFonts w:hint="eastAsia"/>
                <w:color w:val="auto"/>
              </w:rPr>
              <w:t>供应商确认收到竞争性磋商文件修改</w:t>
            </w:r>
          </w:p>
        </w:tc>
        <w:tc>
          <w:tcPr>
            <w:tcW w:w="6329" w:type="dxa"/>
            <w:noWrap w:val="0"/>
            <w:vAlign w:val="center"/>
          </w:tcPr>
          <w:p w14:paraId="13E5B6BD">
            <w:pPr>
              <w:wordWrap/>
              <w:topLinePunct w:val="0"/>
              <w:spacing w:line="360" w:lineRule="auto"/>
              <w:rPr>
                <w:color w:val="auto"/>
              </w:rPr>
            </w:pPr>
            <w:r>
              <w:rPr>
                <w:rFonts w:hint="eastAsia"/>
                <w:color w:val="auto"/>
              </w:rPr>
              <w:t>时间：在收到相应修改文件后 24 小时内</w:t>
            </w:r>
          </w:p>
        </w:tc>
      </w:tr>
      <w:tr w14:paraId="546E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continue"/>
            <w:noWrap w:val="0"/>
            <w:vAlign w:val="center"/>
          </w:tcPr>
          <w:p w14:paraId="170B4501">
            <w:pPr>
              <w:wordWrap/>
              <w:topLinePunct w:val="0"/>
              <w:spacing w:line="360" w:lineRule="auto"/>
              <w:rPr>
                <w:color w:val="auto"/>
              </w:rPr>
            </w:pPr>
          </w:p>
        </w:tc>
        <w:tc>
          <w:tcPr>
            <w:tcW w:w="2236" w:type="dxa"/>
            <w:vMerge w:val="continue"/>
            <w:noWrap w:val="0"/>
            <w:vAlign w:val="center"/>
          </w:tcPr>
          <w:p w14:paraId="1890D02F">
            <w:pPr>
              <w:wordWrap/>
              <w:topLinePunct w:val="0"/>
              <w:spacing w:line="360" w:lineRule="auto"/>
              <w:jc w:val="center"/>
              <w:rPr>
                <w:color w:val="auto"/>
              </w:rPr>
            </w:pPr>
          </w:p>
        </w:tc>
        <w:tc>
          <w:tcPr>
            <w:tcW w:w="6329" w:type="dxa"/>
            <w:noWrap w:val="0"/>
            <w:vAlign w:val="center"/>
          </w:tcPr>
          <w:p w14:paraId="418A7072">
            <w:pPr>
              <w:wordWrap/>
              <w:topLinePunct w:val="0"/>
              <w:spacing w:line="360" w:lineRule="auto"/>
              <w:rPr>
                <w:color w:val="auto"/>
              </w:rPr>
            </w:pPr>
            <w:r>
              <w:rPr>
                <w:rFonts w:hint="eastAsia"/>
                <w:color w:val="auto"/>
              </w:rPr>
              <w:t>形式：</w:t>
            </w:r>
            <w:r>
              <w:rPr>
                <w:rFonts w:hint="eastAsia"/>
                <w:color w:val="auto"/>
                <w:kern w:val="0"/>
              </w:rPr>
              <w:t>在全国公共资源交易平台（河南省·平顶山市）进行确认</w:t>
            </w:r>
          </w:p>
        </w:tc>
      </w:tr>
      <w:tr w14:paraId="711D1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44F219DE">
            <w:pPr>
              <w:wordWrap/>
              <w:topLinePunct w:val="0"/>
              <w:spacing w:line="360" w:lineRule="auto"/>
              <w:rPr>
                <w:color w:val="auto"/>
              </w:rPr>
            </w:pPr>
            <w:r>
              <w:rPr>
                <w:rFonts w:hint="eastAsia"/>
                <w:color w:val="auto"/>
              </w:rPr>
              <w:t>3.3.1</w:t>
            </w:r>
          </w:p>
        </w:tc>
        <w:tc>
          <w:tcPr>
            <w:tcW w:w="2236" w:type="dxa"/>
            <w:noWrap w:val="0"/>
            <w:vAlign w:val="center"/>
          </w:tcPr>
          <w:p w14:paraId="208EBE1D">
            <w:pPr>
              <w:wordWrap/>
              <w:topLinePunct w:val="0"/>
              <w:spacing w:line="360" w:lineRule="auto"/>
              <w:jc w:val="center"/>
              <w:rPr>
                <w:color w:val="auto"/>
              </w:rPr>
            </w:pPr>
            <w:r>
              <w:rPr>
                <w:rFonts w:hint="eastAsia"/>
                <w:color w:val="auto"/>
              </w:rPr>
              <w:t>磋商有效期</w:t>
            </w:r>
          </w:p>
        </w:tc>
        <w:tc>
          <w:tcPr>
            <w:tcW w:w="6329" w:type="dxa"/>
            <w:noWrap w:val="0"/>
            <w:vAlign w:val="top"/>
          </w:tcPr>
          <w:p w14:paraId="212BA3E3">
            <w:pPr>
              <w:wordWrap/>
              <w:topLinePunct w:val="0"/>
              <w:spacing w:line="360" w:lineRule="auto"/>
              <w:rPr>
                <w:color w:val="auto"/>
              </w:rPr>
            </w:pPr>
            <w:r>
              <w:rPr>
                <w:rFonts w:hint="eastAsia"/>
                <w:color w:val="auto"/>
              </w:rPr>
              <w:t>响应文件递交截止之日起</w:t>
            </w:r>
            <w:r>
              <w:rPr>
                <w:rFonts w:hint="eastAsia"/>
                <w:color w:val="auto"/>
                <w:u w:val="single"/>
              </w:rPr>
              <w:t xml:space="preserve">  60  </w:t>
            </w:r>
            <w:r>
              <w:rPr>
                <w:rFonts w:hint="eastAsia"/>
                <w:color w:val="auto"/>
              </w:rPr>
              <w:t>日历天</w:t>
            </w:r>
          </w:p>
        </w:tc>
      </w:tr>
      <w:tr w14:paraId="1BF1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974" w:type="dxa"/>
            <w:noWrap w:val="0"/>
            <w:vAlign w:val="center"/>
          </w:tcPr>
          <w:p w14:paraId="0F025AC1">
            <w:pPr>
              <w:wordWrap/>
              <w:topLinePunct w:val="0"/>
              <w:spacing w:line="360" w:lineRule="auto"/>
              <w:rPr>
                <w:color w:val="auto"/>
              </w:rPr>
            </w:pPr>
            <w:r>
              <w:rPr>
                <w:rFonts w:hint="eastAsia"/>
                <w:color w:val="auto"/>
              </w:rPr>
              <w:t>3.4.1</w:t>
            </w:r>
          </w:p>
        </w:tc>
        <w:tc>
          <w:tcPr>
            <w:tcW w:w="2236" w:type="dxa"/>
            <w:noWrap w:val="0"/>
            <w:vAlign w:val="center"/>
          </w:tcPr>
          <w:p w14:paraId="01D60338">
            <w:pPr>
              <w:wordWrap/>
              <w:topLinePunct w:val="0"/>
              <w:spacing w:line="360" w:lineRule="auto"/>
              <w:jc w:val="center"/>
              <w:rPr>
                <w:color w:val="auto"/>
              </w:rPr>
            </w:pPr>
            <w:r>
              <w:rPr>
                <w:rFonts w:hint="eastAsia"/>
                <w:color w:val="auto"/>
              </w:rPr>
              <w:t>磋商保证金</w:t>
            </w:r>
          </w:p>
        </w:tc>
        <w:tc>
          <w:tcPr>
            <w:tcW w:w="6329" w:type="dxa"/>
            <w:noWrap w:val="0"/>
            <w:vAlign w:val="top"/>
          </w:tcPr>
          <w:p w14:paraId="3D2FC044">
            <w:pPr>
              <w:wordWrap/>
              <w:topLinePunct w:val="0"/>
              <w:spacing w:line="360" w:lineRule="auto"/>
              <w:rPr>
                <w:color w:val="auto"/>
              </w:rPr>
            </w:pPr>
            <w:r>
              <w:rPr>
                <w:rFonts w:hint="eastAsia"/>
                <w:color w:val="auto"/>
              </w:rPr>
              <w:t>不要求，根据豫财购[2019]4号文件的相关规定，本次磋商不收取磋商保证金。</w:t>
            </w:r>
          </w:p>
        </w:tc>
      </w:tr>
      <w:tr w14:paraId="2BC8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49D0C755">
            <w:pPr>
              <w:wordWrap/>
              <w:topLinePunct w:val="0"/>
              <w:spacing w:line="360" w:lineRule="auto"/>
              <w:rPr>
                <w:color w:val="auto"/>
              </w:rPr>
            </w:pPr>
            <w:r>
              <w:rPr>
                <w:color w:val="auto"/>
              </w:rPr>
              <w:t>3.</w:t>
            </w:r>
            <w:r>
              <w:rPr>
                <w:rFonts w:hint="eastAsia"/>
                <w:color w:val="auto"/>
              </w:rPr>
              <w:t>5</w:t>
            </w:r>
            <w:r>
              <w:rPr>
                <w:color w:val="auto"/>
              </w:rPr>
              <w:t>.3</w:t>
            </w:r>
          </w:p>
        </w:tc>
        <w:tc>
          <w:tcPr>
            <w:tcW w:w="2236" w:type="dxa"/>
            <w:noWrap w:val="0"/>
            <w:vAlign w:val="center"/>
          </w:tcPr>
          <w:p w14:paraId="4041FB9E">
            <w:pPr>
              <w:wordWrap/>
              <w:topLinePunct w:val="0"/>
              <w:spacing w:line="360" w:lineRule="auto"/>
              <w:jc w:val="center"/>
              <w:rPr>
                <w:color w:val="auto"/>
              </w:rPr>
            </w:pPr>
            <w:r>
              <w:rPr>
                <w:rFonts w:hint="eastAsia"/>
                <w:color w:val="auto"/>
              </w:rPr>
              <w:t>响应文件签字或盖章要求</w:t>
            </w:r>
          </w:p>
        </w:tc>
        <w:tc>
          <w:tcPr>
            <w:tcW w:w="6329" w:type="dxa"/>
            <w:noWrap w:val="0"/>
            <w:vAlign w:val="center"/>
          </w:tcPr>
          <w:p w14:paraId="43B6161C">
            <w:pPr>
              <w:wordWrap/>
              <w:topLinePunct w:val="0"/>
              <w:spacing w:line="360" w:lineRule="auto"/>
              <w:rPr>
                <w:color w:val="auto"/>
              </w:rPr>
            </w:pPr>
            <w:r>
              <w:rPr>
                <w:rFonts w:hint="eastAsia" w:cs="仿宋_GB2312"/>
                <w:color w:val="auto"/>
                <w:kern w:val="0"/>
              </w:rPr>
              <w:t>按响应文件格式</w:t>
            </w:r>
            <w:r>
              <w:rPr>
                <w:rFonts w:hint="eastAsia"/>
                <w:color w:val="auto"/>
              </w:rPr>
              <w:t>加盖企业电子印章和法定代表人或其委托代理人电子印章。</w:t>
            </w:r>
          </w:p>
        </w:tc>
      </w:tr>
      <w:tr w14:paraId="5B12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6AAAC038">
            <w:pPr>
              <w:wordWrap/>
              <w:topLinePunct w:val="0"/>
              <w:spacing w:line="360" w:lineRule="auto"/>
              <w:rPr>
                <w:color w:val="auto"/>
              </w:rPr>
            </w:pPr>
            <w:r>
              <w:rPr>
                <w:rFonts w:hint="eastAsia"/>
                <w:color w:val="auto"/>
              </w:rPr>
              <w:t>4.1.1</w:t>
            </w:r>
          </w:p>
        </w:tc>
        <w:tc>
          <w:tcPr>
            <w:tcW w:w="2236" w:type="dxa"/>
            <w:noWrap w:val="0"/>
            <w:vAlign w:val="center"/>
          </w:tcPr>
          <w:p w14:paraId="5859F1E6">
            <w:pPr>
              <w:jc w:val="center"/>
              <w:rPr>
                <w:color w:val="auto"/>
              </w:rPr>
            </w:pPr>
            <w:r>
              <w:rPr>
                <w:rFonts w:hint="eastAsia"/>
                <w:color w:val="auto"/>
              </w:rPr>
              <w:t>响应文件加密要求</w:t>
            </w:r>
          </w:p>
        </w:tc>
        <w:tc>
          <w:tcPr>
            <w:tcW w:w="6329" w:type="dxa"/>
            <w:noWrap w:val="0"/>
            <w:vAlign w:val="center"/>
          </w:tcPr>
          <w:p w14:paraId="4F6DBF4E">
            <w:pPr>
              <w:rPr>
                <w:color w:val="auto"/>
              </w:rPr>
            </w:pPr>
            <w:r>
              <w:rPr>
                <w:color w:val="auto"/>
              </w:rPr>
              <w:t>加密</w:t>
            </w:r>
          </w:p>
        </w:tc>
      </w:tr>
      <w:tr w14:paraId="728D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6ECE9C7A">
            <w:pPr>
              <w:wordWrap/>
              <w:topLinePunct w:val="0"/>
              <w:spacing w:line="360" w:lineRule="auto"/>
              <w:rPr>
                <w:color w:val="auto"/>
              </w:rPr>
            </w:pPr>
            <w:r>
              <w:rPr>
                <w:rFonts w:hint="eastAsia"/>
                <w:color w:val="auto"/>
              </w:rPr>
              <w:t>4.2.1</w:t>
            </w:r>
          </w:p>
        </w:tc>
        <w:tc>
          <w:tcPr>
            <w:tcW w:w="2236" w:type="dxa"/>
            <w:noWrap w:val="0"/>
            <w:vAlign w:val="center"/>
          </w:tcPr>
          <w:p w14:paraId="1769F284">
            <w:pPr>
              <w:wordWrap/>
              <w:topLinePunct w:val="0"/>
              <w:spacing w:line="360" w:lineRule="auto"/>
              <w:jc w:val="center"/>
              <w:rPr>
                <w:color w:val="auto"/>
              </w:rPr>
            </w:pPr>
            <w:r>
              <w:rPr>
                <w:rFonts w:hint="eastAsia"/>
                <w:color w:val="auto"/>
              </w:rPr>
              <w:t>提交首次响应文件截止时间</w:t>
            </w:r>
          </w:p>
        </w:tc>
        <w:tc>
          <w:tcPr>
            <w:tcW w:w="6329" w:type="dxa"/>
            <w:noWrap w:val="0"/>
            <w:vAlign w:val="top"/>
          </w:tcPr>
          <w:p w14:paraId="6216E87A">
            <w:pPr>
              <w:wordWrap/>
              <w:topLinePunct w:val="0"/>
              <w:spacing w:line="360" w:lineRule="auto"/>
              <w:rPr>
                <w:color w:val="auto"/>
              </w:rPr>
            </w:pPr>
            <w:r>
              <w:rPr>
                <w:rFonts w:hint="eastAsia"/>
                <w:color w:val="auto"/>
                <w:lang w:eastAsia="zh-CN"/>
              </w:rPr>
              <w:t>2025年</w:t>
            </w:r>
            <w:r>
              <w:rPr>
                <w:rFonts w:hint="eastAsia"/>
                <w:color w:val="auto"/>
                <w:lang w:val="en-US" w:eastAsia="zh-CN"/>
              </w:rPr>
              <w:t>06</w:t>
            </w:r>
            <w:r>
              <w:rPr>
                <w:rFonts w:hint="eastAsia"/>
                <w:color w:val="auto"/>
                <w:lang w:eastAsia="zh-CN"/>
              </w:rPr>
              <w:t>月</w:t>
            </w:r>
            <w:r>
              <w:rPr>
                <w:rFonts w:hint="eastAsia"/>
                <w:color w:val="auto"/>
                <w:lang w:val="en-US" w:eastAsia="zh-CN"/>
              </w:rPr>
              <w:t>09</w:t>
            </w:r>
            <w:r>
              <w:rPr>
                <w:rFonts w:hint="eastAsia"/>
                <w:color w:val="auto"/>
                <w:lang w:eastAsia="zh-CN"/>
              </w:rPr>
              <w:t>日</w:t>
            </w:r>
            <w:r>
              <w:rPr>
                <w:rFonts w:hint="eastAsia"/>
                <w:color w:val="auto"/>
                <w:lang w:val="en-US" w:eastAsia="zh-CN"/>
              </w:rPr>
              <w:t>08</w:t>
            </w:r>
            <w:r>
              <w:rPr>
                <w:rFonts w:hint="eastAsia"/>
                <w:color w:val="auto"/>
                <w:lang w:eastAsia="zh-CN"/>
              </w:rPr>
              <w:t>点</w:t>
            </w:r>
            <w:r>
              <w:rPr>
                <w:rFonts w:hint="eastAsia"/>
                <w:color w:val="auto"/>
                <w:lang w:val="en-US" w:eastAsia="zh-CN"/>
              </w:rPr>
              <w:t>40</w:t>
            </w:r>
            <w:r>
              <w:rPr>
                <w:rFonts w:hint="eastAsia"/>
                <w:color w:val="auto"/>
                <w:lang w:eastAsia="zh-CN"/>
              </w:rPr>
              <w:t>分（北京时间）</w:t>
            </w:r>
          </w:p>
        </w:tc>
      </w:tr>
      <w:tr w14:paraId="3C87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74" w:type="dxa"/>
            <w:noWrap w:val="0"/>
            <w:vAlign w:val="center"/>
          </w:tcPr>
          <w:p w14:paraId="51642986">
            <w:pPr>
              <w:wordWrap/>
              <w:topLinePunct w:val="0"/>
              <w:spacing w:line="360" w:lineRule="auto"/>
              <w:rPr>
                <w:color w:val="auto"/>
              </w:rPr>
            </w:pPr>
            <w:r>
              <w:rPr>
                <w:rFonts w:hint="eastAsia"/>
                <w:color w:val="auto"/>
              </w:rPr>
              <w:t>4.2.2</w:t>
            </w:r>
          </w:p>
        </w:tc>
        <w:tc>
          <w:tcPr>
            <w:tcW w:w="2236" w:type="dxa"/>
            <w:noWrap w:val="0"/>
            <w:vAlign w:val="center"/>
          </w:tcPr>
          <w:p w14:paraId="7C63914D">
            <w:pPr>
              <w:wordWrap/>
              <w:topLinePunct w:val="0"/>
              <w:spacing w:line="360" w:lineRule="auto"/>
              <w:jc w:val="center"/>
              <w:rPr>
                <w:color w:val="auto"/>
              </w:rPr>
            </w:pPr>
            <w:r>
              <w:rPr>
                <w:rFonts w:hint="eastAsia"/>
                <w:color w:val="auto"/>
              </w:rPr>
              <w:t>提交首次响应文件地点</w:t>
            </w:r>
          </w:p>
        </w:tc>
        <w:tc>
          <w:tcPr>
            <w:tcW w:w="6329" w:type="dxa"/>
            <w:noWrap w:val="0"/>
            <w:vAlign w:val="center"/>
          </w:tcPr>
          <w:p w14:paraId="6DA37EC2">
            <w:pPr>
              <w:wordWrap/>
              <w:topLinePunct w:val="0"/>
              <w:spacing w:line="360" w:lineRule="auto"/>
              <w:jc w:val="left"/>
              <w:rPr>
                <w:color w:val="auto"/>
              </w:rPr>
            </w:pPr>
            <w:r>
              <w:rPr>
                <w:rFonts w:hint="eastAsia"/>
                <w:color w:val="auto"/>
                <w:kern w:val="0"/>
              </w:rPr>
              <w:t>平顶山市公共资源交易中心系统</w:t>
            </w:r>
          </w:p>
        </w:tc>
      </w:tr>
      <w:tr w14:paraId="13A4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974" w:type="dxa"/>
            <w:noWrap w:val="0"/>
            <w:vAlign w:val="center"/>
          </w:tcPr>
          <w:p w14:paraId="6E4BBFC5">
            <w:pPr>
              <w:wordWrap/>
              <w:topLinePunct w:val="0"/>
              <w:spacing w:line="360" w:lineRule="auto"/>
              <w:rPr>
                <w:color w:val="auto"/>
              </w:rPr>
            </w:pPr>
            <w:r>
              <w:rPr>
                <w:rFonts w:hint="eastAsia"/>
                <w:color w:val="auto"/>
              </w:rPr>
              <w:t>4.2.3</w:t>
            </w:r>
          </w:p>
        </w:tc>
        <w:tc>
          <w:tcPr>
            <w:tcW w:w="2236" w:type="dxa"/>
            <w:noWrap w:val="0"/>
            <w:vAlign w:val="center"/>
          </w:tcPr>
          <w:p w14:paraId="310073F3">
            <w:pPr>
              <w:wordWrap/>
              <w:topLinePunct w:val="0"/>
              <w:spacing w:line="360" w:lineRule="auto"/>
              <w:jc w:val="center"/>
              <w:rPr>
                <w:color w:val="auto"/>
              </w:rPr>
            </w:pPr>
            <w:r>
              <w:rPr>
                <w:rFonts w:hint="eastAsia"/>
                <w:color w:val="auto"/>
              </w:rPr>
              <w:t>是否退还磋商响应文件</w:t>
            </w:r>
          </w:p>
        </w:tc>
        <w:tc>
          <w:tcPr>
            <w:tcW w:w="6329" w:type="dxa"/>
            <w:noWrap w:val="0"/>
            <w:vAlign w:val="center"/>
          </w:tcPr>
          <w:p w14:paraId="1DBD54ED">
            <w:pPr>
              <w:wordWrap/>
              <w:topLinePunct w:val="0"/>
              <w:spacing w:line="360" w:lineRule="auto"/>
              <w:rPr>
                <w:color w:val="auto"/>
              </w:rPr>
            </w:pPr>
            <w:r>
              <w:rPr>
                <w:rFonts w:hint="eastAsia"/>
                <w:color w:val="auto"/>
              </w:rPr>
              <w:t>否</w:t>
            </w:r>
          </w:p>
        </w:tc>
      </w:tr>
      <w:tr w14:paraId="4C85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742DE6BC">
            <w:pPr>
              <w:wordWrap/>
              <w:topLinePunct w:val="0"/>
              <w:spacing w:line="360" w:lineRule="auto"/>
              <w:rPr>
                <w:color w:val="auto"/>
              </w:rPr>
            </w:pPr>
            <w:r>
              <w:rPr>
                <w:rFonts w:hint="eastAsia"/>
                <w:color w:val="auto"/>
              </w:rPr>
              <w:t>5.1</w:t>
            </w:r>
          </w:p>
        </w:tc>
        <w:tc>
          <w:tcPr>
            <w:tcW w:w="2236" w:type="dxa"/>
            <w:noWrap w:val="0"/>
            <w:vAlign w:val="center"/>
          </w:tcPr>
          <w:p w14:paraId="036A324F">
            <w:pPr>
              <w:wordWrap/>
              <w:topLinePunct w:val="0"/>
              <w:spacing w:line="360" w:lineRule="auto"/>
              <w:jc w:val="center"/>
              <w:rPr>
                <w:color w:val="auto"/>
              </w:rPr>
            </w:pPr>
            <w:r>
              <w:rPr>
                <w:rFonts w:hint="eastAsia"/>
                <w:color w:val="auto"/>
              </w:rPr>
              <w:t>开启时间和地点</w:t>
            </w:r>
          </w:p>
        </w:tc>
        <w:tc>
          <w:tcPr>
            <w:tcW w:w="6329" w:type="dxa"/>
            <w:noWrap w:val="0"/>
            <w:vAlign w:val="top"/>
          </w:tcPr>
          <w:p w14:paraId="50AF1359">
            <w:pPr>
              <w:wordWrap/>
              <w:topLinePunct w:val="0"/>
              <w:spacing w:line="360" w:lineRule="auto"/>
              <w:rPr>
                <w:color w:val="auto"/>
              </w:rPr>
            </w:pPr>
            <w:r>
              <w:rPr>
                <w:rFonts w:hint="eastAsia"/>
                <w:color w:val="auto"/>
              </w:rPr>
              <w:t>开启时间：同提交首次响应文件截止时间</w:t>
            </w:r>
          </w:p>
          <w:p w14:paraId="58380C35">
            <w:pPr>
              <w:wordWrap/>
              <w:topLinePunct w:val="0"/>
              <w:spacing w:line="360" w:lineRule="auto"/>
              <w:rPr>
                <w:color w:val="auto"/>
              </w:rPr>
            </w:pPr>
            <w:r>
              <w:rPr>
                <w:rFonts w:hint="eastAsia"/>
                <w:color w:val="auto"/>
              </w:rPr>
              <w:t>开启地点：同提交首次响应文件地点</w:t>
            </w:r>
          </w:p>
        </w:tc>
      </w:tr>
      <w:tr w14:paraId="4EE33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974" w:type="dxa"/>
            <w:noWrap w:val="0"/>
            <w:vAlign w:val="center"/>
          </w:tcPr>
          <w:p w14:paraId="11D313B8">
            <w:pPr>
              <w:wordWrap/>
              <w:topLinePunct w:val="0"/>
              <w:spacing w:line="360" w:lineRule="auto"/>
              <w:rPr>
                <w:color w:val="auto"/>
              </w:rPr>
            </w:pPr>
            <w:r>
              <w:rPr>
                <w:rFonts w:hint="eastAsia"/>
                <w:color w:val="auto"/>
              </w:rPr>
              <w:t>5.3.1</w:t>
            </w:r>
          </w:p>
        </w:tc>
        <w:tc>
          <w:tcPr>
            <w:tcW w:w="2236" w:type="dxa"/>
            <w:noWrap w:val="0"/>
            <w:vAlign w:val="center"/>
          </w:tcPr>
          <w:p w14:paraId="059012BC">
            <w:pPr>
              <w:wordWrap/>
              <w:topLinePunct w:val="0"/>
              <w:spacing w:line="360" w:lineRule="auto"/>
              <w:jc w:val="center"/>
              <w:rPr>
                <w:color w:val="auto"/>
              </w:rPr>
            </w:pPr>
            <w:r>
              <w:rPr>
                <w:rFonts w:hint="eastAsia"/>
                <w:color w:val="auto"/>
              </w:rPr>
              <w:t>磋商小组的组建</w:t>
            </w:r>
          </w:p>
        </w:tc>
        <w:tc>
          <w:tcPr>
            <w:tcW w:w="6329" w:type="dxa"/>
            <w:noWrap w:val="0"/>
            <w:vAlign w:val="top"/>
          </w:tcPr>
          <w:p w14:paraId="5811C061">
            <w:pPr>
              <w:spacing w:line="360" w:lineRule="exact"/>
              <w:jc w:val="left"/>
              <w:rPr>
                <w:color w:val="auto"/>
                <w:kern w:val="0"/>
              </w:rPr>
            </w:pPr>
            <w:r>
              <w:rPr>
                <w:rFonts w:hint="eastAsia"/>
                <w:color w:val="auto"/>
                <w:kern w:val="0"/>
              </w:rPr>
              <w:t xml:space="preserve">磋商小组构成：磋商小组由采购人代表和评审专家组成，成员人数应该为3人以上单数，其中技术、经济等方面的专家不少于总人数的2/3 </w:t>
            </w:r>
          </w:p>
          <w:p w14:paraId="63EE4080">
            <w:pPr>
              <w:wordWrap/>
              <w:topLinePunct w:val="0"/>
              <w:spacing w:line="360" w:lineRule="auto"/>
              <w:rPr>
                <w:color w:val="auto"/>
                <w:kern w:val="0"/>
              </w:rPr>
            </w:pPr>
            <w:r>
              <w:rPr>
                <w:rFonts w:hint="eastAsia"/>
                <w:color w:val="auto"/>
                <w:kern w:val="0"/>
              </w:rPr>
              <w:t>开标前在相关综合评标专家库中随机抽取.</w:t>
            </w:r>
          </w:p>
          <w:p w14:paraId="6BA6F0E4">
            <w:pPr>
              <w:wordWrap/>
              <w:topLinePunct w:val="0"/>
              <w:spacing w:line="360" w:lineRule="auto"/>
              <w:rPr>
                <w:color w:val="auto"/>
              </w:rPr>
            </w:pPr>
            <w:r>
              <w:rPr>
                <w:rFonts w:hint="eastAsia"/>
                <w:b/>
                <w:color w:val="auto"/>
              </w:rPr>
              <w:t>备注：上述规定为一组评标专家组成方式，根据项目标段数量和评标工作量，可由多组专家完成评审，但一个标段只能由一组专家评审。</w:t>
            </w:r>
          </w:p>
        </w:tc>
      </w:tr>
      <w:tr w14:paraId="11F03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79B74A35">
            <w:pPr>
              <w:wordWrap/>
              <w:topLinePunct w:val="0"/>
              <w:spacing w:line="360" w:lineRule="auto"/>
              <w:rPr>
                <w:color w:val="auto"/>
              </w:rPr>
            </w:pPr>
            <w:r>
              <w:rPr>
                <w:rFonts w:hint="eastAsia"/>
                <w:color w:val="auto"/>
              </w:rPr>
              <w:t>5.3.3</w:t>
            </w:r>
          </w:p>
        </w:tc>
        <w:tc>
          <w:tcPr>
            <w:tcW w:w="2236" w:type="dxa"/>
            <w:noWrap w:val="0"/>
            <w:vAlign w:val="center"/>
          </w:tcPr>
          <w:p w14:paraId="1468122A">
            <w:pPr>
              <w:wordWrap/>
              <w:topLinePunct w:val="0"/>
              <w:spacing w:line="360" w:lineRule="auto"/>
              <w:jc w:val="center"/>
              <w:rPr>
                <w:color w:val="auto"/>
              </w:rPr>
            </w:pPr>
            <w:r>
              <w:rPr>
                <w:rFonts w:hint="eastAsia"/>
                <w:color w:val="auto"/>
              </w:rPr>
              <w:t>是否授权磋商小组确定成交供应商</w:t>
            </w:r>
          </w:p>
        </w:tc>
        <w:tc>
          <w:tcPr>
            <w:tcW w:w="6329" w:type="dxa"/>
            <w:noWrap w:val="0"/>
            <w:vAlign w:val="center"/>
          </w:tcPr>
          <w:p w14:paraId="25295887">
            <w:pPr>
              <w:wordWrap/>
              <w:topLinePunct w:val="0"/>
              <w:spacing w:line="360" w:lineRule="auto"/>
              <w:rPr>
                <w:color w:val="auto"/>
              </w:rPr>
            </w:pPr>
            <w:r>
              <w:rPr>
                <w:rFonts w:hint="eastAsia"/>
                <w:color w:val="auto"/>
              </w:rPr>
              <w:t>否，推荐的成交候选人数：3名</w:t>
            </w:r>
          </w:p>
        </w:tc>
      </w:tr>
      <w:tr w14:paraId="589BD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noWrap w:val="0"/>
            <w:vAlign w:val="center"/>
          </w:tcPr>
          <w:p w14:paraId="1FF583EB">
            <w:pPr>
              <w:wordWrap/>
              <w:topLinePunct w:val="0"/>
              <w:spacing w:line="360" w:lineRule="auto"/>
              <w:rPr>
                <w:color w:val="auto"/>
              </w:rPr>
            </w:pPr>
            <w:r>
              <w:rPr>
                <w:rFonts w:hint="eastAsia"/>
                <w:color w:val="auto"/>
              </w:rPr>
              <w:t>5.9</w:t>
            </w:r>
          </w:p>
        </w:tc>
        <w:tc>
          <w:tcPr>
            <w:tcW w:w="2236" w:type="dxa"/>
            <w:noWrap w:val="0"/>
            <w:vAlign w:val="center"/>
          </w:tcPr>
          <w:p w14:paraId="4CE00961">
            <w:pPr>
              <w:wordWrap/>
              <w:topLinePunct w:val="0"/>
              <w:spacing w:line="360" w:lineRule="auto"/>
              <w:jc w:val="center"/>
              <w:rPr>
                <w:color w:val="auto"/>
              </w:rPr>
            </w:pPr>
            <w:r>
              <w:rPr>
                <w:rFonts w:hint="eastAsia"/>
                <w:color w:val="auto"/>
              </w:rPr>
              <w:t>履约保证金</w:t>
            </w:r>
          </w:p>
        </w:tc>
        <w:tc>
          <w:tcPr>
            <w:tcW w:w="6329" w:type="dxa"/>
            <w:noWrap w:val="0"/>
            <w:vAlign w:val="center"/>
          </w:tcPr>
          <w:p w14:paraId="15F70DED">
            <w:pPr>
              <w:wordWrap/>
              <w:topLinePunct w:val="0"/>
              <w:spacing w:line="400" w:lineRule="exact"/>
              <w:rPr>
                <w:color w:val="auto"/>
              </w:rPr>
            </w:pPr>
            <w:r>
              <w:rPr>
                <w:rFonts w:hint="eastAsia"/>
                <w:color w:val="auto"/>
              </w:rPr>
              <w:t>不要求</w:t>
            </w:r>
          </w:p>
        </w:tc>
      </w:tr>
      <w:tr w14:paraId="5B9CF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974" w:type="dxa"/>
            <w:noWrap w:val="0"/>
            <w:vAlign w:val="center"/>
          </w:tcPr>
          <w:p w14:paraId="555334BE">
            <w:pPr>
              <w:wordWrap/>
              <w:topLinePunct w:val="0"/>
              <w:spacing w:line="360" w:lineRule="auto"/>
              <w:rPr>
                <w:color w:val="auto"/>
              </w:rPr>
            </w:pPr>
            <w:r>
              <w:rPr>
                <w:rFonts w:hint="eastAsia"/>
                <w:color w:val="auto"/>
              </w:rPr>
              <w:t>10.1</w:t>
            </w:r>
          </w:p>
        </w:tc>
        <w:tc>
          <w:tcPr>
            <w:tcW w:w="2236" w:type="dxa"/>
            <w:noWrap w:val="0"/>
            <w:vAlign w:val="center"/>
          </w:tcPr>
          <w:p w14:paraId="04145C21">
            <w:pPr>
              <w:wordWrap/>
              <w:topLinePunct w:val="0"/>
              <w:spacing w:line="360" w:lineRule="auto"/>
              <w:jc w:val="center"/>
              <w:rPr>
                <w:color w:val="auto"/>
              </w:rPr>
            </w:pPr>
            <w:r>
              <w:rPr>
                <w:rFonts w:hint="eastAsia"/>
                <w:color w:val="auto"/>
              </w:rPr>
              <w:t>代理费用收取方式及标准</w:t>
            </w:r>
          </w:p>
        </w:tc>
        <w:tc>
          <w:tcPr>
            <w:tcW w:w="6329" w:type="dxa"/>
            <w:noWrap w:val="0"/>
            <w:vAlign w:val="center"/>
          </w:tcPr>
          <w:p w14:paraId="36BA455C">
            <w:pPr>
              <w:wordWrap/>
              <w:topLinePunct w:val="0"/>
              <w:spacing w:line="360" w:lineRule="auto"/>
              <w:rPr>
                <w:color w:val="auto"/>
              </w:rPr>
            </w:pPr>
            <w:r>
              <w:rPr>
                <w:rFonts w:hint="eastAsia" w:ascii="宋体" w:hAnsi="宋体"/>
                <w:color w:val="auto"/>
                <w:szCs w:val="21"/>
              </w:rPr>
              <w:t>据</w:t>
            </w:r>
            <w:r>
              <w:rPr>
                <w:rFonts w:hint="eastAsia" w:ascii="宋体" w:hAnsi="宋体"/>
                <w:color w:val="auto"/>
                <w:szCs w:val="21"/>
                <w:lang w:val="en-US" w:eastAsia="zh-CN"/>
              </w:rPr>
              <w:t>豫招协</w:t>
            </w:r>
            <w:r>
              <w:rPr>
                <w:rFonts w:hint="eastAsia" w:ascii="宋体" w:hAnsi="宋体"/>
                <w:color w:val="auto"/>
                <w:szCs w:val="21"/>
              </w:rPr>
              <w:t>【</w:t>
            </w:r>
            <w:r>
              <w:rPr>
                <w:rFonts w:hint="eastAsia" w:ascii="宋体" w:hAnsi="宋体"/>
                <w:color w:val="auto"/>
                <w:szCs w:val="21"/>
                <w:lang w:val="en-US" w:eastAsia="zh-CN"/>
              </w:rPr>
              <w:t>2023</w:t>
            </w:r>
            <w:r>
              <w:rPr>
                <w:rFonts w:hint="eastAsia" w:ascii="宋体" w:hAnsi="宋体"/>
                <w:color w:val="auto"/>
                <w:szCs w:val="21"/>
              </w:rPr>
              <w:t>】</w:t>
            </w:r>
            <w:r>
              <w:rPr>
                <w:rFonts w:hint="eastAsia" w:ascii="宋体" w:hAnsi="宋体"/>
                <w:color w:val="auto"/>
                <w:szCs w:val="21"/>
                <w:lang w:val="en-US" w:eastAsia="zh-CN"/>
              </w:rPr>
              <w:t>002</w:t>
            </w:r>
            <w:r>
              <w:rPr>
                <w:rFonts w:hint="eastAsia" w:ascii="宋体" w:hAnsi="宋体"/>
                <w:color w:val="auto"/>
                <w:szCs w:val="21"/>
              </w:rPr>
              <w:t>号文件规定向中标人收取，此费用投标人应综合考虑到投标报价中。</w:t>
            </w:r>
          </w:p>
        </w:tc>
      </w:tr>
      <w:tr w14:paraId="3450E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jc w:val="center"/>
        </w:trPr>
        <w:tc>
          <w:tcPr>
            <w:tcW w:w="974" w:type="dxa"/>
            <w:noWrap w:val="0"/>
            <w:vAlign w:val="center"/>
          </w:tcPr>
          <w:p w14:paraId="4F558912">
            <w:pPr>
              <w:wordWrap/>
              <w:topLinePunct w:val="0"/>
              <w:spacing w:line="360" w:lineRule="auto"/>
              <w:rPr>
                <w:color w:val="auto"/>
              </w:rPr>
            </w:pPr>
            <w:r>
              <w:rPr>
                <w:rFonts w:hint="eastAsia"/>
                <w:color w:val="auto"/>
              </w:rPr>
              <w:t>10.2</w:t>
            </w:r>
          </w:p>
        </w:tc>
        <w:tc>
          <w:tcPr>
            <w:tcW w:w="2236" w:type="dxa"/>
            <w:noWrap w:val="0"/>
            <w:vAlign w:val="center"/>
          </w:tcPr>
          <w:p w14:paraId="7D216033">
            <w:pPr>
              <w:wordWrap/>
              <w:topLinePunct w:val="0"/>
              <w:spacing w:line="360" w:lineRule="auto"/>
              <w:jc w:val="center"/>
              <w:rPr>
                <w:color w:val="auto"/>
              </w:rPr>
            </w:pPr>
            <w:r>
              <w:rPr>
                <w:rFonts w:hint="eastAsia"/>
                <w:color w:val="auto"/>
              </w:rPr>
              <w:t>需要补充的其他内容</w:t>
            </w:r>
          </w:p>
        </w:tc>
        <w:tc>
          <w:tcPr>
            <w:tcW w:w="6329" w:type="dxa"/>
            <w:noWrap w:val="0"/>
            <w:vAlign w:val="center"/>
          </w:tcPr>
          <w:p w14:paraId="7217E756">
            <w:pPr>
              <w:numPr>
                <w:ilvl w:val="0"/>
                <w:numId w:val="1"/>
              </w:numPr>
              <w:wordWrap/>
              <w:topLinePunct w:val="0"/>
              <w:spacing w:line="360" w:lineRule="auto"/>
              <w:rPr>
                <w:b/>
                <w:color w:val="auto"/>
              </w:rPr>
            </w:pPr>
            <w:r>
              <w:rPr>
                <w:rFonts w:hint="eastAsia"/>
                <w:b/>
                <w:color w:val="auto"/>
              </w:rPr>
              <w:t>本项目设置最高投标限价，最高投标限价为</w:t>
            </w:r>
            <w:r>
              <w:rPr>
                <w:rFonts w:hint="eastAsia"/>
                <w:b/>
                <w:bCs/>
                <w:color w:val="auto"/>
              </w:rPr>
              <w:t xml:space="preserve"> </w:t>
            </w:r>
            <w:r>
              <w:rPr>
                <w:b/>
                <w:bCs/>
                <w:color w:val="auto"/>
              </w:rPr>
              <w:t xml:space="preserve"> </w:t>
            </w:r>
            <w:r>
              <w:rPr>
                <w:rFonts w:hint="eastAsia"/>
                <w:b/>
                <w:bCs/>
                <w:color w:val="auto"/>
              </w:rPr>
              <w:t>5</w:t>
            </w:r>
            <w:r>
              <w:rPr>
                <w:rFonts w:hint="eastAsia"/>
                <w:b/>
                <w:bCs/>
                <w:color w:val="auto"/>
                <w:lang w:val="en-US" w:eastAsia="zh-CN"/>
              </w:rPr>
              <w:t>5</w:t>
            </w:r>
            <w:r>
              <w:rPr>
                <w:b/>
                <w:bCs/>
                <w:color w:val="auto"/>
              </w:rPr>
              <w:t>0000.00元</w:t>
            </w:r>
            <w:r>
              <w:rPr>
                <w:rFonts w:hint="eastAsia"/>
                <w:b/>
                <w:color w:val="auto"/>
              </w:rPr>
              <w:t>。投标报价不得超过其最高投标限价。否则其投标将被否决。</w:t>
            </w:r>
          </w:p>
          <w:p w14:paraId="1CDB1795">
            <w:pPr>
              <w:wordWrap/>
              <w:topLinePunct w:val="0"/>
              <w:spacing w:line="360" w:lineRule="auto"/>
              <w:rPr>
                <w:color w:val="auto"/>
              </w:rPr>
            </w:pPr>
            <w:r>
              <w:rPr>
                <w:rFonts w:hint="eastAsia"/>
                <w:color w:val="auto"/>
                <w:lang w:val="en-US" w:eastAsia="zh-CN"/>
              </w:rPr>
              <w:t>2</w:t>
            </w:r>
            <w:r>
              <w:rPr>
                <w:rFonts w:hint="eastAsia"/>
                <w:color w:val="auto"/>
              </w:rPr>
              <w:t>.成交单位与采购人签订合同后，将合同副本原件报采购代理机构备案 。</w:t>
            </w:r>
          </w:p>
        </w:tc>
      </w:tr>
      <w:tr w14:paraId="30421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539" w:type="dxa"/>
            <w:gridSpan w:val="3"/>
            <w:noWrap w:val="0"/>
            <w:vAlign w:val="center"/>
          </w:tcPr>
          <w:p w14:paraId="1C9BF65E">
            <w:pPr>
              <w:snapToGrid w:val="0"/>
              <w:spacing w:line="360" w:lineRule="auto"/>
              <w:jc w:val="center"/>
              <w:rPr>
                <w:color w:val="auto"/>
              </w:rPr>
            </w:pPr>
            <w:r>
              <w:rPr>
                <w:rFonts w:hint="eastAsia"/>
                <w:color w:val="auto"/>
              </w:rPr>
              <w:t>全流程电子化交易注意事项</w:t>
            </w:r>
          </w:p>
          <w:p w14:paraId="715F4AF6">
            <w:pPr>
              <w:snapToGrid w:val="0"/>
              <w:spacing w:line="360" w:lineRule="auto"/>
              <w:ind w:firstLine="210" w:firstLineChars="100"/>
              <w:rPr>
                <w:color w:val="auto"/>
              </w:rPr>
            </w:pPr>
            <w:r>
              <w:rPr>
                <w:rFonts w:hint="eastAsia"/>
                <w:color w:val="auto"/>
              </w:rPr>
              <w:t>电子化交易项目投标文件是投标人、供应商（以下简称“投标人”）通过中心投标文件制作系统制作，并经过签章和加密后生成的电子版投标文件。（电子化投标文件具体制作教材请投标人通过CA证书登录公共资源电子化交易系统在右上角“组件下载”中查看）制作电子化投标文件，需仔细阅读以下条款。</w:t>
            </w:r>
          </w:p>
          <w:p w14:paraId="6DFBA7A8">
            <w:pPr>
              <w:snapToGrid w:val="0"/>
              <w:spacing w:line="360" w:lineRule="auto"/>
              <w:ind w:firstLine="210" w:firstLineChars="100"/>
              <w:rPr>
                <w:color w:val="auto"/>
              </w:rPr>
            </w:pPr>
            <w:r>
              <w:rPr>
                <w:rFonts w:hint="eastAsia"/>
                <w:color w:val="auto"/>
              </w:rPr>
              <w:t>一、电子化投标</w:t>
            </w:r>
          </w:p>
          <w:p w14:paraId="6120010F">
            <w:pPr>
              <w:snapToGrid w:val="0"/>
              <w:spacing w:line="360" w:lineRule="auto"/>
              <w:ind w:firstLine="210" w:firstLineChars="100"/>
              <w:rPr>
                <w:color w:val="auto"/>
              </w:rPr>
            </w:pPr>
            <w:r>
              <w:rPr>
                <w:rFonts w:hint="eastAsia"/>
                <w:color w:val="auto"/>
              </w:rPr>
              <w:t>（一）网上投标保证金的缴纳</w:t>
            </w:r>
          </w:p>
          <w:p w14:paraId="13AA3B03">
            <w:pPr>
              <w:snapToGrid w:val="0"/>
              <w:spacing w:line="360" w:lineRule="auto"/>
              <w:ind w:firstLine="210" w:firstLineChars="100"/>
              <w:rPr>
                <w:color w:val="auto"/>
              </w:rPr>
            </w:pPr>
            <w:r>
              <w:rPr>
                <w:rFonts w:hint="eastAsia"/>
                <w:color w:val="auto"/>
              </w:rPr>
              <w:t>1、递交形式: 投标人的投标保证金必须通过投标人基本账户以转账或电汇的形式缴纳（账户必须是已加入平顶山市公共资源交易投标人或供应商诚信库中的账户）。</w:t>
            </w:r>
          </w:p>
          <w:p w14:paraId="2EB47921">
            <w:pPr>
              <w:snapToGrid w:val="0"/>
              <w:spacing w:line="360" w:lineRule="auto"/>
              <w:ind w:firstLine="210" w:firstLineChars="100"/>
              <w:rPr>
                <w:color w:val="auto"/>
              </w:rPr>
            </w:pPr>
            <w:r>
              <w:rPr>
                <w:rFonts w:hint="eastAsia"/>
                <w:color w:val="auto"/>
              </w:rPr>
              <w:t>2、投标人缴纳投标保证金后，应在规定的缴纳截止时间前通过平顶山市公共资源电子化交易系统将保证金成功绑定至所投标项目和标段。保证金绑定操作手册，请登录平顶山市公共资源交易中心网站在办事指南中网上投标栏目查看。</w:t>
            </w:r>
          </w:p>
          <w:p w14:paraId="12B9B4AB">
            <w:pPr>
              <w:snapToGrid w:val="0"/>
              <w:spacing w:line="360" w:lineRule="auto"/>
              <w:ind w:firstLine="210" w:firstLineChars="100"/>
              <w:rPr>
                <w:color w:val="auto"/>
              </w:rPr>
            </w:pPr>
            <w:r>
              <w:rPr>
                <w:rFonts w:hint="eastAsia"/>
                <w:color w:val="auto"/>
              </w:rPr>
              <w:t>3、投标人在成功绑定后，可以将系统生成的回执单图片制作在投标文件中，作为缴纳保证金的依据。</w:t>
            </w:r>
          </w:p>
          <w:p w14:paraId="2B693263">
            <w:pPr>
              <w:snapToGrid w:val="0"/>
              <w:spacing w:line="360" w:lineRule="auto"/>
              <w:ind w:firstLine="210" w:firstLineChars="100"/>
              <w:rPr>
                <w:color w:val="auto"/>
              </w:rPr>
            </w:pPr>
            <w:r>
              <w:rPr>
                <w:rFonts w:hint="eastAsia"/>
                <w:color w:val="auto"/>
              </w:rPr>
              <w:t>4、投标人应仔细阅读操作手册并充分考虑异地跨行转账到账时间等因素，因投标人操作不当或银行到账时间等问题造成保证金无法正常绑定影响投标的，由投标人自行承担后果。</w:t>
            </w:r>
          </w:p>
          <w:p w14:paraId="146C6C41">
            <w:pPr>
              <w:snapToGrid w:val="0"/>
              <w:spacing w:line="360" w:lineRule="auto"/>
              <w:ind w:firstLine="210" w:firstLineChars="100"/>
              <w:rPr>
                <w:color w:val="auto"/>
              </w:rPr>
            </w:pPr>
            <w:r>
              <w:rPr>
                <w:rFonts w:hint="eastAsia"/>
                <w:color w:val="auto"/>
              </w:rPr>
              <w:t>5、未中标投标人的投标保证金在项目结束后，由中介服务机构向中心项目负责人提出退款申请，项目负责人同意并经财务部门核对后，通过中心交易平台退还给投标人。</w:t>
            </w:r>
          </w:p>
          <w:p w14:paraId="2F8E9706">
            <w:pPr>
              <w:snapToGrid w:val="0"/>
              <w:spacing w:line="360" w:lineRule="auto"/>
              <w:ind w:firstLine="210" w:firstLineChars="100"/>
              <w:rPr>
                <w:color w:val="auto"/>
              </w:rPr>
            </w:pPr>
            <w:r>
              <w:rPr>
                <w:rFonts w:hint="eastAsia"/>
                <w:color w:val="auto"/>
              </w:rPr>
              <w:t>（二）电子化投标文件的签章</w:t>
            </w:r>
          </w:p>
          <w:p w14:paraId="4FF0735F">
            <w:pPr>
              <w:snapToGrid w:val="0"/>
              <w:spacing w:line="360" w:lineRule="auto"/>
              <w:ind w:firstLine="210" w:firstLineChars="100"/>
              <w:rPr>
                <w:color w:val="auto"/>
              </w:rPr>
            </w:pPr>
            <w:r>
              <w:rPr>
                <w:rFonts w:hint="eastAsia"/>
                <w:color w:val="auto"/>
              </w:rPr>
              <w:t>1、投标人在生成电子化投标文件后，应对电子化投标文件进行签章，未进行签章的视为无效投标。</w:t>
            </w:r>
          </w:p>
          <w:p w14:paraId="79547109">
            <w:pPr>
              <w:snapToGrid w:val="0"/>
              <w:spacing w:line="360" w:lineRule="auto"/>
              <w:ind w:firstLine="210" w:firstLineChars="100"/>
              <w:rPr>
                <w:color w:val="auto"/>
              </w:rPr>
            </w:pPr>
            <w:r>
              <w:rPr>
                <w:rFonts w:hint="eastAsia"/>
                <w:color w:val="auto"/>
              </w:rPr>
              <w:t>2、招标文件中要求法定代表人或授权委托人签字或盖章的，投标人在进行电子化投标文件签章时，以签盖法定代表人签章为准。电子化投标文件具体制作教材请投标人通过CA证书登录平顶山市公共资源电子化交易系统在右上角“组件下载”中查看。</w:t>
            </w:r>
          </w:p>
          <w:p w14:paraId="3C2235C4">
            <w:pPr>
              <w:snapToGrid w:val="0"/>
              <w:spacing w:line="360" w:lineRule="auto"/>
              <w:ind w:firstLine="210" w:firstLineChars="100"/>
              <w:rPr>
                <w:color w:val="auto"/>
              </w:rPr>
            </w:pPr>
            <w:r>
              <w:rPr>
                <w:rFonts w:hint="eastAsia"/>
                <w:color w:val="auto"/>
              </w:rPr>
              <w:t>（三）电子化投标文件的格式及上传投标；</w:t>
            </w:r>
          </w:p>
          <w:p w14:paraId="7C93D231">
            <w:pPr>
              <w:snapToGrid w:val="0"/>
              <w:spacing w:line="360" w:lineRule="auto"/>
              <w:ind w:firstLine="210" w:firstLineChars="100"/>
              <w:rPr>
                <w:color w:val="auto"/>
              </w:rPr>
            </w:pPr>
            <w:r>
              <w:rPr>
                <w:rFonts w:hint="eastAsia"/>
                <w:color w:val="auto"/>
              </w:rPr>
              <w:t>1、投标人所上传的电子化投标文件，应是通过中心投标文件制作系统制作的，经过签章和加密后生成的电子版投标文件。生成的电子版投标文件包含用于投标文件上传的主文件（项目文件格式为：xxx公司_ 项目名称.file）和用于应急补救的投标文件备份文件（项目文件格式为：xxx公司_ 项目名称.bin），备份文件主要用于电子化开标出现技术问题后的补救，请投标人随身携带。</w:t>
            </w:r>
          </w:p>
          <w:p w14:paraId="46403A63">
            <w:pPr>
              <w:snapToGrid w:val="0"/>
              <w:spacing w:line="360" w:lineRule="auto"/>
              <w:ind w:firstLine="210" w:firstLineChars="100"/>
              <w:rPr>
                <w:color w:val="auto"/>
              </w:rPr>
            </w:pPr>
            <w:r>
              <w:rPr>
                <w:rFonts w:hint="eastAsia"/>
                <w:color w:val="auto"/>
              </w:rPr>
              <w:t>注：（1）投标人投报多个标段的，根据标段制作各个标段的投标文件后上传。</w:t>
            </w:r>
          </w:p>
          <w:p w14:paraId="32C103E4">
            <w:pPr>
              <w:snapToGrid w:val="0"/>
              <w:spacing w:line="360" w:lineRule="auto"/>
              <w:ind w:firstLine="210" w:firstLineChars="100"/>
              <w:rPr>
                <w:color w:val="auto"/>
              </w:rPr>
            </w:pPr>
            <w:r>
              <w:rPr>
                <w:rFonts w:hint="eastAsia"/>
                <w:color w:val="auto"/>
              </w:rPr>
              <w:t>2、电子化投标文件应在投标截止时间前成功上传至平顶山市公共资源电子化交易系统。至投标截止时间止，仍未上传成功的电子化投标文件将不予接收。</w:t>
            </w:r>
          </w:p>
          <w:p w14:paraId="0265CE11">
            <w:pPr>
              <w:snapToGrid w:val="0"/>
              <w:spacing w:line="360" w:lineRule="auto"/>
              <w:ind w:firstLine="210" w:firstLineChars="100"/>
              <w:rPr>
                <w:color w:val="auto"/>
              </w:rPr>
            </w:pPr>
            <w:r>
              <w:rPr>
                <w:rFonts w:hint="eastAsia"/>
                <w:color w:val="auto"/>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14:paraId="69F34054">
            <w:pPr>
              <w:snapToGrid w:val="0"/>
              <w:spacing w:line="360" w:lineRule="auto"/>
              <w:ind w:firstLine="210" w:firstLineChars="100"/>
              <w:rPr>
                <w:color w:val="auto"/>
              </w:rPr>
            </w:pPr>
            <w:r>
              <w:rPr>
                <w:rFonts w:hint="eastAsia"/>
                <w:color w:val="auto"/>
              </w:rPr>
              <w:t>3、投标人编辑电子投标文件时，根据招标文件要求用法定代表人 CA 密钥和企业CA 密钥进行签章制作；最后一步生成电子投标文件时，只能用本单位的企业 CA 密钥。</w:t>
            </w:r>
          </w:p>
          <w:p w14:paraId="74100DAD">
            <w:pPr>
              <w:snapToGrid w:val="0"/>
              <w:spacing w:line="360" w:lineRule="auto"/>
              <w:ind w:firstLine="210" w:firstLineChars="100"/>
              <w:rPr>
                <w:color w:val="auto"/>
              </w:rPr>
            </w:pPr>
            <w:r>
              <w:rPr>
                <w:rFonts w:hint="eastAsia"/>
                <w:color w:val="auto"/>
              </w:rPr>
              <w:t>（四）电子化项目开标、解密、唱标、评标</w:t>
            </w:r>
          </w:p>
          <w:p w14:paraId="2D14BC8A">
            <w:pPr>
              <w:snapToGrid w:val="0"/>
              <w:spacing w:line="360" w:lineRule="auto"/>
              <w:ind w:firstLine="210" w:firstLineChars="100"/>
              <w:rPr>
                <w:color w:val="auto"/>
              </w:rPr>
            </w:pPr>
            <w:r>
              <w:rPr>
                <w:rFonts w:hint="eastAsia"/>
                <w:color w:val="auto"/>
              </w:rPr>
              <w:t>1、电子化投标文件采用双重加密方式。开标时，首先由投标人使用CA证书，在规定时间内对其电子化投标文件进行首次解密，投标人解密完成后，再由中介服务机构使用CA证书对投标文件进行再次解密。</w:t>
            </w:r>
          </w:p>
          <w:p w14:paraId="60D23B51">
            <w:pPr>
              <w:snapToGrid w:val="0"/>
              <w:spacing w:line="360" w:lineRule="auto"/>
              <w:ind w:firstLine="210" w:firstLineChars="100"/>
              <w:rPr>
                <w:color w:val="auto"/>
              </w:rPr>
            </w:pPr>
            <w:r>
              <w:rPr>
                <w:rFonts w:hint="eastAsia"/>
                <w:color w:val="auto"/>
              </w:rPr>
              <w:t>2、电子化投标文件解密异常的处理</w:t>
            </w:r>
          </w:p>
          <w:p w14:paraId="4D26FE56">
            <w:pPr>
              <w:snapToGrid w:val="0"/>
              <w:spacing w:line="360" w:lineRule="auto"/>
              <w:rPr>
                <w:color w:val="auto"/>
              </w:rPr>
            </w:pPr>
            <w:r>
              <w:rPr>
                <w:rFonts w:hint="eastAsia"/>
                <w:color w:val="auto"/>
              </w:rPr>
              <w:t>如出现投标人的电子投标文件无法解密的情况，投标人应及时联系中介服务机构说明。投标文件解密异常，按以下步骤进行处理：</w:t>
            </w:r>
          </w:p>
          <w:p w14:paraId="5398267B">
            <w:pPr>
              <w:snapToGrid w:val="0"/>
              <w:spacing w:line="360" w:lineRule="auto"/>
              <w:ind w:firstLine="210" w:firstLineChars="100"/>
              <w:rPr>
                <w:color w:val="auto"/>
              </w:rPr>
            </w:pPr>
            <w:r>
              <w:rPr>
                <w:rFonts w:hint="eastAsia"/>
                <w:color w:val="auto"/>
              </w:rPr>
              <w:t>（1）首先由技术人员进行问题排查。</w:t>
            </w:r>
          </w:p>
          <w:p w14:paraId="089E38B6">
            <w:pPr>
              <w:snapToGrid w:val="0"/>
              <w:spacing w:line="360" w:lineRule="auto"/>
              <w:ind w:firstLine="210" w:firstLineChars="100"/>
              <w:rPr>
                <w:color w:val="auto"/>
              </w:rPr>
            </w:pPr>
            <w:r>
              <w:rPr>
                <w:rFonts w:hint="eastAsia"/>
                <w:color w:val="auto"/>
              </w:rPr>
              <w:t>（2）经技术人员排查后，是投标人文件自身问题导致投标文件无法解密的，该投标文件将不予接收、解密和唱标，开标会议继续进行。</w:t>
            </w:r>
          </w:p>
          <w:p w14:paraId="2A37B526">
            <w:pPr>
              <w:snapToGrid w:val="0"/>
              <w:spacing w:line="360" w:lineRule="auto"/>
              <w:ind w:firstLine="210" w:firstLineChars="100"/>
              <w:rPr>
                <w:color w:val="auto"/>
              </w:rPr>
            </w:pPr>
            <w:r>
              <w:rPr>
                <w:rFonts w:hint="eastAsia"/>
                <w:color w:val="auto"/>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6FE3C1AD">
            <w:pPr>
              <w:snapToGrid w:val="0"/>
              <w:spacing w:line="360" w:lineRule="auto"/>
              <w:ind w:firstLine="210" w:firstLineChars="100"/>
              <w:rPr>
                <w:color w:val="auto"/>
              </w:rPr>
            </w:pPr>
            <w:r>
              <w:rPr>
                <w:rFonts w:hint="eastAsia"/>
                <w:color w:val="auto"/>
              </w:rPr>
              <w:t>3、待所有投标人投标文件解密完成后，由中介服务机构操作，对所有已解密投标文件进行唱标。</w:t>
            </w:r>
          </w:p>
          <w:p w14:paraId="69BB1133">
            <w:pPr>
              <w:snapToGrid w:val="0"/>
              <w:spacing w:line="360" w:lineRule="auto"/>
              <w:ind w:firstLine="210" w:firstLineChars="100"/>
              <w:rPr>
                <w:color w:val="auto"/>
              </w:rPr>
            </w:pPr>
            <w:r>
              <w:rPr>
                <w:rFonts w:hint="eastAsia"/>
                <w:color w:val="auto"/>
              </w:rPr>
              <w:t>4、评标时，评标委员会对电子化投标文件有质疑的，将通过电子化交易系统对投标人发起质疑。质疑回复内容确认后，投标人的回复文件必须以经过投标人和其法定代表人签章的PDF格式文件为准，并通过电子化交易系统提交至评标委员会。</w:t>
            </w:r>
          </w:p>
          <w:p w14:paraId="203D5C11">
            <w:pPr>
              <w:snapToGrid w:val="0"/>
              <w:spacing w:line="360" w:lineRule="auto"/>
              <w:ind w:firstLine="210" w:firstLineChars="100"/>
              <w:rPr>
                <w:color w:val="auto"/>
              </w:rPr>
            </w:pPr>
            <w:r>
              <w:rPr>
                <w:rFonts w:hint="eastAsia"/>
                <w:color w:val="auto"/>
              </w:rPr>
              <w:t>5、如评标委员会对需要回复的投标人回复内容有异议的，经过几次回复仍不清楚的，需在监督下进行免提电话进行质疑。</w:t>
            </w:r>
          </w:p>
          <w:p w14:paraId="39593A22">
            <w:pPr>
              <w:snapToGrid w:val="0"/>
              <w:spacing w:line="360" w:lineRule="auto"/>
              <w:ind w:firstLine="210" w:firstLineChars="100"/>
              <w:rPr>
                <w:color w:val="auto"/>
              </w:rPr>
            </w:pPr>
            <w:r>
              <w:rPr>
                <w:rFonts w:hint="eastAsia"/>
                <w:color w:val="auto"/>
              </w:rPr>
              <w:t>6、评标时如因系统异常、停电、电脑病毒、网络堵塞等原因无法正常进行的，由技术人员排查解决，短时间无法解决的，经监督部门同意后，暂停评标活动，待问题解决后继续评标。</w:t>
            </w:r>
          </w:p>
          <w:p w14:paraId="4D1EF820">
            <w:pPr>
              <w:snapToGrid w:val="0"/>
              <w:spacing w:line="360" w:lineRule="auto"/>
              <w:ind w:firstLine="210" w:firstLineChars="100"/>
              <w:rPr>
                <w:color w:val="auto"/>
              </w:rPr>
            </w:pPr>
            <w:r>
              <w:rPr>
                <w:rFonts w:hint="eastAsia"/>
                <w:color w:val="auto"/>
              </w:rPr>
              <w:t>7 、澄清与变更</w:t>
            </w:r>
          </w:p>
          <w:p w14:paraId="3BD9EB7B">
            <w:pPr>
              <w:snapToGrid w:val="0"/>
              <w:spacing w:line="360" w:lineRule="auto"/>
              <w:ind w:firstLine="210" w:firstLineChars="100"/>
              <w:rPr>
                <w:color w:val="auto"/>
              </w:rPr>
            </w:pPr>
            <w:r>
              <w:rPr>
                <w:rFonts w:hint="eastAsia"/>
                <w:color w:val="auto"/>
              </w:rPr>
              <w:t xml:space="preserve"> 因公共资源交易中心平台在开标前具有保密性，投标人在投标文件递交截止时间前须自行查看项目进展、变更通知、澄清及回复，因投标人未及时查看而造成的后果自负。</w:t>
            </w:r>
          </w:p>
          <w:p w14:paraId="53AD3C04">
            <w:pPr>
              <w:snapToGrid w:val="0"/>
              <w:spacing w:line="360" w:lineRule="auto"/>
              <w:ind w:firstLine="210" w:firstLineChars="100"/>
              <w:rPr>
                <w:color w:val="auto"/>
              </w:rPr>
            </w:pPr>
            <w:r>
              <w:rPr>
                <w:rFonts w:hint="eastAsia"/>
                <w:color w:val="auto"/>
              </w:rPr>
              <w:t>8、“不见面”开标注意事项</w:t>
            </w:r>
          </w:p>
          <w:p w14:paraId="4F1679F4">
            <w:pPr>
              <w:snapToGrid w:val="0"/>
              <w:spacing w:line="360" w:lineRule="auto"/>
              <w:ind w:firstLine="210" w:firstLineChars="100"/>
              <w:rPr>
                <w:color w:val="auto"/>
              </w:rPr>
            </w:pPr>
            <w:r>
              <w:rPr>
                <w:rFonts w:hint="eastAsia"/>
                <w:color w:val="auto"/>
              </w:rPr>
              <w:t>1、招标人和代理机构应当提前做好各项准备工作，准时开标。</w:t>
            </w:r>
          </w:p>
          <w:p w14:paraId="5AE881C4">
            <w:pPr>
              <w:snapToGrid w:val="0"/>
              <w:spacing w:line="360" w:lineRule="auto"/>
              <w:ind w:firstLine="210" w:firstLineChars="100"/>
              <w:rPr>
                <w:color w:val="auto"/>
              </w:rPr>
            </w:pPr>
            <w:r>
              <w:rPr>
                <w:rFonts w:hint="eastAsia"/>
                <w:color w:val="auto"/>
              </w:rPr>
              <w:t>2、开标时，投标人采用网上远程异地解密时，请用CA证书登录平顶山市公共资源交易中心业务系统，进入本项目开标大厅点击解密来完成投标文件的解密工作。每位投标人的解密时间从开标时间起60分钟内完成，超过规定时间解密的投标文件不予接收。</w:t>
            </w:r>
          </w:p>
          <w:p w14:paraId="6D3771F5">
            <w:pPr>
              <w:snapToGrid w:val="0"/>
              <w:spacing w:line="360" w:lineRule="auto"/>
              <w:ind w:firstLine="210" w:firstLineChars="100"/>
              <w:rPr>
                <w:color w:val="auto"/>
              </w:rPr>
            </w:pPr>
            <w:r>
              <w:rPr>
                <w:rFonts w:hint="eastAsia"/>
                <w:color w:val="auto"/>
              </w:rPr>
              <w:t>3、如出现投标人的电子投标文件无法解密的情况，投标人应及时联系招标人（代理机构）进行说明。投标文件解密异常，按以下步骤进行处理：</w:t>
            </w:r>
          </w:p>
          <w:p w14:paraId="149C2E5F">
            <w:pPr>
              <w:snapToGrid w:val="0"/>
              <w:spacing w:line="360" w:lineRule="auto"/>
              <w:ind w:firstLine="210" w:firstLineChars="100"/>
              <w:rPr>
                <w:color w:val="auto"/>
              </w:rPr>
            </w:pPr>
            <w:r>
              <w:rPr>
                <w:rFonts w:hint="eastAsia"/>
                <w:color w:val="auto"/>
              </w:rPr>
              <w:t>（1）如果是投标文件自身问题导致投标文件无法解密的，该投标文件将不予接收、解密。</w:t>
            </w:r>
          </w:p>
          <w:p w14:paraId="6076358E">
            <w:pPr>
              <w:snapToGrid w:val="0"/>
              <w:spacing w:line="360" w:lineRule="auto"/>
              <w:ind w:firstLine="210" w:firstLineChars="100"/>
              <w:rPr>
                <w:color w:val="auto"/>
              </w:rPr>
            </w:pPr>
            <w:r>
              <w:rPr>
                <w:rFonts w:hint="eastAsia"/>
                <w:color w:val="auto"/>
              </w:rPr>
              <w:t>（2）如果是电子化交易系统问题造成投标文件无法解密的，将由技术人员进行排查处理。如短时间内问题无法解决的，将由招标人（代理机构）联系监督部门申请暂停开标，待问题解决后继续开标。</w:t>
            </w:r>
          </w:p>
          <w:p w14:paraId="5BF55675">
            <w:pPr>
              <w:snapToGrid w:val="0"/>
              <w:spacing w:line="360" w:lineRule="auto"/>
              <w:ind w:firstLine="210" w:firstLineChars="100"/>
              <w:rPr>
                <w:color w:val="auto"/>
              </w:rPr>
            </w:pPr>
            <w:r>
              <w:rPr>
                <w:rFonts w:hint="eastAsia"/>
                <w:color w:val="auto"/>
              </w:rPr>
              <w:t>4、所有投标文件解密完成后，由招标人（代理机构）操作，对开标结果进行公示。</w:t>
            </w:r>
          </w:p>
          <w:p w14:paraId="00FAEF73">
            <w:pPr>
              <w:snapToGrid w:val="0"/>
              <w:spacing w:line="360" w:lineRule="auto"/>
              <w:ind w:firstLine="210" w:firstLineChars="100"/>
              <w:rPr>
                <w:color w:val="auto"/>
              </w:rPr>
            </w:pPr>
            <w:r>
              <w:rPr>
                <w:rFonts w:hint="eastAsia"/>
                <w:color w:val="auto"/>
              </w:rPr>
              <w:t>5、投标人应保证在开标期间电话、电脑、网络等能够正常使用，投标人因停电、电脑病毒、网络堵塞等原因，未在规定的解密时间内对投标文件进行解密的，其投标文件不予接收。</w:t>
            </w:r>
          </w:p>
          <w:p w14:paraId="35CE0E77">
            <w:pPr>
              <w:wordWrap/>
              <w:topLinePunct w:val="0"/>
              <w:spacing w:line="360" w:lineRule="auto"/>
              <w:rPr>
                <w:rFonts w:hint="eastAsia"/>
                <w:color w:val="auto"/>
              </w:rPr>
            </w:pPr>
            <w:r>
              <w:rPr>
                <w:rFonts w:hint="eastAsia"/>
                <w:color w:val="auto"/>
              </w:rPr>
              <w:t>6、解密完成后，投标人可登录到交易系统查看自己的投标报价。如对自己的报价内容有异议的，应在报价内容显示后20分钟内联系招标人（代理机构）进行质疑，投标人未在规定时间内提出质疑的，视为认可开标结果显示内容。</w:t>
            </w:r>
          </w:p>
          <w:p w14:paraId="3C54EA49">
            <w:pPr>
              <w:pStyle w:val="30"/>
              <w:rPr>
                <w:rFonts w:hint="eastAsia"/>
                <w:bCs/>
                <w:color w:val="auto"/>
              </w:rPr>
            </w:pPr>
          </w:p>
          <w:p w14:paraId="7540F0D3">
            <w:pPr>
              <w:pStyle w:val="30"/>
              <w:rPr>
                <w:rFonts w:hint="eastAsia"/>
                <w:bCs/>
                <w:color w:val="auto"/>
              </w:rPr>
            </w:pPr>
          </w:p>
          <w:p w14:paraId="343C9F58">
            <w:pPr>
              <w:pStyle w:val="30"/>
              <w:rPr>
                <w:rFonts w:hint="eastAsia"/>
                <w:bCs/>
                <w:color w:val="auto"/>
              </w:rPr>
            </w:pPr>
          </w:p>
          <w:p w14:paraId="1F74BE18">
            <w:pPr>
              <w:pStyle w:val="30"/>
              <w:rPr>
                <w:rFonts w:hint="eastAsia"/>
                <w:bCs/>
                <w:color w:val="auto"/>
              </w:rPr>
            </w:pPr>
          </w:p>
          <w:p w14:paraId="0460C121">
            <w:pPr>
              <w:pStyle w:val="30"/>
              <w:rPr>
                <w:rFonts w:hint="eastAsia"/>
                <w:bCs/>
                <w:color w:val="auto"/>
              </w:rPr>
            </w:pPr>
          </w:p>
          <w:p w14:paraId="73CFE100">
            <w:pPr>
              <w:pStyle w:val="30"/>
              <w:rPr>
                <w:rFonts w:hint="eastAsia"/>
                <w:bCs/>
                <w:color w:val="auto"/>
              </w:rPr>
            </w:pPr>
          </w:p>
          <w:p w14:paraId="26990789">
            <w:pPr>
              <w:pStyle w:val="30"/>
              <w:rPr>
                <w:rFonts w:hint="eastAsia"/>
                <w:bCs/>
                <w:color w:val="auto"/>
              </w:rPr>
            </w:pPr>
          </w:p>
          <w:p w14:paraId="65FF6A1E">
            <w:pPr>
              <w:pStyle w:val="30"/>
              <w:rPr>
                <w:rFonts w:hint="eastAsia"/>
                <w:bCs/>
                <w:color w:val="auto"/>
              </w:rPr>
            </w:pPr>
          </w:p>
          <w:p w14:paraId="73F7B21F">
            <w:pPr>
              <w:pStyle w:val="30"/>
              <w:rPr>
                <w:rFonts w:hint="eastAsia"/>
                <w:bCs/>
                <w:color w:val="auto"/>
              </w:rPr>
            </w:pPr>
          </w:p>
          <w:p w14:paraId="19F7F84D">
            <w:pPr>
              <w:pStyle w:val="30"/>
              <w:rPr>
                <w:rFonts w:hint="eastAsia"/>
                <w:bCs/>
                <w:color w:val="auto"/>
              </w:rPr>
            </w:pPr>
          </w:p>
          <w:p w14:paraId="59610CD1">
            <w:pPr>
              <w:pStyle w:val="30"/>
              <w:rPr>
                <w:rFonts w:hint="eastAsia"/>
                <w:bCs/>
                <w:color w:val="auto"/>
              </w:rPr>
            </w:pPr>
          </w:p>
        </w:tc>
      </w:tr>
    </w:tbl>
    <w:p w14:paraId="1CBBD65C">
      <w:pPr>
        <w:pStyle w:val="27"/>
        <w:rPr>
          <w:rFonts w:hint="eastAsia"/>
          <w:color w:val="auto"/>
          <w:lang w:eastAsia="zh-CN"/>
        </w:rPr>
      </w:pPr>
      <w:bookmarkStart w:id="30" w:name="_Toc335435260"/>
    </w:p>
    <w:p w14:paraId="008D8D32">
      <w:pPr>
        <w:keepNext w:val="0"/>
        <w:keepLines w:val="0"/>
        <w:pageBreakBefore w:val="0"/>
        <w:widowControl w:val="0"/>
        <w:kinsoku/>
        <w:wordWrap/>
        <w:overflowPunct/>
        <w:topLinePunct w:val="0"/>
        <w:autoSpaceDE/>
        <w:autoSpaceDN/>
        <w:bidi w:val="0"/>
        <w:adjustRightInd/>
        <w:snapToGrid/>
        <w:spacing w:before="156" w:beforeLines="50" w:after="156" w:afterLines="50" w:line="420" w:lineRule="exact"/>
        <w:ind w:left="0" w:leftChars="0" w:right="0" w:rightChars="0" w:firstLine="3534" w:firstLineChars="1100"/>
        <w:jc w:val="both"/>
        <w:textAlignment w:val="auto"/>
        <w:outlineLvl w:val="9"/>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lang w:eastAsia="zh-CN"/>
        </w:rPr>
        <w:t>二．供应商须知</w:t>
      </w:r>
      <w:bookmarkEnd w:id="30"/>
    </w:p>
    <w:p w14:paraId="34591412">
      <w:pPr>
        <w:pStyle w:val="30"/>
        <w:numPr>
          <w:ilvl w:val="0"/>
          <w:numId w:val="2"/>
        </w:numPr>
        <w:tabs>
          <w:tab w:val="left" w:pos="360"/>
        </w:tabs>
        <w:snapToGrid w:val="0"/>
        <w:spacing w:line="360" w:lineRule="auto"/>
        <w:ind w:firstLine="422"/>
        <w:contextualSpacing/>
        <w:jc w:val="both"/>
        <w:outlineLvl w:val="1"/>
        <w:rPr>
          <w:rFonts w:hAnsi="宋体" w:cs="Times New Roman"/>
          <w:b/>
          <w:color w:val="auto"/>
          <w:kern w:val="2"/>
        </w:rPr>
      </w:pPr>
      <w:bookmarkStart w:id="31" w:name="_Toc30116"/>
      <w:r>
        <w:rPr>
          <w:rStyle w:val="31"/>
          <w:rFonts w:hint="eastAsia"/>
          <w:color w:val="auto"/>
        </w:rPr>
        <w:t xml:space="preserve"> </w:t>
      </w:r>
      <w:bookmarkStart w:id="32" w:name="_Toc8177"/>
      <w:bookmarkStart w:id="33" w:name="_Toc29623284"/>
      <w:bookmarkStart w:id="34" w:name="_Toc362"/>
      <w:bookmarkStart w:id="35" w:name="_Toc12193"/>
      <w:r>
        <w:rPr>
          <w:rStyle w:val="31"/>
          <w:rFonts w:hint="eastAsia"/>
          <w:color w:val="auto"/>
        </w:rPr>
        <w:t>总则</w:t>
      </w:r>
      <w:bookmarkEnd w:id="32"/>
      <w:bookmarkEnd w:id="33"/>
      <w:bookmarkEnd w:id="34"/>
      <w:bookmarkEnd w:id="35"/>
    </w:p>
    <w:p w14:paraId="4C42EE9E">
      <w:pPr>
        <w:pStyle w:val="4"/>
        <w:numPr>
          <w:ilvl w:val="1"/>
          <w:numId w:val="3"/>
        </w:numPr>
        <w:jc w:val="left"/>
        <w:rPr>
          <w:rFonts w:ascii="Times New Roman" w:hAnsi="Times New Roman"/>
          <w:bCs w:val="0"/>
          <w:color w:val="auto"/>
          <w:szCs w:val="20"/>
        </w:rPr>
      </w:pPr>
      <w:bookmarkStart w:id="36" w:name="_Toc428351629"/>
      <w:bookmarkStart w:id="37" w:name="_Toc27089"/>
      <w:bookmarkStart w:id="38" w:name="_Toc22531"/>
      <w:bookmarkStart w:id="39" w:name="_Toc455678100"/>
      <w:bookmarkStart w:id="40" w:name="_Toc29623285"/>
      <w:bookmarkStart w:id="41" w:name="_Toc463011253"/>
      <w:bookmarkStart w:id="42" w:name="_Toc277149365"/>
      <w:bookmarkStart w:id="43" w:name="_Toc27753936"/>
      <w:bookmarkStart w:id="44" w:name="_Toc25531"/>
      <w:bookmarkStart w:id="45" w:name="_Toc462934274"/>
      <w:bookmarkStart w:id="46" w:name="_Toc454788009"/>
      <w:bookmarkStart w:id="47" w:name="_Toc13394"/>
      <w:bookmarkStart w:id="48" w:name="_Toc428276569"/>
      <w:r>
        <w:rPr>
          <w:rFonts w:hint="eastAsia" w:ascii="Times New Roman" w:hAnsi="Times New Roman"/>
          <w:bCs w:val="0"/>
          <w:color w:val="auto"/>
          <w:szCs w:val="20"/>
        </w:rPr>
        <w:t>项目概况</w:t>
      </w:r>
      <w:bookmarkEnd w:id="36"/>
      <w:bookmarkEnd w:id="37"/>
      <w:bookmarkEnd w:id="38"/>
      <w:bookmarkEnd w:id="39"/>
      <w:bookmarkEnd w:id="40"/>
      <w:bookmarkEnd w:id="41"/>
      <w:bookmarkEnd w:id="42"/>
      <w:bookmarkEnd w:id="43"/>
      <w:bookmarkEnd w:id="44"/>
      <w:bookmarkEnd w:id="45"/>
      <w:bookmarkEnd w:id="46"/>
      <w:bookmarkEnd w:id="47"/>
      <w:bookmarkEnd w:id="48"/>
    </w:p>
    <w:p w14:paraId="015E0B0E">
      <w:pPr>
        <w:numPr>
          <w:ilvl w:val="2"/>
          <w:numId w:val="3"/>
        </w:numPr>
        <w:wordWrap/>
        <w:topLinePunct w:val="0"/>
        <w:spacing w:line="360" w:lineRule="auto"/>
        <w:ind w:firstLine="420" w:firstLineChars="200"/>
        <w:rPr>
          <w:color w:val="auto"/>
        </w:rPr>
      </w:pPr>
      <w:r>
        <w:rPr>
          <w:rFonts w:hint="eastAsia"/>
          <w:color w:val="auto"/>
        </w:rPr>
        <w:t>根据《中华人民共和国政府采购法》《中华人民共和国政府采购法实施条例》等有关法律、法规和规章的规定，本采购项目已具备竞争性磋商条件，现对本项目进行竞争性磋商。</w:t>
      </w:r>
    </w:p>
    <w:p w14:paraId="7E1722F6">
      <w:pPr>
        <w:numPr>
          <w:ilvl w:val="2"/>
          <w:numId w:val="3"/>
        </w:numPr>
        <w:wordWrap/>
        <w:topLinePunct w:val="0"/>
        <w:spacing w:line="360" w:lineRule="auto"/>
        <w:ind w:firstLine="420" w:firstLineChars="200"/>
        <w:rPr>
          <w:color w:val="auto"/>
        </w:rPr>
      </w:pPr>
      <w:r>
        <w:rPr>
          <w:rFonts w:hint="eastAsia"/>
          <w:color w:val="auto"/>
        </w:rPr>
        <w:t>采购人：供应商须知前附表中所述的，依法进行政府采购的国家机关、事业单位、团体组织。</w:t>
      </w:r>
    </w:p>
    <w:p w14:paraId="3C8662B5">
      <w:pPr>
        <w:numPr>
          <w:ilvl w:val="2"/>
          <w:numId w:val="3"/>
        </w:numPr>
        <w:wordWrap/>
        <w:topLinePunct w:val="0"/>
        <w:spacing w:line="360" w:lineRule="auto"/>
        <w:ind w:firstLine="420" w:firstLineChars="200"/>
        <w:rPr>
          <w:color w:val="auto"/>
        </w:rPr>
      </w:pPr>
      <w:r>
        <w:rPr>
          <w:rFonts w:hint="eastAsia"/>
          <w:color w:val="auto"/>
        </w:rPr>
        <w:t>采购代理机构：受采购人委托组织采购活动，在采购过程中负有相应责任的社会中介组织。</w:t>
      </w:r>
    </w:p>
    <w:p w14:paraId="57D9F92B">
      <w:pPr>
        <w:numPr>
          <w:ilvl w:val="2"/>
          <w:numId w:val="3"/>
        </w:numPr>
        <w:wordWrap/>
        <w:topLinePunct w:val="0"/>
        <w:spacing w:line="360" w:lineRule="auto"/>
        <w:ind w:firstLine="420" w:firstLineChars="200"/>
        <w:rPr>
          <w:color w:val="auto"/>
        </w:rPr>
      </w:pPr>
      <w:r>
        <w:rPr>
          <w:rFonts w:hint="eastAsia"/>
          <w:color w:val="auto"/>
        </w:rPr>
        <w:t>采购方式：见供应商须知前附表。</w:t>
      </w:r>
    </w:p>
    <w:p w14:paraId="65592A78">
      <w:pPr>
        <w:numPr>
          <w:ilvl w:val="2"/>
          <w:numId w:val="3"/>
        </w:numPr>
        <w:wordWrap/>
        <w:topLinePunct w:val="0"/>
        <w:spacing w:line="360" w:lineRule="auto"/>
        <w:ind w:firstLine="420" w:firstLineChars="200"/>
        <w:rPr>
          <w:color w:val="auto"/>
        </w:rPr>
      </w:pPr>
      <w:r>
        <w:rPr>
          <w:rFonts w:hint="eastAsia"/>
          <w:color w:val="auto"/>
        </w:rPr>
        <w:t>项目名称及采购编号：见供应商须知前附表。</w:t>
      </w:r>
    </w:p>
    <w:p w14:paraId="6B9F14C4">
      <w:pPr>
        <w:numPr>
          <w:ilvl w:val="2"/>
          <w:numId w:val="3"/>
        </w:numPr>
        <w:wordWrap/>
        <w:topLinePunct w:val="0"/>
        <w:spacing w:line="360" w:lineRule="auto"/>
        <w:ind w:firstLine="420" w:firstLineChars="200"/>
        <w:rPr>
          <w:color w:val="auto"/>
        </w:rPr>
      </w:pPr>
      <w:r>
        <w:rPr>
          <w:rFonts w:hint="eastAsia"/>
          <w:color w:val="auto"/>
        </w:rPr>
        <w:t>项目地点：见供应商须知前附表。</w:t>
      </w:r>
    </w:p>
    <w:p w14:paraId="1A87B0F9">
      <w:pPr>
        <w:pStyle w:val="4"/>
        <w:numPr>
          <w:ilvl w:val="1"/>
          <w:numId w:val="3"/>
        </w:numPr>
        <w:jc w:val="left"/>
        <w:rPr>
          <w:rFonts w:ascii="Times New Roman" w:hAnsi="Times New Roman"/>
          <w:bCs w:val="0"/>
          <w:color w:val="auto"/>
          <w:szCs w:val="20"/>
        </w:rPr>
      </w:pPr>
      <w:bookmarkStart w:id="49" w:name="_Toc455678101"/>
      <w:bookmarkStart w:id="50" w:name="_Toc277149366"/>
      <w:bookmarkStart w:id="51" w:name="_Toc29623286"/>
      <w:bookmarkStart w:id="52" w:name="_Toc463011254"/>
      <w:bookmarkStart w:id="53" w:name="_Toc269470296"/>
      <w:bookmarkStart w:id="54" w:name="_Toc29176"/>
      <w:bookmarkStart w:id="55" w:name="_Toc428351630"/>
      <w:bookmarkStart w:id="56" w:name="_Toc26643"/>
      <w:bookmarkStart w:id="57" w:name="_Toc19738"/>
      <w:bookmarkStart w:id="58" w:name="_Toc454788010"/>
      <w:bookmarkStart w:id="59" w:name="_Toc270604804"/>
      <w:bookmarkStart w:id="60" w:name="_Toc270604577"/>
      <w:bookmarkStart w:id="61" w:name="_Toc27753937"/>
      <w:bookmarkStart w:id="62" w:name="_Toc462934275"/>
      <w:bookmarkStart w:id="63" w:name="_Toc428276570"/>
      <w:bookmarkStart w:id="64" w:name="_Toc13259"/>
      <w:r>
        <w:rPr>
          <w:rFonts w:hint="eastAsia" w:ascii="Times New Roman" w:hAnsi="Times New Roman"/>
          <w:bCs w:val="0"/>
          <w:color w:val="auto"/>
          <w:szCs w:val="20"/>
        </w:rPr>
        <w:t>资金来源和落实情况</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2DF93008">
      <w:pPr>
        <w:numPr>
          <w:ilvl w:val="2"/>
          <w:numId w:val="3"/>
        </w:numPr>
        <w:wordWrap/>
        <w:topLinePunct w:val="0"/>
        <w:spacing w:line="360" w:lineRule="auto"/>
        <w:ind w:firstLine="420" w:firstLineChars="200"/>
        <w:rPr>
          <w:color w:val="auto"/>
        </w:rPr>
      </w:pPr>
      <w:r>
        <w:rPr>
          <w:rFonts w:hint="eastAsia"/>
          <w:color w:val="auto"/>
        </w:rPr>
        <w:t>资金来源：见供应商须知前附表。</w:t>
      </w:r>
    </w:p>
    <w:p w14:paraId="69C604EA">
      <w:pPr>
        <w:numPr>
          <w:ilvl w:val="2"/>
          <w:numId w:val="3"/>
        </w:numPr>
        <w:wordWrap/>
        <w:topLinePunct w:val="0"/>
        <w:spacing w:line="360" w:lineRule="auto"/>
        <w:ind w:firstLine="420" w:firstLineChars="200"/>
        <w:rPr>
          <w:color w:val="auto"/>
        </w:rPr>
      </w:pPr>
      <w:r>
        <w:rPr>
          <w:rFonts w:hint="eastAsia"/>
          <w:color w:val="auto"/>
        </w:rPr>
        <w:t>采购预算金额：见供应商须知前附表。</w:t>
      </w:r>
    </w:p>
    <w:p w14:paraId="7C51E0A6">
      <w:pPr>
        <w:numPr>
          <w:ilvl w:val="2"/>
          <w:numId w:val="3"/>
        </w:numPr>
        <w:wordWrap/>
        <w:topLinePunct w:val="0"/>
        <w:spacing w:line="360" w:lineRule="auto"/>
        <w:ind w:firstLine="420" w:firstLineChars="200"/>
        <w:rPr>
          <w:color w:val="auto"/>
        </w:rPr>
      </w:pPr>
      <w:r>
        <w:rPr>
          <w:rFonts w:hint="eastAsia"/>
          <w:color w:val="auto"/>
        </w:rPr>
        <w:t>采购项目性质：见供应商须知前附表。</w:t>
      </w:r>
    </w:p>
    <w:p w14:paraId="4868C88B">
      <w:pPr>
        <w:numPr>
          <w:ilvl w:val="2"/>
          <w:numId w:val="3"/>
        </w:numPr>
        <w:wordWrap/>
        <w:topLinePunct w:val="0"/>
        <w:spacing w:line="360" w:lineRule="auto"/>
        <w:ind w:firstLine="420" w:firstLineChars="200"/>
        <w:rPr>
          <w:color w:val="auto"/>
        </w:rPr>
      </w:pPr>
      <w:r>
        <w:rPr>
          <w:rFonts w:hint="eastAsia"/>
          <w:color w:val="auto"/>
        </w:rPr>
        <w:t>资金落实情况：见供应商须知前附表。</w:t>
      </w:r>
    </w:p>
    <w:p w14:paraId="7561D148">
      <w:pPr>
        <w:pStyle w:val="4"/>
        <w:numPr>
          <w:ilvl w:val="1"/>
          <w:numId w:val="3"/>
        </w:numPr>
        <w:jc w:val="left"/>
        <w:rPr>
          <w:rFonts w:ascii="Times New Roman" w:hAnsi="Times New Roman"/>
          <w:bCs w:val="0"/>
          <w:color w:val="auto"/>
          <w:szCs w:val="20"/>
        </w:rPr>
      </w:pPr>
      <w:bookmarkStart w:id="65" w:name="_Toc270604578"/>
      <w:bookmarkStart w:id="66" w:name="_Toc428351631"/>
      <w:bookmarkStart w:id="67" w:name="_Toc20155"/>
      <w:bookmarkStart w:id="68" w:name="_Toc25629"/>
      <w:bookmarkStart w:id="69" w:name="_Toc269470297"/>
      <w:bookmarkStart w:id="70" w:name="_Toc454788011"/>
      <w:bookmarkStart w:id="71" w:name="_Toc270604805"/>
      <w:bookmarkStart w:id="72" w:name="_Toc462934276"/>
      <w:bookmarkStart w:id="73" w:name="_Toc463011255"/>
      <w:bookmarkStart w:id="74" w:name="_Toc29623287"/>
      <w:bookmarkStart w:id="75" w:name="_Toc455678102"/>
      <w:bookmarkStart w:id="76" w:name="_Toc9637"/>
      <w:bookmarkStart w:id="77" w:name="_Toc74"/>
      <w:bookmarkStart w:id="78" w:name="_Toc277149367"/>
      <w:bookmarkStart w:id="79" w:name="_Toc27753938"/>
      <w:bookmarkStart w:id="80" w:name="_Toc428276571"/>
      <w:r>
        <w:rPr>
          <w:rFonts w:hint="eastAsia" w:ascii="Times New Roman" w:hAnsi="Times New Roman"/>
          <w:bCs w:val="0"/>
          <w:color w:val="auto"/>
          <w:szCs w:val="20"/>
        </w:rPr>
        <w:t>采购范围、</w:t>
      </w:r>
      <w:r>
        <w:rPr>
          <w:color w:val="auto"/>
        </w:rPr>
        <w:t>服务期限</w:t>
      </w:r>
      <w:r>
        <w:rPr>
          <w:rFonts w:hint="eastAsia"/>
          <w:color w:val="auto"/>
        </w:rPr>
        <w:t>、服务地点</w:t>
      </w:r>
      <w:r>
        <w:rPr>
          <w:rFonts w:hint="eastAsia" w:ascii="Times New Roman" w:hAnsi="Times New Roman"/>
          <w:bCs w:val="0"/>
          <w:color w:val="auto"/>
          <w:szCs w:val="20"/>
        </w:rPr>
        <w:t>和</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Pr>
          <w:color w:val="auto"/>
        </w:rPr>
        <w:t>质量要求</w:t>
      </w:r>
    </w:p>
    <w:p w14:paraId="7A4A6DD8">
      <w:pPr>
        <w:numPr>
          <w:ilvl w:val="2"/>
          <w:numId w:val="3"/>
        </w:numPr>
        <w:wordWrap/>
        <w:topLinePunct w:val="0"/>
        <w:spacing w:line="360" w:lineRule="auto"/>
        <w:ind w:firstLine="420" w:firstLineChars="200"/>
        <w:rPr>
          <w:color w:val="auto"/>
        </w:rPr>
      </w:pPr>
      <w:r>
        <w:rPr>
          <w:rFonts w:hint="eastAsia"/>
          <w:color w:val="auto"/>
        </w:rPr>
        <w:t>采购范围：见供应商须知前附表。</w:t>
      </w:r>
    </w:p>
    <w:p w14:paraId="7EABBD3A">
      <w:pPr>
        <w:numPr>
          <w:ilvl w:val="2"/>
          <w:numId w:val="3"/>
        </w:numPr>
        <w:wordWrap/>
        <w:topLinePunct w:val="0"/>
        <w:spacing w:line="360" w:lineRule="auto"/>
        <w:ind w:firstLine="420" w:firstLineChars="200"/>
        <w:rPr>
          <w:color w:val="auto"/>
        </w:rPr>
      </w:pPr>
      <w:r>
        <w:rPr>
          <w:color w:val="auto"/>
        </w:rPr>
        <w:t>服务期限</w:t>
      </w:r>
      <w:r>
        <w:rPr>
          <w:rFonts w:hint="eastAsia"/>
          <w:color w:val="auto"/>
        </w:rPr>
        <w:t>：见供应商须知前附表。</w:t>
      </w:r>
    </w:p>
    <w:p w14:paraId="3E88F494">
      <w:pPr>
        <w:numPr>
          <w:ilvl w:val="2"/>
          <w:numId w:val="3"/>
        </w:numPr>
        <w:wordWrap/>
        <w:topLinePunct w:val="0"/>
        <w:spacing w:line="360" w:lineRule="auto"/>
        <w:ind w:firstLine="420" w:firstLineChars="200"/>
        <w:rPr>
          <w:color w:val="auto"/>
        </w:rPr>
      </w:pPr>
      <w:r>
        <w:rPr>
          <w:rFonts w:hint="eastAsia"/>
          <w:color w:val="auto"/>
        </w:rPr>
        <w:t>服务地点：见供应商须知前附表。</w:t>
      </w:r>
    </w:p>
    <w:p w14:paraId="302D89ED">
      <w:pPr>
        <w:numPr>
          <w:ilvl w:val="2"/>
          <w:numId w:val="3"/>
        </w:numPr>
        <w:wordWrap/>
        <w:topLinePunct w:val="0"/>
        <w:spacing w:line="360" w:lineRule="auto"/>
        <w:ind w:firstLine="420" w:firstLineChars="200"/>
        <w:rPr>
          <w:color w:val="auto"/>
        </w:rPr>
      </w:pPr>
      <w:r>
        <w:rPr>
          <w:rFonts w:hint="eastAsia"/>
          <w:color w:val="auto"/>
        </w:rPr>
        <w:t>质量标准：见供应商须知前附表。</w:t>
      </w:r>
    </w:p>
    <w:p w14:paraId="410767C1">
      <w:pPr>
        <w:pStyle w:val="4"/>
        <w:numPr>
          <w:ilvl w:val="1"/>
          <w:numId w:val="3"/>
        </w:numPr>
        <w:jc w:val="left"/>
        <w:rPr>
          <w:rFonts w:ascii="Times New Roman" w:hAnsi="Times New Roman"/>
          <w:bCs w:val="0"/>
          <w:color w:val="auto"/>
          <w:szCs w:val="20"/>
        </w:rPr>
      </w:pPr>
      <w:bookmarkStart w:id="81" w:name="_Toc269470298"/>
      <w:bookmarkStart w:id="82" w:name="_Toc428351632"/>
      <w:bookmarkStart w:id="83" w:name="_Toc29623288"/>
      <w:bookmarkStart w:id="84" w:name="_Toc7938"/>
      <w:bookmarkStart w:id="85" w:name="_Toc270604806"/>
      <w:bookmarkStart w:id="86" w:name="_Toc11519"/>
      <w:bookmarkStart w:id="87" w:name="_Toc462934277"/>
      <w:bookmarkStart w:id="88" w:name="_Toc463011256"/>
      <w:bookmarkStart w:id="89" w:name="_Toc277149368"/>
      <w:bookmarkStart w:id="90" w:name="_Toc16958"/>
      <w:bookmarkStart w:id="91" w:name="_Toc454788012"/>
      <w:bookmarkStart w:id="92" w:name="_Toc27753939"/>
      <w:bookmarkStart w:id="93" w:name="_Toc428276572"/>
      <w:bookmarkStart w:id="94" w:name="_Toc6648"/>
      <w:bookmarkStart w:id="95" w:name="_Toc270604579"/>
      <w:bookmarkStart w:id="96" w:name="_Toc455678103"/>
      <w:r>
        <w:rPr>
          <w:rFonts w:hint="eastAsia" w:ascii="Times New Roman" w:hAnsi="Times New Roman"/>
          <w:bCs w:val="0"/>
          <w:color w:val="auto"/>
          <w:szCs w:val="20"/>
        </w:rPr>
        <w:t>供应商资格要求</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57F4A781">
      <w:pPr>
        <w:numPr>
          <w:ilvl w:val="2"/>
          <w:numId w:val="3"/>
        </w:numPr>
        <w:wordWrap/>
        <w:topLinePunct w:val="0"/>
        <w:spacing w:line="360" w:lineRule="auto"/>
        <w:ind w:firstLine="420" w:firstLineChars="200"/>
        <w:rPr>
          <w:color w:val="auto"/>
        </w:rPr>
      </w:pPr>
      <w:r>
        <w:rPr>
          <w:rFonts w:hint="eastAsia"/>
          <w:color w:val="auto"/>
        </w:rPr>
        <w:t>供应商应具备的资格条件</w:t>
      </w:r>
    </w:p>
    <w:p w14:paraId="60D13B19">
      <w:pPr>
        <w:wordWrap/>
        <w:topLinePunct w:val="0"/>
        <w:autoSpaceDE w:val="0"/>
        <w:autoSpaceDN w:val="0"/>
        <w:adjustRightInd w:val="0"/>
        <w:spacing w:line="360" w:lineRule="auto"/>
        <w:ind w:left="420" w:right="40"/>
        <w:jc w:val="left"/>
        <w:rPr>
          <w:rFonts w:cs="微软雅黑"/>
          <w:color w:val="auto"/>
          <w:kern w:val="0"/>
        </w:rPr>
      </w:pPr>
      <w:r>
        <w:rPr>
          <w:rFonts w:hint="eastAsia" w:cs="微软雅黑"/>
          <w:color w:val="auto"/>
          <w:kern w:val="0"/>
        </w:rPr>
        <w:t>见供应商须知前附表“供应商资格要求”。</w:t>
      </w:r>
    </w:p>
    <w:p w14:paraId="0F1E7F8B">
      <w:pPr>
        <w:numPr>
          <w:ilvl w:val="2"/>
          <w:numId w:val="3"/>
        </w:numPr>
        <w:wordWrap/>
        <w:topLinePunct w:val="0"/>
        <w:spacing w:line="360" w:lineRule="auto"/>
        <w:ind w:firstLine="420" w:firstLineChars="200"/>
        <w:rPr>
          <w:color w:val="auto"/>
        </w:rPr>
      </w:pPr>
      <w:r>
        <w:rPr>
          <w:rFonts w:hint="eastAsia"/>
          <w:color w:val="auto"/>
        </w:rPr>
        <w:t>供应商须知前附表规定接受联合体参与竞争性磋商的，联合体除应符合本章第1.4.1项和供应商须知前附表的要求外，还应遵守以下规定：</w:t>
      </w:r>
    </w:p>
    <w:p w14:paraId="2945CA0B">
      <w:pPr>
        <w:numPr>
          <w:ilvl w:val="0"/>
          <w:numId w:val="4"/>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联合体各方均应符合《中华人民共和国政府采购法》第二十二条规定的条件。</w:t>
      </w:r>
    </w:p>
    <w:p w14:paraId="7175D3A5">
      <w:pPr>
        <w:numPr>
          <w:ilvl w:val="0"/>
          <w:numId w:val="4"/>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采购人根据采购项目对供应商的特殊要求，联合体中至少应当有一方符合相关规定。</w:t>
      </w:r>
    </w:p>
    <w:p w14:paraId="75586214">
      <w:pPr>
        <w:numPr>
          <w:ilvl w:val="0"/>
          <w:numId w:val="4"/>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联合体各方应签订联合体协议书，明确约定联合体各方承担的工作和相应的责任，并将联合体协议书作为响应文件的一部分内容提交。</w:t>
      </w:r>
    </w:p>
    <w:p w14:paraId="0AB0F6A5">
      <w:pPr>
        <w:numPr>
          <w:ilvl w:val="0"/>
          <w:numId w:val="4"/>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大中型企业、其他自然人、法人或者非法人组织与小型、微型企业组成联合体共同参加竞争性磋商的，联合体协议书中应明确小型、微型企业在联合体磋商中所占合同总金额的比例。</w:t>
      </w:r>
    </w:p>
    <w:p w14:paraId="109AAA36">
      <w:pPr>
        <w:numPr>
          <w:ilvl w:val="0"/>
          <w:numId w:val="4"/>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联合体中有同类资质的供应商按照联合体分工承担相同工作的，按照较低的资质等级确定联合体的资质等级。</w:t>
      </w:r>
    </w:p>
    <w:p w14:paraId="54C999A6">
      <w:pPr>
        <w:numPr>
          <w:ilvl w:val="0"/>
          <w:numId w:val="4"/>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 xml:space="preserve"> 以联合体形式参加政府采购活动的，联合体各方不得再单独参加或者与其他供应商另外组成联合体参加本项目磋商，否则相关投标将被认定为无效。</w:t>
      </w:r>
    </w:p>
    <w:p w14:paraId="6A598F14">
      <w:pPr>
        <w:numPr>
          <w:ilvl w:val="2"/>
          <w:numId w:val="3"/>
        </w:numPr>
        <w:wordWrap/>
        <w:topLinePunct w:val="0"/>
        <w:spacing w:line="360" w:lineRule="auto"/>
        <w:ind w:firstLine="420" w:firstLineChars="200"/>
        <w:rPr>
          <w:color w:val="auto"/>
        </w:rPr>
      </w:pPr>
      <w:r>
        <w:rPr>
          <w:rFonts w:hint="eastAsia"/>
          <w:color w:val="auto"/>
        </w:rPr>
        <w:t>供应商不得存在下列情形之一：</w:t>
      </w:r>
    </w:p>
    <w:p w14:paraId="127EA5C7">
      <w:pPr>
        <w:numPr>
          <w:ilvl w:val="0"/>
          <w:numId w:val="5"/>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与采购人存在利害关系且可能影响磋商公正性；</w:t>
      </w:r>
    </w:p>
    <w:p w14:paraId="5F25A01F">
      <w:pPr>
        <w:numPr>
          <w:ilvl w:val="0"/>
          <w:numId w:val="5"/>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与本磋商项目的其他供应商为同一个单位负责人；</w:t>
      </w:r>
    </w:p>
    <w:p w14:paraId="046AE2F2">
      <w:pPr>
        <w:numPr>
          <w:ilvl w:val="0"/>
          <w:numId w:val="5"/>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与本磋商项目的其他供应商存在控股、管理关系；</w:t>
      </w:r>
    </w:p>
    <w:p w14:paraId="72454955">
      <w:pPr>
        <w:numPr>
          <w:ilvl w:val="0"/>
          <w:numId w:val="5"/>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为本磋商项目提供过整体设计、规范编制或者项目管理、监理、检测等服务；</w:t>
      </w:r>
    </w:p>
    <w:p w14:paraId="33DE9AA7">
      <w:pPr>
        <w:numPr>
          <w:ilvl w:val="0"/>
          <w:numId w:val="5"/>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为本磋商项目的采购代理机构；</w:t>
      </w:r>
    </w:p>
    <w:p w14:paraId="44286DD3">
      <w:pPr>
        <w:numPr>
          <w:ilvl w:val="0"/>
          <w:numId w:val="5"/>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供应商以他人名义投标、串通投标、以行贿手段牟取中标，或在投标中弄虚作假的；</w:t>
      </w:r>
    </w:p>
    <w:p w14:paraId="06927198">
      <w:pPr>
        <w:numPr>
          <w:ilvl w:val="0"/>
          <w:numId w:val="5"/>
        </w:numPr>
        <w:wordWrap/>
        <w:topLinePunct w:val="0"/>
        <w:autoSpaceDE w:val="0"/>
        <w:autoSpaceDN w:val="0"/>
        <w:adjustRightInd w:val="0"/>
        <w:spacing w:line="360" w:lineRule="auto"/>
        <w:ind w:left="0" w:right="40" w:firstLine="420" w:firstLineChars="200"/>
        <w:jc w:val="left"/>
        <w:rPr>
          <w:color w:val="auto"/>
        </w:rPr>
      </w:pPr>
      <w:r>
        <w:rPr>
          <w:rFonts w:hint="eastAsia" w:cs="微软雅黑"/>
          <w:color w:val="auto"/>
          <w:kern w:val="0"/>
        </w:rPr>
        <w:t>法律法规规定的其他情形。</w:t>
      </w:r>
    </w:p>
    <w:p w14:paraId="1010443B">
      <w:pPr>
        <w:pStyle w:val="4"/>
        <w:numPr>
          <w:ilvl w:val="1"/>
          <w:numId w:val="3"/>
        </w:numPr>
        <w:jc w:val="left"/>
        <w:rPr>
          <w:rFonts w:ascii="Times New Roman" w:hAnsi="Times New Roman"/>
          <w:bCs w:val="0"/>
          <w:color w:val="auto"/>
          <w:szCs w:val="20"/>
        </w:rPr>
      </w:pPr>
      <w:bookmarkStart w:id="97" w:name="_Toc1590"/>
      <w:bookmarkStart w:id="98" w:name="_Toc270604807"/>
      <w:bookmarkStart w:id="99" w:name="_Toc428351633"/>
      <w:bookmarkStart w:id="100" w:name="_Toc19948"/>
      <w:bookmarkStart w:id="101" w:name="_Toc27753940"/>
      <w:bookmarkStart w:id="102" w:name="_Toc455678104"/>
      <w:bookmarkStart w:id="103" w:name="_Toc269470299"/>
      <w:bookmarkStart w:id="104" w:name="_Toc28593"/>
      <w:bookmarkStart w:id="105" w:name="_Toc454788013"/>
      <w:bookmarkStart w:id="106" w:name="_Toc277149369"/>
      <w:bookmarkStart w:id="107" w:name="_Toc462934278"/>
      <w:bookmarkStart w:id="108" w:name="_Toc270604580"/>
      <w:bookmarkStart w:id="109" w:name="_Toc14128"/>
      <w:bookmarkStart w:id="110" w:name="_Toc428276573"/>
      <w:bookmarkStart w:id="111" w:name="_Toc29623289"/>
      <w:bookmarkStart w:id="112" w:name="_Toc463011257"/>
      <w:r>
        <w:rPr>
          <w:rFonts w:hint="eastAsia" w:ascii="Times New Roman" w:hAnsi="Times New Roman"/>
          <w:bCs w:val="0"/>
          <w:color w:val="auto"/>
          <w:szCs w:val="20"/>
        </w:rPr>
        <w:t>费用承担</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3C01623E">
      <w:pPr>
        <w:wordWrap/>
        <w:topLinePunct w:val="0"/>
        <w:spacing w:line="360" w:lineRule="auto"/>
        <w:ind w:left="420" w:leftChars="200"/>
        <w:rPr>
          <w:color w:val="auto"/>
        </w:rPr>
      </w:pPr>
      <w:bookmarkStart w:id="113" w:name="_Toc462934279"/>
      <w:bookmarkStart w:id="114" w:name="_Toc270604808"/>
      <w:bookmarkStart w:id="115" w:name="_Toc428276574"/>
      <w:bookmarkStart w:id="116" w:name="_Toc277149370"/>
      <w:bookmarkStart w:id="117" w:name="_Toc428351634"/>
      <w:bookmarkStart w:id="118" w:name="_Toc29742"/>
      <w:bookmarkStart w:id="119" w:name="_Toc7854"/>
      <w:bookmarkStart w:id="120" w:name="_Toc270604581"/>
      <w:bookmarkStart w:id="121" w:name="_Toc455678105"/>
      <w:bookmarkStart w:id="122" w:name="_Toc454788014"/>
      <w:bookmarkStart w:id="123" w:name="_Toc463011258"/>
      <w:bookmarkStart w:id="124" w:name="_Toc269470300"/>
      <w:r>
        <w:rPr>
          <w:rFonts w:hint="eastAsia"/>
          <w:color w:val="auto"/>
        </w:rPr>
        <w:t>供应商准备和参加竞争性磋商活动发生的费用自理。</w:t>
      </w:r>
    </w:p>
    <w:p w14:paraId="25E34CDC">
      <w:pPr>
        <w:pStyle w:val="4"/>
        <w:numPr>
          <w:ilvl w:val="1"/>
          <w:numId w:val="3"/>
        </w:numPr>
        <w:jc w:val="left"/>
        <w:rPr>
          <w:rFonts w:ascii="Times New Roman" w:hAnsi="Times New Roman"/>
          <w:bCs w:val="0"/>
          <w:color w:val="auto"/>
          <w:szCs w:val="20"/>
        </w:rPr>
      </w:pPr>
      <w:bookmarkStart w:id="125" w:name="_Toc27753941"/>
      <w:bookmarkStart w:id="126" w:name="_Toc29623290"/>
      <w:bookmarkStart w:id="127" w:name="_Toc23073"/>
      <w:bookmarkStart w:id="128" w:name="_Toc32336"/>
      <w:r>
        <w:rPr>
          <w:rFonts w:hint="eastAsia" w:ascii="Times New Roman" w:hAnsi="Times New Roman"/>
          <w:bCs w:val="0"/>
          <w:color w:val="auto"/>
          <w:szCs w:val="20"/>
        </w:rPr>
        <w:t>保密</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609624D3">
      <w:pPr>
        <w:wordWrap/>
        <w:topLinePunct w:val="0"/>
        <w:spacing w:line="360" w:lineRule="auto"/>
        <w:ind w:firstLine="420" w:firstLineChars="200"/>
        <w:rPr>
          <w:color w:val="auto"/>
        </w:rPr>
      </w:pPr>
      <w:bookmarkStart w:id="129" w:name="_Toc454788015"/>
      <w:bookmarkStart w:id="130" w:name="_Toc19438"/>
      <w:bookmarkStart w:id="131" w:name="_Toc270604809"/>
      <w:bookmarkStart w:id="132" w:name="_Toc428351635"/>
      <w:bookmarkStart w:id="133" w:name="_Toc270604582"/>
      <w:bookmarkStart w:id="134" w:name="_Toc269470301"/>
      <w:bookmarkStart w:id="135" w:name="_Toc7606"/>
      <w:bookmarkStart w:id="136" w:name="_Toc277149371"/>
      <w:bookmarkStart w:id="137" w:name="_Toc455678106"/>
      <w:bookmarkStart w:id="138" w:name="_Toc462934280"/>
      <w:bookmarkStart w:id="139" w:name="_Toc428276575"/>
      <w:bookmarkStart w:id="140" w:name="_Toc463011259"/>
      <w:r>
        <w:rPr>
          <w:rFonts w:hint="eastAsia"/>
          <w:color w:val="auto"/>
        </w:rPr>
        <w:t>参与竞争性磋商活动的各方应对竞争性磋商文件和响应文件中的商业和技术等秘密保密，否则应承担相应的法律责任。</w:t>
      </w:r>
    </w:p>
    <w:p w14:paraId="52B5C611">
      <w:pPr>
        <w:pStyle w:val="4"/>
        <w:numPr>
          <w:ilvl w:val="1"/>
          <w:numId w:val="3"/>
        </w:numPr>
        <w:jc w:val="left"/>
        <w:rPr>
          <w:rFonts w:ascii="Times New Roman" w:hAnsi="Times New Roman"/>
          <w:bCs w:val="0"/>
          <w:color w:val="auto"/>
          <w:szCs w:val="20"/>
        </w:rPr>
      </w:pPr>
      <w:bookmarkStart w:id="141" w:name="_Toc27753942"/>
      <w:bookmarkStart w:id="142" w:name="_Toc3641"/>
      <w:bookmarkStart w:id="143" w:name="_Toc25734"/>
      <w:bookmarkStart w:id="144" w:name="_Toc29623291"/>
      <w:r>
        <w:rPr>
          <w:rFonts w:hint="eastAsia" w:ascii="Times New Roman" w:hAnsi="Times New Roman"/>
          <w:bCs w:val="0"/>
          <w:color w:val="auto"/>
          <w:szCs w:val="20"/>
        </w:rPr>
        <w:t>语言文字</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3A552AA8">
      <w:pPr>
        <w:wordWrap/>
        <w:topLinePunct w:val="0"/>
        <w:spacing w:line="360" w:lineRule="auto"/>
        <w:ind w:firstLine="420" w:firstLineChars="200"/>
        <w:rPr>
          <w:color w:val="auto"/>
        </w:rPr>
      </w:pPr>
      <w:bookmarkStart w:id="145" w:name="_Toc29299"/>
      <w:bookmarkStart w:id="146" w:name="_Toc428351636"/>
      <w:bookmarkStart w:id="147" w:name="_Toc455678107"/>
      <w:bookmarkStart w:id="148" w:name="_Toc270604583"/>
      <w:bookmarkStart w:id="149" w:name="_Toc462934281"/>
      <w:bookmarkStart w:id="150" w:name="_Toc269470302"/>
      <w:bookmarkStart w:id="151" w:name="_Toc428276576"/>
      <w:bookmarkStart w:id="152" w:name="_Toc454788016"/>
      <w:bookmarkStart w:id="153" w:name="_Toc463011260"/>
      <w:bookmarkStart w:id="154" w:name="_Toc277149372"/>
      <w:bookmarkStart w:id="155" w:name="_Toc270604810"/>
      <w:bookmarkStart w:id="156" w:name="_Toc9894"/>
      <w:r>
        <w:rPr>
          <w:rFonts w:hint="eastAsia"/>
          <w:color w:val="auto"/>
          <w:kern w:val="0"/>
        </w:rPr>
        <w:t>竞争性磋商文件及响应文件</w:t>
      </w:r>
      <w:r>
        <w:rPr>
          <w:rFonts w:hint="eastAsia"/>
          <w:color w:val="auto"/>
          <w:spacing w:val="-2"/>
          <w:kern w:val="0"/>
        </w:rPr>
        <w:t>使</w:t>
      </w:r>
      <w:r>
        <w:rPr>
          <w:rFonts w:hint="eastAsia"/>
          <w:color w:val="auto"/>
          <w:kern w:val="0"/>
        </w:rPr>
        <w:t>用语</w:t>
      </w:r>
      <w:r>
        <w:rPr>
          <w:rFonts w:hint="eastAsia"/>
          <w:color w:val="auto"/>
          <w:spacing w:val="-2"/>
          <w:kern w:val="0"/>
        </w:rPr>
        <w:t>言</w:t>
      </w:r>
      <w:r>
        <w:rPr>
          <w:rFonts w:hint="eastAsia"/>
          <w:color w:val="auto"/>
          <w:kern w:val="0"/>
        </w:rPr>
        <w:t>文字应</w:t>
      </w:r>
      <w:r>
        <w:rPr>
          <w:rFonts w:hint="eastAsia"/>
          <w:color w:val="auto"/>
          <w:spacing w:val="-2"/>
          <w:kern w:val="0"/>
        </w:rPr>
        <w:t>为</w:t>
      </w:r>
      <w:r>
        <w:rPr>
          <w:rFonts w:hint="eastAsia"/>
          <w:color w:val="auto"/>
          <w:kern w:val="0"/>
        </w:rPr>
        <w:t>中</w:t>
      </w:r>
      <w:r>
        <w:rPr>
          <w:rFonts w:hint="eastAsia"/>
          <w:color w:val="auto"/>
          <w:spacing w:val="-2"/>
          <w:kern w:val="0"/>
        </w:rPr>
        <w:t>文</w:t>
      </w:r>
      <w:r>
        <w:rPr>
          <w:rFonts w:hint="eastAsia"/>
          <w:color w:val="auto"/>
          <w:kern w:val="0"/>
        </w:rPr>
        <w:t>。</w:t>
      </w:r>
      <w:r>
        <w:rPr>
          <w:rFonts w:hint="eastAsia"/>
          <w:color w:val="auto"/>
          <w:spacing w:val="-2"/>
          <w:kern w:val="0"/>
        </w:rPr>
        <w:t>专</w:t>
      </w:r>
      <w:r>
        <w:rPr>
          <w:rFonts w:hint="eastAsia"/>
          <w:color w:val="auto"/>
          <w:kern w:val="0"/>
        </w:rPr>
        <w:t>用</w:t>
      </w:r>
      <w:r>
        <w:rPr>
          <w:rFonts w:hint="eastAsia"/>
          <w:color w:val="auto"/>
          <w:spacing w:val="-2"/>
          <w:kern w:val="0"/>
        </w:rPr>
        <w:t>术</w:t>
      </w:r>
      <w:r>
        <w:rPr>
          <w:rFonts w:hint="eastAsia"/>
          <w:color w:val="auto"/>
          <w:kern w:val="0"/>
        </w:rPr>
        <w:t>语</w:t>
      </w:r>
      <w:r>
        <w:rPr>
          <w:rFonts w:hint="eastAsia"/>
          <w:color w:val="auto"/>
          <w:spacing w:val="-2"/>
          <w:kern w:val="0"/>
        </w:rPr>
        <w:t>使</w:t>
      </w:r>
      <w:r>
        <w:rPr>
          <w:rFonts w:hint="eastAsia"/>
          <w:color w:val="auto"/>
          <w:kern w:val="0"/>
        </w:rPr>
        <w:t>用外</w:t>
      </w:r>
      <w:r>
        <w:rPr>
          <w:rFonts w:hint="eastAsia"/>
          <w:color w:val="auto"/>
          <w:spacing w:val="-2"/>
          <w:kern w:val="0"/>
        </w:rPr>
        <w:t>文</w:t>
      </w:r>
      <w:r>
        <w:rPr>
          <w:rFonts w:hint="eastAsia"/>
          <w:color w:val="auto"/>
          <w:kern w:val="0"/>
        </w:rPr>
        <w:t>的</w:t>
      </w:r>
      <w:r>
        <w:rPr>
          <w:rFonts w:hint="eastAsia"/>
          <w:color w:val="auto"/>
          <w:spacing w:val="-2"/>
          <w:kern w:val="0"/>
        </w:rPr>
        <w:t>，</w:t>
      </w:r>
      <w:r>
        <w:rPr>
          <w:rFonts w:hint="eastAsia"/>
          <w:color w:val="auto"/>
          <w:kern w:val="0"/>
        </w:rPr>
        <w:t>应</w:t>
      </w:r>
      <w:r>
        <w:rPr>
          <w:rFonts w:hint="eastAsia"/>
          <w:color w:val="auto"/>
          <w:spacing w:val="-2"/>
          <w:kern w:val="0"/>
        </w:rPr>
        <w:t>附</w:t>
      </w:r>
      <w:r>
        <w:rPr>
          <w:rFonts w:hint="eastAsia"/>
          <w:color w:val="auto"/>
          <w:kern w:val="0"/>
        </w:rPr>
        <w:t>有</w:t>
      </w:r>
      <w:r>
        <w:rPr>
          <w:rFonts w:hint="eastAsia"/>
          <w:color w:val="auto"/>
          <w:spacing w:val="-2"/>
          <w:kern w:val="0"/>
        </w:rPr>
        <w:t>中</w:t>
      </w:r>
      <w:r>
        <w:rPr>
          <w:rFonts w:hint="eastAsia"/>
          <w:color w:val="auto"/>
          <w:kern w:val="0"/>
        </w:rPr>
        <w:t>文</w:t>
      </w:r>
      <w:r>
        <w:rPr>
          <w:rFonts w:hint="eastAsia"/>
          <w:color w:val="auto"/>
          <w:spacing w:val="-2"/>
          <w:kern w:val="0"/>
        </w:rPr>
        <w:t>注</w:t>
      </w:r>
      <w:r>
        <w:rPr>
          <w:rFonts w:hint="eastAsia"/>
          <w:color w:val="auto"/>
          <w:kern w:val="0"/>
        </w:rPr>
        <w:t>释</w:t>
      </w:r>
      <w:r>
        <w:rPr>
          <w:rFonts w:hint="eastAsia"/>
          <w:color w:val="auto"/>
        </w:rPr>
        <w:t>。</w:t>
      </w:r>
    </w:p>
    <w:p w14:paraId="198AC76D">
      <w:pPr>
        <w:pStyle w:val="4"/>
        <w:numPr>
          <w:ilvl w:val="1"/>
          <w:numId w:val="3"/>
        </w:numPr>
        <w:jc w:val="left"/>
        <w:rPr>
          <w:rFonts w:ascii="Times New Roman" w:hAnsi="Times New Roman"/>
          <w:bCs w:val="0"/>
          <w:color w:val="auto"/>
          <w:szCs w:val="20"/>
        </w:rPr>
      </w:pPr>
      <w:bookmarkStart w:id="157" w:name="_Toc15644"/>
      <w:bookmarkStart w:id="158" w:name="_Toc29623292"/>
      <w:bookmarkStart w:id="159" w:name="_Toc27753943"/>
      <w:bookmarkStart w:id="160" w:name="_Toc30996"/>
      <w:r>
        <w:rPr>
          <w:rFonts w:hint="eastAsia" w:ascii="Times New Roman" w:hAnsi="Times New Roman"/>
          <w:bCs w:val="0"/>
          <w:color w:val="auto"/>
          <w:szCs w:val="20"/>
        </w:rPr>
        <w:t>计量单位</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328E1FE6">
      <w:pPr>
        <w:autoSpaceDE w:val="0"/>
        <w:autoSpaceDN w:val="0"/>
        <w:adjustRightInd w:val="0"/>
        <w:snapToGrid w:val="0"/>
        <w:spacing w:line="360" w:lineRule="auto"/>
        <w:ind w:firstLine="420" w:firstLineChars="200"/>
        <w:contextualSpacing/>
        <w:jc w:val="left"/>
        <w:rPr>
          <w:rFonts w:cs="仿宋_GB2312"/>
          <w:color w:val="auto"/>
          <w:kern w:val="0"/>
        </w:rPr>
      </w:pPr>
      <w:r>
        <w:rPr>
          <w:rFonts w:hint="eastAsia" w:cs="仿宋_GB2312"/>
          <w:color w:val="auto"/>
          <w:kern w:val="0"/>
        </w:rPr>
        <w:t>所有计量均采用中华人民共和国法定计量标准单位。</w:t>
      </w:r>
    </w:p>
    <w:p w14:paraId="467A45D3">
      <w:pPr>
        <w:pStyle w:val="4"/>
        <w:numPr>
          <w:ilvl w:val="1"/>
          <w:numId w:val="3"/>
        </w:numPr>
        <w:jc w:val="left"/>
        <w:rPr>
          <w:rFonts w:ascii="Times New Roman" w:hAnsi="Times New Roman"/>
          <w:bCs w:val="0"/>
          <w:color w:val="auto"/>
          <w:szCs w:val="20"/>
        </w:rPr>
      </w:pPr>
      <w:bookmarkStart w:id="161" w:name="_Toc455678108"/>
      <w:bookmarkStart w:id="162" w:name="_Toc7491"/>
      <w:bookmarkStart w:id="163" w:name="_Toc269470303"/>
      <w:bookmarkStart w:id="164" w:name="_Toc454788017"/>
      <w:bookmarkStart w:id="165" w:name="_Toc270604584"/>
      <w:bookmarkStart w:id="166" w:name="_Toc462934282"/>
      <w:bookmarkStart w:id="167" w:name="_Toc463011261"/>
      <w:bookmarkStart w:id="168" w:name="_Toc270604811"/>
      <w:bookmarkStart w:id="169" w:name="_Toc11248"/>
      <w:bookmarkStart w:id="170" w:name="_Toc428351637"/>
      <w:bookmarkStart w:id="171" w:name="_Toc277149373"/>
      <w:bookmarkStart w:id="172" w:name="_Toc428276577"/>
      <w:bookmarkStart w:id="173" w:name="_Toc14349"/>
      <w:bookmarkStart w:id="174" w:name="_Toc27753944"/>
      <w:bookmarkStart w:id="175" w:name="_Toc29623293"/>
      <w:bookmarkStart w:id="176" w:name="_Toc32480"/>
      <w:r>
        <w:rPr>
          <w:rFonts w:hint="eastAsia" w:ascii="Times New Roman" w:hAnsi="Times New Roman"/>
          <w:bCs w:val="0"/>
          <w:color w:val="auto"/>
          <w:szCs w:val="20"/>
        </w:rPr>
        <w:t>现场</w:t>
      </w:r>
      <w:bookmarkEnd w:id="161"/>
      <w:bookmarkEnd w:id="162"/>
      <w:bookmarkEnd w:id="163"/>
      <w:bookmarkEnd w:id="164"/>
      <w:bookmarkEnd w:id="165"/>
      <w:bookmarkEnd w:id="166"/>
      <w:bookmarkEnd w:id="167"/>
      <w:bookmarkEnd w:id="168"/>
      <w:bookmarkEnd w:id="169"/>
      <w:bookmarkEnd w:id="170"/>
      <w:bookmarkEnd w:id="171"/>
      <w:bookmarkEnd w:id="172"/>
      <w:r>
        <w:rPr>
          <w:rFonts w:hint="eastAsia" w:ascii="Times New Roman" w:hAnsi="Times New Roman"/>
          <w:bCs w:val="0"/>
          <w:color w:val="auto"/>
          <w:szCs w:val="20"/>
        </w:rPr>
        <w:t>考察</w:t>
      </w:r>
      <w:bookmarkEnd w:id="173"/>
      <w:r>
        <w:rPr>
          <w:rFonts w:hint="eastAsia" w:ascii="Times New Roman" w:hAnsi="Times New Roman"/>
          <w:bCs w:val="0"/>
          <w:color w:val="auto"/>
          <w:szCs w:val="20"/>
        </w:rPr>
        <w:t>或答疑会</w:t>
      </w:r>
      <w:bookmarkEnd w:id="174"/>
      <w:bookmarkEnd w:id="175"/>
      <w:bookmarkEnd w:id="176"/>
    </w:p>
    <w:p w14:paraId="781B2D8A">
      <w:pPr>
        <w:numPr>
          <w:ilvl w:val="2"/>
          <w:numId w:val="3"/>
        </w:numPr>
        <w:wordWrap/>
        <w:topLinePunct w:val="0"/>
        <w:spacing w:line="360" w:lineRule="auto"/>
        <w:ind w:firstLine="420" w:firstLineChars="200"/>
        <w:rPr>
          <w:color w:val="auto"/>
        </w:rPr>
      </w:pPr>
      <w:r>
        <w:rPr>
          <w:rFonts w:hint="eastAsia"/>
          <w:color w:val="auto"/>
        </w:rPr>
        <w:t>现场考察：供应商须知前附表规定组织现场考察的，采购人按供应商须知前附表规定的时间、地点组织供应商考察项目现场。部分供应商未按时参加现场考察的，不影响现场考察的正常进行。</w:t>
      </w:r>
    </w:p>
    <w:p w14:paraId="3270EEF1">
      <w:pPr>
        <w:numPr>
          <w:ilvl w:val="2"/>
          <w:numId w:val="3"/>
        </w:numPr>
        <w:wordWrap/>
        <w:topLinePunct w:val="0"/>
        <w:spacing w:line="360" w:lineRule="auto"/>
        <w:ind w:firstLine="420" w:firstLineChars="200"/>
        <w:rPr>
          <w:color w:val="auto"/>
        </w:rPr>
      </w:pPr>
      <w:r>
        <w:rPr>
          <w:rFonts w:hint="eastAsia"/>
          <w:color w:val="auto"/>
        </w:rPr>
        <w:t>供应商现场考察发生的费用自理。</w:t>
      </w:r>
    </w:p>
    <w:p w14:paraId="614C95B0">
      <w:pPr>
        <w:numPr>
          <w:ilvl w:val="2"/>
          <w:numId w:val="3"/>
        </w:numPr>
        <w:wordWrap/>
        <w:topLinePunct w:val="0"/>
        <w:spacing w:line="360" w:lineRule="auto"/>
        <w:ind w:firstLine="420" w:firstLineChars="200"/>
        <w:rPr>
          <w:color w:val="auto"/>
        </w:rPr>
      </w:pPr>
      <w:r>
        <w:rPr>
          <w:rFonts w:hint="eastAsia"/>
          <w:color w:val="auto"/>
        </w:rPr>
        <w:t>除采购人的原因外，供应商自行负责在现场考察中所发生的人员伤亡和财产损失。</w:t>
      </w:r>
    </w:p>
    <w:p w14:paraId="0DDEAF87">
      <w:pPr>
        <w:numPr>
          <w:ilvl w:val="2"/>
          <w:numId w:val="3"/>
        </w:numPr>
        <w:wordWrap/>
        <w:topLinePunct w:val="0"/>
        <w:spacing w:line="360" w:lineRule="auto"/>
        <w:ind w:firstLine="420" w:firstLineChars="200"/>
        <w:rPr>
          <w:color w:val="auto"/>
        </w:rPr>
      </w:pPr>
      <w:r>
        <w:rPr>
          <w:rFonts w:hint="eastAsia"/>
          <w:color w:val="auto"/>
        </w:rPr>
        <w:t>采购人在现场考察中介绍的项目场地和相关的周边环境情况，供供应商在编制响应文件时参考，采购人不对供应商据此作出的判断和决策负责。</w:t>
      </w:r>
    </w:p>
    <w:p w14:paraId="60D94DD1">
      <w:pPr>
        <w:numPr>
          <w:ilvl w:val="2"/>
          <w:numId w:val="3"/>
        </w:numPr>
        <w:wordWrap/>
        <w:topLinePunct w:val="0"/>
        <w:spacing w:line="360" w:lineRule="auto"/>
        <w:ind w:firstLine="420" w:firstLineChars="200"/>
        <w:rPr>
          <w:color w:val="auto"/>
        </w:rPr>
      </w:pPr>
      <w:r>
        <w:rPr>
          <w:rFonts w:hint="eastAsia"/>
          <w:color w:val="auto"/>
        </w:rPr>
        <w:t>答疑会：见供应商须知前附表。</w:t>
      </w:r>
    </w:p>
    <w:p w14:paraId="56B58F31">
      <w:pPr>
        <w:pStyle w:val="4"/>
        <w:numPr>
          <w:ilvl w:val="1"/>
          <w:numId w:val="3"/>
        </w:numPr>
        <w:jc w:val="left"/>
        <w:rPr>
          <w:rFonts w:ascii="Times New Roman" w:hAnsi="Times New Roman"/>
          <w:bCs w:val="0"/>
          <w:color w:val="auto"/>
          <w:szCs w:val="20"/>
        </w:rPr>
      </w:pPr>
      <w:bookmarkStart w:id="177" w:name="_Toc455678110"/>
      <w:bookmarkStart w:id="178" w:name="_Toc270604813"/>
      <w:bookmarkStart w:id="179" w:name="_Toc462934284"/>
      <w:bookmarkStart w:id="180" w:name="_Toc269470305"/>
      <w:bookmarkStart w:id="181" w:name="_Toc8646"/>
      <w:bookmarkStart w:id="182" w:name="_Toc428276579"/>
      <w:bookmarkStart w:id="183" w:name="_Toc463011263"/>
      <w:bookmarkStart w:id="184" w:name="_Toc27753945"/>
      <w:bookmarkStart w:id="185" w:name="_Toc29623294"/>
      <w:bookmarkStart w:id="186" w:name="_Toc32376"/>
      <w:bookmarkStart w:id="187" w:name="_Toc24091"/>
      <w:bookmarkStart w:id="188" w:name="_Toc428351639"/>
      <w:bookmarkStart w:id="189" w:name="_Toc454788019"/>
      <w:bookmarkStart w:id="190" w:name="_Toc20135"/>
      <w:bookmarkStart w:id="191" w:name="_Toc277149375"/>
      <w:bookmarkStart w:id="192" w:name="_Toc270604586"/>
      <w:r>
        <w:rPr>
          <w:rFonts w:hint="eastAsia" w:ascii="Times New Roman" w:hAnsi="Times New Roman"/>
          <w:bCs w:val="0"/>
          <w:color w:val="auto"/>
          <w:szCs w:val="20"/>
        </w:rPr>
        <w:t>分包</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770D05DE">
      <w:pPr>
        <w:numPr>
          <w:ilvl w:val="2"/>
          <w:numId w:val="3"/>
        </w:numPr>
        <w:wordWrap/>
        <w:topLinePunct w:val="0"/>
        <w:spacing w:line="360" w:lineRule="auto"/>
        <w:ind w:firstLine="420" w:firstLineChars="200"/>
        <w:rPr>
          <w:color w:val="auto"/>
        </w:rPr>
      </w:pPr>
      <w:bookmarkStart w:id="193" w:name="_Toc269470306"/>
      <w:bookmarkStart w:id="194" w:name="_Toc8513"/>
      <w:bookmarkStart w:id="195" w:name="_Toc428276580"/>
      <w:bookmarkStart w:id="196" w:name="_Toc428351640"/>
      <w:bookmarkStart w:id="197" w:name="_Toc455678111"/>
      <w:bookmarkStart w:id="198" w:name="_Toc29688"/>
      <w:bookmarkStart w:id="199" w:name="_Toc10220"/>
      <w:bookmarkStart w:id="200" w:name="_Toc454788020"/>
      <w:bookmarkStart w:id="201" w:name="_Toc270604814"/>
      <w:bookmarkStart w:id="202" w:name="_Toc462934285"/>
      <w:bookmarkStart w:id="203" w:name="_Toc463011264"/>
      <w:bookmarkStart w:id="204" w:name="_Toc277149376"/>
      <w:bookmarkStart w:id="205" w:name="_Toc270604587"/>
      <w:r>
        <w:rPr>
          <w:rFonts w:hint="eastAsia"/>
          <w:color w:val="auto"/>
        </w:rPr>
        <w:t>供应商拟在成交后将成交项目的非主体、非关键性工作进行分包的，应符合供应商须知前附表规定的分包内容、分包金额和资质要求等限制性条件，除供应商须知前附表规定的非主体、非关键性工作外，其他工作不得分包。</w:t>
      </w:r>
    </w:p>
    <w:p w14:paraId="7B1C2BAB">
      <w:pPr>
        <w:numPr>
          <w:ilvl w:val="2"/>
          <w:numId w:val="3"/>
        </w:numPr>
        <w:wordWrap/>
        <w:topLinePunct w:val="0"/>
        <w:spacing w:line="360" w:lineRule="auto"/>
        <w:ind w:firstLine="420" w:firstLineChars="200"/>
        <w:rPr>
          <w:color w:val="auto"/>
        </w:rPr>
      </w:pPr>
      <w:r>
        <w:rPr>
          <w:rFonts w:hint="eastAsia"/>
          <w:color w:val="auto"/>
        </w:rPr>
        <w:t xml:space="preserve">成交供应商不得向他人转让成交项目，接受分包的人不得再次分包。成交供应商应当就分包项目向采购人负责，接受分包的人就分包项目承担连带责任。 </w:t>
      </w:r>
    </w:p>
    <w:bookmarkEnd w:id="193"/>
    <w:bookmarkEnd w:id="194"/>
    <w:bookmarkEnd w:id="195"/>
    <w:bookmarkEnd w:id="196"/>
    <w:bookmarkEnd w:id="197"/>
    <w:bookmarkEnd w:id="198"/>
    <w:bookmarkEnd w:id="199"/>
    <w:bookmarkEnd w:id="200"/>
    <w:bookmarkEnd w:id="201"/>
    <w:bookmarkEnd w:id="202"/>
    <w:bookmarkEnd w:id="203"/>
    <w:bookmarkEnd w:id="204"/>
    <w:bookmarkEnd w:id="205"/>
    <w:p w14:paraId="548F0263">
      <w:pPr>
        <w:pStyle w:val="4"/>
        <w:numPr>
          <w:ilvl w:val="1"/>
          <w:numId w:val="3"/>
        </w:numPr>
        <w:jc w:val="left"/>
        <w:rPr>
          <w:rFonts w:ascii="Times New Roman" w:hAnsi="Times New Roman"/>
          <w:bCs w:val="0"/>
          <w:color w:val="auto"/>
          <w:szCs w:val="20"/>
        </w:rPr>
      </w:pPr>
      <w:bookmarkStart w:id="206" w:name="_Toc24689"/>
      <w:bookmarkStart w:id="207" w:name="_Toc29623295"/>
      <w:bookmarkStart w:id="208" w:name="_Toc27753946"/>
      <w:r>
        <w:rPr>
          <w:rFonts w:hint="eastAsia" w:ascii="Times New Roman" w:hAnsi="Times New Roman"/>
          <w:bCs w:val="0"/>
          <w:color w:val="auto"/>
          <w:szCs w:val="20"/>
        </w:rPr>
        <w:t>响应和偏差</w:t>
      </w:r>
      <w:bookmarkEnd w:id="206"/>
      <w:bookmarkEnd w:id="207"/>
      <w:bookmarkEnd w:id="208"/>
    </w:p>
    <w:p w14:paraId="3E4A0C4E">
      <w:pPr>
        <w:numPr>
          <w:ilvl w:val="2"/>
          <w:numId w:val="3"/>
        </w:numPr>
        <w:wordWrap/>
        <w:topLinePunct w:val="0"/>
        <w:spacing w:line="360" w:lineRule="auto"/>
        <w:ind w:firstLine="420" w:firstLineChars="200"/>
        <w:rPr>
          <w:color w:val="auto"/>
        </w:rPr>
      </w:pPr>
      <w:r>
        <w:rPr>
          <w:rFonts w:hint="eastAsia"/>
          <w:color w:val="auto"/>
        </w:rPr>
        <w:t>响应文件应当对竞争性磋商文件的实质性要求和条件作出满足性或更有利于采购人的响应，否则，供应商的响应文件将被否决。实质性要求和条件见供应商须知前附表。</w:t>
      </w:r>
    </w:p>
    <w:p w14:paraId="5CD94A09">
      <w:pPr>
        <w:numPr>
          <w:ilvl w:val="2"/>
          <w:numId w:val="3"/>
        </w:numPr>
        <w:wordWrap/>
        <w:topLinePunct w:val="0"/>
        <w:spacing w:line="360" w:lineRule="auto"/>
        <w:ind w:firstLine="420" w:firstLineChars="200"/>
        <w:rPr>
          <w:color w:val="auto"/>
        </w:rPr>
      </w:pPr>
      <w:r>
        <w:rPr>
          <w:rFonts w:hint="eastAsia"/>
          <w:color w:val="auto"/>
        </w:rPr>
        <w:t>供应商应根据竞争性磋商文件的要求提供投标服务方案等内容以对竞争性磋商文件作出响应。</w:t>
      </w:r>
    </w:p>
    <w:p w14:paraId="49F5A4FD">
      <w:pPr>
        <w:numPr>
          <w:ilvl w:val="2"/>
          <w:numId w:val="3"/>
        </w:numPr>
        <w:wordWrap/>
        <w:topLinePunct w:val="0"/>
        <w:spacing w:line="360" w:lineRule="auto"/>
        <w:ind w:firstLine="420" w:firstLineChars="200"/>
        <w:rPr>
          <w:color w:val="auto"/>
        </w:rPr>
      </w:pPr>
      <w:r>
        <w:rPr>
          <w:rFonts w:hint="eastAsia"/>
          <w:color w:val="auto"/>
        </w:rPr>
        <w:t>允许响应文件偏离竞争性磋商文件某些要求的，偏差应当符合竞争性磋商文件规定的偏差范围和幅度。</w:t>
      </w:r>
    </w:p>
    <w:p w14:paraId="7E52E8CE">
      <w:pPr>
        <w:pStyle w:val="4"/>
        <w:numPr>
          <w:ilvl w:val="1"/>
          <w:numId w:val="3"/>
        </w:numPr>
        <w:jc w:val="left"/>
        <w:rPr>
          <w:rFonts w:ascii="Times New Roman" w:hAnsi="Times New Roman"/>
          <w:bCs w:val="0"/>
          <w:color w:val="auto"/>
          <w:szCs w:val="20"/>
        </w:rPr>
      </w:pPr>
      <w:bookmarkStart w:id="209" w:name="_Toc27753947"/>
      <w:bookmarkStart w:id="210" w:name="_Toc462934286"/>
      <w:bookmarkStart w:id="211" w:name="_Toc23956"/>
      <w:bookmarkStart w:id="212" w:name="_Toc455678112"/>
      <w:bookmarkStart w:id="213" w:name="_Toc11809"/>
      <w:bookmarkStart w:id="214" w:name="_Toc29623296"/>
      <w:bookmarkStart w:id="215" w:name="_Toc463011265"/>
      <w:bookmarkStart w:id="216" w:name="_Toc18933"/>
      <w:bookmarkStart w:id="217" w:name="_Toc17145"/>
      <w:r>
        <w:rPr>
          <w:rFonts w:hint="eastAsia" w:ascii="Times New Roman" w:hAnsi="Times New Roman"/>
          <w:bCs w:val="0"/>
          <w:color w:val="auto"/>
          <w:szCs w:val="20"/>
        </w:rPr>
        <w:t>选择性报价方案</w:t>
      </w:r>
      <w:bookmarkEnd w:id="209"/>
      <w:bookmarkEnd w:id="210"/>
      <w:bookmarkEnd w:id="211"/>
      <w:bookmarkEnd w:id="212"/>
      <w:bookmarkEnd w:id="213"/>
      <w:bookmarkEnd w:id="214"/>
      <w:bookmarkEnd w:id="215"/>
      <w:bookmarkEnd w:id="216"/>
      <w:bookmarkEnd w:id="217"/>
    </w:p>
    <w:p w14:paraId="7018A9CB">
      <w:pPr>
        <w:tabs>
          <w:tab w:val="left" w:pos="720"/>
          <w:tab w:val="left" w:pos="1320"/>
        </w:tabs>
        <w:snapToGrid w:val="0"/>
        <w:spacing w:line="360" w:lineRule="auto"/>
        <w:ind w:firstLine="420" w:firstLineChars="200"/>
        <w:contextualSpacing/>
        <w:rPr>
          <w:rFonts w:hint="eastAsia" w:cs="黑体"/>
          <w:color w:val="auto"/>
        </w:rPr>
      </w:pPr>
      <w:r>
        <w:rPr>
          <w:rFonts w:hint="eastAsia" w:cs="黑体"/>
          <w:color w:val="auto"/>
        </w:rPr>
        <w:t>选择性报价方案：见供应商须知前附表。</w:t>
      </w:r>
    </w:p>
    <w:p w14:paraId="7893363C">
      <w:pPr>
        <w:pStyle w:val="30"/>
        <w:rPr>
          <w:rFonts w:hint="eastAsia" w:cs="黑体"/>
          <w:color w:val="auto"/>
        </w:rPr>
      </w:pPr>
    </w:p>
    <w:p w14:paraId="060B87AF">
      <w:pPr>
        <w:pStyle w:val="30"/>
        <w:rPr>
          <w:rFonts w:hint="eastAsia" w:cs="黑体"/>
          <w:color w:val="auto"/>
        </w:rPr>
      </w:pPr>
    </w:p>
    <w:p w14:paraId="226B398D">
      <w:pPr>
        <w:pStyle w:val="30"/>
        <w:rPr>
          <w:rFonts w:hint="eastAsia" w:cs="黑体"/>
          <w:color w:val="auto"/>
        </w:rPr>
      </w:pPr>
    </w:p>
    <w:p w14:paraId="504C3052">
      <w:pPr>
        <w:pStyle w:val="30"/>
        <w:rPr>
          <w:rFonts w:hint="eastAsia" w:cs="黑体"/>
          <w:color w:val="auto"/>
        </w:rPr>
      </w:pPr>
    </w:p>
    <w:p w14:paraId="6D45827F">
      <w:pPr>
        <w:pStyle w:val="30"/>
        <w:rPr>
          <w:rFonts w:hint="eastAsia" w:cs="黑体"/>
          <w:color w:val="auto"/>
        </w:rPr>
      </w:pPr>
    </w:p>
    <w:p w14:paraId="61152702">
      <w:pPr>
        <w:pStyle w:val="30"/>
        <w:rPr>
          <w:rFonts w:hint="eastAsia" w:cs="黑体"/>
          <w:color w:val="auto"/>
        </w:rPr>
      </w:pPr>
    </w:p>
    <w:p w14:paraId="1D836C8D">
      <w:pPr>
        <w:pStyle w:val="30"/>
        <w:rPr>
          <w:rFonts w:hint="eastAsia" w:cs="黑体"/>
          <w:color w:val="auto"/>
        </w:rPr>
      </w:pPr>
    </w:p>
    <w:p w14:paraId="3EF10C4A">
      <w:pPr>
        <w:pStyle w:val="30"/>
        <w:rPr>
          <w:rFonts w:hint="eastAsia" w:cs="黑体"/>
          <w:color w:val="auto"/>
        </w:rPr>
      </w:pPr>
    </w:p>
    <w:p w14:paraId="520D0032">
      <w:pPr>
        <w:pStyle w:val="30"/>
        <w:rPr>
          <w:rFonts w:hint="eastAsia" w:cs="黑体"/>
          <w:color w:val="auto"/>
        </w:rPr>
      </w:pPr>
    </w:p>
    <w:p w14:paraId="54099094">
      <w:pPr>
        <w:pStyle w:val="30"/>
        <w:rPr>
          <w:rFonts w:hint="eastAsia" w:cs="黑体"/>
          <w:color w:val="auto"/>
        </w:rPr>
      </w:pPr>
    </w:p>
    <w:p w14:paraId="0FABE0E7">
      <w:pPr>
        <w:pStyle w:val="30"/>
        <w:rPr>
          <w:rFonts w:hint="eastAsia" w:cs="黑体"/>
          <w:color w:val="auto"/>
        </w:rPr>
      </w:pPr>
    </w:p>
    <w:p w14:paraId="6BD02899">
      <w:pPr>
        <w:pStyle w:val="30"/>
        <w:rPr>
          <w:rFonts w:hint="eastAsia" w:cs="黑体"/>
          <w:color w:val="auto"/>
        </w:rPr>
      </w:pPr>
    </w:p>
    <w:p w14:paraId="65C60F57">
      <w:pPr>
        <w:pStyle w:val="30"/>
        <w:rPr>
          <w:rFonts w:hint="eastAsia" w:cs="黑体"/>
          <w:color w:val="auto"/>
        </w:rPr>
      </w:pPr>
    </w:p>
    <w:p w14:paraId="58B3E973">
      <w:pPr>
        <w:pStyle w:val="30"/>
        <w:rPr>
          <w:rFonts w:hint="eastAsia" w:cs="黑体"/>
          <w:color w:val="auto"/>
        </w:rPr>
      </w:pPr>
    </w:p>
    <w:p w14:paraId="6B6114CC">
      <w:pPr>
        <w:pStyle w:val="30"/>
        <w:rPr>
          <w:rFonts w:hint="eastAsia" w:cs="黑体"/>
          <w:color w:val="auto"/>
        </w:rPr>
      </w:pPr>
    </w:p>
    <w:p w14:paraId="4C08CC87">
      <w:pPr>
        <w:pStyle w:val="30"/>
        <w:rPr>
          <w:rFonts w:hint="eastAsia" w:cs="黑体"/>
          <w:color w:val="auto"/>
        </w:rPr>
      </w:pPr>
    </w:p>
    <w:p w14:paraId="6DC218DC">
      <w:pPr>
        <w:pStyle w:val="30"/>
        <w:rPr>
          <w:rFonts w:hint="eastAsia" w:cs="黑体"/>
          <w:color w:val="auto"/>
        </w:rPr>
      </w:pPr>
    </w:p>
    <w:p w14:paraId="4BB18C50">
      <w:pPr>
        <w:pStyle w:val="30"/>
        <w:rPr>
          <w:rFonts w:hint="eastAsia" w:cs="黑体"/>
          <w:color w:val="auto"/>
        </w:rPr>
      </w:pPr>
    </w:p>
    <w:p w14:paraId="450E3D96">
      <w:pPr>
        <w:pStyle w:val="30"/>
        <w:rPr>
          <w:rFonts w:hint="eastAsia" w:cs="黑体"/>
          <w:color w:val="auto"/>
        </w:rPr>
      </w:pPr>
    </w:p>
    <w:p w14:paraId="12F00296">
      <w:pPr>
        <w:pStyle w:val="30"/>
        <w:numPr>
          <w:ilvl w:val="0"/>
          <w:numId w:val="2"/>
        </w:numPr>
        <w:tabs>
          <w:tab w:val="left" w:pos="360"/>
        </w:tabs>
        <w:snapToGrid w:val="0"/>
        <w:spacing w:line="360" w:lineRule="auto"/>
        <w:ind w:firstLine="883"/>
        <w:contextualSpacing/>
        <w:jc w:val="both"/>
        <w:outlineLvl w:val="1"/>
        <w:rPr>
          <w:rStyle w:val="31"/>
          <w:color w:val="auto"/>
        </w:rPr>
      </w:pPr>
      <w:bookmarkStart w:id="218" w:name="_Toc270604588"/>
      <w:bookmarkStart w:id="219" w:name="_Toc6260"/>
      <w:r>
        <w:rPr>
          <w:rStyle w:val="31"/>
          <w:rFonts w:hint="eastAsia"/>
          <w:color w:val="auto"/>
        </w:rPr>
        <w:t xml:space="preserve"> </w:t>
      </w:r>
      <w:bookmarkStart w:id="220" w:name="_Toc29623297"/>
      <w:bookmarkStart w:id="221" w:name="_Toc18247"/>
      <w:bookmarkStart w:id="222" w:name="_Toc14606"/>
      <w:bookmarkStart w:id="223" w:name="_Toc5446"/>
      <w:r>
        <w:rPr>
          <w:rStyle w:val="31"/>
          <w:rFonts w:hint="eastAsia"/>
          <w:color w:val="auto"/>
        </w:rPr>
        <w:t>竞争性磋商文件</w:t>
      </w:r>
      <w:bookmarkEnd w:id="218"/>
      <w:bookmarkEnd w:id="219"/>
      <w:bookmarkEnd w:id="220"/>
      <w:bookmarkEnd w:id="221"/>
      <w:bookmarkEnd w:id="222"/>
      <w:bookmarkEnd w:id="223"/>
    </w:p>
    <w:p w14:paraId="67AB2243">
      <w:pPr>
        <w:pStyle w:val="4"/>
        <w:numPr>
          <w:ilvl w:val="1"/>
          <w:numId w:val="2"/>
        </w:numPr>
        <w:jc w:val="left"/>
        <w:rPr>
          <w:color w:val="auto"/>
        </w:rPr>
      </w:pPr>
      <w:bookmarkStart w:id="224" w:name="_Toc428276582"/>
      <w:bookmarkStart w:id="225" w:name="_Toc454788022"/>
      <w:bookmarkStart w:id="226" w:name="_Toc4863"/>
      <w:bookmarkStart w:id="227" w:name="_Toc463011267"/>
      <w:bookmarkStart w:id="228" w:name="_Toc277149378"/>
      <w:bookmarkStart w:id="229" w:name="_Toc270604816"/>
      <w:bookmarkStart w:id="230" w:name="_Toc269470308"/>
      <w:bookmarkStart w:id="231" w:name="_Toc10962"/>
      <w:bookmarkStart w:id="232" w:name="_Toc29623298"/>
      <w:bookmarkStart w:id="233" w:name="_Toc27753949"/>
      <w:bookmarkStart w:id="234" w:name="_Toc19729"/>
      <w:bookmarkStart w:id="235" w:name="_Toc455678114"/>
      <w:bookmarkStart w:id="236" w:name="_Toc428351642"/>
      <w:bookmarkStart w:id="237" w:name="_Toc462934288"/>
      <w:bookmarkStart w:id="238" w:name="_Toc27664"/>
      <w:bookmarkStart w:id="239" w:name="_Toc270604589"/>
      <w:r>
        <w:rPr>
          <w:rFonts w:hint="eastAsia" w:ascii="Times New Roman" w:hAnsi="Times New Roman"/>
          <w:bCs w:val="0"/>
          <w:color w:val="auto"/>
          <w:szCs w:val="20"/>
        </w:rPr>
        <w:t>竞争性磋商文件的组成</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7347A9F2">
      <w:pPr>
        <w:tabs>
          <w:tab w:val="left" w:pos="1260"/>
        </w:tabs>
        <w:autoSpaceDE w:val="0"/>
        <w:autoSpaceDN w:val="0"/>
        <w:adjustRightInd w:val="0"/>
        <w:snapToGrid w:val="0"/>
        <w:spacing w:line="360" w:lineRule="auto"/>
        <w:ind w:firstLine="472" w:firstLineChars="225"/>
        <w:contextualSpacing/>
        <w:jc w:val="left"/>
        <w:rPr>
          <w:rFonts w:cs="仿宋_GB2312"/>
          <w:color w:val="auto"/>
          <w:kern w:val="0"/>
        </w:rPr>
      </w:pPr>
      <w:r>
        <w:rPr>
          <w:rFonts w:hint="eastAsia" w:cs="仿宋_GB2312"/>
          <w:color w:val="auto"/>
          <w:kern w:val="0"/>
        </w:rPr>
        <w:t>本竞争性磋商文件包括：</w:t>
      </w:r>
    </w:p>
    <w:p w14:paraId="6585F064">
      <w:pPr>
        <w:numPr>
          <w:ilvl w:val="0"/>
          <w:numId w:val="6"/>
        </w:numPr>
        <w:wordWrap/>
        <w:topLinePunct w:val="0"/>
        <w:autoSpaceDE w:val="0"/>
        <w:autoSpaceDN w:val="0"/>
        <w:adjustRightInd w:val="0"/>
        <w:spacing w:line="360" w:lineRule="auto"/>
        <w:ind w:left="987" w:leftChars="200" w:right="40" w:hanging="567"/>
        <w:jc w:val="left"/>
        <w:rPr>
          <w:rFonts w:cs="微软雅黑"/>
          <w:color w:val="auto"/>
          <w:kern w:val="0"/>
        </w:rPr>
      </w:pPr>
      <w:r>
        <w:rPr>
          <w:rFonts w:hint="eastAsia" w:cs="微软雅黑"/>
          <w:color w:val="auto"/>
          <w:kern w:val="0"/>
        </w:rPr>
        <w:t>采购邀请</w:t>
      </w:r>
    </w:p>
    <w:p w14:paraId="23EF4953">
      <w:pPr>
        <w:numPr>
          <w:ilvl w:val="0"/>
          <w:numId w:val="6"/>
        </w:numPr>
        <w:wordWrap/>
        <w:topLinePunct w:val="0"/>
        <w:autoSpaceDE w:val="0"/>
        <w:autoSpaceDN w:val="0"/>
        <w:adjustRightInd w:val="0"/>
        <w:spacing w:line="360" w:lineRule="auto"/>
        <w:ind w:left="987" w:leftChars="200" w:right="40" w:hanging="567"/>
        <w:jc w:val="left"/>
        <w:rPr>
          <w:rFonts w:cs="微软雅黑"/>
          <w:color w:val="auto"/>
          <w:kern w:val="0"/>
        </w:rPr>
      </w:pPr>
      <w:r>
        <w:rPr>
          <w:rFonts w:hint="eastAsia" w:cs="微软雅黑"/>
          <w:color w:val="auto"/>
          <w:kern w:val="0"/>
        </w:rPr>
        <w:t>供应商须知</w:t>
      </w:r>
    </w:p>
    <w:p w14:paraId="77C876C2">
      <w:pPr>
        <w:numPr>
          <w:ilvl w:val="0"/>
          <w:numId w:val="6"/>
        </w:numPr>
        <w:wordWrap/>
        <w:topLinePunct w:val="0"/>
        <w:autoSpaceDE w:val="0"/>
        <w:autoSpaceDN w:val="0"/>
        <w:adjustRightInd w:val="0"/>
        <w:spacing w:line="360" w:lineRule="auto"/>
        <w:ind w:left="987" w:leftChars="200" w:right="40" w:hanging="567"/>
        <w:jc w:val="left"/>
        <w:rPr>
          <w:rFonts w:cs="微软雅黑"/>
          <w:color w:val="auto"/>
          <w:kern w:val="0"/>
        </w:rPr>
      </w:pPr>
      <w:r>
        <w:rPr>
          <w:rFonts w:hint="eastAsia" w:cs="微软雅黑"/>
          <w:color w:val="auto"/>
          <w:kern w:val="0"/>
        </w:rPr>
        <w:t>评审办法</w:t>
      </w:r>
    </w:p>
    <w:p w14:paraId="7BC8B1CF">
      <w:pPr>
        <w:numPr>
          <w:ilvl w:val="0"/>
          <w:numId w:val="6"/>
        </w:numPr>
        <w:wordWrap/>
        <w:topLinePunct w:val="0"/>
        <w:autoSpaceDE w:val="0"/>
        <w:autoSpaceDN w:val="0"/>
        <w:adjustRightInd w:val="0"/>
        <w:spacing w:line="360" w:lineRule="auto"/>
        <w:ind w:left="987" w:leftChars="200" w:right="40" w:hanging="567"/>
        <w:jc w:val="left"/>
        <w:rPr>
          <w:rFonts w:cs="微软雅黑"/>
          <w:color w:val="auto"/>
          <w:kern w:val="0"/>
        </w:rPr>
      </w:pPr>
      <w:r>
        <w:rPr>
          <w:rFonts w:hint="eastAsia" w:cs="微软雅黑"/>
          <w:color w:val="auto"/>
          <w:kern w:val="0"/>
        </w:rPr>
        <w:t>合同</w:t>
      </w:r>
    </w:p>
    <w:p w14:paraId="26305634">
      <w:pPr>
        <w:numPr>
          <w:ilvl w:val="0"/>
          <w:numId w:val="6"/>
        </w:numPr>
        <w:wordWrap/>
        <w:topLinePunct w:val="0"/>
        <w:autoSpaceDE w:val="0"/>
        <w:autoSpaceDN w:val="0"/>
        <w:adjustRightInd w:val="0"/>
        <w:spacing w:line="360" w:lineRule="auto"/>
        <w:ind w:left="987" w:leftChars="200" w:right="40" w:hanging="567"/>
        <w:jc w:val="left"/>
        <w:rPr>
          <w:rFonts w:cs="微软雅黑"/>
          <w:color w:val="auto"/>
          <w:kern w:val="0"/>
        </w:rPr>
      </w:pPr>
      <w:r>
        <w:rPr>
          <w:rFonts w:hint="eastAsia" w:cs="微软雅黑"/>
          <w:color w:val="auto"/>
          <w:kern w:val="0"/>
        </w:rPr>
        <w:t>采购需求</w:t>
      </w:r>
    </w:p>
    <w:p w14:paraId="4534E7DE">
      <w:pPr>
        <w:numPr>
          <w:ilvl w:val="0"/>
          <w:numId w:val="6"/>
        </w:numPr>
        <w:wordWrap/>
        <w:topLinePunct w:val="0"/>
        <w:autoSpaceDE w:val="0"/>
        <w:autoSpaceDN w:val="0"/>
        <w:adjustRightInd w:val="0"/>
        <w:spacing w:line="360" w:lineRule="auto"/>
        <w:ind w:left="987" w:leftChars="200" w:right="40" w:hanging="567"/>
        <w:jc w:val="left"/>
        <w:rPr>
          <w:rFonts w:cs="微软雅黑"/>
          <w:color w:val="auto"/>
          <w:kern w:val="0"/>
        </w:rPr>
      </w:pPr>
      <w:r>
        <w:rPr>
          <w:rFonts w:hint="eastAsia" w:cs="微软雅黑"/>
          <w:color w:val="auto"/>
          <w:kern w:val="0"/>
        </w:rPr>
        <w:t>磋商响应文件格式</w:t>
      </w:r>
    </w:p>
    <w:p w14:paraId="30FB6F4A">
      <w:pPr>
        <w:tabs>
          <w:tab w:val="left" w:pos="1260"/>
        </w:tabs>
        <w:autoSpaceDE w:val="0"/>
        <w:autoSpaceDN w:val="0"/>
        <w:adjustRightInd w:val="0"/>
        <w:snapToGrid w:val="0"/>
        <w:spacing w:line="360" w:lineRule="auto"/>
        <w:ind w:firstLine="472" w:firstLineChars="225"/>
        <w:contextualSpacing/>
        <w:jc w:val="left"/>
        <w:rPr>
          <w:rFonts w:cs="仿宋_GB2312"/>
          <w:color w:val="auto"/>
          <w:kern w:val="0"/>
        </w:rPr>
      </w:pPr>
      <w:r>
        <w:rPr>
          <w:rFonts w:hint="eastAsia" w:cs="仿宋_GB2312"/>
          <w:color w:val="auto"/>
          <w:kern w:val="0"/>
        </w:rPr>
        <w:t>根据本章第</w:t>
      </w:r>
      <w:r>
        <w:rPr>
          <w:rFonts w:cs="TimesNewRomanPSMT"/>
          <w:color w:val="auto"/>
          <w:kern w:val="0"/>
        </w:rPr>
        <w:t>1.</w:t>
      </w:r>
      <w:r>
        <w:rPr>
          <w:rFonts w:hint="eastAsia" w:cs="TimesNewRomanPSMT"/>
          <w:color w:val="auto"/>
          <w:kern w:val="0"/>
        </w:rPr>
        <w:t>9</w:t>
      </w:r>
      <w:r>
        <w:rPr>
          <w:rFonts w:cs="TimesNewRomanPSMT"/>
          <w:color w:val="auto"/>
          <w:kern w:val="0"/>
        </w:rPr>
        <w:t xml:space="preserve"> </w:t>
      </w:r>
      <w:r>
        <w:rPr>
          <w:rFonts w:hint="eastAsia" w:cs="仿宋_GB2312"/>
          <w:color w:val="auto"/>
          <w:kern w:val="0"/>
        </w:rPr>
        <w:t>款、第</w:t>
      </w:r>
      <w:r>
        <w:rPr>
          <w:rFonts w:cs="TimesNewRomanPSMT"/>
          <w:color w:val="auto"/>
          <w:kern w:val="0"/>
        </w:rPr>
        <w:t xml:space="preserve">2.2 </w:t>
      </w:r>
      <w:r>
        <w:rPr>
          <w:rFonts w:hint="eastAsia" w:cs="仿宋_GB2312"/>
          <w:color w:val="auto"/>
          <w:kern w:val="0"/>
        </w:rPr>
        <w:t>款和第</w:t>
      </w:r>
      <w:r>
        <w:rPr>
          <w:rFonts w:cs="TimesNewRomanPSMT"/>
          <w:color w:val="auto"/>
          <w:kern w:val="0"/>
        </w:rPr>
        <w:t xml:space="preserve">2.3 </w:t>
      </w:r>
      <w:r>
        <w:rPr>
          <w:rFonts w:hint="eastAsia" w:cs="仿宋_GB2312"/>
          <w:color w:val="auto"/>
          <w:kern w:val="0"/>
        </w:rPr>
        <w:t>款对竞争性磋商文件所作的澄清、修改，构成竞争性磋商文件的组成部分。</w:t>
      </w:r>
    </w:p>
    <w:p w14:paraId="4AB5ACB9">
      <w:pPr>
        <w:pStyle w:val="4"/>
        <w:numPr>
          <w:ilvl w:val="1"/>
          <w:numId w:val="2"/>
        </w:numPr>
        <w:jc w:val="left"/>
        <w:rPr>
          <w:rFonts w:ascii="Times New Roman" w:hAnsi="Times New Roman"/>
          <w:bCs w:val="0"/>
          <w:color w:val="auto"/>
          <w:szCs w:val="20"/>
        </w:rPr>
      </w:pPr>
      <w:bookmarkStart w:id="240" w:name="_Toc454788023"/>
      <w:bookmarkStart w:id="241" w:name="_Toc27753950"/>
      <w:bookmarkStart w:id="242" w:name="_Toc455678115"/>
      <w:bookmarkStart w:id="243" w:name="_Toc428276583"/>
      <w:bookmarkStart w:id="244" w:name="_Toc269470309"/>
      <w:bookmarkStart w:id="245" w:name="_Toc5047"/>
      <w:bookmarkStart w:id="246" w:name="_Toc463011268"/>
      <w:bookmarkStart w:id="247" w:name="_Toc11511"/>
      <w:bookmarkStart w:id="248" w:name="_Toc29623299"/>
      <w:bookmarkStart w:id="249" w:name="_Toc428351643"/>
      <w:bookmarkStart w:id="250" w:name="_Toc277149379"/>
      <w:bookmarkStart w:id="251" w:name="_Toc13094"/>
      <w:bookmarkStart w:id="252" w:name="_Toc270604590"/>
      <w:bookmarkStart w:id="253" w:name="_Toc270604817"/>
      <w:bookmarkStart w:id="254" w:name="_Toc7911"/>
      <w:bookmarkStart w:id="255" w:name="_Toc462934289"/>
      <w:r>
        <w:rPr>
          <w:rFonts w:hint="eastAsia" w:ascii="Times New Roman" w:hAnsi="Times New Roman"/>
          <w:bCs w:val="0"/>
          <w:color w:val="auto"/>
          <w:szCs w:val="20"/>
        </w:rPr>
        <w:t>竞争性磋商文件的澄清</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00AD3BA4">
      <w:pPr>
        <w:spacing w:line="400" w:lineRule="exact"/>
        <w:ind w:firstLine="420" w:firstLineChars="200"/>
        <w:rPr>
          <w:color w:val="auto"/>
        </w:rPr>
      </w:pPr>
      <w:bookmarkStart w:id="256" w:name="_Toc428276584"/>
      <w:bookmarkStart w:id="257" w:name="_Toc269470310"/>
      <w:bookmarkStart w:id="258" w:name="_Toc5535"/>
      <w:bookmarkStart w:id="259" w:name="_Toc270604591"/>
      <w:bookmarkStart w:id="260" w:name="_Toc16316"/>
      <w:bookmarkStart w:id="261" w:name="_Toc454788024"/>
      <w:bookmarkStart w:id="262" w:name="_Toc20316"/>
      <w:bookmarkStart w:id="263" w:name="_Toc27753951"/>
      <w:bookmarkStart w:id="264" w:name="_Toc428351644"/>
      <w:bookmarkStart w:id="265" w:name="_Toc463011269"/>
      <w:bookmarkStart w:id="266" w:name="_Toc462934290"/>
      <w:bookmarkStart w:id="267" w:name="_Toc270604818"/>
      <w:bookmarkStart w:id="268" w:name="_Toc400"/>
      <w:bookmarkStart w:id="269" w:name="_Toc455678116"/>
      <w:bookmarkStart w:id="270" w:name="_Toc277149380"/>
      <w:bookmarkStart w:id="271" w:name="_Toc29623300"/>
      <w:r>
        <w:rPr>
          <w:rFonts w:hint="eastAsia"/>
          <w:color w:val="auto"/>
        </w:rPr>
        <w:t>2.2.1 供应商应仔细阅读和检查磋商文件的全部内容。如发现缺页或附件不全，应在供应商须知前附表规定的时间前登陆电子交易系统向采购代理机构提出，要求对磋商文件予以澄清。</w:t>
      </w:r>
    </w:p>
    <w:p w14:paraId="1B37B3F2">
      <w:pPr>
        <w:autoSpaceDE w:val="0"/>
        <w:autoSpaceDN w:val="0"/>
        <w:adjustRightInd w:val="0"/>
        <w:spacing w:before="30" w:line="400" w:lineRule="exact"/>
        <w:ind w:right="-23" w:firstLine="420" w:firstLineChars="200"/>
        <w:jc w:val="left"/>
        <w:rPr>
          <w:rFonts w:cs="MingLiU"/>
          <w:color w:val="auto"/>
          <w:kern w:val="0"/>
        </w:rPr>
      </w:pPr>
      <w:r>
        <w:rPr>
          <w:rFonts w:hint="eastAsia"/>
          <w:color w:val="auto"/>
        </w:rPr>
        <w:t>2.2.2 磋商文件的澄清采购代理机构将登陆电子交易系统发给所有购买磋商文件的供应商，但不指明澄清问题的来源。澄清发出的时间距供应商须知前附表规定的投标截止时间不足5天的，并且澄清内容影响响应文件编制的，将在电子交易系统内相应延长投标截止时间</w:t>
      </w:r>
      <w:r>
        <w:rPr>
          <w:rFonts w:hint="eastAsia" w:cs="MingLiU"/>
          <w:color w:val="auto"/>
          <w:kern w:val="0"/>
        </w:rPr>
        <w:t>。</w:t>
      </w:r>
    </w:p>
    <w:p w14:paraId="31C5B310">
      <w:pPr>
        <w:pStyle w:val="4"/>
        <w:numPr>
          <w:ilvl w:val="1"/>
          <w:numId w:val="2"/>
        </w:numPr>
        <w:jc w:val="left"/>
        <w:rPr>
          <w:rFonts w:ascii="Times New Roman" w:hAnsi="Times New Roman"/>
          <w:bCs w:val="0"/>
          <w:color w:val="auto"/>
          <w:szCs w:val="20"/>
        </w:rPr>
      </w:pPr>
      <w:r>
        <w:rPr>
          <w:rFonts w:hint="eastAsia" w:ascii="Times New Roman" w:hAnsi="Times New Roman"/>
          <w:bCs w:val="0"/>
          <w:color w:val="auto"/>
          <w:szCs w:val="20"/>
        </w:rPr>
        <w:t>竞争性磋商文件的修改</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12B0CA6F">
      <w:pPr>
        <w:wordWrap/>
        <w:topLinePunct w:val="0"/>
        <w:spacing w:line="360" w:lineRule="auto"/>
        <w:ind w:firstLine="420" w:firstLineChars="200"/>
        <w:rPr>
          <w:rFonts w:hint="eastAsia"/>
          <w:color w:val="auto"/>
        </w:rPr>
      </w:pPr>
      <w:bookmarkStart w:id="272" w:name="_Toc12045"/>
      <w:bookmarkStart w:id="273" w:name="_Toc270604592"/>
      <w:r>
        <w:rPr>
          <w:rFonts w:hint="eastAsia"/>
          <w:color w:val="auto"/>
        </w:rPr>
        <w:t>2.3.1采购代理机构可以登陆电子交易系统修改招标文件，并通知所有已购买招标文件的投标人。修改磋商文件的时间距供应商须知前附表规定的投标截止时间不足5天的，并且澄清内容影响响应文件编制的，将在电子交易系统内相应延长投标截止时间。</w:t>
      </w:r>
    </w:p>
    <w:p w14:paraId="4C02BE02">
      <w:pPr>
        <w:pStyle w:val="30"/>
        <w:rPr>
          <w:rFonts w:hint="eastAsia"/>
          <w:color w:val="auto"/>
        </w:rPr>
      </w:pPr>
    </w:p>
    <w:p w14:paraId="7F04434D">
      <w:pPr>
        <w:pStyle w:val="30"/>
        <w:rPr>
          <w:rFonts w:hint="eastAsia"/>
          <w:color w:val="auto"/>
        </w:rPr>
      </w:pPr>
    </w:p>
    <w:p w14:paraId="77996484">
      <w:pPr>
        <w:pStyle w:val="30"/>
        <w:rPr>
          <w:rFonts w:hint="eastAsia"/>
          <w:color w:val="auto"/>
        </w:rPr>
      </w:pPr>
    </w:p>
    <w:p w14:paraId="00C6D27A">
      <w:pPr>
        <w:pStyle w:val="30"/>
        <w:rPr>
          <w:rFonts w:hint="eastAsia"/>
          <w:color w:val="auto"/>
        </w:rPr>
      </w:pPr>
    </w:p>
    <w:p w14:paraId="0DB5AFA4">
      <w:pPr>
        <w:pStyle w:val="30"/>
        <w:rPr>
          <w:rFonts w:hint="eastAsia"/>
          <w:color w:val="auto"/>
        </w:rPr>
      </w:pPr>
    </w:p>
    <w:p w14:paraId="248421C3">
      <w:pPr>
        <w:pStyle w:val="30"/>
        <w:rPr>
          <w:rFonts w:hint="eastAsia"/>
          <w:color w:val="auto"/>
        </w:rPr>
      </w:pPr>
    </w:p>
    <w:p w14:paraId="18438712">
      <w:pPr>
        <w:pStyle w:val="30"/>
        <w:rPr>
          <w:rFonts w:hint="eastAsia"/>
          <w:color w:val="auto"/>
        </w:rPr>
      </w:pPr>
    </w:p>
    <w:p w14:paraId="1FDDCECE">
      <w:pPr>
        <w:pStyle w:val="30"/>
        <w:rPr>
          <w:rFonts w:hint="eastAsia"/>
          <w:color w:val="auto"/>
        </w:rPr>
      </w:pPr>
    </w:p>
    <w:p w14:paraId="069E72FB">
      <w:pPr>
        <w:pStyle w:val="30"/>
        <w:rPr>
          <w:rFonts w:hint="eastAsia"/>
          <w:color w:val="auto"/>
        </w:rPr>
      </w:pPr>
    </w:p>
    <w:p w14:paraId="78969430">
      <w:pPr>
        <w:pStyle w:val="30"/>
        <w:rPr>
          <w:rFonts w:hint="eastAsia"/>
          <w:color w:val="auto"/>
        </w:rPr>
      </w:pPr>
    </w:p>
    <w:p w14:paraId="08BA55D6">
      <w:pPr>
        <w:pStyle w:val="30"/>
        <w:rPr>
          <w:rFonts w:hint="eastAsia"/>
          <w:color w:val="auto"/>
        </w:rPr>
      </w:pPr>
    </w:p>
    <w:p w14:paraId="00B72EAC">
      <w:pPr>
        <w:pStyle w:val="30"/>
        <w:rPr>
          <w:rFonts w:hint="eastAsia"/>
          <w:color w:val="auto"/>
        </w:rPr>
      </w:pPr>
    </w:p>
    <w:p w14:paraId="03A56246">
      <w:pPr>
        <w:pStyle w:val="30"/>
        <w:rPr>
          <w:rFonts w:hint="eastAsia"/>
          <w:color w:val="auto"/>
        </w:rPr>
      </w:pPr>
    </w:p>
    <w:p w14:paraId="6AACE563">
      <w:pPr>
        <w:pStyle w:val="30"/>
        <w:rPr>
          <w:rFonts w:hint="eastAsia"/>
          <w:color w:val="auto"/>
        </w:rPr>
      </w:pPr>
    </w:p>
    <w:p w14:paraId="5365D257">
      <w:pPr>
        <w:pStyle w:val="30"/>
        <w:numPr>
          <w:ilvl w:val="0"/>
          <w:numId w:val="2"/>
        </w:numPr>
        <w:tabs>
          <w:tab w:val="left" w:pos="360"/>
        </w:tabs>
        <w:snapToGrid w:val="0"/>
        <w:spacing w:line="360" w:lineRule="auto"/>
        <w:ind w:firstLine="883"/>
        <w:contextualSpacing/>
        <w:jc w:val="both"/>
        <w:outlineLvl w:val="1"/>
        <w:rPr>
          <w:rStyle w:val="31"/>
          <w:color w:val="auto"/>
        </w:rPr>
      </w:pPr>
      <w:bookmarkStart w:id="274" w:name="_Toc16518"/>
      <w:bookmarkStart w:id="275" w:name="_Toc28297"/>
      <w:bookmarkStart w:id="276" w:name="_Toc29623301"/>
      <w:bookmarkStart w:id="277" w:name="_Toc17615"/>
      <w:r>
        <w:rPr>
          <w:rStyle w:val="31"/>
          <w:rFonts w:hint="eastAsia"/>
          <w:color w:val="auto"/>
        </w:rPr>
        <w:t>磋商响应文件</w:t>
      </w:r>
      <w:bookmarkEnd w:id="272"/>
      <w:bookmarkEnd w:id="273"/>
      <w:r>
        <w:rPr>
          <w:rStyle w:val="31"/>
          <w:rFonts w:hint="eastAsia"/>
          <w:color w:val="auto"/>
        </w:rPr>
        <w:t>编写</w:t>
      </w:r>
      <w:bookmarkEnd w:id="274"/>
      <w:bookmarkEnd w:id="275"/>
      <w:bookmarkEnd w:id="276"/>
      <w:bookmarkEnd w:id="277"/>
    </w:p>
    <w:p w14:paraId="15791B1F">
      <w:pPr>
        <w:pStyle w:val="4"/>
        <w:numPr>
          <w:ilvl w:val="1"/>
          <w:numId w:val="2"/>
        </w:numPr>
        <w:jc w:val="left"/>
        <w:rPr>
          <w:rFonts w:ascii="Times New Roman" w:hAnsi="Times New Roman"/>
          <w:bCs w:val="0"/>
          <w:color w:val="auto"/>
          <w:szCs w:val="20"/>
        </w:rPr>
      </w:pPr>
      <w:bookmarkStart w:id="278" w:name="_Toc12181"/>
      <w:bookmarkStart w:id="279" w:name="_Toc428276586"/>
      <w:bookmarkStart w:id="280" w:name="_Toc462934292"/>
      <w:bookmarkStart w:id="281" w:name="_Toc20143"/>
      <w:bookmarkStart w:id="282" w:name="_Toc277149382"/>
      <w:bookmarkStart w:id="283" w:name="_Toc27753953"/>
      <w:bookmarkStart w:id="284" w:name="_Toc454788026"/>
      <w:bookmarkStart w:id="285" w:name="_Toc463011271"/>
      <w:bookmarkStart w:id="286" w:name="_Toc29623302"/>
      <w:bookmarkStart w:id="287" w:name="_Toc428351646"/>
      <w:bookmarkStart w:id="288" w:name="_Toc26455"/>
      <w:bookmarkStart w:id="289" w:name="_Toc270604820"/>
      <w:bookmarkStart w:id="290" w:name="_Toc269470312"/>
      <w:bookmarkStart w:id="291" w:name="_Toc270604593"/>
      <w:bookmarkStart w:id="292" w:name="_Toc6521"/>
      <w:bookmarkStart w:id="293" w:name="_Toc455678118"/>
      <w:r>
        <w:rPr>
          <w:rFonts w:hint="eastAsia" w:ascii="Times New Roman" w:hAnsi="Times New Roman"/>
          <w:bCs w:val="0"/>
          <w:color w:val="auto"/>
          <w:szCs w:val="20"/>
        </w:rPr>
        <w:t>磋商响应文件的组成</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3B8040EB">
      <w:pPr>
        <w:pStyle w:val="30"/>
        <w:snapToGrid w:val="0"/>
        <w:spacing w:line="360" w:lineRule="auto"/>
        <w:ind w:left="540"/>
        <w:contextualSpacing/>
        <w:jc w:val="both"/>
        <w:rPr>
          <w:rFonts w:hAnsi="宋体" w:cs="黑体"/>
          <w:color w:val="auto"/>
          <w:sz w:val="21"/>
          <w:szCs w:val="21"/>
        </w:rPr>
      </w:pPr>
      <w:r>
        <w:rPr>
          <w:rFonts w:hint="eastAsia" w:hAnsi="宋体" w:cs="黑体"/>
          <w:color w:val="auto"/>
          <w:sz w:val="21"/>
          <w:szCs w:val="21"/>
        </w:rPr>
        <w:t>磋商响应文件应包括下列内容：</w:t>
      </w:r>
    </w:p>
    <w:p w14:paraId="490C76DC">
      <w:pPr>
        <w:numPr>
          <w:ilvl w:val="0"/>
          <w:numId w:val="7"/>
        </w:numPr>
        <w:wordWrap/>
        <w:topLinePunct w:val="0"/>
        <w:autoSpaceDE w:val="0"/>
        <w:autoSpaceDN w:val="0"/>
        <w:adjustRightInd w:val="0"/>
        <w:spacing w:line="360" w:lineRule="auto"/>
        <w:ind w:left="0" w:right="40" w:firstLine="420" w:firstLineChars="200"/>
        <w:jc w:val="left"/>
        <w:rPr>
          <w:rFonts w:cs="微软雅黑"/>
          <w:color w:val="auto"/>
          <w:kern w:val="0"/>
        </w:rPr>
      </w:pPr>
      <w:bookmarkStart w:id="294" w:name="_Toc4803"/>
      <w:bookmarkStart w:id="295" w:name="_Toc463011272"/>
      <w:bookmarkStart w:id="296" w:name="_Toc455678119"/>
      <w:bookmarkStart w:id="297" w:name="_Toc22898"/>
      <w:bookmarkStart w:id="298" w:name="_Toc462934293"/>
      <w:bookmarkStart w:id="299" w:name="_Toc269470314"/>
      <w:bookmarkStart w:id="300" w:name="_Toc270604822"/>
      <w:bookmarkStart w:id="301" w:name="_Toc270604595"/>
      <w:bookmarkStart w:id="302" w:name="_Toc277149384"/>
      <w:r>
        <w:rPr>
          <w:rFonts w:hint="eastAsia" w:cs="微软雅黑"/>
          <w:color w:val="auto"/>
          <w:kern w:val="0"/>
        </w:rPr>
        <w:t>磋商函及磋商函附录</w:t>
      </w:r>
    </w:p>
    <w:p w14:paraId="2B894847">
      <w:pPr>
        <w:numPr>
          <w:ilvl w:val="0"/>
          <w:numId w:val="7"/>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法定代表人身份证明或授权委托书</w:t>
      </w:r>
    </w:p>
    <w:p w14:paraId="6F358E19">
      <w:pPr>
        <w:numPr>
          <w:ilvl w:val="0"/>
          <w:numId w:val="7"/>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响应承诺函</w:t>
      </w:r>
      <w:bookmarkStart w:id="303" w:name="_Toc21496"/>
    </w:p>
    <w:p w14:paraId="202245B6">
      <w:pPr>
        <w:numPr>
          <w:ilvl w:val="0"/>
          <w:numId w:val="7"/>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供应商资格证明文件</w:t>
      </w:r>
    </w:p>
    <w:p w14:paraId="10669F6B">
      <w:pPr>
        <w:numPr>
          <w:ilvl w:val="0"/>
          <w:numId w:val="7"/>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服务方案及各项措施</w:t>
      </w:r>
    </w:p>
    <w:p w14:paraId="3671E223">
      <w:pPr>
        <w:numPr>
          <w:ilvl w:val="0"/>
          <w:numId w:val="7"/>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供应商近年完成类似项目清单</w:t>
      </w:r>
    </w:p>
    <w:p w14:paraId="6B5DA75B">
      <w:pPr>
        <w:numPr>
          <w:ilvl w:val="0"/>
          <w:numId w:val="7"/>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人员配备状况</w:t>
      </w:r>
    </w:p>
    <w:p w14:paraId="11701B6D">
      <w:pPr>
        <w:numPr>
          <w:ilvl w:val="0"/>
          <w:numId w:val="7"/>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其他资料</w:t>
      </w:r>
    </w:p>
    <w:p w14:paraId="01977F81">
      <w:pPr>
        <w:pStyle w:val="4"/>
        <w:numPr>
          <w:ilvl w:val="1"/>
          <w:numId w:val="2"/>
        </w:numPr>
        <w:jc w:val="left"/>
        <w:rPr>
          <w:rFonts w:ascii="Times New Roman" w:hAnsi="Times New Roman"/>
          <w:bCs w:val="0"/>
          <w:color w:val="auto"/>
          <w:szCs w:val="20"/>
        </w:rPr>
      </w:pPr>
      <w:bookmarkStart w:id="304" w:name="_Toc27753954"/>
      <w:bookmarkStart w:id="305" w:name="_Toc4889"/>
      <w:bookmarkStart w:id="306" w:name="_Toc29623303"/>
      <w:r>
        <w:rPr>
          <w:rFonts w:hint="eastAsia" w:ascii="Times New Roman" w:hAnsi="Times New Roman"/>
          <w:bCs w:val="0"/>
          <w:color w:val="auto"/>
          <w:szCs w:val="20"/>
        </w:rPr>
        <w:t>磋商价格构成及报价要求</w:t>
      </w:r>
      <w:bookmarkEnd w:id="294"/>
      <w:bookmarkEnd w:id="295"/>
      <w:bookmarkEnd w:id="296"/>
      <w:bookmarkEnd w:id="297"/>
      <w:bookmarkEnd w:id="298"/>
      <w:bookmarkEnd w:id="303"/>
      <w:bookmarkEnd w:id="304"/>
      <w:bookmarkEnd w:id="305"/>
      <w:bookmarkEnd w:id="306"/>
    </w:p>
    <w:p w14:paraId="19AAB938">
      <w:pPr>
        <w:numPr>
          <w:ilvl w:val="2"/>
          <w:numId w:val="2"/>
        </w:numPr>
        <w:wordWrap/>
        <w:topLinePunct w:val="0"/>
        <w:spacing w:line="360" w:lineRule="auto"/>
        <w:ind w:firstLine="420" w:firstLineChars="200"/>
        <w:rPr>
          <w:rFonts w:cs="黑体"/>
          <w:color w:val="auto"/>
        </w:rPr>
      </w:pPr>
      <w:bookmarkStart w:id="307" w:name="_Toc9193"/>
      <w:bookmarkStart w:id="308" w:name="_Toc17969"/>
      <w:bookmarkStart w:id="309" w:name="_Toc428351648"/>
      <w:bookmarkStart w:id="310" w:name="_Toc463011273"/>
      <w:bookmarkStart w:id="311" w:name="_Toc428276588"/>
      <w:bookmarkStart w:id="312" w:name="_Toc462934294"/>
      <w:bookmarkStart w:id="313" w:name="_Toc455678120"/>
      <w:bookmarkStart w:id="314" w:name="_Toc454788028"/>
      <w:bookmarkStart w:id="315" w:name="_Toc58"/>
      <w:r>
        <w:rPr>
          <w:rFonts w:hint="eastAsia"/>
          <w:color w:val="auto"/>
        </w:rPr>
        <w:t>磋商报价应是指满足采购需求所需的全部费用。</w:t>
      </w:r>
    </w:p>
    <w:p w14:paraId="04B51276">
      <w:pPr>
        <w:numPr>
          <w:ilvl w:val="2"/>
          <w:numId w:val="2"/>
        </w:numPr>
        <w:wordWrap/>
        <w:topLinePunct w:val="0"/>
        <w:spacing w:line="360" w:lineRule="auto"/>
        <w:ind w:firstLine="420" w:firstLineChars="200"/>
        <w:rPr>
          <w:rFonts w:cs="黑体"/>
          <w:color w:val="auto"/>
        </w:rPr>
      </w:pPr>
      <w:r>
        <w:rPr>
          <w:rFonts w:hint="eastAsia" w:cs="黑体"/>
          <w:color w:val="auto"/>
        </w:rPr>
        <w:t>成交总报价为成交供应商在竞争性磋商文件中提出的各项支付金额的总和。</w:t>
      </w:r>
    </w:p>
    <w:p w14:paraId="168F2CFC">
      <w:pPr>
        <w:numPr>
          <w:ilvl w:val="2"/>
          <w:numId w:val="2"/>
        </w:numPr>
        <w:wordWrap/>
        <w:topLinePunct w:val="0"/>
        <w:spacing w:line="360" w:lineRule="auto"/>
        <w:ind w:firstLine="420" w:firstLineChars="200"/>
        <w:rPr>
          <w:rFonts w:cs="黑体"/>
          <w:color w:val="auto"/>
        </w:rPr>
      </w:pPr>
      <w:r>
        <w:rPr>
          <w:rFonts w:hint="eastAsia" w:cs="黑体"/>
          <w:color w:val="auto"/>
        </w:rPr>
        <w:t>成交供应商的竞争性磋商报价均包括完成该项目的成本、利润、税金、风险等所有伴随的其他费用。</w:t>
      </w:r>
    </w:p>
    <w:p w14:paraId="7CC1E944">
      <w:pPr>
        <w:numPr>
          <w:ilvl w:val="2"/>
          <w:numId w:val="2"/>
        </w:numPr>
        <w:wordWrap/>
        <w:topLinePunct w:val="0"/>
        <w:spacing w:line="360" w:lineRule="auto"/>
        <w:ind w:firstLine="420" w:firstLineChars="200"/>
        <w:rPr>
          <w:rFonts w:cs="黑体"/>
          <w:color w:val="auto"/>
        </w:rPr>
      </w:pPr>
      <w:r>
        <w:rPr>
          <w:rFonts w:hint="eastAsia" w:cs="黑体"/>
          <w:color w:val="auto"/>
        </w:rPr>
        <w:t>成交供应商不得以任何理由在竞争性磋商截止后对竞争性磋商报价予以修改，报价在磋商有效期内是固定的，不因任何原因而改变。任何包含价格调整要求和条件的磋商，将被视为非实质性响应磋商而予与拒绝。</w:t>
      </w:r>
    </w:p>
    <w:p w14:paraId="1CC19345">
      <w:pPr>
        <w:numPr>
          <w:ilvl w:val="2"/>
          <w:numId w:val="2"/>
        </w:numPr>
        <w:wordWrap/>
        <w:topLinePunct w:val="0"/>
        <w:spacing w:line="360" w:lineRule="auto"/>
        <w:ind w:firstLine="420" w:firstLineChars="200"/>
        <w:rPr>
          <w:rFonts w:cs="黑体"/>
          <w:color w:val="auto"/>
        </w:rPr>
      </w:pPr>
      <w:r>
        <w:rPr>
          <w:rFonts w:hint="eastAsia" w:cs="黑体"/>
          <w:color w:val="auto"/>
        </w:rPr>
        <w:t>本项目的磋商报价应按照竞争性磋商文件、补充通知、答疑纪要、现场情况、承包范围，并充分考虑服务期间各类市场风险和国家政策性调整等风险系数，由各供应商根据自身情况，在合理范围内，自主考虑、优惠报价，但不得低于企业成本。</w:t>
      </w:r>
    </w:p>
    <w:p w14:paraId="587529B8">
      <w:pPr>
        <w:pStyle w:val="4"/>
        <w:numPr>
          <w:ilvl w:val="1"/>
          <w:numId w:val="2"/>
        </w:numPr>
        <w:jc w:val="left"/>
        <w:rPr>
          <w:rFonts w:ascii="Times New Roman" w:hAnsi="Times New Roman"/>
          <w:bCs w:val="0"/>
          <w:color w:val="auto"/>
          <w:szCs w:val="20"/>
        </w:rPr>
      </w:pPr>
      <w:bookmarkStart w:id="316" w:name="_Toc29623304"/>
      <w:bookmarkStart w:id="317" w:name="_Toc5505"/>
      <w:bookmarkStart w:id="318" w:name="_Toc27753955"/>
      <w:r>
        <w:rPr>
          <w:rFonts w:hint="eastAsia" w:ascii="Times New Roman" w:hAnsi="Times New Roman"/>
          <w:bCs w:val="0"/>
          <w:color w:val="auto"/>
          <w:szCs w:val="20"/>
        </w:rPr>
        <w:t>磋商有效期</w:t>
      </w:r>
      <w:bookmarkEnd w:id="299"/>
      <w:bookmarkEnd w:id="300"/>
      <w:bookmarkEnd w:id="301"/>
      <w:bookmarkEnd w:id="302"/>
      <w:bookmarkEnd w:id="307"/>
      <w:bookmarkEnd w:id="308"/>
      <w:bookmarkEnd w:id="309"/>
      <w:bookmarkEnd w:id="310"/>
      <w:bookmarkEnd w:id="311"/>
      <w:bookmarkEnd w:id="312"/>
      <w:bookmarkEnd w:id="313"/>
      <w:bookmarkEnd w:id="314"/>
      <w:bookmarkEnd w:id="315"/>
      <w:bookmarkEnd w:id="316"/>
      <w:bookmarkEnd w:id="317"/>
      <w:bookmarkEnd w:id="318"/>
    </w:p>
    <w:p w14:paraId="17CBFFCA">
      <w:pPr>
        <w:numPr>
          <w:ilvl w:val="2"/>
          <w:numId w:val="2"/>
        </w:numPr>
        <w:wordWrap/>
        <w:topLinePunct w:val="0"/>
        <w:spacing w:line="360" w:lineRule="auto"/>
        <w:ind w:firstLine="420" w:firstLineChars="200"/>
        <w:rPr>
          <w:rFonts w:cs="黑体"/>
          <w:color w:val="auto"/>
        </w:rPr>
      </w:pPr>
      <w:r>
        <w:rPr>
          <w:rFonts w:hint="eastAsia" w:cs="黑体"/>
          <w:color w:val="auto"/>
        </w:rPr>
        <w:t>磋商有效期见供应商须知前附表，从提交首次响应文件的截止之日起算。</w:t>
      </w:r>
    </w:p>
    <w:p w14:paraId="3AE2301A">
      <w:pPr>
        <w:numPr>
          <w:ilvl w:val="2"/>
          <w:numId w:val="2"/>
        </w:numPr>
        <w:wordWrap/>
        <w:topLinePunct w:val="0"/>
        <w:spacing w:line="360" w:lineRule="auto"/>
        <w:ind w:firstLine="420" w:firstLineChars="200"/>
        <w:rPr>
          <w:rFonts w:cs="黑体"/>
          <w:color w:val="auto"/>
        </w:rPr>
      </w:pPr>
      <w:r>
        <w:rPr>
          <w:rFonts w:hint="eastAsia" w:cs="黑体"/>
          <w:color w:val="auto"/>
        </w:rPr>
        <w:t>在磋商有效期内，供应商撤销响应文件的，应承担竞争性磋商文件和法律规定的责任。</w:t>
      </w:r>
    </w:p>
    <w:p w14:paraId="0820E124">
      <w:pPr>
        <w:numPr>
          <w:ilvl w:val="2"/>
          <w:numId w:val="2"/>
        </w:numPr>
        <w:wordWrap/>
        <w:topLinePunct w:val="0"/>
        <w:spacing w:line="360" w:lineRule="auto"/>
        <w:ind w:firstLine="420" w:firstLineChars="200"/>
        <w:rPr>
          <w:rFonts w:cs="黑体"/>
          <w:color w:val="auto"/>
        </w:rPr>
      </w:pPr>
      <w:r>
        <w:rPr>
          <w:rFonts w:hint="eastAsia" w:cs="黑体"/>
          <w:color w:val="auto"/>
        </w:rPr>
        <w:t>出现特殊情况需要延长磋商有效期的，采购人以书面形式通知所有供应商延长磋商有效期。供应商应予以书面答复，但不得要求或被允许修改其响应文件；供应商拒绝延长的，其磋商失效。</w:t>
      </w:r>
    </w:p>
    <w:p w14:paraId="3A2105DE">
      <w:pPr>
        <w:pStyle w:val="4"/>
        <w:numPr>
          <w:ilvl w:val="1"/>
          <w:numId w:val="2"/>
        </w:numPr>
        <w:jc w:val="left"/>
        <w:rPr>
          <w:rFonts w:cs="仿宋_GB2312"/>
          <w:color w:val="auto"/>
          <w:kern w:val="0"/>
        </w:rPr>
      </w:pPr>
      <w:bookmarkStart w:id="319" w:name="_Toc27753956"/>
      <w:bookmarkStart w:id="320" w:name="_Toc454788029"/>
      <w:bookmarkStart w:id="321" w:name="_Toc455678121"/>
      <w:bookmarkStart w:id="322" w:name="_Toc25039"/>
      <w:bookmarkStart w:id="323" w:name="_Toc15074"/>
      <w:bookmarkStart w:id="324" w:name="_Toc12642"/>
      <w:bookmarkStart w:id="325" w:name="_Toc428276589"/>
      <w:bookmarkStart w:id="326" w:name="_Toc29623305"/>
      <w:bookmarkStart w:id="327" w:name="_Toc462934295"/>
      <w:bookmarkStart w:id="328" w:name="_Toc23856"/>
      <w:bookmarkStart w:id="329" w:name="_Toc428351649"/>
      <w:bookmarkStart w:id="330" w:name="_Toc463011274"/>
      <w:r>
        <w:rPr>
          <w:rFonts w:hint="eastAsia" w:ascii="Times New Roman" w:hAnsi="Times New Roman"/>
          <w:bCs w:val="0"/>
          <w:color w:val="auto"/>
          <w:szCs w:val="20"/>
        </w:rPr>
        <w:t>磋商保证金</w:t>
      </w:r>
      <w:bookmarkEnd w:id="319"/>
      <w:bookmarkEnd w:id="320"/>
      <w:bookmarkEnd w:id="321"/>
      <w:bookmarkEnd w:id="322"/>
      <w:bookmarkEnd w:id="323"/>
      <w:bookmarkEnd w:id="324"/>
      <w:bookmarkEnd w:id="325"/>
      <w:bookmarkEnd w:id="326"/>
      <w:bookmarkEnd w:id="327"/>
      <w:bookmarkEnd w:id="328"/>
      <w:bookmarkEnd w:id="329"/>
      <w:bookmarkEnd w:id="330"/>
      <w:r>
        <w:rPr>
          <w:rFonts w:hint="eastAsia" w:ascii="Times New Roman" w:hAnsi="Times New Roman"/>
          <w:bCs w:val="0"/>
          <w:color w:val="auto"/>
          <w:szCs w:val="20"/>
        </w:rPr>
        <w:t xml:space="preserve"> </w:t>
      </w:r>
    </w:p>
    <w:p w14:paraId="3B918535">
      <w:pPr>
        <w:wordWrap/>
        <w:topLinePunct w:val="0"/>
        <w:spacing w:line="360" w:lineRule="auto"/>
        <w:ind w:left="420"/>
        <w:rPr>
          <w:rFonts w:cs="黑体"/>
          <w:color w:val="auto"/>
        </w:rPr>
      </w:pPr>
      <w:r>
        <w:rPr>
          <w:rFonts w:hint="eastAsia" w:cs="黑体"/>
          <w:color w:val="auto"/>
        </w:rPr>
        <w:t>不需要缴纳，需提供响应承诺函。</w:t>
      </w:r>
    </w:p>
    <w:p w14:paraId="64D02354">
      <w:pPr>
        <w:pStyle w:val="4"/>
        <w:numPr>
          <w:ilvl w:val="1"/>
          <w:numId w:val="2"/>
        </w:numPr>
        <w:jc w:val="left"/>
        <w:rPr>
          <w:rFonts w:ascii="Times New Roman" w:hAnsi="Times New Roman"/>
          <w:bCs w:val="0"/>
          <w:color w:val="auto"/>
          <w:szCs w:val="20"/>
        </w:rPr>
      </w:pPr>
      <w:bookmarkStart w:id="331" w:name="_Toc462934296"/>
      <w:bookmarkStart w:id="332" w:name="_Toc24993"/>
      <w:bookmarkStart w:id="333" w:name="_Toc29623306"/>
      <w:bookmarkStart w:id="334" w:name="_Toc277149385"/>
      <w:bookmarkStart w:id="335" w:name="_Toc455678122"/>
      <w:bookmarkStart w:id="336" w:name="_Toc4446"/>
      <w:bookmarkStart w:id="337" w:name="_Toc269470318"/>
      <w:bookmarkStart w:id="338" w:name="_Toc428351650"/>
      <w:bookmarkStart w:id="339" w:name="_Toc32308"/>
      <w:bookmarkStart w:id="340" w:name="_Toc454788030"/>
      <w:bookmarkStart w:id="341" w:name="_Toc463011275"/>
      <w:bookmarkStart w:id="342" w:name="_Toc270604596"/>
      <w:bookmarkStart w:id="343" w:name="_Toc7919"/>
      <w:bookmarkStart w:id="344" w:name="_Toc428276590"/>
      <w:bookmarkStart w:id="345" w:name="_Toc27753957"/>
      <w:bookmarkStart w:id="346" w:name="_Toc270604823"/>
      <w:r>
        <w:rPr>
          <w:rFonts w:hint="eastAsia" w:ascii="Times New Roman" w:hAnsi="Times New Roman"/>
          <w:bCs w:val="0"/>
          <w:color w:val="auto"/>
          <w:szCs w:val="20"/>
        </w:rPr>
        <w:t>磋商响应文件的编制</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1143699C">
      <w:pPr>
        <w:numPr>
          <w:ilvl w:val="2"/>
          <w:numId w:val="2"/>
        </w:numPr>
        <w:wordWrap/>
        <w:topLinePunct w:val="0"/>
        <w:spacing w:line="360" w:lineRule="auto"/>
        <w:ind w:firstLine="420" w:firstLineChars="200"/>
        <w:rPr>
          <w:rFonts w:cs="黑体"/>
          <w:color w:val="auto"/>
        </w:rPr>
      </w:pPr>
      <w:r>
        <w:rPr>
          <w:rFonts w:hint="eastAsia" w:cs="黑体"/>
          <w:color w:val="auto"/>
        </w:rPr>
        <w:t>磋商响应文件应按第六章磋商响应文件格式进行编写，如有必要，可以增加附页，作为磋商响应文件的组成部分。其中，报价函附录在满足竞争性磋商文件实质性要求的基础上，可以提出比竞争性磋商文件要求更有利于采购人的承诺。</w:t>
      </w:r>
    </w:p>
    <w:p w14:paraId="10215E94">
      <w:pPr>
        <w:numPr>
          <w:ilvl w:val="2"/>
          <w:numId w:val="2"/>
        </w:numPr>
        <w:wordWrap/>
        <w:topLinePunct w:val="0"/>
        <w:spacing w:line="360" w:lineRule="auto"/>
        <w:ind w:firstLine="420" w:firstLineChars="200"/>
        <w:rPr>
          <w:rFonts w:cs="黑体"/>
          <w:color w:val="auto"/>
        </w:rPr>
      </w:pPr>
      <w:r>
        <w:rPr>
          <w:rFonts w:hint="eastAsia" w:cs="黑体"/>
          <w:color w:val="auto"/>
        </w:rPr>
        <w:t>磋商响应文件应当对竞争性磋商文件有关磋商报价、服务期限、服务地点、磋商有效期、质量要求等实质性内容作出响应。</w:t>
      </w:r>
    </w:p>
    <w:p w14:paraId="33AC38D9">
      <w:pPr>
        <w:wordWrap/>
        <w:topLinePunct w:val="0"/>
        <w:autoSpaceDE w:val="0"/>
        <w:autoSpaceDN w:val="0"/>
        <w:adjustRightInd w:val="0"/>
        <w:spacing w:line="360" w:lineRule="auto"/>
        <w:ind w:right="41" w:firstLine="420" w:firstLineChars="200"/>
        <w:rPr>
          <w:rFonts w:hint="eastAsia"/>
          <w:color w:val="auto"/>
          <w:kern w:val="0"/>
        </w:rPr>
      </w:pPr>
      <w:r>
        <w:rPr>
          <w:rFonts w:hint="eastAsia" w:cs="黑体"/>
          <w:color w:val="auto"/>
        </w:rPr>
        <w:t>3.5.3</w:t>
      </w:r>
      <w:r>
        <w:rPr>
          <w:rFonts w:hint="eastAsia"/>
          <w:color w:val="auto"/>
          <w:spacing w:val="2"/>
          <w:kern w:val="0"/>
        </w:rPr>
        <w:t>磋商</w:t>
      </w:r>
      <w:r>
        <w:rPr>
          <w:rFonts w:hint="eastAsia"/>
          <w:color w:val="auto"/>
          <w:kern w:val="0"/>
        </w:rPr>
        <w:t>响应文件</w:t>
      </w:r>
      <w:r>
        <w:rPr>
          <w:rFonts w:hint="eastAsia"/>
          <w:color w:val="auto"/>
          <w:spacing w:val="2"/>
          <w:kern w:val="0"/>
        </w:rPr>
        <w:t>全</w:t>
      </w:r>
      <w:r>
        <w:rPr>
          <w:rFonts w:hint="eastAsia"/>
          <w:color w:val="auto"/>
          <w:kern w:val="0"/>
        </w:rPr>
        <w:t>部</w:t>
      </w:r>
      <w:r>
        <w:rPr>
          <w:rFonts w:hint="eastAsia"/>
          <w:color w:val="auto"/>
          <w:spacing w:val="2"/>
          <w:kern w:val="0"/>
        </w:rPr>
        <w:t>采用电</w:t>
      </w:r>
      <w:r>
        <w:rPr>
          <w:rFonts w:hint="eastAsia"/>
          <w:color w:val="auto"/>
          <w:kern w:val="0"/>
        </w:rPr>
        <w:t>子</w:t>
      </w:r>
      <w:r>
        <w:rPr>
          <w:rFonts w:hint="eastAsia"/>
          <w:color w:val="auto"/>
          <w:spacing w:val="2"/>
          <w:kern w:val="0"/>
        </w:rPr>
        <w:t>文</w:t>
      </w:r>
      <w:r>
        <w:rPr>
          <w:rFonts w:hint="eastAsia"/>
          <w:color w:val="auto"/>
          <w:kern w:val="0"/>
        </w:rPr>
        <w:t>档</w:t>
      </w:r>
      <w:r>
        <w:rPr>
          <w:rFonts w:hint="eastAsia"/>
          <w:color w:val="auto"/>
          <w:spacing w:val="5"/>
          <w:kern w:val="0"/>
        </w:rPr>
        <w:t>，</w:t>
      </w:r>
      <w:r>
        <w:rPr>
          <w:rFonts w:hint="eastAsia"/>
          <w:color w:val="auto"/>
          <w:spacing w:val="2"/>
          <w:kern w:val="0"/>
        </w:rPr>
        <w:t>除</w:t>
      </w:r>
      <w:r>
        <w:rPr>
          <w:rFonts w:hint="eastAsia"/>
          <w:color w:val="auto"/>
          <w:kern w:val="0"/>
        </w:rPr>
        <w:t>供应商</w:t>
      </w:r>
      <w:r>
        <w:rPr>
          <w:rFonts w:hint="eastAsia"/>
          <w:color w:val="auto"/>
          <w:spacing w:val="2"/>
          <w:kern w:val="0"/>
        </w:rPr>
        <w:t>须知前</w:t>
      </w:r>
      <w:r>
        <w:rPr>
          <w:rFonts w:hint="eastAsia"/>
          <w:color w:val="auto"/>
          <w:kern w:val="0"/>
        </w:rPr>
        <w:t>附</w:t>
      </w:r>
      <w:r>
        <w:rPr>
          <w:rFonts w:hint="eastAsia"/>
          <w:color w:val="auto"/>
          <w:spacing w:val="2"/>
          <w:kern w:val="0"/>
        </w:rPr>
        <w:t>表</w:t>
      </w:r>
      <w:r>
        <w:rPr>
          <w:rFonts w:hint="eastAsia"/>
          <w:color w:val="auto"/>
          <w:kern w:val="0"/>
        </w:rPr>
        <w:t>另</w:t>
      </w:r>
      <w:r>
        <w:rPr>
          <w:rFonts w:hint="eastAsia"/>
          <w:color w:val="auto"/>
          <w:spacing w:val="2"/>
          <w:kern w:val="0"/>
        </w:rPr>
        <w:t>有规</w:t>
      </w:r>
      <w:r>
        <w:rPr>
          <w:rFonts w:hint="eastAsia"/>
          <w:color w:val="auto"/>
          <w:kern w:val="0"/>
        </w:rPr>
        <w:t>定</w:t>
      </w:r>
      <w:r>
        <w:rPr>
          <w:rFonts w:hint="eastAsia"/>
          <w:color w:val="auto"/>
          <w:spacing w:val="2"/>
          <w:kern w:val="0"/>
        </w:rPr>
        <w:t>外</w:t>
      </w:r>
      <w:r>
        <w:rPr>
          <w:rFonts w:hint="eastAsia"/>
          <w:color w:val="auto"/>
          <w:spacing w:val="3"/>
          <w:kern w:val="0"/>
        </w:rPr>
        <w:t>，</w:t>
      </w:r>
      <w:r>
        <w:rPr>
          <w:rFonts w:hint="eastAsia"/>
          <w:color w:val="auto"/>
          <w:spacing w:val="2"/>
          <w:kern w:val="0"/>
        </w:rPr>
        <w:t>响应文件所</w:t>
      </w:r>
      <w:r>
        <w:rPr>
          <w:rFonts w:hint="eastAsia"/>
          <w:color w:val="auto"/>
          <w:kern w:val="0"/>
        </w:rPr>
        <w:t>附证书证件均为原</w:t>
      </w:r>
      <w:r>
        <w:rPr>
          <w:rFonts w:hint="eastAsia"/>
          <w:color w:val="auto"/>
          <w:spacing w:val="-2"/>
          <w:kern w:val="0"/>
        </w:rPr>
        <w:t>件</w:t>
      </w:r>
      <w:r>
        <w:rPr>
          <w:rFonts w:hint="eastAsia"/>
          <w:color w:val="auto"/>
          <w:kern w:val="0"/>
        </w:rPr>
        <w:t>扫描</w:t>
      </w:r>
      <w:r>
        <w:rPr>
          <w:rFonts w:hint="eastAsia"/>
          <w:color w:val="auto"/>
          <w:spacing w:val="-2"/>
          <w:kern w:val="0"/>
        </w:rPr>
        <w:t>件</w:t>
      </w:r>
      <w:r>
        <w:rPr>
          <w:rFonts w:hint="eastAsia"/>
          <w:color w:val="auto"/>
          <w:kern w:val="0"/>
        </w:rPr>
        <w:t>，并采用单位和</w:t>
      </w:r>
      <w:r>
        <w:rPr>
          <w:rFonts w:hint="eastAsia"/>
          <w:color w:val="auto"/>
          <w:spacing w:val="-2"/>
          <w:kern w:val="0"/>
        </w:rPr>
        <w:t>个</w:t>
      </w:r>
      <w:r>
        <w:rPr>
          <w:rFonts w:hint="eastAsia"/>
          <w:color w:val="auto"/>
          <w:kern w:val="0"/>
        </w:rPr>
        <w:t>人数</w:t>
      </w:r>
      <w:r>
        <w:rPr>
          <w:rFonts w:hint="eastAsia"/>
          <w:color w:val="auto"/>
          <w:spacing w:val="-2"/>
          <w:kern w:val="0"/>
        </w:rPr>
        <w:t>字</w:t>
      </w:r>
      <w:r>
        <w:rPr>
          <w:rFonts w:hint="eastAsia"/>
          <w:color w:val="auto"/>
          <w:kern w:val="0"/>
        </w:rPr>
        <w:t>证书，按竞争性磋商文件要求</w:t>
      </w:r>
      <w:r>
        <w:rPr>
          <w:rFonts w:hint="eastAsia"/>
          <w:color w:val="auto"/>
          <w:spacing w:val="-2"/>
          <w:kern w:val="0"/>
        </w:rPr>
        <w:t>在</w:t>
      </w:r>
      <w:r>
        <w:rPr>
          <w:rFonts w:hint="eastAsia"/>
          <w:color w:val="auto"/>
          <w:kern w:val="0"/>
        </w:rPr>
        <w:t>相应位置加盖</w:t>
      </w:r>
      <w:r>
        <w:rPr>
          <w:rFonts w:hint="eastAsia"/>
          <w:color w:val="auto"/>
          <w:spacing w:val="-2"/>
          <w:kern w:val="0"/>
        </w:rPr>
        <w:t>电</w:t>
      </w:r>
      <w:r>
        <w:rPr>
          <w:rFonts w:hint="eastAsia"/>
          <w:color w:val="auto"/>
          <w:kern w:val="0"/>
        </w:rPr>
        <w:t>子印章。由供应商</w:t>
      </w:r>
      <w:r>
        <w:rPr>
          <w:rFonts w:hint="eastAsia"/>
          <w:color w:val="auto"/>
          <w:spacing w:val="-2"/>
          <w:kern w:val="0"/>
        </w:rPr>
        <w:t>的</w:t>
      </w:r>
      <w:r>
        <w:rPr>
          <w:rFonts w:hint="eastAsia"/>
          <w:color w:val="auto"/>
          <w:kern w:val="0"/>
        </w:rPr>
        <w:t>法定</w:t>
      </w:r>
      <w:r>
        <w:rPr>
          <w:rFonts w:hint="eastAsia"/>
          <w:color w:val="auto"/>
          <w:spacing w:val="-2"/>
          <w:kern w:val="0"/>
        </w:rPr>
        <w:t>代</w:t>
      </w:r>
      <w:r>
        <w:rPr>
          <w:rFonts w:hint="eastAsia"/>
          <w:color w:val="auto"/>
          <w:kern w:val="0"/>
        </w:rPr>
        <w:t>表人（单位负责</w:t>
      </w:r>
      <w:r>
        <w:rPr>
          <w:rFonts w:hint="eastAsia"/>
          <w:color w:val="auto"/>
          <w:spacing w:val="-2"/>
          <w:kern w:val="0"/>
        </w:rPr>
        <w:t>人</w:t>
      </w:r>
      <w:r>
        <w:rPr>
          <w:rFonts w:hint="eastAsia"/>
          <w:color w:val="auto"/>
          <w:kern w:val="0"/>
        </w:rPr>
        <w:t>）签</w:t>
      </w:r>
      <w:r>
        <w:rPr>
          <w:rFonts w:hint="eastAsia"/>
          <w:color w:val="auto"/>
          <w:spacing w:val="-2"/>
          <w:kern w:val="0"/>
        </w:rPr>
        <w:t>字</w:t>
      </w:r>
      <w:r>
        <w:rPr>
          <w:rFonts w:hint="eastAsia"/>
          <w:color w:val="auto"/>
          <w:kern w:val="0"/>
        </w:rPr>
        <w:t>或加盖电子印章</w:t>
      </w:r>
      <w:r>
        <w:rPr>
          <w:rFonts w:hint="eastAsia"/>
          <w:color w:val="auto"/>
          <w:spacing w:val="-2"/>
          <w:kern w:val="0"/>
        </w:rPr>
        <w:t>的</w:t>
      </w:r>
      <w:r>
        <w:rPr>
          <w:rFonts w:hint="eastAsia"/>
          <w:color w:val="auto"/>
          <w:kern w:val="0"/>
        </w:rPr>
        <w:t>，应</w:t>
      </w:r>
      <w:r>
        <w:rPr>
          <w:rFonts w:hint="eastAsia"/>
          <w:color w:val="auto"/>
          <w:spacing w:val="-2"/>
          <w:kern w:val="0"/>
        </w:rPr>
        <w:t>附</w:t>
      </w:r>
      <w:r>
        <w:rPr>
          <w:rFonts w:hint="eastAsia"/>
          <w:color w:val="auto"/>
          <w:kern w:val="0"/>
        </w:rPr>
        <w:t>法定代表</w:t>
      </w:r>
      <w:r>
        <w:rPr>
          <w:rFonts w:hint="eastAsia"/>
          <w:color w:val="auto"/>
          <w:spacing w:val="1"/>
          <w:kern w:val="0"/>
        </w:rPr>
        <w:t>人</w:t>
      </w:r>
      <w:r>
        <w:rPr>
          <w:rFonts w:hint="eastAsia"/>
          <w:color w:val="auto"/>
          <w:kern w:val="0"/>
        </w:rPr>
        <w:t>（</w:t>
      </w:r>
      <w:r>
        <w:rPr>
          <w:rFonts w:hint="eastAsia"/>
          <w:color w:val="auto"/>
          <w:spacing w:val="-2"/>
          <w:kern w:val="0"/>
        </w:rPr>
        <w:t>单</w:t>
      </w:r>
      <w:r>
        <w:rPr>
          <w:rFonts w:hint="eastAsia"/>
          <w:color w:val="auto"/>
          <w:kern w:val="0"/>
        </w:rPr>
        <w:t>位负责人）身份证</w:t>
      </w:r>
      <w:r>
        <w:rPr>
          <w:rFonts w:hint="eastAsia"/>
          <w:color w:val="auto"/>
          <w:spacing w:val="-2"/>
          <w:kern w:val="0"/>
        </w:rPr>
        <w:t>明</w:t>
      </w:r>
      <w:r>
        <w:rPr>
          <w:rFonts w:hint="eastAsia"/>
          <w:color w:val="auto"/>
          <w:kern w:val="0"/>
        </w:rPr>
        <w:t>，由</w:t>
      </w:r>
      <w:r>
        <w:rPr>
          <w:rFonts w:hint="eastAsia"/>
          <w:color w:val="auto"/>
          <w:spacing w:val="-2"/>
          <w:kern w:val="0"/>
        </w:rPr>
        <w:t>代</w:t>
      </w:r>
      <w:r>
        <w:rPr>
          <w:rFonts w:hint="eastAsia"/>
          <w:color w:val="auto"/>
          <w:kern w:val="0"/>
        </w:rPr>
        <w:t>理人签字或加盖</w:t>
      </w:r>
      <w:r>
        <w:rPr>
          <w:rFonts w:hint="eastAsia"/>
          <w:color w:val="auto"/>
          <w:spacing w:val="-2"/>
          <w:kern w:val="0"/>
        </w:rPr>
        <w:t>电</w:t>
      </w:r>
      <w:r>
        <w:rPr>
          <w:rFonts w:hint="eastAsia"/>
          <w:color w:val="auto"/>
          <w:kern w:val="0"/>
        </w:rPr>
        <w:t>子印</w:t>
      </w:r>
      <w:r>
        <w:rPr>
          <w:rFonts w:hint="eastAsia"/>
          <w:color w:val="auto"/>
          <w:spacing w:val="-2"/>
          <w:kern w:val="0"/>
        </w:rPr>
        <w:t>章</w:t>
      </w:r>
      <w:r>
        <w:rPr>
          <w:rFonts w:hint="eastAsia"/>
          <w:color w:val="auto"/>
          <w:kern w:val="0"/>
        </w:rPr>
        <w:t>的，应附由法定</w:t>
      </w:r>
      <w:r>
        <w:rPr>
          <w:rFonts w:hint="eastAsia"/>
          <w:color w:val="auto"/>
          <w:spacing w:val="-2"/>
          <w:kern w:val="0"/>
        </w:rPr>
        <w:t>代</w:t>
      </w:r>
      <w:r>
        <w:rPr>
          <w:rFonts w:hint="eastAsia"/>
          <w:color w:val="auto"/>
          <w:kern w:val="0"/>
        </w:rPr>
        <w:t>表</w:t>
      </w:r>
      <w:r>
        <w:rPr>
          <w:rFonts w:hint="eastAsia"/>
          <w:color w:val="auto"/>
          <w:spacing w:val="1"/>
          <w:kern w:val="0"/>
        </w:rPr>
        <w:t>人</w:t>
      </w:r>
      <w:r>
        <w:rPr>
          <w:rFonts w:hint="eastAsia"/>
          <w:color w:val="auto"/>
          <w:spacing w:val="-2"/>
          <w:kern w:val="0"/>
        </w:rPr>
        <w:t>（</w:t>
      </w:r>
      <w:r>
        <w:rPr>
          <w:rFonts w:hint="eastAsia"/>
          <w:color w:val="auto"/>
          <w:kern w:val="0"/>
        </w:rPr>
        <w:t>单位负责人</w:t>
      </w:r>
      <w:r>
        <w:rPr>
          <w:rFonts w:hint="eastAsia"/>
          <w:color w:val="auto"/>
          <w:spacing w:val="1"/>
          <w:kern w:val="0"/>
        </w:rPr>
        <w:t>）</w:t>
      </w:r>
      <w:r>
        <w:rPr>
          <w:rFonts w:hint="eastAsia"/>
          <w:color w:val="auto"/>
          <w:spacing w:val="-2"/>
          <w:kern w:val="0"/>
        </w:rPr>
        <w:t>签署</w:t>
      </w:r>
      <w:r>
        <w:rPr>
          <w:rFonts w:hint="eastAsia"/>
          <w:color w:val="auto"/>
          <w:kern w:val="0"/>
        </w:rPr>
        <w:t>的授</w:t>
      </w:r>
      <w:r>
        <w:rPr>
          <w:rFonts w:hint="eastAsia"/>
          <w:color w:val="auto"/>
          <w:spacing w:val="-2"/>
          <w:kern w:val="0"/>
        </w:rPr>
        <w:t>权</w:t>
      </w:r>
      <w:r>
        <w:rPr>
          <w:rFonts w:hint="eastAsia"/>
          <w:color w:val="auto"/>
          <w:kern w:val="0"/>
        </w:rPr>
        <w:t>委</w:t>
      </w:r>
      <w:r>
        <w:rPr>
          <w:rFonts w:hint="eastAsia"/>
          <w:color w:val="auto"/>
          <w:spacing w:val="-2"/>
          <w:kern w:val="0"/>
        </w:rPr>
        <w:t>托</w:t>
      </w:r>
      <w:r>
        <w:rPr>
          <w:rFonts w:hint="eastAsia"/>
          <w:color w:val="auto"/>
          <w:kern w:val="0"/>
        </w:rPr>
        <w:t>书</w:t>
      </w:r>
      <w:r>
        <w:rPr>
          <w:rFonts w:hint="eastAsia"/>
          <w:color w:val="auto"/>
          <w:spacing w:val="-2"/>
          <w:kern w:val="0"/>
        </w:rPr>
        <w:t>。</w:t>
      </w:r>
      <w:r>
        <w:rPr>
          <w:rFonts w:hint="eastAsia"/>
          <w:color w:val="auto"/>
          <w:kern w:val="0"/>
        </w:rPr>
        <w:t>签</w:t>
      </w:r>
      <w:r>
        <w:rPr>
          <w:rFonts w:hint="eastAsia"/>
          <w:color w:val="auto"/>
          <w:spacing w:val="-2"/>
          <w:kern w:val="0"/>
        </w:rPr>
        <w:t>字</w:t>
      </w:r>
      <w:r>
        <w:rPr>
          <w:rFonts w:hint="eastAsia"/>
          <w:color w:val="auto"/>
          <w:kern w:val="0"/>
        </w:rPr>
        <w:t>或</w:t>
      </w:r>
      <w:r>
        <w:rPr>
          <w:rFonts w:hint="eastAsia"/>
          <w:color w:val="auto"/>
          <w:spacing w:val="-2"/>
          <w:kern w:val="0"/>
        </w:rPr>
        <w:t>盖</w:t>
      </w:r>
      <w:r>
        <w:rPr>
          <w:rFonts w:hint="eastAsia"/>
          <w:color w:val="auto"/>
          <w:kern w:val="0"/>
        </w:rPr>
        <w:t>章的</w:t>
      </w:r>
      <w:r>
        <w:rPr>
          <w:rFonts w:hint="eastAsia"/>
          <w:color w:val="auto"/>
          <w:spacing w:val="-2"/>
          <w:kern w:val="0"/>
        </w:rPr>
        <w:t>具</w:t>
      </w:r>
      <w:r>
        <w:rPr>
          <w:rFonts w:hint="eastAsia"/>
          <w:color w:val="auto"/>
          <w:kern w:val="0"/>
        </w:rPr>
        <w:t>体</w:t>
      </w:r>
      <w:r>
        <w:rPr>
          <w:rFonts w:hint="eastAsia"/>
          <w:color w:val="auto"/>
          <w:spacing w:val="-2"/>
          <w:kern w:val="0"/>
        </w:rPr>
        <w:t>要</w:t>
      </w:r>
      <w:r>
        <w:rPr>
          <w:rFonts w:hint="eastAsia"/>
          <w:color w:val="auto"/>
          <w:kern w:val="0"/>
        </w:rPr>
        <w:t>求</w:t>
      </w:r>
      <w:r>
        <w:rPr>
          <w:rFonts w:hint="eastAsia"/>
          <w:color w:val="auto"/>
          <w:spacing w:val="-2"/>
          <w:kern w:val="0"/>
        </w:rPr>
        <w:t>见</w:t>
      </w:r>
      <w:r>
        <w:rPr>
          <w:rFonts w:hint="eastAsia"/>
          <w:color w:val="auto"/>
          <w:kern w:val="0"/>
        </w:rPr>
        <w:t>供应商</w:t>
      </w:r>
      <w:r>
        <w:rPr>
          <w:rFonts w:hint="eastAsia"/>
          <w:color w:val="auto"/>
          <w:spacing w:val="-2"/>
          <w:kern w:val="0"/>
        </w:rPr>
        <w:t>须</w:t>
      </w:r>
      <w:r>
        <w:rPr>
          <w:rFonts w:hint="eastAsia"/>
          <w:color w:val="auto"/>
          <w:kern w:val="0"/>
        </w:rPr>
        <w:t>知前</w:t>
      </w:r>
      <w:r>
        <w:rPr>
          <w:rFonts w:hint="eastAsia"/>
          <w:color w:val="auto"/>
          <w:spacing w:val="-2"/>
          <w:kern w:val="0"/>
        </w:rPr>
        <w:t>附</w:t>
      </w:r>
      <w:r>
        <w:rPr>
          <w:rFonts w:hint="eastAsia"/>
          <w:color w:val="auto"/>
          <w:kern w:val="0"/>
        </w:rPr>
        <w:t>表。</w:t>
      </w:r>
    </w:p>
    <w:p w14:paraId="7158D480">
      <w:pPr>
        <w:pStyle w:val="30"/>
        <w:rPr>
          <w:rFonts w:hint="eastAsia"/>
          <w:color w:val="auto"/>
          <w:kern w:val="0"/>
        </w:rPr>
      </w:pPr>
    </w:p>
    <w:p w14:paraId="193F161E">
      <w:pPr>
        <w:pStyle w:val="30"/>
        <w:rPr>
          <w:rFonts w:hint="eastAsia"/>
          <w:color w:val="auto"/>
          <w:kern w:val="0"/>
        </w:rPr>
      </w:pPr>
    </w:p>
    <w:p w14:paraId="41894F85">
      <w:pPr>
        <w:pStyle w:val="30"/>
        <w:rPr>
          <w:rFonts w:hint="eastAsia"/>
          <w:color w:val="auto"/>
          <w:kern w:val="0"/>
        </w:rPr>
      </w:pPr>
    </w:p>
    <w:p w14:paraId="689EFE70">
      <w:pPr>
        <w:pStyle w:val="30"/>
        <w:rPr>
          <w:rFonts w:hint="eastAsia"/>
          <w:color w:val="auto"/>
          <w:kern w:val="0"/>
        </w:rPr>
      </w:pPr>
    </w:p>
    <w:p w14:paraId="24BDA05F">
      <w:pPr>
        <w:pStyle w:val="30"/>
        <w:rPr>
          <w:rFonts w:hint="eastAsia"/>
          <w:color w:val="auto"/>
          <w:kern w:val="0"/>
        </w:rPr>
      </w:pPr>
    </w:p>
    <w:p w14:paraId="225455B2">
      <w:pPr>
        <w:pStyle w:val="30"/>
        <w:rPr>
          <w:rFonts w:hint="eastAsia"/>
          <w:color w:val="auto"/>
          <w:kern w:val="0"/>
        </w:rPr>
      </w:pPr>
    </w:p>
    <w:p w14:paraId="19069FAF">
      <w:pPr>
        <w:pStyle w:val="30"/>
        <w:rPr>
          <w:rFonts w:hint="eastAsia"/>
          <w:color w:val="auto"/>
          <w:kern w:val="0"/>
        </w:rPr>
      </w:pPr>
    </w:p>
    <w:p w14:paraId="31D09192">
      <w:pPr>
        <w:pStyle w:val="30"/>
        <w:rPr>
          <w:rFonts w:hint="eastAsia"/>
          <w:color w:val="auto"/>
          <w:kern w:val="0"/>
        </w:rPr>
      </w:pPr>
    </w:p>
    <w:p w14:paraId="0DEC3FF9">
      <w:pPr>
        <w:pStyle w:val="30"/>
        <w:rPr>
          <w:rFonts w:hint="eastAsia"/>
          <w:color w:val="auto"/>
          <w:kern w:val="0"/>
        </w:rPr>
      </w:pPr>
    </w:p>
    <w:p w14:paraId="278FCFBA">
      <w:pPr>
        <w:pStyle w:val="30"/>
        <w:rPr>
          <w:rFonts w:hint="eastAsia"/>
          <w:color w:val="auto"/>
          <w:kern w:val="0"/>
        </w:rPr>
      </w:pPr>
    </w:p>
    <w:p w14:paraId="6A3C6266">
      <w:pPr>
        <w:pStyle w:val="30"/>
        <w:rPr>
          <w:rFonts w:hint="eastAsia"/>
          <w:color w:val="auto"/>
          <w:kern w:val="0"/>
        </w:rPr>
      </w:pPr>
    </w:p>
    <w:p w14:paraId="1675987C">
      <w:pPr>
        <w:pStyle w:val="30"/>
        <w:rPr>
          <w:rFonts w:hint="eastAsia"/>
          <w:color w:val="auto"/>
          <w:kern w:val="0"/>
        </w:rPr>
      </w:pPr>
    </w:p>
    <w:p w14:paraId="50683786">
      <w:pPr>
        <w:pStyle w:val="30"/>
        <w:rPr>
          <w:rFonts w:hint="eastAsia"/>
          <w:color w:val="auto"/>
          <w:kern w:val="0"/>
        </w:rPr>
      </w:pPr>
    </w:p>
    <w:p w14:paraId="04A5B4DD">
      <w:pPr>
        <w:pStyle w:val="30"/>
        <w:rPr>
          <w:rFonts w:hint="eastAsia"/>
          <w:color w:val="auto"/>
          <w:kern w:val="0"/>
        </w:rPr>
      </w:pPr>
    </w:p>
    <w:p w14:paraId="40EEE190">
      <w:pPr>
        <w:pStyle w:val="30"/>
        <w:rPr>
          <w:rFonts w:hint="eastAsia"/>
          <w:color w:val="auto"/>
          <w:kern w:val="0"/>
        </w:rPr>
      </w:pPr>
    </w:p>
    <w:p w14:paraId="0C808E58">
      <w:pPr>
        <w:pStyle w:val="30"/>
        <w:rPr>
          <w:rFonts w:hint="eastAsia"/>
          <w:color w:val="auto"/>
          <w:kern w:val="0"/>
        </w:rPr>
      </w:pPr>
    </w:p>
    <w:p w14:paraId="08CAB4E5">
      <w:pPr>
        <w:pStyle w:val="30"/>
        <w:rPr>
          <w:rFonts w:hint="eastAsia"/>
          <w:color w:val="auto"/>
          <w:kern w:val="0"/>
        </w:rPr>
      </w:pPr>
    </w:p>
    <w:p w14:paraId="52FD8ECC">
      <w:pPr>
        <w:pStyle w:val="30"/>
        <w:rPr>
          <w:rFonts w:hint="eastAsia"/>
          <w:color w:val="auto"/>
          <w:kern w:val="0"/>
        </w:rPr>
      </w:pPr>
    </w:p>
    <w:p w14:paraId="322F28BD">
      <w:pPr>
        <w:pStyle w:val="30"/>
        <w:rPr>
          <w:rFonts w:hint="eastAsia"/>
          <w:color w:val="auto"/>
          <w:kern w:val="0"/>
        </w:rPr>
      </w:pPr>
    </w:p>
    <w:p w14:paraId="69F0001F">
      <w:pPr>
        <w:pStyle w:val="30"/>
        <w:rPr>
          <w:rFonts w:hint="eastAsia"/>
          <w:color w:val="auto"/>
          <w:kern w:val="0"/>
        </w:rPr>
      </w:pPr>
    </w:p>
    <w:p w14:paraId="75F557AA">
      <w:pPr>
        <w:pStyle w:val="30"/>
        <w:rPr>
          <w:rFonts w:hint="eastAsia"/>
          <w:color w:val="auto"/>
          <w:kern w:val="0"/>
        </w:rPr>
      </w:pPr>
    </w:p>
    <w:p w14:paraId="14FEAD99">
      <w:pPr>
        <w:pStyle w:val="30"/>
        <w:rPr>
          <w:rFonts w:hint="eastAsia"/>
          <w:color w:val="auto"/>
          <w:kern w:val="0"/>
        </w:rPr>
      </w:pPr>
    </w:p>
    <w:p w14:paraId="14DD12B4">
      <w:pPr>
        <w:pStyle w:val="30"/>
        <w:rPr>
          <w:rFonts w:hint="eastAsia"/>
          <w:color w:val="auto"/>
          <w:kern w:val="0"/>
        </w:rPr>
      </w:pPr>
    </w:p>
    <w:p w14:paraId="73F73F19">
      <w:pPr>
        <w:pStyle w:val="30"/>
        <w:rPr>
          <w:rFonts w:hint="eastAsia"/>
          <w:color w:val="auto"/>
          <w:kern w:val="0"/>
        </w:rPr>
      </w:pPr>
    </w:p>
    <w:p w14:paraId="578C9294">
      <w:pPr>
        <w:pStyle w:val="30"/>
        <w:rPr>
          <w:rFonts w:hint="eastAsia"/>
          <w:color w:val="auto"/>
          <w:kern w:val="0"/>
        </w:rPr>
      </w:pPr>
    </w:p>
    <w:p w14:paraId="25F56C17">
      <w:pPr>
        <w:pStyle w:val="30"/>
        <w:rPr>
          <w:rFonts w:hint="eastAsia"/>
          <w:color w:val="auto"/>
          <w:kern w:val="0"/>
        </w:rPr>
      </w:pPr>
    </w:p>
    <w:p w14:paraId="5697F844">
      <w:pPr>
        <w:pStyle w:val="30"/>
        <w:rPr>
          <w:rFonts w:hint="eastAsia"/>
          <w:color w:val="auto"/>
          <w:kern w:val="0"/>
        </w:rPr>
      </w:pPr>
    </w:p>
    <w:p w14:paraId="2268C5D8">
      <w:pPr>
        <w:pStyle w:val="30"/>
        <w:rPr>
          <w:rFonts w:hint="eastAsia"/>
          <w:color w:val="auto"/>
          <w:kern w:val="0"/>
        </w:rPr>
      </w:pPr>
    </w:p>
    <w:p w14:paraId="2DF13F41">
      <w:pPr>
        <w:pStyle w:val="30"/>
        <w:numPr>
          <w:ilvl w:val="0"/>
          <w:numId w:val="2"/>
        </w:numPr>
        <w:tabs>
          <w:tab w:val="left" w:pos="360"/>
        </w:tabs>
        <w:snapToGrid w:val="0"/>
        <w:spacing w:line="360" w:lineRule="auto"/>
        <w:ind w:firstLine="883"/>
        <w:contextualSpacing/>
        <w:jc w:val="both"/>
        <w:outlineLvl w:val="1"/>
        <w:rPr>
          <w:rStyle w:val="31"/>
          <w:color w:val="auto"/>
        </w:rPr>
      </w:pPr>
      <w:bookmarkStart w:id="347" w:name="_Toc6530"/>
      <w:r>
        <w:rPr>
          <w:rStyle w:val="31"/>
          <w:rFonts w:hint="eastAsia"/>
          <w:color w:val="auto"/>
        </w:rPr>
        <w:t xml:space="preserve"> </w:t>
      </w:r>
      <w:bookmarkStart w:id="348" w:name="_Toc12187"/>
      <w:bookmarkStart w:id="349" w:name="_Toc4174"/>
      <w:bookmarkStart w:id="350" w:name="_Toc32420"/>
      <w:bookmarkStart w:id="351" w:name="_Toc29623307"/>
      <w:r>
        <w:rPr>
          <w:rStyle w:val="31"/>
          <w:rFonts w:hint="eastAsia"/>
          <w:color w:val="auto"/>
        </w:rPr>
        <w:t>响应文件的递交</w:t>
      </w:r>
      <w:bookmarkEnd w:id="347"/>
      <w:bookmarkEnd w:id="348"/>
      <w:bookmarkEnd w:id="349"/>
      <w:bookmarkEnd w:id="350"/>
      <w:bookmarkEnd w:id="351"/>
    </w:p>
    <w:p w14:paraId="0FF2ED77">
      <w:pPr>
        <w:pStyle w:val="4"/>
        <w:numPr>
          <w:ilvl w:val="1"/>
          <w:numId w:val="2"/>
        </w:numPr>
        <w:jc w:val="left"/>
        <w:rPr>
          <w:rFonts w:ascii="Times New Roman" w:hAnsi="Times New Roman"/>
          <w:bCs w:val="0"/>
          <w:color w:val="auto"/>
          <w:szCs w:val="20"/>
        </w:rPr>
      </w:pPr>
      <w:bookmarkStart w:id="352" w:name="_Toc27753959"/>
      <w:bookmarkStart w:id="353" w:name="_Toc21528"/>
      <w:bookmarkStart w:id="354" w:name="_Toc428276592"/>
      <w:bookmarkStart w:id="355" w:name="_Toc455678124"/>
      <w:bookmarkStart w:id="356" w:name="_Toc462934298"/>
      <w:bookmarkStart w:id="357" w:name="_Toc269470320"/>
      <w:bookmarkStart w:id="358" w:name="_Toc31608"/>
      <w:bookmarkStart w:id="359" w:name="_Toc29623308"/>
      <w:bookmarkStart w:id="360" w:name="_Toc270604825"/>
      <w:bookmarkStart w:id="361" w:name="_Toc27477"/>
      <w:bookmarkStart w:id="362" w:name="_Toc14828"/>
      <w:bookmarkStart w:id="363" w:name="_Toc454788032"/>
      <w:bookmarkStart w:id="364" w:name="_Toc463011277"/>
      <w:bookmarkStart w:id="365" w:name="_Toc270604598"/>
      <w:bookmarkStart w:id="366" w:name="_Toc428351652"/>
      <w:bookmarkStart w:id="367" w:name="_Toc277149387"/>
      <w:r>
        <w:rPr>
          <w:rFonts w:hint="eastAsia" w:ascii="Times New Roman" w:hAnsi="Times New Roman"/>
          <w:bCs w:val="0"/>
          <w:color w:val="auto"/>
          <w:szCs w:val="20"/>
        </w:rPr>
        <w:t>响应文件的密封和标记</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38845EA9">
      <w:pPr>
        <w:pStyle w:val="30"/>
        <w:spacing w:line="360" w:lineRule="auto"/>
        <w:rPr>
          <w:rFonts w:hAnsi="宋体"/>
          <w:color w:val="auto"/>
          <w:sz w:val="21"/>
          <w:szCs w:val="21"/>
        </w:rPr>
      </w:pPr>
      <w:r>
        <w:rPr>
          <w:rFonts w:hint="eastAsia"/>
          <w:color w:val="auto"/>
        </w:rPr>
        <w:t xml:space="preserve">  </w:t>
      </w:r>
      <w:r>
        <w:rPr>
          <w:rFonts w:hint="eastAsia" w:hAnsi="宋体"/>
          <w:color w:val="auto"/>
          <w:sz w:val="21"/>
          <w:szCs w:val="21"/>
        </w:rPr>
        <w:t xml:space="preserve"> </w:t>
      </w:r>
      <w:r>
        <w:rPr>
          <w:rFonts w:hint="eastAsia" w:ascii="Times New Roman" w:hAnsi="宋体" w:cs="黑体"/>
          <w:color w:val="auto"/>
          <w:kern w:val="2"/>
          <w:sz w:val="21"/>
          <w:szCs w:val="21"/>
        </w:rPr>
        <w:t xml:space="preserve"> 4.1.1</w:t>
      </w:r>
      <w:r>
        <w:rPr>
          <w:rFonts w:hint="eastAsia" w:hAnsi="宋体"/>
          <w:color w:val="auto"/>
          <w:sz w:val="21"/>
          <w:szCs w:val="21"/>
        </w:rPr>
        <w:t xml:space="preserve"> 供应商应当按照竞争性磋商文件和电子招标投标交易平台的要求加密响应文件，具体要求见供应商须知前附表。 </w:t>
      </w:r>
    </w:p>
    <w:p w14:paraId="50C6196B">
      <w:pPr>
        <w:wordWrap/>
        <w:topLinePunct w:val="0"/>
        <w:snapToGrid w:val="0"/>
        <w:spacing w:line="360" w:lineRule="auto"/>
        <w:ind w:firstLine="420" w:firstLineChars="200"/>
        <w:contextualSpacing/>
        <w:rPr>
          <w:color w:val="auto"/>
        </w:rPr>
      </w:pPr>
      <w:r>
        <w:rPr>
          <w:rFonts w:hint="eastAsia" w:cs="黑体"/>
          <w:color w:val="auto"/>
        </w:rPr>
        <w:t xml:space="preserve">4.1.2 </w:t>
      </w:r>
      <w:r>
        <w:rPr>
          <w:rFonts w:hint="eastAsia"/>
          <w:color w:val="auto"/>
        </w:rPr>
        <w:t>未按本章第</w:t>
      </w:r>
      <w:r>
        <w:rPr>
          <w:color w:val="auto"/>
        </w:rPr>
        <w:t>4.1.1</w:t>
      </w:r>
      <w:r>
        <w:rPr>
          <w:rFonts w:hint="eastAsia"/>
          <w:color w:val="auto"/>
        </w:rPr>
        <w:t>项要求密封和加写标记的磋商响应文件，采购人或磋商小组不予受理。</w:t>
      </w:r>
    </w:p>
    <w:p w14:paraId="58B94679">
      <w:pPr>
        <w:pStyle w:val="4"/>
        <w:numPr>
          <w:ilvl w:val="1"/>
          <w:numId w:val="2"/>
        </w:numPr>
        <w:jc w:val="left"/>
        <w:rPr>
          <w:rFonts w:ascii="Times New Roman" w:hAnsi="Times New Roman"/>
          <w:bCs w:val="0"/>
          <w:color w:val="auto"/>
          <w:szCs w:val="20"/>
        </w:rPr>
      </w:pPr>
      <w:bookmarkStart w:id="368" w:name="_Toc455678125"/>
      <w:bookmarkStart w:id="369" w:name="_Toc428276593"/>
      <w:bookmarkStart w:id="370" w:name="_Toc270604826"/>
      <w:bookmarkStart w:id="371" w:name="_Toc428351653"/>
      <w:bookmarkStart w:id="372" w:name="_Toc277149388"/>
      <w:bookmarkStart w:id="373" w:name="_Toc269470321"/>
      <w:bookmarkStart w:id="374" w:name="_Toc27753960"/>
      <w:bookmarkStart w:id="375" w:name="_Toc5938"/>
      <w:bookmarkStart w:id="376" w:name="_Toc20197"/>
      <w:bookmarkStart w:id="377" w:name="_Toc270604599"/>
      <w:bookmarkStart w:id="378" w:name="_Toc29623309"/>
      <w:bookmarkStart w:id="379" w:name="_Toc20478"/>
      <w:bookmarkStart w:id="380" w:name="_Toc462934299"/>
      <w:bookmarkStart w:id="381" w:name="_Toc454788033"/>
      <w:bookmarkStart w:id="382" w:name="_Toc29167"/>
      <w:bookmarkStart w:id="383" w:name="_Toc463011278"/>
      <w:r>
        <w:rPr>
          <w:rFonts w:hint="eastAsia" w:ascii="Times New Roman" w:hAnsi="Times New Roman"/>
          <w:bCs w:val="0"/>
          <w:color w:val="auto"/>
          <w:szCs w:val="20"/>
        </w:rPr>
        <w:t>磋商响应文件的递交</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1B491A82">
      <w:pPr>
        <w:wordWrap/>
        <w:topLinePunct w:val="0"/>
        <w:autoSpaceDE w:val="0"/>
        <w:autoSpaceDN w:val="0"/>
        <w:adjustRightInd w:val="0"/>
        <w:spacing w:line="360" w:lineRule="auto"/>
        <w:ind w:right="-20" w:firstLine="420" w:firstLineChars="200"/>
        <w:jc w:val="left"/>
        <w:rPr>
          <w:color w:val="auto"/>
          <w:kern w:val="0"/>
        </w:rPr>
      </w:pPr>
      <w:bookmarkStart w:id="384" w:name="_Toc462934300"/>
      <w:bookmarkStart w:id="385" w:name="_Toc463011279"/>
      <w:bookmarkStart w:id="386" w:name="_Toc428351654"/>
      <w:bookmarkStart w:id="387" w:name="_Toc455678126"/>
      <w:bookmarkStart w:id="388" w:name="_Toc31097"/>
      <w:bookmarkStart w:id="389" w:name="_Toc277149389"/>
      <w:bookmarkStart w:id="390" w:name="_Toc27108"/>
      <w:bookmarkStart w:id="391" w:name="_Toc428276594"/>
      <w:bookmarkStart w:id="392" w:name="_Toc454788034"/>
      <w:bookmarkStart w:id="393" w:name="_Toc269470322"/>
      <w:bookmarkStart w:id="394" w:name="_Toc26556"/>
      <w:bookmarkStart w:id="395" w:name="_Toc270604827"/>
      <w:bookmarkStart w:id="396" w:name="_Toc29096"/>
      <w:bookmarkStart w:id="397" w:name="_Toc270604600"/>
      <w:r>
        <w:rPr>
          <w:rFonts w:hint="eastAsia" w:cs="黑体"/>
          <w:color w:val="auto"/>
        </w:rPr>
        <w:t xml:space="preserve">4.2.1 </w:t>
      </w:r>
      <w:r>
        <w:rPr>
          <w:rFonts w:hint="eastAsia"/>
          <w:color w:val="auto"/>
        </w:rPr>
        <w:t>供应商</w:t>
      </w:r>
      <w:r>
        <w:rPr>
          <w:rFonts w:hint="eastAsia"/>
          <w:color w:val="auto"/>
          <w:spacing w:val="-2"/>
          <w:kern w:val="0"/>
        </w:rPr>
        <w:t>应</w:t>
      </w:r>
      <w:r>
        <w:rPr>
          <w:rFonts w:hint="eastAsia"/>
          <w:color w:val="auto"/>
          <w:kern w:val="0"/>
        </w:rPr>
        <w:t>在</w:t>
      </w:r>
      <w:r>
        <w:rPr>
          <w:rFonts w:hint="eastAsia"/>
          <w:color w:val="auto"/>
          <w:spacing w:val="-2"/>
          <w:kern w:val="0"/>
        </w:rPr>
        <w:t>供应商须</w:t>
      </w:r>
      <w:r>
        <w:rPr>
          <w:rFonts w:hint="eastAsia"/>
          <w:color w:val="auto"/>
          <w:kern w:val="0"/>
        </w:rPr>
        <w:t>知前</w:t>
      </w:r>
      <w:r>
        <w:rPr>
          <w:rFonts w:hint="eastAsia"/>
          <w:color w:val="auto"/>
          <w:spacing w:val="-2"/>
          <w:kern w:val="0"/>
        </w:rPr>
        <w:t>附</w:t>
      </w:r>
      <w:r>
        <w:rPr>
          <w:rFonts w:hint="eastAsia"/>
          <w:color w:val="auto"/>
          <w:kern w:val="0"/>
        </w:rPr>
        <w:t>表</w:t>
      </w:r>
      <w:r>
        <w:rPr>
          <w:rFonts w:hint="eastAsia"/>
          <w:color w:val="auto"/>
          <w:spacing w:val="-2"/>
          <w:kern w:val="0"/>
        </w:rPr>
        <w:t>规</w:t>
      </w:r>
      <w:r>
        <w:rPr>
          <w:rFonts w:hint="eastAsia"/>
          <w:color w:val="auto"/>
          <w:kern w:val="0"/>
        </w:rPr>
        <w:t>定</w:t>
      </w:r>
      <w:r>
        <w:rPr>
          <w:rFonts w:hint="eastAsia"/>
          <w:color w:val="auto"/>
          <w:spacing w:val="-2"/>
          <w:kern w:val="0"/>
        </w:rPr>
        <w:t>的提交首次</w:t>
      </w:r>
      <w:r>
        <w:rPr>
          <w:rFonts w:hint="eastAsia"/>
          <w:color w:val="auto"/>
          <w:kern w:val="0"/>
        </w:rPr>
        <w:t>响应文件截</w:t>
      </w:r>
      <w:r>
        <w:rPr>
          <w:rFonts w:hint="eastAsia"/>
          <w:color w:val="auto"/>
          <w:spacing w:val="-2"/>
          <w:kern w:val="0"/>
        </w:rPr>
        <w:t>止</w:t>
      </w:r>
      <w:r>
        <w:rPr>
          <w:rFonts w:hint="eastAsia"/>
          <w:color w:val="auto"/>
          <w:kern w:val="0"/>
        </w:rPr>
        <w:t>时间</w:t>
      </w:r>
      <w:r>
        <w:rPr>
          <w:rFonts w:hint="eastAsia"/>
          <w:color w:val="auto"/>
          <w:spacing w:val="-2"/>
          <w:kern w:val="0"/>
        </w:rPr>
        <w:t>前递交</w:t>
      </w:r>
      <w:r>
        <w:rPr>
          <w:rFonts w:hint="eastAsia"/>
          <w:color w:val="auto"/>
          <w:kern w:val="0"/>
        </w:rPr>
        <w:t>响应文</w:t>
      </w:r>
      <w:r>
        <w:rPr>
          <w:rFonts w:hint="eastAsia"/>
          <w:color w:val="auto"/>
          <w:spacing w:val="-2"/>
          <w:kern w:val="0"/>
        </w:rPr>
        <w:t>件</w:t>
      </w:r>
      <w:r>
        <w:rPr>
          <w:rFonts w:hint="eastAsia"/>
          <w:color w:val="auto"/>
          <w:kern w:val="0"/>
        </w:rPr>
        <w:t>。</w:t>
      </w:r>
    </w:p>
    <w:p w14:paraId="085539E3">
      <w:pPr>
        <w:wordWrap/>
        <w:topLinePunct w:val="0"/>
        <w:autoSpaceDE w:val="0"/>
        <w:autoSpaceDN w:val="0"/>
        <w:adjustRightInd w:val="0"/>
        <w:spacing w:line="360" w:lineRule="auto"/>
        <w:ind w:right="-20" w:firstLine="420" w:firstLineChars="200"/>
        <w:jc w:val="left"/>
        <w:rPr>
          <w:color w:val="auto"/>
        </w:rPr>
      </w:pPr>
      <w:r>
        <w:rPr>
          <w:rFonts w:hint="eastAsia" w:cs="黑体"/>
          <w:color w:val="auto"/>
        </w:rPr>
        <w:t xml:space="preserve">4.2.2 </w:t>
      </w:r>
      <w:r>
        <w:rPr>
          <w:rFonts w:hint="eastAsia"/>
          <w:color w:val="auto"/>
          <w:spacing w:val="-2"/>
          <w:kern w:val="0"/>
        </w:rPr>
        <w:t>供应商</w:t>
      </w:r>
      <w:r>
        <w:rPr>
          <w:rFonts w:hint="eastAsia"/>
          <w:color w:val="auto"/>
          <w:kern w:val="0"/>
        </w:rPr>
        <w:t>通</w:t>
      </w:r>
      <w:r>
        <w:rPr>
          <w:rFonts w:hint="eastAsia"/>
          <w:color w:val="auto"/>
          <w:spacing w:val="-2"/>
          <w:kern w:val="0"/>
        </w:rPr>
        <w:t>过下</w:t>
      </w:r>
      <w:r>
        <w:rPr>
          <w:rFonts w:hint="eastAsia"/>
          <w:color w:val="auto"/>
          <w:kern w:val="0"/>
        </w:rPr>
        <w:t>载竞争性磋商文</w:t>
      </w:r>
      <w:r>
        <w:rPr>
          <w:rFonts w:hint="eastAsia"/>
          <w:color w:val="auto"/>
          <w:spacing w:val="-2"/>
          <w:kern w:val="0"/>
        </w:rPr>
        <w:t>件</w:t>
      </w:r>
      <w:r>
        <w:rPr>
          <w:rFonts w:hint="eastAsia"/>
          <w:color w:val="auto"/>
          <w:kern w:val="0"/>
        </w:rPr>
        <w:t>的全国公共资源交易平台（河南省·平顶山市）递</w:t>
      </w:r>
      <w:r>
        <w:rPr>
          <w:rFonts w:hint="eastAsia"/>
          <w:color w:val="auto"/>
          <w:spacing w:val="-2"/>
          <w:kern w:val="0"/>
        </w:rPr>
        <w:t>交</w:t>
      </w:r>
      <w:r>
        <w:rPr>
          <w:rFonts w:hint="eastAsia"/>
          <w:color w:val="auto"/>
          <w:kern w:val="0"/>
        </w:rPr>
        <w:t>电</w:t>
      </w:r>
      <w:r>
        <w:rPr>
          <w:rFonts w:hint="eastAsia"/>
          <w:color w:val="auto"/>
          <w:spacing w:val="-2"/>
          <w:kern w:val="0"/>
        </w:rPr>
        <w:t>子</w:t>
      </w:r>
      <w:r>
        <w:rPr>
          <w:rFonts w:hint="eastAsia"/>
          <w:color w:val="auto"/>
          <w:kern w:val="0"/>
        </w:rPr>
        <w:t>响应文件。</w:t>
      </w:r>
    </w:p>
    <w:p w14:paraId="23E9FAA5">
      <w:pPr>
        <w:wordWrap/>
        <w:topLinePunct w:val="0"/>
        <w:autoSpaceDE w:val="0"/>
        <w:autoSpaceDN w:val="0"/>
        <w:adjustRightInd w:val="0"/>
        <w:spacing w:line="360" w:lineRule="auto"/>
        <w:ind w:right="-20" w:firstLine="420" w:firstLineChars="200"/>
        <w:jc w:val="left"/>
        <w:rPr>
          <w:color w:val="auto"/>
          <w:kern w:val="0"/>
        </w:rPr>
      </w:pPr>
      <w:r>
        <w:rPr>
          <w:rFonts w:hint="eastAsia" w:cs="黑体"/>
          <w:color w:val="auto"/>
        </w:rPr>
        <w:t>4.2.3</w:t>
      </w:r>
      <w:r>
        <w:rPr>
          <w:rFonts w:hint="eastAsia"/>
          <w:color w:val="auto"/>
          <w:kern w:val="0"/>
        </w:rPr>
        <w:t xml:space="preserve"> 除</w:t>
      </w:r>
      <w:r>
        <w:rPr>
          <w:rFonts w:hint="eastAsia"/>
          <w:color w:val="auto"/>
          <w:spacing w:val="-2"/>
          <w:kern w:val="0"/>
        </w:rPr>
        <w:t>供应商</w:t>
      </w:r>
      <w:r>
        <w:rPr>
          <w:rFonts w:hint="eastAsia"/>
          <w:color w:val="auto"/>
          <w:kern w:val="0"/>
        </w:rPr>
        <w:t>须</w:t>
      </w:r>
      <w:r>
        <w:rPr>
          <w:rFonts w:hint="eastAsia"/>
          <w:color w:val="auto"/>
          <w:spacing w:val="-2"/>
          <w:kern w:val="0"/>
        </w:rPr>
        <w:t>知</w:t>
      </w:r>
      <w:r>
        <w:rPr>
          <w:rFonts w:hint="eastAsia"/>
          <w:color w:val="auto"/>
          <w:kern w:val="0"/>
        </w:rPr>
        <w:t>前</w:t>
      </w:r>
      <w:r>
        <w:rPr>
          <w:rFonts w:hint="eastAsia"/>
          <w:color w:val="auto"/>
          <w:spacing w:val="-2"/>
          <w:kern w:val="0"/>
        </w:rPr>
        <w:t>附表</w:t>
      </w:r>
      <w:r>
        <w:rPr>
          <w:rFonts w:hint="eastAsia"/>
          <w:color w:val="auto"/>
          <w:kern w:val="0"/>
        </w:rPr>
        <w:t>另有</w:t>
      </w:r>
      <w:r>
        <w:rPr>
          <w:rFonts w:hint="eastAsia"/>
          <w:color w:val="auto"/>
          <w:spacing w:val="-2"/>
          <w:kern w:val="0"/>
        </w:rPr>
        <w:t>规</w:t>
      </w:r>
      <w:r>
        <w:rPr>
          <w:rFonts w:hint="eastAsia"/>
          <w:color w:val="auto"/>
          <w:kern w:val="0"/>
        </w:rPr>
        <w:t>定</w:t>
      </w:r>
      <w:r>
        <w:rPr>
          <w:rFonts w:hint="eastAsia"/>
          <w:color w:val="auto"/>
          <w:spacing w:val="-2"/>
          <w:kern w:val="0"/>
        </w:rPr>
        <w:t>外</w:t>
      </w:r>
      <w:r>
        <w:rPr>
          <w:rFonts w:hint="eastAsia"/>
          <w:color w:val="auto"/>
          <w:kern w:val="0"/>
        </w:rPr>
        <w:t>供应商所</w:t>
      </w:r>
      <w:r>
        <w:rPr>
          <w:rFonts w:hint="eastAsia"/>
          <w:color w:val="auto"/>
          <w:spacing w:val="-2"/>
          <w:kern w:val="0"/>
        </w:rPr>
        <w:t>递</w:t>
      </w:r>
      <w:r>
        <w:rPr>
          <w:rFonts w:hint="eastAsia"/>
          <w:color w:val="auto"/>
          <w:kern w:val="0"/>
        </w:rPr>
        <w:t>交的</w:t>
      </w:r>
      <w:r>
        <w:rPr>
          <w:rFonts w:hint="eastAsia"/>
          <w:color w:val="auto"/>
          <w:spacing w:val="-2"/>
          <w:kern w:val="0"/>
        </w:rPr>
        <w:t>响应文</w:t>
      </w:r>
      <w:r>
        <w:rPr>
          <w:rFonts w:hint="eastAsia"/>
          <w:color w:val="auto"/>
          <w:kern w:val="0"/>
        </w:rPr>
        <w:t>件</w:t>
      </w:r>
      <w:r>
        <w:rPr>
          <w:rFonts w:hint="eastAsia"/>
          <w:color w:val="auto"/>
          <w:spacing w:val="-2"/>
          <w:kern w:val="0"/>
        </w:rPr>
        <w:t>不</w:t>
      </w:r>
      <w:r>
        <w:rPr>
          <w:rFonts w:hint="eastAsia"/>
          <w:color w:val="auto"/>
          <w:kern w:val="0"/>
        </w:rPr>
        <w:t>予</w:t>
      </w:r>
      <w:r>
        <w:rPr>
          <w:rFonts w:hint="eastAsia"/>
          <w:color w:val="auto"/>
          <w:spacing w:val="-2"/>
          <w:kern w:val="0"/>
        </w:rPr>
        <w:t>退</w:t>
      </w:r>
      <w:r>
        <w:rPr>
          <w:rFonts w:hint="eastAsia"/>
          <w:color w:val="auto"/>
          <w:kern w:val="0"/>
        </w:rPr>
        <w:t>还。</w:t>
      </w:r>
    </w:p>
    <w:p w14:paraId="393EE964">
      <w:pPr>
        <w:wordWrap/>
        <w:topLinePunct w:val="0"/>
        <w:autoSpaceDE w:val="0"/>
        <w:autoSpaceDN w:val="0"/>
        <w:adjustRightInd w:val="0"/>
        <w:spacing w:line="360" w:lineRule="auto"/>
        <w:ind w:right="40" w:firstLine="420" w:firstLineChars="200"/>
        <w:rPr>
          <w:color w:val="auto"/>
          <w:kern w:val="0"/>
        </w:rPr>
      </w:pPr>
      <w:r>
        <w:rPr>
          <w:rFonts w:hint="eastAsia" w:cs="黑体"/>
          <w:color w:val="auto"/>
        </w:rPr>
        <w:t xml:space="preserve">4.2.4 </w:t>
      </w:r>
      <w:r>
        <w:rPr>
          <w:rFonts w:hint="eastAsia"/>
          <w:color w:val="auto"/>
          <w:kern w:val="0"/>
        </w:rPr>
        <w:t>供应商</w:t>
      </w:r>
      <w:r>
        <w:rPr>
          <w:rFonts w:hint="eastAsia"/>
          <w:color w:val="auto"/>
          <w:spacing w:val="-2"/>
          <w:kern w:val="0"/>
        </w:rPr>
        <w:t>完</w:t>
      </w:r>
      <w:r>
        <w:rPr>
          <w:rFonts w:hint="eastAsia"/>
          <w:color w:val="auto"/>
          <w:kern w:val="0"/>
        </w:rPr>
        <w:t>成</w:t>
      </w:r>
      <w:r>
        <w:rPr>
          <w:rFonts w:hint="eastAsia"/>
          <w:color w:val="auto"/>
          <w:spacing w:val="-2"/>
          <w:kern w:val="0"/>
        </w:rPr>
        <w:t>电</w:t>
      </w:r>
      <w:r>
        <w:rPr>
          <w:rFonts w:hint="eastAsia"/>
          <w:color w:val="auto"/>
          <w:kern w:val="0"/>
        </w:rPr>
        <w:t>子响应文</w:t>
      </w:r>
      <w:r>
        <w:rPr>
          <w:rFonts w:hint="eastAsia"/>
          <w:color w:val="auto"/>
          <w:spacing w:val="-2"/>
          <w:kern w:val="0"/>
        </w:rPr>
        <w:t>件</w:t>
      </w:r>
      <w:r>
        <w:rPr>
          <w:rFonts w:hint="eastAsia"/>
          <w:color w:val="auto"/>
          <w:kern w:val="0"/>
        </w:rPr>
        <w:t>上</w:t>
      </w:r>
      <w:r>
        <w:rPr>
          <w:rFonts w:hint="eastAsia"/>
          <w:color w:val="auto"/>
          <w:spacing w:val="-2"/>
          <w:kern w:val="0"/>
        </w:rPr>
        <w:t>传</w:t>
      </w:r>
      <w:r>
        <w:rPr>
          <w:rFonts w:hint="eastAsia"/>
          <w:color w:val="auto"/>
          <w:kern w:val="0"/>
        </w:rPr>
        <w:t>后</w:t>
      </w:r>
      <w:r>
        <w:rPr>
          <w:rFonts w:hint="eastAsia"/>
          <w:color w:val="auto"/>
          <w:spacing w:val="-5"/>
          <w:kern w:val="0"/>
        </w:rPr>
        <w:t>，</w:t>
      </w:r>
      <w:r>
        <w:rPr>
          <w:rFonts w:hint="eastAsia"/>
          <w:color w:val="auto"/>
          <w:kern w:val="0"/>
        </w:rPr>
        <w:t>全国公共资源交易平台（河南省·平顶山市）</w:t>
      </w:r>
      <w:r>
        <w:rPr>
          <w:rFonts w:hint="eastAsia"/>
          <w:color w:val="auto"/>
          <w:spacing w:val="-2"/>
          <w:kern w:val="0"/>
        </w:rPr>
        <w:t>即</w:t>
      </w:r>
      <w:r>
        <w:rPr>
          <w:rFonts w:hint="eastAsia"/>
          <w:color w:val="auto"/>
          <w:kern w:val="0"/>
        </w:rPr>
        <w:t>时</w:t>
      </w:r>
      <w:r>
        <w:rPr>
          <w:rFonts w:hint="eastAsia"/>
          <w:color w:val="auto"/>
          <w:spacing w:val="-2"/>
          <w:kern w:val="0"/>
        </w:rPr>
        <w:t>向</w:t>
      </w:r>
      <w:r>
        <w:rPr>
          <w:rFonts w:hint="eastAsia"/>
          <w:color w:val="auto"/>
          <w:kern w:val="0"/>
        </w:rPr>
        <w:t>供应商发</w:t>
      </w:r>
      <w:r>
        <w:rPr>
          <w:rFonts w:hint="eastAsia"/>
          <w:color w:val="auto"/>
          <w:spacing w:val="-2"/>
          <w:kern w:val="0"/>
        </w:rPr>
        <w:t>出</w:t>
      </w:r>
      <w:r>
        <w:rPr>
          <w:rFonts w:hint="eastAsia"/>
          <w:color w:val="auto"/>
          <w:kern w:val="0"/>
        </w:rPr>
        <w:t>递交回</w:t>
      </w:r>
      <w:r>
        <w:rPr>
          <w:rFonts w:hint="eastAsia"/>
          <w:color w:val="auto"/>
          <w:spacing w:val="-2"/>
          <w:kern w:val="0"/>
        </w:rPr>
        <w:t>执</w:t>
      </w:r>
      <w:r>
        <w:rPr>
          <w:rFonts w:hint="eastAsia"/>
          <w:color w:val="auto"/>
          <w:kern w:val="0"/>
        </w:rPr>
        <w:t>通</w:t>
      </w:r>
      <w:r>
        <w:rPr>
          <w:rFonts w:hint="eastAsia"/>
          <w:color w:val="auto"/>
          <w:spacing w:val="-3"/>
          <w:kern w:val="0"/>
        </w:rPr>
        <w:t>知</w:t>
      </w:r>
      <w:r>
        <w:rPr>
          <w:rFonts w:hint="eastAsia"/>
          <w:color w:val="auto"/>
          <w:kern w:val="0"/>
        </w:rPr>
        <w:t>。</w:t>
      </w:r>
      <w:r>
        <w:rPr>
          <w:rFonts w:hint="eastAsia"/>
          <w:color w:val="auto"/>
          <w:spacing w:val="-2"/>
          <w:kern w:val="0"/>
        </w:rPr>
        <w:t>递</w:t>
      </w:r>
      <w:r>
        <w:rPr>
          <w:rFonts w:hint="eastAsia"/>
          <w:color w:val="auto"/>
          <w:kern w:val="0"/>
        </w:rPr>
        <w:t>交</w:t>
      </w:r>
      <w:r>
        <w:rPr>
          <w:rFonts w:hint="eastAsia"/>
          <w:color w:val="auto"/>
          <w:spacing w:val="-2"/>
          <w:kern w:val="0"/>
        </w:rPr>
        <w:t>时</w:t>
      </w:r>
      <w:r>
        <w:rPr>
          <w:rFonts w:hint="eastAsia"/>
          <w:color w:val="auto"/>
          <w:kern w:val="0"/>
        </w:rPr>
        <w:t>间</w:t>
      </w:r>
      <w:r>
        <w:rPr>
          <w:rFonts w:hint="eastAsia"/>
          <w:color w:val="auto"/>
          <w:spacing w:val="-2"/>
          <w:kern w:val="0"/>
        </w:rPr>
        <w:t>以</w:t>
      </w:r>
      <w:r>
        <w:rPr>
          <w:rFonts w:hint="eastAsia"/>
          <w:color w:val="auto"/>
          <w:kern w:val="0"/>
        </w:rPr>
        <w:t>递交</w:t>
      </w:r>
      <w:r>
        <w:rPr>
          <w:rFonts w:hint="eastAsia"/>
          <w:color w:val="auto"/>
          <w:spacing w:val="-2"/>
          <w:kern w:val="0"/>
        </w:rPr>
        <w:t>回</w:t>
      </w:r>
      <w:r>
        <w:rPr>
          <w:rFonts w:hint="eastAsia"/>
          <w:color w:val="auto"/>
          <w:kern w:val="0"/>
        </w:rPr>
        <w:t>执</w:t>
      </w:r>
      <w:r>
        <w:rPr>
          <w:rFonts w:hint="eastAsia"/>
          <w:color w:val="auto"/>
          <w:spacing w:val="-2"/>
          <w:kern w:val="0"/>
        </w:rPr>
        <w:t>通</w:t>
      </w:r>
      <w:r>
        <w:rPr>
          <w:rFonts w:hint="eastAsia"/>
          <w:color w:val="auto"/>
          <w:kern w:val="0"/>
        </w:rPr>
        <w:t>知</w:t>
      </w:r>
      <w:r>
        <w:rPr>
          <w:rFonts w:hint="eastAsia"/>
          <w:color w:val="auto"/>
          <w:spacing w:val="-2"/>
          <w:kern w:val="0"/>
        </w:rPr>
        <w:t>载</w:t>
      </w:r>
      <w:r>
        <w:rPr>
          <w:rFonts w:hint="eastAsia"/>
          <w:color w:val="auto"/>
          <w:kern w:val="0"/>
        </w:rPr>
        <w:t>明</w:t>
      </w:r>
      <w:r>
        <w:rPr>
          <w:rFonts w:hint="eastAsia"/>
          <w:color w:val="auto"/>
          <w:spacing w:val="-2"/>
          <w:kern w:val="0"/>
        </w:rPr>
        <w:t>的</w:t>
      </w:r>
      <w:r>
        <w:rPr>
          <w:rFonts w:hint="eastAsia"/>
          <w:color w:val="auto"/>
          <w:kern w:val="0"/>
        </w:rPr>
        <w:t>传</w:t>
      </w:r>
      <w:r>
        <w:rPr>
          <w:rFonts w:hint="eastAsia"/>
          <w:color w:val="auto"/>
          <w:spacing w:val="-2"/>
          <w:kern w:val="0"/>
        </w:rPr>
        <w:t>输</w:t>
      </w:r>
      <w:r>
        <w:rPr>
          <w:rFonts w:hint="eastAsia"/>
          <w:color w:val="auto"/>
          <w:kern w:val="0"/>
        </w:rPr>
        <w:t>完成</w:t>
      </w:r>
      <w:r>
        <w:rPr>
          <w:rFonts w:hint="eastAsia"/>
          <w:color w:val="auto"/>
          <w:spacing w:val="-2"/>
          <w:kern w:val="0"/>
        </w:rPr>
        <w:t>时</w:t>
      </w:r>
      <w:r>
        <w:rPr>
          <w:rFonts w:hint="eastAsia"/>
          <w:color w:val="auto"/>
          <w:kern w:val="0"/>
        </w:rPr>
        <w:t>间</w:t>
      </w:r>
      <w:r>
        <w:rPr>
          <w:rFonts w:hint="eastAsia"/>
          <w:color w:val="auto"/>
          <w:spacing w:val="-2"/>
          <w:kern w:val="0"/>
        </w:rPr>
        <w:t>为</w:t>
      </w:r>
      <w:r>
        <w:rPr>
          <w:rFonts w:hint="eastAsia"/>
          <w:color w:val="auto"/>
          <w:kern w:val="0"/>
        </w:rPr>
        <w:t>准。</w:t>
      </w:r>
    </w:p>
    <w:p w14:paraId="3799AAE1">
      <w:pPr>
        <w:wordWrap/>
        <w:topLinePunct w:val="0"/>
        <w:autoSpaceDE w:val="0"/>
        <w:autoSpaceDN w:val="0"/>
        <w:adjustRightInd w:val="0"/>
        <w:spacing w:line="360" w:lineRule="auto"/>
        <w:ind w:right="-20" w:firstLine="420" w:firstLineChars="200"/>
        <w:jc w:val="left"/>
        <w:rPr>
          <w:color w:val="auto"/>
          <w:kern w:val="0"/>
        </w:rPr>
      </w:pPr>
      <w:r>
        <w:rPr>
          <w:rFonts w:hint="eastAsia" w:cs="黑体"/>
          <w:color w:val="auto"/>
        </w:rPr>
        <w:t xml:space="preserve">4.2.5 </w:t>
      </w:r>
      <w:r>
        <w:rPr>
          <w:rFonts w:hint="eastAsia"/>
          <w:color w:val="auto"/>
          <w:spacing w:val="-2"/>
          <w:kern w:val="0"/>
        </w:rPr>
        <w:t>逾</w:t>
      </w:r>
      <w:r>
        <w:rPr>
          <w:rFonts w:hint="eastAsia"/>
          <w:color w:val="auto"/>
          <w:kern w:val="0"/>
        </w:rPr>
        <w:t>期</w:t>
      </w:r>
      <w:r>
        <w:rPr>
          <w:rFonts w:hint="eastAsia"/>
          <w:color w:val="auto"/>
          <w:spacing w:val="-2"/>
          <w:kern w:val="0"/>
        </w:rPr>
        <w:t>送</w:t>
      </w:r>
      <w:r>
        <w:rPr>
          <w:rFonts w:hint="eastAsia"/>
          <w:color w:val="auto"/>
          <w:kern w:val="0"/>
        </w:rPr>
        <w:t>达</w:t>
      </w:r>
      <w:r>
        <w:rPr>
          <w:rFonts w:hint="eastAsia"/>
          <w:color w:val="auto"/>
          <w:spacing w:val="-2"/>
          <w:kern w:val="0"/>
        </w:rPr>
        <w:t>的响应</w:t>
      </w:r>
      <w:r>
        <w:rPr>
          <w:rFonts w:hint="eastAsia"/>
          <w:color w:val="auto"/>
          <w:kern w:val="0"/>
        </w:rPr>
        <w:t>文</w:t>
      </w:r>
      <w:r>
        <w:rPr>
          <w:rFonts w:hint="eastAsia"/>
          <w:color w:val="auto"/>
          <w:spacing w:val="-2"/>
          <w:kern w:val="0"/>
        </w:rPr>
        <w:t>件</w:t>
      </w:r>
      <w:r>
        <w:rPr>
          <w:rFonts w:hint="eastAsia"/>
          <w:color w:val="auto"/>
          <w:kern w:val="0"/>
        </w:rPr>
        <w:t>，全国公共资源交易平台（河南省·平顶山市）将</w:t>
      </w:r>
      <w:r>
        <w:rPr>
          <w:rFonts w:hint="eastAsia"/>
          <w:color w:val="auto"/>
          <w:spacing w:val="-2"/>
          <w:kern w:val="0"/>
        </w:rPr>
        <w:t>予</w:t>
      </w:r>
      <w:r>
        <w:rPr>
          <w:rFonts w:hint="eastAsia"/>
          <w:color w:val="auto"/>
          <w:kern w:val="0"/>
        </w:rPr>
        <w:t>以</w:t>
      </w:r>
      <w:r>
        <w:rPr>
          <w:rFonts w:hint="eastAsia"/>
          <w:color w:val="auto"/>
          <w:spacing w:val="-2"/>
          <w:kern w:val="0"/>
        </w:rPr>
        <w:t>拒</w:t>
      </w:r>
      <w:r>
        <w:rPr>
          <w:rFonts w:hint="eastAsia"/>
          <w:color w:val="auto"/>
          <w:kern w:val="0"/>
        </w:rPr>
        <w:t>收。</w:t>
      </w:r>
    </w:p>
    <w:p w14:paraId="72F36DD4">
      <w:pPr>
        <w:pStyle w:val="4"/>
        <w:numPr>
          <w:ilvl w:val="1"/>
          <w:numId w:val="2"/>
        </w:numPr>
        <w:jc w:val="left"/>
        <w:rPr>
          <w:rFonts w:ascii="Times New Roman" w:hAnsi="Times New Roman"/>
          <w:bCs w:val="0"/>
          <w:color w:val="auto"/>
          <w:szCs w:val="20"/>
        </w:rPr>
      </w:pPr>
      <w:bookmarkStart w:id="398" w:name="_Toc29623310"/>
      <w:bookmarkStart w:id="399" w:name="_Toc27753961"/>
      <w:r>
        <w:rPr>
          <w:rFonts w:hint="eastAsia" w:ascii="Times New Roman" w:hAnsi="Times New Roman"/>
          <w:bCs w:val="0"/>
          <w:color w:val="auto"/>
          <w:szCs w:val="20"/>
        </w:rPr>
        <w:t>磋商响应文件的补充、修改与撤回</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43D1FB27">
      <w:pPr>
        <w:numPr>
          <w:ilvl w:val="2"/>
          <w:numId w:val="2"/>
        </w:numPr>
        <w:wordWrap/>
        <w:topLinePunct w:val="0"/>
        <w:spacing w:line="360" w:lineRule="auto"/>
        <w:ind w:firstLine="420" w:firstLineChars="200"/>
        <w:rPr>
          <w:rFonts w:cs="黑体"/>
          <w:color w:val="auto"/>
        </w:rPr>
      </w:pPr>
      <w:bookmarkStart w:id="400" w:name="_Toc270604601"/>
      <w:bookmarkStart w:id="401" w:name="_Toc5513"/>
      <w:r>
        <w:rPr>
          <w:rFonts w:hint="eastAsia" w:cs="黑体"/>
          <w:color w:val="auto"/>
        </w:rPr>
        <w:t>在本章第4.2.1项规定的递交首次磋商截止时间前，供应商可以补充、修改或撤回已递交的磋商响应文件，但应以书面形式通知采购人、采购代理机构。</w:t>
      </w:r>
    </w:p>
    <w:p w14:paraId="4BBF2ED8">
      <w:pPr>
        <w:snapToGrid w:val="0"/>
        <w:spacing w:line="360" w:lineRule="auto"/>
        <w:ind w:firstLine="420" w:firstLineChars="200"/>
        <w:contextualSpacing/>
        <w:rPr>
          <w:color w:val="auto"/>
        </w:rPr>
      </w:pPr>
      <w:r>
        <w:rPr>
          <w:rFonts w:hint="eastAsia" w:cs="黑体"/>
          <w:color w:val="auto"/>
        </w:rPr>
        <w:t>4.3.2</w:t>
      </w:r>
      <w:r>
        <w:rPr>
          <w:rFonts w:hint="eastAsia"/>
          <w:color w:val="auto"/>
        </w:rPr>
        <w:t>供应商补充、修改或撤回已递交响应文件的通知，应按照本章第 3.5.3项的要求加盖电子印章。电子招标投标交易平台收到通知后，即时向供应商发出确认回执通知。</w:t>
      </w:r>
    </w:p>
    <w:p w14:paraId="0C418DEC">
      <w:pPr>
        <w:numPr>
          <w:ilvl w:val="2"/>
          <w:numId w:val="2"/>
        </w:numPr>
        <w:wordWrap/>
        <w:topLinePunct w:val="0"/>
        <w:spacing w:line="360" w:lineRule="auto"/>
        <w:ind w:firstLine="420" w:firstLineChars="200"/>
        <w:rPr>
          <w:rFonts w:cs="黑体"/>
          <w:color w:val="auto"/>
        </w:rPr>
      </w:pPr>
      <w:r>
        <w:rPr>
          <w:rFonts w:hint="eastAsia" w:cs="黑体"/>
          <w:color w:val="auto"/>
        </w:rPr>
        <w:t>补充、修改的内容为磋商响应文件的组成部分。补充、修改的内容与响应文件不一致的，以补充、修改的内容为准。修改的磋商响应文件应按照本章规定进行编制、密封、标记和递交，并标明“修改”字样。</w:t>
      </w:r>
    </w:p>
    <w:p w14:paraId="2DE3236D">
      <w:pPr>
        <w:pStyle w:val="30"/>
        <w:rPr>
          <w:rFonts w:hint="eastAsia" w:cs="黑体"/>
          <w:color w:val="auto"/>
        </w:rPr>
      </w:pPr>
    </w:p>
    <w:p w14:paraId="139941DB">
      <w:pPr>
        <w:pStyle w:val="30"/>
        <w:rPr>
          <w:rFonts w:hint="eastAsia" w:cs="黑体"/>
          <w:color w:val="auto"/>
        </w:rPr>
      </w:pPr>
    </w:p>
    <w:p w14:paraId="080ED4DF">
      <w:pPr>
        <w:pStyle w:val="30"/>
        <w:rPr>
          <w:rFonts w:hint="eastAsia" w:cs="黑体"/>
          <w:color w:val="auto"/>
        </w:rPr>
      </w:pPr>
    </w:p>
    <w:p w14:paraId="0A57AF80">
      <w:pPr>
        <w:pStyle w:val="30"/>
        <w:rPr>
          <w:rFonts w:hint="eastAsia" w:cs="黑体"/>
          <w:color w:val="auto"/>
        </w:rPr>
      </w:pPr>
    </w:p>
    <w:p w14:paraId="73C2BBA6">
      <w:pPr>
        <w:pStyle w:val="30"/>
        <w:rPr>
          <w:rFonts w:hint="eastAsia" w:cs="黑体"/>
          <w:color w:val="auto"/>
        </w:rPr>
      </w:pPr>
    </w:p>
    <w:p w14:paraId="47F354FF">
      <w:pPr>
        <w:pStyle w:val="30"/>
        <w:rPr>
          <w:rFonts w:hint="eastAsia" w:cs="黑体"/>
          <w:color w:val="auto"/>
        </w:rPr>
      </w:pPr>
    </w:p>
    <w:p w14:paraId="54ABE91B">
      <w:pPr>
        <w:pStyle w:val="30"/>
        <w:rPr>
          <w:rFonts w:hint="eastAsia" w:cs="黑体"/>
          <w:color w:val="auto"/>
        </w:rPr>
      </w:pPr>
    </w:p>
    <w:p w14:paraId="60A70BF2">
      <w:pPr>
        <w:pStyle w:val="30"/>
        <w:rPr>
          <w:rFonts w:hint="eastAsia" w:cs="黑体"/>
          <w:color w:val="auto"/>
        </w:rPr>
      </w:pPr>
    </w:p>
    <w:p w14:paraId="65E9DEA9">
      <w:pPr>
        <w:pStyle w:val="30"/>
        <w:rPr>
          <w:rFonts w:hint="eastAsia" w:cs="黑体"/>
          <w:color w:val="auto"/>
        </w:rPr>
      </w:pPr>
    </w:p>
    <w:p w14:paraId="5FE6F4C9">
      <w:pPr>
        <w:pStyle w:val="30"/>
        <w:rPr>
          <w:rFonts w:hint="eastAsia" w:cs="黑体"/>
          <w:color w:val="auto"/>
        </w:rPr>
      </w:pPr>
    </w:p>
    <w:p w14:paraId="3F15468F">
      <w:pPr>
        <w:pStyle w:val="30"/>
        <w:rPr>
          <w:rFonts w:hint="eastAsia" w:cs="黑体"/>
          <w:color w:val="auto"/>
        </w:rPr>
      </w:pPr>
    </w:p>
    <w:p w14:paraId="61543370">
      <w:pPr>
        <w:pStyle w:val="30"/>
        <w:rPr>
          <w:rFonts w:hint="eastAsia" w:cs="黑体"/>
          <w:color w:val="auto"/>
        </w:rPr>
      </w:pPr>
    </w:p>
    <w:p w14:paraId="32A9B0C1">
      <w:pPr>
        <w:pStyle w:val="30"/>
        <w:rPr>
          <w:rFonts w:hint="eastAsia" w:cs="黑体"/>
          <w:color w:val="auto"/>
        </w:rPr>
      </w:pPr>
    </w:p>
    <w:p w14:paraId="0297E319">
      <w:pPr>
        <w:pStyle w:val="30"/>
        <w:numPr>
          <w:ilvl w:val="0"/>
          <w:numId w:val="2"/>
        </w:numPr>
        <w:tabs>
          <w:tab w:val="left" w:pos="360"/>
        </w:tabs>
        <w:snapToGrid w:val="0"/>
        <w:spacing w:line="360" w:lineRule="auto"/>
        <w:ind w:firstLine="883"/>
        <w:contextualSpacing/>
        <w:jc w:val="both"/>
        <w:outlineLvl w:val="1"/>
        <w:rPr>
          <w:rStyle w:val="31"/>
          <w:color w:val="auto"/>
        </w:rPr>
      </w:pPr>
      <w:r>
        <w:rPr>
          <w:rStyle w:val="31"/>
          <w:rFonts w:hint="eastAsia"/>
          <w:color w:val="auto"/>
        </w:rPr>
        <w:t xml:space="preserve"> </w:t>
      </w:r>
      <w:bookmarkStart w:id="402" w:name="_Toc5800"/>
      <w:bookmarkStart w:id="403" w:name="_Toc29623311"/>
      <w:bookmarkStart w:id="404" w:name="_Toc3386"/>
      <w:bookmarkStart w:id="405" w:name="_Toc8171"/>
      <w:r>
        <w:rPr>
          <w:rStyle w:val="31"/>
          <w:rFonts w:hint="eastAsia"/>
          <w:color w:val="auto"/>
        </w:rPr>
        <w:t>竞争性</w:t>
      </w:r>
      <w:bookmarkEnd w:id="400"/>
      <w:r>
        <w:rPr>
          <w:rStyle w:val="31"/>
          <w:rFonts w:hint="eastAsia"/>
          <w:color w:val="auto"/>
        </w:rPr>
        <w:t>磋商</w:t>
      </w:r>
      <w:bookmarkEnd w:id="401"/>
      <w:bookmarkEnd w:id="402"/>
      <w:bookmarkEnd w:id="403"/>
      <w:bookmarkEnd w:id="404"/>
      <w:bookmarkEnd w:id="405"/>
    </w:p>
    <w:p w14:paraId="1B652E49">
      <w:pPr>
        <w:pStyle w:val="4"/>
        <w:jc w:val="left"/>
        <w:rPr>
          <w:rFonts w:ascii="Times New Roman" w:hAnsi="Times New Roman"/>
          <w:bCs w:val="0"/>
          <w:color w:val="auto"/>
          <w:szCs w:val="20"/>
        </w:rPr>
      </w:pPr>
      <w:bookmarkStart w:id="406" w:name="_Toc16126"/>
      <w:bookmarkStart w:id="407" w:name="_Toc27753963"/>
      <w:bookmarkStart w:id="408" w:name="_Toc29623312"/>
      <w:bookmarkStart w:id="409" w:name="_Toc8282"/>
      <w:bookmarkStart w:id="410" w:name="_Toc455678130"/>
      <w:bookmarkStart w:id="411" w:name="_Toc2705"/>
      <w:bookmarkStart w:id="412" w:name="_Toc14210"/>
      <w:bookmarkStart w:id="413" w:name="_Toc31993"/>
      <w:bookmarkStart w:id="414" w:name="_Toc462934304"/>
      <w:bookmarkStart w:id="415" w:name="_Toc463011283"/>
      <w:bookmarkStart w:id="416" w:name="_Toc269470330"/>
      <w:r>
        <w:rPr>
          <w:rFonts w:hint="eastAsia" w:ascii="Times New Roman" w:hAnsi="Times New Roman"/>
          <w:bCs w:val="0"/>
          <w:color w:val="auto"/>
          <w:szCs w:val="20"/>
        </w:rPr>
        <w:t>5.1开启时间和地点</w:t>
      </w:r>
      <w:bookmarkEnd w:id="406"/>
      <w:bookmarkEnd w:id="407"/>
      <w:bookmarkEnd w:id="408"/>
    </w:p>
    <w:p w14:paraId="038E3894">
      <w:pPr>
        <w:autoSpaceDE w:val="0"/>
        <w:autoSpaceDN w:val="0"/>
        <w:adjustRightInd w:val="0"/>
        <w:snapToGrid w:val="0"/>
        <w:spacing w:line="360" w:lineRule="auto"/>
        <w:ind w:firstLine="420" w:firstLineChars="200"/>
        <w:contextualSpacing/>
        <w:jc w:val="left"/>
        <w:rPr>
          <w:color w:val="auto"/>
        </w:rPr>
      </w:pPr>
      <w:r>
        <w:rPr>
          <w:rFonts w:hint="eastAsia" w:cs="仿宋_GB2312"/>
          <w:color w:val="auto"/>
          <w:kern w:val="0"/>
        </w:rPr>
        <w:t>采购人在本章第</w:t>
      </w:r>
      <w:r>
        <w:rPr>
          <w:rFonts w:cs="TimesNewRomanPSMT"/>
          <w:color w:val="auto"/>
          <w:kern w:val="0"/>
        </w:rPr>
        <w:t>4.2.1</w:t>
      </w:r>
      <w:r>
        <w:rPr>
          <w:rFonts w:hint="eastAsia" w:cs="仿宋_GB2312"/>
          <w:color w:val="auto"/>
          <w:kern w:val="0"/>
        </w:rPr>
        <w:t>项规定的提交首次响应文件截止时间（开启时间）和供应商须知前附表规定的地点</w:t>
      </w:r>
      <w:r>
        <w:rPr>
          <w:rFonts w:hint="eastAsia"/>
          <w:color w:val="auto"/>
          <w:kern w:val="0"/>
        </w:rPr>
        <w:t>通</w:t>
      </w:r>
      <w:r>
        <w:rPr>
          <w:rFonts w:hint="eastAsia"/>
          <w:color w:val="auto"/>
          <w:spacing w:val="-2"/>
          <w:kern w:val="0"/>
        </w:rPr>
        <w:t>过</w:t>
      </w:r>
      <w:r>
        <w:rPr>
          <w:rFonts w:hint="eastAsia"/>
          <w:color w:val="auto"/>
          <w:kern w:val="0"/>
        </w:rPr>
        <w:t>全国公共资源交易平台（河南省·平顶山市）系统</w:t>
      </w:r>
      <w:r>
        <w:rPr>
          <w:rFonts w:hint="eastAsia" w:cs="仿宋_GB2312"/>
          <w:color w:val="auto"/>
          <w:kern w:val="0"/>
        </w:rPr>
        <w:t>进行竞争性磋商。</w:t>
      </w:r>
    </w:p>
    <w:p w14:paraId="4B48C1A8">
      <w:pPr>
        <w:pStyle w:val="4"/>
        <w:numPr>
          <w:ilvl w:val="1"/>
          <w:numId w:val="2"/>
        </w:numPr>
        <w:jc w:val="left"/>
        <w:rPr>
          <w:rFonts w:ascii="Times New Roman" w:hAnsi="Times New Roman"/>
          <w:bCs w:val="0"/>
          <w:color w:val="auto"/>
          <w:szCs w:val="20"/>
        </w:rPr>
      </w:pPr>
      <w:bookmarkStart w:id="417" w:name="_Toc21367"/>
      <w:bookmarkStart w:id="418" w:name="_Toc269470325"/>
      <w:bookmarkStart w:id="419" w:name="_Toc428351657"/>
      <w:bookmarkStart w:id="420" w:name="_Toc14109"/>
      <w:bookmarkStart w:id="421" w:name="_Toc454788037"/>
      <w:bookmarkStart w:id="422" w:name="_Toc463011282"/>
      <w:bookmarkStart w:id="423" w:name="_Toc270604830"/>
      <w:bookmarkStart w:id="424" w:name="_Toc455678129"/>
      <w:bookmarkStart w:id="425" w:name="_Toc462934303"/>
      <w:bookmarkStart w:id="426" w:name="_Toc428276597"/>
      <w:bookmarkStart w:id="427" w:name="_Toc29623313"/>
      <w:bookmarkStart w:id="428" w:name="_Toc277149392"/>
      <w:bookmarkStart w:id="429" w:name="_Toc12033"/>
      <w:bookmarkStart w:id="430" w:name="_Toc270604603"/>
      <w:bookmarkStart w:id="431" w:name="_Toc27753964"/>
      <w:r>
        <w:rPr>
          <w:rFonts w:hint="eastAsia" w:ascii="Times New Roman" w:hAnsi="Times New Roman"/>
          <w:bCs w:val="0"/>
          <w:color w:val="auto"/>
          <w:szCs w:val="20"/>
        </w:rPr>
        <w:t>磋商程序</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56DC5CE1">
      <w:pPr>
        <w:wordWrap/>
        <w:topLinePunct w:val="0"/>
        <w:adjustRightInd w:val="0"/>
        <w:snapToGrid w:val="0"/>
        <w:spacing w:line="360" w:lineRule="auto"/>
        <w:ind w:left="425"/>
        <w:rPr>
          <w:rFonts w:cs="黑体"/>
          <w:color w:val="auto"/>
        </w:rPr>
      </w:pPr>
      <w:bookmarkStart w:id="432" w:name="_Toc29623314"/>
      <w:bookmarkStart w:id="433" w:name="_Toc27753965"/>
      <w:r>
        <w:rPr>
          <w:rFonts w:hint="eastAsia"/>
          <w:color w:val="auto"/>
        </w:rPr>
        <w:t>详见《“不见面”开标注意事项及操作流程》</w:t>
      </w:r>
      <w:r>
        <w:rPr>
          <w:color w:val="auto"/>
        </w:rPr>
        <w:fldChar w:fldCharType="begin"/>
      </w:r>
      <w:r>
        <w:rPr>
          <w:color w:val="auto"/>
        </w:rPr>
        <w:instrText xml:space="preserve"> HYPERLINK "http://www.pdsggzy.com/tzgg/41494.jhtml" </w:instrText>
      </w:r>
      <w:r>
        <w:rPr>
          <w:color w:val="auto"/>
        </w:rPr>
        <w:fldChar w:fldCharType="separate"/>
      </w:r>
      <w:r>
        <w:rPr>
          <w:rStyle w:val="23"/>
          <w:color w:val="auto"/>
        </w:rPr>
        <w:t>http://www.pdsggzy.com/tzgg/41494.jhtml</w:t>
      </w:r>
      <w:r>
        <w:rPr>
          <w:rStyle w:val="23"/>
          <w:color w:val="auto"/>
        </w:rPr>
        <w:fldChar w:fldCharType="end"/>
      </w:r>
      <w:r>
        <w:rPr>
          <w:rFonts w:hint="eastAsia" w:cs="黑体"/>
          <w:color w:val="auto"/>
        </w:rPr>
        <w:t>。</w:t>
      </w:r>
    </w:p>
    <w:p w14:paraId="3F918B9B">
      <w:pPr>
        <w:pStyle w:val="4"/>
        <w:numPr>
          <w:ilvl w:val="1"/>
          <w:numId w:val="2"/>
        </w:numPr>
        <w:jc w:val="left"/>
        <w:rPr>
          <w:rFonts w:ascii="Times New Roman" w:hAnsi="Times New Roman"/>
          <w:bCs w:val="0"/>
          <w:color w:val="auto"/>
          <w:szCs w:val="20"/>
        </w:rPr>
      </w:pPr>
      <w:r>
        <w:rPr>
          <w:rFonts w:hint="eastAsia" w:ascii="Times New Roman" w:hAnsi="Times New Roman"/>
          <w:bCs w:val="0"/>
          <w:color w:val="auto"/>
          <w:szCs w:val="20"/>
        </w:rPr>
        <w:t>磋商</w:t>
      </w:r>
      <w:bookmarkEnd w:id="409"/>
      <w:bookmarkEnd w:id="410"/>
      <w:bookmarkEnd w:id="411"/>
      <w:bookmarkEnd w:id="412"/>
      <w:bookmarkEnd w:id="413"/>
      <w:bookmarkEnd w:id="414"/>
      <w:bookmarkEnd w:id="415"/>
      <w:bookmarkEnd w:id="432"/>
      <w:bookmarkEnd w:id="433"/>
    </w:p>
    <w:p w14:paraId="25C0EA78">
      <w:pPr>
        <w:numPr>
          <w:ilvl w:val="2"/>
          <w:numId w:val="2"/>
        </w:numPr>
        <w:wordWrap/>
        <w:topLinePunct w:val="0"/>
        <w:spacing w:line="360" w:lineRule="auto"/>
        <w:ind w:firstLine="420" w:firstLineChars="200"/>
        <w:rPr>
          <w:rFonts w:cs="黑体"/>
          <w:color w:val="auto"/>
        </w:rPr>
      </w:pPr>
      <w:r>
        <w:rPr>
          <w:rFonts w:hint="eastAsia" w:cs="黑体"/>
          <w:color w:val="auto"/>
        </w:rPr>
        <w:t>磋商小组</w:t>
      </w:r>
    </w:p>
    <w:p w14:paraId="6203FDC5">
      <w:pPr>
        <w:snapToGrid w:val="0"/>
        <w:spacing w:line="360" w:lineRule="auto"/>
        <w:ind w:firstLine="525" w:firstLineChars="250"/>
        <w:contextualSpacing/>
        <w:rPr>
          <w:color w:val="auto"/>
        </w:rPr>
      </w:pPr>
      <w:r>
        <w:rPr>
          <w:rFonts w:hint="eastAsia"/>
          <w:color w:val="auto"/>
        </w:rPr>
        <w:t>（1）磋商工作由磋商小组独立进行，磋商小组由采购人代表和评审专家组成，成员人数应该为</w:t>
      </w:r>
      <w:r>
        <w:rPr>
          <w:color w:val="auto"/>
        </w:rPr>
        <w:t>3人以上单数，其中技术、经济等方面的专家不少于总人数的2/3</w:t>
      </w:r>
      <w:r>
        <w:rPr>
          <w:rFonts w:hint="eastAsia"/>
          <w:color w:val="auto"/>
        </w:rPr>
        <w:t>。采购人代表不得以评审专家身份参加本部门或本单位采购项目的评审。采购代理机构人员不得参加本机构代理的采购项目的评审。</w:t>
      </w:r>
    </w:p>
    <w:p w14:paraId="48F4080F">
      <w:pPr>
        <w:snapToGrid w:val="0"/>
        <w:spacing w:line="360" w:lineRule="auto"/>
        <w:ind w:firstLine="420" w:firstLineChars="200"/>
        <w:contextualSpacing/>
        <w:rPr>
          <w:color w:val="auto"/>
        </w:rPr>
      </w:pPr>
      <w:r>
        <w:rPr>
          <w:rFonts w:hint="eastAsia"/>
          <w:color w:val="auto"/>
        </w:rPr>
        <w:t>（2</w:t>
      </w:r>
      <w:r>
        <w:rPr>
          <w:color w:val="auto"/>
        </w:rPr>
        <w:t>）</w:t>
      </w:r>
      <w:r>
        <w:rPr>
          <w:rFonts w:hint="eastAsia"/>
          <w:color w:val="auto"/>
        </w:rPr>
        <w:t>采用竞争性磋商方式的政府采购项目，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79222C4B">
      <w:pPr>
        <w:numPr>
          <w:ilvl w:val="2"/>
          <w:numId w:val="2"/>
        </w:numPr>
        <w:wordWrap/>
        <w:topLinePunct w:val="0"/>
        <w:spacing w:line="360" w:lineRule="auto"/>
        <w:ind w:firstLine="420" w:firstLineChars="200"/>
        <w:rPr>
          <w:rFonts w:cs="黑体"/>
          <w:color w:val="auto"/>
        </w:rPr>
      </w:pPr>
      <w:r>
        <w:rPr>
          <w:rFonts w:hint="eastAsia" w:cs="黑体"/>
          <w:color w:val="auto"/>
        </w:rPr>
        <w:t>磋商</w:t>
      </w:r>
    </w:p>
    <w:p w14:paraId="4F335A99">
      <w:pPr>
        <w:numPr>
          <w:ilvl w:val="0"/>
          <w:numId w:val="8"/>
        </w:numPr>
        <w:snapToGrid w:val="0"/>
        <w:spacing w:line="360" w:lineRule="auto"/>
        <w:ind w:left="0" w:firstLine="420" w:firstLineChars="200"/>
        <w:contextualSpacing/>
        <w:rPr>
          <w:color w:val="auto"/>
        </w:rPr>
      </w:pPr>
      <w:r>
        <w:rPr>
          <w:rFonts w:hint="eastAsia"/>
          <w:color w:val="auto"/>
        </w:rPr>
        <w:t>磋商小组成员应当按照客观、公正、审慎的原则，根据竞争性磋商文件第三章规定的评审程序、评审方法和评审标准进行独立评审。未实质性响应磋商文件的响应文件按无效响应处理，磋商小组应当告知提交响应文件的供应商。</w:t>
      </w:r>
    </w:p>
    <w:p w14:paraId="5FDFB9D1">
      <w:pPr>
        <w:numPr>
          <w:ilvl w:val="0"/>
          <w:numId w:val="8"/>
        </w:numPr>
        <w:snapToGrid w:val="0"/>
        <w:spacing w:line="360" w:lineRule="auto"/>
        <w:ind w:left="0" w:firstLine="420" w:firstLineChars="200"/>
        <w:contextualSpacing/>
        <w:rPr>
          <w:color w:val="auto"/>
        </w:rPr>
      </w:pPr>
      <w:r>
        <w:rPr>
          <w:rFonts w:hint="eastAsia"/>
          <w:color w:val="auto"/>
        </w:rPr>
        <w:t>竞争性磋商文件内容违反国家有关强制性规定的，磋商小组应当停止评审并向采购人或者采购代理机构说明情况。</w:t>
      </w:r>
    </w:p>
    <w:p w14:paraId="7F34A6DD">
      <w:pPr>
        <w:numPr>
          <w:ilvl w:val="2"/>
          <w:numId w:val="2"/>
        </w:numPr>
        <w:wordWrap/>
        <w:topLinePunct w:val="0"/>
        <w:spacing w:line="360" w:lineRule="auto"/>
        <w:ind w:firstLine="420" w:firstLineChars="200"/>
        <w:rPr>
          <w:rFonts w:cs="黑体"/>
          <w:color w:val="auto"/>
        </w:rPr>
      </w:pPr>
      <w:bookmarkStart w:id="434" w:name="_Toc90712538"/>
      <w:bookmarkStart w:id="435" w:name="_Toc90713357"/>
      <w:bookmarkStart w:id="436" w:name="_Toc109550798"/>
      <w:bookmarkStart w:id="437" w:name="_Toc109537522"/>
      <w:r>
        <w:rPr>
          <w:rFonts w:hint="eastAsia" w:cs="黑体"/>
          <w:color w:val="auto"/>
        </w:rPr>
        <w:t>评审报告</w:t>
      </w:r>
    </w:p>
    <w:p w14:paraId="02286343">
      <w:pPr>
        <w:snapToGrid w:val="0"/>
        <w:spacing w:line="360" w:lineRule="auto"/>
        <w:ind w:firstLine="420" w:firstLineChars="200"/>
        <w:contextualSpacing/>
        <w:rPr>
          <w:color w:val="auto"/>
        </w:rPr>
      </w:pPr>
      <w:r>
        <w:rPr>
          <w:rFonts w:hint="eastAsia"/>
          <w:color w:val="auto"/>
        </w:rPr>
        <w:t>磋商</w:t>
      </w:r>
      <w:r>
        <w:rPr>
          <w:color w:val="auto"/>
        </w:rPr>
        <w:t>小组应当根据评审记录和评审结果编写评审报告，其主要内容包括：</w:t>
      </w:r>
    </w:p>
    <w:p w14:paraId="0455D344">
      <w:pPr>
        <w:numPr>
          <w:ilvl w:val="0"/>
          <w:numId w:val="9"/>
        </w:numPr>
        <w:snapToGrid w:val="0"/>
        <w:spacing w:line="360" w:lineRule="auto"/>
        <w:ind w:left="0" w:firstLine="420" w:firstLineChars="200"/>
        <w:contextualSpacing/>
        <w:rPr>
          <w:color w:val="auto"/>
        </w:rPr>
      </w:pPr>
      <w:r>
        <w:rPr>
          <w:color w:val="auto"/>
        </w:rPr>
        <w:t>邀请供应商参加采购活动的具体方式和相关情况</w:t>
      </w:r>
      <w:r>
        <w:rPr>
          <w:rFonts w:hint="eastAsia"/>
          <w:color w:val="auto"/>
        </w:rPr>
        <w:t>；</w:t>
      </w:r>
    </w:p>
    <w:p w14:paraId="366A6BB1">
      <w:pPr>
        <w:numPr>
          <w:ilvl w:val="0"/>
          <w:numId w:val="9"/>
        </w:numPr>
        <w:snapToGrid w:val="0"/>
        <w:spacing w:line="360" w:lineRule="auto"/>
        <w:ind w:left="0" w:firstLine="420" w:firstLineChars="200"/>
        <w:contextualSpacing/>
        <w:rPr>
          <w:color w:val="auto"/>
        </w:rPr>
      </w:pPr>
      <w:r>
        <w:rPr>
          <w:color w:val="auto"/>
        </w:rPr>
        <w:t>响应文件开启日期和地点</w:t>
      </w:r>
      <w:r>
        <w:rPr>
          <w:rFonts w:hint="eastAsia"/>
          <w:color w:val="auto"/>
        </w:rPr>
        <w:t>；</w:t>
      </w:r>
    </w:p>
    <w:p w14:paraId="464CDCCE">
      <w:pPr>
        <w:numPr>
          <w:ilvl w:val="0"/>
          <w:numId w:val="9"/>
        </w:numPr>
        <w:snapToGrid w:val="0"/>
        <w:spacing w:line="360" w:lineRule="auto"/>
        <w:ind w:left="0" w:firstLine="420" w:firstLineChars="200"/>
        <w:contextualSpacing/>
        <w:rPr>
          <w:color w:val="auto"/>
        </w:rPr>
      </w:pPr>
      <w:r>
        <w:rPr>
          <w:color w:val="auto"/>
        </w:rPr>
        <w:t>获取竞争性磋商文件的供应商名单和磋商小组成员名单</w:t>
      </w:r>
      <w:r>
        <w:rPr>
          <w:rFonts w:hint="eastAsia"/>
          <w:color w:val="auto"/>
        </w:rPr>
        <w:t>；</w:t>
      </w:r>
    </w:p>
    <w:p w14:paraId="6937E212">
      <w:pPr>
        <w:numPr>
          <w:ilvl w:val="0"/>
          <w:numId w:val="9"/>
        </w:numPr>
        <w:snapToGrid w:val="0"/>
        <w:spacing w:line="360" w:lineRule="auto"/>
        <w:ind w:left="0" w:firstLine="420" w:firstLineChars="200"/>
        <w:contextualSpacing/>
        <w:rPr>
          <w:color w:val="auto"/>
        </w:rPr>
      </w:pPr>
      <w:r>
        <w:rPr>
          <w:color w:val="auto"/>
        </w:rPr>
        <w:t>评审情况记录和说明，包括对供应商的资格审查情况、供应商响应文件评审情况、磋商情况、报价情况等</w:t>
      </w:r>
      <w:r>
        <w:rPr>
          <w:rFonts w:hint="eastAsia"/>
          <w:color w:val="auto"/>
        </w:rPr>
        <w:t>；</w:t>
      </w:r>
    </w:p>
    <w:p w14:paraId="569B4EE8">
      <w:pPr>
        <w:numPr>
          <w:ilvl w:val="0"/>
          <w:numId w:val="9"/>
        </w:numPr>
        <w:snapToGrid w:val="0"/>
        <w:spacing w:line="360" w:lineRule="auto"/>
        <w:ind w:left="0" w:firstLine="420" w:firstLineChars="200"/>
        <w:contextualSpacing/>
        <w:rPr>
          <w:color w:val="auto"/>
        </w:rPr>
      </w:pPr>
      <w:r>
        <w:rPr>
          <w:color w:val="auto"/>
        </w:rPr>
        <w:t>提出的成交候选供应商的排序名单及理由。</w:t>
      </w:r>
    </w:p>
    <w:p w14:paraId="5B77822A">
      <w:pPr>
        <w:snapToGrid w:val="0"/>
        <w:spacing w:line="360" w:lineRule="auto"/>
        <w:ind w:firstLine="420" w:firstLineChars="200"/>
        <w:contextualSpacing/>
        <w:rPr>
          <w:color w:val="auto"/>
        </w:rPr>
      </w:pPr>
      <w:r>
        <w:rPr>
          <w:color w:val="auto"/>
        </w:rPr>
        <w:t>评审报告应当由</w:t>
      </w:r>
      <w:r>
        <w:rPr>
          <w:rFonts w:hint="eastAsia"/>
          <w:color w:val="auto"/>
        </w:rPr>
        <w:t>磋商</w:t>
      </w:r>
      <w:r>
        <w:rPr>
          <w:color w:val="auto"/>
        </w:rPr>
        <w:t>小组全体人员签字认可。</w:t>
      </w:r>
      <w:r>
        <w:rPr>
          <w:rFonts w:hint="eastAsia"/>
          <w:color w:val="auto"/>
        </w:rPr>
        <w:t>磋商</w:t>
      </w:r>
      <w:r>
        <w:rPr>
          <w:color w:val="auto"/>
        </w:rPr>
        <w:t>小组成员对评审报告有异议的，</w:t>
      </w:r>
      <w:r>
        <w:rPr>
          <w:rFonts w:hint="eastAsia"/>
          <w:color w:val="auto"/>
        </w:rPr>
        <w:t>磋商</w:t>
      </w:r>
      <w:r>
        <w:rPr>
          <w:color w:val="auto"/>
        </w:rPr>
        <w:t>小组按照少数服从多数的原则推荐成交候选人，采购程序继续进行。对评审报告有异议的</w:t>
      </w:r>
      <w:r>
        <w:rPr>
          <w:rFonts w:hint="eastAsia"/>
          <w:color w:val="auto"/>
        </w:rPr>
        <w:t>磋商</w:t>
      </w:r>
      <w:r>
        <w:rPr>
          <w:color w:val="auto"/>
        </w:rPr>
        <w:t>小组成员，应当在报告上签署不同意见并说明理由，由</w:t>
      </w:r>
      <w:r>
        <w:rPr>
          <w:rFonts w:hint="eastAsia"/>
          <w:color w:val="auto"/>
        </w:rPr>
        <w:t>磋商</w:t>
      </w:r>
      <w:r>
        <w:rPr>
          <w:color w:val="auto"/>
        </w:rPr>
        <w:t>小组书面记录相关情况。</w:t>
      </w:r>
      <w:r>
        <w:rPr>
          <w:rFonts w:hint="eastAsia"/>
          <w:color w:val="auto"/>
        </w:rPr>
        <w:t>磋商</w:t>
      </w:r>
      <w:r>
        <w:rPr>
          <w:color w:val="auto"/>
        </w:rPr>
        <w:t>小组成员拒绝在报告上签字又不书面说明其不同意见和理由的，视为同意评审报告。</w:t>
      </w:r>
    </w:p>
    <w:p w14:paraId="255C655B">
      <w:pPr>
        <w:snapToGrid w:val="0"/>
        <w:spacing w:line="360" w:lineRule="auto"/>
        <w:ind w:firstLine="420" w:firstLineChars="200"/>
        <w:contextualSpacing/>
        <w:rPr>
          <w:color w:val="auto"/>
        </w:rPr>
      </w:pPr>
      <w:r>
        <w:rPr>
          <w:rFonts w:hint="eastAsia"/>
          <w:color w:val="auto"/>
        </w:rPr>
        <w:t>评审完成后，磋商小组应当向采购人提交书面评审报告和成交候选人名单。磋商小组推荐成交候选人的人数见供应商须知前附表。</w:t>
      </w:r>
    </w:p>
    <w:p w14:paraId="2F103637">
      <w:pPr>
        <w:pStyle w:val="4"/>
        <w:numPr>
          <w:ilvl w:val="1"/>
          <w:numId w:val="2"/>
        </w:numPr>
        <w:jc w:val="left"/>
        <w:rPr>
          <w:rFonts w:ascii="Times New Roman" w:hAnsi="Times New Roman"/>
          <w:bCs w:val="0"/>
          <w:color w:val="auto"/>
          <w:szCs w:val="20"/>
        </w:rPr>
      </w:pPr>
      <w:bookmarkStart w:id="438" w:name="_Toc21137"/>
      <w:bookmarkStart w:id="439" w:name="_Toc428276599"/>
      <w:bookmarkStart w:id="440" w:name="_Toc428351659"/>
      <w:bookmarkStart w:id="441" w:name="_Toc7481"/>
      <w:bookmarkStart w:id="442" w:name="_Toc27753966"/>
      <w:bookmarkStart w:id="443" w:name="_Toc29623315"/>
      <w:bookmarkStart w:id="444" w:name="_Toc454788039"/>
      <w:bookmarkStart w:id="445" w:name="_Toc462934305"/>
      <w:bookmarkStart w:id="446" w:name="_Toc463011284"/>
      <w:bookmarkStart w:id="447" w:name="_Toc19623"/>
      <w:bookmarkStart w:id="448" w:name="_Toc26984"/>
      <w:bookmarkStart w:id="449" w:name="_Toc455678131"/>
      <w:bookmarkStart w:id="450" w:name="_Toc422126473"/>
      <w:r>
        <w:rPr>
          <w:rFonts w:hint="eastAsia" w:ascii="Times New Roman" w:hAnsi="Times New Roman"/>
          <w:bCs w:val="0"/>
          <w:color w:val="auto"/>
          <w:szCs w:val="20"/>
        </w:rPr>
        <w:t>磋商过程的保密性</w:t>
      </w:r>
      <w:bookmarkEnd w:id="438"/>
      <w:bookmarkEnd w:id="439"/>
      <w:bookmarkEnd w:id="440"/>
      <w:bookmarkEnd w:id="441"/>
      <w:bookmarkEnd w:id="442"/>
      <w:bookmarkEnd w:id="443"/>
      <w:bookmarkEnd w:id="444"/>
      <w:bookmarkEnd w:id="445"/>
      <w:bookmarkEnd w:id="446"/>
      <w:bookmarkEnd w:id="447"/>
      <w:bookmarkEnd w:id="448"/>
      <w:bookmarkEnd w:id="449"/>
      <w:bookmarkEnd w:id="450"/>
    </w:p>
    <w:p w14:paraId="18C7E0AA">
      <w:pPr>
        <w:numPr>
          <w:ilvl w:val="2"/>
          <w:numId w:val="2"/>
        </w:numPr>
        <w:wordWrap/>
        <w:topLinePunct w:val="0"/>
        <w:spacing w:line="360" w:lineRule="auto"/>
        <w:ind w:firstLine="420" w:firstLineChars="200"/>
        <w:rPr>
          <w:rFonts w:cs="黑体"/>
          <w:color w:val="auto"/>
        </w:rPr>
      </w:pPr>
      <w:r>
        <w:rPr>
          <w:rFonts w:hint="eastAsia" w:cs="黑体"/>
          <w:color w:val="auto"/>
        </w:rPr>
        <w:t>磋商期间，直到授予成交供应商合同止，凡是与磋商响应文件审查、澄清、评价、比较以及推荐成交供应商等方面的情况，均不得向供应商或其他无关的人员透露。</w:t>
      </w:r>
    </w:p>
    <w:p w14:paraId="73DDC7B8">
      <w:pPr>
        <w:numPr>
          <w:ilvl w:val="2"/>
          <w:numId w:val="2"/>
        </w:numPr>
        <w:wordWrap/>
        <w:topLinePunct w:val="0"/>
        <w:spacing w:line="360" w:lineRule="auto"/>
        <w:ind w:firstLine="420" w:firstLineChars="200"/>
        <w:rPr>
          <w:rFonts w:cs="黑体"/>
          <w:color w:val="auto"/>
        </w:rPr>
      </w:pPr>
      <w:r>
        <w:rPr>
          <w:rFonts w:hint="eastAsia" w:cs="黑体"/>
          <w:color w:val="auto"/>
        </w:rPr>
        <w:t>在磋商过程中，供应商如向磋商小组成员施加任何影响，都将会导致其磋商被拒绝，政府采购监管部门将记录其不良行为。</w:t>
      </w:r>
    </w:p>
    <w:p w14:paraId="2B42E342">
      <w:pPr>
        <w:pStyle w:val="4"/>
        <w:numPr>
          <w:ilvl w:val="1"/>
          <w:numId w:val="2"/>
        </w:numPr>
        <w:jc w:val="left"/>
        <w:rPr>
          <w:rFonts w:ascii="Times New Roman" w:hAnsi="Times New Roman"/>
          <w:bCs w:val="0"/>
          <w:color w:val="auto"/>
          <w:szCs w:val="20"/>
        </w:rPr>
      </w:pPr>
      <w:bookmarkStart w:id="451" w:name="_Toc21281"/>
      <w:bookmarkStart w:id="452" w:name="_Toc463011285"/>
      <w:bookmarkStart w:id="453" w:name="_Toc455678132"/>
      <w:bookmarkStart w:id="454" w:name="_Toc13834"/>
      <w:bookmarkStart w:id="455" w:name="_Toc27753967"/>
      <w:bookmarkStart w:id="456" w:name="_Toc29623316"/>
      <w:bookmarkStart w:id="457" w:name="_Toc8228"/>
      <w:bookmarkStart w:id="458" w:name="_Toc5212"/>
      <w:bookmarkStart w:id="459" w:name="_Toc462934306"/>
      <w:r>
        <w:rPr>
          <w:rFonts w:hint="eastAsia" w:ascii="Times New Roman" w:hAnsi="Times New Roman"/>
          <w:bCs w:val="0"/>
          <w:color w:val="auto"/>
          <w:szCs w:val="20"/>
        </w:rPr>
        <w:t>终止竞争性磋商采购活动</w:t>
      </w:r>
      <w:bookmarkEnd w:id="451"/>
      <w:bookmarkEnd w:id="452"/>
      <w:bookmarkEnd w:id="453"/>
      <w:bookmarkEnd w:id="454"/>
      <w:bookmarkEnd w:id="455"/>
      <w:bookmarkEnd w:id="456"/>
      <w:bookmarkEnd w:id="457"/>
      <w:bookmarkEnd w:id="458"/>
      <w:bookmarkEnd w:id="459"/>
    </w:p>
    <w:p w14:paraId="7009E152">
      <w:pPr>
        <w:pStyle w:val="5"/>
        <w:snapToGrid w:val="0"/>
        <w:spacing w:line="360" w:lineRule="auto"/>
        <w:contextualSpacing/>
        <w:rPr>
          <w:rFonts w:cs="黑体"/>
          <w:color w:val="auto"/>
          <w:szCs w:val="21"/>
        </w:rPr>
      </w:pPr>
      <w:r>
        <w:rPr>
          <w:rFonts w:hint="eastAsia" w:cs="黑体"/>
          <w:color w:val="auto"/>
          <w:szCs w:val="21"/>
        </w:rPr>
        <w:t>出现下列情形之一的，采购人或者采购代理机构应当终止竞争性磋商采购活动，发布项目终止公告并说明原因，重新开展采购活动：</w:t>
      </w:r>
    </w:p>
    <w:p w14:paraId="23DF38F5">
      <w:pPr>
        <w:numPr>
          <w:ilvl w:val="0"/>
          <w:numId w:val="10"/>
        </w:numPr>
        <w:snapToGrid w:val="0"/>
        <w:spacing w:line="360" w:lineRule="auto"/>
        <w:ind w:left="0" w:firstLine="420" w:firstLineChars="200"/>
        <w:contextualSpacing/>
        <w:rPr>
          <w:color w:val="auto"/>
        </w:rPr>
      </w:pPr>
      <w:r>
        <w:rPr>
          <w:rFonts w:hint="eastAsia"/>
          <w:color w:val="auto"/>
        </w:rPr>
        <w:t>因情况变化，不再符合规定的竞争性磋商采购方式适用情形的；</w:t>
      </w:r>
    </w:p>
    <w:p w14:paraId="2D9F843A">
      <w:pPr>
        <w:numPr>
          <w:ilvl w:val="0"/>
          <w:numId w:val="10"/>
        </w:numPr>
        <w:snapToGrid w:val="0"/>
        <w:spacing w:line="360" w:lineRule="auto"/>
        <w:ind w:left="0" w:firstLine="420" w:firstLineChars="200"/>
        <w:contextualSpacing/>
        <w:rPr>
          <w:color w:val="auto"/>
        </w:rPr>
      </w:pPr>
      <w:r>
        <w:rPr>
          <w:rFonts w:hint="eastAsia"/>
          <w:color w:val="auto"/>
        </w:rPr>
        <w:t>出现影响采购公正的违法、违规行为的；</w:t>
      </w:r>
    </w:p>
    <w:p w14:paraId="2D610FF5">
      <w:pPr>
        <w:numPr>
          <w:ilvl w:val="0"/>
          <w:numId w:val="10"/>
        </w:numPr>
        <w:snapToGrid w:val="0"/>
        <w:spacing w:line="360" w:lineRule="auto"/>
        <w:ind w:left="0" w:firstLine="420" w:firstLineChars="200"/>
        <w:contextualSpacing/>
        <w:rPr>
          <w:bCs/>
          <w:color w:val="auto"/>
        </w:rPr>
      </w:pPr>
      <w:r>
        <w:rPr>
          <w:rFonts w:hint="eastAsia"/>
          <w:color w:val="auto"/>
        </w:rPr>
        <w:t>在采购过程中符合要求的供应商或者报价未超过采购预算的供应商不足3家的。</w:t>
      </w:r>
    </w:p>
    <w:bookmarkEnd w:id="434"/>
    <w:bookmarkEnd w:id="435"/>
    <w:bookmarkEnd w:id="436"/>
    <w:bookmarkEnd w:id="437"/>
    <w:p w14:paraId="1F873700">
      <w:pPr>
        <w:pStyle w:val="4"/>
        <w:numPr>
          <w:ilvl w:val="1"/>
          <w:numId w:val="2"/>
        </w:numPr>
        <w:jc w:val="left"/>
        <w:rPr>
          <w:rFonts w:ascii="Times New Roman" w:hAnsi="Times New Roman"/>
          <w:bCs w:val="0"/>
          <w:color w:val="auto"/>
          <w:szCs w:val="20"/>
        </w:rPr>
      </w:pPr>
      <w:bookmarkStart w:id="460" w:name="_Toc462934307"/>
      <w:bookmarkStart w:id="461" w:name="_Toc463011286"/>
      <w:bookmarkStart w:id="462" w:name="_Toc21857"/>
      <w:bookmarkStart w:id="463" w:name="_Toc7308"/>
      <w:bookmarkStart w:id="464" w:name="_Toc31756"/>
      <w:bookmarkStart w:id="465" w:name="_Toc29623317"/>
      <w:bookmarkStart w:id="466" w:name="_Toc428351660"/>
      <w:bookmarkStart w:id="467" w:name="_Toc27753968"/>
      <w:bookmarkStart w:id="468" w:name="_Toc455678133"/>
      <w:bookmarkStart w:id="469" w:name="_Toc428276600"/>
      <w:bookmarkStart w:id="470" w:name="_Toc454788040"/>
      <w:bookmarkStart w:id="471" w:name="_Toc12985"/>
      <w:r>
        <w:rPr>
          <w:rFonts w:hint="eastAsia" w:ascii="Times New Roman" w:hAnsi="Times New Roman"/>
          <w:bCs w:val="0"/>
          <w:color w:val="auto"/>
          <w:szCs w:val="20"/>
        </w:rPr>
        <w:t>确定成交供应商</w:t>
      </w:r>
      <w:bookmarkEnd w:id="460"/>
      <w:bookmarkEnd w:id="461"/>
      <w:bookmarkEnd w:id="462"/>
      <w:bookmarkEnd w:id="463"/>
      <w:bookmarkEnd w:id="464"/>
      <w:bookmarkEnd w:id="465"/>
      <w:bookmarkEnd w:id="466"/>
      <w:bookmarkEnd w:id="467"/>
      <w:bookmarkEnd w:id="468"/>
      <w:bookmarkEnd w:id="469"/>
      <w:bookmarkEnd w:id="470"/>
      <w:bookmarkEnd w:id="471"/>
    </w:p>
    <w:p w14:paraId="161FEAFB">
      <w:pPr>
        <w:numPr>
          <w:ilvl w:val="2"/>
          <w:numId w:val="2"/>
        </w:numPr>
        <w:wordWrap/>
        <w:topLinePunct w:val="0"/>
        <w:spacing w:line="360" w:lineRule="auto"/>
        <w:ind w:firstLine="420" w:firstLineChars="200"/>
        <w:rPr>
          <w:rFonts w:cs="黑体"/>
          <w:color w:val="auto"/>
        </w:rPr>
      </w:pPr>
      <w:r>
        <w:rPr>
          <w:rFonts w:hint="eastAsia" w:cs="黑体"/>
          <w:color w:val="auto"/>
        </w:rPr>
        <w:t>采购代理机构应当自评审结束之日起2个工作日内将评审报告送交采购人。采购人应当自收到评审报告之日起5个工作日内在评审报告推荐的成交候选人中按顺序确定成交供应商。成交候选人并列的，由采购人采取随机抽取的方式确定成交供应商。</w:t>
      </w:r>
    </w:p>
    <w:p w14:paraId="24BAD148">
      <w:pPr>
        <w:numPr>
          <w:ilvl w:val="2"/>
          <w:numId w:val="2"/>
        </w:numPr>
        <w:wordWrap/>
        <w:topLinePunct w:val="0"/>
        <w:spacing w:line="360" w:lineRule="auto"/>
        <w:ind w:firstLine="420" w:firstLineChars="200"/>
        <w:rPr>
          <w:rFonts w:cs="黑体"/>
          <w:color w:val="auto"/>
        </w:rPr>
      </w:pPr>
      <w:r>
        <w:rPr>
          <w:rFonts w:hint="eastAsia" w:cs="黑体"/>
          <w:color w:val="auto"/>
        </w:rPr>
        <w:t>采购人也可以书面授权磋商小组直接确定成交供应商。磋商小组直接确定成交供应商的应在竞争性磋商文件中写明。</w:t>
      </w:r>
    </w:p>
    <w:p w14:paraId="01E4C10C">
      <w:pPr>
        <w:pStyle w:val="4"/>
        <w:numPr>
          <w:ilvl w:val="1"/>
          <w:numId w:val="2"/>
        </w:numPr>
        <w:jc w:val="left"/>
        <w:rPr>
          <w:rFonts w:ascii="Times New Roman" w:hAnsi="Times New Roman"/>
          <w:bCs w:val="0"/>
          <w:color w:val="auto"/>
          <w:szCs w:val="20"/>
        </w:rPr>
      </w:pPr>
      <w:bookmarkStart w:id="472" w:name="_Toc428276601"/>
      <w:bookmarkStart w:id="473" w:name="_Toc428351661"/>
      <w:bookmarkStart w:id="474" w:name="_Toc422126474"/>
      <w:bookmarkStart w:id="475" w:name="_Toc455678134"/>
      <w:bookmarkStart w:id="476" w:name="_Toc454788041"/>
      <w:bookmarkStart w:id="477" w:name="_Toc462934308"/>
      <w:bookmarkStart w:id="478" w:name="_Toc2677"/>
      <w:bookmarkStart w:id="479" w:name="_Toc16692"/>
      <w:bookmarkStart w:id="480" w:name="_Toc29623318"/>
      <w:bookmarkStart w:id="481" w:name="_Toc27753969"/>
      <w:bookmarkStart w:id="482" w:name="_Toc15190"/>
      <w:bookmarkStart w:id="483" w:name="_Toc463011287"/>
      <w:bookmarkStart w:id="484" w:name="_Toc11552"/>
      <w:r>
        <w:rPr>
          <w:rFonts w:hint="eastAsia" w:ascii="Times New Roman" w:hAnsi="Times New Roman"/>
          <w:bCs w:val="0"/>
          <w:color w:val="auto"/>
          <w:szCs w:val="20"/>
        </w:rPr>
        <w:t>成交结果</w:t>
      </w:r>
      <w:bookmarkEnd w:id="472"/>
      <w:bookmarkEnd w:id="473"/>
      <w:bookmarkEnd w:id="474"/>
      <w:bookmarkEnd w:id="475"/>
      <w:bookmarkEnd w:id="476"/>
      <w:r>
        <w:rPr>
          <w:rFonts w:hint="eastAsia" w:ascii="Times New Roman" w:hAnsi="Times New Roman"/>
          <w:bCs w:val="0"/>
          <w:color w:val="auto"/>
          <w:szCs w:val="20"/>
        </w:rPr>
        <w:t>公告</w:t>
      </w:r>
      <w:bookmarkEnd w:id="477"/>
      <w:bookmarkEnd w:id="478"/>
      <w:bookmarkEnd w:id="479"/>
      <w:bookmarkEnd w:id="480"/>
      <w:bookmarkEnd w:id="481"/>
      <w:bookmarkEnd w:id="482"/>
      <w:bookmarkEnd w:id="483"/>
      <w:bookmarkEnd w:id="484"/>
    </w:p>
    <w:p w14:paraId="4AD728A7">
      <w:pPr>
        <w:numPr>
          <w:ilvl w:val="2"/>
          <w:numId w:val="2"/>
        </w:numPr>
        <w:wordWrap/>
        <w:topLinePunct w:val="0"/>
        <w:spacing w:line="360" w:lineRule="auto"/>
        <w:ind w:firstLine="420" w:firstLineChars="200"/>
        <w:rPr>
          <w:rFonts w:cs="黑体"/>
          <w:color w:val="auto"/>
        </w:rPr>
      </w:pPr>
      <w:r>
        <w:rPr>
          <w:rFonts w:hint="eastAsia" w:cs="黑体"/>
          <w:color w:val="auto"/>
        </w:rPr>
        <w:t>采购人或者采购代理机构自成交供应商确定之日起2个工作日内，在公告发布的同一媒介上公告成交结果，同时向成交供应商发出成交通知书，并将</w:t>
      </w:r>
      <w:r>
        <w:rPr>
          <w:rFonts w:hint="eastAsia"/>
          <w:color w:val="auto"/>
        </w:rPr>
        <w:t>竞争性</w:t>
      </w:r>
      <w:r>
        <w:rPr>
          <w:rFonts w:hint="eastAsia" w:cs="黑体"/>
          <w:color w:val="auto"/>
        </w:rPr>
        <w:t>磋商文件随成交结果同时公告，公告期限1个工作日。</w:t>
      </w:r>
    </w:p>
    <w:p w14:paraId="616FE129">
      <w:pPr>
        <w:numPr>
          <w:ilvl w:val="2"/>
          <w:numId w:val="2"/>
        </w:numPr>
        <w:wordWrap/>
        <w:topLinePunct w:val="0"/>
        <w:spacing w:line="360" w:lineRule="auto"/>
        <w:ind w:firstLine="420" w:firstLineChars="200"/>
        <w:rPr>
          <w:rFonts w:cs="黑体"/>
          <w:color w:val="auto"/>
        </w:rPr>
      </w:pPr>
      <w:bookmarkStart w:id="485" w:name="_Toc270604607"/>
      <w:r>
        <w:rPr>
          <w:rFonts w:hint="eastAsia" w:cs="黑体"/>
          <w:color w:val="auto"/>
        </w:rPr>
        <w:t>成交结果公告内容包括</w:t>
      </w:r>
      <w:bookmarkEnd w:id="416"/>
      <w:bookmarkEnd w:id="485"/>
      <w:r>
        <w:rPr>
          <w:rFonts w:hint="eastAsia" w:cs="黑体"/>
          <w:color w:val="auto"/>
        </w:rPr>
        <w:t>采购人和采购代理机构的名称、地址和联系方式、项目名称和采购编号、成交供应商名称、地址和成交金额、主要成交标的的名称、规格型号、数量、单价、服务要求、磋商小组成员名单，采用书面推荐供应商参加采购活动的，还应当公告采购人和评审专家的推荐意见。</w:t>
      </w:r>
    </w:p>
    <w:p w14:paraId="4CFF336A">
      <w:pPr>
        <w:pStyle w:val="4"/>
        <w:numPr>
          <w:ilvl w:val="1"/>
          <w:numId w:val="2"/>
        </w:numPr>
        <w:jc w:val="left"/>
        <w:rPr>
          <w:rFonts w:ascii="Times New Roman" w:hAnsi="Times New Roman"/>
          <w:bCs w:val="0"/>
          <w:color w:val="auto"/>
          <w:szCs w:val="20"/>
        </w:rPr>
      </w:pPr>
      <w:bookmarkStart w:id="486" w:name="_Toc29623319"/>
      <w:bookmarkStart w:id="487" w:name="_Toc27436"/>
      <w:bookmarkStart w:id="488" w:name="_Toc4900"/>
      <w:bookmarkStart w:id="489" w:name="_Toc455678136"/>
      <w:bookmarkStart w:id="490" w:name="_Toc27753970"/>
      <w:bookmarkStart w:id="491" w:name="_Toc11152"/>
      <w:bookmarkStart w:id="492" w:name="_Toc462934310"/>
      <w:bookmarkStart w:id="493" w:name="_Toc463011289"/>
      <w:bookmarkStart w:id="494" w:name="_Toc18026"/>
      <w:r>
        <w:rPr>
          <w:rFonts w:hint="eastAsia" w:ascii="Times New Roman" w:hAnsi="Times New Roman"/>
          <w:bCs w:val="0"/>
          <w:color w:val="auto"/>
          <w:szCs w:val="20"/>
        </w:rPr>
        <w:t>成交通知书</w:t>
      </w:r>
      <w:bookmarkEnd w:id="486"/>
      <w:bookmarkEnd w:id="487"/>
      <w:bookmarkEnd w:id="488"/>
      <w:bookmarkEnd w:id="489"/>
      <w:bookmarkEnd w:id="490"/>
      <w:bookmarkEnd w:id="491"/>
      <w:bookmarkEnd w:id="492"/>
      <w:bookmarkEnd w:id="493"/>
      <w:bookmarkEnd w:id="494"/>
      <w:bookmarkStart w:id="495" w:name="_Toc23963"/>
      <w:bookmarkStart w:id="496" w:name="_Toc455678137"/>
      <w:bookmarkStart w:id="497" w:name="_Toc11018"/>
      <w:bookmarkStart w:id="498" w:name="_Toc463011290"/>
      <w:bookmarkStart w:id="499" w:name="_Toc462934311"/>
      <w:bookmarkStart w:id="500" w:name="_Toc269470335"/>
    </w:p>
    <w:bookmarkEnd w:id="495"/>
    <w:bookmarkEnd w:id="496"/>
    <w:bookmarkEnd w:id="497"/>
    <w:bookmarkEnd w:id="498"/>
    <w:bookmarkEnd w:id="499"/>
    <w:p w14:paraId="605C364B">
      <w:pPr>
        <w:wordWrap/>
        <w:topLinePunct w:val="0"/>
        <w:spacing w:line="360" w:lineRule="auto"/>
        <w:ind w:firstLine="420" w:firstLineChars="200"/>
        <w:rPr>
          <w:color w:val="auto"/>
        </w:rPr>
      </w:pPr>
      <w:bookmarkStart w:id="501" w:name="_Toc462934313"/>
      <w:bookmarkStart w:id="502" w:name="_Toc455678139"/>
      <w:bookmarkStart w:id="503" w:name="_Toc10798"/>
      <w:bookmarkStart w:id="504" w:name="_Toc720"/>
      <w:bookmarkStart w:id="505" w:name="_Toc463011292"/>
      <w:r>
        <w:rPr>
          <w:rFonts w:hint="eastAsia"/>
          <w:color w:val="auto"/>
        </w:rPr>
        <w:t>在公告成交结果的同时，采购人或者采购代理机构向成交供应商发出成交通知书，成交通知书将作为进行合同磋商和签订合同的依据。</w:t>
      </w:r>
    </w:p>
    <w:p w14:paraId="1A5093E1">
      <w:pPr>
        <w:pStyle w:val="4"/>
        <w:numPr>
          <w:ilvl w:val="1"/>
          <w:numId w:val="2"/>
        </w:numPr>
        <w:jc w:val="left"/>
        <w:rPr>
          <w:rFonts w:ascii="Times New Roman" w:hAnsi="Times New Roman"/>
          <w:bCs w:val="0"/>
          <w:color w:val="auto"/>
          <w:szCs w:val="20"/>
        </w:rPr>
      </w:pPr>
      <w:bookmarkStart w:id="506" w:name="_Toc7705"/>
      <w:bookmarkStart w:id="507" w:name="_Toc17481"/>
      <w:bookmarkStart w:id="508" w:name="_Toc29623320"/>
      <w:bookmarkStart w:id="509" w:name="_Toc27753971"/>
      <w:r>
        <w:rPr>
          <w:rFonts w:hint="eastAsia" w:ascii="Times New Roman" w:hAnsi="Times New Roman"/>
          <w:bCs w:val="0"/>
          <w:color w:val="auto"/>
          <w:szCs w:val="20"/>
        </w:rPr>
        <w:t>履约保证金</w:t>
      </w:r>
      <w:bookmarkEnd w:id="501"/>
      <w:bookmarkEnd w:id="502"/>
      <w:bookmarkEnd w:id="503"/>
      <w:bookmarkEnd w:id="504"/>
      <w:bookmarkEnd w:id="505"/>
      <w:bookmarkEnd w:id="506"/>
      <w:bookmarkEnd w:id="507"/>
      <w:bookmarkEnd w:id="508"/>
      <w:bookmarkEnd w:id="509"/>
    </w:p>
    <w:p w14:paraId="2C90239C">
      <w:pPr>
        <w:numPr>
          <w:ilvl w:val="2"/>
          <w:numId w:val="2"/>
        </w:numPr>
        <w:wordWrap/>
        <w:topLinePunct w:val="0"/>
        <w:spacing w:line="360" w:lineRule="auto"/>
        <w:ind w:firstLine="420" w:firstLineChars="200"/>
        <w:rPr>
          <w:rFonts w:cs="黑体"/>
          <w:color w:val="auto"/>
        </w:rPr>
      </w:pPr>
      <w:r>
        <w:rPr>
          <w:rFonts w:hint="eastAsia" w:cs="黑体"/>
          <w:color w:val="auto"/>
        </w:rPr>
        <w:t>成交供应商应按供应商须知前附表规定的形式、金额和竞争性磋商文件第四章“合同”规定的履约保证金格式向采购人提交履约保证金。履约保证金不超过采购合同金额的10%。联合体成交的，其履约保证金以联合体各方或者联合体中牵头人的名义提交。</w:t>
      </w:r>
    </w:p>
    <w:p w14:paraId="130586D1">
      <w:pPr>
        <w:numPr>
          <w:ilvl w:val="2"/>
          <w:numId w:val="2"/>
        </w:numPr>
        <w:wordWrap/>
        <w:topLinePunct w:val="0"/>
        <w:spacing w:line="360" w:lineRule="auto"/>
        <w:ind w:firstLine="420" w:firstLineChars="200"/>
        <w:rPr>
          <w:rFonts w:cs="黑体"/>
          <w:color w:val="auto"/>
        </w:rPr>
      </w:pPr>
      <w:r>
        <w:rPr>
          <w:rFonts w:hint="eastAsia" w:cs="黑体"/>
          <w:color w:val="auto"/>
        </w:rPr>
        <w:t>成交供应商不能按本章第5.9.1项要求提交履约保证金的，视为放弃成交，成交供应商还应当予以赔偿。</w:t>
      </w:r>
    </w:p>
    <w:p w14:paraId="1C9E7811">
      <w:pPr>
        <w:pStyle w:val="30"/>
        <w:numPr>
          <w:ilvl w:val="0"/>
          <w:numId w:val="2"/>
        </w:numPr>
        <w:tabs>
          <w:tab w:val="left" w:pos="360"/>
        </w:tabs>
        <w:snapToGrid w:val="0"/>
        <w:spacing w:line="360" w:lineRule="auto"/>
        <w:ind w:firstLine="883"/>
        <w:contextualSpacing/>
        <w:jc w:val="both"/>
        <w:outlineLvl w:val="1"/>
        <w:rPr>
          <w:rFonts w:ascii="Times New Roman"/>
          <w:bCs/>
          <w:color w:val="auto"/>
          <w:sz w:val="21"/>
          <w:szCs w:val="20"/>
        </w:rPr>
      </w:pPr>
      <w:r>
        <w:rPr>
          <w:rStyle w:val="31"/>
          <w:rFonts w:hint="eastAsia"/>
          <w:color w:val="auto"/>
        </w:rPr>
        <w:t xml:space="preserve"> </w:t>
      </w:r>
      <w:bookmarkStart w:id="510" w:name="_Toc23149"/>
      <w:bookmarkStart w:id="511" w:name="_Toc13607"/>
      <w:bookmarkStart w:id="512" w:name="_Toc29623321"/>
      <w:bookmarkStart w:id="513" w:name="_Toc25241"/>
      <w:r>
        <w:rPr>
          <w:rStyle w:val="31"/>
          <w:rFonts w:hint="eastAsia"/>
          <w:color w:val="auto"/>
        </w:rPr>
        <w:t>授予合同</w:t>
      </w:r>
      <w:bookmarkEnd w:id="510"/>
      <w:bookmarkEnd w:id="511"/>
      <w:bookmarkEnd w:id="512"/>
      <w:bookmarkEnd w:id="513"/>
      <w:bookmarkStart w:id="514" w:name="_Toc32765"/>
    </w:p>
    <w:p w14:paraId="340C3BC9">
      <w:pPr>
        <w:snapToGrid w:val="0"/>
        <w:spacing w:line="360" w:lineRule="auto"/>
        <w:ind w:firstLine="420" w:firstLineChars="200"/>
        <w:contextualSpacing/>
        <w:rPr>
          <w:color w:val="auto"/>
        </w:rPr>
      </w:pPr>
      <w:bookmarkStart w:id="515" w:name="_Toc29623322"/>
      <w:bookmarkStart w:id="516" w:name="_Toc9895"/>
      <w:bookmarkStart w:id="517" w:name="_Toc28514"/>
      <w:bookmarkStart w:id="518" w:name="_Toc8375"/>
      <w:bookmarkStart w:id="519" w:name="_Toc27753973"/>
      <w:bookmarkStart w:id="520" w:name="_Toc26749"/>
      <w:bookmarkStart w:id="521" w:name="_Toc8361"/>
      <w:bookmarkStart w:id="522" w:name="_Toc10779"/>
      <w:bookmarkStart w:id="523" w:name="_Toc29019"/>
      <w:r>
        <w:rPr>
          <w:rFonts w:hint="eastAsia"/>
          <w:color w:val="auto"/>
        </w:rPr>
        <w:t>6.1采购人自成交通知书发出之日起30日内，按照竞争性磋商文件和成交供应商响应文件的规定，与成交供应商签订书面合同。所签订的合同不得对竞争性磋商文件确定的事项和成交供应商响应文件作实质性修改。</w:t>
      </w:r>
      <w:bookmarkEnd w:id="514"/>
      <w:bookmarkEnd w:id="515"/>
      <w:bookmarkEnd w:id="516"/>
      <w:bookmarkEnd w:id="517"/>
      <w:bookmarkEnd w:id="518"/>
      <w:bookmarkEnd w:id="519"/>
      <w:bookmarkEnd w:id="520"/>
      <w:bookmarkEnd w:id="521"/>
      <w:bookmarkEnd w:id="522"/>
      <w:bookmarkEnd w:id="523"/>
      <w:bookmarkStart w:id="524" w:name="_Toc26954"/>
    </w:p>
    <w:bookmarkEnd w:id="524"/>
    <w:p w14:paraId="5DB74BD8">
      <w:pPr>
        <w:snapToGrid w:val="0"/>
        <w:spacing w:line="360" w:lineRule="auto"/>
        <w:ind w:firstLine="420" w:firstLineChars="200"/>
        <w:contextualSpacing/>
        <w:rPr>
          <w:color w:val="auto"/>
        </w:rPr>
      </w:pPr>
      <w:bookmarkStart w:id="525" w:name="_Toc14039"/>
      <w:bookmarkStart w:id="526" w:name="_Toc1839"/>
      <w:bookmarkStart w:id="527" w:name="_Toc10652"/>
      <w:bookmarkStart w:id="528" w:name="_Toc9269"/>
      <w:bookmarkStart w:id="529" w:name="_Toc5127"/>
      <w:bookmarkStart w:id="530" w:name="_Toc21772"/>
      <w:bookmarkStart w:id="531" w:name="_Toc3581"/>
      <w:bookmarkStart w:id="532" w:name="_Toc29623323"/>
      <w:bookmarkStart w:id="533" w:name="_Toc27753974"/>
      <w:bookmarkStart w:id="534" w:name="_Toc14610"/>
      <w:r>
        <w:rPr>
          <w:rFonts w:hint="eastAsia"/>
          <w:color w:val="auto"/>
        </w:rPr>
        <w:t>6.2竞争性磋商文件、成交供应商的响应文件和澄清文件等，均应作为签约的合同文本的基础。</w:t>
      </w:r>
      <w:bookmarkEnd w:id="525"/>
      <w:bookmarkEnd w:id="526"/>
      <w:bookmarkEnd w:id="527"/>
      <w:bookmarkEnd w:id="528"/>
      <w:bookmarkEnd w:id="529"/>
      <w:bookmarkEnd w:id="530"/>
      <w:bookmarkEnd w:id="531"/>
      <w:bookmarkEnd w:id="532"/>
      <w:bookmarkEnd w:id="533"/>
      <w:bookmarkEnd w:id="534"/>
      <w:bookmarkStart w:id="535" w:name="_Toc5481"/>
    </w:p>
    <w:bookmarkEnd w:id="535"/>
    <w:p w14:paraId="6B939E13">
      <w:pPr>
        <w:snapToGrid w:val="0"/>
        <w:spacing w:line="360" w:lineRule="auto"/>
        <w:ind w:firstLine="420" w:firstLineChars="200"/>
        <w:contextualSpacing/>
        <w:rPr>
          <w:color w:val="auto"/>
        </w:rPr>
      </w:pPr>
      <w:bookmarkStart w:id="536" w:name="_Toc11818"/>
      <w:bookmarkStart w:id="537" w:name="_Toc10089"/>
      <w:bookmarkStart w:id="538" w:name="_Toc31694"/>
      <w:bookmarkStart w:id="539" w:name="_Toc26830"/>
      <w:bookmarkStart w:id="540" w:name="_Toc27753975"/>
      <w:bookmarkStart w:id="541" w:name="_Toc26076"/>
      <w:bookmarkStart w:id="542" w:name="_Toc1465"/>
      <w:bookmarkStart w:id="543" w:name="_Toc4762"/>
      <w:bookmarkStart w:id="544" w:name="_Toc29623324"/>
      <w:bookmarkStart w:id="545" w:name="_Toc18228"/>
      <w:r>
        <w:rPr>
          <w:rFonts w:hint="eastAsia"/>
          <w:color w:val="auto"/>
        </w:rPr>
        <w:t>6.3政府采购合同包括采购人与成交供应商的名称和住所、标的、数量、质量、价款或者报酬、履行期限及地点和方式、验收要求、违约责任、解决争议的方法等内容。</w:t>
      </w:r>
      <w:bookmarkEnd w:id="536"/>
      <w:bookmarkEnd w:id="537"/>
      <w:bookmarkEnd w:id="538"/>
      <w:bookmarkEnd w:id="539"/>
      <w:bookmarkEnd w:id="540"/>
      <w:bookmarkEnd w:id="541"/>
      <w:bookmarkEnd w:id="542"/>
      <w:bookmarkEnd w:id="543"/>
      <w:bookmarkEnd w:id="544"/>
      <w:bookmarkEnd w:id="545"/>
      <w:bookmarkStart w:id="546" w:name="_Toc7717"/>
    </w:p>
    <w:p w14:paraId="591B3618">
      <w:pPr>
        <w:snapToGrid w:val="0"/>
        <w:spacing w:line="360" w:lineRule="auto"/>
        <w:ind w:firstLine="420" w:firstLineChars="200"/>
        <w:contextualSpacing/>
        <w:rPr>
          <w:color w:val="auto"/>
        </w:rPr>
      </w:pPr>
      <w:bookmarkStart w:id="547" w:name="_Toc30158"/>
      <w:bookmarkStart w:id="548" w:name="_Toc5311"/>
      <w:bookmarkStart w:id="549" w:name="_Toc6035"/>
      <w:bookmarkStart w:id="550" w:name="_Toc17486"/>
      <w:bookmarkStart w:id="551" w:name="_Toc29623325"/>
      <w:bookmarkStart w:id="552" w:name="_Toc27813"/>
      <w:bookmarkStart w:id="553" w:name="_Toc27753976"/>
      <w:bookmarkStart w:id="554" w:name="_Toc20765"/>
      <w:bookmarkStart w:id="555" w:name="_Toc31748"/>
      <w:r>
        <w:rPr>
          <w:rFonts w:hint="eastAsia"/>
          <w:color w:val="auto"/>
        </w:rPr>
        <w:t>6.4如成交供应商不按本章第6.1项约定签订合同，采购人将报请取消其成交决定。采购人可按照磋商小组推荐的成交候选人名单排序，确定下一候选人为成交供应商或者重新采购。</w:t>
      </w:r>
      <w:bookmarkEnd w:id="546"/>
      <w:bookmarkEnd w:id="547"/>
      <w:bookmarkEnd w:id="548"/>
      <w:bookmarkEnd w:id="549"/>
      <w:bookmarkEnd w:id="550"/>
      <w:bookmarkEnd w:id="551"/>
      <w:bookmarkEnd w:id="552"/>
      <w:bookmarkEnd w:id="553"/>
      <w:bookmarkEnd w:id="554"/>
      <w:bookmarkEnd w:id="555"/>
    </w:p>
    <w:bookmarkEnd w:id="500"/>
    <w:p w14:paraId="77EBAA66">
      <w:pPr>
        <w:pStyle w:val="30"/>
        <w:numPr>
          <w:ilvl w:val="0"/>
          <w:numId w:val="2"/>
        </w:numPr>
        <w:tabs>
          <w:tab w:val="left" w:pos="360"/>
        </w:tabs>
        <w:snapToGrid w:val="0"/>
        <w:spacing w:line="360" w:lineRule="auto"/>
        <w:ind w:firstLine="883"/>
        <w:contextualSpacing/>
        <w:jc w:val="both"/>
        <w:outlineLvl w:val="1"/>
        <w:rPr>
          <w:rStyle w:val="31"/>
          <w:color w:val="auto"/>
        </w:rPr>
      </w:pPr>
      <w:bookmarkStart w:id="556" w:name="_Toc270604610"/>
      <w:bookmarkStart w:id="557" w:name="_Toc269470338"/>
      <w:bookmarkStart w:id="558" w:name="_Toc25425"/>
      <w:r>
        <w:rPr>
          <w:rStyle w:val="31"/>
          <w:rFonts w:hint="eastAsia"/>
          <w:color w:val="auto"/>
        </w:rPr>
        <w:t xml:space="preserve"> </w:t>
      </w:r>
      <w:bookmarkStart w:id="559" w:name="_Toc29623326"/>
      <w:bookmarkStart w:id="560" w:name="_Toc27264"/>
      <w:bookmarkStart w:id="561" w:name="_Toc27882"/>
      <w:bookmarkStart w:id="562" w:name="_Toc26730"/>
      <w:r>
        <w:rPr>
          <w:rStyle w:val="31"/>
          <w:rFonts w:hint="eastAsia"/>
          <w:color w:val="auto"/>
        </w:rPr>
        <w:t>纪律和监督</w:t>
      </w:r>
      <w:bookmarkEnd w:id="556"/>
      <w:bookmarkEnd w:id="557"/>
      <w:bookmarkEnd w:id="558"/>
      <w:bookmarkEnd w:id="559"/>
      <w:bookmarkEnd w:id="560"/>
      <w:bookmarkEnd w:id="561"/>
      <w:bookmarkEnd w:id="562"/>
    </w:p>
    <w:p w14:paraId="11667F11">
      <w:pPr>
        <w:pStyle w:val="4"/>
        <w:numPr>
          <w:ilvl w:val="1"/>
          <w:numId w:val="2"/>
        </w:numPr>
        <w:jc w:val="left"/>
        <w:rPr>
          <w:rFonts w:ascii="Times New Roman" w:hAnsi="Times New Roman"/>
          <w:bCs w:val="0"/>
          <w:color w:val="auto"/>
          <w:szCs w:val="20"/>
        </w:rPr>
      </w:pPr>
      <w:bookmarkStart w:id="563" w:name="_Toc18636"/>
      <w:bookmarkStart w:id="564" w:name="_Toc31772"/>
      <w:bookmarkStart w:id="565" w:name="_Toc270604611"/>
      <w:bookmarkStart w:id="566" w:name="_Toc455678149"/>
      <w:bookmarkStart w:id="567" w:name="_Toc454788046"/>
      <w:bookmarkStart w:id="568" w:name="_Toc269470339"/>
      <w:bookmarkStart w:id="569" w:name="_Toc2717"/>
      <w:bookmarkStart w:id="570" w:name="_Toc27753978"/>
      <w:bookmarkStart w:id="571" w:name="_Toc462934323"/>
      <w:bookmarkStart w:id="572" w:name="_Toc13152"/>
      <w:bookmarkStart w:id="573" w:name="_Toc428276606"/>
      <w:bookmarkStart w:id="574" w:name="_Toc428351666"/>
      <w:bookmarkStart w:id="575" w:name="_Toc463011302"/>
      <w:bookmarkStart w:id="576" w:name="_Toc270604838"/>
      <w:bookmarkStart w:id="577" w:name="_Toc277149399"/>
      <w:bookmarkStart w:id="578" w:name="_Toc29623327"/>
      <w:r>
        <w:rPr>
          <w:rFonts w:hint="eastAsia" w:ascii="Times New Roman" w:hAnsi="Times New Roman"/>
          <w:bCs w:val="0"/>
          <w:color w:val="auto"/>
          <w:szCs w:val="20"/>
        </w:rPr>
        <w:t>对采购人的纪律要求</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5D2C6683">
      <w:pPr>
        <w:autoSpaceDE w:val="0"/>
        <w:autoSpaceDN w:val="0"/>
        <w:adjustRightInd w:val="0"/>
        <w:snapToGrid w:val="0"/>
        <w:spacing w:line="360" w:lineRule="auto"/>
        <w:ind w:firstLine="420" w:firstLineChars="200"/>
        <w:contextualSpacing/>
        <w:jc w:val="left"/>
        <w:rPr>
          <w:rFonts w:cs="仿宋_GB2312"/>
          <w:color w:val="auto"/>
          <w:kern w:val="0"/>
        </w:rPr>
      </w:pPr>
      <w:r>
        <w:rPr>
          <w:rFonts w:hint="eastAsia" w:cs="仿宋_GB2312"/>
          <w:color w:val="auto"/>
          <w:kern w:val="0"/>
        </w:rPr>
        <w:t>采购人不得泄漏竞争性磋商中应当保密的情况和资料，不得与供应商串通损害国家利益、社会公共利益或者他人合法权益。</w:t>
      </w:r>
    </w:p>
    <w:p w14:paraId="323874C7">
      <w:pPr>
        <w:pStyle w:val="4"/>
        <w:numPr>
          <w:ilvl w:val="1"/>
          <w:numId w:val="2"/>
        </w:numPr>
        <w:jc w:val="left"/>
        <w:rPr>
          <w:rFonts w:ascii="Times New Roman" w:hAnsi="Times New Roman"/>
          <w:bCs w:val="0"/>
          <w:color w:val="auto"/>
          <w:szCs w:val="20"/>
        </w:rPr>
      </w:pPr>
      <w:bookmarkStart w:id="579" w:name="_Toc455678150"/>
      <w:bookmarkStart w:id="580" w:name="_Toc24245"/>
      <w:bookmarkStart w:id="581" w:name="_Toc428351667"/>
      <w:bookmarkStart w:id="582" w:name="_Toc277149400"/>
      <w:bookmarkStart w:id="583" w:name="_Toc1136"/>
      <w:bookmarkStart w:id="584" w:name="_Toc270604839"/>
      <w:bookmarkStart w:id="585" w:name="_Toc463011303"/>
      <w:bookmarkStart w:id="586" w:name="_Toc270604612"/>
      <w:bookmarkStart w:id="587" w:name="_Toc10123"/>
      <w:bookmarkStart w:id="588" w:name="_Toc29623328"/>
      <w:bookmarkStart w:id="589" w:name="_Toc30206"/>
      <w:bookmarkStart w:id="590" w:name="_Toc269470340"/>
      <w:bookmarkStart w:id="591" w:name="_Toc454788047"/>
      <w:bookmarkStart w:id="592" w:name="_Toc428276607"/>
      <w:bookmarkStart w:id="593" w:name="_Toc462934324"/>
      <w:bookmarkStart w:id="594" w:name="_Toc27753979"/>
      <w:r>
        <w:rPr>
          <w:rFonts w:hint="eastAsia" w:ascii="Times New Roman" w:hAnsi="Times New Roman"/>
          <w:bCs w:val="0"/>
          <w:color w:val="auto"/>
          <w:szCs w:val="20"/>
        </w:rPr>
        <w:t>对供应商的纪律要求</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7E11168D">
      <w:pPr>
        <w:autoSpaceDE w:val="0"/>
        <w:autoSpaceDN w:val="0"/>
        <w:adjustRightInd w:val="0"/>
        <w:snapToGrid w:val="0"/>
        <w:spacing w:line="360" w:lineRule="auto"/>
        <w:ind w:firstLine="420" w:firstLineChars="200"/>
        <w:contextualSpacing/>
        <w:jc w:val="left"/>
        <w:rPr>
          <w:rFonts w:cs="仿宋_GB2312"/>
          <w:color w:val="auto"/>
          <w:kern w:val="0"/>
        </w:rPr>
      </w:pPr>
      <w:r>
        <w:rPr>
          <w:rFonts w:hint="eastAsia" w:cs="仿宋_GB2312"/>
          <w:color w:val="auto"/>
          <w:kern w:val="0"/>
        </w:rPr>
        <w:t>供应商不得相互串通或者与采购人串通，不得向采购人或者磋商小组成员行贿谋取成交，不得以他人名义磋商或者以其他方式弄虚作假骗取成交；供应商不得以任何方式干扰、影响磋商工作。</w:t>
      </w:r>
    </w:p>
    <w:p w14:paraId="6323C1B2">
      <w:pPr>
        <w:pStyle w:val="4"/>
        <w:numPr>
          <w:ilvl w:val="1"/>
          <w:numId w:val="2"/>
        </w:numPr>
        <w:jc w:val="left"/>
        <w:rPr>
          <w:rFonts w:ascii="Times New Roman" w:hAnsi="Times New Roman"/>
          <w:bCs w:val="0"/>
          <w:color w:val="auto"/>
          <w:szCs w:val="20"/>
        </w:rPr>
      </w:pPr>
      <w:bookmarkStart w:id="595" w:name="_Toc27753980"/>
      <w:bookmarkStart w:id="596" w:name="_Toc428276608"/>
      <w:bookmarkStart w:id="597" w:name="_Toc428351668"/>
      <w:bookmarkStart w:id="598" w:name="_Toc270604840"/>
      <w:bookmarkStart w:id="599" w:name="_Toc15953"/>
      <w:bookmarkStart w:id="600" w:name="_Toc26184"/>
      <w:bookmarkStart w:id="601" w:name="_Toc454788048"/>
      <w:bookmarkStart w:id="602" w:name="_Toc23588"/>
      <w:bookmarkStart w:id="603" w:name="_Toc277149401"/>
      <w:bookmarkStart w:id="604" w:name="_Toc462934325"/>
      <w:bookmarkStart w:id="605" w:name="_Toc463011304"/>
      <w:bookmarkStart w:id="606" w:name="_Toc29623329"/>
      <w:bookmarkStart w:id="607" w:name="_Toc269470341"/>
      <w:bookmarkStart w:id="608" w:name="_Toc455678151"/>
      <w:bookmarkStart w:id="609" w:name="_Toc270604613"/>
      <w:bookmarkStart w:id="610" w:name="_Toc32730"/>
      <w:r>
        <w:rPr>
          <w:rFonts w:hint="eastAsia" w:ascii="Times New Roman" w:hAnsi="Times New Roman"/>
          <w:bCs w:val="0"/>
          <w:color w:val="auto"/>
          <w:szCs w:val="20"/>
        </w:rPr>
        <w:t>对磋商小组成员的纪律要求</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19AB535F">
      <w:pPr>
        <w:autoSpaceDE w:val="0"/>
        <w:autoSpaceDN w:val="0"/>
        <w:adjustRightInd w:val="0"/>
        <w:snapToGrid w:val="0"/>
        <w:spacing w:line="360" w:lineRule="auto"/>
        <w:ind w:firstLine="420" w:firstLineChars="200"/>
        <w:contextualSpacing/>
        <w:jc w:val="left"/>
        <w:rPr>
          <w:rFonts w:cs="仿宋_GB2312"/>
          <w:color w:val="auto"/>
          <w:kern w:val="0"/>
        </w:rPr>
      </w:pPr>
      <w:r>
        <w:rPr>
          <w:rFonts w:hint="eastAsia" w:cs="仿宋_GB2312"/>
          <w:color w:val="auto"/>
          <w:kern w:val="0"/>
        </w:rPr>
        <w:t>磋商小组成员不得收受他人的财物或者其他好处，不得向他人透漏对磋商响应文件的评审和比较、成交候选人的推荐情况以及与磋商有关的其他情况。在磋商活动中，磋商小组成员不得擅离职守，影响磋商程序正常进行。</w:t>
      </w:r>
    </w:p>
    <w:p w14:paraId="4ECBD5D1">
      <w:pPr>
        <w:pStyle w:val="4"/>
        <w:numPr>
          <w:ilvl w:val="1"/>
          <w:numId w:val="2"/>
        </w:numPr>
        <w:jc w:val="left"/>
        <w:rPr>
          <w:rFonts w:ascii="Times New Roman" w:hAnsi="Times New Roman"/>
          <w:bCs w:val="0"/>
          <w:color w:val="auto"/>
          <w:szCs w:val="20"/>
        </w:rPr>
      </w:pPr>
      <w:bookmarkStart w:id="611" w:name="_Toc428351669"/>
      <w:bookmarkStart w:id="612" w:name="_Toc270604614"/>
      <w:bookmarkStart w:id="613" w:name="_Toc29623330"/>
      <w:bookmarkStart w:id="614" w:name="_Toc455678152"/>
      <w:bookmarkStart w:id="615" w:name="_Toc14202"/>
      <w:bookmarkStart w:id="616" w:name="_Toc4673"/>
      <w:bookmarkStart w:id="617" w:name="_Toc2139"/>
      <w:bookmarkStart w:id="618" w:name="_Toc270604841"/>
      <w:bookmarkStart w:id="619" w:name="_Toc277149402"/>
      <w:bookmarkStart w:id="620" w:name="_Toc454788049"/>
      <w:bookmarkStart w:id="621" w:name="_Toc428276609"/>
      <w:bookmarkStart w:id="622" w:name="_Toc269470342"/>
      <w:bookmarkStart w:id="623" w:name="_Toc8563"/>
      <w:bookmarkStart w:id="624" w:name="_Toc463011305"/>
      <w:bookmarkStart w:id="625" w:name="_Toc27753981"/>
      <w:bookmarkStart w:id="626" w:name="_Toc462934326"/>
      <w:r>
        <w:rPr>
          <w:rFonts w:hint="eastAsia" w:ascii="Times New Roman" w:hAnsi="Times New Roman"/>
          <w:bCs w:val="0"/>
          <w:color w:val="auto"/>
          <w:szCs w:val="20"/>
        </w:rPr>
        <w:t>对与磋商活动有关的工作人员的纪律要求</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018E8EEB">
      <w:pPr>
        <w:autoSpaceDE w:val="0"/>
        <w:autoSpaceDN w:val="0"/>
        <w:adjustRightInd w:val="0"/>
        <w:snapToGrid w:val="0"/>
        <w:spacing w:line="360" w:lineRule="auto"/>
        <w:ind w:firstLine="420" w:firstLineChars="200"/>
        <w:contextualSpacing/>
        <w:jc w:val="left"/>
        <w:rPr>
          <w:rFonts w:cs="仿宋_GB2312"/>
          <w:color w:val="auto"/>
          <w:kern w:val="0"/>
        </w:rPr>
      </w:pPr>
      <w:r>
        <w:rPr>
          <w:rFonts w:hint="eastAsia" w:cs="仿宋_GB2312"/>
          <w:color w:val="auto"/>
          <w:kern w:val="0"/>
        </w:rPr>
        <w:t>与磋商活动有关的工作人员不得收受他人的财物或者其他好处，不得向他人透漏对磋商响应文件的评审和比较、成交候选人的推荐情况以及与磋商有关的其他情况。在磋商活动中，与磋商活动有关的工作人员不得擅离职守，影响磋商程序正常进行。</w:t>
      </w:r>
    </w:p>
    <w:p w14:paraId="448789D8">
      <w:pPr>
        <w:pStyle w:val="4"/>
        <w:numPr>
          <w:ilvl w:val="1"/>
          <w:numId w:val="2"/>
        </w:numPr>
        <w:jc w:val="left"/>
        <w:rPr>
          <w:rFonts w:ascii="Times New Roman" w:hAnsi="Times New Roman"/>
          <w:bCs w:val="0"/>
          <w:color w:val="auto"/>
          <w:szCs w:val="20"/>
        </w:rPr>
      </w:pPr>
      <w:bookmarkStart w:id="627" w:name="_Toc29089"/>
      <w:bookmarkStart w:id="628" w:name="_Toc454788050"/>
      <w:bookmarkStart w:id="629" w:name="_Toc270604615"/>
      <w:bookmarkStart w:id="630" w:name="_Toc428276610"/>
      <w:bookmarkStart w:id="631" w:name="_Toc269470343"/>
      <w:bookmarkStart w:id="632" w:name="_Toc277149403"/>
      <w:bookmarkStart w:id="633" w:name="_Toc270604842"/>
      <w:bookmarkStart w:id="634" w:name="_Toc428351670"/>
      <w:r>
        <w:rPr>
          <w:rFonts w:hint="eastAsia" w:ascii="Times New Roman" w:hAnsi="Times New Roman"/>
          <w:bCs w:val="0"/>
          <w:color w:val="auto"/>
          <w:szCs w:val="20"/>
        </w:rPr>
        <w:t xml:space="preserve"> </w:t>
      </w:r>
      <w:bookmarkStart w:id="635" w:name="_Toc29623331"/>
      <w:bookmarkStart w:id="636" w:name="_Toc27033"/>
      <w:bookmarkStart w:id="637" w:name="_Toc11594"/>
      <w:bookmarkStart w:id="638" w:name="_Toc27753982"/>
      <w:r>
        <w:rPr>
          <w:rFonts w:hint="eastAsia" w:ascii="Times New Roman" w:hAnsi="Times New Roman"/>
          <w:bCs w:val="0"/>
          <w:color w:val="auto"/>
          <w:szCs w:val="20"/>
        </w:rPr>
        <w:t>询问、质疑和投诉</w:t>
      </w:r>
      <w:bookmarkEnd w:id="627"/>
      <w:bookmarkEnd w:id="628"/>
      <w:bookmarkEnd w:id="629"/>
      <w:bookmarkEnd w:id="630"/>
      <w:bookmarkEnd w:id="631"/>
      <w:bookmarkEnd w:id="632"/>
      <w:bookmarkEnd w:id="633"/>
      <w:bookmarkEnd w:id="634"/>
      <w:bookmarkEnd w:id="635"/>
      <w:bookmarkEnd w:id="636"/>
      <w:bookmarkEnd w:id="637"/>
      <w:bookmarkEnd w:id="638"/>
    </w:p>
    <w:p w14:paraId="15B53084">
      <w:pPr>
        <w:numPr>
          <w:ilvl w:val="2"/>
          <w:numId w:val="2"/>
        </w:numPr>
        <w:wordWrap/>
        <w:topLinePunct w:val="0"/>
        <w:spacing w:line="360" w:lineRule="auto"/>
        <w:ind w:firstLine="420" w:firstLineChars="200"/>
        <w:rPr>
          <w:rFonts w:cs="黑体"/>
          <w:color w:val="auto"/>
        </w:rPr>
      </w:pPr>
      <w:bookmarkStart w:id="639" w:name="_Toc455678154"/>
      <w:bookmarkStart w:id="640" w:name="_Toc462934328"/>
      <w:bookmarkStart w:id="641" w:name="_Toc463011307"/>
      <w:bookmarkStart w:id="642" w:name="_Toc11785"/>
      <w:bookmarkStart w:id="643" w:name="_Toc17445"/>
      <w:r>
        <w:rPr>
          <w:rFonts w:hint="eastAsia" w:cs="黑体"/>
          <w:color w:val="auto"/>
        </w:rPr>
        <w:t>供应商或有关当事人对磋商过程、成交结果有异议的，可以向采购人或者采购代理机构提出询问。</w:t>
      </w:r>
      <w:bookmarkEnd w:id="639"/>
      <w:bookmarkEnd w:id="640"/>
      <w:bookmarkEnd w:id="641"/>
      <w:bookmarkEnd w:id="642"/>
      <w:bookmarkEnd w:id="643"/>
    </w:p>
    <w:p w14:paraId="697F58EB">
      <w:pPr>
        <w:numPr>
          <w:ilvl w:val="2"/>
          <w:numId w:val="2"/>
        </w:numPr>
        <w:wordWrap/>
        <w:topLinePunct w:val="0"/>
        <w:spacing w:line="360" w:lineRule="auto"/>
        <w:ind w:firstLine="420" w:firstLineChars="200"/>
        <w:rPr>
          <w:rFonts w:cs="黑体"/>
          <w:color w:val="auto"/>
        </w:rPr>
      </w:pPr>
      <w:bookmarkStart w:id="644" w:name="_Toc462934329"/>
      <w:bookmarkStart w:id="645" w:name="_Toc24621"/>
      <w:bookmarkStart w:id="646" w:name="_Toc27421"/>
      <w:bookmarkStart w:id="647" w:name="_Toc455678155"/>
      <w:bookmarkStart w:id="648" w:name="_Toc463011308"/>
      <w:r>
        <w:rPr>
          <w:rFonts w:hint="eastAsia" w:cs="黑体"/>
          <w:color w:val="auto"/>
        </w:rPr>
        <w:t>采购人或者采购代理机构应当在三个工作日内对供应商依法提出的询问作出答复。</w:t>
      </w:r>
      <w:bookmarkEnd w:id="644"/>
      <w:bookmarkEnd w:id="645"/>
      <w:bookmarkEnd w:id="646"/>
      <w:bookmarkEnd w:id="647"/>
      <w:bookmarkEnd w:id="648"/>
    </w:p>
    <w:p w14:paraId="4A684B38">
      <w:pPr>
        <w:numPr>
          <w:ilvl w:val="2"/>
          <w:numId w:val="2"/>
        </w:numPr>
        <w:wordWrap/>
        <w:topLinePunct w:val="0"/>
        <w:spacing w:line="360" w:lineRule="auto"/>
        <w:ind w:firstLine="420" w:firstLineChars="200"/>
        <w:rPr>
          <w:rFonts w:cs="黑体"/>
          <w:color w:val="auto"/>
        </w:rPr>
      </w:pPr>
      <w:bookmarkStart w:id="649" w:name="_Toc462934330"/>
      <w:bookmarkStart w:id="650" w:name="_Toc30298"/>
      <w:bookmarkStart w:id="651" w:name="_Toc455678156"/>
      <w:bookmarkStart w:id="652" w:name="_Toc463011309"/>
      <w:bookmarkStart w:id="653" w:name="_Toc28381"/>
      <w:r>
        <w:rPr>
          <w:rFonts w:hint="eastAsia" w:cs="黑体"/>
          <w:color w:val="auto"/>
        </w:rPr>
        <w:t>供应商认为</w:t>
      </w:r>
      <w:r>
        <w:rPr>
          <w:rFonts w:hint="eastAsia"/>
          <w:color w:val="auto"/>
        </w:rPr>
        <w:t>竞争性</w:t>
      </w:r>
      <w:r>
        <w:rPr>
          <w:rFonts w:hint="eastAsia" w:cs="黑体"/>
          <w:color w:val="auto"/>
        </w:rPr>
        <w:t>磋商文件、采购过程使自己的权益受到损害的，可以在知道或者应知其权益受到损害之日起七个工作日内，以书面形式向采购人提出质疑。</w:t>
      </w:r>
      <w:bookmarkEnd w:id="649"/>
      <w:bookmarkEnd w:id="650"/>
      <w:bookmarkEnd w:id="651"/>
      <w:bookmarkEnd w:id="652"/>
      <w:bookmarkEnd w:id="653"/>
    </w:p>
    <w:p w14:paraId="5331232D">
      <w:pPr>
        <w:numPr>
          <w:ilvl w:val="2"/>
          <w:numId w:val="2"/>
        </w:numPr>
        <w:wordWrap/>
        <w:topLinePunct w:val="0"/>
        <w:spacing w:line="360" w:lineRule="auto"/>
        <w:ind w:firstLine="420" w:firstLineChars="200"/>
        <w:rPr>
          <w:rFonts w:cs="黑体"/>
          <w:color w:val="auto"/>
        </w:rPr>
      </w:pPr>
      <w:bookmarkStart w:id="654" w:name="_Toc463011310"/>
      <w:bookmarkStart w:id="655" w:name="_Toc462934331"/>
      <w:bookmarkStart w:id="656" w:name="_Toc288"/>
      <w:bookmarkStart w:id="657" w:name="_Toc16614"/>
      <w:r>
        <w:rPr>
          <w:rFonts w:hint="eastAsia" w:cs="黑体"/>
          <w:color w:val="auto"/>
        </w:rPr>
        <w:t>供应商认为成交结果使自己的权益受到损害的，可以在成交结果公告期限届满之日起七个工作日内，以书面形式向采购人提出质疑，</w:t>
      </w:r>
      <w:r>
        <w:rPr>
          <w:rFonts w:hint="eastAsia"/>
          <w:color w:val="auto"/>
        </w:rPr>
        <w:t>接收质疑函联系部门、电话及地址详见竞争性磋商公告</w:t>
      </w:r>
      <w:r>
        <w:rPr>
          <w:rFonts w:hint="eastAsia" w:cs="黑体"/>
          <w:color w:val="auto"/>
        </w:rPr>
        <w:t>。</w:t>
      </w:r>
      <w:bookmarkEnd w:id="654"/>
      <w:bookmarkEnd w:id="655"/>
      <w:bookmarkEnd w:id="656"/>
      <w:bookmarkEnd w:id="657"/>
      <w:r>
        <w:rPr>
          <w:rFonts w:hint="eastAsia"/>
          <w:color w:val="auto"/>
        </w:rPr>
        <w:t>在法定质疑期内供应商针对同一采购程序环节的质疑应当一次性提出。</w:t>
      </w:r>
    </w:p>
    <w:p w14:paraId="4EC24E0B">
      <w:pPr>
        <w:numPr>
          <w:ilvl w:val="2"/>
          <w:numId w:val="2"/>
        </w:numPr>
        <w:wordWrap/>
        <w:topLinePunct w:val="0"/>
        <w:spacing w:line="360" w:lineRule="auto"/>
        <w:ind w:firstLine="420" w:firstLineChars="200"/>
        <w:rPr>
          <w:rFonts w:cs="黑体"/>
          <w:color w:val="auto"/>
        </w:rPr>
      </w:pPr>
      <w:bookmarkStart w:id="658" w:name="_Toc462934332"/>
      <w:bookmarkStart w:id="659" w:name="_Toc455678157"/>
      <w:bookmarkStart w:id="660" w:name="_Toc18478"/>
      <w:bookmarkStart w:id="661" w:name="_Toc5258"/>
      <w:bookmarkStart w:id="662" w:name="_Toc463011311"/>
      <w:r>
        <w:rPr>
          <w:rFonts w:hint="eastAsia" w:cs="黑体"/>
          <w:color w:val="auto"/>
        </w:rPr>
        <w:t>采购人或者采购代理机构应当在收到供应商的书面质疑后七个工作日内作出答复，并以书面形式通知质疑供应商和其他有关供应商，但答复的内容不得涉及商业秘密。</w:t>
      </w:r>
      <w:bookmarkEnd w:id="658"/>
      <w:bookmarkEnd w:id="659"/>
      <w:bookmarkEnd w:id="660"/>
      <w:bookmarkEnd w:id="661"/>
      <w:bookmarkEnd w:id="662"/>
    </w:p>
    <w:p w14:paraId="3D17D891">
      <w:pPr>
        <w:numPr>
          <w:ilvl w:val="2"/>
          <w:numId w:val="2"/>
        </w:numPr>
        <w:wordWrap/>
        <w:topLinePunct w:val="0"/>
        <w:spacing w:line="360" w:lineRule="auto"/>
        <w:ind w:firstLine="420" w:firstLineChars="200"/>
        <w:rPr>
          <w:rFonts w:cs="黑体"/>
          <w:color w:val="auto"/>
        </w:rPr>
      </w:pPr>
      <w:bookmarkStart w:id="663" w:name="_Toc463011312"/>
      <w:bookmarkStart w:id="664" w:name="_Toc21390"/>
      <w:bookmarkStart w:id="665" w:name="_Toc455678158"/>
      <w:bookmarkStart w:id="666" w:name="_Toc4898"/>
      <w:bookmarkStart w:id="667" w:name="_Toc462934333"/>
      <w:r>
        <w:rPr>
          <w:rFonts w:hint="eastAsia" w:cs="黑体"/>
          <w:color w:val="auto"/>
        </w:rPr>
        <w:t>质疑供应商对采购人、采购代理机构的答复不满意或者采购人、采购代理机构未在规定的时间内作出答复的，可以在答复期满后十五个工作日内向同级政府采购监督管理部门投诉。</w:t>
      </w:r>
      <w:bookmarkEnd w:id="663"/>
      <w:bookmarkEnd w:id="664"/>
      <w:bookmarkEnd w:id="665"/>
      <w:bookmarkEnd w:id="666"/>
      <w:bookmarkEnd w:id="667"/>
    </w:p>
    <w:p w14:paraId="32DC458A">
      <w:pPr>
        <w:numPr>
          <w:ilvl w:val="2"/>
          <w:numId w:val="2"/>
        </w:numPr>
        <w:wordWrap/>
        <w:topLinePunct w:val="0"/>
        <w:spacing w:line="360" w:lineRule="auto"/>
        <w:ind w:firstLine="420" w:firstLineChars="200"/>
        <w:rPr>
          <w:rFonts w:cs="黑体"/>
          <w:color w:val="auto"/>
        </w:rPr>
      </w:pPr>
      <w:bookmarkStart w:id="668" w:name="_Toc11631"/>
      <w:bookmarkStart w:id="669" w:name="_Toc455678159"/>
      <w:bookmarkStart w:id="670" w:name="_Toc17682"/>
      <w:bookmarkStart w:id="671" w:name="_Toc463011313"/>
      <w:bookmarkStart w:id="672" w:name="_Toc462934334"/>
      <w:r>
        <w:rPr>
          <w:rFonts w:hint="eastAsia" w:cs="黑体"/>
          <w:color w:val="auto"/>
        </w:rPr>
        <w:t>供应商质疑、投诉应当有明确的请求和必要的证明材料。供应商投诉的事项不得超出已质疑事项的范围。</w:t>
      </w:r>
      <w:bookmarkEnd w:id="668"/>
      <w:bookmarkEnd w:id="669"/>
      <w:bookmarkEnd w:id="670"/>
      <w:bookmarkEnd w:id="671"/>
      <w:bookmarkEnd w:id="672"/>
    </w:p>
    <w:p w14:paraId="3531F38F">
      <w:pPr>
        <w:pStyle w:val="10"/>
        <w:spacing w:before="156" w:beforeLines="50" w:after="156" w:afterLines="50" w:line="600" w:lineRule="exact"/>
        <w:jc w:val="both"/>
        <w:outlineLvl w:val="0"/>
        <w:rPr>
          <w:rFonts w:hint="eastAsia"/>
          <w:b/>
          <w:bCs/>
          <w:color w:val="auto"/>
          <w:sz w:val="32"/>
          <w:szCs w:val="32"/>
        </w:rPr>
      </w:pPr>
      <w:bookmarkStart w:id="673" w:name="_Toc18892"/>
      <w:bookmarkStart w:id="674" w:name="_Toc1582"/>
    </w:p>
    <w:p w14:paraId="6E4D7774">
      <w:pPr>
        <w:pStyle w:val="10"/>
        <w:spacing w:before="156" w:beforeLines="50" w:after="156" w:afterLines="50" w:line="600" w:lineRule="exact"/>
        <w:ind w:left="57"/>
        <w:jc w:val="center"/>
        <w:outlineLvl w:val="0"/>
        <w:rPr>
          <w:rFonts w:hint="eastAsia"/>
          <w:b/>
          <w:bCs/>
          <w:color w:val="auto"/>
          <w:sz w:val="32"/>
          <w:szCs w:val="32"/>
        </w:rPr>
      </w:pPr>
    </w:p>
    <w:p w14:paraId="65AC5F4F">
      <w:pPr>
        <w:pStyle w:val="10"/>
        <w:spacing w:before="156" w:beforeLines="50" w:after="156" w:afterLines="50" w:line="600" w:lineRule="exact"/>
        <w:ind w:left="57"/>
        <w:jc w:val="center"/>
        <w:outlineLvl w:val="0"/>
        <w:rPr>
          <w:rFonts w:hint="eastAsia"/>
          <w:b/>
          <w:bCs/>
          <w:color w:val="auto"/>
          <w:sz w:val="32"/>
          <w:szCs w:val="32"/>
        </w:rPr>
      </w:pPr>
    </w:p>
    <w:p w14:paraId="76A93F0C">
      <w:pPr>
        <w:pStyle w:val="10"/>
        <w:spacing w:before="156" w:beforeLines="50" w:after="156" w:afterLines="50" w:line="600" w:lineRule="exact"/>
        <w:ind w:left="57"/>
        <w:jc w:val="center"/>
        <w:outlineLvl w:val="0"/>
        <w:rPr>
          <w:rFonts w:hint="eastAsia"/>
          <w:b/>
          <w:bCs/>
          <w:color w:val="auto"/>
          <w:sz w:val="32"/>
          <w:szCs w:val="32"/>
        </w:rPr>
      </w:pPr>
    </w:p>
    <w:p w14:paraId="468DFB95">
      <w:pPr>
        <w:pStyle w:val="10"/>
        <w:spacing w:before="156" w:beforeLines="50" w:after="156" w:afterLines="50" w:line="600" w:lineRule="exact"/>
        <w:ind w:left="57"/>
        <w:jc w:val="center"/>
        <w:outlineLvl w:val="0"/>
        <w:rPr>
          <w:rFonts w:hint="eastAsia"/>
          <w:b/>
          <w:bCs/>
          <w:color w:val="auto"/>
          <w:sz w:val="32"/>
          <w:szCs w:val="32"/>
        </w:rPr>
      </w:pPr>
    </w:p>
    <w:p w14:paraId="1C821ACA">
      <w:pPr>
        <w:pStyle w:val="10"/>
        <w:spacing w:before="156" w:beforeLines="50" w:after="156" w:afterLines="50" w:line="600" w:lineRule="exact"/>
        <w:ind w:left="57"/>
        <w:jc w:val="center"/>
        <w:outlineLvl w:val="0"/>
        <w:rPr>
          <w:rFonts w:hint="eastAsia"/>
          <w:b/>
          <w:bCs/>
          <w:color w:val="auto"/>
          <w:sz w:val="32"/>
          <w:szCs w:val="32"/>
        </w:rPr>
      </w:pPr>
    </w:p>
    <w:p w14:paraId="0FDC2F59">
      <w:pPr>
        <w:pStyle w:val="10"/>
        <w:spacing w:before="156" w:beforeLines="50" w:after="156" w:afterLines="50" w:line="600" w:lineRule="exact"/>
        <w:ind w:left="57"/>
        <w:jc w:val="center"/>
        <w:outlineLvl w:val="0"/>
        <w:rPr>
          <w:rFonts w:hint="eastAsia"/>
          <w:b/>
          <w:bCs/>
          <w:color w:val="auto"/>
          <w:sz w:val="32"/>
          <w:szCs w:val="32"/>
        </w:rPr>
      </w:pPr>
    </w:p>
    <w:p w14:paraId="52A21148">
      <w:pPr>
        <w:pStyle w:val="10"/>
        <w:spacing w:before="156" w:beforeLines="50" w:after="156" w:afterLines="50" w:line="600" w:lineRule="exact"/>
        <w:ind w:left="57"/>
        <w:jc w:val="center"/>
        <w:outlineLvl w:val="0"/>
        <w:rPr>
          <w:rFonts w:hint="eastAsia"/>
          <w:b/>
          <w:bCs/>
          <w:color w:val="auto"/>
          <w:sz w:val="32"/>
          <w:szCs w:val="32"/>
        </w:rPr>
      </w:pPr>
    </w:p>
    <w:p w14:paraId="2EDB42A2">
      <w:pPr>
        <w:rPr>
          <w:rFonts w:hint="eastAsia"/>
          <w:b/>
          <w:bCs/>
          <w:color w:val="auto"/>
          <w:sz w:val="32"/>
          <w:szCs w:val="32"/>
        </w:rPr>
      </w:pPr>
      <w:r>
        <w:rPr>
          <w:rFonts w:hint="eastAsia"/>
          <w:b/>
          <w:bCs/>
          <w:color w:val="auto"/>
          <w:sz w:val="32"/>
          <w:szCs w:val="32"/>
        </w:rPr>
        <w:br w:type="page"/>
      </w:r>
    </w:p>
    <w:p w14:paraId="675592FF">
      <w:pPr>
        <w:pStyle w:val="10"/>
        <w:spacing w:before="156" w:beforeLines="50" w:after="156" w:afterLines="50" w:line="600" w:lineRule="exact"/>
        <w:ind w:left="57"/>
        <w:jc w:val="center"/>
        <w:outlineLvl w:val="0"/>
        <w:rPr>
          <w:rFonts w:hint="eastAsia"/>
          <w:b/>
          <w:bCs/>
          <w:color w:val="auto"/>
          <w:sz w:val="32"/>
          <w:szCs w:val="32"/>
        </w:rPr>
      </w:pPr>
    </w:p>
    <w:p w14:paraId="006CAF1C">
      <w:pPr>
        <w:pStyle w:val="10"/>
        <w:spacing w:before="156" w:beforeLines="50" w:after="156" w:afterLines="50" w:line="600" w:lineRule="exact"/>
        <w:ind w:left="57"/>
        <w:jc w:val="center"/>
        <w:outlineLvl w:val="0"/>
        <w:rPr>
          <w:b/>
          <w:bCs/>
          <w:color w:val="auto"/>
          <w:sz w:val="32"/>
          <w:szCs w:val="32"/>
        </w:rPr>
      </w:pPr>
      <w:bookmarkStart w:id="675" w:name="_Toc26507"/>
      <w:r>
        <w:rPr>
          <w:rFonts w:hint="eastAsia"/>
          <w:b/>
          <w:bCs/>
          <w:color w:val="auto"/>
          <w:sz w:val="32"/>
          <w:szCs w:val="32"/>
        </w:rPr>
        <w:t>第三章  评审办法</w:t>
      </w:r>
      <w:bookmarkEnd w:id="673"/>
      <w:bookmarkEnd w:id="674"/>
      <w:bookmarkEnd w:id="675"/>
    </w:p>
    <w:p w14:paraId="5770E974">
      <w:pPr>
        <w:pStyle w:val="4"/>
        <w:ind w:left="482"/>
        <w:jc w:val="center"/>
        <w:rPr>
          <w:color w:val="auto"/>
          <w:sz w:val="24"/>
          <w:szCs w:val="24"/>
        </w:rPr>
      </w:pPr>
      <w:bookmarkStart w:id="676" w:name="_Toc14114"/>
      <w:bookmarkStart w:id="677" w:name="_Toc16535"/>
      <w:bookmarkStart w:id="678" w:name="_Toc21398"/>
      <w:bookmarkStart w:id="679" w:name="_Toc1534"/>
      <w:bookmarkStart w:id="680" w:name="_Toc23659"/>
      <w:bookmarkStart w:id="681" w:name="_Toc27753987"/>
      <w:bookmarkStart w:id="682" w:name="_Toc16950"/>
      <w:bookmarkStart w:id="683" w:name="_Toc6633"/>
      <w:bookmarkStart w:id="684" w:name="_Toc29623336"/>
      <w:bookmarkStart w:id="685" w:name="_Toc12415"/>
      <w:bookmarkStart w:id="686" w:name="_Toc22753"/>
      <w:bookmarkStart w:id="687" w:name="_Toc4734"/>
      <w:bookmarkStart w:id="688" w:name="_Toc26467"/>
      <w:bookmarkStart w:id="689" w:name="_Toc22649"/>
      <w:r>
        <w:rPr>
          <w:rFonts w:hint="eastAsia"/>
          <w:color w:val="auto"/>
          <w:sz w:val="24"/>
          <w:szCs w:val="24"/>
        </w:rPr>
        <w:t>评审办法前附表</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tbl>
      <w:tblPr>
        <w:tblStyle w:val="18"/>
        <w:tblW w:w="9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993"/>
        <w:gridCol w:w="1984"/>
        <w:gridCol w:w="5670"/>
      </w:tblGrid>
      <w:tr w14:paraId="147E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jc w:val="center"/>
        </w:trPr>
        <w:tc>
          <w:tcPr>
            <w:tcW w:w="1618" w:type="dxa"/>
            <w:gridSpan w:val="2"/>
            <w:noWrap w:val="0"/>
            <w:vAlign w:val="center"/>
          </w:tcPr>
          <w:p w14:paraId="5F02CB31">
            <w:pPr>
              <w:widowControl/>
              <w:jc w:val="center"/>
              <w:rPr>
                <w:color w:val="auto"/>
                <w:kern w:val="0"/>
              </w:rPr>
            </w:pPr>
            <w:r>
              <w:rPr>
                <w:rFonts w:hint="eastAsia"/>
                <w:color w:val="auto"/>
                <w:kern w:val="0"/>
              </w:rPr>
              <w:t>条款</w:t>
            </w:r>
          </w:p>
        </w:tc>
        <w:tc>
          <w:tcPr>
            <w:tcW w:w="1984" w:type="dxa"/>
            <w:noWrap w:val="0"/>
            <w:vAlign w:val="center"/>
          </w:tcPr>
          <w:p w14:paraId="608B6DF7">
            <w:pPr>
              <w:widowControl/>
              <w:jc w:val="center"/>
              <w:rPr>
                <w:color w:val="auto"/>
                <w:kern w:val="0"/>
              </w:rPr>
            </w:pPr>
            <w:r>
              <w:rPr>
                <w:rFonts w:hint="eastAsia"/>
                <w:color w:val="auto"/>
                <w:kern w:val="0"/>
              </w:rPr>
              <w:t>评审因素</w:t>
            </w:r>
          </w:p>
        </w:tc>
        <w:tc>
          <w:tcPr>
            <w:tcW w:w="5670" w:type="dxa"/>
            <w:noWrap w:val="0"/>
            <w:vAlign w:val="center"/>
          </w:tcPr>
          <w:p w14:paraId="2519D51B">
            <w:pPr>
              <w:widowControl/>
              <w:jc w:val="center"/>
              <w:rPr>
                <w:color w:val="auto"/>
                <w:kern w:val="0"/>
              </w:rPr>
            </w:pPr>
            <w:r>
              <w:rPr>
                <w:rFonts w:hint="eastAsia"/>
                <w:color w:val="auto"/>
                <w:kern w:val="0"/>
              </w:rPr>
              <w:t>评审标准</w:t>
            </w:r>
          </w:p>
        </w:tc>
      </w:tr>
      <w:tr w14:paraId="651A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625" w:type="dxa"/>
            <w:vMerge w:val="restart"/>
            <w:noWrap w:val="0"/>
            <w:vAlign w:val="center"/>
          </w:tcPr>
          <w:p w14:paraId="10F39DEF">
            <w:pPr>
              <w:widowControl/>
              <w:jc w:val="center"/>
              <w:rPr>
                <w:color w:val="auto"/>
                <w:kern w:val="0"/>
              </w:rPr>
            </w:pPr>
            <w:r>
              <w:rPr>
                <w:rFonts w:hint="eastAsia"/>
                <w:color w:val="auto"/>
                <w:kern w:val="0"/>
              </w:rPr>
              <w:t>2.1.1</w:t>
            </w:r>
          </w:p>
        </w:tc>
        <w:tc>
          <w:tcPr>
            <w:tcW w:w="993" w:type="dxa"/>
            <w:vMerge w:val="restart"/>
            <w:noWrap w:val="0"/>
            <w:vAlign w:val="center"/>
          </w:tcPr>
          <w:p w14:paraId="628AC493">
            <w:pPr>
              <w:widowControl/>
              <w:jc w:val="center"/>
              <w:rPr>
                <w:color w:val="auto"/>
                <w:kern w:val="0"/>
              </w:rPr>
            </w:pPr>
            <w:r>
              <w:rPr>
                <w:rFonts w:hint="eastAsia"/>
                <w:color w:val="auto"/>
                <w:kern w:val="0"/>
              </w:rPr>
              <w:t>形式性评审</w:t>
            </w:r>
          </w:p>
        </w:tc>
        <w:tc>
          <w:tcPr>
            <w:tcW w:w="1984" w:type="dxa"/>
            <w:noWrap w:val="0"/>
            <w:vAlign w:val="center"/>
          </w:tcPr>
          <w:p w14:paraId="6A7E150C">
            <w:pPr>
              <w:pStyle w:val="6"/>
              <w:ind w:left="0" w:leftChars="0" w:right="63" w:rightChars="30" w:firstLine="0" w:firstLineChars="0"/>
              <w:jc w:val="center"/>
              <w:rPr>
                <w:color w:val="auto"/>
                <w:kern w:val="0"/>
              </w:rPr>
            </w:pPr>
            <w:r>
              <w:rPr>
                <w:rFonts w:hint="eastAsia" w:ascii="宋体" w:hAnsi="宋体" w:eastAsia="宋体" w:cs="宋体"/>
                <w:color w:val="auto"/>
                <w:szCs w:val="21"/>
                <w:lang w:val="en-US" w:eastAsia="zh-CN"/>
              </w:rPr>
              <w:t>供应商名称</w:t>
            </w:r>
          </w:p>
        </w:tc>
        <w:tc>
          <w:tcPr>
            <w:tcW w:w="5670" w:type="dxa"/>
            <w:noWrap w:val="0"/>
            <w:vAlign w:val="center"/>
          </w:tcPr>
          <w:p w14:paraId="614668F6">
            <w:pPr>
              <w:pStyle w:val="6"/>
              <w:ind w:left="0" w:leftChars="0" w:right="63" w:rightChars="30" w:firstLine="0" w:firstLineChars="0"/>
              <w:jc w:val="center"/>
              <w:rPr>
                <w:color w:val="auto"/>
                <w:kern w:val="0"/>
              </w:rPr>
            </w:pPr>
            <w:r>
              <w:rPr>
                <w:rFonts w:hint="eastAsia" w:ascii="宋体" w:hAnsi="宋体" w:eastAsia="宋体" w:cs="宋体"/>
                <w:color w:val="auto"/>
                <w:szCs w:val="21"/>
              </w:rPr>
              <w:t>与营业执照一致</w:t>
            </w:r>
          </w:p>
        </w:tc>
      </w:tr>
      <w:tr w14:paraId="4347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jc w:val="center"/>
        </w:trPr>
        <w:tc>
          <w:tcPr>
            <w:tcW w:w="625" w:type="dxa"/>
            <w:vMerge w:val="continue"/>
            <w:noWrap w:val="0"/>
            <w:vAlign w:val="center"/>
          </w:tcPr>
          <w:p w14:paraId="3A7EC307">
            <w:pPr>
              <w:widowControl/>
              <w:jc w:val="center"/>
              <w:rPr>
                <w:color w:val="auto"/>
                <w:kern w:val="0"/>
              </w:rPr>
            </w:pPr>
          </w:p>
        </w:tc>
        <w:tc>
          <w:tcPr>
            <w:tcW w:w="993" w:type="dxa"/>
            <w:vMerge w:val="continue"/>
            <w:noWrap w:val="0"/>
            <w:vAlign w:val="center"/>
          </w:tcPr>
          <w:p w14:paraId="12AB41B2">
            <w:pPr>
              <w:widowControl/>
              <w:jc w:val="center"/>
              <w:rPr>
                <w:color w:val="auto"/>
                <w:kern w:val="0"/>
              </w:rPr>
            </w:pPr>
          </w:p>
        </w:tc>
        <w:tc>
          <w:tcPr>
            <w:tcW w:w="1984" w:type="dxa"/>
            <w:noWrap w:val="0"/>
            <w:vAlign w:val="center"/>
          </w:tcPr>
          <w:p w14:paraId="15D9C0D2">
            <w:pPr>
              <w:pStyle w:val="6"/>
              <w:ind w:left="0" w:leftChars="0" w:right="63" w:rightChars="30" w:firstLine="0" w:firstLineChars="0"/>
              <w:jc w:val="center"/>
              <w:rPr>
                <w:color w:val="auto"/>
                <w:kern w:val="0"/>
              </w:rPr>
            </w:pPr>
            <w:r>
              <w:rPr>
                <w:rFonts w:hint="eastAsia" w:ascii="宋体" w:hAnsi="宋体" w:eastAsia="宋体" w:cs="宋体"/>
                <w:color w:val="auto"/>
                <w:szCs w:val="21"/>
                <w:lang w:val="en-US" w:eastAsia="zh-CN"/>
              </w:rPr>
              <w:t>投标函签字或盖章</w:t>
            </w:r>
          </w:p>
        </w:tc>
        <w:tc>
          <w:tcPr>
            <w:tcW w:w="5670" w:type="dxa"/>
            <w:noWrap w:val="0"/>
            <w:vAlign w:val="center"/>
          </w:tcPr>
          <w:p w14:paraId="1CEB5500">
            <w:pPr>
              <w:pStyle w:val="6"/>
              <w:ind w:left="0" w:leftChars="0" w:right="63" w:rightChars="30" w:firstLine="0" w:firstLineChars="0"/>
              <w:jc w:val="center"/>
              <w:rPr>
                <w:color w:val="auto"/>
                <w:kern w:val="0"/>
              </w:rPr>
            </w:pPr>
            <w:r>
              <w:rPr>
                <w:rFonts w:hint="eastAsia" w:ascii="宋体" w:hAnsi="宋体" w:eastAsia="宋体" w:cs="宋体"/>
                <w:color w:val="auto"/>
                <w:szCs w:val="21"/>
              </w:rPr>
              <w:t>符合第六章“</w:t>
            </w:r>
            <w:r>
              <w:rPr>
                <w:rFonts w:hint="eastAsia" w:ascii="宋体" w:hAnsi="宋体" w:eastAsia="宋体" w:cs="宋体"/>
                <w:color w:val="auto"/>
                <w:szCs w:val="21"/>
                <w:lang w:eastAsia="zh-CN"/>
              </w:rPr>
              <w:t>投标文件</w:t>
            </w:r>
            <w:r>
              <w:rPr>
                <w:rFonts w:hint="eastAsia" w:ascii="宋体" w:hAnsi="宋体" w:eastAsia="宋体" w:cs="宋体"/>
                <w:color w:val="auto"/>
                <w:szCs w:val="21"/>
              </w:rPr>
              <w:t>格式”的要求</w:t>
            </w:r>
          </w:p>
        </w:tc>
      </w:tr>
      <w:tr w14:paraId="10C7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jc w:val="center"/>
        </w:trPr>
        <w:tc>
          <w:tcPr>
            <w:tcW w:w="625" w:type="dxa"/>
            <w:vMerge w:val="continue"/>
            <w:noWrap w:val="0"/>
            <w:vAlign w:val="center"/>
          </w:tcPr>
          <w:p w14:paraId="0574CA74">
            <w:pPr>
              <w:widowControl/>
              <w:jc w:val="center"/>
              <w:rPr>
                <w:color w:val="auto"/>
                <w:kern w:val="0"/>
              </w:rPr>
            </w:pPr>
          </w:p>
        </w:tc>
        <w:tc>
          <w:tcPr>
            <w:tcW w:w="993" w:type="dxa"/>
            <w:vMerge w:val="continue"/>
            <w:noWrap w:val="0"/>
            <w:vAlign w:val="center"/>
          </w:tcPr>
          <w:p w14:paraId="59E3A6F6">
            <w:pPr>
              <w:widowControl/>
              <w:jc w:val="center"/>
              <w:rPr>
                <w:color w:val="auto"/>
                <w:kern w:val="0"/>
              </w:rPr>
            </w:pPr>
          </w:p>
        </w:tc>
        <w:tc>
          <w:tcPr>
            <w:tcW w:w="1984" w:type="dxa"/>
            <w:noWrap w:val="0"/>
            <w:vAlign w:val="center"/>
          </w:tcPr>
          <w:p w14:paraId="6DD1A637">
            <w:pPr>
              <w:pStyle w:val="6"/>
              <w:ind w:left="0" w:leftChars="0" w:right="63" w:rightChars="30" w:firstLine="0" w:firstLineChars="0"/>
              <w:jc w:val="center"/>
              <w:rPr>
                <w:color w:val="auto"/>
                <w:kern w:val="0"/>
              </w:rPr>
            </w:pPr>
            <w:r>
              <w:rPr>
                <w:rFonts w:hint="eastAsia" w:ascii="宋体" w:hAnsi="宋体" w:eastAsia="宋体" w:cs="宋体"/>
                <w:color w:val="auto"/>
                <w:szCs w:val="21"/>
                <w:lang w:val="en-US" w:eastAsia="zh-CN"/>
              </w:rPr>
              <w:t>投标文件格式</w:t>
            </w:r>
          </w:p>
        </w:tc>
        <w:tc>
          <w:tcPr>
            <w:tcW w:w="5670" w:type="dxa"/>
            <w:noWrap w:val="0"/>
            <w:vAlign w:val="center"/>
          </w:tcPr>
          <w:p w14:paraId="308F87FC">
            <w:pPr>
              <w:pStyle w:val="6"/>
              <w:ind w:left="0" w:leftChars="0" w:right="63" w:rightChars="30" w:firstLine="0" w:firstLineChars="0"/>
              <w:jc w:val="center"/>
              <w:rPr>
                <w:color w:val="auto"/>
                <w:kern w:val="0"/>
              </w:rPr>
            </w:pPr>
            <w:r>
              <w:rPr>
                <w:rFonts w:hint="eastAsia" w:ascii="宋体" w:hAnsi="宋体" w:eastAsia="宋体" w:cs="宋体"/>
                <w:color w:val="auto"/>
                <w:szCs w:val="21"/>
              </w:rPr>
              <w:t>符合第六章“</w:t>
            </w:r>
            <w:r>
              <w:rPr>
                <w:rFonts w:hint="eastAsia" w:ascii="宋体" w:hAnsi="宋体" w:eastAsia="宋体" w:cs="宋体"/>
                <w:color w:val="auto"/>
                <w:szCs w:val="21"/>
                <w:lang w:eastAsia="zh-CN"/>
              </w:rPr>
              <w:t>投标文件</w:t>
            </w:r>
            <w:r>
              <w:rPr>
                <w:rFonts w:hint="eastAsia" w:ascii="宋体" w:hAnsi="宋体" w:eastAsia="宋体" w:cs="宋体"/>
                <w:color w:val="auto"/>
                <w:szCs w:val="21"/>
              </w:rPr>
              <w:t>格式”的要求</w:t>
            </w:r>
          </w:p>
        </w:tc>
      </w:tr>
      <w:tr w14:paraId="2B64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jc w:val="center"/>
        </w:trPr>
        <w:tc>
          <w:tcPr>
            <w:tcW w:w="625" w:type="dxa"/>
            <w:vMerge w:val="continue"/>
            <w:noWrap w:val="0"/>
            <w:vAlign w:val="center"/>
          </w:tcPr>
          <w:p w14:paraId="65165FB2">
            <w:pPr>
              <w:widowControl/>
              <w:jc w:val="center"/>
              <w:rPr>
                <w:color w:val="auto"/>
                <w:kern w:val="0"/>
              </w:rPr>
            </w:pPr>
          </w:p>
        </w:tc>
        <w:tc>
          <w:tcPr>
            <w:tcW w:w="993" w:type="dxa"/>
            <w:vMerge w:val="continue"/>
            <w:noWrap w:val="0"/>
            <w:vAlign w:val="center"/>
          </w:tcPr>
          <w:p w14:paraId="7B68FACD">
            <w:pPr>
              <w:widowControl/>
              <w:jc w:val="center"/>
              <w:rPr>
                <w:color w:val="auto"/>
                <w:kern w:val="0"/>
              </w:rPr>
            </w:pPr>
          </w:p>
        </w:tc>
        <w:tc>
          <w:tcPr>
            <w:tcW w:w="1984" w:type="dxa"/>
            <w:noWrap w:val="0"/>
            <w:vAlign w:val="center"/>
          </w:tcPr>
          <w:p w14:paraId="568ED3ED">
            <w:pPr>
              <w:pStyle w:val="6"/>
              <w:ind w:left="0" w:leftChars="0" w:right="63" w:rightChars="30" w:firstLine="0" w:firstLineChars="0"/>
              <w:jc w:val="center"/>
              <w:rPr>
                <w:color w:val="auto"/>
                <w:kern w:val="0"/>
              </w:rPr>
            </w:pPr>
            <w:r>
              <w:rPr>
                <w:rFonts w:hint="eastAsia" w:ascii="宋体" w:hAnsi="宋体" w:eastAsia="宋体" w:cs="宋体"/>
                <w:color w:val="auto"/>
                <w:szCs w:val="21"/>
                <w:lang w:val="en-US" w:eastAsia="zh-CN"/>
              </w:rPr>
              <w:t>报价唯一</w:t>
            </w:r>
          </w:p>
        </w:tc>
        <w:tc>
          <w:tcPr>
            <w:tcW w:w="5670" w:type="dxa"/>
            <w:noWrap w:val="0"/>
            <w:vAlign w:val="center"/>
          </w:tcPr>
          <w:p w14:paraId="5D76726B">
            <w:pPr>
              <w:pStyle w:val="6"/>
              <w:ind w:left="0" w:leftChars="0" w:right="63" w:rightChars="30" w:firstLine="0" w:firstLineChars="0"/>
              <w:jc w:val="center"/>
              <w:rPr>
                <w:color w:val="auto"/>
                <w:kern w:val="0"/>
              </w:rPr>
            </w:pPr>
            <w:r>
              <w:rPr>
                <w:rFonts w:hint="eastAsia" w:ascii="宋体" w:hAnsi="宋体" w:eastAsia="宋体" w:cs="宋体"/>
                <w:color w:val="auto"/>
                <w:szCs w:val="21"/>
              </w:rPr>
              <w:t>只能有一个有效报价</w:t>
            </w:r>
          </w:p>
        </w:tc>
      </w:tr>
      <w:tr w14:paraId="0C45A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exact"/>
          <w:jc w:val="center"/>
        </w:trPr>
        <w:tc>
          <w:tcPr>
            <w:tcW w:w="625" w:type="dxa"/>
            <w:vMerge w:val="restart"/>
            <w:noWrap w:val="0"/>
            <w:vAlign w:val="center"/>
          </w:tcPr>
          <w:p w14:paraId="15BE440A">
            <w:pPr>
              <w:widowControl/>
              <w:jc w:val="center"/>
              <w:rPr>
                <w:color w:val="auto"/>
                <w:kern w:val="0"/>
              </w:rPr>
            </w:pPr>
            <w:r>
              <w:rPr>
                <w:rFonts w:hint="eastAsia"/>
                <w:color w:val="auto"/>
                <w:kern w:val="0"/>
              </w:rPr>
              <w:t>2.1.2</w:t>
            </w:r>
          </w:p>
        </w:tc>
        <w:tc>
          <w:tcPr>
            <w:tcW w:w="993" w:type="dxa"/>
            <w:vMerge w:val="restart"/>
            <w:noWrap w:val="0"/>
            <w:vAlign w:val="center"/>
          </w:tcPr>
          <w:p w14:paraId="6B6C7A66">
            <w:pPr>
              <w:widowControl/>
              <w:jc w:val="center"/>
              <w:rPr>
                <w:color w:val="auto"/>
              </w:rPr>
            </w:pPr>
            <w:r>
              <w:rPr>
                <w:rFonts w:hint="eastAsia"/>
                <w:color w:val="auto"/>
              </w:rPr>
              <w:t>资格审查</w:t>
            </w:r>
            <w:r>
              <w:rPr>
                <w:rFonts w:hint="eastAsia"/>
                <w:color w:val="auto"/>
                <w:kern w:val="0"/>
              </w:rPr>
              <w:t>标准</w:t>
            </w:r>
          </w:p>
        </w:tc>
        <w:tc>
          <w:tcPr>
            <w:tcW w:w="1984" w:type="dxa"/>
            <w:noWrap w:val="0"/>
            <w:vAlign w:val="center"/>
          </w:tcPr>
          <w:p w14:paraId="2A5A8F73">
            <w:pPr>
              <w:pStyle w:val="6"/>
              <w:ind w:left="0" w:leftChars="0" w:right="63" w:rightChars="30" w:firstLine="0" w:firstLineChars="0"/>
              <w:jc w:val="center"/>
              <w:rPr>
                <w:color w:val="auto"/>
                <w:kern w:val="0"/>
              </w:rPr>
            </w:pPr>
            <w:r>
              <w:rPr>
                <w:rFonts w:hint="eastAsia" w:ascii="宋体" w:hAnsi="宋体" w:eastAsia="宋体" w:cs="宋体"/>
                <w:color w:val="auto"/>
                <w:szCs w:val="21"/>
                <w:lang w:val="en-US" w:eastAsia="zh-CN"/>
              </w:rPr>
              <w:t>营业执照</w:t>
            </w:r>
          </w:p>
        </w:tc>
        <w:tc>
          <w:tcPr>
            <w:tcW w:w="5670" w:type="dxa"/>
            <w:noWrap w:val="0"/>
            <w:vAlign w:val="center"/>
          </w:tcPr>
          <w:p w14:paraId="5ACE9970">
            <w:pPr>
              <w:pStyle w:val="6"/>
              <w:ind w:left="0" w:leftChars="0" w:right="63" w:rightChars="30" w:firstLine="0" w:firstLineChars="0"/>
              <w:jc w:val="center"/>
              <w:rPr>
                <w:color w:val="auto"/>
                <w:kern w:val="0"/>
              </w:rPr>
            </w:pPr>
            <w:r>
              <w:rPr>
                <w:rFonts w:hint="eastAsia" w:ascii="宋体" w:hAnsi="宋体" w:eastAsia="宋体" w:cs="宋体"/>
                <w:color w:val="auto"/>
                <w:szCs w:val="21"/>
              </w:rPr>
              <w:t>符合第二章“</w:t>
            </w:r>
            <w:r>
              <w:rPr>
                <w:rFonts w:hint="eastAsia" w:ascii="宋体" w:hAnsi="宋体" w:eastAsia="宋体" w:cs="宋体"/>
                <w:color w:val="auto"/>
                <w:szCs w:val="21"/>
                <w:lang w:eastAsia="zh-CN"/>
              </w:rPr>
              <w:t>供应商须知</w:t>
            </w:r>
            <w:r>
              <w:rPr>
                <w:rFonts w:hint="eastAsia" w:ascii="宋体" w:hAnsi="宋体" w:eastAsia="宋体" w:cs="宋体"/>
                <w:color w:val="auto"/>
                <w:szCs w:val="21"/>
              </w:rPr>
              <w:t>前附表”</w:t>
            </w:r>
            <w:r>
              <w:rPr>
                <w:rFonts w:hint="eastAsia" w:ascii="宋体" w:hAnsi="宋体" w:eastAsia="宋体" w:cs="宋体"/>
                <w:color w:val="auto"/>
                <w:szCs w:val="21"/>
                <w:lang w:val="en-US" w:eastAsia="zh-CN"/>
              </w:rPr>
              <w:t>1.4.1</w:t>
            </w:r>
            <w:r>
              <w:rPr>
                <w:rFonts w:hint="eastAsia" w:ascii="宋体" w:hAnsi="宋体" w:eastAsia="宋体" w:cs="宋体"/>
                <w:color w:val="auto"/>
                <w:szCs w:val="21"/>
              </w:rPr>
              <w:t>规定</w:t>
            </w:r>
          </w:p>
        </w:tc>
      </w:tr>
      <w:tr w14:paraId="0F87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exact"/>
          <w:jc w:val="center"/>
        </w:trPr>
        <w:tc>
          <w:tcPr>
            <w:tcW w:w="625" w:type="dxa"/>
            <w:vMerge w:val="continue"/>
            <w:noWrap w:val="0"/>
            <w:vAlign w:val="center"/>
          </w:tcPr>
          <w:p w14:paraId="558256A9">
            <w:pPr>
              <w:widowControl/>
              <w:jc w:val="center"/>
              <w:rPr>
                <w:rFonts w:hint="eastAsia"/>
                <w:color w:val="auto"/>
                <w:kern w:val="0"/>
              </w:rPr>
            </w:pPr>
          </w:p>
        </w:tc>
        <w:tc>
          <w:tcPr>
            <w:tcW w:w="993" w:type="dxa"/>
            <w:vMerge w:val="continue"/>
            <w:noWrap w:val="0"/>
            <w:vAlign w:val="center"/>
          </w:tcPr>
          <w:p w14:paraId="2BC1D711">
            <w:pPr>
              <w:widowControl/>
              <w:jc w:val="center"/>
              <w:rPr>
                <w:rFonts w:hint="eastAsia"/>
                <w:color w:val="auto"/>
              </w:rPr>
            </w:pPr>
          </w:p>
        </w:tc>
        <w:tc>
          <w:tcPr>
            <w:tcW w:w="1984" w:type="dxa"/>
            <w:noWrap w:val="0"/>
            <w:vAlign w:val="center"/>
          </w:tcPr>
          <w:p w14:paraId="0F6E5998">
            <w:pPr>
              <w:pStyle w:val="6"/>
              <w:ind w:left="0" w:leftChars="0" w:right="63" w:rightChars="30" w:firstLine="0" w:firstLineChars="0"/>
              <w:jc w:val="center"/>
              <w:rPr>
                <w:rFonts w:hint="eastAsia" w:eastAsia="宋体"/>
                <w:color w:val="auto"/>
                <w:kern w:val="0"/>
                <w:lang w:val="en-US" w:eastAsia="zh-CN"/>
              </w:rPr>
            </w:pPr>
            <w:r>
              <w:rPr>
                <w:rFonts w:hint="eastAsia" w:ascii="宋体" w:hAnsi="宋体" w:eastAsia="宋体" w:cs="宋体"/>
                <w:color w:val="auto"/>
                <w:szCs w:val="21"/>
                <w:lang w:val="en-US" w:eastAsia="zh-CN"/>
              </w:rPr>
              <w:t>具有良好的商业信誉和健全的财务会计制度</w:t>
            </w:r>
          </w:p>
        </w:tc>
        <w:tc>
          <w:tcPr>
            <w:tcW w:w="5670" w:type="dxa"/>
            <w:noWrap w:val="0"/>
            <w:vAlign w:val="center"/>
          </w:tcPr>
          <w:p w14:paraId="2DAF62AE">
            <w:pPr>
              <w:pStyle w:val="6"/>
              <w:ind w:left="0" w:leftChars="0" w:right="63" w:rightChars="30" w:firstLine="0" w:firstLineChars="0"/>
              <w:jc w:val="center"/>
              <w:rPr>
                <w:rFonts w:hint="eastAsia"/>
                <w:color w:val="auto"/>
                <w:kern w:val="0"/>
              </w:rPr>
            </w:pPr>
            <w:r>
              <w:rPr>
                <w:rFonts w:hint="eastAsia" w:ascii="宋体" w:hAnsi="宋体" w:eastAsia="宋体" w:cs="宋体"/>
                <w:color w:val="auto"/>
                <w:szCs w:val="21"/>
              </w:rPr>
              <w:t>符合第二章“</w:t>
            </w:r>
            <w:r>
              <w:rPr>
                <w:rFonts w:hint="eastAsia" w:ascii="宋体" w:hAnsi="宋体" w:eastAsia="宋体" w:cs="宋体"/>
                <w:color w:val="auto"/>
                <w:szCs w:val="21"/>
                <w:lang w:eastAsia="zh-CN"/>
              </w:rPr>
              <w:t>供应商须知</w:t>
            </w:r>
            <w:r>
              <w:rPr>
                <w:rFonts w:hint="eastAsia" w:ascii="宋体" w:hAnsi="宋体" w:eastAsia="宋体" w:cs="宋体"/>
                <w:color w:val="auto"/>
                <w:szCs w:val="21"/>
              </w:rPr>
              <w:t>前附表”</w:t>
            </w:r>
            <w:r>
              <w:rPr>
                <w:rFonts w:hint="eastAsia" w:ascii="宋体" w:hAnsi="宋体" w:eastAsia="宋体" w:cs="宋体"/>
                <w:color w:val="auto"/>
                <w:szCs w:val="21"/>
                <w:lang w:val="en-US" w:eastAsia="zh-CN"/>
              </w:rPr>
              <w:t>1.4.1</w:t>
            </w:r>
            <w:r>
              <w:rPr>
                <w:rFonts w:hint="eastAsia" w:ascii="宋体" w:hAnsi="宋体" w:eastAsia="宋体" w:cs="宋体"/>
                <w:color w:val="auto"/>
                <w:szCs w:val="21"/>
              </w:rPr>
              <w:t>规定</w:t>
            </w:r>
          </w:p>
        </w:tc>
      </w:tr>
      <w:tr w14:paraId="644C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exact"/>
          <w:jc w:val="center"/>
        </w:trPr>
        <w:tc>
          <w:tcPr>
            <w:tcW w:w="625" w:type="dxa"/>
            <w:vMerge w:val="continue"/>
            <w:noWrap w:val="0"/>
            <w:vAlign w:val="center"/>
          </w:tcPr>
          <w:p w14:paraId="57046960">
            <w:pPr>
              <w:widowControl/>
              <w:jc w:val="center"/>
              <w:rPr>
                <w:color w:val="auto"/>
                <w:kern w:val="0"/>
              </w:rPr>
            </w:pPr>
          </w:p>
        </w:tc>
        <w:tc>
          <w:tcPr>
            <w:tcW w:w="993" w:type="dxa"/>
            <w:vMerge w:val="continue"/>
            <w:noWrap w:val="0"/>
            <w:vAlign w:val="center"/>
          </w:tcPr>
          <w:p w14:paraId="3CDE245E">
            <w:pPr>
              <w:widowControl/>
              <w:jc w:val="center"/>
              <w:rPr>
                <w:color w:val="auto"/>
                <w:kern w:val="0"/>
              </w:rPr>
            </w:pPr>
          </w:p>
        </w:tc>
        <w:tc>
          <w:tcPr>
            <w:tcW w:w="1984" w:type="dxa"/>
            <w:noWrap w:val="0"/>
            <w:vAlign w:val="center"/>
          </w:tcPr>
          <w:p w14:paraId="3D679CBC">
            <w:pPr>
              <w:pStyle w:val="6"/>
              <w:ind w:left="0" w:leftChars="0" w:right="63" w:rightChars="30" w:firstLine="0" w:firstLineChars="0"/>
              <w:jc w:val="center"/>
              <w:rPr>
                <w:color w:val="auto"/>
                <w:kern w:val="0"/>
              </w:rPr>
            </w:pPr>
            <w:r>
              <w:rPr>
                <w:rFonts w:hint="eastAsia" w:ascii="宋体" w:hAnsi="宋体" w:eastAsia="宋体" w:cs="宋体"/>
                <w:color w:val="auto"/>
                <w:szCs w:val="21"/>
                <w:lang w:val="en-US" w:eastAsia="zh-CN"/>
              </w:rPr>
              <w:t>具有依法缴纳税收和社会保障资金的良好记录</w:t>
            </w:r>
          </w:p>
        </w:tc>
        <w:tc>
          <w:tcPr>
            <w:tcW w:w="5670" w:type="dxa"/>
            <w:noWrap w:val="0"/>
            <w:vAlign w:val="center"/>
          </w:tcPr>
          <w:p w14:paraId="6670569E">
            <w:pPr>
              <w:pStyle w:val="6"/>
              <w:ind w:left="0" w:leftChars="0" w:right="63" w:rightChars="30" w:firstLine="0" w:firstLineChars="0"/>
              <w:jc w:val="center"/>
              <w:rPr>
                <w:color w:val="auto"/>
                <w:kern w:val="0"/>
              </w:rPr>
            </w:pPr>
            <w:r>
              <w:rPr>
                <w:rFonts w:hint="eastAsia" w:ascii="宋体" w:hAnsi="宋体" w:eastAsia="宋体" w:cs="宋体"/>
                <w:color w:val="auto"/>
                <w:szCs w:val="21"/>
              </w:rPr>
              <w:t>符合第二章“</w:t>
            </w:r>
            <w:r>
              <w:rPr>
                <w:rFonts w:hint="eastAsia" w:ascii="宋体" w:hAnsi="宋体" w:eastAsia="宋体" w:cs="宋体"/>
                <w:color w:val="auto"/>
                <w:szCs w:val="21"/>
                <w:lang w:eastAsia="zh-CN"/>
              </w:rPr>
              <w:t>供应商须知</w:t>
            </w:r>
            <w:r>
              <w:rPr>
                <w:rFonts w:hint="eastAsia" w:ascii="宋体" w:hAnsi="宋体" w:eastAsia="宋体" w:cs="宋体"/>
                <w:color w:val="auto"/>
                <w:szCs w:val="21"/>
              </w:rPr>
              <w:t>前附表”</w:t>
            </w:r>
            <w:r>
              <w:rPr>
                <w:rFonts w:hint="eastAsia" w:ascii="宋体" w:hAnsi="宋体" w:eastAsia="宋体" w:cs="宋体"/>
                <w:color w:val="auto"/>
                <w:szCs w:val="21"/>
                <w:lang w:val="en-US" w:eastAsia="zh-CN"/>
              </w:rPr>
              <w:t>1.4.1</w:t>
            </w:r>
            <w:r>
              <w:rPr>
                <w:rFonts w:hint="eastAsia" w:ascii="宋体" w:hAnsi="宋体" w:eastAsia="宋体" w:cs="宋体"/>
                <w:color w:val="auto"/>
                <w:szCs w:val="21"/>
              </w:rPr>
              <w:t>规定</w:t>
            </w:r>
          </w:p>
        </w:tc>
      </w:tr>
      <w:tr w14:paraId="7FE3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exact"/>
          <w:jc w:val="center"/>
        </w:trPr>
        <w:tc>
          <w:tcPr>
            <w:tcW w:w="625" w:type="dxa"/>
            <w:vMerge w:val="continue"/>
            <w:noWrap w:val="0"/>
            <w:vAlign w:val="center"/>
          </w:tcPr>
          <w:p w14:paraId="62645891">
            <w:pPr>
              <w:widowControl/>
              <w:jc w:val="center"/>
              <w:rPr>
                <w:color w:val="auto"/>
                <w:kern w:val="0"/>
              </w:rPr>
            </w:pPr>
          </w:p>
        </w:tc>
        <w:tc>
          <w:tcPr>
            <w:tcW w:w="993" w:type="dxa"/>
            <w:vMerge w:val="continue"/>
            <w:noWrap w:val="0"/>
            <w:vAlign w:val="center"/>
          </w:tcPr>
          <w:p w14:paraId="291CAD33">
            <w:pPr>
              <w:widowControl/>
              <w:jc w:val="center"/>
              <w:rPr>
                <w:color w:val="auto"/>
                <w:kern w:val="0"/>
              </w:rPr>
            </w:pPr>
          </w:p>
        </w:tc>
        <w:tc>
          <w:tcPr>
            <w:tcW w:w="1984" w:type="dxa"/>
            <w:noWrap w:val="0"/>
            <w:vAlign w:val="center"/>
          </w:tcPr>
          <w:p w14:paraId="574CE7C3">
            <w:pPr>
              <w:pStyle w:val="6"/>
              <w:ind w:left="0" w:leftChars="0" w:right="63" w:rightChars="30" w:firstLine="0" w:firstLineChars="0"/>
              <w:jc w:val="center"/>
              <w:rPr>
                <w:color w:val="auto"/>
                <w:kern w:val="0"/>
              </w:rPr>
            </w:pPr>
            <w:r>
              <w:rPr>
                <w:rFonts w:hint="eastAsia" w:ascii="宋体" w:hAnsi="宋体" w:eastAsia="宋体" w:cs="宋体"/>
                <w:color w:val="auto"/>
                <w:szCs w:val="21"/>
                <w:lang w:val="en-US" w:eastAsia="zh-CN"/>
              </w:rPr>
              <w:t>具备履行合同所必需的设备和专业技术能力</w:t>
            </w:r>
          </w:p>
        </w:tc>
        <w:tc>
          <w:tcPr>
            <w:tcW w:w="5670" w:type="dxa"/>
            <w:noWrap w:val="0"/>
            <w:vAlign w:val="center"/>
          </w:tcPr>
          <w:p w14:paraId="7DBE2DEF">
            <w:pPr>
              <w:pStyle w:val="6"/>
              <w:ind w:left="0" w:leftChars="0" w:right="63" w:rightChars="30" w:firstLine="0" w:firstLineChars="0"/>
              <w:jc w:val="center"/>
              <w:rPr>
                <w:color w:val="auto"/>
                <w:kern w:val="0"/>
              </w:rPr>
            </w:pPr>
            <w:r>
              <w:rPr>
                <w:rFonts w:hint="eastAsia" w:ascii="宋体" w:hAnsi="宋体" w:eastAsia="宋体" w:cs="宋体"/>
                <w:color w:val="auto"/>
                <w:szCs w:val="21"/>
              </w:rPr>
              <w:t>符合第二章“</w:t>
            </w:r>
            <w:r>
              <w:rPr>
                <w:rFonts w:hint="eastAsia" w:ascii="宋体" w:hAnsi="宋体" w:eastAsia="宋体" w:cs="宋体"/>
                <w:color w:val="auto"/>
                <w:szCs w:val="21"/>
                <w:lang w:eastAsia="zh-CN"/>
              </w:rPr>
              <w:t>供应商须知</w:t>
            </w:r>
            <w:r>
              <w:rPr>
                <w:rFonts w:hint="eastAsia" w:ascii="宋体" w:hAnsi="宋体" w:eastAsia="宋体" w:cs="宋体"/>
                <w:color w:val="auto"/>
                <w:szCs w:val="21"/>
              </w:rPr>
              <w:t>前附表”</w:t>
            </w:r>
            <w:r>
              <w:rPr>
                <w:rFonts w:hint="eastAsia" w:ascii="宋体" w:hAnsi="宋体" w:eastAsia="宋体" w:cs="宋体"/>
                <w:color w:val="auto"/>
                <w:szCs w:val="21"/>
                <w:lang w:val="en-US" w:eastAsia="zh-CN"/>
              </w:rPr>
              <w:t>1.4.1</w:t>
            </w:r>
            <w:r>
              <w:rPr>
                <w:rFonts w:hint="eastAsia" w:ascii="宋体" w:hAnsi="宋体" w:eastAsia="宋体" w:cs="宋体"/>
                <w:color w:val="auto"/>
                <w:szCs w:val="21"/>
              </w:rPr>
              <w:t>规定</w:t>
            </w:r>
          </w:p>
        </w:tc>
      </w:tr>
      <w:tr w14:paraId="4874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25" w:type="dxa"/>
            <w:vMerge w:val="continue"/>
            <w:noWrap w:val="0"/>
            <w:vAlign w:val="center"/>
          </w:tcPr>
          <w:p w14:paraId="73602677">
            <w:pPr>
              <w:widowControl/>
              <w:jc w:val="center"/>
              <w:rPr>
                <w:color w:val="auto"/>
                <w:kern w:val="0"/>
              </w:rPr>
            </w:pPr>
          </w:p>
        </w:tc>
        <w:tc>
          <w:tcPr>
            <w:tcW w:w="993" w:type="dxa"/>
            <w:vMerge w:val="continue"/>
            <w:noWrap w:val="0"/>
            <w:vAlign w:val="center"/>
          </w:tcPr>
          <w:p w14:paraId="334055E2">
            <w:pPr>
              <w:widowControl/>
              <w:jc w:val="center"/>
              <w:rPr>
                <w:color w:val="auto"/>
                <w:kern w:val="0"/>
              </w:rPr>
            </w:pPr>
          </w:p>
        </w:tc>
        <w:tc>
          <w:tcPr>
            <w:tcW w:w="1984" w:type="dxa"/>
            <w:noWrap w:val="0"/>
            <w:vAlign w:val="center"/>
          </w:tcPr>
          <w:p w14:paraId="3409BC7C">
            <w:pPr>
              <w:pStyle w:val="6"/>
              <w:ind w:left="0" w:leftChars="0" w:right="63" w:rightChars="30" w:firstLine="0" w:firstLineChars="0"/>
              <w:jc w:val="center"/>
              <w:rPr>
                <w:rFonts w:hint="eastAsia" w:eastAsia="宋体"/>
                <w:color w:val="auto"/>
                <w:kern w:val="0"/>
                <w:lang w:val="en-US" w:eastAsia="zh-CN"/>
              </w:rPr>
            </w:pPr>
            <w:r>
              <w:rPr>
                <w:rFonts w:hint="eastAsia" w:ascii="宋体" w:hAnsi="宋体" w:eastAsia="宋体" w:cs="宋体"/>
                <w:color w:val="auto"/>
                <w:szCs w:val="21"/>
                <w:lang w:val="en-US" w:eastAsia="zh-CN"/>
              </w:rPr>
              <w:t>参加政府采购活动前三年内，在经营活动中没有重大违法记录</w:t>
            </w:r>
          </w:p>
        </w:tc>
        <w:tc>
          <w:tcPr>
            <w:tcW w:w="5670" w:type="dxa"/>
            <w:noWrap w:val="0"/>
            <w:vAlign w:val="center"/>
          </w:tcPr>
          <w:p w14:paraId="3851504D">
            <w:pPr>
              <w:pStyle w:val="6"/>
              <w:ind w:left="0" w:leftChars="0" w:right="63" w:rightChars="30" w:firstLine="0" w:firstLineChars="0"/>
              <w:jc w:val="center"/>
              <w:rPr>
                <w:color w:val="auto"/>
                <w:kern w:val="0"/>
              </w:rPr>
            </w:pPr>
            <w:r>
              <w:rPr>
                <w:rFonts w:hint="eastAsia" w:ascii="宋体" w:hAnsi="宋体" w:eastAsia="宋体" w:cs="宋体"/>
                <w:color w:val="auto"/>
                <w:szCs w:val="21"/>
              </w:rPr>
              <w:t>符合第二章“</w:t>
            </w:r>
            <w:r>
              <w:rPr>
                <w:rFonts w:hint="eastAsia" w:ascii="宋体" w:hAnsi="宋体" w:eastAsia="宋体" w:cs="宋体"/>
                <w:color w:val="auto"/>
                <w:szCs w:val="21"/>
                <w:lang w:eastAsia="zh-CN"/>
              </w:rPr>
              <w:t>供应商须知</w:t>
            </w:r>
            <w:r>
              <w:rPr>
                <w:rFonts w:hint="eastAsia" w:ascii="宋体" w:hAnsi="宋体" w:eastAsia="宋体" w:cs="宋体"/>
                <w:color w:val="auto"/>
                <w:szCs w:val="21"/>
              </w:rPr>
              <w:t>前附表”</w:t>
            </w:r>
            <w:r>
              <w:rPr>
                <w:rFonts w:hint="eastAsia" w:ascii="宋体" w:hAnsi="宋体" w:eastAsia="宋体" w:cs="宋体"/>
                <w:color w:val="auto"/>
                <w:szCs w:val="21"/>
                <w:lang w:val="en-US" w:eastAsia="zh-CN"/>
              </w:rPr>
              <w:t>1.4.1</w:t>
            </w:r>
            <w:r>
              <w:rPr>
                <w:rFonts w:hint="eastAsia" w:ascii="宋体" w:hAnsi="宋体" w:eastAsia="宋体" w:cs="宋体"/>
                <w:color w:val="auto"/>
                <w:szCs w:val="21"/>
              </w:rPr>
              <w:t>规定</w:t>
            </w:r>
          </w:p>
        </w:tc>
      </w:tr>
      <w:tr w14:paraId="3914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25" w:type="dxa"/>
            <w:vMerge w:val="continue"/>
            <w:noWrap w:val="0"/>
            <w:vAlign w:val="center"/>
          </w:tcPr>
          <w:p w14:paraId="24CBB401">
            <w:pPr>
              <w:widowControl/>
              <w:jc w:val="center"/>
              <w:rPr>
                <w:color w:val="auto"/>
              </w:rPr>
            </w:pPr>
          </w:p>
        </w:tc>
        <w:tc>
          <w:tcPr>
            <w:tcW w:w="993" w:type="dxa"/>
            <w:vMerge w:val="continue"/>
            <w:noWrap w:val="0"/>
            <w:vAlign w:val="center"/>
          </w:tcPr>
          <w:p w14:paraId="5DA847EB">
            <w:pPr>
              <w:widowControl/>
              <w:jc w:val="center"/>
              <w:rPr>
                <w:color w:val="auto"/>
              </w:rPr>
            </w:pPr>
          </w:p>
        </w:tc>
        <w:tc>
          <w:tcPr>
            <w:tcW w:w="1984" w:type="dxa"/>
            <w:noWrap w:val="0"/>
            <w:vAlign w:val="center"/>
          </w:tcPr>
          <w:p w14:paraId="46042AF9">
            <w:pPr>
              <w:pStyle w:val="6"/>
              <w:ind w:left="0" w:leftChars="0" w:right="63" w:rightChars="30" w:firstLine="0" w:firstLineChars="0"/>
              <w:jc w:val="center"/>
              <w:rPr>
                <w:rFonts w:hint="eastAsia"/>
                <w:color w:val="auto"/>
              </w:rPr>
            </w:pPr>
            <w:r>
              <w:rPr>
                <w:rFonts w:hint="eastAsia" w:ascii="宋体" w:hAnsi="宋体" w:eastAsia="宋体" w:cs="宋体"/>
                <w:color w:val="auto"/>
                <w:szCs w:val="21"/>
                <w:lang w:val="en-US" w:eastAsia="zh-CN"/>
              </w:rPr>
              <w:t>应为保险公司总部或省（市）级分公司、中心支公司、县级支公司（不含营销服务部）</w:t>
            </w:r>
          </w:p>
        </w:tc>
        <w:tc>
          <w:tcPr>
            <w:tcW w:w="5670" w:type="dxa"/>
            <w:noWrap w:val="0"/>
            <w:vAlign w:val="center"/>
          </w:tcPr>
          <w:p w14:paraId="15CEB035">
            <w:pPr>
              <w:pStyle w:val="6"/>
              <w:ind w:left="0" w:leftChars="0" w:right="63" w:rightChars="30" w:firstLine="0" w:firstLineChars="0"/>
              <w:jc w:val="center"/>
              <w:rPr>
                <w:rFonts w:hint="eastAsia"/>
                <w:color w:val="auto"/>
              </w:rPr>
            </w:pPr>
            <w:r>
              <w:rPr>
                <w:rFonts w:hint="eastAsia" w:ascii="宋体" w:hAnsi="宋体" w:eastAsia="宋体" w:cs="宋体"/>
                <w:color w:val="auto"/>
                <w:szCs w:val="21"/>
              </w:rPr>
              <w:t>符合第二章“</w:t>
            </w:r>
            <w:r>
              <w:rPr>
                <w:rFonts w:hint="eastAsia" w:ascii="宋体" w:hAnsi="宋体" w:eastAsia="宋体" w:cs="宋体"/>
                <w:color w:val="auto"/>
                <w:szCs w:val="21"/>
                <w:lang w:eastAsia="zh-CN"/>
              </w:rPr>
              <w:t>供应商须知</w:t>
            </w:r>
            <w:r>
              <w:rPr>
                <w:rFonts w:hint="eastAsia" w:ascii="宋体" w:hAnsi="宋体" w:eastAsia="宋体" w:cs="宋体"/>
                <w:color w:val="auto"/>
                <w:szCs w:val="21"/>
              </w:rPr>
              <w:t>前附表”</w:t>
            </w:r>
            <w:r>
              <w:rPr>
                <w:rFonts w:hint="eastAsia" w:ascii="宋体" w:hAnsi="宋体" w:eastAsia="宋体" w:cs="宋体"/>
                <w:color w:val="auto"/>
                <w:szCs w:val="21"/>
                <w:lang w:val="en-US" w:eastAsia="zh-CN"/>
              </w:rPr>
              <w:t>1.4.1</w:t>
            </w:r>
            <w:r>
              <w:rPr>
                <w:rFonts w:hint="eastAsia" w:ascii="宋体" w:hAnsi="宋体" w:eastAsia="宋体" w:cs="宋体"/>
                <w:color w:val="auto"/>
                <w:szCs w:val="21"/>
              </w:rPr>
              <w:t>规定</w:t>
            </w:r>
          </w:p>
        </w:tc>
      </w:tr>
      <w:tr w14:paraId="1F3C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25" w:type="dxa"/>
            <w:vMerge w:val="continue"/>
            <w:noWrap w:val="0"/>
            <w:vAlign w:val="center"/>
          </w:tcPr>
          <w:p w14:paraId="46A4D7C5">
            <w:pPr>
              <w:widowControl/>
              <w:jc w:val="center"/>
              <w:rPr>
                <w:rFonts w:hint="eastAsia"/>
                <w:color w:val="auto"/>
              </w:rPr>
            </w:pPr>
          </w:p>
        </w:tc>
        <w:tc>
          <w:tcPr>
            <w:tcW w:w="993" w:type="dxa"/>
            <w:vMerge w:val="continue"/>
            <w:noWrap w:val="0"/>
            <w:vAlign w:val="center"/>
          </w:tcPr>
          <w:p w14:paraId="61F123CA">
            <w:pPr>
              <w:widowControl/>
              <w:jc w:val="center"/>
              <w:rPr>
                <w:rFonts w:hint="eastAsia"/>
                <w:color w:val="auto"/>
              </w:rPr>
            </w:pPr>
          </w:p>
        </w:tc>
        <w:tc>
          <w:tcPr>
            <w:tcW w:w="1984" w:type="dxa"/>
            <w:noWrap w:val="0"/>
            <w:vAlign w:val="center"/>
          </w:tcPr>
          <w:p w14:paraId="095ED7C8">
            <w:pPr>
              <w:pStyle w:val="6"/>
              <w:ind w:left="0" w:leftChars="0" w:right="63" w:rightChars="30" w:firstLine="0" w:firstLineChars="0"/>
              <w:jc w:val="center"/>
              <w:rPr>
                <w:rFonts w:hint="eastAsia"/>
                <w:color w:val="auto"/>
              </w:rPr>
            </w:pPr>
            <w:r>
              <w:rPr>
                <w:rFonts w:hint="eastAsia" w:ascii="宋体" w:hAnsi="宋体" w:eastAsia="宋体" w:cs="宋体"/>
                <w:color w:val="auto"/>
                <w:szCs w:val="21"/>
                <w:lang w:val="en-US" w:eastAsia="zh-CN"/>
              </w:rPr>
              <w:t>须具有中国保险监督委员会颁发的《保险公司法人许可证》或《保险许可证》</w:t>
            </w:r>
          </w:p>
        </w:tc>
        <w:tc>
          <w:tcPr>
            <w:tcW w:w="5670" w:type="dxa"/>
            <w:noWrap w:val="0"/>
            <w:vAlign w:val="center"/>
          </w:tcPr>
          <w:p w14:paraId="18246217">
            <w:pPr>
              <w:pStyle w:val="6"/>
              <w:ind w:left="0" w:leftChars="0" w:right="63" w:rightChars="30" w:firstLine="0" w:firstLineChars="0"/>
              <w:jc w:val="center"/>
              <w:rPr>
                <w:rFonts w:hint="eastAsia"/>
                <w:color w:val="auto"/>
              </w:rPr>
            </w:pPr>
            <w:r>
              <w:rPr>
                <w:rFonts w:hint="eastAsia" w:ascii="宋体" w:hAnsi="宋体" w:eastAsia="宋体" w:cs="宋体"/>
                <w:color w:val="auto"/>
                <w:szCs w:val="21"/>
              </w:rPr>
              <w:t>符合第二章“</w:t>
            </w:r>
            <w:r>
              <w:rPr>
                <w:rFonts w:hint="eastAsia" w:ascii="宋体" w:hAnsi="宋体" w:eastAsia="宋体" w:cs="宋体"/>
                <w:color w:val="auto"/>
                <w:szCs w:val="21"/>
                <w:lang w:eastAsia="zh-CN"/>
              </w:rPr>
              <w:t>供应商须知</w:t>
            </w:r>
            <w:r>
              <w:rPr>
                <w:rFonts w:hint="eastAsia" w:ascii="宋体" w:hAnsi="宋体" w:eastAsia="宋体" w:cs="宋体"/>
                <w:color w:val="auto"/>
                <w:szCs w:val="21"/>
              </w:rPr>
              <w:t>前附表”</w:t>
            </w:r>
            <w:r>
              <w:rPr>
                <w:rFonts w:hint="eastAsia" w:ascii="宋体" w:hAnsi="宋体" w:eastAsia="宋体" w:cs="宋体"/>
                <w:color w:val="auto"/>
                <w:szCs w:val="21"/>
                <w:lang w:val="en-US" w:eastAsia="zh-CN"/>
              </w:rPr>
              <w:t>1.4.1</w:t>
            </w:r>
            <w:r>
              <w:rPr>
                <w:rFonts w:hint="eastAsia" w:ascii="宋体" w:hAnsi="宋体" w:eastAsia="宋体" w:cs="宋体"/>
                <w:color w:val="auto"/>
                <w:szCs w:val="21"/>
              </w:rPr>
              <w:t>规定</w:t>
            </w:r>
          </w:p>
        </w:tc>
      </w:tr>
      <w:tr w14:paraId="5BC5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25" w:type="dxa"/>
            <w:vMerge w:val="continue"/>
            <w:noWrap w:val="0"/>
            <w:vAlign w:val="center"/>
          </w:tcPr>
          <w:p w14:paraId="6534A624">
            <w:pPr>
              <w:widowControl/>
              <w:jc w:val="center"/>
              <w:rPr>
                <w:rFonts w:hint="eastAsia"/>
                <w:color w:val="auto"/>
              </w:rPr>
            </w:pPr>
          </w:p>
        </w:tc>
        <w:tc>
          <w:tcPr>
            <w:tcW w:w="993" w:type="dxa"/>
            <w:vMerge w:val="continue"/>
            <w:noWrap w:val="0"/>
            <w:vAlign w:val="center"/>
          </w:tcPr>
          <w:p w14:paraId="10187429">
            <w:pPr>
              <w:widowControl/>
              <w:jc w:val="center"/>
              <w:rPr>
                <w:rFonts w:hint="eastAsia"/>
                <w:color w:val="auto"/>
              </w:rPr>
            </w:pPr>
          </w:p>
        </w:tc>
        <w:tc>
          <w:tcPr>
            <w:tcW w:w="1984" w:type="dxa"/>
            <w:noWrap w:val="0"/>
            <w:vAlign w:val="center"/>
          </w:tcPr>
          <w:p w14:paraId="38FBBFC6">
            <w:pPr>
              <w:pStyle w:val="6"/>
              <w:ind w:left="0" w:leftChars="0" w:right="63" w:rightChars="30" w:firstLine="0" w:firstLineChars="0"/>
              <w:jc w:val="center"/>
              <w:rPr>
                <w:rFonts w:hint="eastAsia"/>
                <w:color w:val="auto"/>
              </w:rPr>
            </w:pPr>
            <w:r>
              <w:rPr>
                <w:rFonts w:hint="eastAsia" w:ascii="宋体" w:hAnsi="宋体" w:eastAsia="宋体" w:cs="宋体"/>
                <w:color w:val="auto"/>
                <w:szCs w:val="21"/>
                <w:lang w:val="en-US" w:eastAsia="zh-CN"/>
              </w:rPr>
              <w:t>信用查询</w:t>
            </w:r>
          </w:p>
        </w:tc>
        <w:tc>
          <w:tcPr>
            <w:tcW w:w="5670" w:type="dxa"/>
            <w:noWrap w:val="0"/>
            <w:vAlign w:val="center"/>
          </w:tcPr>
          <w:p w14:paraId="1F6357BE">
            <w:pPr>
              <w:pStyle w:val="6"/>
              <w:ind w:left="0" w:leftChars="0" w:right="63" w:rightChars="30" w:firstLine="0" w:firstLineChars="0"/>
              <w:jc w:val="center"/>
              <w:rPr>
                <w:rFonts w:hint="eastAsia"/>
                <w:color w:val="auto"/>
              </w:rPr>
            </w:pPr>
            <w:r>
              <w:rPr>
                <w:rFonts w:hint="eastAsia" w:ascii="宋体" w:hAnsi="宋体" w:eastAsia="宋体" w:cs="宋体"/>
                <w:color w:val="auto"/>
                <w:szCs w:val="21"/>
              </w:rPr>
              <w:t>符合第二章“</w:t>
            </w:r>
            <w:r>
              <w:rPr>
                <w:rFonts w:hint="eastAsia" w:ascii="宋体" w:hAnsi="宋体" w:eastAsia="宋体" w:cs="宋体"/>
                <w:color w:val="auto"/>
                <w:szCs w:val="21"/>
                <w:lang w:eastAsia="zh-CN"/>
              </w:rPr>
              <w:t>供应商须知</w:t>
            </w:r>
            <w:r>
              <w:rPr>
                <w:rFonts w:hint="eastAsia" w:ascii="宋体" w:hAnsi="宋体" w:eastAsia="宋体" w:cs="宋体"/>
                <w:color w:val="auto"/>
                <w:szCs w:val="21"/>
              </w:rPr>
              <w:t>前附表”</w:t>
            </w:r>
            <w:r>
              <w:rPr>
                <w:rFonts w:hint="eastAsia" w:ascii="宋体" w:hAnsi="宋体" w:eastAsia="宋体" w:cs="宋体"/>
                <w:color w:val="auto"/>
                <w:szCs w:val="21"/>
                <w:lang w:val="en-US" w:eastAsia="zh-CN"/>
              </w:rPr>
              <w:t>1.4.1</w:t>
            </w:r>
            <w:r>
              <w:rPr>
                <w:rFonts w:hint="eastAsia" w:ascii="宋体" w:hAnsi="宋体" w:eastAsia="宋体" w:cs="宋体"/>
                <w:color w:val="auto"/>
                <w:szCs w:val="21"/>
              </w:rPr>
              <w:t>规定</w:t>
            </w:r>
          </w:p>
        </w:tc>
      </w:tr>
      <w:tr w14:paraId="3063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25" w:type="dxa"/>
            <w:vMerge w:val="continue"/>
            <w:noWrap w:val="0"/>
            <w:vAlign w:val="center"/>
          </w:tcPr>
          <w:p w14:paraId="247849AA">
            <w:pPr>
              <w:widowControl/>
              <w:jc w:val="center"/>
              <w:rPr>
                <w:rFonts w:hint="eastAsia"/>
                <w:color w:val="auto"/>
              </w:rPr>
            </w:pPr>
          </w:p>
        </w:tc>
        <w:tc>
          <w:tcPr>
            <w:tcW w:w="993" w:type="dxa"/>
            <w:vMerge w:val="continue"/>
            <w:noWrap w:val="0"/>
            <w:vAlign w:val="center"/>
          </w:tcPr>
          <w:p w14:paraId="3FD60EDE">
            <w:pPr>
              <w:widowControl/>
              <w:jc w:val="center"/>
              <w:rPr>
                <w:rFonts w:hint="eastAsia"/>
                <w:color w:val="auto"/>
              </w:rPr>
            </w:pPr>
          </w:p>
        </w:tc>
        <w:tc>
          <w:tcPr>
            <w:tcW w:w="1984" w:type="dxa"/>
            <w:noWrap w:val="0"/>
            <w:vAlign w:val="center"/>
          </w:tcPr>
          <w:p w14:paraId="60CFA18A">
            <w:pPr>
              <w:pStyle w:val="6"/>
              <w:ind w:left="0" w:leftChars="0" w:right="63" w:rightChars="30" w:firstLine="0" w:firstLineChars="0"/>
              <w:jc w:val="center"/>
              <w:rPr>
                <w:rFonts w:hint="eastAsia"/>
                <w:color w:val="auto"/>
              </w:rPr>
            </w:pPr>
            <w:r>
              <w:rPr>
                <w:rFonts w:hint="eastAsia" w:ascii="宋体" w:hAnsi="宋体" w:eastAsia="宋体" w:cs="宋体"/>
                <w:color w:val="auto"/>
                <w:szCs w:val="21"/>
                <w:lang w:val="en-US" w:eastAsia="zh-CN"/>
              </w:rPr>
              <w:t>承诺书</w:t>
            </w:r>
          </w:p>
        </w:tc>
        <w:tc>
          <w:tcPr>
            <w:tcW w:w="5670" w:type="dxa"/>
            <w:noWrap w:val="0"/>
            <w:vAlign w:val="center"/>
          </w:tcPr>
          <w:p w14:paraId="590283F0">
            <w:pPr>
              <w:pStyle w:val="6"/>
              <w:ind w:left="0" w:leftChars="0" w:right="63" w:rightChars="30" w:firstLine="0" w:firstLineChars="0"/>
              <w:jc w:val="center"/>
              <w:rPr>
                <w:rFonts w:hint="eastAsia"/>
                <w:color w:val="auto"/>
              </w:rPr>
            </w:pPr>
            <w:r>
              <w:rPr>
                <w:rFonts w:hint="eastAsia" w:ascii="宋体" w:hAnsi="宋体" w:eastAsia="宋体" w:cs="宋体"/>
                <w:color w:val="auto"/>
                <w:szCs w:val="21"/>
              </w:rPr>
              <w:t>符合第二章“</w:t>
            </w:r>
            <w:r>
              <w:rPr>
                <w:rFonts w:hint="eastAsia" w:ascii="宋体" w:hAnsi="宋体" w:eastAsia="宋体" w:cs="宋体"/>
                <w:color w:val="auto"/>
                <w:szCs w:val="21"/>
                <w:lang w:eastAsia="zh-CN"/>
              </w:rPr>
              <w:t>供应商须知</w:t>
            </w:r>
            <w:r>
              <w:rPr>
                <w:rFonts w:hint="eastAsia" w:ascii="宋体" w:hAnsi="宋体" w:eastAsia="宋体" w:cs="宋体"/>
                <w:color w:val="auto"/>
                <w:szCs w:val="21"/>
              </w:rPr>
              <w:t>前附表”</w:t>
            </w:r>
            <w:r>
              <w:rPr>
                <w:rFonts w:hint="eastAsia" w:ascii="宋体" w:hAnsi="宋体" w:eastAsia="宋体" w:cs="宋体"/>
                <w:color w:val="auto"/>
                <w:szCs w:val="21"/>
                <w:lang w:val="en-US" w:eastAsia="zh-CN"/>
              </w:rPr>
              <w:t>1.4.1</w:t>
            </w:r>
            <w:r>
              <w:rPr>
                <w:rFonts w:hint="eastAsia" w:ascii="宋体" w:hAnsi="宋体" w:eastAsia="宋体" w:cs="宋体"/>
                <w:color w:val="auto"/>
                <w:szCs w:val="21"/>
              </w:rPr>
              <w:t>规定</w:t>
            </w:r>
          </w:p>
        </w:tc>
      </w:tr>
      <w:tr w14:paraId="2760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625" w:type="dxa"/>
            <w:vMerge w:val="restart"/>
            <w:noWrap w:val="0"/>
            <w:vAlign w:val="center"/>
          </w:tcPr>
          <w:p w14:paraId="4F04396A">
            <w:pPr>
              <w:widowControl/>
              <w:jc w:val="center"/>
              <w:rPr>
                <w:color w:val="auto"/>
                <w:kern w:val="0"/>
              </w:rPr>
            </w:pPr>
            <w:r>
              <w:rPr>
                <w:rFonts w:hint="eastAsia"/>
                <w:color w:val="auto"/>
                <w:kern w:val="0"/>
              </w:rPr>
              <w:t>2.1.3</w:t>
            </w:r>
          </w:p>
        </w:tc>
        <w:tc>
          <w:tcPr>
            <w:tcW w:w="993" w:type="dxa"/>
            <w:vMerge w:val="restart"/>
            <w:noWrap w:val="0"/>
            <w:vAlign w:val="center"/>
          </w:tcPr>
          <w:p w14:paraId="1C1BF942">
            <w:pPr>
              <w:widowControl/>
              <w:jc w:val="center"/>
              <w:rPr>
                <w:color w:val="auto"/>
                <w:kern w:val="0"/>
              </w:rPr>
            </w:pPr>
            <w:r>
              <w:rPr>
                <w:rFonts w:hint="eastAsia"/>
                <w:color w:val="auto"/>
              </w:rPr>
              <w:t>响应性审查</w:t>
            </w:r>
            <w:r>
              <w:rPr>
                <w:rFonts w:hint="eastAsia"/>
                <w:color w:val="auto"/>
                <w:kern w:val="0"/>
              </w:rPr>
              <w:t>标准</w:t>
            </w:r>
          </w:p>
        </w:tc>
        <w:tc>
          <w:tcPr>
            <w:tcW w:w="1984" w:type="dxa"/>
            <w:noWrap w:val="0"/>
            <w:vAlign w:val="center"/>
          </w:tcPr>
          <w:p w14:paraId="55B996C4">
            <w:pPr>
              <w:jc w:val="center"/>
              <w:rPr>
                <w:color w:val="auto"/>
                <w:kern w:val="0"/>
              </w:rPr>
            </w:pPr>
            <w:r>
              <w:rPr>
                <w:rFonts w:hint="eastAsia"/>
                <w:color w:val="auto"/>
                <w:kern w:val="0"/>
              </w:rPr>
              <w:t>磋商报价</w:t>
            </w:r>
          </w:p>
        </w:tc>
        <w:tc>
          <w:tcPr>
            <w:tcW w:w="5670" w:type="dxa"/>
            <w:noWrap w:val="0"/>
            <w:vAlign w:val="center"/>
          </w:tcPr>
          <w:p w14:paraId="6826BB99">
            <w:pPr>
              <w:spacing w:line="360" w:lineRule="auto"/>
              <w:jc w:val="center"/>
              <w:rPr>
                <w:color w:val="auto"/>
                <w:kern w:val="0"/>
              </w:rPr>
            </w:pPr>
            <w:r>
              <w:rPr>
                <w:rFonts w:hint="eastAsia"/>
                <w:color w:val="auto"/>
                <w:kern w:val="0"/>
              </w:rPr>
              <w:t>报价未超过竞争性磋商文件中规定的预算金额或者最高限价的</w:t>
            </w:r>
          </w:p>
        </w:tc>
      </w:tr>
      <w:tr w14:paraId="033E4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exact"/>
          <w:jc w:val="center"/>
        </w:trPr>
        <w:tc>
          <w:tcPr>
            <w:tcW w:w="625" w:type="dxa"/>
            <w:vMerge w:val="continue"/>
            <w:noWrap w:val="0"/>
            <w:vAlign w:val="center"/>
          </w:tcPr>
          <w:p w14:paraId="3A9DCFD2">
            <w:pPr>
              <w:widowControl/>
              <w:jc w:val="center"/>
              <w:rPr>
                <w:color w:val="auto"/>
                <w:kern w:val="0"/>
              </w:rPr>
            </w:pPr>
          </w:p>
        </w:tc>
        <w:tc>
          <w:tcPr>
            <w:tcW w:w="993" w:type="dxa"/>
            <w:vMerge w:val="continue"/>
            <w:noWrap w:val="0"/>
            <w:vAlign w:val="center"/>
          </w:tcPr>
          <w:p w14:paraId="5B10F6CE">
            <w:pPr>
              <w:widowControl/>
              <w:jc w:val="center"/>
              <w:rPr>
                <w:color w:val="auto"/>
                <w:kern w:val="0"/>
              </w:rPr>
            </w:pPr>
          </w:p>
        </w:tc>
        <w:tc>
          <w:tcPr>
            <w:tcW w:w="1984" w:type="dxa"/>
            <w:noWrap w:val="0"/>
            <w:vAlign w:val="center"/>
          </w:tcPr>
          <w:p w14:paraId="1601489A">
            <w:pPr>
              <w:widowControl/>
              <w:jc w:val="center"/>
              <w:rPr>
                <w:color w:val="auto"/>
                <w:kern w:val="0"/>
              </w:rPr>
            </w:pPr>
            <w:r>
              <w:rPr>
                <w:rFonts w:hint="eastAsia"/>
                <w:color w:val="auto"/>
                <w:kern w:val="0"/>
              </w:rPr>
              <w:t>服务期限</w:t>
            </w:r>
          </w:p>
        </w:tc>
        <w:tc>
          <w:tcPr>
            <w:tcW w:w="5670" w:type="dxa"/>
            <w:noWrap w:val="0"/>
            <w:vAlign w:val="center"/>
          </w:tcPr>
          <w:p w14:paraId="25E30EA2">
            <w:pPr>
              <w:widowControl/>
              <w:jc w:val="center"/>
              <w:rPr>
                <w:color w:val="auto"/>
                <w:kern w:val="0"/>
              </w:rPr>
            </w:pPr>
            <w:r>
              <w:rPr>
                <w:rFonts w:hint="eastAsia"/>
                <w:color w:val="auto"/>
                <w:kern w:val="0"/>
              </w:rPr>
              <w:t>符合第二章“供应商须知前附表”第1.3.2项规定</w:t>
            </w:r>
          </w:p>
        </w:tc>
      </w:tr>
      <w:tr w14:paraId="3724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625" w:type="dxa"/>
            <w:vMerge w:val="continue"/>
            <w:noWrap w:val="0"/>
            <w:vAlign w:val="center"/>
          </w:tcPr>
          <w:p w14:paraId="1EB8C305">
            <w:pPr>
              <w:widowControl/>
              <w:jc w:val="center"/>
              <w:rPr>
                <w:color w:val="auto"/>
                <w:kern w:val="0"/>
              </w:rPr>
            </w:pPr>
          </w:p>
        </w:tc>
        <w:tc>
          <w:tcPr>
            <w:tcW w:w="993" w:type="dxa"/>
            <w:vMerge w:val="continue"/>
            <w:noWrap w:val="0"/>
            <w:vAlign w:val="center"/>
          </w:tcPr>
          <w:p w14:paraId="0D8B801B">
            <w:pPr>
              <w:widowControl/>
              <w:jc w:val="center"/>
              <w:rPr>
                <w:color w:val="auto"/>
                <w:kern w:val="0"/>
              </w:rPr>
            </w:pPr>
          </w:p>
        </w:tc>
        <w:tc>
          <w:tcPr>
            <w:tcW w:w="1984" w:type="dxa"/>
            <w:noWrap w:val="0"/>
            <w:vAlign w:val="center"/>
          </w:tcPr>
          <w:p w14:paraId="6BC5C460">
            <w:pPr>
              <w:widowControl/>
              <w:jc w:val="center"/>
              <w:rPr>
                <w:color w:val="auto"/>
                <w:kern w:val="0"/>
              </w:rPr>
            </w:pPr>
            <w:r>
              <w:rPr>
                <w:rFonts w:hint="eastAsia"/>
                <w:color w:val="auto"/>
                <w:kern w:val="0"/>
              </w:rPr>
              <w:t>服务地点</w:t>
            </w:r>
          </w:p>
        </w:tc>
        <w:tc>
          <w:tcPr>
            <w:tcW w:w="5670" w:type="dxa"/>
            <w:noWrap w:val="0"/>
            <w:vAlign w:val="center"/>
          </w:tcPr>
          <w:p w14:paraId="1403D7B2">
            <w:pPr>
              <w:widowControl/>
              <w:jc w:val="center"/>
              <w:rPr>
                <w:color w:val="auto"/>
                <w:kern w:val="0"/>
              </w:rPr>
            </w:pPr>
            <w:r>
              <w:rPr>
                <w:rFonts w:hint="eastAsia"/>
                <w:color w:val="auto"/>
                <w:kern w:val="0"/>
              </w:rPr>
              <w:t>符合第二章“供应商须知前附表”第1.3.3项规定</w:t>
            </w:r>
          </w:p>
        </w:tc>
      </w:tr>
      <w:tr w14:paraId="7B3D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625" w:type="dxa"/>
            <w:vMerge w:val="continue"/>
            <w:noWrap w:val="0"/>
            <w:vAlign w:val="center"/>
          </w:tcPr>
          <w:p w14:paraId="335CA6D0">
            <w:pPr>
              <w:widowControl/>
              <w:jc w:val="center"/>
              <w:rPr>
                <w:color w:val="auto"/>
                <w:kern w:val="0"/>
              </w:rPr>
            </w:pPr>
          </w:p>
        </w:tc>
        <w:tc>
          <w:tcPr>
            <w:tcW w:w="993" w:type="dxa"/>
            <w:vMerge w:val="continue"/>
            <w:noWrap w:val="0"/>
            <w:vAlign w:val="center"/>
          </w:tcPr>
          <w:p w14:paraId="6CDBC89B">
            <w:pPr>
              <w:widowControl/>
              <w:jc w:val="center"/>
              <w:rPr>
                <w:color w:val="auto"/>
                <w:kern w:val="0"/>
              </w:rPr>
            </w:pPr>
          </w:p>
        </w:tc>
        <w:tc>
          <w:tcPr>
            <w:tcW w:w="1984" w:type="dxa"/>
            <w:noWrap w:val="0"/>
            <w:vAlign w:val="center"/>
          </w:tcPr>
          <w:p w14:paraId="07C8A368">
            <w:pPr>
              <w:widowControl/>
              <w:jc w:val="center"/>
              <w:rPr>
                <w:color w:val="auto"/>
                <w:kern w:val="0"/>
              </w:rPr>
            </w:pPr>
            <w:r>
              <w:rPr>
                <w:rFonts w:hint="eastAsia"/>
                <w:color w:val="auto"/>
                <w:kern w:val="0"/>
              </w:rPr>
              <w:t>服务要求</w:t>
            </w:r>
          </w:p>
        </w:tc>
        <w:tc>
          <w:tcPr>
            <w:tcW w:w="5670" w:type="dxa"/>
            <w:noWrap w:val="0"/>
            <w:vAlign w:val="center"/>
          </w:tcPr>
          <w:p w14:paraId="68C0C1C8">
            <w:pPr>
              <w:widowControl/>
              <w:jc w:val="center"/>
              <w:rPr>
                <w:color w:val="auto"/>
                <w:kern w:val="0"/>
              </w:rPr>
            </w:pPr>
            <w:r>
              <w:rPr>
                <w:rFonts w:hint="eastAsia"/>
                <w:color w:val="auto"/>
                <w:kern w:val="0"/>
              </w:rPr>
              <w:t>符合第二章“供应商须知前附表”第1.3.4项规定</w:t>
            </w:r>
          </w:p>
        </w:tc>
      </w:tr>
      <w:tr w14:paraId="3F8E9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8" w:type="dxa"/>
            <w:gridSpan w:val="2"/>
            <w:noWrap w:val="0"/>
            <w:vAlign w:val="center"/>
          </w:tcPr>
          <w:p w14:paraId="658932B7">
            <w:pPr>
              <w:autoSpaceDE w:val="0"/>
              <w:autoSpaceDN w:val="0"/>
              <w:adjustRightInd w:val="0"/>
              <w:spacing w:line="400" w:lineRule="exact"/>
              <w:ind w:left="38" w:leftChars="18"/>
              <w:jc w:val="center"/>
              <w:rPr>
                <w:color w:val="auto"/>
                <w:kern w:val="0"/>
              </w:rPr>
            </w:pPr>
            <w:r>
              <w:rPr>
                <w:rFonts w:hint="eastAsia"/>
                <w:color w:val="auto"/>
              </w:rPr>
              <w:t>详细磋商</w:t>
            </w:r>
          </w:p>
        </w:tc>
        <w:tc>
          <w:tcPr>
            <w:tcW w:w="7654" w:type="dxa"/>
            <w:gridSpan w:val="2"/>
            <w:noWrap w:val="0"/>
            <w:vAlign w:val="center"/>
          </w:tcPr>
          <w:p w14:paraId="7895E921">
            <w:pPr>
              <w:numPr>
                <w:ilvl w:val="0"/>
                <w:numId w:val="11"/>
              </w:numPr>
              <w:autoSpaceDE w:val="0"/>
              <w:autoSpaceDN w:val="0"/>
              <w:adjustRightInd w:val="0"/>
              <w:spacing w:line="360" w:lineRule="auto"/>
              <w:jc w:val="left"/>
              <w:rPr>
                <w:color w:val="auto"/>
              </w:rPr>
            </w:pPr>
            <w:r>
              <w:rPr>
                <w:rFonts w:hint="eastAsia"/>
                <w:color w:val="auto"/>
                <w:kern w:val="0"/>
              </w:rPr>
              <w:t>磋商小组根据本章第3.2款内容</w:t>
            </w:r>
            <w:r>
              <w:rPr>
                <w:rFonts w:hint="eastAsia"/>
                <w:bCs/>
                <w:color w:val="auto"/>
                <w:kern w:val="0"/>
              </w:rPr>
              <w:t>集中与单一供应商分别进行磋商，</w:t>
            </w:r>
            <w:r>
              <w:rPr>
                <w:rFonts w:hint="eastAsia"/>
                <w:color w:val="auto"/>
              </w:rPr>
              <w:t>磋商结束后，并要求其在规定时间内提交最后报价。</w:t>
            </w:r>
          </w:p>
          <w:p w14:paraId="1B432858">
            <w:pPr>
              <w:numPr>
                <w:ilvl w:val="0"/>
                <w:numId w:val="11"/>
              </w:numPr>
              <w:autoSpaceDE w:val="0"/>
              <w:autoSpaceDN w:val="0"/>
              <w:adjustRightInd w:val="0"/>
              <w:spacing w:line="360" w:lineRule="auto"/>
              <w:jc w:val="left"/>
              <w:rPr>
                <w:color w:val="auto"/>
              </w:rPr>
            </w:pPr>
            <w:r>
              <w:rPr>
                <w:rFonts w:hint="eastAsia"/>
                <w:color w:val="auto"/>
                <w:kern w:val="0"/>
              </w:rPr>
              <w:t>供应商对所参加磋商项目根据市场行情自主报价，分二次报价（情况特殊,经磋商小组根据磋商现场情况，可以要求供应商适当进行多轮报价），一次报价须按照磋商文件的报价格式填报，第二次报价在磋商中填报</w:t>
            </w:r>
            <w:r>
              <w:rPr>
                <w:rFonts w:hint="eastAsia"/>
                <w:b/>
                <w:bCs/>
                <w:color w:val="auto"/>
                <w:kern w:val="0"/>
              </w:rPr>
              <w:t>（</w:t>
            </w:r>
            <w:r>
              <w:rPr>
                <w:rFonts w:hint="eastAsia"/>
                <w:b/>
                <w:bCs/>
                <w:color w:val="auto"/>
              </w:rPr>
              <w:t>注：最后报价明显低于成本价的，供应商需做出合理说明，否则将承担不被接受的风险</w:t>
            </w:r>
            <w:r>
              <w:rPr>
                <w:rFonts w:hint="eastAsia"/>
                <w:b/>
                <w:bCs/>
                <w:color w:val="auto"/>
                <w:kern w:val="0"/>
              </w:rPr>
              <w:t>）。</w:t>
            </w:r>
          </w:p>
          <w:p w14:paraId="78E4FAD8">
            <w:pPr>
              <w:numPr>
                <w:ilvl w:val="0"/>
                <w:numId w:val="11"/>
              </w:numPr>
              <w:autoSpaceDE w:val="0"/>
              <w:autoSpaceDN w:val="0"/>
              <w:adjustRightInd w:val="0"/>
              <w:spacing w:line="360" w:lineRule="auto"/>
              <w:jc w:val="left"/>
              <w:rPr>
                <w:color w:val="auto"/>
                <w:kern w:val="0"/>
              </w:rPr>
            </w:pPr>
            <w:r>
              <w:rPr>
                <w:rFonts w:hint="eastAsia"/>
                <w:bCs/>
                <w:color w:val="auto"/>
                <w:kern w:val="0"/>
              </w:rPr>
              <w:t>经磋商确定最终采购需求和提交最后报价的供应商后，由磋商小组采用综合评分法对提交最后报价的供应商的响应文件和最后报价按照本章第2.2款内容进行详细性评审。</w:t>
            </w:r>
          </w:p>
        </w:tc>
      </w:tr>
      <w:tr w14:paraId="1018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exact"/>
          <w:jc w:val="center"/>
        </w:trPr>
        <w:tc>
          <w:tcPr>
            <w:tcW w:w="1618" w:type="dxa"/>
            <w:gridSpan w:val="2"/>
            <w:noWrap w:val="0"/>
            <w:vAlign w:val="center"/>
          </w:tcPr>
          <w:p w14:paraId="49803908">
            <w:pPr>
              <w:autoSpaceDE w:val="0"/>
              <w:autoSpaceDN w:val="0"/>
              <w:adjustRightInd w:val="0"/>
              <w:spacing w:line="400" w:lineRule="exact"/>
              <w:ind w:left="38" w:leftChars="18"/>
              <w:jc w:val="center"/>
              <w:rPr>
                <w:color w:val="auto"/>
                <w:kern w:val="0"/>
              </w:rPr>
            </w:pPr>
            <w:r>
              <w:rPr>
                <w:rFonts w:hint="eastAsia"/>
                <w:color w:val="auto"/>
                <w:kern w:val="0"/>
              </w:rPr>
              <w:t>条款号</w:t>
            </w:r>
          </w:p>
        </w:tc>
        <w:tc>
          <w:tcPr>
            <w:tcW w:w="1984" w:type="dxa"/>
            <w:noWrap w:val="0"/>
            <w:vAlign w:val="center"/>
          </w:tcPr>
          <w:p w14:paraId="003900EE">
            <w:pPr>
              <w:autoSpaceDE w:val="0"/>
              <w:autoSpaceDN w:val="0"/>
              <w:adjustRightInd w:val="0"/>
              <w:spacing w:line="400" w:lineRule="exact"/>
              <w:ind w:left="38" w:leftChars="18"/>
              <w:jc w:val="center"/>
              <w:rPr>
                <w:color w:val="auto"/>
                <w:kern w:val="0"/>
              </w:rPr>
            </w:pPr>
            <w:r>
              <w:rPr>
                <w:rFonts w:hint="eastAsia"/>
                <w:color w:val="auto"/>
                <w:kern w:val="0"/>
              </w:rPr>
              <w:t>条款内容</w:t>
            </w:r>
          </w:p>
        </w:tc>
        <w:tc>
          <w:tcPr>
            <w:tcW w:w="5670" w:type="dxa"/>
            <w:noWrap w:val="0"/>
            <w:vAlign w:val="center"/>
          </w:tcPr>
          <w:p w14:paraId="0274D7FF">
            <w:pPr>
              <w:autoSpaceDE w:val="0"/>
              <w:autoSpaceDN w:val="0"/>
              <w:adjustRightInd w:val="0"/>
              <w:spacing w:line="400" w:lineRule="exact"/>
              <w:ind w:left="38" w:leftChars="18"/>
              <w:jc w:val="center"/>
              <w:rPr>
                <w:color w:val="auto"/>
                <w:kern w:val="0"/>
              </w:rPr>
            </w:pPr>
            <w:r>
              <w:rPr>
                <w:rFonts w:hint="eastAsia"/>
                <w:color w:val="auto"/>
                <w:kern w:val="0"/>
              </w:rPr>
              <w:t>编列内容</w:t>
            </w:r>
          </w:p>
        </w:tc>
      </w:tr>
      <w:tr w14:paraId="7DA0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8" w:type="dxa"/>
            <w:gridSpan w:val="2"/>
            <w:noWrap w:val="0"/>
            <w:vAlign w:val="center"/>
          </w:tcPr>
          <w:p w14:paraId="61EC7EC9">
            <w:pPr>
              <w:autoSpaceDE w:val="0"/>
              <w:autoSpaceDN w:val="0"/>
              <w:adjustRightInd w:val="0"/>
              <w:spacing w:line="400" w:lineRule="exact"/>
              <w:ind w:left="38" w:leftChars="18"/>
              <w:jc w:val="center"/>
              <w:rPr>
                <w:color w:val="auto"/>
                <w:kern w:val="0"/>
              </w:rPr>
            </w:pPr>
            <w:r>
              <w:rPr>
                <w:rFonts w:hint="eastAsia"/>
                <w:color w:val="auto"/>
                <w:kern w:val="0"/>
              </w:rPr>
              <w:t>2.2.1</w:t>
            </w:r>
          </w:p>
        </w:tc>
        <w:tc>
          <w:tcPr>
            <w:tcW w:w="1984" w:type="dxa"/>
            <w:noWrap w:val="0"/>
            <w:vAlign w:val="center"/>
          </w:tcPr>
          <w:p w14:paraId="2C334F32">
            <w:pPr>
              <w:autoSpaceDE w:val="0"/>
              <w:autoSpaceDN w:val="0"/>
              <w:adjustRightInd w:val="0"/>
              <w:spacing w:line="400" w:lineRule="exact"/>
              <w:ind w:left="38" w:leftChars="18"/>
              <w:jc w:val="center"/>
              <w:rPr>
                <w:color w:val="auto"/>
                <w:kern w:val="0"/>
              </w:rPr>
            </w:pPr>
            <w:r>
              <w:rPr>
                <w:rFonts w:hint="eastAsia"/>
                <w:color w:val="auto"/>
                <w:kern w:val="0"/>
              </w:rPr>
              <w:t>分值构成</w:t>
            </w:r>
          </w:p>
          <w:p w14:paraId="5960D371">
            <w:pPr>
              <w:autoSpaceDE w:val="0"/>
              <w:autoSpaceDN w:val="0"/>
              <w:adjustRightInd w:val="0"/>
              <w:spacing w:line="400" w:lineRule="exact"/>
              <w:ind w:left="38" w:leftChars="18"/>
              <w:jc w:val="center"/>
              <w:rPr>
                <w:color w:val="auto"/>
                <w:kern w:val="0"/>
              </w:rPr>
            </w:pPr>
            <w:r>
              <w:rPr>
                <w:rFonts w:hint="eastAsia"/>
                <w:color w:val="auto"/>
                <w:kern w:val="0"/>
              </w:rPr>
              <w:t>(总分100分)</w:t>
            </w:r>
          </w:p>
        </w:tc>
        <w:tc>
          <w:tcPr>
            <w:tcW w:w="5670" w:type="dxa"/>
            <w:noWrap w:val="0"/>
            <w:vAlign w:val="center"/>
          </w:tcPr>
          <w:p w14:paraId="1AB08714">
            <w:pPr>
              <w:autoSpaceDE w:val="0"/>
              <w:autoSpaceDN w:val="0"/>
              <w:adjustRightInd w:val="0"/>
              <w:spacing w:line="400" w:lineRule="exact"/>
              <w:ind w:left="38" w:leftChars="18"/>
              <w:jc w:val="left"/>
              <w:rPr>
                <w:b/>
                <w:bCs/>
                <w:color w:val="auto"/>
                <w:kern w:val="0"/>
                <w:highlight w:val="none"/>
              </w:rPr>
            </w:pPr>
            <w:r>
              <w:rPr>
                <w:rFonts w:hint="eastAsia"/>
                <w:b/>
                <w:bCs/>
                <w:color w:val="auto"/>
                <w:kern w:val="0"/>
                <w:highlight w:val="none"/>
              </w:rPr>
              <w:t>报价得分：</w:t>
            </w:r>
            <w:r>
              <w:rPr>
                <w:rFonts w:hint="eastAsia"/>
                <w:b/>
                <w:bCs/>
                <w:color w:val="auto"/>
                <w:kern w:val="0"/>
                <w:highlight w:val="none"/>
                <w:lang w:val="en-US" w:eastAsia="zh-CN"/>
              </w:rPr>
              <w:t>1</w:t>
            </w:r>
            <w:r>
              <w:rPr>
                <w:rFonts w:hint="eastAsia"/>
                <w:b/>
                <w:bCs/>
                <w:color w:val="auto"/>
                <w:kern w:val="0"/>
                <w:highlight w:val="none"/>
              </w:rPr>
              <w:t>0 分</w:t>
            </w:r>
          </w:p>
          <w:p w14:paraId="6DC41F5C">
            <w:pPr>
              <w:autoSpaceDE w:val="0"/>
              <w:autoSpaceDN w:val="0"/>
              <w:adjustRightInd w:val="0"/>
              <w:spacing w:line="400" w:lineRule="exact"/>
              <w:ind w:left="38" w:leftChars="18"/>
              <w:jc w:val="left"/>
              <w:rPr>
                <w:b/>
                <w:color w:val="auto"/>
                <w:highlight w:val="none"/>
              </w:rPr>
            </w:pPr>
            <w:r>
              <w:rPr>
                <w:rFonts w:hint="eastAsia"/>
                <w:b/>
                <w:color w:val="auto"/>
                <w:highlight w:val="none"/>
              </w:rPr>
              <w:t>技术部分：</w:t>
            </w:r>
            <w:r>
              <w:rPr>
                <w:rFonts w:hint="eastAsia"/>
                <w:b/>
                <w:color w:val="auto"/>
                <w:highlight w:val="none"/>
                <w:lang w:val="en-US" w:eastAsia="zh-CN"/>
              </w:rPr>
              <w:t>60</w:t>
            </w:r>
            <w:r>
              <w:rPr>
                <w:rFonts w:hint="eastAsia"/>
                <w:b/>
                <w:color w:val="auto"/>
                <w:highlight w:val="none"/>
              </w:rPr>
              <w:t xml:space="preserve"> 分</w:t>
            </w:r>
          </w:p>
          <w:p w14:paraId="23765416">
            <w:pPr>
              <w:autoSpaceDE w:val="0"/>
              <w:autoSpaceDN w:val="0"/>
              <w:adjustRightInd w:val="0"/>
              <w:spacing w:line="400" w:lineRule="exact"/>
              <w:ind w:left="38" w:leftChars="18"/>
              <w:jc w:val="left"/>
              <w:rPr>
                <w:b/>
                <w:color w:val="auto"/>
                <w:highlight w:val="none"/>
              </w:rPr>
            </w:pPr>
            <w:r>
              <w:rPr>
                <w:rFonts w:hint="eastAsia"/>
                <w:b/>
                <w:color w:val="auto"/>
                <w:highlight w:val="none"/>
              </w:rPr>
              <w:t>商务部分：30分</w:t>
            </w:r>
          </w:p>
        </w:tc>
      </w:tr>
      <w:tr w14:paraId="17D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8" w:type="dxa"/>
            <w:gridSpan w:val="2"/>
            <w:noWrap w:val="0"/>
            <w:vAlign w:val="center"/>
          </w:tcPr>
          <w:p w14:paraId="5C52C18E">
            <w:pPr>
              <w:autoSpaceDE w:val="0"/>
              <w:autoSpaceDN w:val="0"/>
              <w:adjustRightInd w:val="0"/>
              <w:spacing w:line="400" w:lineRule="exact"/>
              <w:ind w:left="38" w:leftChars="18"/>
              <w:jc w:val="center"/>
              <w:rPr>
                <w:color w:val="auto"/>
                <w:kern w:val="0"/>
              </w:rPr>
            </w:pPr>
            <w:r>
              <w:rPr>
                <w:rFonts w:hint="eastAsia"/>
                <w:color w:val="auto"/>
                <w:kern w:val="0"/>
              </w:rPr>
              <w:t>条款号</w:t>
            </w:r>
          </w:p>
        </w:tc>
        <w:tc>
          <w:tcPr>
            <w:tcW w:w="1984" w:type="dxa"/>
            <w:noWrap w:val="0"/>
            <w:vAlign w:val="center"/>
          </w:tcPr>
          <w:p w14:paraId="2EB62836">
            <w:pPr>
              <w:autoSpaceDE w:val="0"/>
              <w:autoSpaceDN w:val="0"/>
              <w:adjustRightInd w:val="0"/>
              <w:spacing w:line="400" w:lineRule="exact"/>
              <w:ind w:left="38" w:leftChars="18"/>
              <w:jc w:val="center"/>
              <w:rPr>
                <w:color w:val="auto"/>
                <w:kern w:val="0"/>
              </w:rPr>
            </w:pPr>
            <w:r>
              <w:rPr>
                <w:rFonts w:hint="eastAsia"/>
                <w:color w:val="auto"/>
                <w:kern w:val="0"/>
              </w:rPr>
              <w:t>评分因素</w:t>
            </w:r>
          </w:p>
        </w:tc>
        <w:tc>
          <w:tcPr>
            <w:tcW w:w="5670" w:type="dxa"/>
            <w:noWrap w:val="0"/>
            <w:vAlign w:val="center"/>
          </w:tcPr>
          <w:p w14:paraId="1CD687EA">
            <w:pPr>
              <w:autoSpaceDE w:val="0"/>
              <w:autoSpaceDN w:val="0"/>
              <w:adjustRightInd w:val="0"/>
              <w:spacing w:line="400" w:lineRule="exact"/>
              <w:ind w:left="38" w:leftChars="18"/>
              <w:jc w:val="center"/>
              <w:rPr>
                <w:b/>
                <w:color w:val="auto"/>
                <w:highlight w:val="none"/>
              </w:rPr>
            </w:pPr>
            <w:r>
              <w:rPr>
                <w:rFonts w:hint="eastAsia"/>
                <w:color w:val="auto"/>
                <w:kern w:val="0"/>
                <w:highlight w:val="none"/>
              </w:rPr>
              <w:t>评分标准</w:t>
            </w:r>
          </w:p>
        </w:tc>
      </w:tr>
      <w:tr w14:paraId="41E1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14:paraId="7D773507">
            <w:pPr>
              <w:widowControl/>
              <w:jc w:val="center"/>
              <w:rPr>
                <w:color w:val="auto"/>
                <w:kern w:val="0"/>
              </w:rPr>
            </w:pPr>
            <w:r>
              <w:rPr>
                <w:rFonts w:hint="eastAsia"/>
                <w:color w:val="auto"/>
                <w:kern w:val="0"/>
              </w:rPr>
              <w:t>2.2.2（1）</w:t>
            </w:r>
          </w:p>
        </w:tc>
        <w:tc>
          <w:tcPr>
            <w:tcW w:w="993" w:type="dxa"/>
            <w:noWrap w:val="0"/>
            <w:vAlign w:val="center"/>
          </w:tcPr>
          <w:p w14:paraId="4235BE03">
            <w:pPr>
              <w:widowControl/>
              <w:jc w:val="center"/>
              <w:rPr>
                <w:b/>
                <w:color w:val="auto"/>
              </w:rPr>
            </w:pPr>
            <w:r>
              <w:rPr>
                <w:rFonts w:hint="eastAsia"/>
                <w:b/>
                <w:color w:val="auto"/>
              </w:rPr>
              <w:t>报价得分（</w:t>
            </w:r>
            <w:r>
              <w:rPr>
                <w:rFonts w:hint="eastAsia"/>
                <w:b/>
                <w:color w:val="auto"/>
                <w:lang w:val="en-US" w:eastAsia="zh-CN"/>
              </w:rPr>
              <w:t>20</w:t>
            </w:r>
            <w:r>
              <w:rPr>
                <w:rFonts w:hint="eastAsia"/>
                <w:b/>
                <w:color w:val="auto"/>
              </w:rPr>
              <w:t>分）</w:t>
            </w:r>
          </w:p>
        </w:tc>
        <w:tc>
          <w:tcPr>
            <w:tcW w:w="1984" w:type="dxa"/>
            <w:noWrap w:val="0"/>
            <w:vAlign w:val="center"/>
          </w:tcPr>
          <w:p w14:paraId="3B94D50C">
            <w:pPr>
              <w:widowControl/>
              <w:jc w:val="center"/>
              <w:rPr>
                <w:color w:val="auto"/>
                <w:kern w:val="0"/>
              </w:rPr>
            </w:pPr>
            <w:r>
              <w:rPr>
                <w:rFonts w:hint="eastAsia"/>
                <w:b/>
                <w:color w:val="auto"/>
              </w:rPr>
              <w:t>磋商报价评分标准</w:t>
            </w:r>
          </w:p>
        </w:tc>
        <w:tc>
          <w:tcPr>
            <w:tcW w:w="5670" w:type="dxa"/>
            <w:noWrap w:val="0"/>
            <w:vAlign w:val="center"/>
          </w:tcPr>
          <w:p w14:paraId="629E3D7B">
            <w:pPr>
              <w:wordWrap/>
              <w:topLinePunct w:val="0"/>
              <w:spacing w:line="400" w:lineRule="exact"/>
              <w:ind w:firstLine="422" w:firstLineChars="200"/>
              <w:rPr>
                <w:color w:val="auto"/>
                <w:highlight w:val="none"/>
              </w:rPr>
            </w:pPr>
            <w:r>
              <w:rPr>
                <w:rFonts w:hint="eastAsia"/>
                <w:b/>
                <w:color w:val="auto"/>
                <w:highlight w:val="none"/>
              </w:rPr>
              <w:t>价格分采用低价优先法计算，</w:t>
            </w:r>
            <w:r>
              <w:rPr>
                <w:rFonts w:hint="eastAsia"/>
                <w:color w:val="auto"/>
                <w:highlight w:val="none"/>
              </w:rPr>
              <w:t>即满足竞争性磋商文件要求且评审报价最低的为评审基准价，其价格分为满分。其他供应商的价格分统一按照下列公式计算：</w:t>
            </w:r>
          </w:p>
          <w:p w14:paraId="602A515C">
            <w:pPr>
              <w:wordWrap/>
              <w:topLinePunct w:val="0"/>
              <w:spacing w:line="400" w:lineRule="exact"/>
              <w:ind w:firstLine="422" w:firstLineChars="200"/>
              <w:rPr>
                <w:rFonts w:hint="default" w:eastAsia="宋体"/>
                <w:b/>
                <w:color w:val="auto"/>
                <w:highlight w:val="none"/>
                <w:lang w:val="en-US" w:eastAsia="zh-CN"/>
              </w:rPr>
            </w:pPr>
            <w:r>
              <w:rPr>
                <w:rFonts w:hint="eastAsia"/>
                <w:b/>
                <w:color w:val="auto"/>
                <w:highlight w:val="none"/>
              </w:rPr>
              <w:t>最后磋商报价得分</w:t>
            </w:r>
            <w:r>
              <w:rPr>
                <w:b/>
                <w:color w:val="auto"/>
                <w:highlight w:val="none"/>
              </w:rPr>
              <w:t>=(</w:t>
            </w:r>
            <w:r>
              <w:rPr>
                <w:rFonts w:hint="eastAsia"/>
                <w:b/>
                <w:color w:val="auto"/>
                <w:highlight w:val="none"/>
              </w:rPr>
              <w:t>评审基准价／评审报价</w:t>
            </w:r>
            <w:r>
              <w:rPr>
                <w:b/>
                <w:color w:val="auto"/>
                <w:highlight w:val="none"/>
              </w:rPr>
              <w:t>)</w:t>
            </w:r>
            <w:r>
              <w:rPr>
                <w:rFonts w:hint="eastAsia"/>
                <w:b/>
                <w:color w:val="auto"/>
                <w:highlight w:val="none"/>
              </w:rPr>
              <w:t>×</w:t>
            </w:r>
            <w:r>
              <w:rPr>
                <w:rFonts w:hint="eastAsia"/>
                <w:b/>
                <w:color w:val="auto"/>
                <w:highlight w:val="none"/>
                <w:lang w:val="en-US" w:eastAsia="zh-CN"/>
              </w:rPr>
              <w:t>10</w:t>
            </w:r>
          </w:p>
        </w:tc>
      </w:tr>
      <w:tr w14:paraId="2CC0E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25" w:type="dxa"/>
            <w:vMerge w:val="restart"/>
            <w:noWrap w:val="0"/>
            <w:vAlign w:val="center"/>
          </w:tcPr>
          <w:p w14:paraId="5CCAAE06">
            <w:pPr>
              <w:widowControl/>
              <w:jc w:val="center"/>
              <w:rPr>
                <w:color w:val="auto"/>
                <w:kern w:val="0"/>
              </w:rPr>
            </w:pPr>
          </w:p>
          <w:p w14:paraId="5FE6E1E2">
            <w:pPr>
              <w:widowControl/>
              <w:jc w:val="center"/>
              <w:rPr>
                <w:color w:val="auto"/>
                <w:kern w:val="0"/>
              </w:rPr>
            </w:pPr>
          </w:p>
          <w:p w14:paraId="6E8AF411">
            <w:pPr>
              <w:widowControl/>
              <w:jc w:val="center"/>
              <w:rPr>
                <w:color w:val="auto"/>
                <w:kern w:val="0"/>
              </w:rPr>
            </w:pPr>
          </w:p>
          <w:p w14:paraId="2FCD7D18">
            <w:pPr>
              <w:widowControl/>
              <w:jc w:val="center"/>
              <w:rPr>
                <w:color w:val="auto"/>
                <w:kern w:val="0"/>
              </w:rPr>
            </w:pPr>
          </w:p>
          <w:p w14:paraId="338B4D0A">
            <w:pPr>
              <w:widowControl/>
              <w:jc w:val="center"/>
              <w:rPr>
                <w:color w:val="auto"/>
                <w:kern w:val="0"/>
              </w:rPr>
            </w:pPr>
          </w:p>
          <w:p w14:paraId="1294FFA2">
            <w:pPr>
              <w:widowControl/>
              <w:jc w:val="center"/>
              <w:rPr>
                <w:color w:val="auto"/>
                <w:kern w:val="0"/>
                <w:highlight w:val="yellow"/>
              </w:rPr>
            </w:pPr>
          </w:p>
          <w:p w14:paraId="79683369">
            <w:pPr>
              <w:widowControl/>
              <w:jc w:val="center"/>
              <w:rPr>
                <w:color w:val="auto"/>
                <w:kern w:val="0"/>
              </w:rPr>
            </w:pPr>
          </w:p>
          <w:p w14:paraId="45215F85">
            <w:pPr>
              <w:widowControl/>
              <w:jc w:val="center"/>
              <w:rPr>
                <w:color w:val="auto"/>
                <w:kern w:val="0"/>
              </w:rPr>
            </w:pPr>
            <w:r>
              <w:rPr>
                <w:rFonts w:hint="eastAsia"/>
                <w:color w:val="auto"/>
                <w:kern w:val="0"/>
              </w:rPr>
              <w:t>2.2.2（2）</w:t>
            </w:r>
          </w:p>
        </w:tc>
        <w:tc>
          <w:tcPr>
            <w:tcW w:w="993" w:type="dxa"/>
            <w:vMerge w:val="restart"/>
            <w:noWrap w:val="0"/>
            <w:vAlign w:val="center"/>
          </w:tcPr>
          <w:p w14:paraId="34417BBF">
            <w:pPr>
              <w:widowControl/>
              <w:jc w:val="center"/>
              <w:rPr>
                <w:b/>
                <w:color w:val="auto"/>
              </w:rPr>
            </w:pPr>
          </w:p>
          <w:p w14:paraId="2C4FA833">
            <w:pPr>
              <w:widowControl/>
              <w:jc w:val="center"/>
              <w:rPr>
                <w:b/>
                <w:color w:val="auto"/>
              </w:rPr>
            </w:pPr>
          </w:p>
          <w:p w14:paraId="069592B1">
            <w:pPr>
              <w:widowControl/>
              <w:jc w:val="center"/>
              <w:rPr>
                <w:b/>
                <w:color w:val="auto"/>
              </w:rPr>
            </w:pPr>
          </w:p>
          <w:p w14:paraId="787181A8">
            <w:pPr>
              <w:widowControl/>
              <w:jc w:val="center"/>
              <w:rPr>
                <w:b/>
                <w:color w:val="auto"/>
              </w:rPr>
            </w:pPr>
          </w:p>
          <w:p w14:paraId="5CBF3BAA">
            <w:pPr>
              <w:widowControl/>
              <w:jc w:val="center"/>
              <w:rPr>
                <w:b/>
                <w:color w:val="auto"/>
              </w:rPr>
            </w:pPr>
          </w:p>
          <w:p w14:paraId="73E06364">
            <w:pPr>
              <w:widowControl/>
              <w:jc w:val="center"/>
              <w:rPr>
                <w:b/>
                <w:color w:val="auto"/>
              </w:rPr>
            </w:pPr>
          </w:p>
          <w:p w14:paraId="19D6D8EC">
            <w:pPr>
              <w:widowControl/>
              <w:jc w:val="center"/>
              <w:rPr>
                <w:b/>
                <w:color w:val="auto"/>
              </w:rPr>
            </w:pPr>
          </w:p>
          <w:p w14:paraId="77FC97F6">
            <w:pPr>
              <w:widowControl/>
              <w:jc w:val="center"/>
              <w:rPr>
                <w:b/>
                <w:color w:val="auto"/>
              </w:rPr>
            </w:pPr>
            <w:r>
              <w:rPr>
                <w:rFonts w:hint="eastAsia"/>
                <w:b/>
                <w:color w:val="auto"/>
              </w:rPr>
              <w:t>技术部分（</w:t>
            </w:r>
            <w:r>
              <w:rPr>
                <w:rFonts w:hint="eastAsia"/>
                <w:b/>
                <w:color w:val="auto"/>
                <w:lang w:val="en-US" w:eastAsia="zh-CN"/>
              </w:rPr>
              <w:t>6</w:t>
            </w:r>
            <w:r>
              <w:rPr>
                <w:rFonts w:hint="eastAsia"/>
                <w:b/>
                <w:color w:val="auto"/>
              </w:rPr>
              <w:t>0分）</w:t>
            </w:r>
          </w:p>
        </w:tc>
        <w:tc>
          <w:tcPr>
            <w:tcW w:w="1984" w:type="dxa"/>
            <w:noWrap w:val="0"/>
            <w:vAlign w:val="center"/>
          </w:tcPr>
          <w:p w14:paraId="1EA12CFC">
            <w:pPr>
              <w:pStyle w:val="6"/>
              <w:ind w:left="63" w:right="63"/>
              <w:jc w:val="both"/>
              <w:rPr>
                <w:rFonts w:ascii="宋体" w:hAnsi="宋体" w:cs="宋体"/>
                <w:color w:val="auto"/>
                <w:szCs w:val="21"/>
              </w:rPr>
            </w:pPr>
            <w:r>
              <w:rPr>
                <w:rFonts w:hint="eastAsia" w:ascii="宋体" w:hAnsi="宋体" w:cs="宋体"/>
                <w:color w:val="auto"/>
                <w:szCs w:val="21"/>
              </w:rPr>
              <w:t>服务团队设置</w:t>
            </w:r>
          </w:p>
          <w:p w14:paraId="7D771B5D">
            <w:pPr>
              <w:pStyle w:val="6"/>
              <w:ind w:left="63" w:right="63"/>
              <w:jc w:val="both"/>
              <w:rPr>
                <w:rFonts w:ascii="宋体" w:hAnsi="宋体" w:cs="宋体"/>
                <w:color w:val="auto"/>
                <w:szCs w:val="21"/>
              </w:rPr>
            </w:pPr>
            <w:r>
              <w:rPr>
                <w:rFonts w:hint="eastAsia" w:ascii="宋体" w:hAnsi="宋体" w:cs="宋体"/>
                <w:color w:val="auto"/>
                <w:szCs w:val="21"/>
              </w:rPr>
              <w:t>（10分）</w:t>
            </w:r>
          </w:p>
        </w:tc>
        <w:tc>
          <w:tcPr>
            <w:tcW w:w="5670" w:type="dxa"/>
            <w:noWrap w:val="0"/>
            <w:vAlign w:val="center"/>
          </w:tcPr>
          <w:p w14:paraId="12565C84">
            <w:pPr>
              <w:pStyle w:val="6"/>
              <w:ind w:left="63" w:right="63" w:firstLine="316" w:firstLineChars="150"/>
              <w:jc w:val="both"/>
              <w:rPr>
                <w:rFonts w:ascii="宋体" w:hAnsi="宋体" w:cs="宋体"/>
                <w:color w:val="auto"/>
                <w:szCs w:val="21"/>
                <w:highlight w:val="none"/>
              </w:rPr>
            </w:pPr>
            <w:r>
              <w:rPr>
                <w:rFonts w:hint="eastAsia" w:ascii="宋体" w:hAnsi="宋体" w:cs="宋体"/>
                <w:b/>
                <w:bCs/>
                <w:color w:val="auto"/>
                <w:szCs w:val="21"/>
                <w:highlight w:val="none"/>
              </w:rPr>
              <w:t>供应商拟投入本项目保险销售专业技术人</w:t>
            </w:r>
            <w:r>
              <w:rPr>
                <w:rFonts w:hint="eastAsia" w:ascii="宋体" w:hAnsi="宋体" w:cs="宋体"/>
                <w:b/>
                <w:bCs/>
                <w:color w:val="auto"/>
                <w:szCs w:val="21"/>
                <w:highlight w:val="none"/>
                <w:lang w:val="en-US" w:eastAsia="zh-CN"/>
              </w:rPr>
              <w:t>10</w:t>
            </w:r>
            <w:r>
              <w:rPr>
                <w:rFonts w:hint="eastAsia" w:ascii="宋体" w:hAnsi="宋体" w:cs="宋体"/>
                <w:b/>
                <w:bCs/>
                <w:color w:val="auto"/>
                <w:szCs w:val="21"/>
                <w:highlight w:val="none"/>
              </w:rPr>
              <w:t>人以上得10分</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人得6分，</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人以下得2分。（提供社保证明）</w:t>
            </w:r>
          </w:p>
        </w:tc>
      </w:tr>
      <w:tr w14:paraId="229F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625" w:type="dxa"/>
            <w:vMerge w:val="continue"/>
            <w:noWrap w:val="0"/>
            <w:vAlign w:val="center"/>
          </w:tcPr>
          <w:p w14:paraId="72C5B57C">
            <w:pPr>
              <w:widowControl/>
              <w:jc w:val="center"/>
              <w:rPr>
                <w:rFonts w:hint="eastAsia"/>
                <w:color w:val="auto"/>
                <w:kern w:val="0"/>
              </w:rPr>
            </w:pPr>
          </w:p>
        </w:tc>
        <w:tc>
          <w:tcPr>
            <w:tcW w:w="993" w:type="dxa"/>
            <w:vMerge w:val="continue"/>
            <w:noWrap w:val="0"/>
            <w:vAlign w:val="center"/>
          </w:tcPr>
          <w:p w14:paraId="12536EBF">
            <w:pPr>
              <w:widowControl/>
              <w:jc w:val="center"/>
              <w:rPr>
                <w:rFonts w:hint="eastAsia"/>
                <w:b/>
                <w:color w:val="auto"/>
              </w:rPr>
            </w:pPr>
          </w:p>
        </w:tc>
        <w:tc>
          <w:tcPr>
            <w:tcW w:w="1984" w:type="dxa"/>
            <w:noWrap w:val="0"/>
            <w:vAlign w:val="center"/>
          </w:tcPr>
          <w:p w14:paraId="2DE2C9E0">
            <w:pPr>
              <w:pStyle w:val="6"/>
              <w:ind w:left="63" w:right="63"/>
              <w:jc w:val="both"/>
              <w:rPr>
                <w:rFonts w:hint="eastAsia" w:ascii="宋体" w:hAnsi="宋体" w:eastAsia="宋体" w:cs="宋体"/>
                <w:color w:val="auto"/>
                <w:szCs w:val="21"/>
                <w:highlight w:val="blue"/>
                <w:lang w:eastAsia="zh-CN"/>
              </w:rPr>
            </w:pPr>
            <w:r>
              <w:rPr>
                <w:rFonts w:hint="eastAsia" w:ascii="宋体" w:hAnsi="宋体" w:cs="宋体"/>
                <w:color w:val="auto"/>
                <w:szCs w:val="21"/>
                <w:highlight w:val="none"/>
                <w:lang w:eastAsia="zh-CN"/>
              </w:rPr>
              <w:t>机构网点设置（</w:t>
            </w:r>
            <w:r>
              <w:rPr>
                <w:rFonts w:hint="eastAsia" w:ascii="宋体" w:hAnsi="宋体" w:cs="宋体"/>
                <w:color w:val="auto"/>
                <w:szCs w:val="21"/>
                <w:highlight w:val="none"/>
                <w:lang w:val="en-US" w:eastAsia="zh-CN"/>
              </w:rPr>
              <w:t>10分</w:t>
            </w:r>
            <w:r>
              <w:rPr>
                <w:rFonts w:hint="eastAsia" w:ascii="宋体" w:hAnsi="宋体" w:cs="宋体"/>
                <w:color w:val="auto"/>
                <w:szCs w:val="21"/>
                <w:highlight w:val="none"/>
                <w:lang w:eastAsia="zh-CN"/>
              </w:rPr>
              <w:t>）</w:t>
            </w:r>
          </w:p>
        </w:tc>
        <w:tc>
          <w:tcPr>
            <w:tcW w:w="5670" w:type="dxa"/>
            <w:noWrap w:val="0"/>
            <w:vAlign w:val="center"/>
          </w:tcPr>
          <w:p w14:paraId="2DBFF75F">
            <w:pPr>
              <w:pStyle w:val="6"/>
              <w:ind w:left="63" w:right="63" w:firstLine="316" w:firstLineChars="150"/>
              <w:jc w:val="both"/>
              <w:rPr>
                <w:rFonts w:hint="eastAsia" w:ascii="宋体" w:hAnsi="宋体" w:cs="宋体"/>
                <w:color w:val="auto"/>
                <w:szCs w:val="21"/>
                <w:highlight w:val="none"/>
              </w:rPr>
            </w:pPr>
            <w:r>
              <w:rPr>
                <w:rFonts w:hint="eastAsia" w:ascii="Times New Roman" w:hAnsi="Times New Roman" w:eastAsia="宋体" w:cs="Times New Roman"/>
                <w:b/>
                <w:bCs/>
                <w:color w:val="auto"/>
                <w:kern w:val="2"/>
                <w:sz w:val="21"/>
                <w:szCs w:val="24"/>
                <w:highlight w:val="none"/>
                <w:lang w:val="en-US" w:eastAsia="zh-CN" w:bidi="ar-SA"/>
              </w:rPr>
              <w:t>供应商在设立保险营销服务网点开展业务，每设立一个机构得得2分，最高得10分，（提供营业执照、经营保险许可证原件扫描件）</w:t>
            </w:r>
          </w:p>
        </w:tc>
      </w:tr>
      <w:tr w14:paraId="6C86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625" w:type="dxa"/>
            <w:vMerge w:val="continue"/>
            <w:noWrap w:val="0"/>
            <w:vAlign w:val="center"/>
          </w:tcPr>
          <w:p w14:paraId="1D892CCA">
            <w:pPr>
              <w:widowControl/>
              <w:jc w:val="center"/>
              <w:rPr>
                <w:color w:val="auto"/>
                <w:kern w:val="0"/>
              </w:rPr>
            </w:pPr>
          </w:p>
        </w:tc>
        <w:tc>
          <w:tcPr>
            <w:tcW w:w="993" w:type="dxa"/>
            <w:vMerge w:val="continue"/>
            <w:noWrap w:val="0"/>
            <w:vAlign w:val="center"/>
          </w:tcPr>
          <w:p w14:paraId="3DDDEF88">
            <w:pPr>
              <w:widowControl/>
              <w:jc w:val="center"/>
              <w:rPr>
                <w:color w:val="auto"/>
                <w:kern w:val="0"/>
              </w:rPr>
            </w:pPr>
          </w:p>
        </w:tc>
        <w:tc>
          <w:tcPr>
            <w:tcW w:w="1984" w:type="dxa"/>
            <w:noWrap w:val="0"/>
            <w:vAlign w:val="center"/>
          </w:tcPr>
          <w:p w14:paraId="416192F6">
            <w:pPr>
              <w:pStyle w:val="6"/>
              <w:ind w:left="63" w:right="63"/>
              <w:jc w:val="both"/>
              <w:rPr>
                <w:rFonts w:ascii="宋体" w:hAnsi="宋体" w:cs="宋体"/>
                <w:color w:val="auto"/>
                <w:szCs w:val="21"/>
              </w:rPr>
            </w:pPr>
            <w:r>
              <w:rPr>
                <w:rFonts w:hint="eastAsia" w:ascii="宋体" w:hAnsi="宋体" w:cs="宋体"/>
                <w:color w:val="auto"/>
                <w:szCs w:val="21"/>
              </w:rPr>
              <w:t>赔款支付时效</w:t>
            </w:r>
          </w:p>
          <w:p w14:paraId="203850DA">
            <w:pPr>
              <w:pStyle w:val="6"/>
              <w:ind w:left="63" w:right="63"/>
              <w:jc w:val="both"/>
              <w:rPr>
                <w:rFonts w:ascii="宋体" w:hAnsi="宋体" w:cs="宋体"/>
                <w:color w:val="auto"/>
                <w:szCs w:val="21"/>
              </w:rPr>
            </w:pPr>
            <w:r>
              <w:rPr>
                <w:rFonts w:hint="eastAsia" w:ascii="宋体" w:hAnsi="宋体" w:cs="宋体"/>
                <w:color w:val="auto"/>
                <w:szCs w:val="21"/>
              </w:rPr>
              <w:t>（10分）</w:t>
            </w:r>
          </w:p>
        </w:tc>
        <w:tc>
          <w:tcPr>
            <w:tcW w:w="5670" w:type="dxa"/>
            <w:noWrap w:val="0"/>
            <w:vAlign w:val="center"/>
          </w:tcPr>
          <w:p w14:paraId="3D6D61E7">
            <w:pPr>
              <w:pStyle w:val="6"/>
              <w:ind w:left="63" w:right="63" w:firstLine="316" w:firstLineChars="150"/>
              <w:jc w:val="both"/>
              <w:rPr>
                <w:rFonts w:ascii="宋体" w:hAnsi="宋体" w:cs="宋体"/>
                <w:color w:val="auto"/>
                <w:szCs w:val="21"/>
              </w:rPr>
            </w:pPr>
            <w:r>
              <w:rPr>
                <w:rFonts w:hint="eastAsia" w:ascii="宋体" w:hAnsi="宋体" w:cs="宋体"/>
                <w:b/>
                <w:bCs/>
                <w:color w:val="auto"/>
                <w:szCs w:val="21"/>
              </w:rPr>
              <w:t>理赔服务时限。在收到书面的查勘定损报告后7个工作日内，拨付理赔保险资金的得10分；</w:t>
            </w:r>
            <w:r>
              <w:rPr>
                <w:rFonts w:hint="eastAsia" w:ascii="宋体" w:hAnsi="宋体" w:cs="宋体"/>
                <w:color w:val="auto"/>
                <w:szCs w:val="21"/>
              </w:rPr>
              <w:t>在收到书面的查勘定损报告后15个工作日内，拨付理赔保险资金的得5分；其他不得分。</w:t>
            </w:r>
          </w:p>
        </w:tc>
      </w:tr>
      <w:tr w14:paraId="30238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625" w:type="dxa"/>
            <w:vMerge w:val="continue"/>
            <w:noWrap w:val="0"/>
            <w:vAlign w:val="center"/>
          </w:tcPr>
          <w:p w14:paraId="4E263843">
            <w:pPr>
              <w:widowControl/>
              <w:jc w:val="center"/>
              <w:rPr>
                <w:color w:val="auto"/>
                <w:kern w:val="0"/>
              </w:rPr>
            </w:pPr>
          </w:p>
        </w:tc>
        <w:tc>
          <w:tcPr>
            <w:tcW w:w="993" w:type="dxa"/>
            <w:vMerge w:val="continue"/>
            <w:noWrap w:val="0"/>
            <w:vAlign w:val="center"/>
          </w:tcPr>
          <w:p w14:paraId="33D5E79F">
            <w:pPr>
              <w:widowControl/>
              <w:jc w:val="center"/>
              <w:rPr>
                <w:color w:val="auto"/>
                <w:kern w:val="0"/>
              </w:rPr>
            </w:pPr>
          </w:p>
        </w:tc>
        <w:tc>
          <w:tcPr>
            <w:tcW w:w="1984" w:type="dxa"/>
            <w:noWrap w:val="0"/>
            <w:vAlign w:val="center"/>
          </w:tcPr>
          <w:p w14:paraId="2EBBE9AE">
            <w:pPr>
              <w:pStyle w:val="6"/>
              <w:ind w:left="63" w:right="63"/>
              <w:jc w:val="both"/>
              <w:rPr>
                <w:rFonts w:ascii="宋体" w:hAnsi="宋体" w:cs="宋体"/>
                <w:color w:val="auto"/>
                <w:szCs w:val="21"/>
              </w:rPr>
            </w:pPr>
            <w:r>
              <w:rPr>
                <w:rFonts w:hint="eastAsia" w:ascii="宋体" w:hAnsi="宋体" w:cs="宋体"/>
                <w:color w:val="auto"/>
                <w:szCs w:val="21"/>
              </w:rPr>
              <w:t>理赔服务（10分）</w:t>
            </w:r>
          </w:p>
        </w:tc>
        <w:tc>
          <w:tcPr>
            <w:tcW w:w="5670" w:type="dxa"/>
            <w:noWrap w:val="0"/>
            <w:vAlign w:val="center"/>
          </w:tcPr>
          <w:p w14:paraId="5EB4CE37">
            <w:pPr>
              <w:pStyle w:val="6"/>
              <w:ind w:left="63" w:right="63" w:firstLine="316" w:firstLineChars="150"/>
              <w:jc w:val="both"/>
              <w:rPr>
                <w:rFonts w:ascii="宋体" w:hAnsi="宋体" w:cs="宋体"/>
                <w:b/>
                <w:bCs/>
                <w:color w:val="auto"/>
                <w:szCs w:val="21"/>
              </w:rPr>
            </w:pPr>
            <w:r>
              <w:rPr>
                <w:rFonts w:hint="eastAsia" w:ascii="宋体" w:hAnsi="宋体" w:cs="宋体"/>
                <w:b/>
                <w:bCs/>
                <w:color w:val="auto"/>
                <w:szCs w:val="21"/>
              </w:rPr>
              <w:t>方案投标人对本项目确定的内部理赔工作流程、理赔权限及人员组织进行说明。</w:t>
            </w:r>
          </w:p>
          <w:p w14:paraId="5A2EEBC1">
            <w:pPr>
              <w:pStyle w:val="6"/>
              <w:ind w:left="63" w:right="63"/>
              <w:jc w:val="both"/>
              <w:rPr>
                <w:rFonts w:hint="eastAsia" w:ascii="宋体" w:hAnsi="宋体" w:cs="宋体"/>
                <w:b/>
                <w:bCs/>
                <w:color w:val="auto"/>
                <w:szCs w:val="21"/>
              </w:rPr>
            </w:pPr>
            <w:r>
              <w:rPr>
                <w:rFonts w:hint="eastAsia" w:ascii="宋体" w:hAnsi="宋体" w:cs="宋体"/>
                <w:b/>
                <w:bCs/>
                <w:color w:val="auto"/>
                <w:szCs w:val="21"/>
              </w:rPr>
              <w:t>清晰性、专业性、可操作性强得10分;</w:t>
            </w:r>
          </w:p>
          <w:p w14:paraId="22F9949B">
            <w:pPr>
              <w:pStyle w:val="6"/>
              <w:ind w:left="63" w:right="63"/>
              <w:jc w:val="both"/>
              <w:rPr>
                <w:rFonts w:hint="eastAsia" w:ascii="宋体" w:hAnsi="宋体" w:cs="宋体"/>
                <w:color w:val="auto"/>
                <w:szCs w:val="21"/>
              </w:rPr>
            </w:pPr>
            <w:r>
              <w:rPr>
                <w:rFonts w:hint="eastAsia" w:ascii="宋体" w:hAnsi="宋体" w:cs="宋体"/>
                <w:color w:val="auto"/>
                <w:szCs w:val="21"/>
              </w:rPr>
              <w:t>清晰性、专业性、可操作性</w:t>
            </w:r>
            <w:r>
              <w:rPr>
                <w:rFonts w:hint="eastAsia" w:ascii="宋体" w:hAnsi="宋体" w:cs="宋体"/>
                <w:color w:val="auto"/>
                <w:szCs w:val="21"/>
                <w:lang w:val="en-US" w:eastAsia="zh-CN"/>
              </w:rPr>
              <w:t>较</w:t>
            </w:r>
            <w:r>
              <w:rPr>
                <w:rFonts w:hint="eastAsia" w:ascii="宋体" w:hAnsi="宋体" w:cs="宋体"/>
                <w:color w:val="auto"/>
                <w:szCs w:val="21"/>
              </w:rPr>
              <w:t>强得</w:t>
            </w:r>
            <w:r>
              <w:rPr>
                <w:rFonts w:hint="eastAsia" w:ascii="宋体" w:hAnsi="宋体" w:cs="宋体"/>
                <w:color w:val="auto"/>
                <w:szCs w:val="21"/>
                <w:lang w:val="en-US" w:eastAsia="zh-CN"/>
              </w:rPr>
              <w:t>8</w:t>
            </w:r>
            <w:r>
              <w:rPr>
                <w:rFonts w:hint="eastAsia" w:ascii="宋体" w:hAnsi="宋体" w:cs="宋体"/>
                <w:color w:val="auto"/>
                <w:szCs w:val="21"/>
              </w:rPr>
              <w:t>分;</w:t>
            </w:r>
          </w:p>
          <w:p w14:paraId="737C9DA7">
            <w:pPr>
              <w:pStyle w:val="6"/>
              <w:ind w:right="63"/>
              <w:jc w:val="both"/>
              <w:rPr>
                <w:rFonts w:ascii="宋体" w:hAnsi="宋体" w:cs="宋体"/>
                <w:color w:val="auto"/>
                <w:szCs w:val="21"/>
              </w:rPr>
            </w:pPr>
            <w:r>
              <w:rPr>
                <w:rFonts w:hint="eastAsia" w:ascii="宋体" w:hAnsi="宋体" w:cs="宋体"/>
                <w:color w:val="auto"/>
                <w:szCs w:val="21"/>
              </w:rPr>
              <w:t>清晰性、专业性、可操作性一般得6分；</w:t>
            </w:r>
          </w:p>
          <w:p w14:paraId="7E6E4F8E">
            <w:pPr>
              <w:pStyle w:val="6"/>
              <w:ind w:left="63" w:right="63"/>
              <w:jc w:val="both"/>
              <w:rPr>
                <w:rFonts w:ascii="宋体" w:hAnsi="宋体" w:cs="宋体"/>
                <w:color w:val="auto"/>
                <w:szCs w:val="21"/>
              </w:rPr>
            </w:pPr>
            <w:r>
              <w:rPr>
                <w:rFonts w:hint="eastAsia" w:ascii="宋体" w:hAnsi="宋体" w:cs="宋体"/>
                <w:color w:val="auto"/>
                <w:szCs w:val="21"/>
              </w:rPr>
              <w:t>清晰性、专业性、可操作性差得3分;</w:t>
            </w:r>
          </w:p>
        </w:tc>
      </w:tr>
      <w:tr w14:paraId="008DA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625" w:type="dxa"/>
            <w:vMerge w:val="continue"/>
            <w:noWrap w:val="0"/>
            <w:vAlign w:val="center"/>
          </w:tcPr>
          <w:p w14:paraId="0D1A7829">
            <w:pPr>
              <w:widowControl/>
              <w:jc w:val="center"/>
              <w:rPr>
                <w:color w:val="auto"/>
                <w:kern w:val="0"/>
              </w:rPr>
            </w:pPr>
          </w:p>
        </w:tc>
        <w:tc>
          <w:tcPr>
            <w:tcW w:w="993" w:type="dxa"/>
            <w:vMerge w:val="continue"/>
            <w:noWrap w:val="0"/>
            <w:vAlign w:val="center"/>
          </w:tcPr>
          <w:p w14:paraId="3AC8D7F5">
            <w:pPr>
              <w:widowControl/>
              <w:jc w:val="center"/>
              <w:rPr>
                <w:color w:val="auto"/>
                <w:kern w:val="0"/>
              </w:rPr>
            </w:pPr>
          </w:p>
        </w:tc>
        <w:tc>
          <w:tcPr>
            <w:tcW w:w="1984" w:type="dxa"/>
            <w:noWrap w:val="0"/>
            <w:vAlign w:val="center"/>
          </w:tcPr>
          <w:p w14:paraId="2FEA9535">
            <w:pPr>
              <w:pStyle w:val="6"/>
              <w:ind w:left="63" w:right="63"/>
              <w:jc w:val="both"/>
              <w:rPr>
                <w:rFonts w:ascii="宋体" w:hAnsi="宋体" w:cs="宋体"/>
                <w:color w:val="auto"/>
                <w:szCs w:val="21"/>
              </w:rPr>
            </w:pPr>
            <w:r>
              <w:rPr>
                <w:rFonts w:hint="eastAsia" w:ascii="宋体" w:hAnsi="宋体" w:cs="宋体"/>
                <w:color w:val="auto"/>
                <w:szCs w:val="21"/>
              </w:rPr>
              <w:t>防灾防损服务计划（10分）</w:t>
            </w:r>
          </w:p>
        </w:tc>
        <w:tc>
          <w:tcPr>
            <w:tcW w:w="5670" w:type="dxa"/>
            <w:noWrap w:val="0"/>
            <w:vAlign w:val="center"/>
          </w:tcPr>
          <w:p w14:paraId="32117281">
            <w:pPr>
              <w:pStyle w:val="6"/>
              <w:ind w:left="63" w:right="63" w:firstLine="316" w:firstLineChars="150"/>
              <w:jc w:val="both"/>
              <w:rPr>
                <w:rFonts w:ascii="宋体" w:hAnsi="宋体" w:cs="宋体"/>
                <w:b/>
                <w:bCs/>
                <w:color w:val="auto"/>
                <w:szCs w:val="21"/>
              </w:rPr>
            </w:pPr>
            <w:r>
              <w:rPr>
                <w:rFonts w:hint="eastAsia" w:ascii="宋体" w:hAnsi="宋体" w:cs="宋体"/>
                <w:b/>
                <w:bCs/>
                <w:color w:val="auto"/>
                <w:szCs w:val="21"/>
              </w:rPr>
              <w:t>投标人应就本项目承保风险管控的总体工作原则、防灾防损重点工作及具体实施计划等内容进行详细阐述。</w:t>
            </w:r>
          </w:p>
          <w:p w14:paraId="374DC5A2">
            <w:pPr>
              <w:pStyle w:val="6"/>
              <w:ind w:left="63" w:right="63"/>
              <w:jc w:val="both"/>
              <w:rPr>
                <w:rFonts w:hint="eastAsia" w:ascii="宋体" w:hAnsi="宋体" w:cs="宋体"/>
                <w:b/>
                <w:bCs/>
                <w:color w:val="auto"/>
                <w:szCs w:val="21"/>
              </w:rPr>
            </w:pPr>
            <w:r>
              <w:rPr>
                <w:rFonts w:hint="eastAsia" w:ascii="宋体" w:hAnsi="宋体" w:cs="宋体"/>
                <w:b/>
                <w:bCs/>
                <w:color w:val="auto"/>
                <w:szCs w:val="21"/>
              </w:rPr>
              <w:t>阐述内容的专业性、逻辑性、可操作性强得10分；</w:t>
            </w:r>
          </w:p>
          <w:p w14:paraId="3D1E161E">
            <w:pPr>
              <w:ind w:firstLine="210" w:firstLineChars="100"/>
              <w:rPr>
                <w:color w:val="auto"/>
              </w:rPr>
            </w:pPr>
            <w:r>
              <w:rPr>
                <w:rFonts w:hint="eastAsia" w:ascii="宋体" w:hAnsi="宋体" w:cs="宋体"/>
                <w:color w:val="auto"/>
                <w:szCs w:val="21"/>
              </w:rPr>
              <w:t>专业性、逻辑性、可操作</w:t>
            </w:r>
            <w:r>
              <w:rPr>
                <w:rFonts w:hint="eastAsia" w:ascii="宋体" w:hAnsi="宋体" w:cs="宋体"/>
                <w:color w:val="auto"/>
                <w:szCs w:val="21"/>
                <w:lang w:val="en-US" w:eastAsia="zh-CN"/>
              </w:rPr>
              <w:t>较</w:t>
            </w:r>
            <w:r>
              <w:rPr>
                <w:rFonts w:hint="eastAsia" w:ascii="宋体" w:hAnsi="宋体" w:cs="宋体"/>
                <w:color w:val="auto"/>
                <w:szCs w:val="21"/>
              </w:rPr>
              <w:t>性强得</w:t>
            </w:r>
            <w:r>
              <w:rPr>
                <w:rFonts w:hint="eastAsia" w:ascii="宋体" w:hAnsi="宋体" w:cs="宋体"/>
                <w:color w:val="auto"/>
                <w:szCs w:val="21"/>
                <w:lang w:val="en-US" w:eastAsia="zh-CN"/>
              </w:rPr>
              <w:t>8</w:t>
            </w:r>
            <w:r>
              <w:rPr>
                <w:rFonts w:hint="eastAsia" w:ascii="宋体" w:hAnsi="宋体" w:cs="宋体"/>
                <w:color w:val="auto"/>
                <w:szCs w:val="21"/>
              </w:rPr>
              <w:t>分；</w:t>
            </w:r>
          </w:p>
          <w:p w14:paraId="47B38B29">
            <w:pPr>
              <w:pStyle w:val="6"/>
              <w:ind w:left="0" w:leftChars="0" w:right="63" w:firstLine="210" w:firstLineChars="100"/>
              <w:jc w:val="both"/>
              <w:rPr>
                <w:rFonts w:ascii="宋体" w:hAnsi="宋体" w:cs="宋体"/>
                <w:color w:val="auto"/>
                <w:szCs w:val="21"/>
              </w:rPr>
            </w:pPr>
            <w:r>
              <w:rPr>
                <w:rFonts w:hint="eastAsia" w:ascii="宋体" w:hAnsi="宋体" w:cs="宋体"/>
                <w:color w:val="auto"/>
                <w:szCs w:val="21"/>
              </w:rPr>
              <w:t>专业性、逻辑性、可操作性一般得6分；</w:t>
            </w:r>
          </w:p>
          <w:p w14:paraId="664563A2">
            <w:pPr>
              <w:pStyle w:val="6"/>
              <w:ind w:left="0" w:leftChars="0" w:right="63" w:firstLine="210" w:firstLineChars="100"/>
              <w:jc w:val="both"/>
              <w:rPr>
                <w:rFonts w:ascii="宋体" w:hAnsi="宋体" w:cs="宋体"/>
                <w:color w:val="auto"/>
                <w:szCs w:val="21"/>
              </w:rPr>
            </w:pPr>
            <w:r>
              <w:rPr>
                <w:rFonts w:hint="eastAsia" w:ascii="宋体" w:hAnsi="宋体" w:cs="宋体"/>
                <w:color w:val="auto"/>
                <w:szCs w:val="21"/>
              </w:rPr>
              <w:t>专业性、逻辑性、可操作性差的得3</w:t>
            </w:r>
            <w:r>
              <w:rPr>
                <w:rFonts w:hint="eastAsia" w:ascii="宋体" w:hAnsi="宋体" w:cs="宋体"/>
                <w:color w:val="auto"/>
                <w:szCs w:val="21"/>
                <w:lang w:val="en-US" w:eastAsia="zh-CN"/>
              </w:rPr>
              <w:t>分</w:t>
            </w:r>
            <w:r>
              <w:rPr>
                <w:rFonts w:hint="eastAsia" w:ascii="宋体" w:hAnsi="宋体" w:cs="宋体"/>
                <w:color w:val="auto"/>
                <w:szCs w:val="21"/>
              </w:rPr>
              <w:t>；</w:t>
            </w:r>
            <w:r>
              <w:rPr>
                <w:rFonts w:ascii="宋体" w:hAnsi="宋体" w:cs="宋体"/>
                <w:color w:val="auto"/>
                <w:szCs w:val="21"/>
              </w:rPr>
              <w:t xml:space="preserve"> </w:t>
            </w:r>
          </w:p>
        </w:tc>
      </w:tr>
      <w:tr w14:paraId="5EFE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625" w:type="dxa"/>
            <w:vMerge w:val="continue"/>
            <w:noWrap w:val="0"/>
            <w:vAlign w:val="center"/>
          </w:tcPr>
          <w:p w14:paraId="55BF4CAC">
            <w:pPr>
              <w:widowControl/>
              <w:jc w:val="center"/>
              <w:rPr>
                <w:color w:val="auto"/>
                <w:kern w:val="0"/>
              </w:rPr>
            </w:pPr>
          </w:p>
        </w:tc>
        <w:tc>
          <w:tcPr>
            <w:tcW w:w="993" w:type="dxa"/>
            <w:vMerge w:val="continue"/>
            <w:noWrap w:val="0"/>
            <w:vAlign w:val="center"/>
          </w:tcPr>
          <w:p w14:paraId="59C936D2">
            <w:pPr>
              <w:widowControl/>
              <w:jc w:val="center"/>
              <w:rPr>
                <w:color w:val="auto"/>
                <w:kern w:val="0"/>
              </w:rPr>
            </w:pPr>
          </w:p>
        </w:tc>
        <w:tc>
          <w:tcPr>
            <w:tcW w:w="1984" w:type="dxa"/>
            <w:noWrap w:val="0"/>
            <w:vAlign w:val="center"/>
          </w:tcPr>
          <w:p w14:paraId="13CFA959">
            <w:pPr>
              <w:pStyle w:val="6"/>
              <w:ind w:left="63" w:right="63"/>
              <w:jc w:val="both"/>
              <w:rPr>
                <w:rFonts w:ascii="宋体" w:hAnsi="宋体" w:cs="宋体"/>
                <w:color w:val="auto"/>
                <w:szCs w:val="21"/>
              </w:rPr>
            </w:pPr>
            <w:r>
              <w:rPr>
                <w:rFonts w:hint="eastAsia" w:ascii="宋体" w:hAnsi="宋体" w:cs="宋体"/>
                <w:color w:val="auto"/>
                <w:szCs w:val="21"/>
              </w:rPr>
              <w:t>偿付能力（10分）</w:t>
            </w:r>
          </w:p>
        </w:tc>
        <w:tc>
          <w:tcPr>
            <w:tcW w:w="5670" w:type="dxa"/>
            <w:noWrap w:val="0"/>
            <w:vAlign w:val="center"/>
          </w:tcPr>
          <w:p w14:paraId="35AEEFEF">
            <w:pPr>
              <w:pStyle w:val="6"/>
              <w:ind w:left="63" w:right="63" w:firstLine="315" w:firstLineChars="150"/>
              <w:jc w:val="both"/>
              <w:rPr>
                <w:rFonts w:ascii="宋体" w:hAnsi="宋体" w:cs="宋体"/>
                <w:color w:val="auto"/>
                <w:szCs w:val="21"/>
              </w:rPr>
            </w:pPr>
            <w:r>
              <w:rPr>
                <w:rFonts w:hint="eastAsia"/>
                <w:color w:val="auto"/>
                <w:highlight w:val="none"/>
              </w:rPr>
              <w:t>根据投标人总公司偿付能力充足率进行评分：</w:t>
            </w:r>
            <w:r>
              <w:rPr>
                <w:rFonts w:hint="eastAsia"/>
                <w:b/>
                <w:bCs/>
                <w:color w:val="auto"/>
                <w:highlight w:val="none"/>
              </w:rPr>
              <w:t>202</w:t>
            </w:r>
            <w:r>
              <w:rPr>
                <w:rFonts w:hint="eastAsia"/>
                <w:b/>
                <w:bCs/>
                <w:color w:val="auto"/>
                <w:highlight w:val="none"/>
                <w:lang w:val="en-US" w:eastAsia="zh-CN"/>
              </w:rPr>
              <w:t>2</w:t>
            </w:r>
            <w:r>
              <w:rPr>
                <w:rFonts w:hint="eastAsia"/>
                <w:b/>
                <w:bCs/>
                <w:color w:val="auto"/>
                <w:highlight w:val="none"/>
              </w:rPr>
              <w:t>年度</w:t>
            </w:r>
            <w:r>
              <w:rPr>
                <w:rFonts w:hint="eastAsia"/>
                <w:b/>
                <w:bCs/>
                <w:color w:val="auto"/>
                <w:highlight w:val="none"/>
                <w:lang w:val="en-US" w:eastAsia="zh-CN"/>
              </w:rPr>
              <w:t>以来任意一年度</w:t>
            </w:r>
            <w:r>
              <w:rPr>
                <w:rFonts w:hint="eastAsia"/>
                <w:b/>
                <w:bCs/>
                <w:color w:val="auto"/>
                <w:highlight w:val="none"/>
              </w:rPr>
              <w:t>末偿付能力充足率</w:t>
            </w:r>
            <w:r>
              <w:rPr>
                <w:rFonts w:hint="eastAsia"/>
                <w:b/>
                <w:bCs/>
                <w:color w:val="auto"/>
                <w:highlight w:val="none"/>
                <w:lang w:val="en-US" w:eastAsia="zh-CN"/>
              </w:rPr>
              <w:t>260%及以上得10分；</w:t>
            </w:r>
            <w:r>
              <w:rPr>
                <w:rFonts w:hint="eastAsia"/>
                <w:color w:val="auto"/>
                <w:highlight w:val="none"/>
                <w:lang w:val="en-US" w:eastAsia="zh-CN"/>
              </w:rPr>
              <w:t>260%（含）-</w:t>
            </w:r>
            <w:r>
              <w:rPr>
                <w:rFonts w:hint="eastAsia"/>
                <w:color w:val="auto"/>
                <w:highlight w:val="none"/>
              </w:rPr>
              <w:t>220%及以上得7分；220%（含）-150%得3分；100%以下不得分；注：</w:t>
            </w:r>
            <w:r>
              <w:rPr>
                <w:rFonts w:hint="eastAsia"/>
                <w:b/>
                <w:bCs/>
                <w:color w:val="auto"/>
                <w:highlight w:val="none"/>
              </w:rPr>
              <w:t>202</w:t>
            </w:r>
            <w:r>
              <w:rPr>
                <w:rFonts w:hint="eastAsia"/>
                <w:b/>
                <w:bCs/>
                <w:color w:val="auto"/>
                <w:highlight w:val="none"/>
                <w:lang w:val="en-US" w:eastAsia="zh-CN"/>
              </w:rPr>
              <w:t>2</w:t>
            </w:r>
            <w:r>
              <w:rPr>
                <w:rFonts w:hint="eastAsia"/>
                <w:b/>
                <w:bCs/>
                <w:color w:val="auto"/>
                <w:highlight w:val="none"/>
              </w:rPr>
              <w:t>年度</w:t>
            </w:r>
            <w:r>
              <w:rPr>
                <w:rFonts w:hint="eastAsia"/>
                <w:b/>
                <w:bCs/>
                <w:color w:val="auto"/>
                <w:highlight w:val="none"/>
                <w:lang w:val="en-US" w:eastAsia="zh-CN"/>
              </w:rPr>
              <w:t>以来任意一年度</w:t>
            </w:r>
            <w:r>
              <w:rPr>
                <w:rFonts w:hint="eastAsia"/>
                <w:b/>
                <w:bCs/>
                <w:color w:val="auto"/>
                <w:highlight w:val="none"/>
              </w:rPr>
              <w:t>末</w:t>
            </w:r>
            <w:r>
              <w:rPr>
                <w:rFonts w:hint="eastAsia"/>
                <w:color w:val="auto"/>
                <w:highlight w:val="none"/>
              </w:rPr>
              <w:t>偿付能力报告复印件。</w:t>
            </w:r>
          </w:p>
        </w:tc>
      </w:tr>
      <w:tr w14:paraId="0227A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25" w:type="dxa"/>
            <w:vMerge w:val="continue"/>
            <w:noWrap w:val="0"/>
            <w:vAlign w:val="center"/>
          </w:tcPr>
          <w:p w14:paraId="18C8E6C4">
            <w:pPr>
              <w:widowControl/>
              <w:jc w:val="center"/>
              <w:rPr>
                <w:color w:val="auto"/>
                <w:kern w:val="0"/>
              </w:rPr>
            </w:pPr>
          </w:p>
        </w:tc>
        <w:tc>
          <w:tcPr>
            <w:tcW w:w="993" w:type="dxa"/>
            <w:vMerge w:val="continue"/>
            <w:noWrap w:val="0"/>
            <w:vAlign w:val="center"/>
          </w:tcPr>
          <w:p w14:paraId="26391FC4">
            <w:pPr>
              <w:widowControl/>
              <w:jc w:val="center"/>
              <w:rPr>
                <w:color w:val="auto"/>
                <w:kern w:val="0"/>
              </w:rPr>
            </w:pPr>
          </w:p>
        </w:tc>
        <w:tc>
          <w:tcPr>
            <w:tcW w:w="7654" w:type="dxa"/>
            <w:gridSpan w:val="2"/>
            <w:noWrap w:val="0"/>
            <w:vAlign w:val="center"/>
          </w:tcPr>
          <w:p w14:paraId="7813D4E5">
            <w:pPr>
              <w:rPr>
                <w:b/>
                <w:color w:val="auto"/>
              </w:rPr>
            </w:pPr>
            <w:r>
              <w:rPr>
                <w:rFonts w:hint="eastAsia"/>
                <w:b/>
                <w:color w:val="auto"/>
              </w:rPr>
              <w:t>注：以上如有缺项，该小项不得分</w:t>
            </w:r>
          </w:p>
        </w:tc>
      </w:tr>
      <w:tr w14:paraId="2BBD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625" w:type="dxa"/>
            <w:vMerge w:val="restart"/>
            <w:noWrap w:val="0"/>
            <w:vAlign w:val="center"/>
          </w:tcPr>
          <w:p w14:paraId="14F33DB3">
            <w:pPr>
              <w:widowControl/>
              <w:jc w:val="center"/>
              <w:rPr>
                <w:color w:val="auto"/>
                <w:kern w:val="0"/>
              </w:rPr>
            </w:pPr>
            <w:r>
              <w:rPr>
                <w:rFonts w:hint="eastAsia"/>
                <w:color w:val="auto"/>
                <w:kern w:val="0"/>
              </w:rPr>
              <w:t>2.2.2（3）</w:t>
            </w:r>
          </w:p>
        </w:tc>
        <w:tc>
          <w:tcPr>
            <w:tcW w:w="993" w:type="dxa"/>
            <w:vMerge w:val="restart"/>
            <w:noWrap w:val="0"/>
            <w:vAlign w:val="center"/>
          </w:tcPr>
          <w:p w14:paraId="6763BC94">
            <w:pPr>
              <w:widowControl/>
              <w:jc w:val="center"/>
              <w:rPr>
                <w:b/>
                <w:color w:val="auto"/>
              </w:rPr>
            </w:pPr>
            <w:r>
              <w:rPr>
                <w:rFonts w:hint="eastAsia"/>
                <w:b/>
                <w:color w:val="auto"/>
              </w:rPr>
              <w:t>商务部分（</w:t>
            </w:r>
            <w:r>
              <w:rPr>
                <w:rFonts w:hint="eastAsia"/>
                <w:b/>
                <w:color w:val="auto"/>
                <w:lang w:val="en-US" w:eastAsia="zh-CN"/>
              </w:rPr>
              <w:t>2</w:t>
            </w:r>
            <w:r>
              <w:rPr>
                <w:rFonts w:hint="eastAsia"/>
                <w:b/>
                <w:color w:val="auto"/>
              </w:rPr>
              <w:t>0分）</w:t>
            </w:r>
          </w:p>
          <w:p w14:paraId="733859F0">
            <w:pPr>
              <w:widowControl/>
              <w:jc w:val="center"/>
              <w:rPr>
                <w:b/>
                <w:color w:val="auto"/>
              </w:rPr>
            </w:pPr>
          </w:p>
        </w:tc>
        <w:tc>
          <w:tcPr>
            <w:tcW w:w="1984" w:type="dxa"/>
            <w:noWrap w:val="0"/>
            <w:vAlign w:val="center"/>
          </w:tcPr>
          <w:p w14:paraId="4F97305D">
            <w:pPr>
              <w:pStyle w:val="6"/>
              <w:ind w:left="63" w:right="63"/>
              <w:jc w:val="both"/>
              <w:rPr>
                <w:rFonts w:ascii="宋体" w:hAnsi="宋体" w:cs="宋体"/>
                <w:color w:val="auto"/>
                <w:szCs w:val="21"/>
                <w:highlight w:val="none"/>
              </w:rPr>
            </w:pPr>
            <w:r>
              <w:rPr>
                <w:rFonts w:hint="eastAsia" w:ascii="宋体" w:hAnsi="宋体" w:cs="宋体"/>
                <w:color w:val="auto"/>
                <w:szCs w:val="21"/>
                <w:highlight w:val="none"/>
              </w:rPr>
              <w:t>业绩（</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0分）</w:t>
            </w:r>
          </w:p>
        </w:tc>
        <w:tc>
          <w:tcPr>
            <w:tcW w:w="5670" w:type="dxa"/>
            <w:noWrap w:val="0"/>
            <w:vAlign w:val="top"/>
          </w:tcPr>
          <w:p w14:paraId="299A0F09">
            <w:pPr>
              <w:pStyle w:val="6"/>
              <w:ind w:left="63" w:right="63"/>
              <w:jc w:val="both"/>
              <w:rPr>
                <w:rFonts w:ascii="宋体" w:hAnsi="宋体" w:cs="宋体"/>
                <w:color w:val="auto"/>
                <w:szCs w:val="21"/>
                <w:highlight w:val="none"/>
              </w:rPr>
            </w:pPr>
            <w:r>
              <w:rPr>
                <w:rFonts w:hint="eastAsia" w:ascii="宋体" w:hAnsi="宋体" w:cs="宋体"/>
                <w:b/>
                <w:bCs/>
                <w:color w:val="auto"/>
                <w:szCs w:val="21"/>
                <w:highlight w:val="none"/>
              </w:rPr>
              <w:t>投标人20</w:t>
            </w:r>
            <w:r>
              <w:rPr>
                <w:rFonts w:hint="eastAsia" w:ascii="宋体" w:hAnsi="宋体" w:cs="宋体"/>
                <w:b/>
                <w:bCs/>
                <w:color w:val="auto"/>
                <w:szCs w:val="21"/>
                <w:highlight w:val="none"/>
                <w:lang w:val="en-US" w:eastAsia="zh-CN"/>
              </w:rPr>
              <w:t>22</w:t>
            </w:r>
            <w:r>
              <w:rPr>
                <w:rFonts w:hint="eastAsia" w:ascii="宋体" w:hAnsi="宋体" w:cs="宋体"/>
                <w:b/>
                <w:bCs/>
                <w:color w:val="auto"/>
                <w:szCs w:val="21"/>
                <w:highlight w:val="none"/>
              </w:rPr>
              <w:t>年以来在每提供一份</w:t>
            </w:r>
            <w:r>
              <w:rPr>
                <w:rFonts w:hint="eastAsia" w:ascii="宋体" w:hAnsi="宋体" w:cs="宋体"/>
                <w:b/>
                <w:bCs/>
                <w:color w:val="auto"/>
                <w:szCs w:val="21"/>
                <w:highlight w:val="none"/>
                <w:lang w:val="en-US" w:eastAsia="zh-CN"/>
              </w:rPr>
              <w:t>县级及以上公立医院</w:t>
            </w:r>
            <w:r>
              <w:rPr>
                <w:rFonts w:hint="eastAsia" w:ascii="宋体" w:hAnsi="宋体" w:cs="宋体"/>
                <w:b/>
                <w:bCs/>
                <w:color w:val="auto"/>
                <w:szCs w:val="21"/>
                <w:highlight w:val="none"/>
              </w:rPr>
              <w:t>项目合同业绩得5分，最多得</w:t>
            </w:r>
            <w:r>
              <w:rPr>
                <w:rFonts w:hint="eastAsia" w:ascii="宋体" w:hAnsi="宋体" w:cs="宋体"/>
                <w:b/>
                <w:bCs/>
                <w:color w:val="auto"/>
                <w:szCs w:val="21"/>
                <w:highlight w:val="none"/>
                <w:lang w:val="en-US" w:eastAsia="zh-CN"/>
              </w:rPr>
              <w:t>1</w:t>
            </w:r>
            <w:r>
              <w:rPr>
                <w:rFonts w:hint="eastAsia" w:ascii="宋体" w:hAnsi="宋体" w:cs="宋体"/>
                <w:b/>
                <w:bCs/>
                <w:color w:val="auto"/>
                <w:szCs w:val="21"/>
                <w:highlight w:val="none"/>
              </w:rPr>
              <w:t>0分</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提供保单、</w:t>
            </w:r>
            <w:r>
              <w:rPr>
                <w:rFonts w:hint="eastAsia" w:ascii="宋体" w:hAnsi="宋体" w:cs="宋体"/>
                <w:b/>
                <w:bCs/>
                <w:color w:val="auto"/>
                <w:szCs w:val="21"/>
                <w:highlight w:val="none"/>
              </w:rPr>
              <w:t>中标通知书</w:t>
            </w:r>
            <w:r>
              <w:rPr>
                <w:rFonts w:hint="eastAsia" w:ascii="宋体" w:hAnsi="宋体" w:cs="宋体"/>
                <w:b/>
                <w:bCs/>
                <w:color w:val="auto"/>
                <w:szCs w:val="21"/>
                <w:highlight w:val="none"/>
                <w:lang w:val="en-US" w:eastAsia="zh-CN"/>
              </w:rPr>
              <w:t>或</w:t>
            </w:r>
            <w:r>
              <w:rPr>
                <w:rFonts w:hint="eastAsia" w:ascii="宋体" w:hAnsi="宋体" w:cs="宋体"/>
                <w:b/>
                <w:bCs/>
                <w:color w:val="auto"/>
                <w:szCs w:val="21"/>
                <w:highlight w:val="none"/>
              </w:rPr>
              <w:t>合同协议书原件扫描件</w:t>
            </w:r>
            <w:r>
              <w:rPr>
                <w:rFonts w:hint="eastAsia" w:ascii="宋体" w:hAnsi="宋体" w:cs="宋体"/>
                <w:color w:val="auto"/>
                <w:szCs w:val="21"/>
                <w:highlight w:val="none"/>
              </w:rPr>
              <w:t>（或图片）。</w:t>
            </w:r>
          </w:p>
        </w:tc>
      </w:tr>
      <w:tr w14:paraId="5C8F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continue"/>
            <w:noWrap w:val="0"/>
            <w:vAlign w:val="center"/>
          </w:tcPr>
          <w:p w14:paraId="57D4D222">
            <w:pPr>
              <w:widowControl/>
              <w:jc w:val="center"/>
              <w:rPr>
                <w:color w:val="auto"/>
                <w:kern w:val="0"/>
              </w:rPr>
            </w:pPr>
          </w:p>
        </w:tc>
        <w:tc>
          <w:tcPr>
            <w:tcW w:w="993" w:type="dxa"/>
            <w:vMerge w:val="continue"/>
            <w:noWrap w:val="0"/>
            <w:vAlign w:val="center"/>
          </w:tcPr>
          <w:p w14:paraId="7077A00F">
            <w:pPr>
              <w:widowControl/>
              <w:jc w:val="center"/>
              <w:rPr>
                <w:color w:val="auto"/>
                <w:kern w:val="0"/>
              </w:rPr>
            </w:pPr>
          </w:p>
        </w:tc>
        <w:tc>
          <w:tcPr>
            <w:tcW w:w="1984" w:type="dxa"/>
            <w:noWrap w:val="0"/>
            <w:vAlign w:val="center"/>
          </w:tcPr>
          <w:p w14:paraId="33E570F2">
            <w:pPr>
              <w:pStyle w:val="6"/>
              <w:ind w:left="63" w:right="63"/>
              <w:rPr>
                <w:rFonts w:ascii="宋体" w:hAnsi="宋体" w:cs="宋体"/>
                <w:color w:val="auto"/>
                <w:szCs w:val="21"/>
              </w:rPr>
            </w:pPr>
            <w:r>
              <w:rPr>
                <w:rFonts w:ascii="宋体" w:hAnsi="宋体" w:cs="宋体"/>
                <w:color w:val="auto"/>
                <w:szCs w:val="21"/>
              </w:rPr>
              <w:t>服务承诺</w:t>
            </w:r>
          </w:p>
          <w:p w14:paraId="6CD32023">
            <w:pPr>
              <w:pStyle w:val="6"/>
              <w:ind w:left="63" w:right="63"/>
              <w:rPr>
                <w:rFonts w:ascii="宋体" w:hAnsi="宋体" w:cs="宋体"/>
                <w:color w:val="auto"/>
                <w:szCs w:val="21"/>
              </w:rPr>
            </w:pPr>
            <w:r>
              <w:rPr>
                <w:rFonts w:ascii="宋体" w:hAnsi="宋体" w:cs="宋体"/>
                <w:color w:val="auto"/>
                <w:szCs w:val="21"/>
              </w:rPr>
              <w:t>（</w:t>
            </w:r>
            <w:r>
              <w:rPr>
                <w:rFonts w:hint="eastAsia" w:ascii="宋体" w:hAnsi="宋体" w:cs="宋体"/>
                <w:color w:val="auto"/>
                <w:szCs w:val="21"/>
              </w:rPr>
              <w:t>10</w:t>
            </w:r>
            <w:r>
              <w:rPr>
                <w:rFonts w:ascii="宋体" w:hAnsi="宋体" w:cs="宋体"/>
                <w:color w:val="auto"/>
                <w:szCs w:val="21"/>
              </w:rPr>
              <w:t>分）</w:t>
            </w:r>
          </w:p>
          <w:p w14:paraId="064D7E8F">
            <w:pPr>
              <w:pStyle w:val="6"/>
              <w:ind w:left="0" w:leftChars="0" w:right="63"/>
              <w:jc w:val="both"/>
              <w:rPr>
                <w:rFonts w:ascii="宋体" w:hAnsi="宋体" w:cs="宋体"/>
                <w:color w:val="auto"/>
                <w:szCs w:val="21"/>
              </w:rPr>
            </w:pPr>
          </w:p>
        </w:tc>
        <w:tc>
          <w:tcPr>
            <w:tcW w:w="5670" w:type="dxa"/>
            <w:noWrap w:val="0"/>
            <w:vAlign w:val="center"/>
          </w:tcPr>
          <w:p w14:paraId="0B83200B">
            <w:pPr>
              <w:pStyle w:val="6"/>
              <w:ind w:left="63" w:right="63"/>
              <w:jc w:val="both"/>
              <w:rPr>
                <w:rFonts w:ascii="宋体" w:hAnsi="宋体" w:cs="宋体"/>
                <w:b/>
                <w:bCs/>
                <w:color w:val="auto"/>
                <w:szCs w:val="21"/>
              </w:rPr>
            </w:pPr>
            <w:r>
              <w:rPr>
                <w:rFonts w:ascii="宋体" w:hAnsi="宋体" w:cs="宋体"/>
                <w:b/>
                <w:bCs/>
                <w:color w:val="auto"/>
                <w:szCs w:val="21"/>
              </w:rPr>
              <w:t>优惠及服务承诺内容全面、技术措施有针对性、</w:t>
            </w:r>
            <w:r>
              <w:rPr>
                <w:rFonts w:hint="eastAsia" w:ascii="宋体" w:hAnsi="宋体" w:cs="宋体"/>
                <w:b/>
                <w:bCs/>
                <w:color w:val="auto"/>
                <w:szCs w:val="21"/>
                <w:lang w:val="en-US" w:eastAsia="zh-CN"/>
              </w:rPr>
              <w:t>优秀</w:t>
            </w:r>
            <w:r>
              <w:rPr>
                <w:rFonts w:ascii="宋体" w:hAnsi="宋体" w:cs="宋体"/>
                <w:b/>
                <w:bCs/>
                <w:color w:val="auto"/>
                <w:szCs w:val="21"/>
              </w:rPr>
              <w:t>可行的，得</w:t>
            </w:r>
            <w:r>
              <w:rPr>
                <w:rFonts w:hint="eastAsia" w:ascii="宋体" w:hAnsi="宋体" w:cs="宋体"/>
                <w:b/>
                <w:bCs/>
                <w:color w:val="auto"/>
                <w:szCs w:val="21"/>
                <w:lang w:val="en-US" w:eastAsia="zh-CN"/>
              </w:rPr>
              <w:t>10</w:t>
            </w:r>
            <w:r>
              <w:rPr>
                <w:rFonts w:ascii="宋体" w:hAnsi="宋体" w:cs="宋体"/>
                <w:b/>
                <w:bCs/>
                <w:color w:val="auto"/>
                <w:szCs w:val="21"/>
              </w:rPr>
              <w:t>分；</w:t>
            </w:r>
          </w:p>
          <w:p w14:paraId="109E7E7F">
            <w:pPr>
              <w:pStyle w:val="6"/>
              <w:ind w:left="63" w:right="63"/>
              <w:jc w:val="both"/>
              <w:rPr>
                <w:rFonts w:ascii="宋体" w:hAnsi="宋体" w:cs="宋体"/>
                <w:color w:val="auto"/>
                <w:szCs w:val="21"/>
              </w:rPr>
            </w:pPr>
            <w:r>
              <w:rPr>
                <w:rFonts w:ascii="宋体" w:hAnsi="宋体" w:cs="宋体"/>
                <w:color w:val="auto"/>
                <w:szCs w:val="21"/>
              </w:rPr>
              <w:t>优惠及服务承诺内容全面、技术措施有针对性、合理可行的，得</w:t>
            </w:r>
            <w:r>
              <w:rPr>
                <w:rFonts w:hint="eastAsia" w:ascii="宋体" w:hAnsi="宋体" w:cs="宋体"/>
                <w:color w:val="auto"/>
                <w:szCs w:val="21"/>
                <w:lang w:val="en-US" w:eastAsia="zh-CN"/>
              </w:rPr>
              <w:t>8</w:t>
            </w:r>
            <w:r>
              <w:rPr>
                <w:rFonts w:ascii="宋体" w:hAnsi="宋体" w:cs="宋体"/>
                <w:color w:val="auto"/>
                <w:szCs w:val="21"/>
              </w:rPr>
              <w:t>分；</w:t>
            </w:r>
          </w:p>
          <w:p w14:paraId="7DFAFC63">
            <w:pPr>
              <w:pStyle w:val="6"/>
              <w:ind w:left="63" w:right="63"/>
              <w:jc w:val="both"/>
              <w:rPr>
                <w:rFonts w:ascii="宋体" w:hAnsi="宋体" w:cs="宋体"/>
                <w:color w:val="auto"/>
                <w:szCs w:val="21"/>
              </w:rPr>
            </w:pPr>
            <w:r>
              <w:rPr>
                <w:rFonts w:ascii="宋体" w:hAnsi="宋体" w:cs="宋体"/>
                <w:color w:val="auto"/>
                <w:szCs w:val="21"/>
              </w:rPr>
              <w:t>有优惠及服务承诺内容、技术措施基本可行的得</w:t>
            </w:r>
            <w:r>
              <w:rPr>
                <w:rFonts w:hint="eastAsia" w:ascii="宋体" w:hAnsi="宋体" w:cs="宋体"/>
                <w:color w:val="auto"/>
                <w:szCs w:val="21"/>
              </w:rPr>
              <w:t>6</w:t>
            </w:r>
            <w:r>
              <w:rPr>
                <w:rFonts w:ascii="宋体" w:hAnsi="宋体" w:cs="宋体"/>
                <w:color w:val="auto"/>
                <w:szCs w:val="21"/>
              </w:rPr>
              <w:t>分；</w:t>
            </w:r>
          </w:p>
          <w:p w14:paraId="536F125B">
            <w:pPr>
              <w:pStyle w:val="6"/>
              <w:ind w:left="63" w:right="63"/>
              <w:jc w:val="both"/>
              <w:rPr>
                <w:rFonts w:ascii="宋体" w:hAnsi="宋体" w:cs="宋体"/>
                <w:color w:val="auto"/>
                <w:szCs w:val="21"/>
              </w:rPr>
            </w:pPr>
            <w:r>
              <w:rPr>
                <w:rFonts w:ascii="宋体" w:hAnsi="宋体" w:cs="宋体"/>
                <w:color w:val="auto"/>
                <w:szCs w:val="21"/>
              </w:rPr>
              <w:t>优惠及服务承诺内容一般、技术措施可行性较差的，得</w:t>
            </w:r>
            <w:r>
              <w:rPr>
                <w:rFonts w:hint="eastAsia" w:ascii="宋体" w:hAnsi="宋体" w:cs="宋体"/>
                <w:color w:val="auto"/>
                <w:szCs w:val="21"/>
              </w:rPr>
              <w:t>3</w:t>
            </w:r>
            <w:r>
              <w:rPr>
                <w:rFonts w:ascii="宋体" w:hAnsi="宋体" w:cs="宋体"/>
                <w:color w:val="auto"/>
                <w:szCs w:val="21"/>
              </w:rPr>
              <w:t>分；</w:t>
            </w:r>
          </w:p>
        </w:tc>
      </w:tr>
    </w:tbl>
    <w:p w14:paraId="2C122693">
      <w:pPr>
        <w:ind w:firstLine="422" w:firstLineChars="200"/>
        <w:rPr>
          <w:b/>
          <w:color w:val="auto"/>
        </w:rPr>
      </w:pPr>
    </w:p>
    <w:p w14:paraId="4482CDB8">
      <w:pPr>
        <w:pStyle w:val="4"/>
        <w:numPr>
          <w:ilvl w:val="0"/>
          <w:numId w:val="12"/>
        </w:numPr>
        <w:rPr>
          <w:bCs w:val="0"/>
          <w:color w:val="auto"/>
          <w:sz w:val="24"/>
          <w:szCs w:val="24"/>
        </w:rPr>
      </w:pPr>
      <w:bookmarkStart w:id="690" w:name="_Toc28378"/>
      <w:bookmarkStart w:id="691" w:name="_Toc29623337"/>
      <w:bookmarkStart w:id="692" w:name="_Toc27753988"/>
      <w:bookmarkStart w:id="693" w:name="_Toc13027"/>
      <w:r>
        <w:rPr>
          <w:rFonts w:hint="eastAsia"/>
          <w:bCs w:val="0"/>
          <w:color w:val="auto"/>
          <w:sz w:val="24"/>
          <w:szCs w:val="24"/>
        </w:rPr>
        <w:t>评审办法</w:t>
      </w:r>
      <w:bookmarkEnd w:id="690"/>
      <w:bookmarkEnd w:id="691"/>
      <w:bookmarkEnd w:id="692"/>
      <w:bookmarkEnd w:id="693"/>
    </w:p>
    <w:p w14:paraId="3B5D7961">
      <w:pPr>
        <w:wordWrap/>
        <w:topLinePunct w:val="0"/>
        <w:autoSpaceDE w:val="0"/>
        <w:autoSpaceDN w:val="0"/>
        <w:adjustRightInd w:val="0"/>
        <w:spacing w:line="360" w:lineRule="auto"/>
        <w:ind w:right="-23" w:firstLine="420" w:firstLineChars="200"/>
        <w:jc w:val="left"/>
        <w:rPr>
          <w:color w:val="auto"/>
          <w:kern w:val="0"/>
        </w:rPr>
      </w:pPr>
      <w:r>
        <w:rPr>
          <w:rFonts w:hint="eastAsia"/>
          <w:color w:val="auto"/>
          <w:kern w:val="0"/>
        </w:rPr>
        <w:t>本次竞争性磋商采用综合评分法评审，磋商小组对满</w:t>
      </w:r>
      <w:r>
        <w:rPr>
          <w:rFonts w:hint="eastAsia"/>
          <w:color w:val="auto"/>
          <w:spacing w:val="-2"/>
          <w:kern w:val="0"/>
        </w:rPr>
        <w:t>足</w:t>
      </w:r>
      <w:r>
        <w:rPr>
          <w:rFonts w:hint="eastAsia"/>
          <w:color w:val="auto"/>
          <w:kern w:val="0"/>
        </w:rPr>
        <w:t>竞争性磋商文件实质性要求且最终确定采购需求和在规定时间提交最后报价的</w:t>
      </w:r>
      <w:r>
        <w:rPr>
          <w:rFonts w:hint="eastAsia"/>
          <w:color w:val="auto"/>
          <w:spacing w:val="-2"/>
          <w:kern w:val="0"/>
        </w:rPr>
        <w:t>响应文</w:t>
      </w:r>
      <w:r>
        <w:rPr>
          <w:rFonts w:hint="eastAsia"/>
          <w:color w:val="auto"/>
          <w:kern w:val="0"/>
        </w:rPr>
        <w:t>件，且按照评审因素的量化指标评审得分最高的供应商为成交候选人的评审方法。</w:t>
      </w:r>
    </w:p>
    <w:p w14:paraId="23157C4F">
      <w:pPr>
        <w:pStyle w:val="4"/>
        <w:numPr>
          <w:ilvl w:val="0"/>
          <w:numId w:val="12"/>
        </w:numPr>
        <w:rPr>
          <w:bCs w:val="0"/>
          <w:color w:val="auto"/>
          <w:sz w:val="24"/>
          <w:szCs w:val="24"/>
        </w:rPr>
      </w:pPr>
      <w:bookmarkStart w:id="694" w:name="_Toc27753989"/>
      <w:bookmarkStart w:id="695" w:name="_Toc26533"/>
      <w:bookmarkStart w:id="696" w:name="_Toc4003"/>
      <w:bookmarkStart w:id="697" w:name="_Toc30234"/>
      <w:bookmarkStart w:id="698" w:name="_Toc3406"/>
      <w:bookmarkStart w:id="699" w:name="_Toc27802"/>
      <w:bookmarkStart w:id="700" w:name="_Toc6135"/>
      <w:bookmarkStart w:id="701" w:name="_Toc13454"/>
      <w:bookmarkStart w:id="702" w:name="_Toc29623338"/>
      <w:bookmarkStart w:id="703" w:name="_Toc17219"/>
      <w:bookmarkStart w:id="704" w:name="_Toc5920"/>
      <w:bookmarkStart w:id="705" w:name="_Toc9376"/>
      <w:bookmarkStart w:id="706" w:name="_Toc30895"/>
      <w:r>
        <w:rPr>
          <w:rFonts w:hint="eastAsia"/>
          <w:bCs w:val="0"/>
          <w:color w:val="auto"/>
          <w:sz w:val="24"/>
          <w:szCs w:val="24"/>
        </w:rPr>
        <w:t>评审标准</w:t>
      </w:r>
      <w:bookmarkEnd w:id="694"/>
      <w:bookmarkEnd w:id="695"/>
      <w:bookmarkEnd w:id="696"/>
      <w:bookmarkEnd w:id="697"/>
      <w:bookmarkEnd w:id="698"/>
      <w:bookmarkEnd w:id="699"/>
      <w:bookmarkEnd w:id="700"/>
      <w:bookmarkEnd w:id="701"/>
      <w:bookmarkEnd w:id="702"/>
      <w:bookmarkEnd w:id="703"/>
      <w:bookmarkEnd w:id="704"/>
      <w:bookmarkEnd w:id="705"/>
      <w:bookmarkEnd w:id="706"/>
    </w:p>
    <w:p w14:paraId="66660C01">
      <w:pPr>
        <w:pStyle w:val="4"/>
        <w:numPr>
          <w:ilvl w:val="1"/>
          <w:numId w:val="12"/>
        </w:numPr>
        <w:rPr>
          <w:color w:val="auto"/>
        </w:rPr>
      </w:pPr>
      <w:bookmarkStart w:id="707" w:name="_Toc27753990"/>
      <w:bookmarkStart w:id="708" w:name="_Toc25181"/>
      <w:bookmarkStart w:id="709" w:name="_Toc11754"/>
      <w:bookmarkStart w:id="710" w:name="_Toc30525"/>
      <w:bookmarkStart w:id="711" w:name="_Toc29623339"/>
      <w:bookmarkStart w:id="712" w:name="_Toc29139"/>
      <w:bookmarkStart w:id="713" w:name="_Toc31651"/>
      <w:bookmarkStart w:id="714" w:name="_Toc5467"/>
      <w:bookmarkStart w:id="715" w:name="_Toc28336"/>
      <w:bookmarkStart w:id="716" w:name="_Toc17735"/>
      <w:bookmarkStart w:id="717" w:name="_Toc10856"/>
      <w:bookmarkStart w:id="718" w:name="_Toc6724"/>
      <w:bookmarkStart w:id="719" w:name="_Toc7259"/>
      <w:bookmarkStart w:id="720" w:name="_Toc27094"/>
      <w:r>
        <w:rPr>
          <w:rFonts w:hint="eastAsia"/>
          <w:color w:val="auto"/>
        </w:rPr>
        <w:t>初步评审标准</w:t>
      </w:r>
      <w:bookmarkEnd w:id="707"/>
      <w:bookmarkEnd w:id="708"/>
      <w:bookmarkEnd w:id="709"/>
      <w:bookmarkEnd w:id="710"/>
      <w:bookmarkEnd w:id="711"/>
    </w:p>
    <w:p w14:paraId="58B2C2DC">
      <w:pPr>
        <w:numPr>
          <w:ilvl w:val="2"/>
          <w:numId w:val="12"/>
        </w:numPr>
        <w:autoSpaceDE w:val="0"/>
        <w:autoSpaceDN w:val="0"/>
        <w:adjustRightInd w:val="0"/>
        <w:spacing w:line="360" w:lineRule="auto"/>
        <w:ind w:right="-23" w:firstLine="420" w:firstLineChars="200"/>
        <w:jc w:val="left"/>
        <w:rPr>
          <w:color w:val="auto"/>
          <w:kern w:val="0"/>
        </w:rPr>
      </w:pPr>
      <w:r>
        <w:rPr>
          <w:rFonts w:hint="eastAsia"/>
          <w:color w:val="auto"/>
          <w:kern w:val="0"/>
        </w:rPr>
        <w:t>形</w:t>
      </w:r>
      <w:r>
        <w:rPr>
          <w:rFonts w:hint="eastAsia"/>
          <w:color w:val="auto"/>
          <w:spacing w:val="-2"/>
          <w:kern w:val="0"/>
        </w:rPr>
        <w:t>式</w:t>
      </w:r>
      <w:r>
        <w:rPr>
          <w:rFonts w:hint="eastAsia"/>
          <w:color w:val="auto"/>
          <w:kern w:val="0"/>
        </w:rPr>
        <w:t>评</w:t>
      </w:r>
      <w:r>
        <w:rPr>
          <w:rFonts w:hint="eastAsia"/>
          <w:color w:val="auto"/>
          <w:spacing w:val="-2"/>
          <w:kern w:val="0"/>
        </w:rPr>
        <w:t>审</w:t>
      </w:r>
      <w:r>
        <w:rPr>
          <w:rFonts w:hint="eastAsia"/>
          <w:color w:val="auto"/>
          <w:kern w:val="0"/>
        </w:rPr>
        <w:t>标</w:t>
      </w:r>
      <w:r>
        <w:rPr>
          <w:rFonts w:hint="eastAsia"/>
          <w:color w:val="auto"/>
          <w:spacing w:val="-2"/>
          <w:kern w:val="0"/>
        </w:rPr>
        <w:t>准</w:t>
      </w:r>
      <w:r>
        <w:rPr>
          <w:rFonts w:hint="eastAsia"/>
          <w:color w:val="auto"/>
          <w:kern w:val="0"/>
        </w:rPr>
        <w:t>：</w:t>
      </w:r>
      <w:r>
        <w:rPr>
          <w:rFonts w:hint="eastAsia"/>
          <w:color w:val="auto"/>
          <w:spacing w:val="-2"/>
          <w:kern w:val="0"/>
        </w:rPr>
        <w:t>见评审办法</w:t>
      </w:r>
      <w:r>
        <w:rPr>
          <w:rFonts w:hint="eastAsia"/>
          <w:color w:val="auto"/>
          <w:kern w:val="0"/>
        </w:rPr>
        <w:t>前</w:t>
      </w:r>
      <w:r>
        <w:rPr>
          <w:rFonts w:hint="eastAsia"/>
          <w:color w:val="auto"/>
          <w:spacing w:val="-2"/>
          <w:kern w:val="0"/>
        </w:rPr>
        <w:t>附</w:t>
      </w:r>
      <w:r>
        <w:rPr>
          <w:rFonts w:hint="eastAsia"/>
          <w:color w:val="auto"/>
          <w:kern w:val="0"/>
        </w:rPr>
        <w:t>表。</w:t>
      </w:r>
    </w:p>
    <w:p w14:paraId="47C2B835">
      <w:pPr>
        <w:numPr>
          <w:ilvl w:val="2"/>
          <w:numId w:val="12"/>
        </w:numPr>
        <w:autoSpaceDE w:val="0"/>
        <w:autoSpaceDN w:val="0"/>
        <w:adjustRightInd w:val="0"/>
        <w:spacing w:line="360" w:lineRule="auto"/>
        <w:ind w:right="-23" w:firstLine="420" w:firstLineChars="200"/>
        <w:jc w:val="left"/>
        <w:rPr>
          <w:color w:val="auto"/>
          <w:kern w:val="0"/>
        </w:rPr>
      </w:pPr>
      <w:r>
        <w:rPr>
          <w:rFonts w:hint="eastAsia"/>
          <w:color w:val="auto"/>
          <w:kern w:val="0"/>
        </w:rPr>
        <w:t>资</w:t>
      </w:r>
      <w:r>
        <w:rPr>
          <w:rFonts w:hint="eastAsia"/>
          <w:color w:val="auto"/>
          <w:spacing w:val="-2"/>
          <w:kern w:val="0"/>
        </w:rPr>
        <w:t>格</w:t>
      </w:r>
      <w:r>
        <w:rPr>
          <w:rFonts w:hint="eastAsia"/>
          <w:color w:val="auto"/>
          <w:kern w:val="0"/>
        </w:rPr>
        <w:t>评</w:t>
      </w:r>
      <w:r>
        <w:rPr>
          <w:rFonts w:hint="eastAsia"/>
          <w:color w:val="auto"/>
          <w:spacing w:val="-2"/>
          <w:kern w:val="0"/>
        </w:rPr>
        <w:t>审</w:t>
      </w:r>
      <w:r>
        <w:rPr>
          <w:rFonts w:hint="eastAsia"/>
          <w:color w:val="auto"/>
          <w:kern w:val="0"/>
        </w:rPr>
        <w:t>标</w:t>
      </w:r>
      <w:r>
        <w:rPr>
          <w:rFonts w:hint="eastAsia"/>
          <w:color w:val="auto"/>
          <w:spacing w:val="-2"/>
          <w:kern w:val="0"/>
        </w:rPr>
        <w:t>准</w:t>
      </w:r>
      <w:r>
        <w:rPr>
          <w:rFonts w:hint="eastAsia"/>
          <w:color w:val="auto"/>
          <w:kern w:val="0"/>
        </w:rPr>
        <w:t>：</w:t>
      </w:r>
      <w:r>
        <w:rPr>
          <w:rFonts w:hint="eastAsia"/>
          <w:color w:val="auto"/>
          <w:spacing w:val="-2"/>
          <w:kern w:val="0"/>
        </w:rPr>
        <w:t>见评审办法</w:t>
      </w:r>
      <w:r>
        <w:rPr>
          <w:rFonts w:hint="eastAsia"/>
          <w:color w:val="auto"/>
          <w:kern w:val="0"/>
        </w:rPr>
        <w:t>前</w:t>
      </w:r>
      <w:r>
        <w:rPr>
          <w:rFonts w:hint="eastAsia"/>
          <w:color w:val="auto"/>
          <w:spacing w:val="-2"/>
          <w:kern w:val="0"/>
        </w:rPr>
        <w:t>附</w:t>
      </w:r>
      <w:r>
        <w:rPr>
          <w:rFonts w:hint="eastAsia"/>
          <w:color w:val="auto"/>
          <w:kern w:val="0"/>
        </w:rPr>
        <w:t>表。</w:t>
      </w:r>
    </w:p>
    <w:p w14:paraId="36AED05E">
      <w:pPr>
        <w:numPr>
          <w:ilvl w:val="2"/>
          <w:numId w:val="12"/>
        </w:numPr>
        <w:autoSpaceDE w:val="0"/>
        <w:autoSpaceDN w:val="0"/>
        <w:adjustRightInd w:val="0"/>
        <w:spacing w:line="360" w:lineRule="auto"/>
        <w:ind w:right="-23" w:firstLine="420" w:firstLineChars="200"/>
        <w:jc w:val="left"/>
        <w:rPr>
          <w:color w:val="auto"/>
          <w:kern w:val="0"/>
        </w:rPr>
      </w:pPr>
      <w:r>
        <w:rPr>
          <w:rFonts w:hint="eastAsia"/>
          <w:color w:val="auto"/>
          <w:kern w:val="0"/>
        </w:rPr>
        <w:t>响</w:t>
      </w:r>
      <w:r>
        <w:rPr>
          <w:rFonts w:hint="eastAsia"/>
          <w:color w:val="auto"/>
          <w:spacing w:val="-2"/>
          <w:kern w:val="0"/>
        </w:rPr>
        <w:t>应</w:t>
      </w:r>
      <w:r>
        <w:rPr>
          <w:rFonts w:hint="eastAsia"/>
          <w:color w:val="auto"/>
          <w:kern w:val="0"/>
        </w:rPr>
        <w:t>性</w:t>
      </w:r>
      <w:r>
        <w:rPr>
          <w:rFonts w:hint="eastAsia"/>
          <w:color w:val="auto"/>
          <w:spacing w:val="-2"/>
          <w:kern w:val="0"/>
        </w:rPr>
        <w:t>评</w:t>
      </w:r>
      <w:r>
        <w:rPr>
          <w:rFonts w:hint="eastAsia"/>
          <w:color w:val="auto"/>
          <w:kern w:val="0"/>
        </w:rPr>
        <w:t>审</w:t>
      </w:r>
      <w:r>
        <w:rPr>
          <w:rFonts w:hint="eastAsia"/>
          <w:color w:val="auto"/>
          <w:spacing w:val="-2"/>
          <w:kern w:val="0"/>
        </w:rPr>
        <w:t>标</w:t>
      </w:r>
      <w:r>
        <w:rPr>
          <w:rFonts w:hint="eastAsia"/>
          <w:color w:val="auto"/>
          <w:kern w:val="0"/>
        </w:rPr>
        <w:t>准</w:t>
      </w:r>
      <w:r>
        <w:rPr>
          <w:rFonts w:hint="eastAsia"/>
          <w:color w:val="auto"/>
          <w:spacing w:val="-2"/>
          <w:kern w:val="0"/>
        </w:rPr>
        <w:t>：见</w:t>
      </w:r>
      <w:r>
        <w:rPr>
          <w:rFonts w:hint="eastAsia"/>
          <w:color w:val="auto"/>
          <w:kern w:val="0"/>
        </w:rPr>
        <w:t>评审办法</w:t>
      </w:r>
      <w:r>
        <w:rPr>
          <w:rFonts w:hint="eastAsia"/>
          <w:color w:val="auto"/>
          <w:spacing w:val="-2"/>
          <w:kern w:val="0"/>
        </w:rPr>
        <w:t>前</w:t>
      </w:r>
      <w:r>
        <w:rPr>
          <w:rFonts w:hint="eastAsia"/>
          <w:color w:val="auto"/>
          <w:kern w:val="0"/>
        </w:rPr>
        <w:t>附</w:t>
      </w:r>
      <w:r>
        <w:rPr>
          <w:rFonts w:hint="eastAsia"/>
          <w:color w:val="auto"/>
          <w:spacing w:val="-2"/>
          <w:kern w:val="0"/>
        </w:rPr>
        <w:t>表</w:t>
      </w:r>
      <w:r>
        <w:rPr>
          <w:rFonts w:hint="eastAsia"/>
          <w:color w:val="auto"/>
          <w:kern w:val="0"/>
        </w:rPr>
        <w:t>。</w:t>
      </w:r>
    </w:p>
    <w:p w14:paraId="3BAB5EB5">
      <w:pPr>
        <w:pStyle w:val="4"/>
        <w:numPr>
          <w:ilvl w:val="1"/>
          <w:numId w:val="12"/>
        </w:numPr>
        <w:rPr>
          <w:color w:val="auto"/>
        </w:rPr>
      </w:pPr>
      <w:bookmarkStart w:id="721" w:name="_Toc29623340"/>
      <w:bookmarkStart w:id="722" w:name="_Toc3639"/>
      <w:bookmarkStart w:id="723" w:name="_Toc8909"/>
      <w:bookmarkStart w:id="724" w:name="_Toc4059"/>
      <w:bookmarkStart w:id="725" w:name="_Toc27753991"/>
      <w:r>
        <w:rPr>
          <w:rFonts w:hint="eastAsia"/>
          <w:color w:val="auto"/>
        </w:rPr>
        <w:t>分值构成与评分标准</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14:paraId="41783490">
      <w:pPr>
        <w:numPr>
          <w:ilvl w:val="2"/>
          <w:numId w:val="12"/>
        </w:numPr>
        <w:autoSpaceDE w:val="0"/>
        <w:autoSpaceDN w:val="0"/>
        <w:adjustRightInd w:val="0"/>
        <w:spacing w:line="360" w:lineRule="auto"/>
        <w:ind w:right="-23" w:firstLine="420" w:firstLineChars="200"/>
        <w:jc w:val="left"/>
        <w:rPr>
          <w:color w:val="auto"/>
          <w:kern w:val="0"/>
        </w:rPr>
      </w:pPr>
      <w:r>
        <w:rPr>
          <w:rFonts w:hint="eastAsia"/>
          <w:color w:val="auto"/>
          <w:kern w:val="0"/>
        </w:rPr>
        <w:t>分值构成</w:t>
      </w:r>
    </w:p>
    <w:p w14:paraId="0182569F">
      <w:pPr>
        <w:numPr>
          <w:ilvl w:val="0"/>
          <w:numId w:val="13"/>
        </w:numPr>
        <w:wordWrap/>
        <w:topLinePunct w:val="0"/>
        <w:autoSpaceDE w:val="0"/>
        <w:autoSpaceDN w:val="0"/>
        <w:adjustRightInd w:val="0"/>
        <w:spacing w:line="360" w:lineRule="auto"/>
        <w:ind w:left="0" w:right="40" w:firstLine="420" w:firstLineChars="200"/>
        <w:jc w:val="left"/>
        <w:rPr>
          <w:color w:val="auto"/>
          <w:kern w:val="0"/>
        </w:rPr>
      </w:pPr>
      <w:r>
        <w:rPr>
          <w:rFonts w:hint="eastAsia"/>
          <w:color w:val="auto"/>
          <w:kern w:val="0"/>
        </w:rPr>
        <w:t>报价得分：见评审办法前附表；</w:t>
      </w:r>
    </w:p>
    <w:p w14:paraId="524E890B">
      <w:pPr>
        <w:numPr>
          <w:ilvl w:val="0"/>
          <w:numId w:val="13"/>
        </w:numPr>
        <w:wordWrap/>
        <w:topLinePunct w:val="0"/>
        <w:autoSpaceDE w:val="0"/>
        <w:autoSpaceDN w:val="0"/>
        <w:adjustRightInd w:val="0"/>
        <w:spacing w:line="360" w:lineRule="auto"/>
        <w:ind w:left="0" w:right="40" w:firstLine="420" w:firstLineChars="200"/>
        <w:jc w:val="left"/>
        <w:rPr>
          <w:color w:val="auto"/>
          <w:kern w:val="0"/>
        </w:rPr>
      </w:pPr>
      <w:r>
        <w:rPr>
          <w:rFonts w:hint="eastAsia"/>
          <w:color w:val="auto"/>
          <w:kern w:val="0"/>
        </w:rPr>
        <w:t>技术部分：见评审办法前附表；</w:t>
      </w:r>
    </w:p>
    <w:p w14:paraId="3A346993">
      <w:pPr>
        <w:numPr>
          <w:ilvl w:val="0"/>
          <w:numId w:val="13"/>
        </w:numPr>
        <w:wordWrap/>
        <w:topLinePunct w:val="0"/>
        <w:autoSpaceDE w:val="0"/>
        <w:autoSpaceDN w:val="0"/>
        <w:adjustRightInd w:val="0"/>
        <w:spacing w:line="360" w:lineRule="auto"/>
        <w:ind w:left="0" w:right="40" w:firstLine="420" w:firstLineChars="200"/>
        <w:jc w:val="left"/>
        <w:rPr>
          <w:color w:val="auto"/>
          <w:kern w:val="0"/>
        </w:rPr>
      </w:pPr>
      <w:r>
        <w:rPr>
          <w:rFonts w:hint="eastAsia"/>
          <w:color w:val="auto"/>
          <w:kern w:val="0"/>
        </w:rPr>
        <w:t>商务部分：见评审办法前附表；</w:t>
      </w:r>
    </w:p>
    <w:p w14:paraId="1391B6CB">
      <w:pPr>
        <w:numPr>
          <w:ilvl w:val="2"/>
          <w:numId w:val="12"/>
        </w:numPr>
        <w:autoSpaceDE w:val="0"/>
        <w:autoSpaceDN w:val="0"/>
        <w:adjustRightInd w:val="0"/>
        <w:spacing w:line="360" w:lineRule="auto"/>
        <w:ind w:right="-23" w:firstLine="420" w:firstLineChars="200"/>
        <w:jc w:val="left"/>
        <w:rPr>
          <w:color w:val="auto"/>
          <w:kern w:val="0"/>
        </w:rPr>
      </w:pPr>
      <w:r>
        <w:rPr>
          <w:rFonts w:hint="eastAsia"/>
          <w:color w:val="auto"/>
          <w:kern w:val="0"/>
        </w:rPr>
        <w:t>评分标准</w:t>
      </w:r>
    </w:p>
    <w:p w14:paraId="6D76923F">
      <w:pPr>
        <w:numPr>
          <w:ilvl w:val="0"/>
          <w:numId w:val="14"/>
        </w:numPr>
        <w:wordWrap/>
        <w:topLinePunct w:val="0"/>
        <w:autoSpaceDE w:val="0"/>
        <w:autoSpaceDN w:val="0"/>
        <w:adjustRightInd w:val="0"/>
        <w:spacing w:line="360" w:lineRule="auto"/>
        <w:ind w:left="0" w:right="40" w:firstLine="420" w:firstLineChars="200"/>
        <w:jc w:val="left"/>
        <w:rPr>
          <w:color w:val="auto"/>
          <w:kern w:val="0"/>
        </w:rPr>
      </w:pPr>
      <w:r>
        <w:rPr>
          <w:rFonts w:hint="eastAsia"/>
          <w:color w:val="auto"/>
          <w:kern w:val="0"/>
        </w:rPr>
        <w:t>报价得分标准：见评审办法前附表；</w:t>
      </w:r>
    </w:p>
    <w:p w14:paraId="720A963D">
      <w:pPr>
        <w:numPr>
          <w:ilvl w:val="0"/>
          <w:numId w:val="14"/>
        </w:numPr>
        <w:wordWrap/>
        <w:topLinePunct w:val="0"/>
        <w:autoSpaceDE w:val="0"/>
        <w:autoSpaceDN w:val="0"/>
        <w:adjustRightInd w:val="0"/>
        <w:spacing w:line="360" w:lineRule="auto"/>
        <w:ind w:left="0" w:right="40" w:firstLine="420" w:firstLineChars="200"/>
        <w:jc w:val="left"/>
        <w:rPr>
          <w:color w:val="auto"/>
          <w:kern w:val="0"/>
        </w:rPr>
      </w:pPr>
      <w:r>
        <w:rPr>
          <w:rFonts w:hint="eastAsia"/>
          <w:color w:val="auto"/>
          <w:kern w:val="0"/>
        </w:rPr>
        <w:t>技术部分标准：见评审办法前附表；</w:t>
      </w:r>
    </w:p>
    <w:p w14:paraId="4BEDB3ED">
      <w:pPr>
        <w:numPr>
          <w:ilvl w:val="0"/>
          <w:numId w:val="14"/>
        </w:numPr>
        <w:wordWrap/>
        <w:topLinePunct w:val="0"/>
        <w:autoSpaceDE w:val="0"/>
        <w:autoSpaceDN w:val="0"/>
        <w:adjustRightInd w:val="0"/>
        <w:spacing w:line="360" w:lineRule="auto"/>
        <w:ind w:left="0" w:right="40" w:firstLine="420" w:firstLineChars="200"/>
        <w:jc w:val="left"/>
        <w:rPr>
          <w:color w:val="auto"/>
          <w:kern w:val="0"/>
        </w:rPr>
      </w:pPr>
      <w:r>
        <w:rPr>
          <w:rFonts w:hint="eastAsia"/>
          <w:color w:val="auto"/>
          <w:kern w:val="0"/>
        </w:rPr>
        <w:t>商务部分标准：见评审办法前附表；</w:t>
      </w:r>
    </w:p>
    <w:p w14:paraId="2F2E23A0">
      <w:pPr>
        <w:pStyle w:val="4"/>
        <w:numPr>
          <w:ilvl w:val="0"/>
          <w:numId w:val="12"/>
        </w:numPr>
        <w:rPr>
          <w:color w:val="auto"/>
        </w:rPr>
      </w:pPr>
      <w:bookmarkStart w:id="726" w:name="_Toc28724"/>
      <w:bookmarkStart w:id="727" w:name="_Toc27753992"/>
      <w:bookmarkStart w:id="728" w:name="_Toc21732"/>
      <w:bookmarkStart w:id="729" w:name="_Toc4338"/>
      <w:bookmarkStart w:id="730" w:name="_Toc4064"/>
      <w:bookmarkStart w:id="731" w:name="_Toc29623341"/>
      <w:bookmarkStart w:id="732" w:name="_Toc1740"/>
      <w:bookmarkStart w:id="733" w:name="_Toc5605"/>
      <w:bookmarkStart w:id="734" w:name="_Toc5149"/>
      <w:bookmarkStart w:id="735" w:name="_Toc22175"/>
      <w:bookmarkStart w:id="736" w:name="_Toc29125"/>
      <w:bookmarkStart w:id="737" w:name="_Toc16356"/>
      <w:bookmarkStart w:id="738" w:name="_Toc26726"/>
      <w:r>
        <w:rPr>
          <w:rFonts w:hint="eastAsia"/>
          <w:color w:val="auto"/>
          <w:sz w:val="24"/>
          <w:szCs w:val="24"/>
        </w:rPr>
        <w:t>评审程序</w:t>
      </w:r>
      <w:bookmarkEnd w:id="726"/>
      <w:bookmarkEnd w:id="727"/>
      <w:bookmarkEnd w:id="728"/>
      <w:bookmarkEnd w:id="729"/>
      <w:bookmarkEnd w:id="730"/>
      <w:bookmarkEnd w:id="731"/>
      <w:bookmarkEnd w:id="732"/>
      <w:bookmarkEnd w:id="733"/>
      <w:bookmarkEnd w:id="734"/>
      <w:bookmarkEnd w:id="735"/>
      <w:bookmarkEnd w:id="736"/>
      <w:bookmarkEnd w:id="737"/>
      <w:bookmarkEnd w:id="738"/>
    </w:p>
    <w:p w14:paraId="00DE066E">
      <w:pPr>
        <w:pStyle w:val="4"/>
        <w:numPr>
          <w:ilvl w:val="1"/>
          <w:numId w:val="12"/>
        </w:numPr>
        <w:rPr>
          <w:color w:val="auto"/>
        </w:rPr>
      </w:pPr>
      <w:bookmarkStart w:id="739" w:name="_Toc1654"/>
      <w:bookmarkStart w:id="740" w:name="_Toc29623342"/>
      <w:bookmarkStart w:id="741" w:name="_Toc27753993"/>
      <w:bookmarkStart w:id="742" w:name="_Toc17957"/>
      <w:bookmarkStart w:id="743" w:name="_Toc10682"/>
      <w:bookmarkStart w:id="744" w:name="_Toc18983"/>
      <w:bookmarkStart w:id="745" w:name="_Toc9443"/>
      <w:bookmarkStart w:id="746" w:name="_Toc26056"/>
      <w:bookmarkStart w:id="747" w:name="_Toc5708"/>
      <w:bookmarkStart w:id="748" w:name="_Toc32083"/>
      <w:bookmarkStart w:id="749" w:name="_Toc3824"/>
      <w:bookmarkStart w:id="750" w:name="_Toc9613"/>
      <w:bookmarkStart w:id="751" w:name="_Toc7036"/>
      <w:bookmarkStart w:id="752" w:name="_Toc6120"/>
      <w:r>
        <w:rPr>
          <w:rFonts w:hint="eastAsia"/>
          <w:color w:val="auto"/>
        </w:rPr>
        <w:t>初步评审</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04D79601">
      <w:pPr>
        <w:numPr>
          <w:ilvl w:val="2"/>
          <w:numId w:val="12"/>
        </w:numPr>
        <w:autoSpaceDE w:val="0"/>
        <w:autoSpaceDN w:val="0"/>
        <w:adjustRightInd w:val="0"/>
        <w:spacing w:line="360" w:lineRule="auto"/>
        <w:ind w:right="-23" w:firstLine="420" w:firstLineChars="200"/>
        <w:jc w:val="left"/>
        <w:rPr>
          <w:color w:val="auto"/>
          <w:kern w:val="0"/>
        </w:rPr>
      </w:pPr>
      <w:r>
        <w:rPr>
          <w:rFonts w:hint="eastAsia"/>
          <w:color w:val="auto"/>
          <w:kern w:val="0"/>
        </w:rPr>
        <w:t>磋商小组依据本章评审办法前附表规定的标准，对供应商的响应文件进行初步评审，以确定其是否满足竞争性磋商文件的实质性要求，有一项不符合评审标准的，磋商小组应当认定其响应文件无效。</w:t>
      </w:r>
    </w:p>
    <w:p w14:paraId="16DA0C34">
      <w:pPr>
        <w:numPr>
          <w:ilvl w:val="2"/>
          <w:numId w:val="12"/>
        </w:numPr>
        <w:autoSpaceDE w:val="0"/>
        <w:autoSpaceDN w:val="0"/>
        <w:adjustRightInd w:val="0"/>
        <w:spacing w:line="360" w:lineRule="auto"/>
        <w:ind w:right="-23" w:firstLine="420" w:firstLineChars="200"/>
        <w:jc w:val="left"/>
        <w:rPr>
          <w:color w:val="auto"/>
          <w:kern w:val="0"/>
        </w:rPr>
      </w:pPr>
      <w:r>
        <w:rPr>
          <w:rFonts w:hint="eastAsia"/>
          <w:color w:val="auto"/>
          <w:kern w:val="0"/>
        </w:rPr>
        <w:t>磋商报价有算术错误及其他错误的，磋商小组按以下原则要求供应商对磋商报价进行修正</w:t>
      </w:r>
    </w:p>
    <w:p w14:paraId="317CCFB1">
      <w:pPr>
        <w:numPr>
          <w:ilvl w:val="0"/>
          <w:numId w:val="15"/>
        </w:numPr>
        <w:wordWrap/>
        <w:topLinePunct w:val="0"/>
        <w:autoSpaceDE w:val="0"/>
        <w:autoSpaceDN w:val="0"/>
        <w:adjustRightInd w:val="0"/>
        <w:spacing w:line="360" w:lineRule="auto"/>
        <w:ind w:left="0" w:right="40" w:firstLine="420" w:firstLineChars="200"/>
        <w:jc w:val="left"/>
        <w:rPr>
          <w:color w:val="auto"/>
        </w:rPr>
      </w:pPr>
      <w:r>
        <w:rPr>
          <w:rFonts w:hint="eastAsia"/>
          <w:color w:val="auto"/>
        </w:rPr>
        <w:t>大写金额和小写金额不一致的，以大写金额为准，但大写金额文字存在错误的，应当先对大写金额的文字错误进行澄清、说明或者更正，再行修正。</w:t>
      </w:r>
    </w:p>
    <w:p w14:paraId="6F7B7F3C">
      <w:pPr>
        <w:numPr>
          <w:ilvl w:val="0"/>
          <w:numId w:val="15"/>
        </w:numPr>
        <w:wordWrap/>
        <w:topLinePunct w:val="0"/>
        <w:autoSpaceDE w:val="0"/>
        <w:autoSpaceDN w:val="0"/>
        <w:adjustRightInd w:val="0"/>
        <w:spacing w:line="360" w:lineRule="auto"/>
        <w:ind w:left="0" w:right="40" w:firstLine="420" w:firstLineChars="200"/>
        <w:jc w:val="left"/>
        <w:rPr>
          <w:color w:val="auto"/>
        </w:rPr>
      </w:pPr>
      <w:r>
        <w:rPr>
          <w:rFonts w:hint="eastAsia"/>
          <w:color w:val="auto"/>
        </w:rPr>
        <w:t>总价金额与按单价汇总金额不一致的，以单价金额计算结果为准，但单价或者单价汇总金额存在数字或者文字错误的，应当先对数字或者文字错误进行澄清、说明或者更正，再行修正。</w:t>
      </w:r>
    </w:p>
    <w:p w14:paraId="0C6516B9">
      <w:pPr>
        <w:numPr>
          <w:ilvl w:val="0"/>
          <w:numId w:val="15"/>
        </w:numPr>
        <w:wordWrap/>
        <w:topLinePunct w:val="0"/>
        <w:autoSpaceDE w:val="0"/>
        <w:autoSpaceDN w:val="0"/>
        <w:adjustRightInd w:val="0"/>
        <w:spacing w:line="360" w:lineRule="auto"/>
        <w:ind w:left="0" w:right="40" w:firstLine="420" w:firstLineChars="200"/>
        <w:jc w:val="left"/>
        <w:rPr>
          <w:color w:val="auto"/>
        </w:rPr>
      </w:pPr>
      <w:r>
        <w:rPr>
          <w:rFonts w:hint="eastAsia"/>
          <w:color w:val="auto"/>
        </w:rPr>
        <w:t>单价金额小数点或者百分比有明显错位的，以总价为准，修正单价。</w:t>
      </w:r>
    </w:p>
    <w:p w14:paraId="23ADB06B">
      <w:pPr>
        <w:numPr>
          <w:ilvl w:val="0"/>
          <w:numId w:val="15"/>
        </w:numPr>
        <w:wordWrap/>
        <w:topLinePunct w:val="0"/>
        <w:autoSpaceDE w:val="0"/>
        <w:autoSpaceDN w:val="0"/>
        <w:adjustRightInd w:val="0"/>
        <w:spacing w:line="360" w:lineRule="auto"/>
        <w:ind w:left="0" w:right="40" w:firstLine="420" w:firstLineChars="200"/>
        <w:jc w:val="left"/>
        <w:rPr>
          <w:color w:val="auto"/>
          <w:kern w:val="0"/>
        </w:rPr>
      </w:pPr>
      <w:r>
        <w:rPr>
          <w:rFonts w:hint="eastAsia"/>
          <w:color w:val="auto"/>
        </w:rPr>
        <w:t>同时出现两种以上不一致的，按照上述规定的顺序修正。</w:t>
      </w:r>
      <w:r>
        <w:rPr>
          <w:rFonts w:hint="eastAsia"/>
          <w:color w:val="auto"/>
          <w:kern w:val="0"/>
        </w:rPr>
        <w:t>修正后的报价应当采用书面形式，并加盖公章或者由法定代表人或其授权的代表签字，供应商不确认的，其投标无效。</w:t>
      </w:r>
    </w:p>
    <w:p w14:paraId="12C2FDC8">
      <w:pPr>
        <w:pStyle w:val="4"/>
        <w:numPr>
          <w:ilvl w:val="1"/>
          <w:numId w:val="12"/>
        </w:numPr>
        <w:rPr>
          <w:color w:val="auto"/>
        </w:rPr>
      </w:pPr>
      <w:bookmarkStart w:id="753" w:name="_Toc27753994"/>
      <w:bookmarkStart w:id="754" w:name="_Toc29623343"/>
      <w:bookmarkStart w:id="755" w:name="_Toc30329"/>
      <w:r>
        <w:rPr>
          <w:rFonts w:hint="eastAsia"/>
          <w:color w:val="auto"/>
        </w:rPr>
        <w:t>详细磋商</w:t>
      </w:r>
      <w:bookmarkEnd w:id="753"/>
      <w:bookmarkEnd w:id="754"/>
      <w:bookmarkEnd w:id="755"/>
    </w:p>
    <w:p w14:paraId="753C995F">
      <w:pPr>
        <w:numPr>
          <w:ilvl w:val="2"/>
          <w:numId w:val="12"/>
        </w:numPr>
        <w:wordWrap/>
        <w:topLinePunct w:val="0"/>
        <w:autoSpaceDE w:val="0"/>
        <w:autoSpaceDN w:val="0"/>
        <w:adjustRightInd w:val="0"/>
        <w:spacing w:before="40" w:line="360" w:lineRule="auto"/>
        <w:ind w:right="142" w:firstLine="420" w:firstLineChars="200"/>
        <w:jc w:val="left"/>
        <w:rPr>
          <w:bCs/>
          <w:color w:val="auto"/>
          <w:kern w:val="0"/>
        </w:rPr>
      </w:pPr>
      <w:r>
        <w:rPr>
          <w:rFonts w:hint="eastAsia"/>
          <w:bCs/>
          <w:color w:val="auto"/>
          <w:kern w:val="0"/>
        </w:rPr>
        <w:t>磋商小组集中与单一供应商分别进行磋商。磋商顺序为</w:t>
      </w:r>
      <w:r>
        <w:rPr>
          <w:rFonts w:hint="eastAsia"/>
          <w:b/>
          <w:color w:val="auto"/>
          <w:kern w:val="0"/>
        </w:rPr>
        <w:t>签到逆顺序</w:t>
      </w:r>
      <w:r>
        <w:rPr>
          <w:rFonts w:hint="eastAsia"/>
          <w:bCs/>
          <w:color w:val="auto"/>
          <w:kern w:val="0"/>
        </w:rPr>
        <w:t>，在磋商中，磋商双方可以就磋商项目所涉及的价格、技术、服务、合同草案条款等进行实质性磋商，但磋商的任何一方不得透露与磋商有关的其他供应商的商业秘密、技术资料、价格和其他信息。</w:t>
      </w:r>
    </w:p>
    <w:p w14:paraId="2C1B749C">
      <w:pPr>
        <w:numPr>
          <w:ilvl w:val="2"/>
          <w:numId w:val="12"/>
        </w:numPr>
        <w:wordWrap/>
        <w:topLinePunct w:val="0"/>
        <w:autoSpaceDE w:val="0"/>
        <w:autoSpaceDN w:val="0"/>
        <w:adjustRightInd w:val="0"/>
        <w:spacing w:before="40" w:line="360" w:lineRule="auto"/>
        <w:ind w:right="142" w:firstLine="420" w:firstLineChars="200"/>
        <w:jc w:val="left"/>
        <w:rPr>
          <w:bCs/>
          <w:color w:val="auto"/>
          <w:kern w:val="0"/>
        </w:rPr>
      </w:pPr>
      <w:r>
        <w:rPr>
          <w:rFonts w:hint="eastAsia"/>
          <w:bCs/>
          <w:color w:val="auto"/>
          <w:kern w:val="0"/>
        </w:rPr>
        <w:t>在磋商过程中，磋商小组可以根据</w:t>
      </w:r>
      <w:r>
        <w:rPr>
          <w:rFonts w:hint="eastAsia"/>
          <w:color w:val="auto"/>
        </w:rPr>
        <w:t>竞争性</w:t>
      </w:r>
      <w:r>
        <w:rPr>
          <w:rFonts w:hint="eastAsia"/>
          <w:bCs/>
          <w:color w:val="auto"/>
          <w:kern w:val="0"/>
        </w:rPr>
        <w:t>磋商文件和磋商情况实质性变动采购需求中的技术、服务要求以及合同草案条款，但不得变动</w:t>
      </w:r>
      <w:r>
        <w:rPr>
          <w:rFonts w:hint="eastAsia"/>
          <w:color w:val="auto"/>
        </w:rPr>
        <w:t>竞争性</w:t>
      </w:r>
      <w:r>
        <w:rPr>
          <w:rFonts w:hint="eastAsia"/>
          <w:bCs/>
          <w:color w:val="auto"/>
          <w:kern w:val="0"/>
        </w:rPr>
        <w:t>磋商文件中的其他内容。实质性变动的内容，须经采购人代表确认。</w:t>
      </w:r>
    </w:p>
    <w:p w14:paraId="30B810F8">
      <w:pPr>
        <w:numPr>
          <w:ilvl w:val="2"/>
          <w:numId w:val="12"/>
        </w:numPr>
        <w:wordWrap/>
        <w:topLinePunct w:val="0"/>
        <w:autoSpaceDE w:val="0"/>
        <w:autoSpaceDN w:val="0"/>
        <w:adjustRightInd w:val="0"/>
        <w:spacing w:before="40" w:line="360" w:lineRule="auto"/>
        <w:ind w:right="142" w:firstLine="420" w:firstLineChars="200"/>
        <w:jc w:val="left"/>
        <w:rPr>
          <w:bCs/>
          <w:color w:val="auto"/>
          <w:kern w:val="0"/>
        </w:rPr>
      </w:pPr>
      <w:r>
        <w:rPr>
          <w:rFonts w:hint="eastAsia"/>
          <w:bCs/>
          <w:color w:val="auto"/>
          <w:kern w:val="0"/>
        </w:rPr>
        <w:t>对</w:t>
      </w:r>
      <w:r>
        <w:rPr>
          <w:rFonts w:hint="eastAsia"/>
          <w:color w:val="auto"/>
        </w:rPr>
        <w:t>竞争性</w:t>
      </w:r>
      <w:r>
        <w:rPr>
          <w:rFonts w:hint="eastAsia"/>
          <w:bCs/>
          <w:color w:val="auto"/>
          <w:kern w:val="0"/>
        </w:rPr>
        <w:t>磋商文件作出的实质性变动是</w:t>
      </w:r>
      <w:r>
        <w:rPr>
          <w:rFonts w:hint="eastAsia"/>
          <w:color w:val="auto"/>
        </w:rPr>
        <w:t>竞争性</w:t>
      </w:r>
      <w:r>
        <w:rPr>
          <w:rFonts w:hint="eastAsia"/>
          <w:bCs/>
          <w:color w:val="auto"/>
          <w:kern w:val="0"/>
        </w:rPr>
        <w:t>磋商文件的有效组成部分，磋商小组应当以书面形式同时通知所有参加磋商的供应商。</w:t>
      </w:r>
    </w:p>
    <w:p w14:paraId="04F1C26A">
      <w:pPr>
        <w:numPr>
          <w:ilvl w:val="2"/>
          <w:numId w:val="12"/>
        </w:numPr>
        <w:wordWrap/>
        <w:topLinePunct w:val="0"/>
        <w:autoSpaceDE w:val="0"/>
        <w:autoSpaceDN w:val="0"/>
        <w:adjustRightInd w:val="0"/>
        <w:spacing w:before="40" w:line="360" w:lineRule="auto"/>
        <w:ind w:right="142" w:firstLine="420" w:firstLineChars="200"/>
        <w:jc w:val="left"/>
        <w:rPr>
          <w:bCs/>
          <w:color w:val="auto"/>
          <w:kern w:val="0"/>
        </w:rPr>
      </w:pPr>
      <w:r>
        <w:rPr>
          <w:rFonts w:hint="eastAsia"/>
          <w:color w:val="auto"/>
        </w:rPr>
        <w:t>竞争性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r>
        <w:rPr>
          <w:rFonts w:hint="eastAsia"/>
          <w:bCs/>
          <w:color w:val="auto"/>
          <w:kern w:val="0"/>
        </w:rPr>
        <w:t>。</w:t>
      </w:r>
    </w:p>
    <w:p w14:paraId="70BF07B6">
      <w:pPr>
        <w:numPr>
          <w:ilvl w:val="2"/>
          <w:numId w:val="12"/>
        </w:numPr>
        <w:wordWrap/>
        <w:topLinePunct w:val="0"/>
        <w:autoSpaceDE w:val="0"/>
        <w:autoSpaceDN w:val="0"/>
        <w:adjustRightInd w:val="0"/>
        <w:spacing w:before="40" w:line="360" w:lineRule="auto"/>
        <w:ind w:right="142" w:firstLine="420" w:firstLineChars="200"/>
        <w:jc w:val="left"/>
        <w:rPr>
          <w:bCs/>
          <w:color w:val="auto"/>
          <w:kern w:val="0"/>
        </w:rPr>
      </w:pPr>
      <w:r>
        <w:rPr>
          <w:rFonts w:hint="eastAsia"/>
          <w:color w:val="auto"/>
        </w:rPr>
        <w:t>竞争性磋商文件能够详细列明采购标的的技术、服务要求的，磋商结束后，磋商小组应当要求所有实质性响应的供应商在规定时间内提交最后报价</w:t>
      </w:r>
      <w:r>
        <w:rPr>
          <w:rFonts w:hint="eastAsia"/>
          <w:b/>
          <w:bCs/>
          <w:color w:val="auto"/>
        </w:rPr>
        <w:t>。</w:t>
      </w:r>
    </w:p>
    <w:p w14:paraId="4A944F58">
      <w:pPr>
        <w:numPr>
          <w:ilvl w:val="2"/>
          <w:numId w:val="12"/>
        </w:numPr>
        <w:wordWrap/>
        <w:topLinePunct w:val="0"/>
        <w:autoSpaceDE w:val="0"/>
        <w:autoSpaceDN w:val="0"/>
        <w:adjustRightInd w:val="0"/>
        <w:spacing w:before="40" w:line="360" w:lineRule="auto"/>
        <w:ind w:right="142" w:firstLine="420" w:firstLineChars="200"/>
        <w:jc w:val="left"/>
        <w:rPr>
          <w:bCs/>
          <w:color w:val="auto"/>
          <w:kern w:val="0"/>
        </w:rPr>
      </w:pPr>
      <w:r>
        <w:rPr>
          <w:rFonts w:hint="eastAsia"/>
          <w:bCs/>
          <w:color w:val="auto"/>
          <w:kern w:val="0"/>
        </w:rPr>
        <w:t>最后报价（二轮报价）是供应商响应文件的有效组成部分【</w:t>
      </w:r>
      <w:r>
        <w:rPr>
          <w:rFonts w:hint="eastAsia"/>
          <w:b/>
          <w:bCs/>
          <w:color w:val="auto"/>
        </w:rPr>
        <w:t>注：最后报价明显低于成本价的，供应商需做出合理说明，否则将承担不被接受的风险</w:t>
      </w:r>
      <w:r>
        <w:rPr>
          <w:rFonts w:hint="eastAsia"/>
          <w:bCs/>
          <w:color w:val="auto"/>
          <w:kern w:val="0"/>
        </w:rPr>
        <w:t>】。</w:t>
      </w:r>
    </w:p>
    <w:p w14:paraId="4581EE23">
      <w:pPr>
        <w:numPr>
          <w:ilvl w:val="2"/>
          <w:numId w:val="12"/>
        </w:numPr>
        <w:wordWrap/>
        <w:topLinePunct w:val="0"/>
        <w:autoSpaceDE w:val="0"/>
        <w:autoSpaceDN w:val="0"/>
        <w:adjustRightInd w:val="0"/>
        <w:spacing w:before="40" w:line="360" w:lineRule="auto"/>
        <w:ind w:right="142" w:firstLine="420" w:firstLineChars="200"/>
        <w:jc w:val="left"/>
        <w:rPr>
          <w:bCs/>
          <w:color w:val="auto"/>
          <w:kern w:val="0"/>
        </w:rPr>
      </w:pPr>
      <w:r>
        <w:rPr>
          <w:rFonts w:hint="eastAsia"/>
          <w:bCs/>
          <w:color w:val="auto"/>
          <w:kern w:val="0"/>
        </w:rPr>
        <w:t>情况特殊,经磋商小组根据磋商现场情况，可以要求供应商适当进行多轮报价。</w:t>
      </w:r>
    </w:p>
    <w:p w14:paraId="36F5DB8C">
      <w:pPr>
        <w:numPr>
          <w:ilvl w:val="2"/>
          <w:numId w:val="12"/>
        </w:numPr>
        <w:wordWrap/>
        <w:topLinePunct w:val="0"/>
        <w:autoSpaceDE w:val="0"/>
        <w:autoSpaceDN w:val="0"/>
        <w:adjustRightInd w:val="0"/>
        <w:spacing w:before="40" w:line="360" w:lineRule="auto"/>
        <w:ind w:right="142" w:firstLine="420" w:firstLineChars="200"/>
        <w:jc w:val="left"/>
        <w:rPr>
          <w:bCs/>
          <w:color w:val="auto"/>
          <w:kern w:val="0"/>
        </w:rPr>
      </w:pPr>
      <w:r>
        <w:rPr>
          <w:rFonts w:hint="eastAsia"/>
          <w:bCs/>
          <w:color w:val="auto"/>
          <w:kern w:val="0"/>
        </w:rPr>
        <w:t>经磋商确定最终采购需求和提交最后报价的供应商后，由磋商小组采用综合评分法对提交最后报价的供应商的响应文件和最后报价进行综合评分。</w:t>
      </w:r>
    </w:p>
    <w:p w14:paraId="23782908">
      <w:pPr>
        <w:pStyle w:val="4"/>
        <w:numPr>
          <w:ilvl w:val="1"/>
          <w:numId w:val="12"/>
        </w:numPr>
        <w:rPr>
          <w:color w:val="auto"/>
        </w:rPr>
      </w:pPr>
      <w:bookmarkStart w:id="756" w:name="_Toc30428"/>
      <w:bookmarkStart w:id="757" w:name="_Toc26213"/>
      <w:bookmarkStart w:id="758" w:name="_Toc29623344"/>
      <w:bookmarkStart w:id="759" w:name="_Toc2549"/>
      <w:bookmarkStart w:id="760" w:name="_Toc12089"/>
      <w:bookmarkStart w:id="761" w:name="_Toc18430"/>
      <w:bookmarkStart w:id="762" w:name="_Toc24391"/>
      <w:bookmarkStart w:id="763" w:name="_Toc27753995"/>
      <w:bookmarkStart w:id="764" w:name="_Toc18705"/>
      <w:bookmarkStart w:id="765" w:name="_Toc13336"/>
      <w:bookmarkStart w:id="766" w:name="_Toc10132"/>
      <w:bookmarkStart w:id="767" w:name="_Toc8285"/>
      <w:bookmarkStart w:id="768" w:name="_Toc22449"/>
      <w:bookmarkStart w:id="769" w:name="_Toc1221"/>
      <w:r>
        <w:rPr>
          <w:rFonts w:hint="eastAsia"/>
          <w:color w:val="auto"/>
        </w:rPr>
        <w:t>详细评审</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27478A13">
      <w:pPr>
        <w:numPr>
          <w:ilvl w:val="2"/>
          <w:numId w:val="12"/>
        </w:numPr>
        <w:wordWrap/>
        <w:topLinePunct w:val="0"/>
        <w:autoSpaceDE w:val="0"/>
        <w:autoSpaceDN w:val="0"/>
        <w:adjustRightInd w:val="0"/>
        <w:spacing w:before="40" w:line="360" w:lineRule="auto"/>
        <w:ind w:right="142" w:firstLine="420" w:firstLineChars="200"/>
        <w:jc w:val="left"/>
        <w:rPr>
          <w:bCs/>
          <w:color w:val="auto"/>
          <w:kern w:val="0"/>
        </w:rPr>
      </w:pPr>
      <w:r>
        <w:rPr>
          <w:rFonts w:hint="eastAsia"/>
          <w:bCs/>
          <w:color w:val="auto"/>
          <w:kern w:val="0"/>
        </w:rPr>
        <w:t>磋商小组按本章评审方法规定的量化因素和分值进行打分，并计算出综合得分。</w:t>
      </w:r>
    </w:p>
    <w:p w14:paraId="5639BC01">
      <w:pPr>
        <w:numPr>
          <w:ilvl w:val="0"/>
          <w:numId w:val="16"/>
        </w:numPr>
        <w:wordWrap/>
        <w:topLinePunct w:val="0"/>
        <w:autoSpaceDE w:val="0"/>
        <w:autoSpaceDN w:val="0"/>
        <w:adjustRightInd w:val="0"/>
        <w:spacing w:line="360" w:lineRule="auto"/>
        <w:ind w:left="0" w:right="40" w:firstLine="420" w:firstLineChars="200"/>
        <w:jc w:val="left"/>
        <w:rPr>
          <w:color w:val="auto"/>
          <w:kern w:val="0"/>
        </w:rPr>
      </w:pPr>
      <w:r>
        <w:rPr>
          <w:rFonts w:hint="eastAsia"/>
          <w:color w:val="auto"/>
          <w:kern w:val="0"/>
        </w:rPr>
        <w:t>按本章第2.2.2（1）目规定的评审因素和分值对报价得分计算出得分A；</w:t>
      </w:r>
    </w:p>
    <w:p w14:paraId="121CDC3A">
      <w:pPr>
        <w:numPr>
          <w:ilvl w:val="0"/>
          <w:numId w:val="16"/>
        </w:numPr>
        <w:wordWrap/>
        <w:topLinePunct w:val="0"/>
        <w:autoSpaceDE w:val="0"/>
        <w:autoSpaceDN w:val="0"/>
        <w:adjustRightInd w:val="0"/>
        <w:spacing w:line="360" w:lineRule="auto"/>
        <w:ind w:left="0" w:right="40" w:firstLine="420" w:firstLineChars="200"/>
        <w:jc w:val="left"/>
        <w:rPr>
          <w:color w:val="auto"/>
          <w:kern w:val="0"/>
        </w:rPr>
      </w:pPr>
      <w:r>
        <w:rPr>
          <w:rFonts w:hint="eastAsia"/>
          <w:color w:val="auto"/>
          <w:kern w:val="0"/>
        </w:rPr>
        <w:t>按本章第2.2.2（2）目规定的评审因素和分值对技术部分计算出得分B；</w:t>
      </w:r>
    </w:p>
    <w:p w14:paraId="5E48768F">
      <w:pPr>
        <w:numPr>
          <w:ilvl w:val="0"/>
          <w:numId w:val="16"/>
        </w:numPr>
        <w:wordWrap/>
        <w:topLinePunct w:val="0"/>
        <w:autoSpaceDE w:val="0"/>
        <w:autoSpaceDN w:val="0"/>
        <w:adjustRightInd w:val="0"/>
        <w:spacing w:line="360" w:lineRule="auto"/>
        <w:ind w:left="0" w:right="40" w:firstLine="420" w:firstLineChars="200"/>
        <w:jc w:val="left"/>
        <w:rPr>
          <w:color w:val="auto"/>
          <w:kern w:val="0"/>
        </w:rPr>
      </w:pPr>
      <w:r>
        <w:rPr>
          <w:rFonts w:hint="eastAsia"/>
          <w:color w:val="auto"/>
          <w:kern w:val="0"/>
        </w:rPr>
        <w:t>按本章第2.2.2（3）目规定的评审因素和分值对商务部分计算出得分C。</w:t>
      </w:r>
    </w:p>
    <w:p w14:paraId="54B194AB">
      <w:pPr>
        <w:numPr>
          <w:ilvl w:val="2"/>
          <w:numId w:val="12"/>
        </w:numPr>
        <w:wordWrap/>
        <w:topLinePunct w:val="0"/>
        <w:autoSpaceDE w:val="0"/>
        <w:autoSpaceDN w:val="0"/>
        <w:adjustRightInd w:val="0"/>
        <w:spacing w:before="40" w:line="360" w:lineRule="auto"/>
        <w:ind w:right="142" w:firstLine="420" w:firstLineChars="200"/>
        <w:jc w:val="left"/>
        <w:rPr>
          <w:bCs/>
          <w:color w:val="auto"/>
          <w:kern w:val="0"/>
        </w:rPr>
      </w:pPr>
      <w:r>
        <w:rPr>
          <w:rFonts w:hint="eastAsia"/>
          <w:bCs/>
          <w:color w:val="auto"/>
          <w:kern w:val="0"/>
        </w:rPr>
        <w:t>评分分值计算保留小数点后两位，小数点后第三位“四舍五入”。</w:t>
      </w:r>
    </w:p>
    <w:p w14:paraId="3D316FCA">
      <w:pPr>
        <w:numPr>
          <w:ilvl w:val="2"/>
          <w:numId w:val="12"/>
        </w:numPr>
        <w:wordWrap/>
        <w:topLinePunct w:val="0"/>
        <w:autoSpaceDE w:val="0"/>
        <w:autoSpaceDN w:val="0"/>
        <w:adjustRightInd w:val="0"/>
        <w:spacing w:before="40" w:line="360" w:lineRule="auto"/>
        <w:ind w:right="142" w:firstLine="420" w:firstLineChars="200"/>
        <w:jc w:val="left"/>
        <w:rPr>
          <w:bCs/>
          <w:color w:val="auto"/>
          <w:kern w:val="0"/>
        </w:rPr>
      </w:pPr>
      <w:r>
        <w:rPr>
          <w:rFonts w:hint="eastAsia"/>
          <w:bCs/>
          <w:color w:val="auto"/>
          <w:kern w:val="0"/>
        </w:rPr>
        <w:t>供应商得分=A+B+C。</w:t>
      </w:r>
    </w:p>
    <w:p w14:paraId="0109C114">
      <w:pPr>
        <w:numPr>
          <w:ilvl w:val="2"/>
          <w:numId w:val="12"/>
        </w:numPr>
        <w:wordWrap/>
        <w:topLinePunct w:val="0"/>
        <w:autoSpaceDE w:val="0"/>
        <w:autoSpaceDN w:val="0"/>
        <w:adjustRightInd w:val="0"/>
        <w:spacing w:before="40" w:line="360" w:lineRule="auto"/>
        <w:ind w:right="142" w:firstLine="420" w:firstLineChars="200"/>
        <w:jc w:val="left"/>
        <w:rPr>
          <w:bCs/>
          <w:color w:val="auto"/>
          <w:kern w:val="0"/>
        </w:rPr>
      </w:pPr>
      <w:r>
        <w:rPr>
          <w:rFonts w:hint="eastAsia"/>
          <w:bCs/>
          <w:color w:val="auto"/>
          <w:kern w:val="0"/>
        </w:rPr>
        <w:t>磋商小组认为供应商的最后报价明显低于成本价的，有可能影响产品质量或者不能诚信履约的，应当要求其在评审现场合理的时间内提供书面说明，必要时提交相关证明材料；供应商不能证明其报价合理性的，磋商小组应当将其作为无效投标处理。</w:t>
      </w:r>
    </w:p>
    <w:p w14:paraId="2DA4A5B1">
      <w:pPr>
        <w:pStyle w:val="4"/>
        <w:numPr>
          <w:ilvl w:val="1"/>
          <w:numId w:val="12"/>
        </w:numPr>
        <w:rPr>
          <w:color w:val="auto"/>
        </w:rPr>
      </w:pPr>
      <w:bookmarkStart w:id="770" w:name="_Toc27753996"/>
      <w:bookmarkStart w:id="771" w:name="_Toc12279"/>
      <w:bookmarkStart w:id="772" w:name="_Toc11722"/>
      <w:bookmarkStart w:id="773" w:name="_Toc2162"/>
      <w:bookmarkStart w:id="774" w:name="_Toc7845"/>
      <w:bookmarkStart w:id="775" w:name="_Toc18532"/>
      <w:bookmarkStart w:id="776" w:name="_Toc5640"/>
      <w:bookmarkStart w:id="777" w:name="_Toc9150"/>
      <w:bookmarkStart w:id="778" w:name="_Toc18381"/>
      <w:bookmarkStart w:id="779" w:name="_Toc6048"/>
      <w:bookmarkStart w:id="780" w:name="_Toc18083"/>
      <w:bookmarkStart w:id="781" w:name="_Toc30364"/>
      <w:bookmarkStart w:id="782" w:name="_Toc29623345"/>
      <w:r>
        <w:rPr>
          <w:rFonts w:hint="eastAsia"/>
          <w:color w:val="auto"/>
        </w:rPr>
        <w:t>响应文件的澄清</w:t>
      </w:r>
      <w:bookmarkEnd w:id="770"/>
      <w:bookmarkEnd w:id="771"/>
      <w:bookmarkEnd w:id="772"/>
      <w:bookmarkEnd w:id="773"/>
      <w:bookmarkEnd w:id="774"/>
      <w:bookmarkEnd w:id="775"/>
      <w:bookmarkEnd w:id="776"/>
      <w:bookmarkEnd w:id="777"/>
      <w:bookmarkEnd w:id="778"/>
      <w:bookmarkEnd w:id="779"/>
      <w:bookmarkEnd w:id="780"/>
      <w:bookmarkEnd w:id="781"/>
      <w:bookmarkEnd w:id="782"/>
    </w:p>
    <w:p w14:paraId="57C8C092">
      <w:pPr>
        <w:numPr>
          <w:ilvl w:val="2"/>
          <w:numId w:val="12"/>
        </w:numPr>
        <w:wordWrap/>
        <w:topLinePunct w:val="0"/>
        <w:autoSpaceDE w:val="0"/>
        <w:autoSpaceDN w:val="0"/>
        <w:adjustRightInd w:val="0"/>
        <w:spacing w:before="40" w:line="360" w:lineRule="auto"/>
        <w:ind w:right="142" w:firstLine="420" w:firstLineChars="200"/>
        <w:jc w:val="left"/>
        <w:rPr>
          <w:bCs/>
          <w:color w:val="auto"/>
          <w:kern w:val="0"/>
        </w:rPr>
      </w:pPr>
      <w:r>
        <w:rPr>
          <w:rFonts w:hint="eastAsia"/>
          <w:bCs/>
          <w:color w:val="auto"/>
          <w:kern w:val="0"/>
        </w:rPr>
        <w:t>在评审过程中，磋商小组可以书面形式要求供应商对响应文件中含义不明确、对同类问题表述不一致或者有明显文字和计算错误的内容作必要的澄清、说明或补正。澄清、说明或补正应以书面方式进行，并加盖公章，或者由法定代表人或其授权的代表签字。磋商小组不接受供应商主动提出的澄清、说明或补正。</w:t>
      </w:r>
    </w:p>
    <w:p w14:paraId="0622919C">
      <w:pPr>
        <w:numPr>
          <w:ilvl w:val="2"/>
          <w:numId w:val="12"/>
        </w:numPr>
        <w:wordWrap/>
        <w:topLinePunct w:val="0"/>
        <w:autoSpaceDE w:val="0"/>
        <w:autoSpaceDN w:val="0"/>
        <w:adjustRightInd w:val="0"/>
        <w:spacing w:before="40" w:line="360" w:lineRule="auto"/>
        <w:ind w:right="142" w:firstLine="420" w:firstLineChars="200"/>
        <w:jc w:val="left"/>
        <w:rPr>
          <w:bCs/>
          <w:color w:val="auto"/>
          <w:kern w:val="0"/>
        </w:rPr>
      </w:pPr>
      <w:r>
        <w:rPr>
          <w:rFonts w:hint="eastAsia"/>
          <w:bCs/>
          <w:color w:val="auto"/>
          <w:kern w:val="0"/>
        </w:rPr>
        <w:t>澄清、说明或补正不得超出响应文件的范围且不得改变响应文件的实质性内容，并构成响应文件的组成部分。</w:t>
      </w:r>
    </w:p>
    <w:p w14:paraId="04917E1C">
      <w:pPr>
        <w:numPr>
          <w:ilvl w:val="2"/>
          <w:numId w:val="12"/>
        </w:numPr>
        <w:wordWrap/>
        <w:topLinePunct w:val="0"/>
        <w:autoSpaceDE w:val="0"/>
        <w:autoSpaceDN w:val="0"/>
        <w:adjustRightInd w:val="0"/>
        <w:spacing w:before="40" w:line="360" w:lineRule="auto"/>
        <w:ind w:right="142" w:firstLine="420" w:firstLineChars="200"/>
        <w:jc w:val="left"/>
        <w:rPr>
          <w:bCs/>
          <w:color w:val="auto"/>
          <w:kern w:val="0"/>
        </w:rPr>
      </w:pPr>
      <w:r>
        <w:rPr>
          <w:rFonts w:hint="eastAsia"/>
          <w:bCs/>
          <w:color w:val="auto"/>
          <w:kern w:val="0"/>
        </w:rPr>
        <w:t>磋商小组对供应商提交的澄清、说明或补正有疑问的，可以要求供应商进一步澄清、说明或补正，直至满足磋商小组的要求。</w:t>
      </w:r>
    </w:p>
    <w:p w14:paraId="2EFC8F83">
      <w:pPr>
        <w:pStyle w:val="4"/>
        <w:numPr>
          <w:ilvl w:val="1"/>
          <w:numId w:val="12"/>
        </w:numPr>
        <w:rPr>
          <w:color w:val="auto"/>
        </w:rPr>
      </w:pPr>
      <w:bookmarkStart w:id="783" w:name="_Toc29623346"/>
      <w:bookmarkStart w:id="784" w:name="_Toc20253"/>
      <w:bookmarkStart w:id="785" w:name="_Toc27753997"/>
      <w:r>
        <w:rPr>
          <w:rFonts w:hint="eastAsia"/>
          <w:color w:val="auto"/>
        </w:rPr>
        <w:t>评审结果</w:t>
      </w:r>
      <w:bookmarkEnd w:id="783"/>
      <w:bookmarkEnd w:id="784"/>
      <w:bookmarkEnd w:id="785"/>
    </w:p>
    <w:p w14:paraId="2534471E">
      <w:pPr>
        <w:numPr>
          <w:ilvl w:val="2"/>
          <w:numId w:val="12"/>
        </w:numPr>
        <w:wordWrap/>
        <w:topLinePunct w:val="0"/>
        <w:autoSpaceDE w:val="0"/>
        <w:autoSpaceDN w:val="0"/>
        <w:adjustRightInd w:val="0"/>
        <w:spacing w:before="40" w:line="360" w:lineRule="auto"/>
        <w:ind w:right="142" w:firstLine="420" w:firstLineChars="200"/>
        <w:jc w:val="left"/>
        <w:rPr>
          <w:bCs/>
          <w:color w:val="auto"/>
          <w:kern w:val="0"/>
        </w:rPr>
      </w:pPr>
      <w:r>
        <w:rPr>
          <w:rFonts w:hint="eastAsia"/>
          <w:bCs/>
          <w:color w:val="auto"/>
          <w:kern w:val="0"/>
        </w:rPr>
        <w:t>除采购人授权直接确定成交供应商外，按照评审得分由高到低顺序推荐3名成交候选供应商，评审得分相同的，按照最后报价由低到高的顺序推荐。评审得分且最后报价相同的并列。</w:t>
      </w:r>
    </w:p>
    <w:p w14:paraId="71E05804">
      <w:pPr>
        <w:numPr>
          <w:ilvl w:val="2"/>
          <w:numId w:val="12"/>
        </w:numPr>
        <w:wordWrap/>
        <w:topLinePunct w:val="0"/>
        <w:autoSpaceDE w:val="0"/>
        <w:autoSpaceDN w:val="0"/>
        <w:adjustRightInd w:val="0"/>
        <w:spacing w:before="40" w:line="360" w:lineRule="auto"/>
        <w:ind w:right="142" w:firstLine="420" w:firstLineChars="200"/>
        <w:jc w:val="left"/>
        <w:rPr>
          <w:bCs/>
          <w:color w:val="auto"/>
          <w:kern w:val="0"/>
        </w:rPr>
      </w:pPr>
      <w:r>
        <w:rPr>
          <w:rFonts w:hint="eastAsia"/>
          <w:color w:val="auto"/>
        </w:rPr>
        <w:t xml:space="preserve"> 磋商小组完成评审后，应当向采购人提交书面评审报告和成交候选人名单</w:t>
      </w:r>
      <w:r>
        <w:rPr>
          <w:rFonts w:hint="eastAsia"/>
          <w:bCs/>
          <w:color w:val="auto"/>
          <w:kern w:val="0"/>
        </w:rPr>
        <w:t>并编写评审报告。</w:t>
      </w:r>
    </w:p>
    <w:p w14:paraId="6E51519D">
      <w:pPr>
        <w:spacing w:line="440" w:lineRule="exact"/>
        <w:rPr>
          <w:rFonts w:hint="eastAsia" w:ascii="宋体" w:hAnsi="宋体" w:eastAsia="宋体" w:cs="宋体"/>
          <w:color w:val="auto"/>
          <w:szCs w:val="21"/>
          <w:lang w:val="en-US" w:eastAsia="zh-CN"/>
        </w:rPr>
      </w:pPr>
    </w:p>
    <w:p w14:paraId="42FE4FDA">
      <w:pPr>
        <w:pStyle w:val="30"/>
        <w:rPr>
          <w:rFonts w:hint="eastAsia" w:ascii="宋体" w:hAnsi="宋体" w:eastAsia="宋体" w:cs="宋体"/>
          <w:color w:val="auto"/>
          <w:szCs w:val="21"/>
          <w:lang w:val="en-US" w:eastAsia="zh-CN"/>
        </w:rPr>
      </w:pPr>
    </w:p>
    <w:p w14:paraId="60B7E038">
      <w:pPr>
        <w:pStyle w:val="30"/>
        <w:rPr>
          <w:rFonts w:hint="eastAsia" w:ascii="宋体" w:hAnsi="宋体" w:eastAsia="宋体" w:cs="宋体"/>
          <w:color w:val="auto"/>
          <w:szCs w:val="21"/>
          <w:lang w:val="en-US" w:eastAsia="zh-CN"/>
        </w:rPr>
      </w:pPr>
    </w:p>
    <w:p w14:paraId="4813CEC7">
      <w:pPr>
        <w:spacing w:line="440" w:lineRule="exact"/>
        <w:rPr>
          <w:rFonts w:hint="eastAsia" w:ascii="宋体" w:hAnsi="宋体" w:eastAsia="宋体" w:cs="宋体"/>
          <w:color w:val="auto"/>
          <w:szCs w:val="21"/>
          <w:lang w:val="en-US" w:eastAsia="zh-CN"/>
        </w:rPr>
      </w:pPr>
    </w:p>
    <w:p w14:paraId="4C528A28">
      <w:pPr>
        <w:pStyle w:val="30"/>
        <w:rPr>
          <w:rFonts w:hint="eastAsia" w:ascii="宋体" w:hAnsi="宋体" w:eastAsia="宋体" w:cs="宋体"/>
          <w:color w:val="auto"/>
          <w:szCs w:val="21"/>
          <w:lang w:val="en-US" w:eastAsia="zh-CN"/>
        </w:rPr>
      </w:pPr>
    </w:p>
    <w:p w14:paraId="1DCC72B8">
      <w:pPr>
        <w:pStyle w:val="30"/>
        <w:rPr>
          <w:rFonts w:hint="eastAsia" w:ascii="宋体" w:hAnsi="宋体" w:eastAsia="宋体" w:cs="宋体"/>
          <w:color w:val="auto"/>
          <w:szCs w:val="21"/>
          <w:lang w:val="en-US" w:eastAsia="zh-CN"/>
        </w:rPr>
      </w:pPr>
    </w:p>
    <w:p w14:paraId="33D18766">
      <w:pPr>
        <w:pStyle w:val="30"/>
        <w:rPr>
          <w:rFonts w:hint="eastAsia" w:ascii="宋体" w:hAnsi="宋体" w:eastAsia="宋体" w:cs="宋体"/>
          <w:color w:val="auto"/>
          <w:szCs w:val="21"/>
          <w:lang w:val="en-US" w:eastAsia="zh-CN"/>
        </w:rPr>
      </w:pPr>
    </w:p>
    <w:p w14:paraId="73D7BEBE">
      <w:pPr>
        <w:pStyle w:val="2"/>
        <w:spacing w:before="120" w:after="120" w:line="360" w:lineRule="auto"/>
        <w:jc w:val="center"/>
        <w:rPr>
          <w:rFonts w:hint="eastAsia" w:ascii="Times New Roman" w:hAnsi="Times New Roman" w:eastAsia="宋体" w:cs="Times New Roman"/>
          <w:b/>
          <w:bCs/>
          <w:color w:val="auto"/>
          <w:kern w:val="0"/>
          <w:sz w:val="36"/>
          <w:szCs w:val="36"/>
          <w:lang w:val="en-US" w:eastAsia="zh-CN"/>
        </w:rPr>
      </w:pPr>
      <w:bookmarkStart w:id="786" w:name="_Toc32147"/>
      <w:bookmarkStart w:id="787" w:name="_Toc27610"/>
      <w:bookmarkStart w:id="788" w:name="_Toc16041"/>
      <w:r>
        <w:rPr>
          <w:rFonts w:hint="eastAsia" w:ascii="Times New Roman" w:hAnsi="Times New Roman" w:eastAsia="宋体" w:cs="Times New Roman"/>
          <w:b/>
          <w:bCs/>
          <w:color w:val="auto"/>
          <w:kern w:val="0"/>
          <w:sz w:val="36"/>
          <w:szCs w:val="36"/>
          <w:lang w:val="en-US" w:eastAsia="zh-CN"/>
        </w:rPr>
        <w:t>第四章 合同条款及格式</w:t>
      </w:r>
      <w:bookmarkEnd w:id="31"/>
      <w:bookmarkEnd w:id="786"/>
      <w:bookmarkEnd w:id="787"/>
      <w:bookmarkEnd w:id="788"/>
    </w:p>
    <w:p w14:paraId="7F780170">
      <w:pPr>
        <w:autoSpaceDE w:val="0"/>
        <w:autoSpaceDN w:val="0"/>
        <w:adjustRightInd w:val="0"/>
        <w:jc w:val="center"/>
        <w:rPr>
          <w:rFonts w:hint="eastAsia" w:ascii="宋体" w:cs="宋体"/>
          <w:color w:val="auto"/>
          <w:kern w:val="0"/>
          <w:sz w:val="24"/>
        </w:rPr>
      </w:pPr>
      <w:r>
        <w:rPr>
          <w:rFonts w:hint="eastAsia" w:ascii="宋体" w:cs="宋体"/>
          <w:color w:val="auto"/>
          <w:kern w:val="0"/>
          <w:sz w:val="24"/>
        </w:rPr>
        <w:t>（按国家及地方有关要求，以实际签订合同为准）</w:t>
      </w:r>
    </w:p>
    <w:p w14:paraId="79AF8E2D">
      <w:pPr>
        <w:autoSpaceDE w:val="0"/>
        <w:autoSpaceDN w:val="0"/>
        <w:adjustRightInd w:val="0"/>
        <w:jc w:val="center"/>
        <w:rPr>
          <w:rFonts w:hint="eastAsia" w:ascii="宋体" w:cs="宋体"/>
          <w:color w:val="auto"/>
          <w:kern w:val="0"/>
          <w:sz w:val="24"/>
        </w:rPr>
      </w:pPr>
    </w:p>
    <w:p w14:paraId="0E6906D1">
      <w:pPr>
        <w:pStyle w:val="2"/>
        <w:keepNext w:val="0"/>
        <w:keepLines w:val="0"/>
        <w:pageBreakBefore w:val="0"/>
        <w:widowControl/>
        <w:kinsoku/>
        <w:wordWrap/>
        <w:overflowPunct/>
        <w:topLinePunct w:val="0"/>
        <w:autoSpaceDE/>
        <w:autoSpaceDN/>
        <w:bidi w:val="0"/>
        <w:adjustRightInd/>
        <w:snapToGrid/>
        <w:spacing w:before="0" w:after="0" w:line="340" w:lineRule="exact"/>
        <w:jc w:val="center"/>
        <w:textAlignment w:val="auto"/>
        <w:rPr>
          <w:rFonts w:hint="eastAsia" w:ascii="宋体" w:hAnsi="宋体" w:eastAsia="宋体" w:cs="宋体"/>
          <w:b w:val="0"/>
          <w:bCs w:val="0"/>
          <w:color w:val="auto"/>
          <w:kern w:val="2"/>
          <w:sz w:val="24"/>
          <w:szCs w:val="24"/>
          <w:lang w:val="en-US" w:eastAsia="zh-CN" w:bidi="ar-SA"/>
        </w:rPr>
      </w:pPr>
      <w:bookmarkStart w:id="789" w:name="_Toc7432"/>
      <w:bookmarkStart w:id="790" w:name="_Toc13449"/>
      <w:bookmarkStart w:id="791" w:name="_Toc13342"/>
      <w:bookmarkStart w:id="792" w:name="_Toc28310"/>
      <w:r>
        <w:rPr>
          <w:rFonts w:hint="eastAsia" w:ascii="宋体" w:hAnsi="宋体" w:eastAsia="宋体" w:cs="宋体"/>
          <w:b w:val="0"/>
          <w:bCs w:val="0"/>
          <w:color w:val="auto"/>
          <w:kern w:val="2"/>
          <w:sz w:val="24"/>
          <w:szCs w:val="24"/>
          <w:lang w:val="en-US" w:eastAsia="zh-CN" w:bidi="ar-SA"/>
        </w:rPr>
        <w:t>合同模板</w:t>
      </w:r>
      <w:bookmarkEnd w:id="789"/>
      <w:bookmarkEnd w:id="790"/>
      <w:bookmarkEnd w:id="791"/>
      <w:bookmarkEnd w:id="792"/>
    </w:p>
    <w:p w14:paraId="253244DA">
      <w:pPr>
        <w:spacing w:line="360" w:lineRule="auto"/>
        <w:ind w:firstLine="422" w:firstLineChars="200"/>
        <w:rPr>
          <w:b/>
          <w:color w:val="auto"/>
          <w:u w:val="single"/>
        </w:rPr>
      </w:pPr>
      <w:r>
        <w:rPr>
          <w:rFonts w:hint="eastAsia"/>
          <w:b/>
          <w:color w:val="auto"/>
        </w:rPr>
        <w:t>甲方（全称）：</w:t>
      </w:r>
      <w:r>
        <w:rPr>
          <w:rFonts w:hint="eastAsia"/>
          <w:b/>
          <w:color w:val="auto"/>
          <w:u w:val="single"/>
        </w:rPr>
        <w:t>                       </w:t>
      </w:r>
    </w:p>
    <w:p w14:paraId="700923AA">
      <w:pPr>
        <w:spacing w:line="360" w:lineRule="auto"/>
        <w:ind w:firstLine="422" w:firstLineChars="200"/>
        <w:rPr>
          <w:b/>
          <w:color w:val="auto"/>
          <w:u w:val="single"/>
        </w:rPr>
      </w:pPr>
      <w:r>
        <w:rPr>
          <w:rFonts w:hint="eastAsia"/>
          <w:b/>
          <w:color w:val="auto"/>
        </w:rPr>
        <w:t>乙方（全称）：</w:t>
      </w:r>
      <w:r>
        <w:rPr>
          <w:rFonts w:hint="eastAsia"/>
          <w:b/>
          <w:color w:val="auto"/>
          <w:u w:val="single"/>
        </w:rPr>
        <w:t>                      </w:t>
      </w:r>
    </w:p>
    <w:p w14:paraId="2CD378A3">
      <w:pPr>
        <w:spacing w:line="360" w:lineRule="auto"/>
        <w:ind w:firstLine="420" w:firstLineChars="200"/>
        <w:rPr>
          <w:color w:val="auto"/>
        </w:rPr>
      </w:pPr>
      <w:r>
        <w:rPr>
          <w:rFonts w:hint="eastAsia"/>
          <w:color w:val="auto"/>
        </w:rPr>
        <w:t>根据《中华人民共和国合同法》及有关法律规定，遵循平等、自愿、公平和诚实信用的原则，双方就</w:t>
      </w:r>
      <w:r>
        <w:rPr>
          <w:rFonts w:hint="eastAsia"/>
          <w:color w:val="auto"/>
          <w:u w:val="single"/>
        </w:rPr>
        <w:t xml:space="preserve">                              </w:t>
      </w:r>
      <w:r>
        <w:rPr>
          <w:rFonts w:hint="eastAsia"/>
          <w:color w:val="auto"/>
        </w:rPr>
        <w:t>项目及有关事项协商一致，共同达成如下协议：</w:t>
      </w:r>
    </w:p>
    <w:p w14:paraId="52E39507">
      <w:pPr>
        <w:numPr>
          <w:ilvl w:val="0"/>
          <w:numId w:val="17"/>
        </w:numPr>
        <w:tabs>
          <w:tab w:val="left" w:pos="0"/>
          <w:tab w:val="clear" w:pos="720"/>
        </w:tabs>
        <w:spacing w:line="360" w:lineRule="auto"/>
        <w:ind w:left="0" w:firstLine="422" w:firstLineChars="200"/>
        <w:rPr>
          <w:b/>
          <w:color w:val="auto"/>
        </w:rPr>
      </w:pPr>
      <w:r>
        <w:rPr>
          <w:rFonts w:hint="eastAsia"/>
          <w:b/>
          <w:color w:val="auto"/>
        </w:rPr>
        <w:t xml:space="preserve"> 合同文件</w:t>
      </w:r>
    </w:p>
    <w:p w14:paraId="1DF0F99D">
      <w:pPr>
        <w:spacing w:line="360" w:lineRule="auto"/>
        <w:ind w:firstLine="420" w:firstLineChars="200"/>
        <w:rPr>
          <w:color w:val="auto"/>
        </w:rPr>
      </w:pPr>
      <w:r>
        <w:rPr>
          <w:rFonts w:hint="eastAsia"/>
          <w:color w:val="auto"/>
        </w:rPr>
        <w:t>下列与本次采购活动有关的文件及附件是本合同不可分割的组成部分，与本合同具有同等法律效力，这些文件包括但不限于：</w:t>
      </w:r>
    </w:p>
    <w:p w14:paraId="2412B3F9">
      <w:pPr>
        <w:spacing w:line="360" w:lineRule="auto"/>
        <w:ind w:firstLine="420" w:firstLineChars="200"/>
        <w:rPr>
          <w:color w:val="auto"/>
        </w:rPr>
      </w:pPr>
      <w:r>
        <w:rPr>
          <w:rFonts w:hint="eastAsia"/>
          <w:color w:val="auto"/>
        </w:rPr>
        <w:t>1.（××号）竞争性磋商文件</w:t>
      </w:r>
    </w:p>
    <w:p w14:paraId="39B1727D">
      <w:pPr>
        <w:spacing w:line="360" w:lineRule="auto"/>
        <w:ind w:firstLine="420" w:firstLineChars="200"/>
        <w:rPr>
          <w:color w:val="auto"/>
        </w:rPr>
      </w:pPr>
      <w:r>
        <w:rPr>
          <w:rFonts w:hint="eastAsia"/>
          <w:color w:val="auto"/>
        </w:rPr>
        <w:t>2.响应文件</w:t>
      </w:r>
    </w:p>
    <w:p w14:paraId="2F4BF410">
      <w:pPr>
        <w:spacing w:line="360" w:lineRule="auto"/>
        <w:ind w:firstLine="420" w:firstLineChars="200"/>
        <w:rPr>
          <w:color w:val="auto"/>
        </w:rPr>
      </w:pPr>
      <w:r>
        <w:rPr>
          <w:rFonts w:hint="eastAsia"/>
          <w:color w:val="auto"/>
        </w:rPr>
        <w:t>3.乙方在磋商时的书面承诺</w:t>
      </w:r>
    </w:p>
    <w:p w14:paraId="3AD8A99F">
      <w:pPr>
        <w:spacing w:line="360" w:lineRule="auto"/>
        <w:ind w:firstLine="420" w:firstLineChars="200"/>
        <w:rPr>
          <w:color w:val="auto"/>
        </w:rPr>
      </w:pPr>
      <w:r>
        <w:rPr>
          <w:rFonts w:hint="eastAsia"/>
          <w:color w:val="auto"/>
        </w:rPr>
        <w:t>4.（××号）成交通知书</w:t>
      </w:r>
    </w:p>
    <w:p w14:paraId="7580F49E">
      <w:pPr>
        <w:spacing w:line="360" w:lineRule="auto"/>
        <w:ind w:firstLine="420" w:firstLineChars="200"/>
        <w:rPr>
          <w:color w:val="auto"/>
        </w:rPr>
      </w:pPr>
      <w:r>
        <w:rPr>
          <w:rFonts w:hint="eastAsia"/>
          <w:color w:val="auto"/>
        </w:rPr>
        <w:t>5.合同补充条款或说明</w:t>
      </w:r>
    </w:p>
    <w:p w14:paraId="4CD1CB51">
      <w:pPr>
        <w:spacing w:line="360" w:lineRule="auto"/>
        <w:ind w:firstLine="420" w:firstLineChars="200"/>
        <w:rPr>
          <w:color w:val="auto"/>
        </w:rPr>
      </w:pPr>
      <w:r>
        <w:rPr>
          <w:rFonts w:hint="eastAsia"/>
          <w:color w:val="auto"/>
        </w:rPr>
        <w:t>6.保密协议或条款</w:t>
      </w:r>
    </w:p>
    <w:p w14:paraId="296E87F4">
      <w:pPr>
        <w:spacing w:line="360" w:lineRule="auto"/>
        <w:ind w:firstLine="420" w:firstLineChars="200"/>
        <w:rPr>
          <w:color w:val="auto"/>
        </w:rPr>
      </w:pPr>
      <w:r>
        <w:rPr>
          <w:rFonts w:hint="eastAsia"/>
          <w:color w:val="auto"/>
        </w:rPr>
        <w:t>7.相关附件、图纸及电子版资料</w:t>
      </w:r>
    </w:p>
    <w:p w14:paraId="5A3B0ABA">
      <w:pPr>
        <w:spacing w:line="360" w:lineRule="auto"/>
        <w:ind w:left="482"/>
        <w:rPr>
          <w:b/>
          <w:color w:val="auto"/>
        </w:rPr>
      </w:pPr>
      <w:r>
        <w:rPr>
          <w:rFonts w:hint="eastAsia"/>
          <w:b/>
          <w:color w:val="auto"/>
        </w:rPr>
        <w:t>第二条  合同内容</w:t>
      </w:r>
    </w:p>
    <w:p w14:paraId="07B877C5">
      <w:pPr>
        <w:spacing w:line="360" w:lineRule="auto"/>
        <w:ind w:firstLine="420" w:firstLineChars="200"/>
        <w:rPr>
          <w:color w:val="auto"/>
        </w:rPr>
      </w:pPr>
      <w:r>
        <w:rPr>
          <w:rFonts w:hint="eastAsia"/>
          <w:color w:val="auto"/>
        </w:rPr>
        <w:t xml:space="preserve">服务名称：详见合同附件中《服务明细一览表》  </w:t>
      </w:r>
    </w:p>
    <w:p w14:paraId="205B405D">
      <w:pPr>
        <w:spacing w:line="360" w:lineRule="auto"/>
        <w:ind w:left="482"/>
        <w:rPr>
          <w:b/>
          <w:color w:val="auto"/>
        </w:rPr>
      </w:pPr>
      <w:r>
        <w:rPr>
          <w:rFonts w:hint="eastAsia"/>
          <w:b/>
          <w:color w:val="auto"/>
        </w:rPr>
        <w:t>第三条  合同总价款</w:t>
      </w:r>
    </w:p>
    <w:p w14:paraId="7E654B26">
      <w:pPr>
        <w:spacing w:line="360" w:lineRule="auto"/>
        <w:ind w:firstLine="420" w:firstLineChars="200"/>
        <w:rPr>
          <w:color w:val="auto"/>
        </w:rPr>
      </w:pPr>
      <w:r>
        <w:rPr>
          <w:rFonts w:hint="eastAsia"/>
          <w:color w:val="auto"/>
        </w:rPr>
        <w:t>1.本合同服务总价款：￥</w:t>
      </w:r>
      <w:r>
        <w:rPr>
          <w:rFonts w:hint="eastAsia"/>
          <w:color w:val="auto"/>
          <w:u w:val="single"/>
        </w:rPr>
        <w:t xml:space="preserve">                   </w:t>
      </w:r>
      <w:r>
        <w:rPr>
          <w:rFonts w:hint="eastAsia"/>
          <w:color w:val="auto"/>
        </w:rPr>
        <w:t>元。</w:t>
      </w:r>
    </w:p>
    <w:p w14:paraId="59A6069D">
      <w:pPr>
        <w:spacing w:line="360" w:lineRule="auto"/>
        <w:ind w:firstLine="420" w:firstLineChars="200"/>
        <w:rPr>
          <w:color w:val="auto"/>
        </w:rPr>
      </w:pPr>
      <w:r>
        <w:rPr>
          <w:rFonts w:hint="eastAsia"/>
          <w:color w:val="auto"/>
        </w:rPr>
        <w:t>大写：</w:t>
      </w:r>
      <w:r>
        <w:rPr>
          <w:rFonts w:hint="eastAsia"/>
          <w:color w:val="auto"/>
          <w:u w:val="single"/>
        </w:rPr>
        <w:t xml:space="preserve">                                      </w:t>
      </w:r>
      <w:r>
        <w:rPr>
          <w:rFonts w:hint="eastAsia"/>
          <w:color w:val="auto"/>
        </w:rPr>
        <w:t>元。</w:t>
      </w:r>
    </w:p>
    <w:p w14:paraId="340D81E3">
      <w:pPr>
        <w:spacing w:line="360" w:lineRule="auto"/>
        <w:ind w:firstLine="420" w:firstLineChars="200"/>
        <w:rPr>
          <w:color w:val="auto"/>
        </w:rPr>
      </w:pPr>
      <w:r>
        <w:rPr>
          <w:rFonts w:hint="eastAsia"/>
          <w:color w:val="auto"/>
        </w:rPr>
        <w:t>2.分项价款在《服务一览表》中有明确规定。</w:t>
      </w:r>
    </w:p>
    <w:p w14:paraId="4C51DA4A">
      <w:pPr>
        <w:spacing w:line="360" w:lineRule="auto"/>
        <w:ind w:firstLine="420" w:firstLineChars="200"/>
        <w:rPr>
          <w:color w:val="auto"/>
        </w:rPr>
      </w:pPr>
      <w:r>
        <w:rPr>
          <w:rFonts w:hint="eastAsia"/>
          <w:color w:val="auto"/>
        </w:rPr>
        <w:t>3.本合同总价款包括服务期间必须的日常物料、易耗品、工具、调试费、培训费等相关费用。</w:t>
      </w:r>
    </w:p>
    <w:p w14:paraId="0B339309">
      <w:pPr>
        <w:spacing w:line="360" w:lineRule="auto"/>
        <w:ind w:firstLine="420" w:firstLineChars="200"/>
        <w:rPr>
          <w:color w:val="auto"/>
        </w:rPr>
      </w:pPr>
      <w:r>
        <w:rPr>
          <w:rFonts w:hint="eastAsia"/>
          <w:color w:val="auto"/>
        </w:rPr>
        <w:t>4.本合同执行期内因工作量变化而引起的服务费用的变动，在双方事先协商一致的前提下签订补充合同，但因此而增加的服务费用不得超过原成交金额的10%。</w:t>
      </w:r>
    </w:p>
    <w:p w14:paraId="3DC2EF5A">
      <w:pPr>
        <w:pStyle w:val="10"/>
        <w:spacing w:line="360" w:lineRule="auto"/>
        <w:ind w:firstLine="381" w:firstLineChars="200"/>
        <w:rPr>
          <w:rFonts w:hAnsi="宋体" w:cs="宋体"/>
          <w:color w:val="auto"/>
        </w:rPr>
      </w:pPr>
      <w:r>
        <w:rPr>
          <w:rFonts w:hint="eastAsia" w:hAnsi="宋体" w:cs="宋体"/>
          <w:b/>
          <w:color w:val="auto"/>
        </w:rPr>
        <w:t xml:space="preserve">第四条  </w:t>
      </w:r>
      <w:r>
        <w:rPr>
          <w:rFonts w:hint="eastAsia" w:hAnsi="宋体" w:cs="宋体"/>
          <w:b/>
          <w:bCs/>
          <w:color w:val="auto"/>
        </w:rPr>
        <w:t>双方一般权利和义务</w:t>
      </w:r>
    </w:p>
    <w:p w14:paraId="4C3B8E2C">
      <w:pPr>
        <w:pStyle w:val="10"/>
        <w:spacing w:line="360" w:lineRule="auto"/>
        <w:ind w:firstLine="381" w:firstLineChars="200"/>
        <w:rPr>
          <w:rFonts w:hAnsi="宋体" w:cs="宋体"/>
          <w:b/>
          <w:color w:val="auto"/>
        </w:rPr>
      </w:pPr>
      <w:r>
        <w:rPr>
          <w:rFonts w:hint="eastAsia" w:hAnsi="宋体" w:cs="宋体"/>
          <w:b/>
          <w:color w:val="auto"/>
        </w:rPr>
        <w:t>1.甲方的义务</w:t>
      </w:r>
    </w:p>
    <w:p w14:paraId="22D9A22A">
      <w:pPr>
        <w:pStyle w:val="10"/>
        <w:spacing w:line="360" w:lineRule="auto"/>
        <w:ind w:firstLine="285" w:firstLineChars="150"/>
        <w:rPr>
          <w:rFonts w:hAnsi="宋体" w:cs="宋体"/>
          <w:color w:val="auto"/>
        </w:rPr>
      </w:pPr>
      <w:r>
        <w:rPr>
          <w:rFonts w:hint="eastAsia" w:hAnsi="宋体" w:cs="宋体"/>
          <w:color w:val="auto"/>
        </w:rPr>
        <w:t xml:space="preserve"> 1.1 委托工作的具体范围和内容：</w:t>
      </w:r>
      <w:r>
        <w:rPr>
          <w:rFonts w:hint="eastAsia" w:hAnsi="宋体" w:cs="宋体"/>
          <w:color w:val="auto"/>
          <w:u w:val="single"/>
        </w:rPr>
        <w:t xml:space="preserve">                          </w:t>
      </w:r>
      <w:r>
        <w:rPr>
          <w:rFonts w:hint="eastAsia" w:hAnsi="宋体" w:cs="宋体"/>
          <w:color w:val="auto"/>
        </w:rPr>
        <w:t>;</w:t>
      </w:r>
    </w:p>
    <w:p w14:paraId="5D05403A">
      <w:pPr>
        <w:pStyle w:val="10"/>
        <w:spacing w:line="360" w:lineRule="auto"/>
        <w:ind w:firstLine="380" w:firstLineChars="200"/>
        <w:rPr>
          <w:rFonts w:hAnsi="宋体" w:cs="宋体"/>
          <w:color w:val="auto"/>
        </w:rPr>
      </w:pPr>
      <w:r>
        <w:rPr>
          <w:rFonts w:hint="eastAsia" w:hAnsi="宋体" w:cs="宋体"/>
          <w:color w:val="auto"/>
        </w:rPr>
        <w:t>1.2 甲方应按约定的时间和要求完成下列工作：</w:t>
      </w:r>
    </w:p>
    <w:p w14:paraId="675E7FC7">
      <w:pPr>
        <w:pStyle w:val="10"/>
        <w:spacing w:line="360" w:lineRule="auto"/>
        <w:ind w:firstLine="380" w:firstLineChars="200"/>
        <w:rPr>
          <w:rFonts w:hAnsi="宋体" w:cs="宋体"/>
          <w:color w:val="auto"/>
          <w:u w:val="single"/>
        </w:rPr>
      </w:pPr>
      <w:r>
        <w:rPr>
          <w:rFonts w:hint="eastAsia" w:hAnsi="宋体" w:cs="宋体"/>
          <w:color w:val="auto"/>
        </w:rPr>
        <w:t>（1）向乙方提供保证履行合同所需的全部资料的时间：</w:t>
      </w:r>
      <w:r>
        <w:rPr>
          <w:rFonts w:hint="eastAsia" w:hAnsi="宋体" w:cs="宋体"/>
          <w:color w:val="auto"/>
          <w:u w:val="single"/>
        </w:rPr>
        <w:t xml:space="preserve">合同签订后   个工作日内 </w:t>
      </w:r>
      <w:r>
        <w:rPr>
          <w:rFonts w:hint="eastAsia" w:hAnsi="宋体" w:cs="宋体"/>
          <w:color w:val="auto"/>
        </w:rPr>
        <w:t>。</w:t>
      </w:r>
    </w:p>
    <w:p w14:paraId="44E932EB">
      <w:pPr>
        <w:pStyle w:val="10"/>
        <w:spacing w:line="360" w:lineRule="auto"/>
        <w:ind w:firstLine="380" w:firstLineChars="200"/>
        <w:rPr>
          <w:rFonts w:hAnsi="宋体" w:cs="宋体"/>
          <w:color w:val="auto"/>
          <w:u w:val="single"/>
        </w:rPr>
      </w:pPr>
      <w:r>
        <w:rPr>
          <w:rFonts w:hint="eastAsia" w:hAnsi="宋体" w:cs="宋体"/>
          <w:color w:val="auto"/>
        </w:rPr>
        <w:t>（2）向乙方提供保证履行合同顺利完成的条件：</w:t>
      </w:r>
      <w:r>
        <w:rPr>
          <w:rFonts w:hint="eastAsia" w:hAnsi="宋体" w:cs="宋体"/>
          <w:color w:val="auto"/>
          <w:u w:val="single"/>
        </w:rPr>
        <w:t>对乙方工作给予支持，提供水、电、场地等必须的基础工作条件，如乙方有需要，还应提供履行合同所必需的有关数据、资料等。没有甲方事先同意，乙方不得将甲方资料提供给与履行本合同无关的任何其他人。即使向履行本合同有关的人员提供，也应注意保密并限于履行合同的必需范围内。</w:t>
      </w:r>
    </w:p>
    <w:p w14:paraId="0B18DA4D">
      <w:pPr>
        <w:pStyle w:val="10"/>
        <w:spacing w:line="360" w:lineRule="auto"/>
        <w:ind w:firstLine="380" w:firstLineChars="200"/>
        <w:rPr>
          <w:rFonts w:hAnsi="宋体" w:cs="宋体"/>
          <w:color w:val="auto"/>
          <w:vertAlign w:val="subscript"/>
        </w:rPr>
      </w:pPr>
      <w:r>
        <w:rPr>
          <w:rFonts w:hint="eastAsia" w:hAnsi="宋体" w:cs="宋体"/>
          <w:color w:val="auto"/>
        </w:rPr>
        <w:t>（3）需要与第三方协调的工作：</w:t>
      </w:r>
      <w:r>
        <w:rPr>
          <w:rFonts w:hint="eastAsia" w:hAnsi="宋体" w:cs="宋体"/>
          <w:color w:val="auto"/>
          <w:u w:val="single"/>
        </w:rPr>
        <w:t xml:space="preserve">无 </w:t>
      </w:r>
      <w:r>
        <w:rPr>
          <w:rFonts w:hint="eastAsia" w:hAnsi="宋体" w:cs="宋体"/>
          <w:color w:val="auto"/>
        </w:rPr>
        <w:t>。</w:t>
      </w:r>
    </w:p>
    <w:p w14:paraId="51E763CE">
      <w:pPr>
        <w:pStyle w:val="10"/>
        <w:spacing w:line="360" w:lineRule="auto"/>
        <w:ind w:firstLine="380" w:firstLineChars="200"/>
        <w:rPr>
          <w:rFonts w:hAnsi="宋体" w:cs="宋体"/>
          <w:color w:val="auto"/>
          <w:vertAlign w:val="subscript"/>
        </w:rPr>
      </w:pPr>
      <w:r>
        <w:rPr>
          <w:rFonts w:hint="eastAsia" w:hAnsi="宋体" w:cs="宋体"/>
          <w:color w:val="auto"/>
        </w:rPr>
        <w:t>1.3 甲方有义务保守履约合同过程中有关的商业秘密。</w:t>
      </w:r>
    </w:p>
    <w:p w14:paraId="14DC3366">
      <w:pPr>
        <w:pStyle w:val="10"/>
        <w:spacing w:line="360" w:lineRule="auto"/>
        <w:ind w:firstLine="381" w:firstLineChars="200"/>
        <w:rPr>
          <w:rFonts w:hAnsi="宋体" w:cs="宋体"/>
          <w:b/>
          <w:color w:val="auto"/>
        </w:rPr>
      </w:pPr>
      <w:r>
        <w:rPr>
          <w:rFonts w:hint="eastAsia" w:hAnsi="宋体" w:cs="宋体"/>
          <w:b/>
          <w:color w:val="auto"/>
        </w:rPr>
        <w:t>2.乙方的义务</w:t>
      </w:r>
    </w:p>
    <w:p w14:paraId="7219E834">
      <w:pPr>
        <w:pStyle w:val="10"/>
        <w:spacing w:line="360" w:lineRule="auto"/>
        <w:ind w:firstLine="380" w:firstLineChars="200"/>
        <w:rPr>
          <w:rFonts w:hAnsi="宋体" w:cs="宋体"/>
          <w:color w:val="auto"/>
        </w:rPr>
      </w:pPr>
      <w:r>
        <w:rPr>
          <w:rFonts w:hint="eastAsia" w:hAnsi="宋体" w:cs="宋体"/>
          <w:color w:val="auto"/>
        </w:rPr>
        <w:t>2.1 乙方应按约定的时间和要求完成下列工作：</w:t>
      </w:r>
    </w:p>
    <w:p w14:paraId="6A72E8EF">
      <w:pPr>
        <w:pStyle w:val="10"/>
        <w:spacing w:line="360" w:lineRule="auto"/>
        <w:ind w:firstLine="380" w:firstLineChars="200"/>
        <w:rPr>
          <w:rFonts w:hAnsi="宋体" w:cs="宋体"/>
          <w:color w:val="auto"/>
          <w:vertAlign w:val="subscript"/>
        </w:rPr>
      </w:pPr>
      <w:r>
        <w:rPr>
          <w:rFonts w:hint="eastAsia" w:hAnsi="宋体" w:cs="宋体"/>
          <w:color w:val="auto"/>
        </w:rPr>
        <w:t>（1）保证履行合同的内容和时间：</w:t>
      </w:r>
      <w:r>
        <w:rPr>
          <w:rFonts w:hint="eastAsia" w:hAnsi="宋体" w:cs="宋体"/>
          <w:color w:val="auto"/>
          <w:u w:val="single"/>
        </w:rPr>
        <w:t xml:space="preserve">                          </w:t>
      </w:r>
      <w:r>
        <w:rPr>
          <w:rFonts w:hint="eastAsia" w:hAnsi="宋体" w:cs="宋体"/>
          <w:color w:val="auto"/>
        </w:rPr>
        <w:t>。</w:t>
      </w:r>
    </w:p>
    <w:p w14:paraId="74FDC8DE">
      <w:pPr>
        <w:pStyle w:val="10"/>
        <w:spacing w:line="360" w:lineRule="auto"/>
        <w:ind w:firstLine="380" w:firstLineChars="200"/>
        <w:rPr>
          <w:rFonts w:hAnsi="宋体" w:cs="宋体"/>
          <w:color w:val="auto"/>
        </w:rPr>
      </w:pPr>
      <w:r>
        <w:rPr>
          <w:rFonts w:hint="eastAsia" w:hAnsi="宋体" w:cs="宋体"/>
          <w:color w:val="auto"/>
        </w:rPr>
        <w:t>（2）为甲方提供的为保证履行合同的相关咨询服务：</w:t>
      </w:r>
      <w:r>
        <w:rPr>
          <w:rFonts w:hint="eastAsia" w:hAnsi="宋体" w:cs="宋体"/>
          <w:color w:val="auto"/>
          <w:u w:val="single"/>
        </w:rPr>
        <w:t xml:space="preserve">                </w:t>
      </w:r>
      <w:r>
        <w:rPr>
          <w:rFonts w:hint="eastAsia" w:hAnsi="宋体" w:cs="宋体"/>
          <w:color w:val="auto"/>
        </w:rPr>
        <w:t>。</w:t>
      </w:r>
    </w:p>
    <w:p w14:paraId="7C73E754">
      <w:pPr>
        <w:pStyle w:val="10"/>
        <w:spacing w:line="360" w:lineRule="auto"/>
        <w:ind w:firstLine="380" w:firstLineChars="200"/>
        <w:rPr>
          <w:rFonts w:hAnsi="宋体" w:cs="宋体"/>
          <w:color w:val="auto"/>
        </w:rPr>
      </w:pPr>
      <w:r>
        <w:rPr>
          <w:rFonts w:hint="eastAsia" w:hAnsi="宋体" w:cs="宋体"/>
          <w:color w:val="auto"/>
        </w:rPr>
        <w:t>（3）应尽的其他义务：</w:t>
      </w:r>
      <w:r>
        <w:rPr>
          <w:rFonts w:hint="eastAsia" w:hAnsi="宋体" w:cs="宋体"/>
          <w:color w:val="auto"/>
          <w:u w:val="single"/>
        </w:rPr>
        <w:t xml:space="preserve">                     </w:t>
      </w:r>
      <w:r>
        <w:rPr>
          <w:rFonts w:hint="eastAsia" w:hAnsi="宋体" w:cs="宋体"/>
          <w:color w:val="auto"/>
        </w:rPr>
        <w:t>。</w:t>
      </w:r>
    </w:p>
    <w:p w14:paraId="3902935D">
      <w:pPr>
        <w:pStyle w:val="10"/>
        <w:spacing w:line="360" w:lineRule="auto"/>
        <w:ind w:firstLine="380" w:firstLineChars="200"/>
        <w:rPr>
          <w:rFonts w:hAnsi="宋体" w:cs="宋体"/>
          <w:color w:val="auto"/>
          <w:vertAlign w:val="subscript"/>
        </w:rPr>
      </w:pPr>
      <w:r>
        <w:rPr>
          <w:rFonts w:hint="eastAsia" w:hAnsi="宋体" w:cs="宋体"/>
          <w:color w:val="auto"/>
        </w:rPr>
        <w:t>2.2乙方有义务保守履约合同过程中有关的商业秘密。</w:t>
      </w:r>
    </w:p>
    <w:p w14:paraId="02A6081D">
      <w:pPr>
        <w:pStyle w:val="10"/>
        <w:spacing w:line="360" w:lineRule="auto"/>
        <w:ind w:firstLine="381" w:firstLineChars="200"/>
        <w:rPr>
          <w:rFonts w:hAnsi="宋体" w:cs="宋体"/>
          <w:b/>
          <w:color w:val="auto"/>
        </w:rPr>
      </w:pPr>
      <w:r>
        <w:rPr>
          <w:rFonts w:hint="eastAsia" w:hAnsi="宋体" w:cs="宋体"/>
          <w:b/>
          <w:color w:val="auto"/>
        </w:rPr>
        <w:t>3. 甲方的权利</w:t>
      </w:r>
    </w:p>
    <w:p w14:paraId="6EBCEE7C">
      <w:pPr>
        <w:pStyle w:val="10"/>
        <w:spacing w:line="360" w:lineRule="auto"/>
        <w:ind w:firstLine="380" w:firstLineChars="200"/>
        <w:rPr>
          <w:rFonts w:hAnsi="宋体" w:cs="宋体"/>
          <w:color w:val="auto"/>
        </w:rPr>
      </w:pPr>
      <w:r>
        <w:rPr>
          <w:rFonts w:hint="eastAsia" w:hAnsi="宋体" w:cs="宋体"/>
          <w:color w:val="auto"/>
        </w:rPr>
        <w:t>3.1 按合同约定，接收项目成果；</w:t>
      </w:r>
    </w:p>
    <w:p w14:paraId="6D0922CD">
      <w:pPr>
        <w:pStyle w:val="10"/>
        <w:spacing w:line="360" w:lineRule="auto"/>
        <w:ind w:firstLine="380" w:firstLineChars="200"/>
        <w:rPr>
          <w:rFonts w:hAnsi="宋体" w:cs="宋体"/>
          <w:color w:val="auto"/>
        </w:rPr>
      </w:pPr>
      <w:r>
        <w:rPr>
          <w:rFonts w:hint="eastAsia" w:hAnsi="宋体" w:cs="宋体"/>
          <w:color w:val="auto"/>
        </w:rPr>
        <w:t>3.2 向乙方询问履行合同工作进展情况和相关内容或提出不违反法律、行政法规的建议；</w:t>
      </w:r>
    </w:p>
    <w:p w14:paraId="4B490C5E">
      <w:pPr>
        <w:pStyle w:val="10"/>
        <w:spacing w:line="360" w:lineRule="auto"/>
        <w:ind w:firstLine="380" w:firstLineChars="200"/>
        <w:rPr>
          <w:rFonts w:hAnsi="宋体" w:cs="宋体"/>
          <w:color w:val="auto"/>
        </w:rPr>
      </w:pPr>
      <w:r>
        <w:rPr>
          <w:rFonts w:hint="eastAsia" w:hAnsi="宋体" w:cs="宋体"/>
          <w:color w:val="auto"/>
        </w:rPr>
        <w:t>3.3与乙方协商，建议更换其不称职的工作人员；</w:t>
      </w:r>
    </w:p>
    <w:p w14:paraId="14EA45AC">
      <w:pPr>
        <w:pStyle w:val="10"/>
        <w:spacing w:line="360" w:lineRule="auto"/>
        <w:ind w:firstLine="380" w:firstLineChars="200"/>
        <w:rPr>
          <w:rFonts w:hAnsi="宋体" w:cs="宋体"/>
          <w:color w:val="auto"/>
        </w:rPr>
      </w:pPr>
      <w:r>
        <w:rPr>
          <w:rFonts w:hint="eastAsia" w:hAnsi="宋体" w:cs="宋体"/>
          <w:color w:val="auto"/>
        </w:rPr>
        <w:t>3.4本合同履行期间，由于乙方不履行合同约定的内容，给甲方造成损失或影响工作正常进行的，甲方有权终止本合同，并依法向乙方追索经济赔偿，直至追究法律责任；</w:t>
      </w:r>
    </w:p>
    <w:p w14:paraId="3ABC5586">
      <w:pPr>
        <w:pStyle w:val="10"/>
        <w:spacing w:line="360" w:lineRule="auto"/>
        <w:ind w:firstLine="380" w:firstLineChars="200"/>
        <w:rPr>
          <w:rFonts w:hAnsi="宋体" w:cs="宋体"/>
          <w:color w:val="auto"/>
        </w:rPr>
      </w:pPr>
      <w:r>
        <w:rPr>
          <w:rFonts w:hint="eastAsia" w:hAnsi="宋体" w:cs="宋体"/>
          <w:color w:val="auto"/>
        </w:rPr>
        <w:t>3.5 甲方有权利对乙方在合同履行期间的行为进行监督。</w:t>
      </w:r>
    </w:p>
    <w:p w14:paraId="354BBA2D">
      <w:pPr>
        <w:pStyle w:val="10"/>
        <w:spacing w:line="360" w:lineRule="auto"/>
        <w:ind w:firstLine="381" w:firstLineChars="200"/>
        <w:rPr>
          <w:rFonts w:hAnsi="宋体" w:cs="宋体"/>
          <w:b/>
          <w:color w:val="auto"/>
        </w:rPr>
      </w:pPr>
      <w:r>
        <w:rPr>
          <w:rFonts w:hint="eastAsia" w:hAnsi="宋体" w:cs="宋体"/>
          <w:b/>
          <w:color w:val="auto"/>
        </w:rPr>
        <w:t>4. 乙方的权利</w:t>
      </w:r>
    </w:p>
    <w:p w14:paraId="6BF1B4A4">
      <w:pPr>
        <w:pStyle w:val="10"/>
        <w:spacing w:line="360" w:lineRule="auto"/>
        <w:ind w:firstLine="380" w:firstLineChars="200"/>
        <w:rPr>
          <w:rFonts w:hAnsi="宋体" w:cs="宋体"/>
          <w:color w:val="auto"/>
        </w:rPr>
      </w:pPr>
      <w:r>
        <w:rPr>
          <w:rFonts w:hint="eastAsia" w:hAnsi="宋体" w:cs="宋体"/>
          <w:color w:val="auto"/>
        </w:rPr>
        <w:t>4.1按合同约定收取报酬；</w:t>
      </w:r>
    </w:p>
    <w:p w14:paraId="5B57E924">
      <w:pPr>
        <w:pStyle w:val="10"/>
        <w:spacing w:line="360" w:lineRule="auto"/>
        <w:ind w:firstLine="380" w:firstLineChars="200"/>
        <w:rPr>
          <w:rFonts w:hAnsi="宋体" w:cs="宋体"/>
          <w:color w:val="auto"/>
        </w:rPr>
      </w:pPr>
      <w:r>
        <w:rPr>
          <w:rFonts w:hint="eastAsia" w:hAnsi="宋体" w:cs="宋体"/>
          <w:color w:val="auto"/>
        </w:rPr>
        <w:t>4.2对履行合同中应由甲方做出的决定，乙方有权提出建议；</w:t>
      </w:r>
    </w:p>
    <w:p w14:paraId="315AABAE">
      <w:pPr>
        <w:pStyle w:val="10"/>
        <w:spacing w:line="360" w:lineRule="auto"/>
        <w:ind w:firstLine="380" w:firstLineChars="200"/>
        <w:rPr>
          <w:rFonts w:hAnsi="宋体" w:cs="宋体"/>
          <w:color w:val="auto"/>
        </w:rPr>
      </w:pPr>
      <w:r>
        <w:rPr>
          <w:rFonts w:hint="eastAsia" w:hAnsi="宋体" w:cs="宋体"/>
          <w:color w:val="auto"/>
        </w:rPr>
        <w:t>4.3当甲方提供的资料不足或不明确时，有权要求甲方补足资料或作出明确的答复；</w:t>
      </w:r>
    </w:p>
    <w:p w14:paraId="24F99398">
      <w:pPr>
        <w:pStyle w:val="10"/>
        <w:spacing w:line="360" w:lineRule="auto"/>
        <w:ind w:firstLine="380" w:firstLineChars="200"/>
        <w:rPr>
          <w:rFonts w:hAnsi="宋体" w:cs="宋体"/>
          <w:color w:val="auto"/>
        </w:rPr>
      </w:pPr>
      <w:r>
        <w:rPr>
          <w:rFonts w:hint="eastAsia" w:hAnsi="宋体" w:cs="宋体"/>
          <w:color w:val="auto"/>
        </w:rPr>
        <w:t>4.4拒绝甲方提出的违反法律、行政法规的要求，并向甲方作出解释。</w:t>
      </w:r>
    </w:p>
    <w:p w14:paraId="05F230D6">
      <w:pPr>
        <w:pStyle w:val="10"/>
        <w:spacing w:line="360" w:lineRule="auto"/>
        <w:ind w:firstLine="381" w:firstLineChars="200"/>
        <w:rPr>
          <w:rFonts w:hAnsi="宋体" w:cs="宋体"/>
          <w:b/>
          <w:color w:val="auto"/>
        </w:rPr>
      </w:pPr>
      <w:r>
        <w:rPr>
          <w:rFonts w:hint="eastAsia" w:hAnsi="宋体" w:cs="宋体"/>
          <w:b/>
          <w:color w:val="auto"/>
        </w:rPr>
        <w:t>第五条  质量保证</w:t>
      </w:r>
    </w:p>
    <w:p w14:paraId="53DE199B">
      <w:pPr>
        <w:pStyle w:val="10"/>
        <w:spacing w:line="360" w:lineRule="auto"/>
        <w:ind w:firstLine="380" w:firstLineChars="200"/>
        <w:rPr>
          <w:rFonts w:hAnsi="宋体" w:cs="宋体"/>
          <w:color w:val="auto"/>
        </w:rPr>
      </w:pPr>
      <w:r>
        <w:rPr>
          <w:rFonts w:hint="eastAsia" w:hAnsi="宋体" w:cs="宋体"/>
          <w:color w:val="auto"/>
        </w:rPr>
        <w:t>乙方保证服务不存在危及人身及财产安全的隐患，不存在违反国家法规、法令、法律以及行业规范所要求的有关安全条款，否则应承担全部法律责任。保证所提供的服务或其任何一部分均不会侵犯任何第三方的专利权、商标权或著作权。一旦出现侵权，索赔或诉讼，乙方应承担全部责任。</w:t>
      </w:r>
    </w:p>
    <w:p w14:paraId="32DF35AD">
      <w:pPr>
        <w:spacing w:line="360" w:lineRule="auto"/>
        <w:ind w:left="482"/>
        <w:rPr>
          <w:b/>
          <w:color w:val="auto"/>
        </w:rPr>
      </w:pPr>
      <w:r>
        <w:rPr>
          <w:rFonts w:hint="eastAsia"/>
          <w:b/>
          <w:color w:val="auto"/>
        </w:rPr>
        <w:t>第六条  付款方式</w:t>
      </w:r>
    </w:p>
    <w:p w14:paraId="66ABC379">
      <w:pPr>
        <w:spacing w:line="360" w:lineRule="auto"/>
        <w:ind w:firstLine="420" w:firstLineChars="200"/>
        <w:rPr>
          <w:color w:val="auto"/>
        </w:rPr>
      </w:pPr>
      <w:r>
        <w:rPr>
          <w:rFonts w:hint="eastAsia"/>
          <w:color w:val="auto"/>
        </w:rPr>
        <w:t>1.本合同项下所有款项均以人民币支付。</w:t>
      </w:r>
    </w:p>
    <w:p w14:paraId="41E2E6D9">
      <w:pPr>
        <w:spacing w:line="360" w:lineRule="auto"/>
        <w:ind w:firstLine="420" w:firstLineChars="200"/>
        <w:rPr>
          <w:color w:val="auto"/>
        </w:rPr>
      </w:pPr>
      <w:r>
        <w:rPr>
          <w:rFonts w:hint="eastAsia"/>
          <w:color w:val="auto"/>
        </w:rPr>
        <w:t>2.乙方向甲方提交下列文件材料，经甲方审核无误后支付采购价款：</w:t>
      </w:r>
    </w:p>
    <w:p w14:paraId="18520186">
      <w:pPr>
        <w:spacing w:line="360" w:lineRule="auto"/>
        <w:ind w:firstLine="420" w:firstLineChars="200"/>
        <w:rPr>
          <w:color w:val="auto"/>
        </w:rPr>
      </w:pPr>
      <w:r>
        <w:rPr>
          <w:rFonts w:hint="eastAsia"/>
          <w:color w:val="auto"/>
        </w:rPr>
        <w:t>（1）经甲方确认的发票；</w:t>
      </w:r>
    </w:p>
    <w:p w14:paraId="33BBEFE5">
      <w:pPr>
        <w:spacing w:line="360" w:lineRule="auto"/>
        <w:ind w:firstLine="420" w:firstLineChars="200"/>
        <w:rPr>
          <w:color w:val="auto"/>
        </w:rPr>
      </w:pPr>
      <w:r>
        <w:rPr>
          <w:rFonts w:hint="eastAsia"/>
          <w:color w:val="auto"/>
        </w:rPr>
        <w:t>（2）经甲乙双方确认签署的《验收报告》（或按项目进度阶段性《验收报告》）；</w:t>
      </w:r>
    </w:p>
    <w:p w14:paraId="7498ED75">
      <w:pPr>
        <w:spacing w:line="360" w:lineRule="auto"/>
        <w:ind w:firstLine="420" w:firstLineChars="200"/>
        <w:rPr>
          <w:color w:val="auto"/>
        </w:rPr>
      </w:pPr>
      <w:r>
        <w:rPr>
          <w:rFonts w:hint="eastAsia"/>
          <w:color w:val="auto"/>
        </w:rPr>
        <w:t>（3）其他材料。</w:t>
      </w:r>
    </w:p>
    <w:p w14:paraId="09537256">
      <w:pPr>
        <w:spacing w:line="360" w:lineRule="auto"/>
        <w:ind w:firstLine="420" w:firstLineChars="200"/>
        <w:rPr>
          <w:color w:val="auto"/>
        </w:rPr>
      </w:pPr>
      <w:r>
        <w:rPr>
          <w:rFonts w:hint="eastAsia"/>
          <w:color w:val="auto"/>
        </w:rPr>
        <w:t>3.款项的支付进度以竞争性磋商文件的有关规定为准。如竞争性磋商文件未作特别规定，则付款进度按如下约定履行：</w:t>
      </w:r>
    </w:p>
    <w:p w14:paraId="78EDA8D7">
      <w:pPr>
        <w:spacing w:line="360" w:lineRule="auto"/>
        <w:ind w:firstLine="420" w:firstLineChars="200"/>
        <w:rPr>
          <w:color w:val="auto"/>
        </w:rPr>
      </w:pPr>
      <w:r>
        <w:rPr>
          <w:rFonts w:hint="eastAsia"/>
          <w:color w:val="auto"/>
        </w:rPr>
        <w:t>第一次验收合格后支付至合同总价款的</w:t>
      </w:r>
      <w:r>
        <w:rPr>
          <w:rFonts w:hint="eastAsia"/>
          <w:color w:val="auto"/>
          <w:u w:val="single"/>
        </w:rPr>
        <w:t xml:space="preserve">     </w:t>
      </w:r>
      <w:r>
        <w:rPr>
          <w:rFonts w:hint="eastAsia"/>
          <w:color w:val="auto"/>
        </w:rPr>
        <w:t>％，第二次验收合格后支付至合同总价款的</w:t>
      </w:r>
      <w:r>
        <w:rPr>
          <w:rFonts w:hint="eastAsia"/>
          <w:color w:val="auto"/>
          <w:u w:val="single"/>
        </w:rPr>
        <w:t xml:space="preserve">     </w:t>
      </w:r>
      <w:r>
        <w:rPr>
          <w:rFonts w:hint="eastAsia"/>
          <w:color w:val="auto"/>
        </w:rPr>
        <w:t>％，第</w:t>
      </w:r>
      <w:r>
        <w:rPr>
          <w:rFonts w:hint="eastAsia"/>
          <w:color w:val="auto"/>
          <w:u w:val="single"/>
        </w:rPr>
        <w:t xml:space="preserve">    </w:t>
      </w:r>
      <w:r>
        <w:rPr>
          <w:rFonts w:hint="eastAsia"/>
          <w:color w:val="auto"/>
        </w:rPr>
        <w:t>次验收合格后支付至合同总价款的</w:t>
      </w:r>
      <w:r>
        <w:rPr>
          <w:rFonts w:hint="eastAsia"/>
          <w:color w:val="auto"/>
          <w:u w:val="single"/>
        </w:rPr>
        <w:t xml:space="preserve">     </w:t>
      </w:r>
      <w:r>
        <w:rPr>
          <w:rFonts w:hint="eastAsia"/>
          <w:color w:val="auto"/>
        </w:rPr>
        <w:t>％，余款</w:t>
      </w:r>
      <w:r>
        <w:rPr>
          <w:rFonts w:hint="eastAsia"/>
          <w:color w:val="auto"/>
          <w:u w:val="single"/>
        </w:rPr>
        <w:t xml:space="preserve">     </w:t>
      </w:r>
      <w:r>
        <w:rPr>
          <w:rFonts w:hint="eastAsia"/>
          <w:color w:val="auto"/>
        </w:rPr>
        <w:t>％作为质量保证金于服务运行期满</w:t>
      </w:r>
      <w:r>
        <w:rPr>
          <w:rFonts w:hint="eastAsia"/>
          <w:color w:val="auto"/>
          <w:u w:val="single"/>
        </w:rPr>
        <w:t xml:space="preserve">     </w:t>
      </w:r>
      <w:r>
        <w:rPr>
          <w:rFonts w:hint="eastAsia"/>
          <w:color w:val="auto"/>
        </w:rPr>
        <w:t>月后，并经甲乙双方复验合格后的</w:t>
      </w:r>
      <w:r>
        <w:rPr>
          <w:rFonts w:hint="eastAsia"/>
          <w:color w:val="auto"/>
          <w:u w:val="single"/>
        </w:rPr>
        <w:t xml:space="preserve"> 90 </w:t>
      </w:r>
      <w:r>
        <w:rPr>
          <w:rFonts w:hint="eastAsia"/>
          <w:color w:val="auto"/>
        </w:rPr>
        <w:t>个工作日内付清。</w:t>
      </w:r>
    </w:p>
    <w:p w14:paraId="23DE3562">
      <w:pPr>
        <w:numPr>
          <w:ilvl w:val="0"/>
          <w:numId w:val="18"/>
        </w:numPr>
        <w:spacing w:line="360" w:lineRule="auto"/>
        <w:ind w:firstLine="420" w:firstLineChars="200"/>
        <w:rPr>
          <w:color w:val="auto"/>
        </w:rPr>
      </w:pPr>
      <w:r>
        <w:rPr>
          <w:rFonts w:hint="eastAsia"/>
          <w:color w:val="auto"/>
        </w:rPr>
        <w:t>根据财政部、工信部关于印发《政府采购促进中小企业发展暂行办法》的通知（财库〔2011〕181号），××银行（或××非银行金融机构）同意向乙方提供关于本项目的贷款（附《借款合同》），经甲方审核无误后，甲方同意按照本合同的约定和乙方履约进度将采购资金支付至××银行（或××非银行金融机构）与乙方共同确认的收款账户：</w:t>
      </w:r>
    </w:p>
    <w:p w14:paraId="4C24B58E">
      <w:pPr>
        <w:spacing w:line="360" w:lineRule="auto"/>
        <w:ind w:firstLine="420" w:firstLineChars="200"/>
        <w:rPr>
          <w:color w:val="auto"/>
        </w:rPr>
      </w:pPr>
      <w:r>
        <w:rPr>
          <w:rFonts w:hint="eastAsia"/>
          <w:color w:val="auto"/>
        </w:rPr>
        <w:t>户名：</w:t>
      </w:r>
    </w:p>
    <w:p w14:paraId="3051997E">
      <w:pPr>
        <w:spacing w:line="360" w:lineRule="auto"/>
        <w:ind w:firstLine="420" w:firstLineChars="200"/>
        <w:rPr>
          <w:color w:val="auto"/>
        </w:rPr>
      </w:pPr>
      <w:r>
        <w:rPr>
          <w:rFonts w:hint="eastAsia"/>
          <w:color w:val="auto"/>
        </w:rPr>
        <w:t>开户行：</w:t>
      </w:r>
    </w:p>
    <w:p w14:paraId="50F4DA8C">
      <w:pPr>
        <w:spacing w:line="360" w:lineRule="auto"/>
        <w:ind w:firstLine="420" w:firstLineChars="200"/>
        <w:rPr>
          <w:color w:val="auto"/>
        </w:rPr>
      </w:pPr>
      <w:r>
        <w:rPr>
          <w:rFonts w:hint="eastAsia"/>
          <w:color w:val="auto"/>
        </w:rPr>
        <w:t>账号：</w:t>
      </w:r>
    </w:p>
    <w:p w14:paraId="01F925E6">
      <w:pPr>
        <w:spacing w:line="360" w:lineRule="auto"/>
        <w:ind w:left="482"/>
        <w:rPr>
          <w:b/>
          <w:color w:val="auto"/>
        </w:rPr>
      </w:pPr>
      <w:r>
        <w:rPr>
          <w:rFonts w:hint="eastAsia"/>
          <w:b/>
          <w:color w:val="auto"/>
        </w:rPr>
        <w:t>第七条  履约保证金</w:t>
      </w:r>
    </w:p>
    <w:p w14:paraId="709E3D5D">
      <w:pPr>
        <w:spacing w:line="360" w:lineRule="auto"/>
        <w:ind w:firstLine="420" w:firstLineChars="200"/>
        <w:rPr>
          <w:color w:val="auto"/>
        </w:rPr>
      </w:pPr>
      <w:r>
        <w:rPr>
          <w:rFonts w:hint="eastAsia"/>
          <w:color w:val="auto"/>
        </w:rPr>
        <w:t>1.乙方在签订本合同之日，向甲方提交合同履约保证金</w:t>
      </w:r>
      <w:r>
        <w:rPr>
          <w:rFonts w:hint="eastAsia"/>
          <w:color w:val="auto"/>
          <w:u w:val="single"/>
        </w:rPr>
        <w:t xml:space="preserve">                </w:t>
      </w:r>
      <w:r>
        <w:rPr>
          <w:rFonts w:hint="eastAsia"/>
          <w:color w:val="auto"/>
        </w:rPr>
        <w:t>元（履约保证金的数额不得超过政府采购合同金额的10%）。</w:t>
      </w:r>
    </w:p>
    <w:p w14:paraId="67B27FA3">
      <w:pPr>
        <w:spacing w:line="360" w:lineRule="auto"/>
        <w:ind w:firstLine="420" w:firstLineChars="200"/>
        <w:rPr>
          <w:strike/>
          <w:color w:val="auto"/>
        </w:rPr>
      </w:pPr>
      <w:r>
        <w:rPr>
          <w:rFonts w:hint="eastAsia"/>
          <w:color w:val="auto"/>
        </w:rPr>
        <w:t>2.履约保证金有效期为甲乙双方最终验收后1个月内。到期后，甲方向乙方无息退还。</w:t>
      </w:r>
    </w:p>
    <w:p w14:paraId="72F6F226">
      <w:pPr>
        <w:spacing w:line="360" w:lineRule="auto"/>
        <w:ind w:firstLine="420" w:firstLineChars="200"/>
        <w:rPr>
          <w:color w:val="auto"/>
        </w:rPr>
      </w:pPr>
      <w:r>
        <w:rPr>
          <w:rFonts w:hint="eastAsia"/>
          <w:color w:val="auto"/>
        </w:rPr>
        <w:t xml:space="preserve">3.如乙方未能履行、或未能完全履行合同规定的义务，甲方有权从履约保证金中取得补偿。履约保证金扣除甲方应得的补偿后的余额在合同期满后 </w:t>
      </w:r>
      <w:r>
        <w:rPr>
          <w:rFonts w:hint="eastAsia"/>
          <w:color w:val="auto"/>
          <w:u w:val="single"/>
        </w:rPr>
        <w:t xml:space="preserve">     </w:t>
      </w:r>
      <w:r>
        <w:rPr>
          <w:rFonts w:hint="eastAsia"/>
          <w:color w:val="auto"/>
        </w:rPr>
        <w:t>天内无息退还乙方。</w:t>
      </w:r>
    </w:p>
    <w:p w14:paraId="53109075">
      <w:pPr>
        <w:spacing w:line="360" w:lineRule="auto"/>
        <w:ind w:left="482"/>
        <w:rPr>
          <w:b/>
          <w:color w:val="auto"/>
        </w:rPr>
      </w:pPr>
      <w:r>
        <w:rPr>
          <w:rFonts w:hint="eastAsia"/>
          <w:b/>
          <w:color w:val="auto"/>
        </w:rPr>
        <w:t>第八条  验收</w:t>
      </w:r>
    </w:p>
    <w:p w14:paraId="643CC00A">
      <w:pPr>
        <w:spacing w:line="360" w:lineRule="auto"/>
        <w:ind w:firstLine="420" w:firstLineChars="200"/>
        <w:rPr>
          <w:color w:val="auto"/>
        </w:rPr>
      </w:pPr>
      <w:r>
        <w:rPr>
          <w:rFonts w:hint="eastAsia"/>
          <w:color w:val="auto"/>
        </w:rPr>
        <w:t xml:space="preserve">1.服务期限： </w:t>
      </w:r>
      <w:r>
        <w:rPr>
          <w:rFonts w:hint="eastAsia"/>
          <w:color w:val="auto"/>
          <w:u w:val="single"/>
        </w:rPr>
        <w:t xml:space="preserve">                   </w:t>
      </w:r>
      <w:r>
        <w:rPr>
          <w:rFonts w:hint="eastAsia"/>
          <w:color w:val="auto"/>
        </w:rPr>
        <w:t xml:space="preserve"> 至 </w:t>
      </w:r>
      <w:r>
        <w:rPr>
          <w:rFonts w:hint="eastAsia"/>
          <w:color w:val="auto"/>
          <w:u w:val="single"/>
        </w:rPr>
        <w:t xml:space="preserve">                 </w:t>
      </w:r>
      <w:r>
        <w:rPr>
          <w:rFonts w:hint="eastAsia"/>
          <w:color w:val="auto"/>
        </w:rPr>
        <w:t>。</w:t>
      </w:r>
    </w:p>
    <w:p w14:paraId="260C6C92">
      <w:pPr>
        <w:spacing w:line="360" w:lineRule="auto"/>
        <w:ind w:firstLine="630" w:firstLineChars="300"/>
        <w:rPr>
          <w:color w:val="auto"/>
        </w:rPr>
      </w:pPr>
      <w:r>
        <w:rPr>
          <w:rFonts w:hint="eastAsia"/>
          <w:color w:val="auto"/>
        </w:rPr>
        <w:t xml:space="preserve">服务地点： </w:t>
      </w:r>
      <w:r>
        <w:rPr>
          <w:rFonts w:hint="eastAsia"/>
          <w:color w:val="auto"/>
          <w:u w:val="single"/>
        </w:rPr>
        <w:t xml:space="preserve">                                        </w:t>
      </w:r>
      <w:r>
        <w:rPr>
          <w:rFonts w:hint="eastAsia"/>
          <w:color w:val="auto"/>
        </w:rPr>
        <w:t>。</w:t>
      </w:r>
    </w:p>
    <w:p w14:paraId="3998B08A">
      <w:pPr>
        <w:spacing w:line="360" w:lineRule="auto"/>
        <w:ind w:firstLine="630" w:firstLineChars="300"/>
        <w:rPr>
          <w:color w:val="auto"/>
          <w:u w:val="single"/>
        </w:rPr>
      </w:pPr>
      <w:r>
        <w:rPr>
          <w:rFonts w:hint="eastAsia"/>
          <w:color w:val="auto"/>
        </w:rPr>
        <w:t xml:space="preserve">验收时间： </w:t>
      </w:r>
      <w:r>
        <w:rPr>
          <w:rFonts w:hint="eastAsia"/>
          <w:color w:val="auto"/>
          <w:u w:val="single"/>
        </w:rPr>
        <w:t xml:space="preserve">                                        </w:t>
      </w:r>
      <w:r>
        <w:rPr>
          <w:rFonts w:hint="eastAsia"/>
          <w:color w:val="auto"/>
        </w:rPr>
        <w:t>。</w:t>
      </w:r>
    </w:p>
    <w:p w14:paraId="1447B25F">
      <w:pPr>
        <w:spacing w:line="360" w:lineRule="auto"/>
        <w:ind w:firstLine="630" w:firstLineChars="300"/>
        <w:rPr>
          <w:color w:val="auto"/>
        </w:rPr>
      </w:pPr>
      <w:r>
        <w:rPr>
          <w:rFonts w:hint="eastAsia"/>
          <w:color w:val="auto"/>
        </w:rPr>
        <w:t xml:space="preserve">验收地点： </w:t>
      </w:r>
      <w:r>
        <w:rPr>
          <w:rFonts w:hint="eastAsia"/>
          <w:color w:val="auto"/>
          <w:u w:val="single"/>
        </w:rPr>
        <w:t xml:space="preserve">                                        </w:t>
      </w:r>
      <w:r>
        <w:rPr>
          <w:rFonts w:hint="eastAsia"/>
          <w:color w:val="auto"/>
        </w:rPr>
        <w:t>。</w:t>
      </w:r>
    </w:p>
    <w:p w14:paraId="250EDDA2">
      <w:pPr>
        <w:pStyle w:val="10"/>
        <w:tabs>
          <w:tab w:val="left" w:pos="0"/>
        </w:tabs>
        <w:spacing w:line="360" w:lineRule="auto"/>
        <w:ind w:firstLine="380" w:firstLineChars="200"/>
        <w:rPr>
          <w:rFonts w:hAnsi="宋体" w:cs="宋体"/>
          <w:color w:val="auto"/>
        </w:rPr>
      </w:pPr>
      <w:r>
        <w:rPr>
          <w:rFonts w:hint="eastAsia" w:hAnsi="宋体" w:cs="宋体"/>
          <w:color w:val="auto"/>
        </w:rPr>
        <w:t>2. 乙方应对提供的服务成果作出全面自查和整理，并列出清单，作为甲方验收和使用的服务条件依据，清单应随提供的服务成果交给甲方。</w:t>
      </w:r>
    </w:p>
    <w:p w14:paraId="2A34C779">
      <w:pPr>
        <w:spacing w:line="360" w:lineRule="auto"/>
        <w:ind w:firstLine="420" w:firstLineChars="200"/>
        <w:rPr>
          <w:color w:val="auto"/>
        </w:rPr>
      </w:pPr>
      <w:r>
        <w:rPr>
          <w:rFonts w:hint="eastAsia"/>
          <w:color w:val="auto"/>
        </w:rPr>
        <w:t>3.验收时，甲乙双方必须同时在场，乙方所提供的服务不符合合同内容规定的，甲方有权拒绝验收。乙方应及时按本合同内容规定和甲方要求免费进行整改，直至验收合格，方视为乙方按本合同规定完成服务。验收合格的，由双方共同签署《验收报告》。在经过两次限期整改后，服务仍达不到合同文件规定内容的，甲方有权拒收，并可以解除合同；由此引起甲方损失及赔偿责任由乙方承担。</w:t>
      </w:r>
    </w:p>
    <w:p w14:paraId="550C8030">
      <w:pPr>
        <w:snapToGrid w:val="0"/>
        <w:spacing w:line="360" w:lineRule="auto"/>
        <w:ind w:firstLine="482"/>
        <w:textAlignment w:val="baseline"/>
        <w:rPr>
          <w:color w:val="auto"/>
        </w:rPr>
      </w:pPr>
      <w:r>
        <w:rPr>
          <w:rFonts w:hint="eastAsia"/>
          <w:color w:val="auto"/>
        </w:rPr>
        <w:t>4.甲方可以视项目规模或复杂情况聘请专业人员参与验收，大型或复杂项目，以及涉及专业服务内容的应当邀请国家认可的第三方质量检测机构参与验收。</w:t>
      </w:r>
    </w:p>
    <w:p w14:paraId="490572BB">
      <w:pPr>
        <w:snapToGrid w:val="0"/>
        <w:spacing w:line="360" w:lineRule="auto"/>
        <w:ind w:firstLine="482"/>
        <w:textAlignment w:val="baseline"/>
        <w:rPr>
          <w:color w:val="auto"/>
        </w:rPr>
      </w:pPr>
      <w:r>
        <w:rPr>
          <w:rFonts w:hint="eastAsia"/>
          <w:color w:val="auto"/>
        </w:rPr>
        <w:t>5.如根据项目实施情况需要分阶段验收，则双方分阶段签署《验收报告》。</w:t>
      </w:r>
    </w:p>
    <w:p w14:paraId="06EC8437">
      <w:pPr>
        <w:spacing w:line="360" w:lineRule="auto"/>
        <w:ind w:firstLine="420" w:firstLineChars="200"/>
        <w:rPr>
          <w:color w:val="auto"/>
        </w:rPr>
      </w:pPr>
      <w:r>
        <w:rPr>
          <w:rFonts w:hint="eastAsia"/>
          <w:color w:val="auto"/>
        </w:rPr>
        <w:t>6.如果合同双方对《验收报告》有分歧，双方须于出现分歧后</w:t>
      </w:r>
      <w:r>
        <w:rPr>
          <w:rFonts w:hint="eastAsia"/>
          <w:color w:val="auto"/>
          <w:u w:val="single"/>
        </w:rPr>
        <w:t xml:space="preserve">    </w:t>
      </w:r>
      <w:r>
        <w:rPr>
          <w:rFonts w:hint="eastAsia"/>
          <w:color w:val="auto"/>
        </w:rPr>
        <w:t>天内给对方书面声明，以陈述己方的理由及要求，并附有关证据。分歧应通过协商解决。</w:t>
      </w:r>
    </w:p>
    <w:p w14:paraId="2A7FADBE">
      <w:pPr>
        <w:spacing w:line="360" w:lineRule="auto"/>
        <w:ind w:left="482"/>
        <w:rPr>
          <w:b/>
          <w:color w:val="auto"/>
        </w:rPr>
      </w:pPr>
      <w:r>
        <w:rPr>
          <w:rFonts w:hint="eastAsia"/>
          <w:b/>
          <w:color w:val="auto"/>
        </w:rPr>
        <w:t>第九条  项目管理服务</w:t>
      </w:r>
    </w:p>
    <w:p w14:paraId="1FF5657E">
      <w:pPr>
        <w:spacing w:line="360" w:lineRule="auto"/>
        <w:ind w:firstLine="420" w:firstLineChars="200"/>
        <w:rPr>
          <w:color w:val="auto"/>
        </w:rPr>
      </w:pPr>
      <w:r>
        <w:rPr>
          <w:rFonts w:hint="eastAsia"/>
          <w:color w:val="auto"/>
        </w:rPr>
        <w:t>乙方要指定不少于一人全权全程负责本项目服务的落实，包括服务的咨询、执行和后续工作。</w:t>
      </w:r>
    </w:p>
    <w:p w14:paraId="6CDABC25">
      <w:pPr>
        <w:snapToGrid w:val="0"/>
        <w:spacing w:line="360" w:lineRule="auto"/>
        <w:ind w:firstLine="481"/>
        <w:textAlignment w:val="baseline"/>
        <w:rPr>
          <w:color w:val="auto"/>
        </w:rPr>
      </w:pPr>
      <w:r>
        <w:rPr>
          <w:rFonts w:hint="eastAsia"/>
          <w:color w:val="auto"/>
        </w:rPr>
        <w:t xml:space="preserve">项目负责人姓名： </w:t>
      </w:r>
      <w:r>
        <w:rPr>
          <w:rFonts w:hint="eastAsia"/>
          <w:color w:val="auto"/>
          <w:u w:val="single" w:color="000000"/>
        </w:rPr>
        <w:t xml:space="preserve">              </w:t>
      </w:r>
      <w:r>
        <w:rPr>
          <w:rFonts w:hint="eastAsia"/>
          <w:color w:val="auto"/>
        </w:rPr>
        <w:t>； 联系电话：</w:t>
      </w:r>
      <w:r>
        <w:rPr>
          <w:rFonts w:hint="eastAsia"/>
          <w:color w:val="auto"/>
          <w:u w:val="single" w:color="000000"/>
        </w:rPr>
        <w:t xml:space="preserve">                      </w:t>
      </w:r>
      <w:r>
        <w:rPr>
          <w:rFonts w:hint="eastAsia"/>
          <w:color w:val="auto"/>
        </w:rPr>
        <w:t>。</w:t>
      </w:r>
    </w:p>
    <w:p w14:paraId="531D526B">
      <w:pPr>
        <w:spacing w:line="360" w:lineRule="auto"/>
        <w:ind w:firstLine="413" w:firstLineChars="196"/>
        <w:rPr>
          <w:b/>
          <w:color w:val="auto"/>
        </w:rPr>
      </w:pPr>
      <w:r>
        <w:rPr>
          <w:rFonts w:hint="eastAsia"/>
          <w:b/>
          <w:color w:val="auto"/>
        </w:rPr>
        <w:t>第十条  售后服务</w:t>
      </w:r>
    </w:p>
    <w:p w14:paraId="5F722631">
      <w:pPr>
        <w:spacing w:line="360" w:lineRule="auto"/>
        <w:ind w:firstLine="420" w:firstLineChars="200"/>
        <w:rPr>
          <w:color w:val="auto"/>
        </w:rPr>
      </w:pPr>
      <w:r>
        <w:rPr>
          <w:rFonts w:hint="eastAsia"/>
          <w:color w:val="auto"/>
        </w:rPr>
        <w:t>1.乙方提供服务的质量保证期为自服务通过最终验收之日起</w:t>
      </w:r>
      <w:r>
        <w:rPr>
          <w:rFonts w:hint="eastAsia"/>
          <w:color w:val="auto"/>
          <w:u w:val="single"/>
        </w:rPr>
        <w:t xml:space="preserve">    </w:t>
      </w:r>
      <w:r>
        <w:rPr>
          <w:rFonts w:hint="eastAsia"/>
          <w:color w:val="auto"/>
        </w:rPr>
        <w:t>个月。若国家有明确规定的质量保证期高于此质量保证期的，执行国家规定。</w:t>
      </w:r>
    </w:p>
    <w:p w14:paraId="0AEE9709">
      <w:pPr>
        <w:spacing w:line="360" w:lineRule="auto"/>
        <w:ind w:firstLine="420" w:firstLineChars="200"/>
        <w:rPr>
          <w:color w:val="auto"/>
        </w:rPr>
      </w:pPr>
      <w:r>
        <w:rPr>
          <w:rFonts w:hint="eastAsia"/>
          <w:color w:val="auto"/>
        </w:rPr>
        <w:t>2.服务期内，乙方应提供相关服务支持。对甲方所反映的任何服务问题在</w:t>
      </w:r>
      <w:r>
        <w:rPr>
          <w:rFonts w:hint="eastAsia"/>
          <w:color w:val="auto"/>
          <w:u w:val="single"/>
        </w:rPr>
        <w:t>××</w:t>
      </w:r>
      <w:r>
        <w:rPr>
          <w:rFonts w:hint="eastAsia"/>
          <w:color w:val="auto"/>
        </w:rPr>
        <w:t>日（小时）之内做出及时响应，在</w:t>
      </w:r>
      <w:r>
        <w:rPr>
          <w:rFonts w:hint="eastAsia"/>
          <w:color w:val="auto"/>
          <w:u w:val="single"/>
        </w:rPr>
        <w:t xml:space="preserve">    </w:t>
      </w:r>
      <w:r>
        <w:rPr>
          <w:rFonts w:hint="eastAsia"/>
          <w:color w:val="auto"/>
        </w:rPr>
        <w:t>日（小时）之内赶到现场实地解决问题。若问题在</w:t>
      </w:r>
      <w:r>
        <w:rPr>
          <w:rFonts w:hint="eastAsia"/>
          <w:color w:val="auto"/>
          <w:u w:val="single"/>
        </w:rPr>
        <w:t xml:space="preserve">    </w:t>
      </w:r>
      <w:r>
        <w:rPr>
          <w:rFonts w:hint="eastAsia"/>
          <w:color w:val="auto"/>
        </w:rPr>
        <w:t>工作日（小时）后仍无法解决，乙方应在</w:t>
      </w:r>
      <w:r>
        <w:rPr>
          <w:rFonts w:hint="eastAsia"/>
          <w:color w:val="auto"/>
          <w:u w:val="single"/>
        </w:rPr>
        <w:t xml:space="preserve">     </w:t>
      </w:r>
      <w:r>
        <w:rPr>
          <w:rFonts w:hint="eastAsia"/>
          <w:color w:val="auto"/>
        </w:rPr>
        <w:t>日（小时）内免费提供服务的补偿、替换方案，直至服务恢复正常。</w:t>
      </w:r>
    </w:p>
    <w:p w14:paraId="46AC0F55">
      <w:pPr>
        <w:spacing w:line="360" w:lineRule="auto"/>
        <w:ind w:firstLine="420" w:firstLineChars="200"/>
        <w:rPr>
          <w:color w:val="auto"/>
        </w:rPr>
      </w:pPr>
      <w:r>
        <w:rPr>
          <w:rFonts w:hint="eastAsia"/>
          <w:color w:val="auto"/>
        </w:rPr>
        <w:t>3.乙方必须遵守甲方的有关管理制度、操作规程。对于乙方违规操作造成甲方损失的，由乙方按照本合同第十二条的约定承担赔偿责任。</w:t>
      </w:r>
    </w:p>
    <w:p w14:paraId="7BB637F0">
      <w:pPr>
        <w:spacing w:line="360" w:lineRule="auto"/>
        <w:ind w:left="482"/>
        <w:rPr>
          <w:b/>
          <w:color w:val="auto"/>
        </w:rPr>
      </w:pPr>
      <w:r>
        <w:rPr>
          <w:rFonts w:hint="eastAsia"/>
          <w:b/>
          <w:color w:val="auto"/>
        </w:rPr>
        <w:t>第十一条  分包和转包</w:t>
      </w:r>
    </w:p>
    <w:p w14:paraId="377E7D7E">
      <w:pPr>
        <w:spacing w:line="360" w:lineRule="auto"/>
        <w:ind w:firstLine="420" w:firstLineChars="200"/>
        <w:rPr>
          <w:strike/>
          <w:color w:val="auto"/>
        </w:rPr>
      </w:pPr>
      <w:r>
        <w:rPr>
          <w:rFonts w:hint="eastAsia"/>
          <w:color w:val="auto"/>
        </w:rPr>
        <w:t>除竞争性磋商文件事先说明、且经甲方事先书面同意外，乙方不得分包、转包其应履行的合同义务。</w:t>
      </w:r>
    </w:p>
    <w:p w14:paraId="5B5FF9A7">
      <w:pPr>
        <w:spacing w:line="360" w:lineRule="auto"/>
        <w:ind w:firstLine="422" w:firstLineChars="200"/>
        <w:rPr>
          <w:b/>
          <w:color w:val="auto"/>
        </w:rPr>
      </w:pPr>
      <w:r>
        <w:rPr>
          <w:rFonts w:hint="eastAsia"/>
          <w:b/>
          <w:color w:val="auto"/>
        </w:rPr>
        <w:t>第十二条  合同的生效</w:t>
      </w:r>
    </w:p>
    <w:p w14:paraId="0C8043EC">
      <w:pPr>
        <w:spacing w:line="360" w:lineRule="auto"/>
        <w:ind w:firstLine="420" w:firstLineChars="200"/>
        <w:rPr>
          <w:color w:val="auto"/>
        </w:rPr>
      </w:pPr>
      <w:r>
        <w:rPr>
          <w:rFonts w:hint="eastAsia"/>
          <w:color w:val="auto"/>
        </w:rPr>
        <w:t>1.本合同经甲乙双方或授权代表签字并加盖公章或合同专用章后生效。</w:t>
      </w:r>
    </w:p>
    <w:p w14:paraId="32678BBF">
      <w:pPr>
        <w:spacing w:line="360" w:lineRule="auto"/>
        <w:ind w:firstLine="420" w:firstLineChars="200"/>
        <w:rPr>
          <w:color w:val="auto"/>
        </w:rPr>
      </w:pPr>
      <w:r>
        <w:rPr>
          <w:rFonts w:hint="eastAsia"/>
          <w:color w:val="auto"/>
        </w:rPr>
        <w:t>2.生效后，除《中华人民共和国政府采购法》第49条、第50条第二款规定的情形外，甲乙双方不得擅自变更、中止或终止合同。</w:t>
      </w:r>
    </w:p>
    <w:p w14:paraId="4FC404AB">
      <w:pPr>
        <w:spacing w:line="360" w:lineRule="auto"/>
        <w:ind w:left="482"/>
        <w:rPr>
          <w:b/>
          <w:color w:val="auto"/>
        </w:rPr>
      </w:pPr>
      <w:r>
        <w:rPr>
          <w:rFonts w:hint="eastAsia"/>
          <w:b/>
          <w:color w:val="auto"/>
        </w:rPr>
        <w:t>第十三条  违约责任</w:t>
      </w:r>
    </w:p>
    <w:p w14:paraId="10C74DF1">
      <w:pPr>
        <w:spacing w:line="360" w:lineRule="auto"/>
        <w:ind w:firstLine="420" w:firstLineChars="200"/>
        <w:rPr>
          <w:color w:val="auto"/>
        </w:rPr>
      </w:pPr>
      <w:r>
        <w:rPr>
          <w:rFonts w:hint="eastAsia"/>
          <w:color w:val="auto"/>
        </w:rPr>
        <w:t>1.乙方所交付服务成果不符合本合同规定的，甲方有权拒收，乙方在得到甲方通知之日起</w:t>
      </w:r>
      <w:r>
        <w:rPr>
          <w:rFonts w:hint="eastAsia"/>
          <w:color w:val="auto"/>
          <w:u w:val="single"/>
        </w:rPr>
        <w:t xml:space="preserve">     </w:t>
      </w:r>
      <w:r>
        <w:rPr>
          <w:rFonts w:hint="eastAsia"/>
          <w:color w:val="auto"/>
        </w:rPr>
        <w:t>个工作日内采取补救措施，逾期仍未采取有效措施的，甲方有权要求乙方赔偿因此造成的损失或扣留履约保证金；同时乙方应向甲方支付合同总价</w:t>
      </w:r>
      <w:r>
        <w:rPr>
          <w:rFonts w:hint="eastAsia"/>
          <w:color w:val="auto"/>
          <w:u w:val="single"/>
        </w:rPr>
        <w:t xml:space="preserve">      </w:t>
      </w:r>
      <w:r>
        <w:rPr>
          <w:rFonts w:hint="eastAsia"/>
          <w:color w:val="auto"/>
        </w:rPr>
        <w:t>％的违约金。</w:t>
      </w:r>
    </w:p>
    <w:p w14:paraId="66EA99FE">
      <w:pPr>
        <w:spacing w:line="360" w:lineRule="auto"/>
        <w:ind w:firstLine="420" w:firstLineChars="200"/>
        <w:rPr>
          <w:color w:val="auto"/>
        </w:rPr>
      </w:pPr>
      <w:r>
        <w:rPr>
          <w:rFonts w:hint="eastAsia"/>
          <w:color w:val="auto"/>
        </w:rPr>
        <w:t xml:space="preserve">2.甲方无正当理由拒收服务，甲方应向乙方偿付拒付服务费用 </w:t>
      </w:r>
      <w:r>
        <w:rPr>
          <w:rFonts w:hint="eastAsia"/>
          <w:color w:val="auto"/>
          <w:u w:val="single"/>
        </w:rPr>
        <w:t xml:space="preserve">    </w:t>
      </w:r>
      <w:r>
        <w:rPr>
          <w:rFonts w:hint="eastAsia"/>
          <w:color w:val="auto"/>
        </w:rPr>
        <w:t>％的违约金。</w:t>
      </w:r>
    </w:p>
    <w:p w14:paraId="7F7E478D">
      <w:pPr>
        <w:spacing w:line="360" w:lineRule="auto"/>
        <w:ind w:firstLine="420" w:firstLineChars="200"/>
        <w:rPr>
          <w:color w:val="auto"/>
        </w:rPr>
      </w:pPr>
      <w:r>
        <w:rPr>
          <w:rFonts w:hint="eastAsia"/>
          <w:color w:val="auto"/>
        </w:rPr>
        <w:t>3.乙方无正当理由逾期交付服务的，每逾期1天，乙方向甲方偿付合同总额的</w:t>
      </w:r>
      <w:r>
        <w:rPr>
          <w:rFonts w:hint="eastAsia"/>
          <w:color w:val="auto"/>
          <w:u w:val="single"/>
        </w:rPr>
        <w:t xml:space="preserve">    </w:t>
      </w:r>
      <w:r>
        <w:rPr>
          <w:rFonts w:hint="eastAsia"/>
          <w:color w:val="auto"/>
        </w:rPr>
        <w:t>‰的违约金。如乙方逾期达</w:t>
      </w:r>
      <w:r>
        <w:rPr>
          <w:rFonts w:hint="eastAsia"/>
          <w:color w:val="auto"/>
          <w:u w:val="single"/>
        </w:rPr>
        <w:t xml:space="preserve">    </w:t>
      </w:r>
      <w:r>
        <w:rPr>
          <w:rFonts w:hint="eastAsia"/>
          <w:color w:val="auto"/>
        </w:rPr>
        <w:t>天，甲方有权解除合同，甲方解除合同的通知自到达乙方时生效。在此情况下，乙方给甲方造成的实际损失高于违约金的，对高出违约金的部分乙方应予以赔偿。</w:t>
      </w:r>
    </w:p>
    <w:p w14:paraId="2E006CF7">
      <w:pPr>
        <w:spacing w:line="360" w:lineRule="auto"/>
        <w:ind w:firstLine="420" w:firstLineChars="200"/>
        <w:rPr>
          <w:color w:val="auto"/>
        </w:rPr>
      </w:pPr>
      <w:r>
        <w:rPr>
          <w:rFonts w:hint="eastAsia"/>
          <w:color w:val="auto"/>
        </w:rPr>
        <w:t>4.甲方未按合同规定的期限向乙方支付合同款的，每逾期1天甲方向乙方偿付欠款总额的</w:t>
      </w:r>
      <w:r>
        <w:rPr>
          <w:rFonts w:hint="eastAsia"/>
          <w:color w:val="auto"/>
          <w:u w:val="single"/>
        </w:rPr>
        <w:t xml:space="preserve">    </w:t>
      </w:r>
      <w:r>
        <w:rPr>
          <w:rFonts w:hint="eastAsia"/>
          <w:color w:val="auto"/>
        </w:rPr>
        <w:t>‰违约金，但累计违约金总额不超过欠款总额的</w:t>
      </w:r>
      <w:r>
        <w:rPr>
          <w:rFonts w:hint="eastAsia"/>
          <w:color w:val="auto"/>
          <w:u w:val="single"/>
        </w:rPr>
        <w:t xml:space="preserve">    </w:t>
      </w:r>
      <w:r>
        <w:rPr>
          <w:rFonts w:hint="eastAsia"/>
          <w:color w:val="auto"/>
        </w:rPr>
        <w:t>％。</w:t>
      </w:r>
    </w:p>
    <w:p w14:paraId="4A6FEB77">
      <w:pPr>
        <w:spacing w:line="360" w:lineRule="auto"/>
        <w:ind w:firstLine="420" w:firstLineChars="200"/>
        <w:rPr>
          <w:color w:val="auto"/>
        </w:rPr>
      </w:pPr>
      <w:r>
        <w:rPr>
          <w:rFonts w:hint="eastAsia"/>
          <w:color w:val="auto"/>
        </w:rPr>
        <w:t>5.因乙方原因导致违约、本合同无法履行等情形造成甲方损失的，乙方除承担违约责任外还应支付甲方一切相关费用，包括但不限于诉讼费、保全费、鉴定费、律师费、交通费。</w:t>
      </w:r>
    </w:p>
    <w:p w14:paraId="3DE93FF8">
      <w:pPr>
        <w:spacing w:line="360" w:lineRule="auto"/>
        <w:ind w:firstLine="420" w:firstLineChars="200"/>
        <w:rPr>
          <w:color w:val="auto"/>
        </w:rPr>
      </w:pPr>
      <w:r>
        <w:rPr>
          <w:rFonts w:hint="eastAsia"/>
          <w:color w:val="auto"/>
        </w:rPr>
        <w:t>6.其它未尽事宜，以《合同法》和《中华人民共和国政府采购法》等有关法律法规规定为准，无相关规定的，双方协商解决。</w:t>
      </w:r>
    </w:p>
    <w:p w14:paraId="1FD9687C">
      <w:pPr>
        <w:spacing w:line="360" w:lineRule="auto"/>
        <w:ind w:left="482"/>
        <w:rPr>
          <w:b/>
          <w:color w:val="auto"/>
        </w:rPr>
      </w:pPr>
      <w:r>
        <w:rPr>
          <w:rFonts w:hint="eastAsia"/>
          <w:b/>
          <w:color w:val="auto"/>
        </w:rPr>
        <w:t>第十四条  不可抗力</w:t>
      </w:r>
    </w:p>
    <w:p w14:paraId="33B26669">
      <w:pPr>
        <w:spacing w:line="360" w:lineRule="auto"/>
        <w:ind w:firstLine="420" w:firstLineChars="200"/>
        <w:rPr>
          <w:color w:val="auto"/>
        </w:rPr>
      </w:pPr>
      <w:r>
        <w:rPr>
          <w:rFonts w:hint="eastAsia"/>
          <w:color w:val="auto"/>
        </w:rPr>
        <w:t>甲、乙方中任何一方，因不可抗力不能按时或完全履行合同的，应及时通知对方，并在</w:t>
      </w:r>
      <w:r>
        <w:rPr>
          <w:rFonts w:hint="eastAsia"/>
          <w:color w:val="auto"/>
          <w:u w:val="single"/>
        </w:rPr>
        <w:t xml:space="preserve">    </w:t>
      </w:r>
      <w:r>
        <w:rPr>
          <w:rFonts w:hint="eastAsia"/>
          <w:color w:val="auto"/>
        </w:rPr>
        <w:t>个工作日内提供相应证明，结算服务费用。未履行的部分是否继续履行、如何履行等问题，可由双方初步协商，并向主管部门和政府采购管理部门报告。确定为不可抗力原因造成的损失，免予承担责任。</w:t>
      </w:r>
    </w:p>
    <w:p w14:paraId="0C6091C1">
      <w:pPr>
        <w:spacing w:line="360" w:lineRule="auto"/>
        <w:ind w:left="482"/>
        <w:rPr>
          <w:b/>
          <w:color w:val="auto"/>
        </w:rPr>
      </w:pPr>
      <w:r>
        <w:rPr>
          <w:rFonts w:hint="eastAsia"/>
          <w:b/>
          <w:color w:val="auto"/>
        </w:rPr>
        <w:t>第十五条  争议的解决方式</w:t>
      </w:r>
    </w:p>
    <w:p w14:paraId="299CB1B8">
      <w:pPr>
        <w:spacing w:line="360" w:lineRule="auto"/>
        <w:ind w:firstLine="420" w:firstLineChars="200"/>
        <w:rPr>
          <w:color w:val="auto"/>
        </w:rPr>
      </w:pPr>
      <w:r>
        <w:rPr>
          <w:rFonts w:hint="eastAsia"/>
          <w:color w:val="auto"/>
        </w:rPr>
        <w:t>1.因服务质量问题发生争议的，应当邀请国家认可的质量检测机构对服务进行鉴定。服务符合标准的，鉴定费由甲方承担；不符合质量标准的，鉴定费由乙方承担。</w:t>
      </w:r>
    </w:p>
    <w:p w14:paraId="2CDE258E">
      <w:pPr>
        <w:spacing w:line="360" w:lineRule="auto"/>
        <w:ind w:firstLine="420" w:firstLineChars="200"/>
        <w:rPr>
          <w:color w:val="auto"/>
        </w:rPr>
      </w:pPr>
      <w:r>
        <w:rPr>
          <w:rFonts w:hint="eastAsia"/>
          <w:color w:val="auto"/>
        </w:rPr>
        <w:t>2.在解释或者执行本合同的过程中发生争议时，双方应通过协商方式解决。</w:t>
      </w:r>
    </w:p>
    <w:p w14:paraId="00CC1AC7">
      <w:pPr>
        <w:spacing w:line="480" w:lineRule="exact"/>
        <w:ind w:firstLine="420" w:firstLineChars="200"/>
        <w:rPr>
          <w:color w:val="auto"/>
        </w:rPr>
      </w:pPr>
      <w:r>
        <w:rPr>
          <w:rFonts w:hint="eastAsia"/>
          <w:color w:val="auto"/>
        </w:rPr>
        <w:t>3.经协商不能解决的争议，双方可选择以下第</w:t>
      </w:r>
      <w:r>
        <w:rPr>
          <w:rFonts w:hint="eastAsia"/>
          <w:color w:val="auto"/>
          <w:u w:val="single"/>
        </w:rPr>
        <w:t xml:space="preserve">   </w:t>
      </w:r>
      <w:r>
        <w:rPr>
          <w:rFonts w:hint="eastAsia"/>
          <w:color w:val="auto"/>
        </w:rPr>
        <w:t>种方式解决：</w:t>
      </w:r>
    </w:p>
    <w:p w14:paraId="0D582ADA">
      <w:pPr>
        <w:spacing w:line="480" w:lineRule="exact"/>
        <w:ind w:firstLine="420" w:firstLineChars="200"/>
        <w:rPr>
          <w:color w:val="auto"/>
        </w:rPr>
      </w:pPr>
      <w:r>
        <w:rPr>
          <w:rFonts w:hint="eastAsia"/>
          <w:color w:val="auto"/>
        </w:rPr>
        <w:t>①向</w:t>
      </w:r>
      <w:r>
        <w:rPr>
          <w:rFonts w:hint="eastAsia"/>
          <w:color w:val="auto"/>
          <w:u w:val="single"/>
        </w:rPr>
        <w:t xml:space="preserve"> 甲方住所地 </w:t>
      </w:r>
      <w:r>
        <w:rPr>
          <w:rFonts w:hint="eastAsia"/>
          <w:color w:val="auto"/>
        </w:rPr>
        <w:t>有管辖权的法院提起诉讼；</w:t>
      </w:r>
    </w:p>
    <w:p w14:paraId="605A38E2">
      <w:pPr>
        <w:spacing w:line="480" w:lineRule="exact"/>
        <w:ind w:firstLine="420" w:firstLineChars="200"/>
        <w:rPr>
          <w:color w:val="auto"/>
        </w:rPr>
      </w:pPr>
      <w:r>
        <w:rPr>
          <w:rFonts w:hint="eastAsia"/>
          <w:color w:val="auto"/>
        </w:rPr>
        <w:t>②向</w:t>
      </w:r>
      <w:r>
        <w:rPr>
          <w:rFonts w:hint="eastAsia"/>
          <w:color w:val="auto"/>
          <w:u w:val="single"/>
        </w:rPr>
        <w:t xml:space="preserve">        </w:t>
      </w:r>
      <w:r>
        <w:rPr>
          <w:rFonts w:hint="eastAsia"/>
          <w:color w:val="auto"/>
        </w:rPr>
        <w:t>仲裁委员会提出仲裁。</w:t>
      </w:r>
    </w:p>
    <w:p w14:paraId="1B50A626">
      <w:pPr>
        <w:spacing w:line="480" w:lineRule="exact"/>
        <w:ind w:firstLine="420" w:firstLineChars="200"/>
        <w:rPr>
          <w:color w:val="auto"/>
        </w:rPr>
      </w:pPr>
      <w:r>
        <w:rPr>
          <w:rFonts w:hint="eastAsia"/>
          <w:color w:val="auto"/>
        </w:rPr>
        <w:t>4.在法院审理和仲裁期间，除有争议部分外，本合同其他部分可以履行的仍应按合同条款继续履行。</w:t>
      </w:r>
    </w:p>
    <w:p w14:paraId="3301CC4C">
      <w:pPr>
        <w:spacing w:line="360" w:lineRule="auto"/>
        <w:ind w:left="482"/>
        <w:rPr>
          <w:b/>
          <w:color w:val="auto"/>
        </w:rPr>
      </w:pPr>
      <w:r>
        <w:rPr>
          <w:rFonts w:hint="eastAsia"/>
          <w:b/>
          <w:color w:val="auto"/>
        </w:rPr>
        <w:t>第十六条  其他</w:t>
      </w:r>
    </w:p>
    <w:p w14:paraId="670528A9">
      <w:pPr>
        <w:spacing w:line="360" w:lineRule="auto"/>
        <w:ind w:firstLine="420" w:firstLineChars="200"/>
        <w:rPr>
          <w:color w:val="auto"/>
        </w:rPr>
      </w:pPr>
      <w:r>
        <w:rPr>
          <w:rFonts w:hint="eastAsia"/>
          <w:color w:val="auto"/>
        </w:rPr>
        <w:t>符合《中华人民共和国政府采购法》第49条规定的，经双方协商，办理政府采购手续后，可签订补充合同，所签订的补充合同与本合同具有同等法律效力。</w:t>
      </w:r>
    </w:p>
    <w:p w14:paraId="0C986746">
      <w:pPr>
        <w:spacing w:line="360" w:lineRule="auto"/>
        <w:ind w:firstLine="420" w:firstLineChars="200"/>
        <w:rPr>
          <w:color w:val="auto"/>
        </w:rPr>
      </w:pPr>
      <w:r>
        <w:rPr>
          <w:rFonts w:hint="eastAsia"/>
          <w:color w:val="auto"/>
        </w:rPr>
        <w:t>本合同一式</w:t>
      </w:r>
      <w:r>
        <w:rPr>
          <w:rFonts w:hint="eastAsia"/>
          <w:color w:val="auto"/>
          <w:u w:val="single"/>
        </w:rPr>
        <w:t xml:space="preserve">    </w:t>
      </w:r>
      <w:r>
        <w:rPr>
          <w:rFonts w:hint="eastAsia"/>
          <w:color w:val="auto"/>
        </w:rPr>
        <w:t>份，甲、乙双方各执</w:t>
      </w:r>
      <w:r>
        <w:rPr>
          <w:rFonts w:hint="eastAsia"/>
          <w:color w:val="auto"/>
          <w:u w:val="single"/>
        </w:rPr>
        <w:t xml:space="preserve">    </w:t>
      </w:r>
      <w:r>
        <w:rPr>
          <w:rFonts w:hint="eastAsia"/>
          <w:color w:val="auto"/>
        </w:rPr>
        <w:t>份。</w:t>
      </w:r>
    </w:p>
    <w:p w14:paraId="67CF4C38">
      <w:pPr>
        <w:spacing w:line="360" w:lineRule="auto"/>
        <w:ind w:firstLine="420" w:firstLineChars="200"/>
        <w:rPr>
          <w:color w:val="auto"/>
        </w:rPr>
      </w:pPr>
    </w:p>
    <w:p w14:paraId="24E2D300">
      <w:pPr>
        <w:spacing w:line="360" w:lineRule="auto"/>
        <w:ind w:firstLine="420" w:firstLineChars="200"/>
        <w:rPr>
          <w:color w:val="auto"/>
        </w:rPr>
      </w:pPr>
      <w:r>
        <w:rPr>
          <w:rFonts w:hint="eastAsia"/>
          <w:color w:val="auto"/>
        </w:rPr>
        <w:t>甲   方：                        乙   方：</w:t>
      </w:r>
    </w:p>
    <w:p w14:paraId="43B14CA4">
      <w:pPr>
        <w:spacing w:line="360" w:lineRule="auto"/>
        <w:ind w:firstLine="420" w:firstLineChars="200"/>
        <w:rPr>
          <w:color w:val="auto"/>
        </w:rPr>
      </w:pPr>
      <w:r>
        <w:rPr>
          <w:rFonts w:hint="eastAsia"/>
          <w:color w:val="auto"/>
        </w:rPr>
        <w:t>名称：（盖章）                    名称：（盖章）</w:t>
      </w:r>
    </w:p>
    <w:p w14:paraId="35ECAD92">
      <w:pPr>
        <w:spacing w:line="360" w:lineRule="auto"/>
        <w:ind w:firstLine="420" w:firstLineChars="200"/>
        <w:rPr>
          <w:color w:val="auto"/>
        </w:rPr>
      </w:pPr>
      <w:r>
        <w:rPr>
          <w:rFonts w:hint="eastAsia"/>
          <w:color w:val="auto"/>
        </w:rPr>
        <w:t>地址：                           地址：</w:t>
      </w:r>
    </w:p>
    <w:p w14:paraId="2BEF6828">
      <w:pPr>
        <w:spacing w:line="360" w:lineRule="auto"/>
        <w:ind w:firstLine="420" w:firstLineChars="200"/>
        <w:rPr>
          <w:color w:val="auto"/>
        </w:rPr>
      </w:pPr>
      <w:r>
        <w:rPr>
          <w:rFonts w:hint="eastAsia"/>
          <w:color w:val="auto"/>
        </w:rPr>
        <w:t>法定代表人（签字）：              法定代表人（签字）：</w:t>
      </w:r>
    </w:p>
    <w:p w14:paraId="09B26EDA">
      <w:pPr>
        <w:spacing w:line="360" w:lineRule="auto"/>
        <w:ind w:firstLine="420" w:firstLineChars="200"/>
        <w:rPr>
          <w:color w:val="auto"/>
        </w:rPr>
      </w:pPr>
      <w:r>
        <w:rPr>
          <w:rFonts w:hint="eastAsia"/>
          <w:color w:val="auto"/>
        </w:rPr>
        <w:t>授权代表（签字）：                授权代表（签字）：</w:t>
      </w:r>
    </w:p>
    <w:p w14:paraId="66572143">
      <w:pPr>
        <w:spacing w:line="360" w:lineRule="auto"/>
        <w:ind w:firstLine="420" w:firstLineChars="200"/>
        <w:rPr>
          <w:color w:val="auto"/>
        </w:rPr>
      </w:pPr>
      <w:r>
        <w:rPr>
          <w:rFonts w:hint="eastAsia"/>
          <w:color w:val="auto"/>
        </w:rPr>
        <w:t>开户银行：                       开户银行：</w:t>
      </w:r>
    </w:p>
    <w:p w14:paraId="4A3960BD">
      <w:pPr>
        <w:spacing w:line="360" w:lineRule="auto"/>
        <w:ind w:firstLine="420" w:firstLineChars="200"/>
        <w:rPr>
          <w:color w:val="auto"/>
        </w:rPr>
      </w:pPr>
      <w:r>
        <w:rPr>
          <w:rFonts w:hint="eastAsia"/>
          <w:color w:val="auto"/>
        </w:rPr>
        <w:t>银行帐号：                       银行帐号：</w:t>
      </w:r>
    </w:p>
    <w:p w14:paraId="3EAF6184">
      <w:pPr>
        <w:spacing w:line="360" w:lineRule="auto"/>
        <w:ind w:firstLine="420" w:firstLineChars="200"/>
        <w:rPr>
          <w:color w:val="auto"/>
        </w:rPr>
      </w:pPr>
      <w:r>
        <w:rPr>
          <w:rFonts w:hint="eastAsia"/>
          <w:color w:val="auto"/>
        </w:rPr>
        <w:t>时间：         年     月     日</w:t>
      </w:r>
    </w:p>
    <w:p w14:paraId="47C52335">
      <w:pPr>
        <w:pStyle w:val="16"/>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cs="微软雅黑"/>
          <w:color w:val="auto"/>
        </w:rPr>
      </w:pPr>
    </w:p>
    <w:p w14:paraId="5CD3E57B">
      <w:pPr>
        <w:pStyle w:val="16"/>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cs="微软雅黑"/>
          <w:color w:val="auto"/>
        </w:rPr>
      </w:pPr>
    </w:p>
    <w:p w14:paraId="54206A25">
      <w:pPr>
        <w:pStyle w:val="16"/>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cs="微软雅黑"/>
          <w:color w:val="auto"/>
        </w:rPr>
      </w:pPr>
    </w:p>
    <w:p w14:paraId="1C88C450">
      <w:pPr>
        <w:pStyle w:val="16"/>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cs="微软雅黑"/>
          <w:color w:val="auto"/>
        </w:rPr>
      </w:pPr>
    </w:p>
    <w:p w14:paraId="2FCF980B">
      <w:pPr>
        <w:pStyle w:val="16"/>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cs="微软雅黑"/>
          <w:color w:val="auto"/>
        </w:rPr>
      </w:pPr>
    </w:p>
    <w:p w14:paraId="5918A1DB">
      <w:pPr>
        <w:pStyle w:val="16"/>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cs="微软雅黑"/>
          <w:color w:val="auto"/>
        </w:rPr>
      </w:pPr>
    </w:p>
    <w:p w14:paraId="6E9421BA">
      <w:pPr>
        <w:pStyle w:val="16"/>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cs="微软雅黑"/>
          <w:color w:val="auto"/>
        </w:rPr>
      </w:pPr>
    </w:p>
    <w:p w14:paraId="37C20134">
      <w:pPr>
        <w:pStyle w:val="16"/>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cs="微软雅黑"/>
          <w:color w:val="auto"/>
        </w:rPr>
      </w:pPr>
    </w:p>
    <w:p w14:paraId="226E0015">
      <w:pPr>
        <w:pStyle w:val="16"/>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cs="微软雅黑"/>
          <w:color w:val="auto"/>
        </w:rPr>
      </w:pPr>
    </w:p>
    <w:p w14:paraId="0F2D03B7">
      <w:pPr>
        <w:pStyle w:val="16"/>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cs="微软雅黑"/>
          <w:color w:val="auto"/>
        </w:rPr>
      </w:pPr>
    </w:p>
    <w:p w14:paraId="298FA394">
      <w:pPr>
        <w:pStyle w:val="10"/>
        <w:spacing w:before="156" w:beforeLines="50" w:after="156" w:afterLines="50" w:line="600" w:lineRule="exact"/>
        <w:ind w:left="57"/>
        <w:jc w:val="center"/>
        <w:outlineLvl w:val="0"/>
        <w:rPr>
          <w:b/>
          <w:bCs/>
          <w:color w:val="auto"/>
          <w:sz w:val="32"/>
          <w:szCs w:val="32"/>
        </w:rPr>
      </w:pPr>
      <w:bookmarkStart w:id="793" w:name="_Toc16856"/>
      <w:bookmarkStart w:id="794" w:name="_Toc23967"/>
      <w:bookmarkStart w:id="795" w:name="_Toc14435"/>
      <w:r>
        <w:rPr>
          <w:rFonts w:hint="eastAsia"/>
          <w:b/>
          <w:bCs/>
          <w:color w:val="auto"/>
          <w:sz w:val="32"/>
          <w:szCs w:val="32"/>
        </w:rPr>
        <w:t>第五章  采购需求</w:t>
      </w:r>
      <w:bookmarkEnd w:id="793"/>
      <w:bookmarkEnd w:id="794"/>
      <w:bookmarkEnd w:id="795"/>
    </w:p>
    <w:p w14:paraId="7EE42C4A">
      <w:pPr>
        <w:wordWrap/>
        <w:topLinePunct w:val="0"/>
        <w:spacing w:line="360" w:lineRule="auto"/>
        <w:jc w:val="center"/>
        <w:rPr>
          <w:b/>
          <w:bCs/>
          <w:color w:val="auto"/>
          <w:sz w:val="28"/>
          <w:szCs w:val="28"/>
        </w:rPr>
      </w:pPr>
      <w:r>
        <w:rPr>
          <w:rFonts w:hint="eastAsia"/>
          <w:b/>
          <w:bCs/>
          <w:color w:val="auto"/>
          <w:sz w:val="28"/>
          <w:szCs w:val="28"/>
        </w:rPr>
        <w:t>采购内容及要求</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6554"/>
      </w:tblGrid>
      <w:tr w14:paraId="4275A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268" w:type="dxa"/>
            <w:gridSpan w:val="2"/>
            <w:noWrap w:val="0"/>
            <w:vAlign w:val="center"/>
          </w:tcPr>
          <w:p w14:paraId="5CC022AA">
            <w:pPr>
              <w:spacing w:line="360" w:lineRule="auto"/>
              <w:jc w:val="center"/>
              <w:rPr>
                <w:rFonts w:ascii="仿宋_GB2312" w:eastAsia="仿宋_GB2312"/>
                <w:b/>
                <w:color w:val="auto"/>
                <w:sz w:val="24"/>
                <w:szCs w:val="28"/>
              </w:rPr>
            </w:pPr>
            <w:r>
              <w:rPr>
                <w:rFonts w:hint="eastAsia" w:ascii="仿宋_GB2312" w:eastAsia="仿宋_GB2312"/>
                <w:b/>
                <w:color w:val="auto"/>
                <w:sz w:val="24"/>
                <w:szCs w:val="28"/>
              </w:rPr>
              <w:t>招标要求</w:t>
            </w:r>
          </w:p>
        </w:tc>
      </w:tr>
      <w:tr w14:paraId="07F77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714" w:type="dxa"/>
            <w:noWrap w:val="0"/>
            <w:vAlign w:val="center"/>
          </w:tcPr>
          <w:p w14:paraId="7ABF89AC">
            <w:pPr>
              <w:spacing w:line="360" w:lineRule="auto"/>
              <w:jc w:val="left"/>
              <w:rPr>
                <w:rFonts w:ascii="仿宋_GB2312" w:eastAsia="仿宋_GB2312"/>
                <w:color w:val="auto"/>
                <w:sz w:val="24"/>
                <w:szCs w:val="28"/>
              </w:rPr>
            </w:pPr>
            <w:r>
              <w:rPr>
                <w:rFonts w:hint="eastAsia" w:ascii="仿宋_GB2312" w:eastAsia="仿宋_GB2312"/>
                <w:b/>
                <w:bCs/>
                <w:color w:val="auto"/>
                <w:sz w:val="24"/>
                <w:szCs w:val="28"/>
              </w:rPr>
              <w:t>一、险种</w:t>
            </w:r>
          </w:p>
        </w:tc>
        <w:tc>
          <w:tcPr>
            <w:tcW w:w="6554" w:type="dxa"/>
            <w:noWrap w:val="0"/>
            <w:vAlign w:val="center"/>
          </w:tcPr>
          <w:p w14:paraId="2FB6D6FD">
            <w:pPr>
              <w:spacing w:line="360" w:lineRule="auto"/>
              <w:rPr>
                <w:rFonts w:ascii="仿宋_GB2312" w:eastAsia="仿宋_GB2312"/>
                <w:color w:val="auto"/>
                <w:sz w:val="24"/>
                <w:szCs w:val="28"/>
              </w:rPr>
            </w:pPr>
            <w:r>
              <w:rPr>
                <w:rFonts w:hint="eastAsia" w:ascii="仿宋_GB2312" w:eastAsia="仿宋_GB2312"/>
                <w:color w:val="auto"/>
                <w:sz w:val="24"/>
                <w:szCs w:val="28"/>
              </w:rPr>
              <w:t>医疗责任险</w:t>
            </w:r>
          </w:p>
        </w:tc>
      </w:tr>
      <w:tr w14:paraId="1D2F9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8" w:hRule="atLeast"/>
          <w:jc w:val="center"/>
        </w:trPr>
        <w:tc>
          <w:tcPr>
            <w:tcW w:w="2714" w:type="dxa"/>
            <w:noWrap w:val="0"/>
            <w:vAlign w:val="center"/>
          </w:tcPr>
          <w:p w14:paraId="5B3425CD">
            <w:pPr>
              <w:spacing w:line="360" w:lineRule="auto"/>
              <w:rPr>
                <w:rFonts w:ascii="仿宋_GB2312" w:eastAsia="仿宋_GB2312"/>
                <w:b/>
                <w:bCs/>
                <w:color w:val="auto"/>
                <w:sz w:val="24"/>
                <w:szCs w:val="28"/>
              </w:rPr>
            </w:pPr>
            <w:r>
              <w:rPr>
                <w:rFonts w:hint="eastAsia" w:ascii="仿宋_GB2312" w:eastAsia="仿宋_GB2312"/>
                <w:b/>
                <w:bCs/>
                <w:color w:val="auto"/>
                <w:sz w:val="24"/>
                <w:szCs w:val="28"/>
              </w:rPr>
              <w:t>二、保险责任</w:t>
            </w:r>
          </w:p>
        </w:tc>
        <w:tc>
          <w:tcPr>
            <w:tcW w:w="6554" w:type="dxa"/>
            <w:noWrap w:val="0"/>
            <w:vAlign w:val="center"/>
          </w:tcPr>
          <w:p w14:paraId="03621E4D">
            <w:pPr>
              <w:spacing w:line="360" w:lineRule="auto"/>
              <w:rPr>
                <w:rFonts w:ascii="仿宋_GB2312" w:eastAsia="仿宋_GB2312"/>
                <w:color w:val="auto"/>
                <w:sz w:val="24"/>
                <w:szCs w:val="28"/>
              </w:rPr>
            </w:pPr>
            <w:r>
              <w:rPr>
                <w:rFonts w:hint="eastAsia" w:ascii="仿宋_GB2312" w:eastAsia="仿宋_GB2312"/>
                <w:color w:val="auto"/>
                <w:sz w:val="24"/>
                <w:szCs w:val="28"/>
              </w:rPr>
              <w:t>在本保险合同载明的保险期间或追溯期内及在承保区域范围内，被保险人的投保医务人员在从事诊疗护理工作中，因执业过失造成患者人身损害，由患者或患者代理人在保险期间内首次向被保险人提出索赔申请，依照中华人民共和国法律（不包括港澳台地区法律）应由被保险人承担的经济赔偿责任，保险人按照本保险合同的约定负责赔偿。</w:t>
            </w:r>
          </w:p>
        </w:tc>
      </w:tr>
      <w:tr w14:paraId="265A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714" w:type="dxa"/>
            <w:noWrap w:val="0"/>
            <w:vAlign w:val="center"/>
          </w:tcPr>
          <w:p w14:paraId="3B7E12CB">
            <w:pPr>
              <w:spacing w:line="360" w:lineRule="auto"/>
              <w:rPr>
                <w:rFonts w:ascii="仿宋_GB2312" w:eastAsia="仿宋_GB2312"/>
                <w:color w:val="auto"/>
                <w:sz w:val="24"/>
                <w:szCs w:val="28"/>
              </w:rPr>
            </w:pPr>
            <w:r>
              <w:rPr>
                <w:rFonts w:hint="eastAsia" w:ascii="仿宋_GB2312" w:eastAsia="仿宋_GB2312"/>
                <w:b/>
                <w:bCs/>
                <w:color w:val="auto"/>
                <w:sz w:val="24"/>
                <w:szCs w:val="28"/>
              </w:rPr>
              <w:t>三、保险期限</w:t>
            </w:r>
          </w:p>
        </w:tc>
        <w:tc>
          <w:tcPr>
            <w:tcW w:w="6554" w:type="dxa"/>
            <w:noWrap w:val="0"/>
            <w:vAlign w:val="center"/>
          </w:tcPr>
          <w:p w14:paraId="7CAED481">
            <w:pPr>
              <w:spacing w:line="360" w:lineRule="auto"/>
              <w:rPr>
                <w:rFonts w:ascii="仿宋_GB2312" w:eastAsia="仿宋_GB2312"/>
                <w:color w:val="auto"/>
                <w:sz w:val="24"/>
                <w:szCs w:val="28"/>
              </w:rPr>
            </w:pPr>
            <w:r>
              <w:rPr>
                <w:rFonts w:hint="eastAsia" w:ascii="仿宋_GB2312" w:eastAsia="仿宋_GB2312"/>
                <w:color w:val="auto"/>
                <w:sz w:val="24"/>
                <w:szCs w:val="28"/>
              </w:rPr>
              <w:t>一年</w:t>
            </w:r>
          </w:p>
        </w:tc>
      </w:tr>
      <w:tr w14:paraId="1F757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714" w:type="dxa"/>
            <w:noWrap w:val="0"/>
            <w:vAlign w:val="center"/>
          </w:tcPr>
          <w:p w14:paraId="5A74EE7F">
            <w:pPr>
              <w:spacing w:line="360" w:lineRule="auto"/>
              <w:rPr>
                <w:rFonts w:ascii="仿宋_GB2312" w:eastAsia="仿宋_GB2312"/>
                <w:color w:val="auto"/>
                <w:sz w:val="24"/>
                <w:szCs w:val="28"/>
              </w:rPr>
            </w:pPr>
            <w:r>
              <w:rPr>
                <w:rFonts w:hint="eastAsia" w:ascii="仿宋_GB2312" w:eastAsia="仿宋_GB2312"/>
                <w:b/>
                <w:bCs/>
                <w:color w:val="auto"/>
                <w:sz w:val="24"/>
                <w:szCs w:val="28"/>
              </w:rPr>
              <w:t>四、赔偿限额</w:t>
            </w:r>
          </w:p>
        </w:tc>
        <w:tc>
          <w:tcPr>
            <w:tcW w:w="6554" w:type="dxa"/>
            <w:noWrap w:val="0"/>
            <w:vAlign w:val="center"/>
          </w:tcPr>
          <w:p w14:paraId="7FC05AB9">
            <w:pPr>
              <w:spacing w:line="360" w:lineRule="auto"/>
              <w:rPr>
                <w:rFonts w:ascii="仿宋_GB2312" w:eastAsia="仿宋_GB2312"/>
                <w:color w:val="auto"/>
                <w:sz w:val="24"/>
                <w:szCs w:val="28"/>
              </w:rPr>
            </w:pPr>
            <w:r>
              <w:rPr>
                <w:rFonts w:hint="eastAsia" w:ascii="仿宋_GB2312" w:eastAsia="仿宋_GB2312"/>
                <w:color w:val="auto"/>
                <w:sz w:val="24"/>
                <w:szCs w:val="28"/>
              </w:rPr>
              <w:t>医疗事故年度整体赔偿限额不低于</w:t>
            </w:r>
            <w:r>
              <w:rPr>
                <w:rFonts w:hint="eastAsia" w:ascii="仿宋_GB2312" w:eastAsia="仿宋_GB2312"/>
                <w:color w:val="auto"/>
                <w:sz w:val="24"/>
                <w:szCs w:val="28"/>
                <w:lang w:val="en-US" w:eastAsia="zh-CN"/>
              </w:rPr>
              <w:t>180</w:t>
            </w:r>
            <w:r>
              <w:rPr>
                <w:rFonts w:hint="eastAsia" w:ascii="仿宋_GB2312" w:eastAsia="仿宋_GB2312"/>
                <w:color w:val="auto"/>
                <w:sz w:val="24"/>
                <w:szCs w:val="28"/>
              </w:rPr>
              <w:t>万（包括诉讼赔偿和调解赔偿）；（对于联合体承保的各参与方，出险后由主保方认定后，从保方不再二次认定，赔偿额主保方及从保方各承担一半。</w:t>
            </w:r>
          </w:p>
        </w:tc>
      </w:tr>
      <w:tr w14:paraId="22F4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2714" w:type="dxa"/>
            <w:noWrap w:val="0"/>
            <w:vAlign w:val="center"/>
          </w:tcPr>
          <w:p w14:paraId="1E47D80C">
            <w:pPr>
              <w:spacing w:line="360" w:lineRule="auto"/>
              <w:rPr>
                <w:rFonts w:ascii="仿宋_GB2312" w:eastAsia="仿宋_GB2312"/>
                <w:color w:val="auto"/>
                <w:sz w:val="24"/>
                <w:szCs w:val="28"/>
              </w:rPr>
            </w:pPr>
            <w:r>
              <w:rPr>
                <w:rFonts w:hint="eastAsia" w:ascii="仿宋_GB2312" w:eastAsia="仿宋_GB2312"/>
                <w:b/>
                <w:bCs/>
                <w:color w:val="auto"/>
                <w:sz w:val="24"/>
                <w:szCs w:val="28"/>
              </w:rPr>
              <w:t>五、免赔率</w:t>
            </w:r>
          </w:p>
        </w:tc>
        <w:tc>
          <w:tcPr>
            <w:tcW w:w="6554" w:type="dxa"/>
            <w:noWrap w:val="0"/>
            <w:vAlign w:val="center"/>
          </w:tcPr>
          <w:p w14:paraId="369B8A51">
            <w:pPr>
              <w:spacing w:line="360" w:lineRule="auto"/>
              <w:rPr>
                <w:rFonts w:hint="eastAsia" w:ascii="仿宋_GB2312" w:eastAsia="仿宋_GB2312"/>
                <w:color w:val="auto"/>
                <w:sz w:val="24"/>
                <w:szCs w:val="28"/>
                <w:lang w:val="en-US" w:eastAsia="zh-CN"/>
              </w:rPr>
            </w:pPr>
            <w:r>
              <w:rPr>
                <w:rFonts w:hint="eastAsia" w:ascii="仿宋_GB2312" w:eastAsia="仿宋_GB2312"/>
                <w:color w:val="auto"/>
                <w:sz w:val="24"/>
                <w:szCs w:val="28"/>
                <w:highlight w:val="none"/>
              </w:rPr>
              <w:t>每次事故绝对免赔额为</w:t>
            </w:r>
            <w:r>
              <w:rPr>
                <w:rFonts w:hint="eastAsia" w:ascii="仿宋_GB2312" w:eastAsia="仿宋_GB2312"/>
                <w:color w:val="auto"/>
                <w:sz w:val="24"/>
                <w:szCs w:val="28"/>
                <w:highlight w:val="none"/>
                <w:lang w:val="en-US" w:eastAsia="zh-CN"/>
              </w:rPr>
              <w:t>3000元或者</w:t>
            </w:r>
            <w:r>
              <w:rPr>
                <w:rFonts w:hint="eastAsia" w:ascii="仿宋_GB2312" w:eastAsia="仿宋_GB2312"/>
                <w:color w:val="auto"/>
                <w:sz w:val="24"/>
                <w:szCs w:val="28"/>
                <w:highlight w:val="none"/>
              </w:rPr>
              <w:t>损失金额</w:t>
            </w:r>
            <w:r>
              <w:rPr>
                <w:rFonts w:hint="eastAsia" w:ascii="仿宋_GB2312" w:eastAsia="仿宋_GB2312"/>
                <w:color w:val="auto"/>
                <w:sz w:val="24"/>
                <w:szCs w:val="28"/>
                <w:highlight w:val="none"/>
                <w:lang w:val="en-US" w:eastAsia="zh-CN"/>
              </w:rPr>
              <w:t>1</w:t>
            </w:r>
            <w:r>
              <w:rPr>
                <w:rFonts w:hint="eastAsia" w:ascii="仿宋_GB2312" w:eastAsia="仿宋_GB2312"/>
                <w:color w:val="auto"/>
                <w:sz w:val="24"/>
                <w:szCs w:val="28"/>
                <w:highlight w:val="none"/>
              </w:rPr>
              <w:t>5%</w:t>
            </w:r>
            <w:r>
              <w:rPr>
                <w:rFonts w:hint="eastAsia" w:ascii="仿宋_GB2312" w:eastAsia="仿宋_GB2312"/>
                <w:color w:val="auto"/>
                <w:sz w:val="24"/>
                <w:szCs w:val="28"/>
                <w:highlight w:val="none"/>
                <w:lang w:eastAsia="zh-CN"/>
              </w:rPr>
              <w:t>两者以高者为准</w:t>
            </w:r>
          </w:p>
        </w:tc>
      </w:tr>
      <w:tr w14:paraId="77BB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714" w:type="dxa"/>
            <w:noWrap w:val="0"/>
            <w:vAlign w:val="center"/>
          </w:tcPr>
          <w:p w14:paraId="097D670C">
            <w:pPr>
              <w:spacing w:line="360" w:lineRule="auto"/>
              <w:rPr>
                <w:rFonts w:ascii="仿宋_GB2312" w:eastAsia="仿宋_GB2312"/>
                <w:color w:val="auto"/>
                <w:sz w:val="24"/>
                <w:szCs w:val="28"/>
              </w:rPr>
            </w:pPr>
            <w:r>
              <w:rPr>
                <w:rFonts w:hint="eastAsia" w:ascii="仿宋_GB2312" w:eastAsia="仿宋_GB2312"/>
                <w:b/>
                <w:bCs/>
                <w:color w:val="auto"/>
                <w:sz w:val="24"/>
                <w:szCs w:val="28"/>
              </w:rPr>
              <w:t>六、服务基本要求</w:t>
            </w:r>
          </w:p>
        </w:tc>
        <w:tc>
          <w:tcPr>
            <w:tcW w:w="6554" w:type="dxa"/>
            <w:noWrap w:val="0"/>
            <w:vAlign w:val="center"/>
          </w:tcPr>
          <w:p w14:paraId="1E8829D5">
            <w:pPr>
              <w:spacing w:line="360" w:lineRule="auto"/>
              <w:rPr>
                <w:rFonts w:ascii="仿宋_GB2312" w:eastAsia="仿宋_GB2312"/>
                <w:color w:val="auto"/>
                <w:sz w:val="24"/>
                <w:szCs w:val="28"/>
              </w:rPr>
            </w:pPr>
            <w:r>
              <w:rPr>
                <w:rFonts w:hint="eastAsia" w:ascii="仿宋_GB2312" w:eastAsia="仿宋_GB2312"/>
                <w:color w:val="auto"/>
                <w:sz w:val="24"/>
                <w:szCs w:val="28"/>
              </w:rPr>
              <w:t>1、成立专职机构。承保机构应成立医疗责任保险项目工作组，专门负责为承保和理赔提供服务。</w:t>
            </w:r>
          </w:p>
          <w:p w14:paraId="6F595CDD">
            <w:pPr>
              <w:spacing w:line="360" w:lineRule="auto"/>
              <w:rPr>
                <w:rFonts w:ascii="仿宋_GB2312" w:eastAsia="仿宋_GB2312"/>
                <w:color w:val="auto"/>
                <w:sz w:val="24"/>
                <w:szCs w:val="28"/>
              </w:rPr>
            </w:pPr>
            <w:r>
              <w:rPr>
                <w:rFonts w:hint="eastAsia" w:ascii="仿宋_GB2312" w:eastAsia="仿宋_GB2312"/>
                <w:color w:val="auto"/>
                <w:sz w:val="24"/>
                <w:szCs w:val="28"/>
              </w:rPr>
              <w:t>2、落实专人优先制。保险公司必须安排专人办理有关承保手续，送达保险资料等，享受承保优先的“畅通”服务。</w:t>
            </w:r>
          </w:p>
          <w:p w14:paraId="57B67C4F">
            <w:pPr>
              <w:spacing w:line="360" w:lineRule="auto"/>
              <w:rPr>
                <w:rFonts w:ascii="仿宋_GB2312" w:eastAsia="仿宋_GB2312"/>
                <w:color w:val="auto"/>
                <w:sz w:val="24"/>
                <w:szCs w:val="28"/>
              </w:rPr>
            </w:pPr>
            <w:r>
              <w:rPr>
                <w:rFonts w:hint="eastAsia" w:ascii="仿宋_GB2312" w:eastAsia="仿宋_GB2312"/>
                <w:color w:val="auto"/>
                <w:sz w:val="24"/>
                <w:szCs w:val="28"/>
              </w:rPr>
              <w:t>3、专业联系跟踪制。保险公司应在保险期限内有计划的定期和不定期的实行保险专业知识和风险管理方面的联系和交流。</w:t>
            </w:r>
          </w:p>
          <w:p w14:paraId="1FCB4EFA">
            <w:pPr>
              <w:spacing w:line="360" w:lineRule="auto"/>
              <w:rPr>
                <w:rFonts w:ascii="仿宋_GB2312" w:eastAsia="仿宋_GB2312"/>
                <w:color w:val="auto"/>
                <w:sz w:val="24"/>
                <w:szCs w:val="28"/>
              </w:rPr>
            </w:pPr>
            <w:r>
              <w:rPr>
                <w:rFonts w:hint="eastAsia" w:ascii="仿宋_GB2312" w:eastAsia="仿宋_GB2312"/>
                <w:color w:val="auto"/>
                <w:sz w:val="24"/>
                <w:szCs w:val="28"/>
              </w:rPr>
              <w:t>4、案件处理。保险公司在接到报案通知后应立即响应。根据出险情况，如有必要在接到报案通知后1小时-5小时内到达现场进行查勘。</w:t>
            </w:r>
          </w:p>
        </w:tc>
      </w:tr>
      <w:tr w14:paraId="67A4D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714" w:type="dxa"/>
            <w:noWrap w:val="0"/>
            <w:vAlign w:val="center"/>
          </w:tcPr>
          <w:p w14:paraId="5C2B8C6B">
            <w:pPr>
              <w:spacing w:line="360" w:lineRule="auto"/>
              <w:rPr>
                <w:rFonts w:ascii="仿宋_GB2312" w:eastAsia="仿宋_GB2312"/>
                <w:b/>
                <w:bCs/>
                <w:color w:val="auto"/>
                <w:sz w:val="24"/>
                <w:szCs w:val="28"/>
              </w:rPr>
            </w:pPr>
            <w:r>
              <w:rPr>
                <w:rFonts w:hint="eastAsia" w:ascii="仿宋_GB2312" w:eastAsia="仿宋_GB2312"/>
                <w:b/>
                <w:bCs/>
                <w:color w:val="auto"/>
                <w:sz w:val="24"/>
                <w:szCs w:val="28"/>
              </w:rPr>
              <w:t>七、理赔服务</w:t>
            </w:r>
          </w:p>
        </w:tc>
        <w:tc>
          <w:tcPr>
            <w:tcW w:w="6554" w:type="dxa"/>
            <w:noWrap w:val="0"/>
            <w:vAlign w:val="center"/>
          </w:tcPr>
          <w:p w14:paraId="0DC77298">
            <w:pPr>
              <w:spacing w:line="360" w:lineRule="auto"/>
              <w:rPr>
                <w:rFonts w:ascii="仿宋_GB2312" w:eastAsia="仿宋_GB2312"/>
                <w:color w:val="auto"/>
                <w:sz w:val="24"/>
                <w:szCs w:val="28"/>
              </w:rPr>
            </w:pPr>
            <w:r>
              <w:rPr>
                <w:rFonts w:hint="eastAsia" w:ascii="仿宋_GB2312" w:eastAsia="仿宋_GB2312"/>
                <w:color w:val="auto"/>
                <w:sz w:val="24"/>
                <w:szCs w:val="28"/>
              </w:rPr>
              <w:t>1、高效快速通道制。承保机构应24小时设有报案、救援和咨询服务电话，发生保险责任范围内的事故后，应立即响应，并及时办理理赔服务。</w:t>
            </w:r>
          </w:p>
          <w:p w14:paraId="7226A08D">
            <w:pPr>
              <w:spacing w:line="360" w:lineRule="auto"/>
              <w:rPr>
                <w:rFonts w:ascii="仿宋_GB2312" w:eastAsia="仿宋_GB2312"/>
                <w:color w:val="auto"/>
                <w:sz w:val="24"/>
                <w:szCs w:val="28"/>
              </w:rPr>
            </w:pPr>
            <w:r>
              <w:rPr>
                <w:rFonts w:hint="eastAsia" w:ascii="仿宋_GB2312" w:eastAsia="仿宋_GB2312"/>
                <w:color w:val="auto"/>
                <w:sz w:val="24"/>
                <w:szCs w:val="28"/>
              </w:rPr>
              <w:t>2、专人理赔负责制。每个理赔案都有专门理赔人员负责，要求在规定赔款时效内完成赔付。</w:t>
            </w:r>
          </w:p>
          <w:p w14:paraId="6F91F5AA">
            <w:pPr>
              <w:spacing w:line="360" w:lineRule="auto"/>
              <w:rPr>
                <w:rFonts w:ascii="仿宋_GB2312" w:eastAsia="仿宋_GB2312"/>
                <w:color w:val="auto"/>
                <w:sz w:val="24"/>
                <w:szCs w:val="28"/>
              </w:rPr>
            </w:pPr>
            <w:r>
              <w:rPr>
                <w:rFonts w:hint="eastAsia" w:ascii="仿宋_GB2312" w:eastAsia="仿宋_GB2312"/>
                <w:color w:val="auto"/>
                <w:sz w:val="24"/>
                <w:szCs w:val="28"/>
              </w:rPr>
              <w:t>3、赔款时效。每个理赔案都有专门理赔人员负责：对于赔付金额在1万元及以下的赔案，在被保险人递交资料齐全的索赔申请后，保险人审核对确属保险责任且无责任免除情形的，保险人保证在3个工作日内完成结案和支付赔款；对于赔付金额在1万元以上的赔案，在被保险人递交资料齐全的索赔申请后，保险人审核对确属保险责任且无责任免除情形的，保险人保证在5个工作日内完成结案和支付赔款。</w:t>
            </w:r>
          </w:p>
        </w:tc>
      </w:tr>
    </w:tbl>
    <w:p w14:paraId="3EA72A5F">
      <w:pPr>
        <w:pStyle w:val="30"/>
        <w:rPr>
          <w:color w:val="auto"/>
        </w:rPr>
      </w:pPr>
    </w:p>
    <w:p w14:paraId="73C0200F">
      <w:pPr>
        <w:pStyle w:val="11"/>
        <w:ind w:firstLine="463"/>
        <w:rPr>
          <w:b/>
          <w:bCs/>
          <w:color w:val="auto"/>
          <w:lang w:bidi="zh-CN"/>
        </w:rPr>
      </w:pPr>
      <w:r>
        <w:rPr>
          <w:rFonts w:hint="eastAsia"/>
          <w:b/>
          <w:bCs/>
          <w:color w:val="auto"/>
          <w:sz w:val="24"/>
          <w:szCs w:val="24"/>
          <w:shd w:val="clear" w:color="auto" w:fill="FFFFFF"/>
        </w:rPr>
        <w:t xml:space="preserve"> </w:t>
      </w:r>
      <w:r>
        <w:rPr>
          <w:rFonts w:hint="eastAsia"/>
          <w:b/>
          <w:bCs/>
          <w:color w:val="auto"/>
          <w:lang w:bidi="zh-CN"/>
        </w:rPr>
        <w:t>注：本章须逐条承诺，否则视为未响应招标文件要求。</w:t>
      </w:r>
    </w:p>
    <w:p w14:paraId="54E5FDC0">
      <w:pPr>
        <w:pStyle w:val="16"/>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cs="微软雅黑"/>
          <w:color w:val="auto"/>
        </w:rPr>
      </w:pPr>
    </w:p>
    <w:p w14:paraId="2924D4F2">
      <w:pPr>
        <w:pStyle w:val="16"/>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cs="微软雅黑"/>
          <w:color w:val="auto"/>
        </w:rPr>
      </w:pPr>
    </w:p>
    <w:p w14:paraId="441AA5E8">
      <w:pPr>
        <w:pStyle w:val="10"/>
        <w:spacing w:before="156" w:beforeLines="50" w:after="156" w:afterLines="50" w:line="600" w:lineRule="exact"/>
        <w:jc w:val="both"/>
        <w:outlineLvl w:val="0"/>
        <w:rPr>
          <w:rFonts w:hint="eastAsia"/>
          <w:b/>
          <w:bCs/>
          <w:color w:val="auto"/>
          <w:sz w:val="32"/>
          <w:szCs w:val="32"/>
        </w:rPr>
      </w:pPr>
      <w:bookmarkStart w:id="796" w:name="_Toc3615"/>
      <w:bookmarkStart w:id="797" w:name="_Toc14426"/>
    </w:p>
    <w:p w14:paraId="36E567FF">
      <w:pPr>
        <w:pStyle w:val="10"/>
        <w:spacing w:before="156" w:beforeLines="50" w:after="156" w:afterLines="50" w:line="600" w:lineRule="exact"/>
        <w:ind w:left="57"/>
        <w:jc w:val="center"/>
        <w:outlineLvl w:val="0"/>
        <w:rPr>
          <w:b/>
          <w:bCs/>
          <w:color w:val="auto"/>
          <w:sz w:val="32"/>
          <w:szCs w:val="32"/>
        </w:rPr>
      </w:pPr>
      <w:bookmarkStart w:id="798" w:name="_Toc27464"/>
      <w:r>
        <w:rPr>
          <w:rFonts w:hint="eastAsia"/>
          <w:b/>
          <w:bCs/>
          <w:color w:val="auto"/>
          <w:sz w:val="32"/>
          <w:szCs w:val="32"/>
        </w:rPr>
        <w:t>第六章  磋商响应文件格式</w:t>
      </w:r>
      <w:bookmarkEnd w:id="796"/>
      <w:bookmarkEnd w:id="797"/>
      <w:bookmarkEnd w:id="798"/>
    </w:p>
    <w:p w14:paraId="1A3C8379">
      <w:pPr>
        <w:pStyle w:val="10"/>
        <w:spacing w:before="312" w:beforeLines="100" w:after="312" w:afterLines="100" w:line="600" w:lineRule="exact"/>
        <w:jc w:val="center"/>
        <w:rPr>
          <w:rFonts w:hint="eastAsia"/>
          <w:b/>
          <w:color w:val="auto"/>
          <w:sz w:val="44"/>
          <w:szCs w:val="44"/>
          <w:u w:val="single"/>
        </w:rPr>
      </w:pPr>
      <w:r>
        <w:rPr>
          <w:rFonts w:hint="eastAsia"/>
          <w:bCs/>
          <w:color w:val="auto"/>
          <w:sz w:val="32"/>
        </w:rPr>
        <w:t>（封面）</w:t>
      </w:r>
    </w:p>
    <w:p w14:paraId="18B36F47">
      <w:pPr>
        <w:pStyle w:val="10"/>
        <w:spacing w:before="312" w:beforeLines="100" w:after="312" w:afterLines="100" w:line="600" w:lineRule="exact"/>
        <w:jc w:val="both"/>
        <w:rPr>
          <w:rFonts w:hint="eastAsia"/>
          <w:b/>
          <w:color w:val="auto"/>
          <w:sz w:val="44"/>
          <w:szCs w:val="44"/>
          <w:u w:val="single"/>
        </w:rPr>
      </w:pPr>
    </w:p>
    <w:p w14:paraId="0D7A844D">
      <w:pPr>
        <w:pStyle w:val="9"/>
        <w:rPr>
          <w:rFonts w:hint="eastAsia"/>
          <w:b/>
          <w:color w:val="auto"/>
          <w:sz w:val="44"/>
          <w:szCs w:val="44"/>
          <w:u w:val="single"/>
        </w:rPr>
      </w:pPr>
    </w:p>
    <w:p w14:paraId="58857A3C">
      <w:pPr>
        <w:rPr>
          <w:rFonts w:hint="eastAsia"/>
          <w:b/>
          <w:color w:val="auto"/>
          <w:sz w:val="44"/>
          <w:szCs w:val="44"/>
          <w:u w:val="single"/>
        </w:rPr>
      </w:pPr>
    </w:p>
    <w:p w14:paraId="2167AAA2">
      <w:pPr>
        <w:pStyle w:val="3"/>
        <w:rPr>
          <w:rFonts w:hint="eastAsia"/>
          <w:color w:val="auto"/>
        </w:rPr>
      </w:pPr>
    </w:p>
    <w:p w14:paraId="24A7EDE5">
      <w:pPr>
        <w:pStyle w:val="10"/>
        <w:spacing w:before="312" w:beforeLines="100" w:after="312" w:afterLines="100" w:line="600" w:lineRule="exact"/>
        <w:jc w:val="center"/>
        <w:rPr>
          <w:b/>
          <w:color w:val="auto"/>
          <w:sz w:val="44"/>
          <w:szCs w:val="44"/>
        </w:rPr>
      </w:pPr>
      <w:r>
        <w:rPr>
          <w:rFonts w:hint="eastAsia"/>
          <w:b/>
          <w:color w:val="auto"/>
          <w:sz w:val="44"/>
          <w:szCs w:val="44"/>
          <w:u w:val="single"/>
        </w:rPr>
        <w:t xml:space="preserve">                 </w:t>
      </w:r>
      <w:r>
        <w:rPr>
          <w:rFonts w:hint="eastAsia"/>
          <w:b/>
          <w:color w:val="auto"/>
          <w:sz w:val="44"/>
          <w:szCs w:val="44"/>
        </w:rPr>
        <w:t>（项目名称）</w:t>
      </w:r>
    </w:p>
    <w:p w14:paraId="39E98AE2">
      <w:pPr>
        <w:pStyle w:val="10"/>
        <w:spacing w:before="312" w:beforeLines="100" w:after="312" w:afterLines="100" w:line="600" w:lineRule="exact"/>
        <w:ind w:firstLine="321" w:firstLineChars="100"/>
        <w:jc w:val="both"/>
        <w:rPr>
          <w:rFonts w:hint="eastAsia"/>
          <w:b/>
          <w:bCs/>
          <w:color w:val="auto"/>
          <w:sz w:val="32"/>
          <w:u w:val="single"/>
          <w:lang w:val="en-US" w:eastAsia="zh-CN"/>
        </w:rPr>
      </w:pPr>
    </w:p>
    <w:p w14:paraId="0E33D948">
      <w:pPr>
        <w:pStyle w:val="10"/>
        <w:spacing w:before="312" w:beforeLines="100" w:after="312" w:afterLines="100" w:line="600" w:lineRule="exact"/>
        <w:ind w:firstLine="321" w:firstLineChars="100"/>
        <w:jc w:val="both"/>
        <w:rPr>
          <w:rFonts w:hint="eastAsia"/>
          <w:b/>
          <w:bCs/>
          <w:color w:val="auto"/>
          <w:sz w:val="32"/>
          <w:u w:val="single"/>
          <w:lang w:val="en-US" w:eastAsia="zh-CN"/>
        </w:rPr>
      </w:pPr>
    </w:p>
    <w:p w14:paraId="78311697">
      <w:pPr>
        <w:pStyle w:val="10"/>
        <w:spacing w:before="312" w:beforeLines="100" w:after="312" w:afterLines="100" w:line="600" w:lineRule="exact"/>
        <w:ind w:firstLine="2891" w:firstLineChars="900"/>
        <w:jc w:val="both"/>
        <w:rPr>
          <w:rFonts w:hint="default" w:eastAsia="宋体"/>
          <w:b/>
          <w:bCs/>
          <w:color w:val="auto"/>
          <w:sz w:val="32"/>
          <w:u w:val="single"/>
          <w:lang w:val="en-US" w:eastAsia="zh-CN"/>
        </w:rPr>
      </w:pPr>
      <w:r>
        <w:rPr>
          <w:rFonts w:hint="eastAsia"/>
          <w:b/>
          <w:bCs/>
          <w:color w:val="auto"/>
          <w:sz w:val="32"/>
          <w:u w:val="single"/>
          <w:lang w:val="en-US" w:eastAsia="zh-CN"/>
        </w:rPr>
        <w:t xml:space="preserve">采购编号：            </w:t>
      </w:r>
    </w:p>
    <w:p w14:paraId="075741A1">
      <w:pPr>
        <w:pStyle w:val="10"/>
        <w:spacing w:before="312" w:beforeLines="100" w:after="312" w:afterLines="100" w:line="600" w:lineRule="exact"/>
        <w:jc w:val="both"/>
        <w:rPr>
          <w:rFonts w:hint="eastAsia"/>
          <w:b/>
          <w:bCs/>
          <w:color w:val="auto"/>
          <w:sz w:val="32"/>
        </w:rPr>
      </w:pPr>
    </w:p>
    <w:p w14:paraId="41091593">
      <w:pPr>
        <w:pStyle w:val="10"/>
        <w:spacing w:before="312" w:beforeLines="100" w:after="312" w:afterLines="100" w:line="600" w:lineRule="exact"/>
        <w:jc w:val="center"/>
        <w:rPr>
          <w:b/>
          <w:bCs/>
          <w:color w:val="auto"/>
          <w:sz w:val="32"/>
          <w:u w:val="single"/>
        </w:rPr>
      </w:pPr>
      <w:r>
        <w:rPr>
          <w:rFonts w:hint="eastAsia"/>
          <w:b/>
          <w:bCs/>
          <w:color w:val="auto"/>
          <w:sz w:val="32"/>
        </w:rPr>
        <w:t xml:space="preserve"> 供  应  商：</w:t>
      </w:r>
      <w:r>
        <w:rPr>
          <w:rFonts w:hint="eastAsia"/>
          <w:b/>
          <w:bCs/>
          <w:color w:val="auto"/>
          <w:sz w:val="32"/>
          <w:u w:val="single"/>
        </w:rPr>
        <w:t xml:space="preserve">                     </w:t>
      </w:r>
      <w:r>
        <w:rPr>
          <w:rFonts w:hint="eastAsia"/>
          <w:b/>
          <w:bCs/>
          <w:color w:val="auto"/>
          <w:sz w:val="32"/>
        </w:rPr>
        <w:t>（电子印章）</w:t>
      </w:r>
    </w:p>
    <w:p w14:paraId="186F146F">
      <w:pPr>
        <w:pStyle w:val="10"/>
        <w:spacing w:before="312" w:beforeLines="100" w:after="312" w:afterLines="100" w:line="600" w:lineRule="exact"/>
        <w:ind w:firstLine="596" w:firstLineChars="198"/>
        <w:rPr>
          <w:b/>
          <w:bCs/>
          <w:color w:val="auto"/>
          <w:sz w:val="30"/>
          <w:szCs w:val="30"/>
        </w:rPr>
      </w:pPr>
      <w:r>
        <w:rPr>
          <w:rFonts w:hint="eastAsia"/>
          <w:b/>
          <w:bCs/>
          <w:color w:val="auto"/>
          <w:sz w:val="30"/>
          <w:szCs w:val="30"/>
        </w:rPr>
        <w:t>法定代表人或其委托代理人：</w:t>
      </w:r>
      <w:r>
        <w:rPr>
          <w:rFonts w:hint="eastAsia"/>
          <w:b/>
          <w:bCs/>
          <w:color w:val="auto"/>
          <w:sz w:val="30"/>
          <w:szCs w:val="30"/>
          <w:u w:val="single"/>
        </w:rPr>
        <w:t xml:space="preserve">              </w:t>
      </w:r>
      <w:r>
        <w:rPr>
          <w:rFonts w:hint="eastAsia"/>
          <w:b/>
          <w:bCs/>
          <w:color w:val="auto"/>
          <w:sz w:val="32"/>
        </w:rPr>
        <w:t>（电子签章）</w:t>
      </w:r>
    </w:p>
    <w:p w14:paraId="333CE13C">
      <w:pPr>
        <w:pStyle w:val="7"/>
        <w:spacing w:line="500" w:lineRule="exact"/>
        <w:ind w:left="0" w:leftChars="0" w:firstLine="2129" w:firstLineChars="707"/>
        <w:rPr>
          <w:b/>
          <w:bCs/>
          <w:color w:val="auto"/>
          <w:sz w:val="30"/>
          <w:szCs w:val="30"/>
        </w:rPr>
      </w:pPr>
      <w:r>
        <w:rPr>
          <w:rFonts w:hint="eastAsia"/>
          <w:b/>
          <w:bCs/>
          <w:color w:val="auto"/>
          <w:sz w:val="30"/>
          <w:szCs w:val="30"/>
        </w:rPr>
        <w:t>日      期：       年    月    日</w:t>
      </w:r>
    </w:p>
    <w:p w14:paraId="756496CD">
      <w:pPr>
        <w:rPr>
          <w:rFonts w:hint="eastAsia"/>
          <w:b/>
          <w:bCs/>
          <w:color w:val="auto"/>
          <w:sz w:val="30"/>
          <w:szCs w:val="30"/>
        </w:rPr>
      </w:pPr>
      <w:r>
        <w:rPr>
          <w:rFonts w:hint="eastAsia"/>
          <w:b/>
          <w:bCs/>
          <w:color w:val="auto"/>
          <w:sz w:val="30"/>
          <w:szCs w:val="30"/>
        </w:rPr>
        <w:br w:type="page"/>
      </w:r>
    </w:p>
    <w:p w14:paraId="785AECBB">
      <w:pPr>
        <w:pStyle w:val="10"/>
        <w:spacing w:before="312" w:beforeLines="100" w:after="312" w:afterLines="100" w:line="600" w:lineRule="exact"/>
        <w:jc w:val="both"/>
        <w:rPr>
          <w:rFonts w:hint="eastAsia"/>
          <w:b/>
          <w:color w:val="auto"/>
          <w:sz w:val="44"/>
          <w:szCs w:val="44"/>
        </w:rPr>
      </w:pPr>
    </w:p>
    <w:p w14:paraId="27B462CD">
      <w:pPr>
        <w:pStyle w:val="10"/>
        <w:spacing w:before="312" w:beforeLines="100" w:after="312" w:afterLines="100" w:line="600" w:lineRule="exact"/>
        <w:jc w:val="center"/>
        <w:rPr>
          <w:rFonts w:hint="eastAsia"/>
          <w:b/>
          <w:color w:val="auto"/>
          <w:sz w:val="44"/>
          <w:szCs w:val="44"/>
        </w:rPr>
      </w:pPr>
      <w:bookmarkStart w:id="799" w:name="_Toc2421"/>
      <w:r>
        <w:rPr>
          <w:rFonts w:hint="eastAsia"/>
          <w:b/>
          <w:color w:val="auto"/>
          <w:sz w:val="44"/>
          <w:szCs w:val="44"/>
        </w:rPr>
        <w:t>响应文件目录</w:t>
      </w:r>
    </w:p>
    <w:p w14:paraId="1EA86900">
      <w:pPr>
        <w:wordWrap/>
        <w:topLinePunct w:val="0"/>
        <w:autoSpaceDE w:val="0"/>
        <w:autoSpaceDN w:val="0"/>
        <w:adjustRightInd w:val="0"/>
        <w:spacing w:line="360" w:lineRule="auto"/>
        <w:ind w:right="40"/>
        <w:jc w:val="left"/>
        <w:rPr>
          <w:rFonts w:cs="微软雅黑"/>
          <w:color w:val="auto"/>
          <w:kern w:val="0"/>
          <w:sz w:val="28"/>
          <w:szCs w:val="28"/>
        </w:rPr>
      </w:pPr>
      <w:r>
        <w:rPr>
          <w:rFonts w:hint="eastAsia" w:cs="微软雅黑"/>
          <w:color w:val="auto"/>
          <w:kern w:val="0"/>
          <w:sz w:val="28"/>
          <w:szCs w:val="28"/>
        </w:rPr>
        <w:t>一、投标函及投标函附录</w:t>
      </w:r>
    </w:p>
    <w:p w14:paraId="577F603A">
      <w:pPr>
        <w:wordWrap/>
        <w:topLinePunct w:val="0"/>
        <w:autoSpaceDE w:val="0"/>
        <w:autoSpaceDN w:val="0"/>
        <w:adjustRightInd w:val="0"/>
        <w:spacing w:line="360" w:lineRule="auto"/>
        <w:ind w:right="40"/>
        <w:jc w:val="left"/>
        <w:rPr>
          <w:rFonts w:cs="微软雅黑"/>
          <w:color w:val="auto"/>
          <w:kern w:val="0"/>
          <w:sz w:val="28"/>
          <w:szCs w:val="28"/>
        </w:rPr>
      </w:pPr>
      <w:r>
        <w:rPr>
          <w:rFonts w:hint="eastAsia" w:cs="微软雅黑"/>
          <w:color w:val="auto"/>
          <w:kern w:val="0"/>
          <w:sz w:val="28"/>
          <w:szCs w:val="28"/>
        </w:rPr>
        <w:t>二、法定代表人身份证明或授权委托书</w:t>
      </w:r>
    </w:p>
    <w:p w14:paraId="0CC264A8">
      <w:pPr>
        <w:wordWrap/>
        <w:topLinePunct w:val="0"/>
        <w:autoSpaceDE w:val="0"/>
        <w:autoSpaceDN w:val="0"/>
        <w:adjustRightInd w:val="0"/>
        <w:spacing w:line="360" w:lineRule="auto"/>
        <w:ind w:right="40"/>
        <w:jc w:val="left"/>
        <w:rPr>
          <w:rFonts w:cs="微软雅黑"/>
          <w:color w:val="auto"/>
          <w:kern w:val="0"/>
          <w:sz w:val="28"/>
          <w:szCs w:val="28"/>
        </w:rPr>
      </w:pPr>
      <w:r>
        <w:rPr>
          <w:rFonts w:hint="eastAsia"/>
          <w:color w:val="auto"/>
          <w:kern w:val="0"/>
          <w:sz w:val="28"/>
          <w:szCs w:val="28"/>
        </w:rPr>
        <w:t>三、响应承诺函</w:t>
      </w:r>
    </w:p>
    <w:p w14:paraId="673F4289">
      <w:pPr>
        <w:wordWrap/>
        <w:topLinePunct w:val="0"/>
        <w:autoSpaceDE w:val="0"/>
        <w:autoSpaceDN w:val="0"/>
        <w:adjustRightInd w:val="0"/>
        <w:spacing w:line="360" w:lineRule="auto"/>
        <w:ind w:right="40"/>
        <w:jc w:val="left"/>
        <w:rPr>
          <w:rFonts w:cs="微软雅黑"/>
          <w:color w:val="auto"/>
          <w:kern w:val="0"/>
          <w:sz w:val="28"/>
          <w:szCs w:val="28"/>
        </w:rPr>
      </w:pPr>
      <w:r>
        <w:rPr>
          <w:rFonts w:hint="eastAsia" w:cs="微软雅黑"/>
          <w:color w:val="auto"/>
          <w:kern w:val="0"/>
          <w:sz w:val="28"/>
          <w:szCs w:val="28"/>
        </w:rPr>
        <w:t>四、供应商资格证明文件</w:t>
      </w:r>
    </w:p>
    <w:p w14:paraId="7CA6AF78">
      <w:pPr>
        <w:wordWrap/>
        <w:topLinePunct w:val="0"/>
        <w:autoSpaceDE w:val="0"/>
        <w:autoSpaceDN w:val="0"/>
        <w:adjustRightInd w:val="0"/>
        <w:spacing w:line="360" w:lineRule="auto"/>
        <w:ind w:right="40"/>
        <w:jc w:val="left"/>
        <w:rPr>
          <w:rFonts w:cs="微软雅黑"/>
          <w:color w:val="auto"/>
          <w:kern w:val="0"/>
          <w:sz w:val="28"/>
          <w:szCs w:val="28"/>
        </w:rPr>
      </w:pPr>
      <w:r>
        <w:rPr>
          <w:rFonts w:hint="eastAsia" w:cs="微软雅黑"/>
          <w:color w:val="auto"/>
          <w:kern w:val="0"/>
          <w:sz w:val="28"/>
          <w:szCs w:val="28"/>
        </w:rPr>
        <w:t>五、服务方案及各项措施</w:t>
      </w:r>
    </w:p>
    <w:p w14:paraId="07334E12">
      <w:pPr>
        <w:wordWrap/>
        <w:topLinePunct w:val="0"/>
        <w:autoSpaceDE w:val="0"/>
        <w:autoSpaceDN w:val="0"/>
        <w:adjustRightInd w:val="0"/>
        <w:spacing w:line="360" w:lineRule="auto"/>
        <w:ind w:right="40"/>
        <w:jc w:val="left"/>
        <w:rPr>
          <w:rFonts w:cs="微软雅黑"/>
          <w:color w:val="auto"/>
          <w:kern w:val="0"/>
          <w:sz w:val="28"/>
          <w:szCs w:val="28"/>
        </w:rPr>
      </w:pPr>
      <w:r>
        <w:rPr>
          <w:rFonts w:hint="eastAsia" w:cs="微软雅黑"/>
          <w:color w:val="auto"/>
          <w:kern w:val="0"/>
          <w:sz w:val="28"/>
          <w:szCs w:val="28"/>
        </w:rPr>
        <w:t>六、供应商近年完成类似项目清单</w:t>
      </w:r>
    </w:p>
    <w:p w14:paraId="021A32D0">
      <w:pPr>
        <w:wordWrap/>
        <w:topLinePunct w:val="0"/>
        <w:autoSpaceDE w:val="0"/>
        <w:autoSpaceDN w:val="0"/>
        <w:adjustRightInd w:val="0"/>
        <w:spacing w:line="360" w:lineRule="auto"/>
        <w:ind w:right="40"/>
        <w:jc w:val="left"/>
        <w:rPr>
          <w:rFonts w:cs="微软雅黑"/>
          <w:color w:val="auto"/>
          <w:kern w:val="0"/>
          <w:sz w:val="28"/>
          <w:szCs w:val="28"/>
        </w:rPr>
      </w:pPr>
      <w:r>
        <w:rPr>
          <w:rFonts w:hint="eastAsia" w:cs="微软雅黑"/>
          <w:color w:val="auto"/>
          <w:kern w:val="0"/>
          <w:sz w:val="28"/>
          <w:szCs w:val="28"/>
        </w:rPr>
        <w:t>七、人员配备状况</w:t>
      </w:r>
    </w:p>
    <w:p w14:paraId="5E897D73">
      <w:pPr>
        <w:wordWrap/>
        <w:topLinePunct w:val="0"/>
        <w:autoSpaceDE w:val="0"/>
        <w:autoSpaceDN w:val="0"/>
        <w:adjustRightInd w:val="0"/>
        <w:spacing w:line="360" w:lineRule="auto"/>
        <w:ind w:right="40"/>
        <w:jc w:val="left"/>
        <w:rPr>
          <w:rFonts w:cs="微软雅黑"/>
          <w:color w:val="auto"/>
          <w:kern w:val="0"/>
          <w:sz w:val="28"/>
          <w:szCs w:val="28"/>
        </w:rPr>
      </w:pPr>
      <w:r>
        <w:rPr>
          <w:rFonts w:hint="eastAsia" w:cs="微软雅黑"/>
          <w:color w:val="auto"/>
          <w:kern w:val="0"/>
          <w:sz w:val="28"/>
          <w:szCs w:val="28"/>
        </w:rPr>
        <w:t>八、其他资料</w:t>
      </w:r>
    </w:p>
    <w:p w14:paraId="5ED2DA31">
      <w:pPr>
        <w:pStyle w:val="3"/>
        <w:tabs>
          <w:tab w:val="left" w:pos="420"/>
          <w:tab w:val="left" w:pos="840"/>
        </w:tabs>
        <w:spacing w:line="360" w:lineRule="auto"/>
        <w:jc w:val="center"/>
        <w:rPr>
          <w:b w:val="0"/>
          <w:color w:val="auto"/>
          <w:sz w:val="28"/>
          <w:szCs w:val="28"/>
        </w:rPr>
      </w:pPr>
      <w:r>
        <w:rPr>
          <w:bCs w:val="0"/>
          <w:color w:val="auto"/>
          <w:sz w:val="28"/>
          <w:szCs w:val="28"/>
        </w:rPr>
        <w:br w:type="page"/>
      </w:r>
      <w:bookmarkStart w:id="800" w:name="_Toc20146"/>
      <w:bookmarkStart w:id="801" w:name="_Toc29623350"/>
      <w:bookmarkStart w:id="802" w:name="_Toc9356"/>
      <w:r>
        <w:rPr>
          <w:rFonts w:hint="eastAsia"/>
          <w:bCs w:val="0"/>
          <w:color w:val="auto"/>
          <w:sz w:val="28"/>
          <w:szCs w:val="28"/>
        </w:rPr>
        <w:t>一、</w:t>
      </w:r>
      <w:r>
        <w:rPr>
          <w:rFonts w:hint="eastAsia"/>
          <w:bCs w:val="0"/>
          <w:color w:val="auto"/>
          <w:lang w:val="zh-CN" w:eastAsia="zh-CN"/>
        </w:rPr>
        <w:t>投标</w:t>
      </w:r>
      <w:r>
        <w:rPr>
          <w:rFonts w:hint="eastAsia"/>
          <w:bCs w:val="0"/>
          <w:color w:val="auto"/>
          <w:lang w:val="zh-CN"/>
        </w:rPr>
        <w:t>函</w:t>
      </w:r>
      <w:bookmarkEnd w:id="799"/>
      <w:r>
        <w:rPr>
          <w:rFonts w:hint="eastAsia"/>
          <w:bCs w:val="0"/>
          <w:color w:val="auto"/>
          <w:lang w:val="zh-CN"/>
        </w:rPr>
        <w:t>及</w:t>
      </w:r>
      <w:r>
        <w:rPr>
          <w:rFonts w:hint="eastAsia"/>
          <w:bCs w:val="0"/>
          <w:color w:val="auto"/>
          <w:lang w:val="zh-CN" w:eastAsia="zh-CN"/>
        </w:rPr>
        <w:t>投标</w:t>
      </w:r>
      <w:r>
        <w:rPr>
          <w:rFonts w:hint="eastAsia"/>
          <w:bCs w:val="0"/>
          <w:color w:val="auto"/>
          <w:lang w:val="zh-CN"/>
        </w:rPr>
        <w:t>函附录</w:t>
      </w:r>
      <w:bookmarkEnd w:id="800"/>
      <w:bookmarkEnd w:id="801"/>
      <w:bookmarkEnd w:id="802"/>
    </w:p>
    <w:p w14:paraId="6E4066BD">
      <w:pPr>
        <w:pStyle w:val="4"/>
        <w:jc w:val="center"/>
        <w:rPr>
          <w:color w:val="auto"/>
          <w:sz w:val="24"/>
          <w:szCs w:val="24"/>
        </w:rPr>
      </w:pPr>
      <w:bookmarkStart w:id="803" w:name="_Toc29623351"/>
      <w:r>
        <w:rPr>
          <w:rFonts w:hint="eastAsia"/>
          <w:color w:val="auto"/>
          <w:sz w:val="24"/>
          <w:szCs w:val="24"/>
          <w:lang w:val="zh-CN"/>
        </w:rPr>
        <w:t>（一）</w:t>
      </w:r>
      <w:r>
        <w:rPr>
          <w:rFonts w:hint="eastAsia"/>
          <w:color w:val="auto"/>
          <w:sz w:val="24"/>
          <w:szCs w:val="24"/>
          <w:lang w:val="zh-CN" w:eastAsia="zh-CN"/>
        </w:rPr>
        <w:t>投标</w:t>
      </w:r>
      <w:r>
        <w:rPr>
          <w:rFonts w:hint="eastAsia"/>
          <w:color w:val="auto"/>
          <w:sz w:val="24"/>
          <w:szCs w:val="24"/>
          <w:lang w:val="zh-CN"/>
        </w:rPr>
        <w:t>函</w:t>
      </w:r>
      <w:bookmarkEnd w:id="803"/>
    </w:p>
    <w:p w14:paraId="1F73899D">
      <w:pPr>
        <w:spacing w:line="440" w:lineRule="exact"/>
        <w:rPr>
          <w:color w:val="auto"/>
        </w:rPr>
      </w:pPr>
      <w:r>
        <w:rPr>
          <w:rFonts w:hint="eastAsia"/>
          <w:color w:val="auto"/>
          <w:u w:val="single"/>
        </w:rPr>
        <w:t xml:space="preserve">            </w:t>
      </w:r>
      <w:r>
        <w:rPr>
          <w:rFonts w:hint="eastAsia"/>
          <w:color w:val="auto"/>
        </w:rPr>
        <w:t>（采购人名称）</w:t>
      </w:r>
    </w:p>
    <w:p w14:paraId="2FF72CE9">
      <w:pPr>
        <w:pStyle w:val="8"/>
        <w:tabs>
          <w:tab w:val="left" w:pos="0"/>
        </w:tabs>
        <w:spacing w:line="440" w:lineRule="exact"/>
        <w:ind w:firstLine="420" w:firstLineChars="200"/>
        <w:rPr>
          <w:color w:val="auto"/>
          <w:sz w:val="21"/>
        </w:rPr>
      </w:pPr>
      <w:r>
        <w:rPr>
          <w:rFonts w:hint="eastAsia"/>
          <w:color w:val="auto"/>
          <w:sz w:val="21"/>
        </w:rPr>
        <w:t>1.我方已仔细研究了</w:t>
      </w:r>
      <w:r>
        <w:rPr>
          <w:rFonts w:hint="eastAsia"/>
          <w:color w:val="auto"/>
          <w:sz w:val="21"/>
          <w:u w:val="single"/>
        </w:rPr>
        <w:t xml:space="preserve"> </w:t>
      </w:r>
      <w:r>
        <w:rPr>
          <w:rFonts w:hint="eastAsia"/>
          <w:color w:val="auto"/>
          <w:sz w:val="21"/>
          <w:u w:val="single"/>
        </w:rPr>
        <w:tab/>
      </w:r>
      <w:r>
        <w:rPr>
          <w:rFonts w:hint="eastAsia"/>
          <w:color w:val="auto"/>
          <w:sz w:val="21"/>
          <w:u w:val="single"/>
        </w:rPr>
        <w:t xml:space="preserve">                        </w:t>
      </w:r>
      <w:r>
        <w:rPr>
          <w:rFonts w:hint="eastAsia"/>
          <w:color w:val="auto"/>
          <w:sz w:val="21"/>
        </w:rPr>
        <w:t>（项目名称）采购招标文件的全部内容，愿意以人民币（大写）</w:t>
      </w:r>
      <w:r>
        <w:rPr>
          <w:rFonts w:hint="eastAsia"/>
          <w:color w:val="auto"/>
          <w:sz w:val="21"/>
          <w:u w:val="single"/>
        </w:rPr>
        <w:t xml:space="preserve">          </w:t>
      </w:r>
      <w:r>
        <w:rPr>
          <w:rFonts w:hint="eastAsia"/>
          <w:color w:val="auto"/>
          <w:sz w:val="21"/>
        </w:rPr>
        <w:t>（¥</w:t>
      </w:r>
      <w:r>
        <w:rPr>
          <w:rFonts w:hint="eastAsia"/>
          <w:color w:val="auto"/>
          <w:sz w:val="21"/>
          <w:u w:val="single"/>
        </w:rPr>
        <w:t xml:space="preserve">    </w:t>
      </w:r>
      <w:r>
        <w:rPr>
          <w:rFonts w:hint="eastAsia"/>
          <w:color w:val="auto"/>
          <w:sz w:val="21"/>
          <w:u w:val="single"/>
        </w:rPr>
        <w:tab/>
      </w:r>
      <w:r>
        <w:rPr>
          <w:rFonts w:hint="eastAsia"/>
          <w:color w:val="auto"/>
          <w:sz w:val="21"/>
          <w:u w:val="single"/>
        </w:rPr>
        <w:t xml:space="preserve"> </w:t>
      </w:r>
      <w:r>
        <w:rPr>
          <w:rFonts w:hint="eastAsia"/>
          <w:color w:val="auto"/>
          <w:sz w:val="21"/>
        </w:rPr>
        <w:t>元）的投标报价，按合同约定完成全部合同内容。</w:t>
      </w:r>
    </w:p>
    <w:p w14:paraId="3D5F08C1">
      <w:pPr>
        <w:pStyle w:val="8"/>
        <w:tabs>
          <w:tab w:val="left" w:pos="720"/>
        </w:tabs>
        <w:spacing w:line="440" w:lineRule="exact"/>
        <w:ind w:firstLine="420" w:firstLineChars="200"/>
        <w:rPr>
          <w:rFonts w:hint="eastAsia"/>
          <w:color w:val="auto"/>
          <w:sz w:val="21"/>
        </w:rPr>
      </w:pPr>
      <w:r>
        <w:rPr>
          <w:rFonts w:hint="eastAsia"/>
          <w:color w:val="auto"/>
          <w:sz w:val="21"/>
        </w:rPr>
        <w:t>2. 我方承诺在投标有效期内不修改、撤销响应文件。</w:t>
      </w:r>
    </w:p>
    <w:p w14:paraId="5AC2EC59">
      <w:pPr>
        <w:pStyle w:val="8"/>
        <w:tabs>
          <w:tab w:val="left" w:pos="720"/>
        </w:tabs>
        <w:spacing w:line="440" w:lineRule="exact"/>
        <w:ind w:firstLine="420" w:firstLineChars="200"/>
        <w:rPr>
          <w:color w:val="auto"/>
          <w:sz w:val="21"/>
        </w:rPr>
      </w:pPr>
      <w:r>
        <w:rPr>
          <w:rFonts w:hint="eastAsia"/>
          <w:color w:val="auto"/>
          <w:sz w:val="21"/>
        </w:rPr>
        <w:t>3. 如我方中标：</w:t>
      </w:r>
      <w:r>
        <w:rPr>
          <w:rFonts w:hint="eastAsia" w:ascii="MS Gothic" w:hAnsi="MS Gothic" w:eastAsia="MS Gothic" w:cs="MS Gothic"/>
          <w:color w:val="auto"/>
          <w:sz w:val="21"/>
        </w:rPr>
        <w:t>​</w:t>
      </w:r>
    </w:p>
    <w:p w14:paraId="28C2ED6B">
      <w:pPr>
        <w:pStyle w:val="8"/>
        <w:tabs>
          <w:tab w:val="left" w:pos="720"/>
        </w:tabs>
        <w:spacing w:line="440" w:lineRule="exact"/>
        <w:ind w:firstLine="420" w:firstLineChars="200"/>
        <w:rPr>
          <w:color w:val="auto"/>
          <w:sz w:val="21"/>
        </w:rPr>
      </w:pPr>
      <w:r>
        <w:rPr>
          <w:rFonts w:hint="eastAsia"/>
          <w:color w:val="auto"/>
          <w:sz w:val="21"/>
        </w:rPr>
        <w:t>（</w:t>
      </w:r>
      <w:r>
        <w:rPr>
          <w:color w:val="auto"/>
          <w:sz w:val="21"/>
        </w:rPr>
        <w:t>1</w:t>
      </w:r>
      <w:r>
        <w:rPr>
          <w:rFonts w:hint="eastAsia"/>
          <w:color w:val="auto"/>
          <w:sz w:val="21"/>
        </w:rPr>
        <w:t>）我方承诺在收到中标通知书后，在中标通知书规定的期限内与你方签订合同。</w:t>
      </w:r>
    </w:p>
    <w:p w14:paraId="26ACB5E3">
      <w:pPr>
        <w:pStyle w:val="8"/>
        <w:tabs>
          <w:tab w:val="left" w:pos="720"/>
        </w:tabs>
        <w:spacing w:line="440" w:lineRule="exact"/>
        <w:ind w:firstLine="420" w:firstLineChars="200"/>
        <w:rPr>
          <w:color w:val="auto"/>
          <w:sz w:val="21"/>
        </w:rPr>
      </w:pPr>
      <w:r>
        <w:rPr>
          <w:rFonts w:hint="eastAsia"/>
          <w:color w:val="auto"/>
          <w:sz w:val="21"/>
        </w:rPr>
        <w:t>（</w:t>
      </w:r>
      <w:r>
        <w:rPr>
          <w:color w:val="auto"/>
          <w:sz w:val="21"/>
        </w:rPr>
        <w:t>2</w:t>
      </w:r>
      <w:r>
        <w:rPr>
          <w:rFonts w:hint="eastAsia"/>
          <w:color w:val="auto"/>
          <w:sz w:val="21"/>
        </w:rPr>
        <w:t>）随同本投标函递交的投标函附录属于合同文件的组成部分。</w:t>
      </w:r>
    </w:p>
    <w:p w14:paraId="19E086CE">
      <w:pPr>
        <w:pStyle w:val="8"/>
        <w:tabs>
          <w:tab w:val="left" w:pos="720"/>
        </w:tabs>
        <w:spacing w:line="440" w:lineRule="exact"/>
        <w:ind w:firstLine="420" w:firstLineChars="200"/>
        <w:rPr>
          <w:color w:val="auto"/>
          <w:sz w:val="21"/>
        </w:rPr>
      </w:pPr>
      <w:r>
        <w:rPr>
          <w:rFonts w:hint="eastAsia"/>
          <w:color w:val="auto"/>
          <w:sz w:val="21"/>
        </w:rPr>
        <w:t>（</w:t>
      </w:r>
      <w:r>
        <w:rPr>
          <w:color w:val="auto"/>
          <w:sz w:val="21"/>
        </w:rPr>
        <w:t>3</w:t>
      </w:r>
      <w:r>
        <w:rPr>
          <w:rFonts w:hint="eastAsia"/>
          <w:color w:val="auto"/>
          <w:sz w:val="21"/>
        </w:rPr>
        <w:t>）我方承诺在合同约定的期限内完成全部合同内容。</w:t>
      </w:r>
    </w:p>
    <w:p w14:paraId="075E5707">
      <w:pPr>
        <w:pStyle w:val="8"/>
        <w:tabs>
          <w:tab w:val="left" w:pos="720"/>
        </w:tabs>
        <w:spacing w:line="440" w:lineRule="exact"/>
        <w:ind w:firstLine="420" w:firstLineChars="200"/>
        <w:rPr>
          <w:color w:val="auto"/>
          <w:sz w:val="21"/>
        </w:rPr>
      </w:pPr>
      <w:r>
        <w:rPr>
          <w:rFonts w:hint="eastAsia"/>
          <w:color w:val="auto"/>
          <w:sz w:val="21"/>
        </w:rPr>
        <w:t>3.我方已详细审查全部竞争性磋商文件，包括修改文件以及全部参考资料和有关附件。我们完全理解并同意放弃对这方面有不明及误解的权力。</w:t>
      </w:r>
    </w:p>
    <w:p w14:paraId="77460A9A">
      <w:pPr>
        <w:pStyle w:val="8"/>
        <w:tabs>
          <w:tab w:val="left" w:pos="720"/>
        </w:tabs>
        <w:spacing w:line="440" w:lineRule="exact"/>
        <w:ind w:firstLine="420" w:firstLineChars="200"/>
        <w:rPr>
          <w:color w:val="auto"/>
          <w:sz w:val="21"/>
        </w:rPr>
      </w:pPr>
      <w:r>
        <w:rPr>
          <w:rFonts w:hint="eastAsia"/>
          <w:color w:val="auto"/>
          <w:sz w:val="21"/>
        </w:rPr>
        <w:t>4.</w:t>
      </w:r>
      <w:r>
        <w:rPr>
          <w:color w:val="auto"/>
          <w:sz w:val="21"/>
        </w:rPr>
        <w:t xml:space="preserve"> </w:t>
      </w:r>
      <w:r>
        <w:rPr>
          <w:rFonts w:hint="eastAsia"/>
          <w:color w:val="auto"/>
          <w:sz w:val="21"/>
        </w:rPr>
        <w:t>我方在此声明，所递交的响应文件及有关资料内容完整、真实和准确。</w:t>
      </w:r>
    </w:p>
    <w:p w14:paraId="3AB2DCA0">
      <w:pPr>
        <w:pStyle w:val="8"/>
        <w:tabs>
          <w:tab w:val="left" w:pos="720"/>
        </w:tabs>
        <w:spacing w:line="440" w:lineRule="exact"/>
        <w:ind w:firstLine="420" w:firstLineChars="200"/>
        <w:rPr>
          <w:color w:val="auto"/>
          <w:sz w:val="21"/>
        </w:rPr>
      </w:pPr>
      <w:r>
        <w:rPr>
          <w:color w:val="auto"/>
          <w:sz w:val="21"/>
        </w:rPr>
        <w:t xml:space="preserve"> </w:t>
      </w:r>
    </w:p>
    <w:p w14:paraId="00280FD8">
      <w:pPr>
        <w:rPr>
          <w:color w:val="auto"/>
        </w:rPr>
      </w:pPr>
    </w:p>
    <w:p w14:paraId="0AFA59DB">
      <w:pPr>
        <w:pStyle w:val="30"/>
        <w:rPr>
          <w:color w:val="auto"/>
        </w:rPr>
      </w:pPr>
    </w:p>
    <w:p w14:paraId="6154CF94">
      <w:pPr>
        <w:ind w:left="420" w:firstLine="3150" w:firstLineChars="1500"/>
        <w:rPr>
          <w:color w:val="auto"/>
        </w:rPr>
      </w:pPr>
      <w:r>
        <w:rPr>
          <w:rFonts w:hint="eastAsia"/>
          <w:color w:val="auto"/>
        </w:rPr>
        <w:t>供应商：</w:t>
      </w:r>
      <w:r>
        <w:rPr>
          <w:rFonts w:hint="eastAsia"/>
          <w:color w:val="auto"/>
          <w:u w:val="single"/>
        </w:rPr>
        <w:t xml:space="preserve">                               </w:t>
      </w:r>
      <w:r>
        <w:rPr>
          <w:rFonts w:hint="eastAsia"/>
          <w:color w:val="auto"/>
          <w:lang w:val="zh-CN"/>
        </w:rPr>
        <w:t>（电子印章）</w:t>
      </w:r>
    </w:p>
    <w:p w14:paraId="12C5B035">
      <w:pPr>
        <w:ind w:left="420"/>
        <w:rPr>
          <w:color w:val="auto"/>
        </w:rPr>
      </w:pPr>
      <w:r>
        <w:rPr>
          <w:rFonts w:hint="eastAsia"/>
          <w:color w:val="auto"/>
        </w:rPr>
        <w:t xml:space="preserve">     </w:t>
      </w:r>
    </w:p>
    <w:p w14:paraId="1F49A6B7">
      <w:pPr>
        <w:ind w:left="420" w:firstLine="3675" w:firstLineChars="1750"/>
        <w:rPr>
          <w:color w:val="auto"/>
        </w:rPr>
      </w:pPr>
      <w:r>
        <w:rPr>
          <w:rFonts w:hint="eastAsia"/>
          <w:color w:val="auto"/>
        </w:rPr>
        <w:t>法定代表人或其委托代理人：</w:t>
      </w:r>
      <w:r>
        <w:rPr>
          <w:rFonts w:hint="eastAsia"/>
          <w:color w:val="auto"/>
          <w:u w:val="single"/>
        </w:rPr>
        <w:t xml:space="preserve">        </w:t>
      </w:r>
      <w:r>
        <w:rPr>
          <w:rFonts w:hint="eastAsia"/>
          <w:color w:val="auto"/>
          <w:lang w:val="zh-CN"/>
        </w:rPr>
        <w:t>（电子签章）</w:t>
      </w:r>
    </w:p>
    <w:p w14:paraId="38721B58">
      <w:pPr>
        <w:spacing w:line="440" w:lineRule="exact"/>
        <w:rPr>
          <w:color w:val="auto"/>
        </w:rPr>
      </w:pPr>
      <w:r>
        <w:rPr>
          <w:rFonts w:hint="eastAsia"/>
          <w:color w:val="auto"/>
        </w:rPr>
        <w:t xml:space="preserve">                                                         日期：    年   月    日</w:t>
      </w:r>
    </w:p>
    <w:p w14:paraId="060C5D7C">
      <w:pPr>
        <w:pStyle w:val="30"/>
        <w:rPr>
          <w:color w:val="auto"/>
        </w:rPr>
      </w:pPr>
    </w:p>
    <w:p w14:paraId="68CB9B87">
      <w:pPr>
        <w:pStyle w:val="30"/>
        <w:rPr>
          <w:color w:val="auto"/>
        </w:rPr>
      </w:pPr>
    </w:p>
    <w:p w14:paraId="3E2B8699">
      <w:pPr>
        <w:pStyle w:val="30"/>
        <w:rPr>
          <w:color w:val="auto"/>
        </w:rPr>
      </w:pPr>
    </w:p>
    <w:p w14:paraId="3A869F13">
      <w:pPr>
        <w:pStyle w:val="30"/>
        <w:rPr>
          <w:color w:val="auto"/>
        </w:rPr>
      </w:pPr>
    </w:p>
    <w:p w14:paraId="687BAC6B">
      <w:pPr>
        <w:pStyle w:val="30"/>
        <w:rPr>
          <w:color w:val="auto"/>
        </w:rPr>
      </w:pPr>
    </w:p>
    <w:p w14:paraId="375B8C69">
      <w:pPr>
        <w:pStyle w:val="30"/>
        <w:rPr>
          <w:color w:val="auto"/>
        </w:rPr>
      </w:pPr>
    </w:p>
    <w:p w14:paraId="53D15C47">
      <w:pPr>
        <w:pStyle w:val="30"/>
        <w:rPr>
          <w:color w:val="auto"/>
        </w:rPr>
      </w:pPr>
    </w:p>
    <w:p w14:paraId="3178740D">
      <w:pPr>
        <w:pStyle w:val="30"/>
        <w:rPr>
          <w:color w:val="auto"/>
        </w:rPr>
      </w:pPr>
    </w:p>
    <w:p w14:paraId="41557979">
      <w:pPr>
        <w:pStyle w:val="30"/>
        <w:rPr>
          <w:color w:val="auto"/>
        </w:rPr>
      </w:pPr>
    </w:p>
    <w:p w14:paraId="06AC78DB">
      <w:pPr>
        <w:pStyle w:val="4"/>
        <w:jc w:val="center"/>
        <w:rPr>
          <w:color w:val="auto"/>
          <w:sz w:val="24"/>
          <w:szCs w:val="24"/>
          <w:lang w:val="zh-CN" w:eastAsia="zh-CN"/>
        </w:rPr>
      </w:pPr>
      <w:bookmarkStart w:id="804" w:name="_Toc21386"/>
      <w:bookmarkStart w:id="805" w:name="_Toc29623352"/>
      <w:bookmarkStart w:id="806" w:name="_Toc3896"/>
      <w:bookmarkStart w:id="807" w:name="_Toc21652"/>
      <w:r>
        <w:rPr>
          <w:rFonts w:hint="eastAsia"/>
          <w:color w:val="auto"/>
          <w:sz w:val="24"/>
          <w:szCs w:val="24"/>
          <w:lang w:val="zh-CN"/>
        </w:rPr>
        <w:t>（二）</w:t>
      </w:r>
      <w:r>
        <w:rPr>
          <w:rFonts w:hint="eastAsia"/>
          <w:color w:val="auto"/>
          <w:sz w:val="24"/>
          <w:szCs w:val="24"/>
          <w:lang w:val="zh-CN" w:eastAsia="zh-CN"/>
        </w:rPr>
        <w:t>投标</w:t>
      </w:r>
      <w:r>
        <w:rPr>
          <w:rFonts w:hint="eastAsia"/>
          <w:color w:val="auto"/>
          <w:sz w:val="24"/>
          <w:szCs w:val="24"/>
          <w:lang w:val="zh-CN"/>
        </w:rPr>
        <w:t>函附录（第一轮报价）</w:t>
      </w:r>
      <w:bookmarkEnd w:id="804"/>
      <w:bookmarkEnd w:id="805"/>
      <w:bookmarkEnd w:id="806"/>
    </w:p>
    <w:p w14:paraId="784C4D9F">
      <w:pPr>
        <w:rPr>
          <w:color w:val="auto"/>
          <w:lang w:val="zh-CN"/>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9"/>
        <w:gridCol w:w="6015"/>
      </w:tblGrid>
      <w:tr w14:paraId="7551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75D2E9B2">
            <w:pPr>
              <w:widowControl/>
              <w:spacing w:line="360" w:lineRule="auto"/>
              <w:jc w:val="center"/>
              <w:rPr>
                <w:color w:val="auto"/>
              </w:rPr>
            </w:pPr>
            <w:r>
              <w:rPr>
                <w:rFonts w:hint="eastAsia"/>
                <w:color w:val="auto"/>
              </w:rPr>
              <w:t>项目名称</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6D03E23D">
            <w:pPr>
              <w:widowControl/>
              <w:spacing w:line="360" w:lineRule="auto"/>
              <w:jc w:val="center"/>
              <w:rPr>
                <w:color w:val="auto"/>
              </w:rPr>
            </w:pPr>
          </w:p>
        </w:tc>
      </w:tr>
      <w:tr w14:paraId="7E82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27570376">
            <w:pPr>
              <w:widowControl/>
              <w:spacing w:line="360" w:lineRule="auto"/>
              <w:jc w:val="center"/>
              <w:rPr>
                <w:color w:val="auto"/>
              </w:rPr>
            </w:pPr>
            <w:r>
              <w:rPr>
                <w:rFonts w:hint="eastAsia"/>
                <w:color w:val="auto"/>
              </w:rPr>
              <w:t>供应商</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6F638037">
            <w:pPr>
              <w:widowControl/>
              <w:spacing w:line="360" w:lineRule="auto"/>
              <w:jc w:val="center"/>
              <w:rPr>
                <w:color w:val="auto"/>
              </w:rPr>
            </w:pPr>
          </w:p>
        </w:tc>
      </w:tr>
      <w:tr w14:paraId="6AF3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2389" w:type="dxa"/>
            <w:tcBorders>
              <w:top w:val="single" w:color="auto" w:sz="4" w:space="0"/>
              <w:left w:val="single" w:color="auto" w:sz="4" w:space="0"/>
              <w:right w:val="single" w:color="auto" w:sz="4" w:space="0"/>
            </w:tcBorders>
            <w:noWrap w:val="0"/>
            <w:vAlign w:val="center"/>
          </w:tcPr>
          <w:p w14:paraId="05F376AB">
            <w:pPr>
              <w:widowControl/>
              <w:jc w:val="center"/>
              <w:rPr>
                <w:color w:val="auto"/>
              </w:rPr>
            </w:pPr>
            <w:r>
              <w:rPr>
                <w:rFonts w:hint="eastAsia"/>
                <w:color w:val="auto"/>
              </w:rPr>
              <w:t>投标报价</w:t>
            </w:r>
          </w:p>
          <w:p w14:paraId="7D4BFB07">
            <w:pPr>
              <w:widowControl/>
              <w:jc w:val="center"/>
              <w:rPr>
                <w:color w:val="auto"/>
              </w:rPr>
            </w:pPr>
            <w:r>
              <w:rPr>
                <w:rFonts w:hint="eastAsia"/>
                <w:color w:val="auto"/>
              </w:rPr>
              <w:t>（首次报价）</w:t>
            </w:r>
          </w:p>
        </w:tc>
        <w:tc>
          <w:tcPr>
            <w:tcW w:w="6015" w:type="dxa"/>
            <w:tcBorders>
              <w:top w:val="single" w:color="auto" w:sz="4" w:space="0"/>
              <w:left w:val="single" w:color="auto" w:sz="4" w:space="0"/>
              <w:right w:val="single" w:color="auto" w:sz="4" w:space="0"/>
            </w:tcBorders>
            <w:noWrap w:val="0"/>
            <w:vAlign w:val="center"/>
          </w:tcPr>
          <w:p w14:paraId="7279C680">
            <w:pPr>
              <w:spacing w:line="480" w:lineRule="auto"/>
              <w:rPr>
                <w:color w:val="auto"/>
                <w:u w:val="single"/>
              </w:rPr>
            </w:pPr>
            <w:r>
              <w:rPr>
                <w:rFonts w:hint="eastAsia"/>
                <w:color w:val="auto"/>
              </w:rPr>
              <w:t>大写：</w:t>
            </w:r>
            <w:r>
              <w:rPr>
                <w:rFonts w:hint="eastAsia"/>
                <w:color w:val="auto"/>
                <w:u w:val="single"/>
              </w:rPr>
              <w:t xml:space="preserve">                </w:t>
            </w:r>
          </w:p>
          <w:p w14:paraId="7418034B">
            <w:pPr>
              <w:spacing w:line="480" w:lineRule="auto"/>
              <w:rPr>
                <w:color w:val="auto"/>
                <w:u w:val="single"/>
              </w:rPr>
            </w:pPr>
            <w:r>
              <w:rPr>
                <w:rFonts w:hint="eastAsia"/>
                <w:color w:val="auto"/>
              </w:rPr>
              <w:t>小写：</w:t>
            </w:r>
            <w:r>
              <w:rPr>
                <w:rFonts w:hint="eastAsia"/>
                <w:color w:val="auto"/>
                <w:u w:val="single"/>
              </w:rPr>
              <w:t xml:space="preserve">￥              </w:t>
            </w:r>
          </w:p>
        </w:tc>
      </w:tr>
      <w:tr w14:paraId="2603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389" w:type="dxa"/>
            <w:tcBorders>
              <w:top w:val="single" w:color="auto" w:sz="4" w:space="0"/>
              <w:left w:val="single" w:color="auto" w:sz="4" w:space="0"/>
              <w:right w:val="single" w:color="auto" w:sz="4" w:space="0"/>
            </w:tcBorders>
            <w:noWrap w:val="0"/>
            <w:vAlign w:val="center"/>
          </w:tcPr>
          <w:p w14:paraId="45516E01">
            <w:pPr>
              <w:widowControl/>
              <w:jc w:val="center"/>
              <w:rPr>
                <w:color w:val="auto"/>
              </w:rPr>
            </w:pPr>
            <w:r>
              <w:rPr>
                <w:rFonts w:hint="eastAsia"/>
                <w:color w:val="auto"/>
              </w:rPr>
              <w:t>服务地点</w:t>
            </w:r>
          </w:p>
        </w:tc>
        <w:tc>
          <w:tcPr>
            <w:tcW w:w="6015" w:type="dxa"/>
            <w:tcBorders>
              <w:top w:val="single" w:color="auto" w:sz="4" w:space="0"/>
              <w:left w:val="single" w:color="auto" w:sz="4" w:space="0"/>
              <w:right w:val="single" w:color="auto" w:sz="4" w:space="0"/>
            </w:tcBorders>
            <w:noWrap w:val="0"/>
            <w:vAlign w:val="center"/>
          </w:tcPr>
          <w:p w14:paraId="795A0AF5">
            <w:pPr>
              <w:widowControl/>
              <w:spacing w:line="500" w:lineRule="exact"/>
              <w:jc w:val="center"/>
              <w:rPr>
                <w:b/>
                <w:bCs/>
                <w:color w:val="auto"/>
              </w:rPr>
            </w:pPr>
          </w:p>
        </w:tc>
      </w:tr>
      <w:tr w14:paraId="49F0A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291DE6C6">
            <w:pPr>
              <w:widowControl/>
              <w:spacing w:line="360" w:lineRule="auto"/>
              <w:jc w:val="center"/>
              <w:rPr>
                <w:color w:val="auto"/>
              </w:rPr>
            </w:pPr>
            <w:r>
              <w:rPr>
                <w:rFonts w:hint="eastAsia"/>
                <w:color w:val="auto"/>
              </w:rPr>
              <w:t>服务期限</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601D8BDD">
            <w:pPr>
              <w:widowControl/>
              <w:spacing w:line="360" w:lineRule="auto"/>
              <w:jc w:val="center"/>
              <w:rPr>
                <w:color w:val="auto"/>
              </w:rPr>
            </w:pPr>
            <w:r>
              <w:rPr>
                <w:rFonts w:hint="eastAsia"/>
                <w:color w:val="auto"/>
              </w:rPr>
              <w:t>自合同签订之日起      年</w:t>
            </w:r>
          </w:p>
        </w:tc>
      </w:tr>
      <w:tr w14:paraId="481A6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6F06F965">
            <w:pPr>
              <w:widowControl/>
              <w:spacing w:line="360" w:lineRule="auto"/>
              <w:jc w:val="center"/>
              <w:rPr>
                <w:color w:val="auto"/>
              </w:rPr>
            </w:pPr>
            <w:r>
              <w:rPr>
                <w:rFonts w:hint="eastAsia"/>
                <w:color w:val="auto"/>
              </w:rPr>
              <w:t>服务要求</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6C1C0EE3">
            <w:pPr>
              <w:widowControl/>
              <w:spacing w:line="360" w:lineRule="auto"/>
              <w:jc w:val="center"/>
              <w:rPr>
                <w:color w:val="auto"/>
              </w:rPr>
            </w:pPr>
          </w:p>
        </w:tc>
      </w:tr>
      <w:tr w14:paraId="48C05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3D98C873">
            <w:pPr>
              <w:widowControl/>
              <w:spacing w:line="360" w:lineRule="exact"/>
              <w:jc w:val="center"/>
              <w:rPr>
                <w:color w:val="auto"/>
              </w:rPr>
            </w:pPr>
            <w:r>
              <w:rPr>
                <w:rFonts w:hint="eastAsia"/>
                <w:color w:val="auto"/>
              </w:rPr>
              <w:t>优惠与</w:t>
            </w:r>
          </w:p>
          <w:p w14:paraId="1D25B4AA">
            <w:pPr>
              <w:widowControl/>
              <w:spacing w:line="360" w:lineRule="exact"/>
              <w:jc w:val="center"/>
              <w:rPr>
                <w:color w:val="auto"/>
              </w:rPr>
            </w:pPr>
            <w:r>
              <w:rPr>
                <w:rFonts w:hint="eastAsia"/>
                <w:color w:val="auto"/>
              </w:rPr>
              <w:t>服务承诺</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18791AC7">
            <w:pPr>
              <w:widowControl/>
              <w:spacing w:line="360" w:lineRule="exact"/>
              <w:jc w:val="center"/>
              <w:rPr>
                <w:color w:val="auto"/>
              </w:rPr>
            </w:pPr>
            <w:r>
              <w:rPr>
                <w:rFonts w:hint="eastAsia"/>
                <w:color w:val="auto"/>
              </w:rPr>
              <w:t>（可另附页）</w:t>
            </w:r>
          </w:p>
        </w:tc>
      </w:tr>
      <w:tr w14:paraId="2FC4F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21FCE4A4">
            <w:pPr>
              <w:spacing w:line="360" w:lineRule="auto"/>
              <w:jc w:val="center"/>
              <w:rPr>
                <w:color w:val="auto"/>
              </w:rPr>
            </w:pPr>
            <w:r>
              <w:rPr>
                <w:rFonts w:hint="eastAsia"/>
                <w:color w:val="auto"/>
              </w:rPr>
              <w:t>备  注</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083E53F4">
            <w:pPr>
              <w:widowControl/>
              <w:spacing w:line="360" w:lineRule="auto"/>
              <w:jc w:val="center"/>
              <w:rPr>
                <w:color w:val="auto"/>
              </w:rPr>
            </w:pPr>
          </w:p>
        </w:tc>
      </w:tr>
    </w:tbl>
    <w:p w14:paraId="32214693">
      <w:pPr>
        <w:rPr>
          <w:color w:val="auto"/>
        </w:rPr>
      </w:pPr>
    </w:p>
    <w:p w14:paraId="32B19432">
      <w:pPr>
        <w:rPr>
          <w:color w:val="auto"/>
        </w:rPr>
      </w:pPr>
    </w:p>
    <w:p w14:paraId="0A34EA7B">
      <w:pPr>
        <w:rPr>
          <w:color w:val="auto"/>
        </w:rPr>
      </w:pPr>
    </w:p>
    <w:p w14:paraId="02981E91">
      <w:pPr>
        <w:rPr>
          <w:color w:val="auto"/>
        </w:rPr>
      </w:pPr>
    </w:p>
    <w:p w14:paraId="1B370745">
      <w:pPr>
        <w:rPr>
          <w:color w:val="auto"/>
        </w:rPr>
      </w:pPr>
      <w:r>
        <w:rPr>
          <w:rFonts w:hint="eastAsia"/>
          <w:color w:val="auto"/>
        </w:rPr>
        <w:t>供应商：</w:t>
      </w:r>
      <w:r>
        <w:rPr>
          <w:rFonts w:hint="eastAsia"/>
          <w:color w:val="auto"/>
          <w:u w:val="single"/>
        </w:rPr>
        <w:t xml:space="preserve">                               </w:t>
      </w:r>
      <w:r>
        <w:rPr>
          <w:rFonts w:hint="eastAsia"/>
          <w:color w:val="auto"/>
          <w:lang w:val="zh-CN"/>
        </w:rPr>
        <w:t>（电子印章）</w:t>
      </w:r>
    </w:p>
    <w:p w14:paraId="764D9662">
      <w:pPr>
        <w:rPr>
          <w:color w:val="auto"/>
        </w:rPr>
      </w:pPr>
      <w:r>
        <w:rPr>
          <w:rFonts w:hint="eastAsia"/>
          <w:color w:val="auto"/>
        </w:rPr>
        <w:t xml:space="preserve">     </w:t>
      </w:r>
    </w:p>
    <w:p w14:paraId="415AC443">
      <w:pPr>
        <w:rPr>
          <w:color w:val="auto"/>
        </w:rPr>
      </w:pPr>
      <w:r>
        <w:rPr>
          <w:rFonts w:hint="eastAsia"/>
          <w:color w:val="auto"/>
        </w:rPr>
        <w:t>法定代表人或其委托代理人：</w:t>
      </w:r>
      <w:r>
        <w:rPr>
          <w:rFonts w:hint="eastAsia"/>
          <w:color w:val="auto"/>
          <w:u w:val="single"/>
        </w:rPr>
        <w:t xml:space="preserve">        </w:t>
      </w:r>
      <w:r>
        <w:rPr>
          <w:rFonts w:hint="eastAsia"/>
          <w:color w:val="auto"/>
          <w:lang w:val="zh-CN"/>
        </w:rPr>
        <w:t>（电子签章）</w:t>
      </w:r>
    </w:p>
    <w:p w14:paraId="4F26790D">
      <w:pPr>
        <w:rPr>
          <w:color w:val="auto"/>
        </w:rPr>
      </w:pPr>
    </w:p>
    <w:p w14:paraId="62E1C4E9">
      <w:pPr>
        <w:tabs>
          <w:tab w:val="left" w:pos="5380"/>
          <w:tab w:val="left" w:pos="6520"/>
          <w:tab w:val="left" w:pos="7680"/>
        </w:tabs>
        <w:autoSpaceDE w:val="0"/>
        <w:autoSpaceDN w:val="0"/>
        <w:adjustRightInd w:val="0"/>
        <w:ind w:right="-20" w:firstLine="1050" w:firstLineChars="500"/>
        <w:jc w:val="left"/>
        <w:rPr>
          <w:color w:val="auto"/>
          <w:kern w:val="0"/>
        </w:rPr>
      </w:pPr>
      <w:r>
        <w:rPr>
          <w:rFonts w:hint="eastAsia"/>
          <w:color w:val="auto"/>
          <w:kern w:val="0"/>
          <w:u w:val="single"/>
        </w:rPr>
        <w:t xml:space="preserve">     </w:t>
      </w:r>
      <w:r>
        <w:rPr>
          <w:rFonts w:hint="eastAsia"/>
          <w:color w:val="auto"/>
          <w:spacing w:val="43"/>
          <w:kern w:val="0"/>
          <w:u w:val="single"/>
        </w:rPr>
        <w:t xml:space="preserve"> </w:t>
      </w:r>
      <w:r>
        <w:rPr>
          <w:rFonts w:hint="eastAsia"/>
          <w:color w:val="auto"/>
          <w:kern w:val="0"/>
        </w:rPr>
        <w:t>年</w:t>
      </w:r>
      <w:r>
        <w:rPr>
          <w:rFonts w:hint="eastAsia"/>
          <w:color w:val="auto"/>
          <w:kern w:val="0"/>
          <w:u w:val="single"/>
        </w:rPr>
        <w:t xml:space="preserve">       </w:t>
      </w:r>
      <w:r>
        <w:rPr>
          <w:rFonts w:hint="eastAsia"/>
          <w:color w:val="auto"/>
          <w:kern w:val="0"/>
        </w:rPr>
        <w:t>月</w:t>
      </w:r>
      <w:r>
        <w:rPr>
          <w:rFonts w:hint="eastAsia"/>
          <w:color w:val="auto"/>
          <w:kern w:val="0"/>
          <w:u w:val="single"/>
        </w:rPr>
        <w:t xml:space="preserve">      </w:t>
      </w:r>
      <w:r>
        <w:rPr>
          <w:rFonts w:hint="eastAsia"/>
          <w:color w:val="auto"/>
          <w:kern w:val="0"/>
        </w:rPr>
        <w:t>日</w:t>
      </w:r>
    </w:p>
    <w:p w14:paraId="2F8834E5">
      <w:pPr>
        <w:rPr>
          <w:color w:val="auto"/>
        </w:rPr>
      </w:pPr>
    </w:p>
    <w:p w14:paraId="3C6CF398">
      <w:pPr>
        <w:pStyle w:val="3"/>
        <w:tabs>
          <w:tab w:val="left" w:pos="420"/>
          <w:tab w:val="left" w:pos="840"/>
        </w:tabs>
        <w:jc w:val="center"/>
        <w:rPr>
          <w:color w:val="auto"/>
        </w:rPr>
      </w:pPr>
      <w:r>
        <w:rPr>
          <w:rFonts w:hint="eastAsia"/>
          <w:bCs w:val="0"/>
          <w:color w:val="auto"/>
          <w:lang w:val="zh-CN"/>
        </w:rPr>
        <w:br w:type="page"/>
      </w:r>
      <w:bookmarkStart w:id="808" w:name="_Toc6900"/>
      <w:bookmarkStart w:id="809" w:name="_Toc29623353"/>
      <w:bookmarkStart w:id="810" w:name="_Toc15910"/>
      <w:r>
        <w:rPr>
          <w:rFonts w:hint="eastAsia"/>
          <w:bCs w:val="0"/>
          <w:color w:val="auto"/>
          <w:lang w:val="zh-CN"/>
        </w:rPr>
        <w:t>二、</w:t>
      </w:r>
      <w:r>
        <w:rPr>
          <w:rFonts w:hint="eastAsia"/>
          <w:color w:val="auto"/>
        </w:rPr>
        <w:t>法定代表人身份证明或授权委托书</w:t>
      </w:r>
      <w:bookmarkEnd w:id="808"/>
      <w:bookmarkEnd w:id="809"/>
    </w:p>
    <w:p w14:paraId="0D72053F">
      <w:pPr>
        <w:wordWrap/>
        <w:topLinePunct w:val="0"/>
        <w:autoSpaceDE w:val="0"/>
        <w:autoSpaceDN w:val="0"/>
        <w:adjustRightInd w:val="0"/>
        <w:spacing w:line="480" w:lineRule="auto"/>
        <w:rPr>
          <w:color w:val="auto"/>
          <w:kern w:val="0"/>
        </w:rPr>
      </w:pPr>
    </w:p>
    <w:p w14:paraId="2B912121">
      <w:pPr>
        <w:pStyle w:val="3"/>
        <w:tabs>
          <w:tab w:val="left" w:pos="420"/>
          <w:tab w:val="left" w:pos="840"/>
        </w:tabs>
        <w:spacing w:line="360" w:lineRule="auto"/>
        <w:jc w:val="center"/>
        <w:rPr>
          <w:bCs w:val="0"/>
          <w:color w:val="auto"/>
          <w:lang w:val="zh-CN"/>
        </w:rPr>
      </w:pPr>
      <w:bookmarkStart w:id="811" w:name="_Toc18512"/>
      <w:bookmarkStart w:id="812" w:name="_Toc29623354"/>
      <w:r>
        <w:rPr>
          <w:rFonts w:hint="eastAsia"/>
          <w:bCs w:val="0"/>
          <w:color w:val="auto"/>
          <w:lang w:val="zh-CN"/>
        </w:rPr>
        <w:t>（一）法定代表人身份证明</w:t>
      </w:r>
      <w:bookmarkEnd w:id="807"/>
      <w:bookmarkEnd w:id="810"/>
      <w:bookmarkEnd w:id="811"/>
      <w:bookmarkEnd w:id="812"/>
    </w:p>
    <w:p w14:paraId="64A696F6">
      <w:pPr>
        <w:wordWrap/>
        <w:topLinePunct w:val="0"/>
        <w:autoSpaceDE w:val="0"/>
        <w:autoSpaceDN w:val="0"/>
        <w:adjustRightInd w:val="0"/>
        <w:spacing w:line="480" w:lineRule="auto"/>
        <w:rPr>
          <w:color w:val="auto"/>
          <w:kern w:val="0"/>
        </w:rPr>
      </w:pPr>
    </w:p>
    <w:p w14:paraId="28204E64">
      <w:pPr>
        <w:wordWrap/>
        <w:topLinePunct w:val="0"/>
        <w:autoSpaceDE w:val="0"/>
        <w:autoSpaceDN w:val="0"/>
        <w:adjustRightInd w:val="0"/>
        <w:spacing w:line="480" w:lineRule="auto"/>
        <w:rPr>
          <w:color w:val="auto"/>
          <w:kern w:val="0"/>
          <w:u w:val="single"/>
        </w:rPr>
      </w:pPr>
      <w:r>
        <w:rPr>
          <w:rFonts w:hint="eastAsia"/>
          <w:color w:val="auto"/>
          <w:kern w:val="0"/>
        </w:rPr>
        <w:t>供应商名称：</w:t>
      </w:r>
      <w:r>
        <w:rPr>
          <w:rFonts w:hint="eastAsia"/>
          <w:color w:val="auto"/>
          <w:kern w:val="0"/>
          <w:u w:val="single"/>
        </w:rPr>
        <w:t xml:space="preserve">                          </w:t>
      </w:r>
    </w:p>
    <w:p w14:paraId="1B0AFD40">
      <w:pPr>
        <w:wordWrap/>
        <w:topLinePunct w:val="0"/>
        <w:autoSpaceDE w:val="0"/>
        <w:autoSpaceDN w:val="0"/>
        <w:adjustRightInd w:val="0"/>
        <w:spacing w:line="480" w:lineRule="auto"/>
        <w:rPr>
          <w:color w:val="auto"/>
          <w:kern w:val="0"/>
          <w:u w:val="single"/>
        </w:rPr>
      </w:pPr>
      <w:r>
        <w:rPr>
          <w:rFonts w:hint="eastAsia"/>
          <w:color w:val="auto"/>
          <w:kern w:val="0"/>
        </w:rPr>
        <w:t>姓名：</w:t>
      </w:r>
      <w:r>
        <w:rPr>
          <w:rFonts w:hint="eastAsia"/>
          <w:color w:val="auto"/>
          <w:kern w:val="0"/>
          <w:u w:val="single"/>
        </w:rPr>
        <w:t xml:space="preserve">               </w:t>
      </w:r>
      <w:r>
        <w:rPr>
          <w:rFonts w:hint="eastAsia"/>
          <w:color w:val="auto"/>
          <w:kern w:val="0"/>
        </w:rPr>
        <w:t>性别：</w:t>
      </w:r>
      <w:r>
        <w:rPr>
          <w:rFonts w:hint="eastAsia"/>
          <w:color w:val="auto"/>
          <w:kern w:val="0"/>
          <w:u w:val="single"/>
        </w:rPr>
        <w:t xml:space="preserve">            </w:t>
      </w:r>
      <w:r>
        <w:rPr>
          <w:rFonts w:hint="eastAsia"/>
          <w:color w:val="auto"/>
          <w:kern w:val="0"/>
        </w:rPr>
        <w:t xml:space="preserve"> 年龄：</w:t>
      </w:r>
      <w:r>
        <w:rPr>
          <w:rFonts w:hint="eastAsia"/>
          <w:color w:val="auto"/>
          <w:kern w:val="0"/>
          <w:u w:val="single"/>
        </w:rPr>
        <w:t xml:space="preserve">       </w:t>
      </w:r>
      <w:r>
        <w:rPr>
          <w:rFonts w:hint="eastAsia"/>
          <w:color w:val="auto"/>
          <w:kern w:val="0"/>
        </w:rPr>
        <w:t xml:space="preserve"> 职务：</w:t>
      </w:r>
      <w:r>
        <w:rPr>
          <w:rFonts w:hint="eastAsia"/>
          <w:color w:val="auto"/>
          <w:kern w:val="0"/>
          <w:u w:val="single"/>
        </w:rPr>
        <w:t xml:space="preserve">                 </w:t>
      </w:r>
    </w:p>
    <w:p w14:paraId="25075700">
      <w:pPr>
        <w:wordWrap/>
        <w:topLinePunct w:val="0"/>
        <w:autoSpaceDE w:val="0"/>
        <w:autoSpaceDN w:val="0"/>
        <w:adjustRightInd w:val="0"/>
        <w:spacing w:line="480" w:lineRule="auto"/>
        <w:rPr>
          <w:color w:val="auto"/>
          <w:kern w:val="0"/>
        </w:rPr>
      </w:pPr>
      <w:r>
        <w:rPr>
          <w:rFonts w:hint="eastAsia"/>
          <w:color w:val="auto"/>
          <w:kern w:val="0"/>
        </w:rPr>
        <w:t>系</w:t>
      </w:r>
      <w:r>
        <w:rPr>
          <w:rFonts w:hint="eastAsia"/>
          <w:color w:val="auto"/>
          <w:kern w:val="0"/>
          <w:u w:val="single"/>
        </w:rPr>
        <w:t xml:space="preserve">                                </w:t>
      </w:r>
      <w:r>
        <w:rPr>
          <w:rFonts w:hint="eastAsia"/>
          <w:color w:val="auto"/>
          <w:kern w:val="0"/>
        </w:rPr>
        <w:t>（供应商名称）的法定代表人。</w:t>
      </w:r>
    </w:p>
    <w:p w14:paraId="6D848986">
      <w:pPr>
        <w:wordWrap/>
        <w:topLinePunct w:val="0"/>
        <w:autoSpaceDE w:val="0"/>
        <w:autoSpaceDN w:val="0"/>
        <w:adjustRightInd w:val="0"/>
        <w:spacing w:line="480" w:lineRule="auto"/>
        <w:rPr>
          <w:color w:val="auto"/>
          <w:kern w:val="0"/>
        </w:rPr>
      </w:pPr>
      <w:r>
        <w:rPr>
          <w:rFonts w:hint="eastAsia"/>
          <w:color w:val="auto"/>
          <w:kern w:val="0"/>
        </w:rPr>
        <w:t>特此证明。</w:t>
      </w:r>
    </w:p>
    <w:p w14:paraId="0BE01972">
      <w:pPr>
        <w:wordWrap/>
        <w:topLinePunct w:val="0"/>
        <w:autoSpaceDE w:val="0"/>
        <w:autoSpaceDN w:val="0"/>
        <w:adjustRightInd w:val="0"/>
        <w:spacing w:line="480" w:lineRule="auto"/>
        <w:rPr>
          <w:color w:val="auto"/>
          <w:kern w:val="0"/>
        </w:rPr>
      </w:pPr>
      <w:r>
        <w:rPr>
          <w:rFonts w:hint="eastAsia"/>
          <w:color w:val="auto"/>
          <w:kern w:val="0"/>
        </w:rPr>
        <w:t xml:space="preserve">附：法定代表人身份证原件扫描件（或图片）。 </w:t>
      </w:r>
    </w:p>
    <w:p w14:paraId="3F2FC36B">
      <w:pPr>
        <w:wordWrap/>
        <w:topLinePunct w:val="0"/>
        <w:autoSpaceDE w:val="0"/>
        <w:autoSpaceDN w:val="0"/>
        <w:adjustRightInd w:val="0"/>
        <w:spacing w:line="480" w:lineRule="auto"/>
        <w:rPr>
          <w:color w:val="auto"/>
          <w:kern w:val="0"/>
        </w:rPr>
      </w:pPr>
    </w:p>
    <w:p w14:paraId="1D70B363">
      <w:pPr>
        <w:wordWrap/>
        <w:topLinePunct w:val="0"/>
        <w:autoSpaceDE w:val="0"/>
        <w:autoSpaceDN w:val="0"/>
        <w:adjustRightInd w:val="0"/>
        <w:spacing w:line="480" w:lineRule="auto"/>
        <w:rPr>
          <w:color w:val="auto"/>
          <w:kern w:val="0"/>
        </w:rPr>
      </w:pPr>
    </w:p>
    <w:p w14:paraId="1BBB2DFC">
      <w:pPr>
        <w:wordWrap/>
        <w:topLinePunct w:val="0"/>
        <w:autoSpaceDE w:val="0"/>
        <w:autoSpaceDN w:val="0"/>
        <w:adjustRightInd w:val="0"/>
        <w:spacing w:line="480" w:lineRule="auto"/>
        <w:rPr>
          <w:color w:val="auto"/>
          <w:kern w:val="0"/>
        </w:rPr>
      </w:pPr>
    </w:p>
    <w:p w14:paraId="54D87C1A">
      <w:pPr>
        <w:wordWrap/>
        <w:topLinePunct w:val="0"/>
        <w:autoSpaceDE w:val="0"/>
        <w:autoSpaceDN w:val="0"/>
        <w:adjustRightInd w:val="0"/>
        <w:spacing w:line="480" w:lineRule="auto"/>
        <w:rPr>
          <w:color w:val="auto"/>
          <w:kern w:val="0"/>
        </w:rPr>
      </w:pPr>
    </w:p>
    <w:p w14:paraId="753F9708">
      <w:pPr>
        <w:rPr>
          <w:color w:val="auto"/>
        </w:rPr>
      </w:pPr>
      <w:r>
        <w:rPr>
          <w:rFonts w:hint="eastAsia"/>
          <w:color w:val="auto"/>
        </w:rPr>
        <w:t>供应商：</w:t>
      </w:r>
      <w:r>
        <w:rPr>
          <w:rFonts w:hint="eastAsia"/>
          <w:color w:val="auto"/>
          <w:u w:val="single"/>
        </w:rPr>
        <w:t xml:space="preserve">                               </w:t>
      </w:r>
      <w:r>
        <w:rPr>
          <w:rFonts w:hint="eastAsia"/>
          <w:color w:val="auto"/>
          <w:lang w:val="zh-CN"/>
        </w:rPr>
        <w:t>（电子印章）</w:t>
      </w:r>
    </w:p>
    <w:p w14:paraId="757F1F55">
      <w:pPr>
        <w:rPr>
          <w:color w:val="auto"/>
        </w:rPr>
      </w:pPr>
      <w:r>
        <w:rPr>
          <w:rFonts w:hint="eastAsia"/>
          <w:color w:val="auto"/>
        </w:rPr>
        <w:t xml:space="preserve">     </w:t>
      </w:r>
    </w:p>
    <w:p w14:paraId="66C18535">
      <w:pPr>
        <w:tabs>
          <w:tab w:val="left" w:pos="5380"/>
          <w:tab w:val="left" w:pos="6520"/>
          <w:tab w:val="left" w:pos="7680"/>
        </w:tabs>
        <w:autoSpaceDE w:val="0"/>
        <w:autoSpaceDN w:val="0"/>
        <w:adjustRightInd w:val="0"/>
        <w:ind w:right="-20" w:firstLine="1050" w:firstLineChars="500"/>
        <w:jc w:val="left"/>
        <w:rPr>
          <w:color w:val="auto"/>
          <w:kern w:val="0"/>
        </w:rPr>
      </w:pPr>
      <w:r>
        <w:rPr>
          <w:rFonts w:hint="eastAsia"/>
          <w:color w:val="auto"/>
          <w:kern w:val="0"/>
          <w:u w:val="single"/>
        </w:rPr>
        <w:t xml:space="preserve">     </w:t>
      </w:r>
      <w:r>
        <w:rPr>
          <w:rFonts w:hint="eastAsia"/>
          <w:color w:val="auto"/>
          <w:spacing w:val="43"/>
          <w:kern w:val="0"/>
          <w:u w:val="single"/>
        </w:rPr>
        <w:t xml:space="preserve"> </w:t>
      </w:r>
      <w:r>
        <w:rPr>
          <w:rFonts w:hint="eastAsia"/>
          <w:color w:val="auto"/>
          <w:kern w:val="0"/>
        </w:rPr>
        <w:t>年</w:t>
      </w:r>
      <w:r>
        <w:rPr>
          <w:rFonts w:hint="eastAsia"/>
          <w:color w:val="auto"/>
          <w:kern w:val="0"/>
          <w:u w:val="single"/>
        </w:rPr>
        <w:t xml:space="preserve">       </w:t>
      </w:r>
      <w:r>
        <w:rPr>
          <w:rFonts w:hint="eastAsia"/>
          <w:color w:val="auto"/>
          <w:kern w:val="0"/>
        </w:rPr>
        <w:t>月</w:t>
      </w:r>
      <w:r>
        <w:rPr>
          <w:rFonts w:hint="eastAsia"/>
          <w:color w:val="auto"/>
          <w:kern w:val="0"/>
          <w:u w:val="single"/>
        </w:rPr>
        <w:t xml:space="preserve">      </w:t>
      </w:r>
      <w:r>
        <w:rPr>
          <w:rFonts w:hint="eastAsia"/>
          <w:color w:val="auto"/>
          <w:kern w:val="0"/>
        </w:rPr>
        <w:t>日</w:t>
      </w:r>
    </w:p>
    <w:p w14:paraId="7E405D8D">
      <w:pPr>
        <w:tabs>
          <w:tab w:val="left" w:pos="5340"/>
          <w:tab w:val="left" w:pos="6180"/>
          <w:tab w:val="left" w:pos="7020"/>
        </w:tabs>
        <w:autoSpaceDE w:val="0"/>
        <w:autoSpaceDN w:val="0"/>
        <w:adjustRightInd w:val="0"/>
        <w:ind w:left="4721" w:right="-20"/>
        <w:rPr>
          <w:color w:val="auto"/>
          <w:kern w:val="0"/>
        </w:rPr>
      </w:pPr>
    </w:p>
    <w:p w14:paraId="63B562EA">
      <w:pPr>
        <w:rPr>
          <w:color w:val="auto"/>
        </w:rPr>
      </w:pPr>
      <w:r>
        <w:rPr>
          <w:rFonts w:hint="eastAsia"/>
          <w:color w:val="auto"/>
        </w:rPr>
        <w:br w:type="page"/>
      </w:r>
    </w:p>
    <w:p w14:paraId="070AF709">
      <w:pPr>
        <w:pStyle w:val="3"/>
        <w:tabs>
          <w:tab w:val="left" w:pos="840"/>
        </w:tabs>
        <w:spacing w:line="360" w:lineRule="auto"/>
        <w:ind w:left="420"/>
        <w:jc w:val="center"/>
        <w:rPr>
          <w:bCs w:val="0"/>
          <w:color w:val="auto"/>
          <w:lang w:val="zh-CN"/>
        </w:rPr>
      </w:pPr>
      <w:bookmarkStart w:id="813" w:name="_Toc12134"/>
      <w:bookmarkStart w:id="814" w:name="_Toc14530"/>
      <w:bookmarkStart w:id="815" w:name="_Toc28309"/>
      <w:bookmarkStart w:id="816" w:name="_Toc29623355"/>
      <w:bookmarkStart w:id="817" w:name="_Toc6674"/>
      <w:bookmarkStart w:id="818" w:name="_Toc26865"/>
      <w:r>
        <w:rPr>
          <w:rFonts w:hint="eastAsia"/>
          <w:bCs w:val="0"/>
          <w:color w:val="auto"/>
          <w:lang w:val="zh-CN"/>
        </w:rPr>
        <w:t>（二）法定代表人授权委托书</w:t>
      </w:r>
      <w:bookmarkEnd w:id="813"/>
      <w:bookmarkEnd w:id="814"/>
      <w:bookmarkEnd w:id="815"/>
      <w:bookmarkEnd w:id="816"/>
      <w:bookmarkEnd w:id="817"/>
      <w:bookmarkEnd w:id="818"/>
    </w:p>
    <w:p w14:paraId="044E63DC">
      <w:pPr>
        <w:autoSpaceDE w:val="0"/>
        <w:autoSpaceDN w:val="0"/>
        <w:adjustRightInd w:val="0"/>
        <w:spacing w:line="200" w:lineRule="exact"/>
        <w:rPr>
          <w:rFonts w:ascii="微软雅黑" w:hAnsi="Times New Roman" w:eastAsia="微软雅黑" w:cs="微软雅黑"/>
          <w:color w:val="auto"/>
          <w:kern w:val="0"/>
          <w:sz w:val="20"/>
          <w:szCs w:val="20"/>
        </w:rPr>
      </w:pPr>
    </w:p>
    <w:p w14:paraId="2638DBAD">
      <w:pPr>
        <w:tabs>
          <w:tab w:val="left" w:pos="3880"/>
        </w:tabs>
        <w:wordWrap/>
        <w:topLinePunct w:val="0"/>
        <w:autoSpaceDE w:val="0"/>
        <w:autoSpaceDN w:val="0"/>
        <w:adjustRightInd w:val="0"/>
        <w:spacing w:line="360" w:lineRule="auto"/>
        <w:ind w:firstLine="420" w:firstLineChars="200"/>
        <w:rPr>
          <w:color w:val="auto"/>
        </w:rPr>
      </w:pPr>
      <w:r>
        <w:rPr>
          <w:rFonts w:hint="eastAsia"/>
          <w:color w:val="auto"/>
        </w:rPr>
        <w:t>本人</w:t>
      </w:r>
      <w:r>
        <w:rPr>
          <w:rFonts w:hint="eastAsia"/>
          <w:color w:val="auto"/>
          <w:u w:val="single"/>
        </w:rPr>
        <w:t xml:space="preserve">                  </w:t>
      </w:r>
      <w:r>
        <w:rPr>
          <w:rFonts w:hint="eastAsia"/>
          <w:color w:val="auto"/>
        </w:rPr>
        <w:t>（姓名）系</w:t>
      </w:r>
      <w:r>
        <w:rPr>
          <w:rFonts w:hint="eastAsia"/>
          <w:color w:val="auto"/>
          <w:u w:val="single"/>
        </w:rPr>
        <w:t xml:space="preserve">                      </w:t>
      </w:r>
      <w:r>
        <w:rPr>
          <w:rFonts w:hint="eastAsia"/>
          <w:color w:val="auto"/>
        </w:rPr>
        <w:t>（供应商名称）的法定代表人，现委托</w:t>
      </w:r>
      <w:r>
        <w:rPr>
          <w:rFonts w:hint="eastAsia"/>
          <w:color w:val="auto"/>
          <w:u w:val="single"/>
        </w:rPr>
        <w:t xml:space="preserve">                 </w:t>
      </w:r>
      <w:r>
        <w:rPr>
          <w:rFonts w:hint="eastAsia"/>
          <w:color w:val="auto"/>
        </w:rPr>
        <w:t>（姓名、职务）为我方代理人。</w:t>
      </w:r>
      <w:r>
        <w:rPr>
          <w:rFonts w:hint="eastAsia"/>
          <w:color w:val="auto"/>
          <w:kern w:val="0"/>
          <w:position w:val="-2"/>
        </w:rPr>
        <w:t>代理</w:t>
      </w:r>
      <w:r>
        <w:rPr>
          <w:rFonts w:hint="eastAsia"/>
          <w:color w:val="auto"/>
          <w:spacing w:val="-2"/>
          <w:kern w:val="0"/>
          <w:position w:val="-2"/>
        </w:rPr>
        <w:t>人</w:t>
      </w:r>
      <w:r>
        <w:rPr>
          <w:rFonts w:hint="eastAsia"/>
          <w:color w:val="auto"/>
          <w:kern w:val="0"/>
          <w:position w:val="-2"/>
        </w:rPr>
        <w:t>根据授权，</w:t>
      </w:r>
      <w:r>
        <w:rPr>
          <w:rFonts w:hint="eastAsia"/>
          <w:color w:val="auto"/>
          <w:spacing w:val="-2"/>
          <w:kern w:val="0"/>
          <w:position w:val="-2"/>
        </w:rPr>
        <w:t>以</w:t>
      </w:r>
      <w:r>
        <w:rPr>
          <w:rFonts w:hint="eastAsia"/>
          <w:color w:val="auto"/>
          <w:kern w:val="0"/>
          <w:position w:val="-2"/>
        </w:rPr>
        <w:t>我方名</w:t>
      </w:r>
      <w:r>
        <w:rPr>
          <w:rFonts w:hint="eastAsia"/>
          <w:color w:val="auto"/>
        </w:rPr>
        <w:t>义签署、澄清确认、递交、撤回、修改采购项目响应文件、签订合同和处理有关事宜，其法律后果由我方承担。</w:t>
      </w:r>
    </w:p>
    <w:p w14:paraId="6B56CAEB">
      <w:pPr>
        <w:wordWrap/>
        <w:topLinePunct w:val="0"/>
        <w:spacing w:line="360" w:lineRule="auto"/>
        <w:ind w:firstLine="420"/>
        <w:rPr>
          <w:color w:val="auto"/>
        </w:rPr>
      </w:pPr>
    </w:p>
    <w:p w14:paraId="61A3A390">
      <w:pPr>
        <w:spacing w:line="500" w:lineRule="exact"/>
        <w:ind w:firstLine="420" w:firstLineChars="200"/>
        <w:rPr>
          <w:color w:val="auto"/>
          <w:u w:val="single"/>
        </w:rPr>
      </w:pPr>
      <w:r>
        <w:rPr>
          <w:rFonts w:hint="eastAsia"/>
          <w:color w:val="auto"/>
        </w:rPr>
        <w:t>委托期限：</w:t>
      </w:r>
      <w:r>
        <w:rPr>
          <w:rFonts w:hint="eastAsia"/>
          <w:color w:val="auto"/>
          <w:u w:val="single"/>
        </w:rPr>
        <w:t xml:space="preserve">                  </w:t>
      </w:r>
    </w:p>
    <w:p w14:paraId="249F2030">
      <w:pPr>
        <w:spacing w:line="500" w:lineRule="exact"/>
        <w:ind w:firstLine="420" w:firstLineChars="200"/>
        <w:rPr>
          <w:color w:val="auto"/>
        </w:rPr>
      </w:pPr>
      <w:r>
        <w:rPr>
          <w:rFonts w:hint="eastAsia"/>
          <w:color w:val="auto"/>
        </w:rPr>
        <w:t>代理人无转委托权。</w:t>
      </w:r>
    </w:p>
    <w:p w14:paraId="208D4B6C">
      <w:pPr>
        <w:spacing w:line="500" w:lineRule="exact"/>
        <w:ind w:firstLine="420" w:firstLineChars="200"/>
        <w:rPr>
          <w:color w:val="auto"/>
        </w:rPr>
      </w:pPr>
      <w:r>
        <w:rPr>
          <w:rFonts w:hint="eastAsia"/>
          <w:color w:val="auto"/>
        </w:rPr>
        <w:t>附：</w:t>
      </w:r>
      <w:r>
        <w:rPr>
          <w:rFonts w:hint="eastAsia"/>
          <w:color w:val="auto"/>
          <w:spacing w:val="-2"/>
          <w:kern w:val="0"/>
        </w:rPr>
        <w:t>法</w:t>
      </w:r>
      <w:r>
        <w:rPr>
          <w:rFonts w:hint="eastAsia"/>
          <w:color w:val="auto"/>
          <w:kern w:val="0"/>
        </w:rPr>
        <w:t>定</w:t>
      </w:r>
      <w:r>
        <w:rPr>
          <w:rFonts w:hint="eastAsia"/>
          <w:color w:val="auto"/>
          <w:spacing w:val="-2"/>
          <w:kern w:val="0"/>
        </w:rPr>
        <w:t>代</w:t>
      </w:r>
      <w:r>
        <w:rPr>
          <w:rFonts w:hint="eastAsia"/>
          <w:color w:val="auto"/>
          <w:kern w:val="0"/>
        </w:rPr>
        <w:t>表</w:t>
      </w:r>
      <w:r>
        <w:rPr>
          <w:rFonts w:hint="eastAsia"/>
          <w:color w:val="auto"/>
          <w:spacing w:val="-2"/>
          <w:kern w:val="0"/>
        </w:rPr>
        <w:t>人</w:t>
      </w:r>
      <w:r>
        <w:rPr>
          <w:rFonts w:hint="eastAsia"/>
          <w:color w:val="auto"/>
          <w:kern w:val="0"/>
        </w:rPr>
        <w:t>身</w:t>
      </w:r>
      <w:r>
        <w:rPr>
          <w:rFonts w:hint="eastAsia"/>
          <w:color w:val="auto"/>
          <w:spacing w:val="-2"/>
          <w:kern w:val="0"/>
        </w:rPr>
        <w:t>份</w:t>
      </w:r>
      <w:r>
        <w:rPr>
          <w:rFonts w:hint="eastAsia"/>
          <w:color w:val="auto"/>
          <w:kern w:val="0"/>
        </w:rPr>
        <w:t>证</w:t>
      </w:r>
      <w:r>
        <w:rPr>
          <w:rFonts w:hint="eastAsia"/>
          <w:color w:val="auto"/>
          <w:spacing w:val="-2"/>
          <w:kern w:val="0"/>
        </w:rPr>
        <w:t>原件扫描件（或图片）及</w:t>
      </w:r>
      <w:r>
        <w:rPr>
          <w:rFonts w:hint="eastAsia"/>
          <w:color w:val="auto"/>
          <w:kern w:val="0"/>
        </w:rPr>
        <w:t>委</w:t>
      </w:r>
      <w:r>
        <w:rPr>
          <w:rFonts w:hint="eastAsia"/>
          <w:color w:val="auto"/>
          <w:spacing w:val="-2"/>
          <w:kern w:val="0"/>
        </w:rPr>
        <w:t>托</w:t>
      </w:r>
      <w:r>
        <w:rPr>
          <w:rFonts w:hint="eastAsia"/>
          <w:color w:val="auto"/>
          <w:kern w:val="0"/>
        </w:rPr>
        <w:t>代</w:t>
      </w:r>
      <w:r>
        <w:rPr>
          <w:rFonts w:hint="eastAsia"/>
          <w:color w:val="auto"/>
          <w:spacing w:val="-2"/>
          <w:kern w:val="0"/>
        </w:rPr>
        <w:t>理</w:t>
      </w:r>
      <w:r>
        <w:rPr>
          <w:rFonts w:hint="eastAsia"/>
          <w:color w:val="auto"/>
          <w:kern w:val="0"/>
        </w:rPr>
        <w:t>人</w:t>
      </w:r>
      <w:r>
        <w:rPr>
          <w:rFonts w:hint="eastAsia"/>
          <w:color w:val="auto"/>
          <w:spacing w:val="-2"/>
          <w:kern w:val="0"/>
        </w:rPr>
        <w:t>身</w:t>
      </w:r>
      <w:r>
        <w:rPr>
          <w:rFonts w:hint="eastAsia"/>
          <w:color w:val="auto"/>
          <w:kern w:val="0"/>
        </w:rPr>
        <w:t>份</w:t>
      </w:r>
      <w:r>
        <w:rPr>
          <w:rFonts w:hint="eastAsia"/>
          <w:color w:val="auto"/>
          <w:spacing w:val="-2"/>
          <w:kern w:val="0"/>
        </w:rPr>
        <w:t>证</w:t>
      </w:r>
      <w:r>
        <w:rPr>
          <w:rFonts w:hint="eastAsia"/>
          <w:color w:val="auto"/>
          <w:kern w:val="0"/>
        </w:rPr>
        <w:t>原件扫描件（或图片）</w:t>
      </w:r>
    </w:p>
    <w:p w14:paraId="4132E33F">
      <w:pPr>
        <w:spacing w:line="500" w:lineRule="exact"/>
        <w:rPr>
          <w:color w:val="auto"/>
        </w:rPr>
      </w:pPr>
    </w:p>
    <w:p w14:paraId="5DC37844">
      <w:pPr>
        <w:spacing w:line="500" w:lineRule="exact"/>
        <w:rPr>
          <w:color w:val="auto"/>
        </w:rPr>
      </w:pPr>
    </w:p>
    <w:p w14:paraId="7F29672D">
      <w:pPr>
        <w:rPr>
          <w:color w:val="auto"/>
        </w:rPr>
      </w:pPr>
      <w:r>
        <w:rPr>
          <w:rFonts w:hint="eastAsia"/>
          <w:color w:val="auto"/>
        </w:rPr>
        <w:t>供应商：</w:t>
      </w:r>
      <w:r>
        <w:rPr>
          <w:rFonts w:hint="eastAsia"/>
          <w:color w:val="auto"/>
          <w:u w:val="single"/>
        </w:rPr>
        <w:t xml:space="preserve">                               </w:t>
      </w:r>
      <w:r>
        <w:rPr>
          <w:rFonts w:hint="eastAsia"/>
          <w:color w:val="auto"/>
          <w:lang w:val="zh-CN"/>
        </w:rPr>
        <w:t>（电子印章）</w:t>
      </w:r>
    </w:p>
    <w:p w14:paraId="58CD706D">
      <w:pPr>
        <w:rPr>
          <w:color w:val="auto"/>
        </w:rPr>
      </w:pPr>
      <w:r>
        <w:rPr>
          <w:rFonts w:hint="eastAsia"/>
          <w:color w:val="auto"/>
        </w:rPr>
        <w:t xml:space="preserve">     </w:t>
      </w:r>
    </w:p>
    <w:p w14:paraId="5A179341">
      <w:pPr>
        <w:rPr>
          <w:color w:val="auto"/>
        </w:rPr>
      </w:pPr>
      <w:r>
        <w:rPr>
          <w:rFonts w:hint="eastAsia"/>
          <w:color w:val="auto"/>
        </w:rPr>
        <w:t>法定代表人或其委托代理人：</w:t>
      </w:r>
      <w:r>
        <w:rPr>
          <w:rFonts w:hint="eastAsia"/>
          <w:color w:val="auto"/>
          <w:u w:val="single"/>
        </w:rPr>
        <w:t xml:space="preserve">        </w:t>
      </w:r>
      <w:r>
        <w:rPr>
          <w:rFonts w:hint="eastAsia"/>
          <w:color w:val="auto"/>
          <w:lang w:val="zh-CN"/>
        </w:rPr>
        <w:t>（电子签章）</w:t>
      </w:r>
    </w:p>
    <w:p w14:paraId="56DB795B">
      <w:pPr>
        <w:spacing w:line="360" w:lineRule="auto"/>
        <w:rPr>
          <w:color w:val="auto"/>
        </w:rPr>
      </w:pPr>
    </w:p>
    <w:p w14:paraId="606A313B">
      <w:pPr>
        <w:tabs>
          <w:tab w:val="left" w:pos="5380"/>
          <w:tab w:val="left" w:pos="6520"/>
          <w:tab w:val="left" w:pos="7680"/>
        </w:tabs>
        <w:autoSpaceDE w:val="0"/>
        <w:autoSpaceDN w:val="0"/>
        <w:adjustRightInd w:val="0"/>
        <w:spacing w:line="360" w:lineRule="auto"/>
        <w:ind w:right="-20" w:firstLine="1050" w:firstLineChars="500"/>
        <w:jc w:val="left"/>
        <w:rPr>
          <w:color w:val="auto"/>
          <w:kern w:val="0"/>
        </w:rPr>
      </w:pPr>
      <w:r>
        <w:rPr>
          <w:rFonts w:hint="eastAsia"/>
          <w:color w:val="auto"/>
          <w:kern w:val="0"/>
          <w:u w:val="single"/>
        </w:rPr>
        <w:t xml:space="preserve">     </w:t>
      </w:r>
      <w:r>
        <w:rPr>
          <w:rFonts w:hint="eastAsia"/>
          <w:color w:val="auto"/>
          <w:spacing w:val="43"/>
          <w:kern w:val="0"/>
          <w:u w:val="single"/>
        </w:rPr>
        <w:t xml:space="preserve"> </w:t>
      </w:r>
      <w:r>
        <w:rPr>
          <w:rFonts w:hint="eastAsia"/>
          <w:color w:val="auto"/>
          <w:kern w:val="0"/>
        </w:rPr>
        <w:t>年</w:t>
      </w:r>
      <w:r>
        <w:rPr>
          <w:rFonts w:hint="eastAsia"/>
          <w:color w:val="auto"/>
          <w:kern w:val="0"/>
          <w:u w:val="single"/>
        </w:rPr>
        <w:t xml:space="preserve">       </w:t>
      </w:r>
      <w:r>
        <w:rPr>
          <w:rFonts w:hint="eastAsia"/>
          <w:color w:val="auto"/>
          <w:kern w:val="0"/>
        </w:rPr>
        <w:t>月</w:t>
      </w:r>
      <w:r>
        <w:rPr>
          <w:rFonts w:hint="eastAsia"/>
          <w:color w:val="auto"/>
          <w:kern w:val="0"/>
          <w:u w:val="single"/>
        </w:rPr>
        <w:t xml:space="preserve">      </w:t>
      </w:r>
      <w:r>
        <w:rPr>
          <w:rFonts w:hint="eastAsia"/>
          <w:color w:val="auto"/>
          <w:kern w:val="0"/>
        </w:rPr>
        <w:t>日</w:t>
      </w:r>
    </w:p>
    <w:p w14:paraId="7E842D8D">
      <w:pPr>
        <w:spacing w:line="500" w:lineRule="exact"/>
        <w:rPr>
          <w:color w:val="auto"/>
        </w:rPr>
      </w:pPr>
    </w:p>
    <w:p w14:paraId="40189A55">
      <w:pPr>
        <w:pStyle w:val="30"/>
        <w:rPr>
          <w:color w:val="auto"/>
        </w:rPr>
      </w:pPr>
    </w:p>
    <w:p w14:paraId="3D071836">
      <w:pPr>
        <w:pStyle w:val="30"/>
        <w:rPr>
          <w:color w:val="auto"/>
        </w:rPr>
      </w:pPr>
    </w:p>
    <w:p w14:paraId="3B38B7C6">
      <w:pPr>
        <w:pStyle w:val="30"/>
        <w:rPr>
          <w:color w:val="auto"/>
        </w:rPr>
      </w:pPr>
    </w:p>
    <w:p w14:paraId="3664D93D">
      <w:pPr>
        <w:pStyle w:val="30"/>
        <w:rPr>
          <w:color w:val="auto"/>
        </w:rPr>
      </w:pPr>
    </w:p>
    <w:p w14:paraId="650351C0">
      <w:pPr>
        <w:pStyle w:val="30"/>
        <w:rPr>
          <w:color w:val="auto"/>
        </w:rPr>
      </w:pPr>
    </w:p>
    <w:p w14:paraId="2C01ED36">
      <w:pPr>
        <w:pStyle w:val="30"/>
        <w:rPr>
          <w:color w:val="auto"/>
        </w:rPr>
      </w:pPr>
    </w:p>
    <w:p w14:paraId="79FB35ED">
      <w:pPr>
        <w:pStyle w:val="30"/>
        <w:rPr>
          <w:color w:val="auto"/>
        </w:rPr>
      </w:pPr>
    </w:p>
    <w:p w14:paraId="54BE1D1E">
      <w:pPr>
        <w:pStyle w:val="30"/>
        <w:rPr>
          <w:color w:val="auto"/>
        </w:rPr>
      </w:pPr>
    </w:p>
    <w:p w14:paraId="4BF1C75B">
      <w:pPr>
        <w:pStyle w:val="30"/>
        <w:rPr>
          <w:color w:val="auto"/>
        </w:rPr>
      </w:pPr>
    </w:p>
    <w:p w14:paraId="54CDA714">
      <w:pPr>
        <w:pStyle w:val="30"/>
        <w:rPr>
          <w:color w:val="auto"/>
        </w:rPr>
      </w:pPr>
    </w:p>
    <w:p w14:paraId="5754523B">
      <w:pPr>
        <w:pStyle w:val="30"/>
        <w:rPr>
          <w:color w:val="auto"/>
        </w:rPr>
      </w:pPr>
    </w:p>
    <w:p w14:paraId="5473C237">
      <w:pPr>
        <w:pStyle w:val="30"/>
        <w:rPr>
          <w:color w:val="auto"/>
        </w:rPr>
      </w:pPr>
    </w:p>
    <w:p w14:paraId="1B8AB36B">
      <w:pPr>
        <w:pStyle w:val="30"/>
        <w:rPr>
          <w:color w:val="auto"/>
        </w:rPr>
      </w:pPr>
    </w:p>
    <w:p w14:paraId="016CF240">
      <w:pPr>
        <w:pStyle w:val="30"/>
        <w:rPr>
          <w:color w:val="auto"/>
        </w:rPr>
      </w:pPr>
    </w:p>
    <w:p w14:paraId="30CD78AE">
      <w:pPr>
        <w:pStyle w:val="30"/>
        <w:rPr>
          <w:color w:val="auto"/>
        </w:rPr>
      </w:pPr>
    </w:p>
    <w:p w14:paraId="1D8938DE">
      <w:pPr>
        <w:pStyle w:val="30"/>
        <w:rPr>
          <w:color w:val="auto"/>
        </w:rPr>
      </w:pPr>
    </w:p>
    <w:p w14:paraId="65FECDD6">
      <w:pPr>
        <w:pStyle w:val="30"/>
        <w:rPr>
          <w:color w:val="auto"/>
        </w:rPr>
      </w:pPr>
    </w:p>
    <w:p w14:paraId="3659AE5C">
      <w:pPr>
        <w:pStyle w:val="30"/>
        <w:rPr>
          <w:color w:val="auto"/>
        </w:rPr>
      </w:pPr>
    </w:p>
    <w:p w14:paraId="7EBC79BD">
      <w:pPr>
        <w:pStyle w:val="3"/>
        <w:tabs>
          <w:tab w:val="left" w:pos="840"/>
        </w:tabs>
        <w:spacing w:line="360" w:lineRule="auto"/>
        <w:jc w:val="center"/>
        <w:rPr>
          <w:bCs w:val="0"/>
          <w:color w:val="auto"/>
        </w:rPr>
      </w:pPr>
      <w:bookmarkStart w:id="819" w:name="_Toc15777"/>
      <w:bookmarkStart w:id="820" w:name="_Toc29623356"/>
      <w:r>
        <w:rPr>
          <w:rFonts w:hint="eastAsia"/>
          <w:bCs w:val="0"/>
          <w:color w:val="auto"/>
          <w:lang w:val="zh-CN"/>
        </w:rPr>
        <w:t>三、响应承诺函</w:t>
      </w:r>
      <w:bookmarkEnd w:id="819"/>
      <w:bookmarkEnd w:id="820"/>
    </w:p>
    <w:p w14:paraId="2E269880">
      <w:pPr>
        <w:wordWrap/>
        <w:topLinePunct w:val="0"/>
        <w:spacing w:line="360" w:lineRule="auto"/>
        <w:rPr>
          <w:color w:val="auto"/>
        </w:rPr>
      </w:pPr>
      <w:r>
        <w:rPr>
          <w:rFonts w:hint="eastAsia"/>
          <w:color w:val="auto"/>
          <w:u w:val="single"/>
        </w:rPr>
        <w:t xml:space="preserve">                   </w:t>
      </w:r>
      <w:r>
        <w:rPr>
          <w:rFonts w:hint="eastAsia"/>
          <w:color w:val="auto"/>
        </w:rPr>
        <w:t>（采购人或采购代理机构）：</w:t>
      </w:r>
    </w:p>
    <w:p w14:paraId="6A4F630D">
      <w:pPr>
        <w:pStyle w:val="30"/>
        <w:spacing w:line="360" w:lineRule="auto"/>
        <w:ind w:firstLine="420" w:firstLineChars="200"/>
        <w:rPr>
          <w:color w:val="auto"/>
          <w:sz w:val="21"/>
          <w:szCs w:val="21"/>
        </w:rPr>
      </w:pPr>
      <w:r>
        <w:rPr>
          <w:rFonts w:hint="eastAsia"/>
          <w:color w:val="auto"/>
          <w:sz w:val="21"/>
          <w:szCs w:val="21"/>
        </w:rPr>
        <w:t>我单位在此郑重承诺,如有以下情形之一的：</w:t>
      </w:r>
    </w:p>
    <w:p w14:paraId="12DE6057">
      <w:pPr>
        <w:numPr>
          <w:ilvl w:val="0"/>
          <w:numId w:val="19"/>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在竞争性磋商文件规定的磋商有效期内撤回投标；</w:t>
      </w:r>
    </w:p>
    <w:p w14:paraId="16AED892">
      <w:pPr>
        <w:numPr>
          <w:ilvl w:val="0"/>
          <w:numId w:val="19"/>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在响应文件中提供虚假材料；</w:t>
      </w:r>
    </w:p>
    <w:p w14:paraId="37101D89">
      <w:pPr>
        <w:numPr>
          <w:ilvl w:val="0"/>
          <w:numId w:val="19"/>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成交后无正当理由不与采购人或者采购代理机构签订合同；</w:t>
      </w:r>
    </w:p>
    <w:p w14:paraId="06240AF5">
      <w:pPr>
        <w:numPr>
          <w:ilvl w:val="0"/>
          <w:numId w:val="19"/>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未能按竞争性磋商文件规定提交履约保证金；</w:t>
      </w:r>
    </w:p>
    <w:p w14:paraId="08DDAD5B">
      <w:pPr>
        <w:numPr>
          <w:ilvl w:val="0"/>
          <w:numId w:val="19"/>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将成交项目转让给他人，或者在响应文件中未说明，且未经采购人同意，将成交项目分包给他人的；</w:t>
      </w:r>
    </w:p>
    <w:p w14:paraId="3530510B">
      <w:pPr>
        <w:numPr>
          <w:ilvl w:val="0"/>
          <w:numId w:val="19"/>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拒绝履行合同义务；</w:t>
      </w:r>
    </w:p>
    <w:p w14:paraId="67B2FB11">
      <w:pPr>
        <w:numPr>
          <w:ilvl w:val="0"/>
          <w:numId w:val="19"/>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与采购人、其他供应商或者采购代理机构恶意串通；</w:t>
      </w:r>
    </w:p>
    <w:p w14:paraId="2A5923AE">
      <w:pPr>
        <w:numPr>
          <w:ilvl w:val="0"/>
          <w:numId w:val="19"/>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在履约过程中未按竞争性磋商文件、响应文件、生效的政府采购合同等约定,提供货物、工程和服务；</w:t>
      </w:r>
    </w:p>
    <w:p w14:paraId="66321159">
      <w:pPr>
        <w:numPr>
          <w:ilvl w:val="0"/>
          <w:numId w:val="19"/>
        </w:numPr>
        <w:wordWrap/>
        <w:topLinePunct w:val="0"/>
        <w:autoSpaceDE w:val="0"/>
        <w:autoSpaceDN w:val="0"/>
        <w:adjustRightInd w:val="0"/>
        <w:spacing w:line="360" w:lineRule="auto"/>
        <w:ind w:left="0" w:right="40" w:firstLine="420" w:firstLineChars="200"/>
        <w:jc w:val="left"/>
        <w:rPr>
          <w:rFonts w:cs="微软雅黑"/>
          <w:color w:val="auto"/>
          <w:kern w:val="0"/>
        </w:rPr>
      </w:pPr>
      <w:r>
        <w:rPr>
          <w:rFonts w:hint="eastAsia" w:cs="微软雅黑"/>
          <w:color w:val="auto"/>
          <w:kern w:val="0"/>
        </w:rPr>
        <w:t>未按竞争性磋商文件规定缴纳招标代理服务费；</w:t>
      </w:r>
    </w:p>
    <w:p w14:paraId="3A9C95A8">
      <w:pPr>
        <w:wordWrap/>
        <w:topLinePunct w:val="0"/>
        <w:autoSpaceDE w:val="0"/>
        <w:autoSpaceDN w:val="0"/>
        <w:adjustRightInd w:val="0"/>
        <w:spacing w:line="360" w:lineRule="auto"/>
        <w:ind w:left="420" w:leftChars="200" w:right="40"/>
        <w:jc w:val="left"/>
        <w:rPr>
          <w:rFonts w:cs="微软雅黑"/>
          <w:color w:val="auto"/>
          <w:kern w:val="0"/>
        </w:rPr>
      </w:pPr>
      <w:r>
        <w:rPr>
          <w:rFonts w:hint="eastAsia" w:cs="微软雅黑"/>
          <w:color w:val="auto"/>
          <w:kern w:val="0"/>
        </w:rPr>
        <w:t>（10）存在其他违法违规行为。</w:t>
      </w:r>
    </w:p>
    <w:p w14:paraId="201BAF69">
      <w:pPr>
        <w:wordWrap/>
        <w:topLinePunct w:val="0"/>
        <w:autoSpaceDE w:val="0"/>
        <w:autoSpaceDN w:val="0"/>
        <w:adjustRightInd w:val="0"/>
        <w:spacing w:line="360" w:lineRule="auto"/>
        <w:ind w:right="40" w:firstLine="420" w:firstLineChars="200"/>
        <w:jc w:val="left"/>
        <w:rPr>
          <w:color w:val="auto"/>
        </w:rPr>
      </w:pPr>
      <w:r>
        <w:rPr>
          <w:rFonts w:hint="eastAsia" w:cs="微软雅黑"/>
          <w:color w:val="auto"/>
          <w:kern w:val="0"/>
        </w:rPr>
        <w:t>我单位</w:t>
      </w:r>
      <w:r>
        <w:rPr>
          <w:rFonts w:hint="eastAsia"/>
          <w:color w:val="auto"/>
        </w:rPr>
        <w:t>自愿接受被处以成交无效，采购金额千分之五以上千分之十以下的罚款并赔偿采购人及采购代理机构的损失</w:t>
      </w:r>
      <w:r>
        <w:rPr>
          <w:rFonts w:hint="eastAsia" w:cs="微软雅黑"/>
          <w:color w:val="auto"/>
          <w:kern w:val="0"/>
        </w:rPr>
        <w:t>，</w:t>
      </w:r>
      <w:r>
        <w:rPr>
          <w:rFonts w:hint="eastAsia"/>
          <w:color w:val="auto"/>
        </w:rPr>
        <w:t>列入不良行为记录名单</w:t>
      </w:r>
      <w:r>
        <w:rPr>
          <w:rFonts w:hint="eastAsia" w:cs="微软雅黑"/>
          <w:color w:val="auto"/>
          <w:kern w:val="0"/>
        </w:rPr>
        <w:t>，</w:t>
      </w:r>
      <w:r>
        <w:rPr>
          <w:rFonts w:hint="eastAsia"/>
          <w:color w:val="auto"/>
        </w:rPr>
        <w:t>在一至三年内禁止参加政府采购活动</w:t>
      </w:r>
      <w:r>
        <w:rPr>
          <w:rFonts w:hint="eastAsia" w:cs="微软雅黑"/>
          <w:color w:val="auto"/>
          <w:kern w:val="0"/>
        </w:rPr>
        <w:t>，</w:t>
      </w:r>
      <w:r>
        <w:rPr>
          <w:rFonts w:hint="eastAsia"/>
          <w:color w:val="auto"/>
        </w:rPr>
        <w:t>有违法所得的</w:t>
      </w:r>
      <w:r>
        <w:rPr>
          <w:rFonts w:hint="eastAsia" w:cs="微软雅黑"/>
          <w:color w:val="auto"/>
          <w:kern w:val="0"/>
        </w:rPr>
        <w:t>，</w:t>
      </w:r>
      <w:r>
        <w:rPr>
          <w:rFonts w:hint="eastAsia"/>
          <w:color w:val="auto"/>
        </w:rPr>
        <w:t>并处没收违法所得，情节严重的，由市场监督管理部门吊销营业执照；构成犯罪的，依法追究刑事责任。</w:t>
      </w:r>
    </w:p>
    <w:p w14:paraId="6EF593EA">
      <w:pPr>
        <w:pStyle w:val="30"/>
        <w:rPr>
          <w:color w:val="auto"/>
          <w:sz w:val="21"/>
          <w:szCs w:val="21"/>
        </w:rPr>
      </w:pPr>
    </w:p>
    <w:p w14:paraId="0AB484CC">
      <w:pPr>
        <w:pStyle w:val="30"/>
        <w:rPr>
          <w:color w:val="auto"/>
        </w:rPr>
      </w:pPr>
    </w:p>
    <w:p w14:paraId="494B9E71">
      <w:pPr>
        <w:pStyle w:val="30"/>
        <w:rPr>
          <w:rFonts w:hAnsi="宋体" w:cs="微软雅黑"/>
          <w:color w:val="auto"/>
          <w:sz w:val="21"/>
          <w:szCs w:val="21"/>
        </w:rPr>
      </w:pPr>
    </w:p>
    <w:p w14:paraId="50C1FE00">
      <w:pPr>
        <w:spacing w:line="480" w:lineRule="exact"/>
        <w:ind w:left="2520" w:leftChars="1200" w:firstLine="1260" w:firstLineChars="600"/>
        <w:rPr>
          <w:bCs/>
          <w:color w:val="auto"/>
        </w:rPr>
      </w:pPr>
      <w:r>
        <w:rPr>
          <w:rFonts w:hint="eastAsia" w:cs="微软雅黑"/>
          <w:color w:val="auto"/>
          <w:kern w:val="0"/>
        </w:rPr>
        <w:t>供 应 商</w:t>
      </w:r>
      <w:r>
        <w:rPr>
          <w:rFonts w:hint="eastAsia"/>
          <w:bCs/>
          <w:color w:val="auto"/>
        </w:rPr>
        <w:t>：</w:t>
      </w:r>
      <w:r>
        <w:rPr>
          <w:rFonts w:hint="eastAsia"/>
          <w:bCs/>
          <w:color w:val="auto"/>
          <w:u w:val="single"/>
        </w:rPr>
        <w:t xml:space="preserve">                      </w:t>
      </w:r>
      <w:r>
        <w:rPr>
          <w:rFonts w:hint="eastAsia"/>
          <w:color w:val="auto"/>
        </w:rPr>
        <w:t>（电子印章）</w:t>
      </w:r>
    </w:p>
    <w:p w14:paraId="2DF595A1">
      <w:pPr>
        <w:spacing w:line="480" w:lineRule="exact"/>
        <w:ind w:left="2520" w:leftChars="1200" w:firstLine="1260" w:firstLineChars="600"/>
        <w:rPr>
          <w:bCs/>
          <w:color w:val="auto"/>
        </w:rPr>
      </w:pPr>
      <w:r>
        <w:rPr>
          <w:rFonts w:hint="eastAsia"/>
          <w:bCs/>
          <w:color w:val="auto"/>
        </w:rPr>
        <w:t>法定代表人或其委托代理人：</w:t>
      </w:r>
      <w:r>
        <w:rPr>
          <w:rFonts w:hint="eastAsia"/>
          <w:bCs/>
          <w:color w:val="auto"/>
          <w:u w:val="single"/>
        </w:rPr>
        <w:t xml:space="preserve">        </w:t>
      </w:r>
      <w:r>
        <w:rPr>
          <w:rFonts w:hint="eastAsia"/>
          <w:color w:val="auto"/>
          <w:lang w:val="zh-CN"/>
        </w:rPr>
        <w:t>（电子签章）</w:t>
      </w:r>
    </w:p>
    <w:p w14:paraId="427229D4">
      <w:pPr>
        <w:tabs>
          <w:tab w:val="left" w:pos="5380"/>
          <w:tab w:val="left" w:pos="6520"/>
          <w:tab w:val="left" w:pos="7680"/>
        </w:tabs>
        <w:wordWrap/>
        <w:topLinePunct w:val="0"/>
        <w:autoSpaceDE w:val="0"/>
        <w:autoSpaceDN w:val="0"/>
        <w:adjustRightInd w:val="0"/>
        <w:spacing w:line="380" w:lineRule="exact"/>
        <w:ind w:left="2520" w:leftChars="1200" w:right="-23" w:firstLine="1260" w:firstLineChars="600"/>
        <w:jc w:val="left"/>
        <w:rPr>
          <w:bCs/>
          <w:color w:val="auto"/>
          <w:kern w:val="0"/>
        </w:rPr>
      </w:pPr>
      <w:r>
        <w:rPr>
          <w:rFonts w:hint="eastAsia"/>
          <w:bCs/>
          <w:color w:val="auto"/>
          <w:kern w:val="0"/>
          <w:u w:val="single"/>
        </w:rPr>
        <w:t xml:space="preserve">     </w:t>
      </w:r>
      <w:r>
        <w:rPr>
          <w:rFonts w:hint="eastAsia"/>
          <w:bCs/>
          <w:color w:val="auto"/>
          <w:spacing w:val="43"/>
          <w:kern w:val="0"/>
          <w:u w:val="single"/>
        </w:rPr>
        <w:t xml:space="preserve"> </w:t>
      </w:r>
      <w:r>
        <w:rPr>
          <w:rFonts w:hint="eastAsia"/>
          <w:bCs/>
          <w:color w:val="auto"/>
          <w:kern w:val="0"/>
        </w:rPr>
        <w:t>年</w:t>
      </w:r>
      <w:r>
        <w:rPr>
          <w:rFonts w:hint="eastAsia"/>
          <w:bCs/>
          <w:color w:val="auto"/>
          <w:kern w:val="0"/>
          <w:u w:val="single"/>
        </w:rPr>
        <w:t xml:space="preserve">       </w:t>
      </w:r>
      <w:r>
        <w:rPr>
          <w:rFonts w:hint="eastAsia"/>
          <w:bCs/>
          <w:color w:val="auto"/>
          <w:kern w:val="0"/>
        </w:rPr>
        <w:t>月</w:t>
      </w:r>
      <w:r>
        <w:rPr>
          <w:rFonts w:hint="eastAsia"/>
          <w:bCs/>
          <w:color w:val="auto"/>
          <w:kern w:val="0"/>
          <w:u w:val="single"/>
        </w:rPr>
        <w:t xml:space="preserve">      </w:t>
      </w:r>
      <w:r>
        <w:rPr>
          <w:rFonts w:hint="eastAsia"/>
          <w:bCs/>
          <w:color w:val="auto"/>
          <w:kern w:val="0"/>
        </w:rPr>
        <w:t>日</w:t>
      </w:r>
    </w:p>
    <w:p w14:paraId="6F00D9C7">
      <w:pPr>
        <w:tabs>
          <w:tab w:val="left" w:pos="5380"/>
          <w:tab w:val="left" w:pos="6520"/>
          <w:tab w:val="left" w:pos="7680"/>
        </w:tabs>
        <w:autoSpaceDE w:val="0"/>
        <w:autoSpaceDN w:val="0"/>
        <w:adjustRightInd w:val="0"/>
        <w:ind w:right="-20" w:firstLine="1050" w:firstLineChars="500"/>
        <w:jc w:val="left"/>
        <w:rPr>
          <w:color w:val="auto"/>
          <w:kern w:val="0"/>
        </w:rPr>
      </w:pPr>
    </w:p>
    <w:p w14:paraId="5617D7E6">
      <w:pPr>
        <w:pStyle w:val="30"/>
        <w:rPr>
          <w:color w:val="auto"/>
        </w:rPr>
      </w:pPr>
    </w:p>
    <w:p w14:paraId="241D1D3C">
      <w:pPr>
        <w:pStyle w:val="30"/>
        <w:rPr>
          <w:color w:val="auto"/>
        </w:rPr>
      </w:pPr>
    </w:p>
    <w:p w14:paraId="7EBC0403">
      <w:pPr>
        <w:pStyle w:val="30"/>
        <w:rPr>
          <w:color w:val="auto"/>
        </w:rPr>
      </w:pPr>
    </w:p>
    <w:p w14:paraId="08EB3A68">
      <w:pPr>
        <w:pStyle w:val="30"/>
        <w:rPr>
          <w:color w:val="auto"/>
        </w:rPr>
      </w:pPr>
    </w:p>
    <w:p w14:paraId="03BA7F1C">
      <w:pPr>
        <w:pStyle w:val="30"/>
        <w:rPr>
          <w:color w:val="auto"/>
        </w:rPr>
      </w:pPr>
    </w:p>
    <w:p w14:paraId="014E199B">
      <w:pPr>
        <w:pStyle w:val="30"/>
        <w:rPr>
          <w:color w:val="auto"/>
        </w:rPr>
      </w:pPr>
    </w:p>
    <w:p w14:paraId="7137BB49">
      <w:pPr>
        <w:pStyle w:val="30"/>
        <w:rPr>
          <w:color w:val="auto"/>
        </w:rPr>
      </w:pPr>
    </w:p>
    <w:p w14:paraId="2A458F76">
      <w:pPr>
        <w:pStyle w:val="3"/>
        <w:tabs>
          <w:tab w:val="left" w:pos="420"/>
          <w:tab w:val="left" w:pos="840"/>
        </w:tabs>
        <w:spacing w:line="360" w:lineRule="auto"/>
        <w:jc w:val="center"/>
        <w:rPr>
          <w:color w:val="auto"/>
        </w:rPr>
      </w:pPr>
      <w:bookmarkStart w:id="821" w:name="_Toc29623357"/>
      <w:bookmarkStart w:id="822" w:name="_Toc18887"/>
      <w:bookmarkStart w:id="823" w:name="_Toc7605"/>
      <w:bookmarkStart w:id="824" w:name="_Toc22029"/>
      <w:r>
        <w:rPr>
          <w:rFonts w:hint="eastAsia"/>
          <w:bCs w:val="0"/>
          <w:color w:val="auto"/>
          <w:lang w:val="zh-CN"/>
        </w:rPr>
        <w:t>四、供应商资格证明文件</w:t>
      </w:r>
      <w:bookmarkEnd w:id="821"/>
      <w:bookmarkEnd w:id="822"/>
      <w:bookmarkEnd w:id="823"/>
      <w:bookmarkEnd w:id="824"/>
    </w:p>
    <w:p w14:paraId="1A695067">
      <w:pPr>
        <w:spacing w:before="156" w:beforeLines="50" w:after="312" w:afterLines="100" w:line="440" w:lineRule="exact"/>
        <w:jc w:val="center"/>
        <w:rPr>
          <w:color w:val="auto"/>
          <w:sz w:val="24"/>
        </w:rPr>
      </w:pPr>
      <w:bookmarkStart w:id="825" w:name="_Toc455678211"/>
      <w:bookmarkStart w:id="826" w:name="_Toc462934384"/>
      <w:bookmarkStart w:id="827" w:name="_Toc454788099"/>
      <w:bookmarkStart w:id="828" w:name="_Toc428276628"/>
      <w:bookmarkStart w:id="829" w:name="_Toc463011363"/>
      <w:bookmarkStart w:id="830" w:name="_Toc480226503"/>
      <w:bookmarkStart w:id="831" w:name="_Toc480385614"/>
      <w:bookmarkStart w:id="832" w:name="_Toc481092974"/>
      <w:bookmarkStart w:id="833" w:name="_Toc428351719"/>
      <w:r>
        <w:rPr>
          <w:rFonts w:hint="eastAsia"/>
          <w:color w:val="auto"/>
          <w:sz w:val="24"/>
        </w:rPr>
        <w:t>（一）供应商基本情况表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2125"/>
      </w:tblGrid>
      <w:tr w14:paraId="4AFA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085A2C0">
            <w:pPr>
              <w:jc w:val="center"/>
              <w:rPr>
                <w:color w:val="auto"/>
              </w:rPr>
            </w:pPr>
            <w:r>
              <w:rPr>
                <w:rFonts w:hint="eastAsia"/>
                <w:color w:val="auto"/>
              </w:rPr>
              <w:t>供应商名称</w:t>
            </w:r>
          </w:p>
        </w:tc>
        <w:tc>
          <w:tcPr>
            <w:tcW w:w="7020" w:type="dxa"/>
            <w:gridSpan w:val="8"/>
            <w:noWrap w:val="0"/>
            <w:vAlign w:val="center"/>
          </w:tcPr>
          <w:p w14:paraId="1C9F6D6F">
            <w:pPr>
              <w:jc w:val="center"/>
              <w:rPr>
                <w:color w:val="auto"/>
              </w:rPr>
            </w:pPr>
          </w:p>
        </w:tc>
      </w:tr>
      <w:tr w14:paraId="2728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BBF0C67">
            <w:pPr>
              <w:jc w:val="center"/>
              <w:rPr>
                <w:color w:val="auto"/>
              </w:rPr>
            </w:pPr>
            <w:r>
              <w:rPr>
                <w:rFonts w:hint="eastAsia"/>
                <w:color w:val="auto"/>
              </w:rPr>
              <w:t>注册地址</w:t>
            </w:r>
          </w:p>
        </w:tc>
        <w:tc>
          <w:tcPr>
            <w:tcW w:w="3389" w:type="dxa"/>
            <w:gridSpan w:val="5"/>
            <w:noWrap w:val="0"/>
            <w:vAlign w:val="center"/>
          </w:tcPr>
          <w:p w14:paraId="2455B164">
            <w:pPr>
              <w:jc w:val="center"/>
              <w:rPr>
                <w:color w:val="auto"/>
              </w:rPr>
            </w:pPr>
          </w:p>
        </w:tc>
        <w:tc>
          <w:tcPr>
            <w:tcW w:w="1246" w:type="dxa"/>
            <w:noWrap w:val="0"/>
            <w:vAlign w:val="center"/>
          </w:tcPr>
          <w:p w14:paraId="1A3E86A2">
            <w:pPr>
              <w:jc w:val="center"/>
              <w:rPr>
                <w:color w:val="auto"/>
              </w:rPr>
            </w:pPr>
            <w:r>
              <w:rPr>
                <w:rFonts w:hint="eastAsia"/>
                <w:color w:val="auto"/>
              </w:rPr>
              <w:t>邮政编码</w:t>
            </w:r>
          </w:p>
        </w:tc>
        <w:tc>
          <w:tcPr>
            <w:tcW w:w="2385" w:type="dxa"/>
            <w:gridSpan w:val="2"/>
            <w:noWrap w:val="0"/>
            <w:vAlign w:val="center"/>
          </w:tcPr>
          <w:p w14:paraId="259AEAC9">
            <w:pPr>
              <w:jc w:val="center"/>
              <w:rPr>
                <w:color w:val="auto"/>
              </w:rPr>
            </w:pPr>
          </w:p>
        </w:tc>
      </w:tr>
      <w:tr w14:paraId="62498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28FA67FB">
            <w:pPr>
              <w:jc w:val="center"/>
              <w:rPr>
                <w:color w:val="auto"/>
              </w:rPr>
            </w:pPr>
            <w:r>
              <w:rPr>
                <w:rFonts w:hint="eastAsia"/>
                <w:color w:val="auto"/>
              </w:rPr>
              <w:t>联系方式</w:t>
            </w:r>
          </w:p>
        </w:tc>
        <w:tc>
          <w:tcPr>
            <w:tcW w:w="897" w:type="dxa"/>
            <w:noWrap w:val="0"/>
            <w:vAlign w:val="center"/>
          </w:tcPr>
          <w:p w14:paraId="1A69CDA8">
            <w:pPr>
              <w:jc w:val="center"/>
              <w:rPr>
                <w:color w:val="auto"/>
              </w:rPr>
            </w:pPr>
            <w:r>
              <w:rPr>
                <w:rFonts w:hint="eastAsia"/>
                <w:color w:val="auto"/>
              </w:rPr>
              <w:t>联系人</w:t>
            </w:r>
          </w:p>
        </w:tc>
        <w:tc>
          <w:tcPr>
            <w:tcW w:w="2492" w:type="dxa"/>
            <w:gridSpan w:val="4"/>
            <w:noWrap w:val="0"/>
            <w:vAlign w:val="center"/>
          </w:tcPr>
          <w:p w14:paraId="56D5A9EF">
            <w:pPr>
              <w:jc w:val="center"/>
              <w:rPr>
                <w:color w:val="auto"/>
              </w:rPr>
            </w:pPr>
          </w:p>
        </w:tc>
        <w:tc>
          <w:tcPr>
            <w:tcW w:w="1246" w:type="dxa"/>
            <w:noWrap w:val="0"/>
            <w:vAlign w:val="center"/>
          </w:tcPr>
          <w:p w14:paraId="464ACAC3">
            <w:pPr>
              <w:jc w:val="center"/>
              <w:rPr>
                <w:color w:val="auto"/>
              </w:rPr>
            </w:pPr>
            <w:r>
              <w:rPr>
                <w:rFonts w:hint="eastAsia"/>
                <w:color w:val="auto"/>
              </w:rPr>
              <w:t>电  话</w:t>
            </w:r>
          </w:p>
        </w:tc>
        <w:tc>
          <w:tcPr>
            <w:tcW w:w="2385" w:type="dxa"/>
            <w:gridSpan w:val="2"/>
            <w:noWrap w:val="0"/>
            <w:vAlign w:val="center"/>
          </w:tcPr>
          <w:p w14:paraId="15397948">
            <w:pPr>
              <w:jc w:val="center"/>
              <w:rPr>
                <w:color w:val="auto"/>
              </w:rPr>
            </w:pPr>
          </w:p>
        </w:tc>
      </w:tr>
      <w:tr w14:paraId="7294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14:paraId="716CCB0A">
            <w:pPr>
              <w:jc w:val="center"/>
              <w:rPr>
                <w:color w:val="auto"/>
              </w:rPr>
            </w:pPr>
          </w:p>
        </w:tc>
        <w:tc>
          <w:tcPr>
            <w:tcW w:w="897" w:type="dxa"/>
            <w:noWrap w:val="0"/>
            <w:vAlign w:val="center"/>
          </w:tcPr>
          <w:p w14:paraId="1018675C">
            <w:pPr>
              <w:jc w:val="center"/>
              <w:rPr>
                <w:color w:val="auto"/>
              </w:rPr>
            </w:pPr>
            <w:r>
              <w:rPr>
                <w:rFonts w:hint="eastAsia"/>
                <w:color w:val="auto"/>
              </w:rPr>
              <w:t>传  真</w:t>
            </w:r>
          </w:p>
        </w:tc>
        <w:tc>
          <w:tcPr>
            <w:tcW w:w="2492" w:type="dxa"/>
            <w:gridSpan w:val="4"/>
            <w:noWrap w:val="0"/>
            <w:vAlign w:val="center"/>
          </w:tcPr>
          <w:p w14:paraId="313374A3">
            <w:pPr>
              <w:jc w:val="center"/>
              <w:rPr>
                <w:color w:val="auto"/>
              </w:rPr>
            </w:pPr>
          </w:p>
        </w:tc>
        <w:tc>
          <w:tcPr>
            <w:tcW w:w="1246" w:type="dxa"/>
            <w:noWrap w:val="0"/>
            <w:vAlign w:val="center"/>
          </w:tcPr>
          <w:p w14:paraId="2F820FF0">
            <w:pPr>
              <w:jc w:val="center"/>
              <w:rPr>
                <w:color w:val="auto"/>
              </w:rPr>
            </w:pPr>
            <w:r>
              <w:rPr>
                <w:rFonts w:hint="eastAsia"/>
                <w:color w:val="auto"/>
              </w:rPr>
              <w:t>网  址</w:t>
            </w:r>
          </w:p>
        </w:tc>
        <w:tc>
          <w:tcPr>
            <w:tcW w:w="2385" w:type="dxa"/>
            <w:gridSpan w:val="2"/>
            <w:noWrap w:val="0"/>
            <w:vAlign w:val="center"/>
          </w:tcPr>
          <w:p w14:paraId="3EFA363A">
            <w:pPr>
              <w:jc w:val="center"/>
              <w:rPr>
                <w:color w:val="auto"/>
              </w:rPr>
            </w:pPr>
          </w:p>
        </w:tc>
      </w:tr>
      <w:tr w14:paraId="2595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B272686">
            <w:pPr>
              <w:jc w:val="center"/>
              <w:rPr>
                <w:color w:val="auto"/>
              </w:rPr>
            </w:pPr>
            <w:r>
              <w:rPr>
                <w:rFonts w:hint="eastAsia"/>
                <w:color w:val="auto"/>
              </w:rPr>
              <w:t>组织结构</w:t>
            </w:r>
          </w:p>
        </w:tc>
        <w:tc>
          <w:tcPr>
            <w:tcW w:w="7020" w:type="dxa"/>
            <w:gridSpan w:val="8"/>
            <w:noWrap w:val="0"/>
            <w:vAlign w:val="center"/>
          </w:tcPr>
          <w:p w14:paraId="03230816">
            <w:pPr>
              <w:jc w:val="center"/>
              <w:rPr>
                <w:color w:val="auto"/>
              </w:rPr>
            </w:pPr>
          </w:p>
        </w:tc>
      </w:tr>
      <w:tr w14:paraId="700C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5C8F333">
            <w:pPr>
              <w:jc w:val="center"/>
              <w:rPr>
                <w:color w:val="auto"/>
              </w:rPr>
            </w:pPr>
            <w:r>
              <w:rPr>
                <w:rFonts w:hint="eastAsia"/>
                <w:color w:val="auto"/>
              </w:rPr>
              <w:t>法定代表人</w:t>
            </w:r>
          </w:p>
        </w:tc>
        <w:tc>
          <w:tcPr>
            <w:tcW w:w="897" w:type="dxa"/>
            <w:noWrap w:val="0"/>
            <w:vAlign w:val="center"/>
          </w:tcPr>
          <w:p w14:paraId="138F1DE2">
            <w:pPr>
              <w:jc w:val="center"/>
              <w:rPr>
                <w:color w:val="auto"/>
              </w:rPr>
            </w:pPr>
            <w:r>
              <w:rPr>
                <w:rFonts w:hint="eastAsia"/>
                <w:color w:val="auto"/>
              </w:rPr>
              <w:t>姓名</w:t>
            </w:r>
          </w:p>
        </w:tc>
        <w:tc>
          <w:tcPr>
            <w:tcW w:w="2297" w:type="dxa"/>
            <w:gridSpan w:val="3"/>
            <w:noWrap w:val="0"/>
            <w:vAlign w:val="center"/>
          </w:tcPr>
          <w:p w14:paraId="60C8FA06">
            <w:pPr>
              <w:jc w:val="center"/>
              <w:rPr>
                <w:color w:val="auto"/>
              </w:rPr>
            </w:pPr>
            <w:r>
              <w:rPr>
                <w:rFonts w:hint="eastAsia"/>
                <w:color w:val="auto"/>
              </w:rPr>
              <w:t xml:space="preserve"> </w:t>
            </w:r>
          </w:p>
        </w:tc>
        <w:tc>
          <w:tcPr>
            <w:tcW w:w="1701" w:type="dxa"/>
            <w:gridSpan w:val="3"/>
            <w:noWrap w:val="0"/>
            <w:vAlign w:val="center"/>
          </w:tcPr>
          <w:p w14:paraId="459DA5FF">
            <w:pPr>
              <w:jc w:val="center"/>
              <w:rPr>
                <w:color w:val="auto"/>
              </w:rPr>
            </w:pPr>
            <w:r>
              <w:rPr>
                <w:rFonts w:hint="eastAsia"/>
                <w:color w:val="auto"/>
              </w:rPr>
              <w:t>电话</w:t>
            </w:r>
          </w:p>
        </w:tc>
        <w:tc>
          <w:tcPr>
            <w:tcW w:w="2125" w:type="dxa"/>
            <w:noWrap w:val="0"/>
            <w:vAlign w:val="center"/>
          </w:tcPr>
          <w:p w14:paraId="695880B3">
            <w:pPr>
              <w:jc w:val="center"/>
              <w:rPr>
                <w:color w:val="auto"/>
              </w:rPr>
            </w:pPr>
          </w:p>
        </w:tc>
      </w:tr>
      <w:tr w14:paraId="68AD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36F1864">
            <w:pPr>
              <w:jc w:val="center"/>
              <w:rPr>
                <w:color w:val="auto"/>
              </w:rPr>
            </w:pPr>
            <w:r>
              <w:rPr>
                <w:rFonts w:hint="eastAsia"/>
                <w:color w:val="auto"/>
              </w:rPr>
              <w:t>项目负责人</w:t>
            </w:r>
          </w:p>
        </w:tc>
        <w:tc>
          <w:tcPr>
            <w:tcW w:w="897" w:type="dxa"/>
            <w:noWrap w:val="0"/>
            <w:vAlign w:val="center"/>
          </w:tcPr>
          <w:p w14:paraId="35AE2FE0">
            <w:pPr>
              <w:jc w:val="center"/>
              <w:rPr>
                <w:color w:val="auto"/>
              </w:rPr>
            </w:pPr>
            <w:r>
              <w:rPr>
                <w:rFonts w:hint="eastAsia"/>
                <w:color w:val="auto"/>
              </w:rPr>
              <w:t>姓名</w:t>
            </w:r>
          </w:p>
        </w:tc>
        <w:tc>
          <w:tcPr>
            <w:tcW w:w="2297" w:type="dxa"/>
            <w:gridSpan w:val="3"/>
            <w:noWrap w:val="0"/>
            <w:vAlign w:val="center"/>
          </w:tcPr>
          <w:p w14:paraId="13C5FCD7">
            <w:pPr>
              <w:jc w:val="center"/>
              <w:rPr>
                <w:color w:val="auto"/>
              </w:rPr>
            </w:pPr>
            <w:r>
              <w:rPr>
                <w:rFonts w:hint="eastAsia"/>
                <w:color w:val="auto"/>
              </w:rPr>
              <w:t xml:space="preserve"> </w:t>
            </w:r>
          </w:p>
        </w:tc>
        <w:tc>
          <w:tcPr>
            <w:tcW w:w="1701" w:type="dxa"/>
            <w:gridSpan w:val="3"/>
            <w:noWrap w:val="0"/>
            <w:vAlign w:val="center"/>
          </w:tcPr>
          <w:p w14:paraId="7A8EB0C7">
            <w:pPr>
              <w:jc w:val="center"/>
              <w:rPr>
                <w:color w:val="auto"/>
              </w:rPr>
            </w:pPr>
            <w:r>
              <w:rPr>
                <w:rFonts w:hint="eastAsia"/>
                <w:color w:val="auto"/>
              </w:rPr>
              <w:t>电话</w:t>
            </w:r>
          </w:p>
        </w:tc>
        <w:tc>
          <w:tcPr>
            <w:tcW w:w="2125" w:type="dxa"/>
            <w:noWrap w:val="0"/>
            <w:vAlign w:val="center"/>
          </w:tcPr>
          <w:p w14:paraId="777F8513">
            <w:pPr>
              <w:jc w:val="center"/>
              <w:rPr>
                <w:color w:val="auto"/>
              </w:rPr>
            </w:pPr>
          </w:p>
        </w:tc>
      </w:tr>
      <w:tr w14:paraId="787A4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AF96DEA">
            <w:pPr>
              <w:jc w:val="center"/>
              <w:rPr>
                <w:color w:val="auto"/>
              </w:rPr>
            </w:pPr>
            <w:r>
              <w:rPr>
                <w:rFonts w:hint="eastAsia"/>
                <w:color w:val="auto"/>
              </w:rPr>
              <w:t>成立时间</w:t>
            </w:r>
          </w:p>
        </w:tc>
        <w:tc>
          <w:tcPr>
            <w:tcW w:w="1918" w:type="dxa"/>
            <w:gridSpan w:val="2"/>
            <w:noWrap w:val="0"/>
            <w:vAlign w:val="center"/>
          </w:tcPr>
          <w:p w14:paraId="2EBE5931">
            <w:pPr>
              <w:jc w:val="center"/>
              <w:rPr>
                <w:color w:val="auto"/>
              </w:rPr>
            </w:pPr>
          </w:p>
        </w:tc>
        <w:tc>
          <w:tcPr>
            <w:tcW w:w="5102" w:type="dxa"/>
            <w:gridSpan w:val="6"/>
            <w:noWrap w:val="0"/>
            <w:vAlign w:val="center"/>
          </w:tcPr>
          <w:p w14:paraId="5C94B6B0">
            <w:pPr>
              <w:jc w:val="center"/>
              <w:rPr>
                <w:color w:val="auto"/>
              </w:rPr>
            </w:pPr>
            <w:r>
              <w:rPr>
                <w:rFonts w:hint="eastAsia"/>
                <w:color w:val="auto"/>
              </w:rPr>
              <w:t>员工总人数：</w:t>
            </w:r>
          </w:p>
        </w:tc>
      </w:tr>
      <w:tr w14:paraId="700AF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46A20A7">
            <w:pPr>
              <w:jc w:val="center"/>
              <w:rPr>
                <w:color w:val="auto"/>
              </w:rPr>
            </w:pPr>
            <w:r>
              <w:rPr>
                <w:rFonts w:hint="eastAsia"/>
                <w:color w:val="auto"/>
              </w:rPr>
              <w:t>营业执照号</w:t>
            </w:r>
          </w:p>
        </w:tc>
        <w:tc>
          <w:tcPr>
            <w:tcW w:w="1918" w:type="dxa"/>
            <w:gridSpan w:val="2"/>
            <w:noWrap w:val="0"/>
            <w:vAlign w:val="center"/>
          </w:tcPr>
          <w:p w14:paraId="2F0579D9">
            <w:pPr>
              <w:jc w:val="center"/>
              <w:rPr>
                <w:color w:val="auto"/>
              </w:rPr>
            </w:pPr>
          </w:p>
        </w:tc>
        <w:tc>
          <w:tcPr>
            <w:tcW w:w="993" w:type="dxa"/>
            <w:vMerge w:val="restart"/>
            <w:noWrap w:val="0"/>
            <w:vAlign w:val="center"/>
          </w:tcPr>
          <w:p w14:paraId="6E04498E">
            <w:pPr>
              <w:jc w:val="center"/>
              <w:rPr>
                <w:color w:val="auto"/>
              </w:rPr>
            </w:pPr>
          </w:p>
        </w:tc>
        <w:tc>
          <w:tcPr>
            <w:tcW w:w="1984" w:type="dxa"/>
            <w:gridSpan w:val="4"/>
            <w:noWrap w:val="0"/>
            <w:vAlign w:val="center"/>
          </w:tcPr>
          <w:p w14:paraId="2CDEF4E1">
            <w:pPr>
              <w:jc w:val="center"/>
              <w:rPr>
                <w:color w:val="auto"/>
              </w:rPr>
            </w:pPr>
            <w:r>
              <w:rPr>
                <w:rFonts w:hint="eastAsia"/>
                <w:color w:val="auto"/>
              </w:rPr>
              <w:t>开户银行</w:t>
            </w:r>
          </w:p>
        </w:tc>
        <w:tc>
          <w:tcPr>
            <w:tcW w:w="2125" w:type="dxa"/>
            <w:noWrap w:val="0"/>
            <w:vAlign w:val="center"/>
          </w:tcPr>
          <w:p w14:paraId="12726D44">
            <w:pPr>
              <w:jc w:val="center"/>
              <w:rPr>
                <w:color w:val="auto"/>
              </w:rPr>
            </w:pPr>
          </w:p>
        </w:tc>
      </w:tr>
      <w:tr w14:paraId="050C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624474A1">
            <w:pPr>
              <w:jc w:val="center"/>
              <w:rPr>
                <w:color w:val="auto"/>
              </w:rPr>
            </w:pPr>
            <w:r>
              <w:rPr>
                <w:rFonts w:hint="eastAsia"/>
                <w:color w:val="auto"/>
              </w:rPr>
              <w:t>注册资金</w:t>
            </w:r>
          </w:p>
        </w:tc>
        <w:tc>
          <w:tcPr>
            <w:tcW w:w="1918" w:type="dxa"/>
            <w:gridSpan w:val="2"/>
            <w:noWrap w:val="0"/>
            <w:vAlign w:val="center"/>
          </w:tcPr>
          <w:p w14:paraId="2F660E6B">
            <w:pPr>
              <w:jc w:val="center"/>
              <w:rPr>
                <w:color w:val="auto"/>
              </w:rPr>
            </w:pPr>
          </w:p>
        </w:tc>
        <w:tc>
          <w:tcPr>
            <w:tcW w:w="993" w:type="dxa"/>
            <w:vMerge w:val="continue"/>
            <w:noWrap w:val="0"/>
            <w:vAlign w:val="center"/>
          </w:tcPr>
          <w:p w14:paraId="2AA4DD01">
            <w:pPr>
              <w:jc w:val="center"/>
              <w:rPr>
                <w:color w:val="auto"/>
              </w:rPr>
            </w:pPr>
          </w:p>
        </w:tc>
        <w:tc>
          <w:tcPr>
            <w:tcW w:w="1984" w:type="dxa"/>
            <w:gridSpan w:val="4"/>
            <w:noWrap w:val="0"/>
            <w:vAlign w:val="center"/>
          </w:tcPr>
          <w:p w14:paraId="609C9302">
            <w:pPr>
              <w:jc w:val="center"/>
              <w:rPr>
                <w:color w:val="auto"/>
              </w:rPr>
            </w:pPr>
            <w:r>
              <w:rPr>
                <w:rFonts w:hint="eastAsia"/>
                <w:color w:val="auto"/>
              </w:rPr>
              <w:t>账号</w:t>
            </w:r>
          </w:p>
        </w:tc>
        <w:tc>
          <w:tcPr>
            <w:tcW w:w="2125" w:type="dxa"/>
            <w:noWrap w:val="0"/>
            <w:vAlign w:val="center"/>
          </w:tcPr>
          <w:p w14:paraId="4A2106D5">
            <w:pPr>
              <w:jc w:val="center"/>
              <w:rPr>
                <w:color w:val="auto"/>
              </w:rPr>
            </w:pPr>
          </w:p>
        </w:tc>
      </w:tr>
      <w:tr w14:paraId="79F5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jc w:val="center"/>
        </w:trPr>
        <w:tc>
          <w:tcPr>
            <w:tcW w:w="1485" w:type="dxa"/>
            <w:noWrap w:val="0"/>
            <w:vAlign w:val="center"/>
          </w:tcPr>
          <w:p w14:paraId="4B20F543">
            <w:pPr>
              <w:jc w:val="center"/>
              <w:rPr>
                <w:color w:val="auto"/>
              </w:rPr>
            </w:pPr>
            <w:r>
              <w:rPr>
                <w:rFonts w:hint="eastAsia"/>
                <w:color w:val="auto"/>
              </w:rPr>
              <w:t>经营范围</w:t>
            </w:r>
          </w:p>
        </w:tc>
        <w:tc>
          <w:tcPr>
            <w:tcW w:w="7020" w:type="dxa"/>
            <w:gridSpan w:val="8"/>
            <w:noWrap w:val="0"/>
            <w:vAlign w:val="center"/>
          </w:tcPr>
          <w:p w14:paraId="15D2B516">
            <w:pPr>
              <w:jc w:val="center"/>
              <w:rPr>
                <w:color w:val="auto"/>
              </w:rPr>
            </w:pPr>
          </w:p>
        </w:tc>
      </w:tr>
      <w:tr w14:paraId="35D4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AAE4162">
            <w:pPr>
              <w:jc w:val="center"/>
              <w:rPr>
                <w:color w:val="auto"/>
              </w:rPr>
            </w:pPr>
            <w:r>
              <w:rPr>
                <w:rFonts w:hint="eastAsia"/>
                <w:color w:val="auto"/>
              </w:rPr>
              <w:t>备注</w:t>
            </w:r>
          </w:p>
        </w:tc>
        <w:tc>
          <w:tcPr>
            <w:tcW w:w="7020" w:type="dxa"/>
            <w:gridSpan w:val="8"/>
            <w:noWrap w:val="0"/>
            <w:vAlign w:val="center"/>
          </w:tcPr>
          <w:p w14:paraId="3FF54E9C">
            <w:pPr>
              <w:jc w:val="center"/>
              <w:rPr>
                <w:color w:val="auto"/>
              </w:rPr>
            </w:pPr>
          </w:p>
        </w:tc>
      </w:tr>
      <w:bookmarkEnd w:id="825"/>
      <w:bookmarkEnd w:id="826"/>
      <w:bookmarkEnd w:id="827"/>
      <w:bookmarkEnd w:id="828"/>
      <w:bookmarkEnd w:id="829"/>
      <w:bookmarkEnd w:id="830"/>
      <w:bookmarkEnd w:id="831"/>
      <w:bookmarkEnd w:id="832"/>
      <w:bookmarkEnd w:id="833"/>
    </w:tbl>
    <w:p w14:paraId="4E8C4770">
      <w:pPr>
        <w:pStyle w:val="30"/>
        <w:spacing w:line="480" w:lineRule="exact"/>
        <w:ind w:firstLine="843" w:firstLineChars="300"/>
        <w:rPr>
          <w:rFonts w:cs="黑体"/>
          <w:b/>
          <w:color w:val="auto"/>
          <w:sz w:val="28"/>
          <w:szCs w:val="28"/>
        </w:rPr>
      </w:pPr>
      <w:r>
        <w:rPr>
          <w:rFonts w:hint="eastAsia" w:hAnsi="宋体" w:cs="黑体"/>
          <w:b/>
          <w:color w:val="auto"/>
          <w:sz w:val="28"/>
          <w:szCs w:val="28"/>
        </w:rPr>
        <w:br w:type="page"/>
      </w:r>
    </w:p>
    <w:p w14:paraId="48A17250">
      <w:pPr>
        <w:pStyle w:val="30"/>
        <w:spacing w:line="480" w:lineRule="exact"/>
        <w:ind w:left="425" w:firstLine="562"/>
        <w:jc w:val="center"/>
        <w:rPr>
          <w:rFonts w:hAnsi="宋体" w:cs="黑体"/>
          <w:b/>
          <w:color w:val="auto"/>
          <w:sz w:val="28"/>
          <w:szCs w:val="28"/>
        </w:rPr>
      </w:pPr>
      <w:r>
        <w:rPr>
          <w:rFonts w:hint="eastAsia" w:hAnsi="宋体" w:cs="黑体"/>
          <w:b/>
          <w:color w:val="auto"/>
          <w:sz w:val="28"/>
          <w:szCs w:val="28"/>
          <w:lang w:val="en-US" w:eastAsia="zh-CN"/>
        </w:rPr>
        <w:t>（二）</w:t>
      </w:r>
      <w:r>
        <w:rPr>
          <w:rFonts w:hint="eastAsia" w:hAnsi="宋体" w:cs="黑体"/>
          <w:b/>
          <w:color w:val="auto"/>
          <w:sz w:val="28"/>
          <w:szCs w:val="28"/>
        </w:rPr>
        <w:t>能证明供应商资格的其他资料</w:t>
      </w:r>
    </w:p>
    <w:p w14:paraId="5C0B1EA5">
      <w:pPr>
        <w:pStyle w:val="30"/>
        <w:spacing w:line="480" w:lineRule="exact"/>
        <w:ind w:left="425" w:firstLine="562"/>
        <w:jc w:val="center"/>
        <w:rPr>
          <w:rFonts w:hAnsi="宋体" w:cs="黑体"/>
          <w:b/>
          <w:color w:val="auto"/>
          <w:sz w:val="28"/>
          <w:szCs w:val="28"/>
        </w:rPr>
      </w:pPr>
    </w:p>
    <w:p w14:paraId="1B9B4F00">
      <w:pPr>
        <w:pStyle w:val="30"/>
        <w:spacing w:line="480" w:lineRule="exact"/>
        <w:ind w:left="425" w:firstLine="562"/>
        <w:jc w:val="center"/>
        <w:rPr>
          <w:rFonts w:hAnsi="宋体" w:cs="黑体"/>
          <w:b/>
          <w:color w:val="auto"/>
          <w:sz w:val="28"/>
          <w:szCs w:val="28"/>
        </w:rPr>
      </w:pPr>
    </w:p>
    <w:p w14:paraId="082736FC">
      <w:pPr>
        <w:pStyle w:val="30"/>
        <w:spacing w:line="480" w:lineRule="exact"/>
        <w:ind w:left="425" w:firstLine="562"/>
        <w:jc w:val="center"/>
        <w:rPr>
          <w:rFonts w:hAnsi="宋体" w:cs="黑体"/>
          <w:b/>
          <w:color w:val="auto"/>
          <w:sz w:val="28"/>
          <w:szCs w:val="28"/>
        </w:rPr>
      </w:pPr>
    </w:p>
    <w:p w14:paraId="0E9C7DC9">
      <w:pPr>
        <w:rPr>
          <w:color w:val="auto"/>
        </w:rPr>
      </w:pPr>
    </w:p>
    <w:p w14:paraId="5F7682C7">
      <w:pPr>
        <w:rPr>
          <w:color w:val="auto"/>
        </w:rPr>
      </w:pPr>
    </w:p>
    <w:p w14:paraId="709DD7D4">
      <w:pPr>
        <w:rPr>
          <w:color w:val="auto"/>
        </w:rPr>
      </w:pPr>
    </w:p>
    <w:p w14:paraId="2B421356">
      <w:pPr>
        <w:rPr>
          <w:color w:val="auto"/>
        </w:rPr>
      </w:pPr>
    </w:p>
    <w:p w14:paraId="17635D2B">
      <w:pPr>
        <w:rPr>
          <w:color w:val="auto"/>
        </w:rPr>
      </w:pPr>
    </w:p>
    <w:p w14:paraId="4E14C11F">
      <w:pPr>
        <w:rPr>
          <w:color w:val="auto"/>
        </w:rPr>
      </w:pPr>
    </w:p>
    <w:p w14:paraId="54161B55">
      <w:pPr>
        <w:rPr>
          <w:color w:val="auto"/>
        </w:rPr>
      </w:pPr>
    </w:p>
    <w:p w14:paraId="30C467E6">
      <w:pPr>
        <w:rPr>
          <w:color w:val="auto"/>
        </w:rPr>
      </w:pPr>
    </w:p>
    <w:p w14:paraId="2738C474">
      <w:pPr>
        <w:rPr>
          <w:color w:val="auto"/>
        </w:rPr>
      </w:pPr>
    </w:p>
    <w:p w14:paraId="0C7AF15E">
      <w:pPr>
        <w:rPr>
          <w:color w:val="auto"/>
        </w:rPr>
      </w:pPr>
    </w:p>
    <w:p w14:paraId="4FEF28FF">
      <w:pPr>
        <w:rPr>
          <w:color w:val="auto"/>
        </w:rPr>
      </w:pPr>
    </w:p>
    <w:p w14:paraId="0EBFE9E9">
      <w:pPr>
        <w:rPr>
          <w:color w:val="auto"/>
        </w:rPr>
      </w:pPr>
    </w:p>
    <w:p w14:paraId="1429F4F0">
      <w:pPr>
        <w:rPr>
          <w:color w:val="auto"/>
        </w:rPr>
      </w:pPr>
    </w:p>
    <w:p w14:paraId="6EF6FEA9">
      <w:pPr>
        <w:rPr>
          <w:color w:val="auto"/>
        </w:rPr>
      </w:pPr>
    </w:p>
    <w:p w14:paraId="6389DDB9">
      <w:pPr>
        <w:rPr>
          <w:color w:val="auto"/>
        </w:rPr>
      </w:pPr>
    </w:p>
    <w:p w14:paraId="72488EE6">
      <w:pPr>
        <w:rPr>
          <w:color w:val="auto"/>
        </w:rPr>
      </w:pPr>
    </w:p>
    <w:p w14:paraId="6B416E81">
      <w:pPr>
        <w:rPr>
          <w:color w:val="auto"/>
        </w:rPr>
      </w:pPr>
    </w:p>
    <w:p w14:paraId="0B0E3563">
      <w:pPr>
        <w:rPr>
          <w:color w:val="auto"/>
        </w:rPr>
      </w:pPr>
    </w:p>
    <w:p w14:paraId="4D74B57B">
      <w:pPr>
        <w:rPr>
          <w:color w:val="auto"/>
        </w:rPr>
      </w:pPr>
    </w:p>
    <w:p w14:paraId="0EA78DF2">
      <w:pPr>
        <w:rPr>
          <w:color w:val="auto"/>
        </w:rPr>
      </w:pPr>
    </w:p>
    <w:p w14:paraId="2FFFD671">
      <w:pPr>
        <w:rPr>
          <w:color w:val="auto"/>
        </w:rPr>
      </w:pPr>
    </w:p>
    <w:p w14:paraId="4B1762FE">
      <w:pPr>
        <w:rPr>
          <w:color w:val="auto"/>
        </w:rPr>
      </w:pPr>
    </w:p>
    <w:p w14:paraId="0035158A">
      <w:pPr>
        <w:rPr>
          <w:color w:val="auto"/>
        </w:rPr>
      </w:pPr>
    </w:p>
    <w:p w14:paraId="590B317B">
      <w:pPr>
        <w:rPr>
          <w:color w:val="auto"/>
        </w:rPr>
      </w:pPr>
    </w:p>
    <w:p w14:paraId="651848D8">
      <w:pPr>
        <w:pStyle w:val="3"/>
        <w:tabs>
          <w:tab w:val="left" w:pos="420"/>
          <w:tab w:val="left" w:pos="840"/>
        </w:tabs>
        <w:spacing w:line="360" w:lineRule="auto"/>
        <w:jc w:val="center"/>
        <w:rPr>
          <w:bCs w:val="0"/>
          <w:color w:val="auto"/>
          <w:lang w:val="zh-CN"/>
        </w:rPr>
      </w:pPr>
      <w:r>
        <w:rPr>
          <w:rFonts w:hint="eastAsia" w:cs="黑体"/>
          <w:b w:val="0"/>
          <w:color w:val="auto"/>
          <w:sz w:val="28"/>
          <w:szCs w:val="28"/>
        </w:rPr>
        <w:br w:type="page"/>
      </w:r>
      <w:bookmarkStart w:id="834" w:name="_Toc25871"/>
      <w:bookmarkStart w:id="835" w:name="_Toc15583"/>
      <w:bookmarkStart w:id="836" w:name="_Toc29623358"/>
      <w:bookmarkStart w:id="837" w:name="_Toc16946"/>
      <w:r>
        <w:rPr>
          <w:rFonts w:hint="eastAsia"/>
          <w:bCs w:val="0"/>
          <w:color w:val="auto"/>
          <w:lang w:val="zh-CN"/>
        </w:rPr>
        <w:t>五、服务方案</w:t>
      </w:r>
      <w:bookmarkEnd w:id="834"/>
      <w:r>
        <w:rPr>
          <w:rFonts w:hint="eastAsia"/>
          <w:bCs w:val="0"/>
          <w:color w:val="auto"/>
          <w:lang w:val="zh-CN"/>
        </w:rPr>
        <w:t>及措施</w:t>
      </w:r>
      <w:bookmarkEnd w:id="835"/>
      <w:bookmarkEnd w:id="836"/>
    </w:p>
    <w:p w14:paraId="203B9D68">
      <w:pPr>
        <w:rPr>
          <w:color w:val="auto"/>
          <w:lang w:val="zh-CN"/>
        </w:rPr>
      </w:pPr>
    </w:p>
    <w:p w14:paraId="24076F69">
      <w:pPr>
        <w:rPr>
          <w:color w:val="auto"/>
          <w:lang w:val="zh-CN"/>
        </w:rPr>
      </w:pPr>
    </w:p>
    <w:bookmarkEnd w:id="837"/>
    <w:p w14:paraId="2102D9E6">
      <w:pPr>
        <w:pStyle w:val="3"/>
        <w:tabs>
          <w:tab w:val="left" w:pos="420"/>
          <w:tab w:val="left" w:pos="840"/>
        </w:tabs>
        <w:spacing w:line="360" w:lineRule="auto"/>
        <w:jc w:val="center"/>
        <w:rPr>
          <w:bCs w:val="0"/>
          <w:color w:val="auto"/>
          <w:lang w:val="zh-CN"/>
        </w:rPr>
      </w:pPr>
      <w:r>
        <w:rPr>
          <w:bCs w:val="0"/>
          <w:color w:val="auto"/>
        </w:rPr>
        <w:br w:type="page"/>
      </w:r>
      <w:bookmarkStart w:id="838" w:name="_Toc29623359"/>
      <w:bookmarkStart w:id="839" w:name="_Toc14958"/>
      <w:r>
        <w:rPr>
          <w:rFonts w:hint="eastAsia"/>
          <w:bCs w:val="0"/>
          <w:color w:val="auto"/>
          <w:lang w:val="zh-CN"/>
        </w:rPr>
        <w:t>六、供应商近年完成的类似项目清单</w:t>
      </w:r>
      <w:bookmarkEnd w:id="838"/>
      <w:bookmarkEnd w:id="839"/>
    </w:p>
    <w:p w14:paraId="12CF4956">
      <w:pPr>
        <w:rPr>
          <w:color w:val="auto"/>
          <w:lang w:val="zh-CN"/>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2969"/>
        <w:gridCol w:w="1782"/>
        <w:gridCol w:w="3063"/>
      </w:tblGrid>
      <w:tr w14:paraId="2D5D5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425255DE">
            <w:pPr>
              <w:jc w:val="center"/>
              <w:rPr>
                <w:color w:val="auto"/>
              </w:rPr>
            </w:pPr>
            <w:r>
              <w:rPr>
                <w:rFonts w:hint="eastAsia"/>
                <w:color w:val="auto"/>
              </w:rPr>
              <w:t>序号</w:t>
            </w:r>
          </w:p>
        </w:tc>
        <w:tc>
          <w:tcPr>
            <w:tcW w:w="2969" w:type="dxa"/>
            <w:noWrap w:val="0"/>
            <w:vAlign w:val="center"/>
          </w:tcPr>
          <w:p w14:paraId="6F3EFFF4">
            <w:pPr>
              <w:jc w:val="center"/>
              <w:rPr>
                <w:color w:val="auto"/>
              </w:rPr>
            </w:pPr>
            <w:r>
              <w:rPr>
                <w:rFonts w:hint="eastAsia"/>
                <w:color w:val="auto"/>
              </w:rPr>
              <w:t>项目名称</w:t>
            </w:r>
          </w:p>
        </w:tc>
        <w:tc>
          <w:tcPr>
            <w:tcW w:w="1782" w:type="dxa"/>
            <w:noWrap w:val="0"/>
            <w:vAlign w:val="center"/>
          </w:tcPr>
          <w:p w14:paraId="7A42E61F">
            <w:pPr>
              <w:jc w:val="center"/>
              <w:rPr>
                <w:color w:val="auto"/>
              </w:rPr>
            </w:pPr>
            <w:r>
              <w:rPr>
                <w:rFonts w:hint="eastAsia"/>
                <w:color w:val="auto"/>
              </w:rPr>
              <w:t>实施时间</w:t>
            </w:r>
          </w:p>
        </w:tc>
        <w:tc>
          <w:tcPr>
            <w:tcW w:w="3063" w:type="dxa"/>
            <w:noWrap w:val="0"/>
            <w:vAlign w:val="center"/>
          </w:tcPr>
          <w:p w14:paraId="5F08A151">
            <w:pPr>
              <w:jc w:val="center"/>
              <w:rPr>
                <w:color w:val="auto"/>
              </w:rPr>
            </w:pPr>
            <w:r>
              <w:rPr>
                <w:rFonts w:hint="eastAsia"/>
                <w:color w:val="auto"/>
              </w:rPr>
              <w:t>实施单位</w:t>
            </w:r>
          </w:p>
        </w:tc>
      </w:tr>
      <w:tr w14:paraId="2920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64DE3E59">
            <w:pPr>
              <w:jc w:val="center"/>
              <w:rPr>
                <w:color w:val="auto"/>
              </w:rPr>
            </w:pPr>
          </w:p>
        </w:tc>
        <w:tc>
          <w:tcPr>
            <w:tcW w:w="2969" w:type="dxa"/>
            <w:noWrap w:val="0"/>
            <w:vAlign w:val="center"/>
          </w:tcPr>
          <w:p w14:paraId="4B0A2176">
            <w:pPr>
              <w:jc w:val="center"/>
              <w:rPr>
                <w:color w:val="auto"/>
              </w:rPr>
            </w:pPr>
          </w:p>
        </w:tc>
        <w:tc>
          <w:tcPr>
            <w:tcW w:w="1782" w:type="dxa"/>
            <w:noWrap w:val="0"/>
            <w:vAlign w:val="center"/>
          </w:tcPr>
          <w:p w14:paraId="336D248C">
            <w:pPr>
              <w:jc w:val="center"/>
              <w:rPr>
                <w:color w:val="auto"/>
              </w:rPr>
            </w:pPr>
          </w:p>
        </w:tc>
        <w:tc>
          <w:tcPr>
            <w:tcW w:w="3063" w:type="dxa"/>
            <w:noWrap w:val="0"/>
            <w:vAlign w:val="center"/>
          </w:tcPr>
          <w:p w14:paraId="1D0ED622">
            <w:pPr>
              <w:jc w:val="center"/>
              <w:rPr>
                <w:color w:val="auto"/>
              </w:rPr>
            </w:pPr>
          </w:p>
        </w:tc>
      </w:tr>
      <w:tr w14:paraId="31D7E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503F551B">
            <w:pPr>
              <w:jc w:val="center"/>
              <w:rPr>
                <w:color w:val="auto"/>
              </w:rPr>
            </w:pPr>
          </w:p>
        </w:tc>
        <w:tc>
          <w:tcPr>
            <w:tcW w:w="2969" w:type="dxa"/>
            <w:noWrap w:val="0"/>
            <w:vAlign w:val="center"/>
          </w:tcPr>
          <w:p w14:paraId="3E9649AB">
            <w:pPr>
              <w:jc w:val="center"/>
              <w:rPr>
                <w:color w:val="auto"/>
              </w:rPr>
            </w:pPr>
          </w:p>
        </w:tc>
        <w:tc>
          <w:tcPr>
            <w:tcW w:w="1782" w:type="dxa"/>
            <w:noWrap w:val="0"/>
            <w:vAlign w:val="center"/>
          </w:tcPr>
          <w:p w14:paraId="5EB1EA0C">
            <w:pPr>
              <w:jc w:val="center"/>
              <w:rPr>
                <w:color w:val="auto"/>
              </w:rPr>
            </w:pPr>
          </w:p>
        </w:tc>
        <w:tc>
          <w:tcPr>
            <w:tcW w:w="3063" w:type="dxa"/>
            <w:noWrap w:val="0"/>
            <w:vAlign w:val="center"/>
          </w:tcPr>
          <w:p w14:paraId="1289F721">
            <w:pPr>
              <w:jc w:val="center"/>
              <w:rPr>
                <w:color w:val="auto"/>
              </w:rPr>
            </w:pPr>
          </w:p>
        </w:tc>
      </w:tr>
      <w:tr w14:paraId="728F9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54631CA8">
            <w:pPr>
              <w:jc w:val="center"/>
              <w:rPr>
                <w:color w:val="auto"/>
              </w:rPr>
            </w:pPr>
          </w:p>
        </w:tc>
        <w:tc>
          <w:tcPr>
            <w:tcW w:w="2969" w:type="dxa"/>
            <w:noWrap w:val="0"/>
            <w:vAlign w:val="center"/>
          </w:tcPr>
          <w:p w14:paraId="672E9FB7">
            <w:pPr>
              <w:jc w:val="center"/>
              <w:rPr>
                <w:color w:val="auto"/>
              </w:rPr>
            </w:pPr>
          </w:p>
        </w:tc>
        <w:tc>
          <w:tcPr>
            <w:tcW w:w="1782" w:type="dxa"/>
            <w:noWrap w:val="0"/>
            <w:vAlign w:val="center"/>
          </w:tcPr>
          <w:p w14:paraId="5821E697">
            <w:pPr>
              <w:jc w:val="center"/>
              <w:rPr>
                <w:color w:val="auto"/>
              </w:rPr>
            </w:pPr>
          </w:p>
        </w:tc>
        <w:tc>
          <w:tcPr>
            <w:tcW w:w="3063" w:type="dxa"/>
            <w:noWrap w:val="0"/>
            <w:vAlign w:val="center"/>
          </w:tcPr>
          <w:p w14:paraId="54C6A55E">
            <w:pPr>
              <w:jc w:val="center"/>
              <w:rPr>
                <w:color w:val="auto"/>
              </w:rPr>
            </w:pPr>
          </w:p>
        </w:tc>
      </w:tr>
      <w:tr w14:paraId="1A7B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47AB465E">
            <w:pPr>
              <w:jc w:val="center"/>
              <w:rPr>
                <w:color w:val="auto"/>
              </w:rPr>
            </w:pPr>
          </w:p>
        </w:tc>
        <w:tc>
          <w:tcPr>
            <w:tcW w:w="2969" w:type="dxa"/>
            <w:noWrap w:val="0"/>
            <w:vAlign w:val="center"/>
          </w:tcPr>
          <w:p w14:paraId="271D0CB3">
            <w:pPr>
              <w:jc w:val="center"/>
              <w:rPr>
                <w:color w:val="auto"/>
              </w:rPr>
            </w:pPr>
          </w:p>
        </w:tc>
        <w:tc>
          <w:tcPr>
            <w:tcW w:w="1782" w:type="dxa"/>
            <w:noWrap w:val="0"/>
            <w:vAlign w:val="center"/>
          </w:tcPr>
          <w:p w14:paraId="3BA5D408">
            <w:pPr>
              <w:jc w:val="center"/>
              <w:rPr>
                <w:color w:val="auto"/>
              </w:rPr>
            </w:pPr>
          </w:p>
        </w:tc>
        <w:tc>
          <w:tcPr>
            <w:tcW w:w="3063" w:type="dxa"/>
            <w:noWrap w:val="0"/>
            <w:vAlign w:val="center"/>
          </w:tcPr>
          <w:p w14:paraId="4FA2C3DD">
            <w:pPr>
              <w:jc w:val="center"/>
              <w:rPr>
                <w:color w:val="auto"/>
              </w:rPr>
            </w:pPr>
          </w:p>
        </w:tc>
      </w:tr>
      <w:tr w14:paraId="6336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091C760D">
            <w:pPr>
              <w:jc w:val="center"/>
              <w:rPr>
                <w:color w:val="auto"/>
              </w:rPr>
            </w:pPr>
          </w:p>
        </w:tc>
        <w:tc>
          <w:tcPr>
            <w:tcW w:w="2969" w:type="dxa"/>
            <w:noWrap w:val="0"/>
            <w:vAlign w:val="center"/>
          </w:tcPr>
          <w:p w14:paraId="076F3B0A">
            <w:pPr>
              <w:jc w:val="center"/>
              <w:rPr>
                <w:color w:val="auto"/>
              </w:rPr>
            </w:pPr>
          </w:p>
        </w:tc>
        <w:tc>
          <w:tcPr>
            <w:tcW w:w="1782" w:type="dxa"/>
            <w:noWrap w:val="0"/>
            <w:vAlign w:val="center"/>
          </w:tcPr>
          <w:p w14:paraId="35727694">
            <w:pPr>
              <w:jc w:val="center"/>
              <w:rPr>
                <w:color w:val="auto"/>
              </w:rPr>
            </w:pPr>
          </w:p>
        </w:tc>
        <w:tc>
          <w:tcPr>
            <w:tcW w:w="3063" w:type="dxa"/>
            <w:noWrap w:val="0"/>
            <w:vAlign w:val="center"/>
          </w:tcPr>
          <w:p w14:paraId="084FC5DB">
            <w:pPr>
              <w:jc w:val="center"/>
              <w:rPr>
                <w:color w:val="auto"/>
              </w:rPr>
            </w:pPr>
          </w:p>
        </w:tc>
      </w:tr>
      <w:tr w14:paraId="10383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72A5285B">
            <w:pPr>
              <w:jc w:val="center"/>
              <w:rPr>
                <w:color w:val="auto"/>
              </w:rPr>
            </w:pPr>
          </w:p>
        </w:tc>
        <w:tc>
          <w:tcPr>
            <w:tcW w:w="2969" w:type="dxa"/>
            <w:noWrap w:val="0"/>
            <w:vAlign w:val="center"/>
          </w:tcPr>
          <w:p w14:paraId="7AF160E9">
            <w:pPr>
              <w:jc w:val="center"/>
              <w:rPr>
                <w:color w:val="auto"/>
              </w:rPr>
            </w:pPr>
          </w:p>
        </w:tc>
        <w:tc>
          <w:tcPr>
            <w:tcW w:w="1782" w:type="dxa"/>
            <w:noWrap w:val="0"/>
            <w:vAlign w:val="center"/>
          </w:tcPr>
          <w:p w14:paraId="33B2D402">
            <w:pPr>
              <w:jc w:val="center"/>
              <w:rPr>
                <w:color w:val="auto"/>
              </w:rPr>
            </w:pPr>
          </w:p>
        </w:tc>
        <w:tc>
          <w:tcPr>
            <w:tcW w:w="3063" w:type="dxa"/>
            <w:noWrap w:val="0"/>
            <w:vAlign w:val="center"/>
          </w:tcPr>
          <w:p w14:paraId="1895E959">
            <w:pPr>
              <w:jc w:val="center"/>
              <w:rPr>
                <w:color w:val="auto"/>
              </w:rPr>
            </w:pPr>
          </w:p>
        </w:tc>
      </w:tr>
      <w:tr w14:paraId="3BB1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1A5D4AC1">
            <w:pPr>
              <w:jc w:val="center"/>
              <w:rPr>
                <w:color w:val="auto"/>
              </w:rPr>
            </w:pPr>
          </w:p>
        </w:tc>
        <w:tc>
          <w:tcPr>
            <w:tcW w:w="2969" w:type="dxa"/>
            <w:noWrap w:val="0"/>
            <w:vAlign w:val="center"/>
          </w:tcPr>
          <w:p w14:paraId="1715C402">
            <w:pPr>
              <w:jc w:val="center"/>
              <w:rPr>
                <w:color w:val="auto"/>
              </w:rPr>
            </w:pPr>
          </w:p>
        </w:tc>
        <w:tc>
          <w:tcPr>
            <w:tcW w:w="1782" w:type="dxa"/>
            <w:noWrap w:val="0"/>
            <w:vAlign w:val="center"/>
          </w:tcPr>
          <w:p w14:paraId="1419213F">
            <w:pPr>
              <w:jc w:val="center"/>
              <w:rPr>
                <w:color w:val="auto"/>
              </w:rPr>
            </w:pPr>
          </w:p>
        </w:tc>
        <w:tc>
          <w:tcPr>
            <w:tcW w:w="3063" w:type="dxa"/>
            <w:noWrap w:val="0"/>
            <w:vAlign w:val="center"/>
          </w:tcPr>
          <w:p w14:paraId="3D8143F9">
            <w:pPr>
              <w:jc w:val="center"/>
              <w:rPr>
                <w:color w:val="auto"/>
              </w:rPr>
            </w:pPr>
          </w:p>
        </w:tc>
      </w:tr>
      <w:tr w14:paraId="6D98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7B7A6039">
            <w:pPr>
              <w:jc w:val="center"/>
              <w:rPr>
                <w:color w:val="auto"/>
              </w:rPr>
            </w:pPr>
          </w:p>
        </w:tc>
        <w:tc>
          <w:tcPr>
            <w:tcW w:w="2969" w:type="dxa"/>
            <w:noWrap w:val="0"/>
            <w:vAlign w:val="center"/>
          </w:tcPr>
          <w:p w14:paraId="057258E1">
            <w:pPr>
              <w:jc w:val="center"/>
              <w:rPr>
                <w:color w:val="auto"/>
              </w:rPr>
            </w:pPr>
          </w:p>
        </w:tc>
        <w:tc>
          <w:tcPr>
            <w:tcW w:w="1782" w:type="dxa"/>
            <w:noWrap w:val="0"/>
            <w:vAlign w:val="center"/>
          </w:tcPr>
          <w:p w14:paraId="5ACB84EF">
            <w:pPr>
              <w:jc w:val="center"/>
              <w:rPr>
                <w:color w:val="auto"/>
              </w:rPr>
            </w:pPr>
          </w:p>
        </w:tc>
        <w:tc>
          <w:tcPr>
            <w:tcW w:w="3063" w:type="dxa"/>
            <w:noWrap w:val="0"/>
            <w:vAlign w:val="center"/>
          </w:tcPr>
          <w:p w14:paraId="183D3230">
            <w:pPr>
              <w:jc w:val="center"/>
              <w:rPr>
                <w:color w:val="auto"/>
              </w:rPr>
            </w:pPr>
          </w:p>
        </w:tc>
      </w:tr>
      <w:tr w14:paraId="01E1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111ABA8C">
            <w:pPr>
              <w:jc w:val="center"/>
              <w:rPr>
                <w:color w:val="auto"/>
              </w:rPr>
            </w:pPr>
          </w:p>
        </w:tc>
        <w:tc>
          <w:tcPr>
            <w:tcW w:w="2969" w:type="dxa"/>
            <w:noWrap w:val="0"/>
            <w:vAlign w:val="center"/>
          </w:tcPr>
          <w:p w14:paraId="6F7A7258">
            <w:pPr>
              <w:jc w:val="center"/>
              <w:rPr>
                <w:color w:val="auto"/>
              </w:rPr>
            </w:pPr>
          </w:p>
        </w:tc>
        <w:tc>
          <w:tcPr>
            <w:tcW w:w="1782" w:type="dxa"/>
            <w:noWrap w:val="0"/>
            <w:vAlign w:val="center"/>
          </w:tcPr>
          <w:p w14:paraId="6FCAA28D">
            <w:pPr>
              <w:jc w:val="center"/>
              <w:rPr>
                <w:color w:val="auto"/>
              </w:rPr>
            </w:pPr>
          </w:p>
        </w:tc>
        <w:tc>
          <w:tcPr>
            <w:tcW w:w="3063" w:type="dxa"/>
            <w:noWrap w:val="0"/>
            <w:vAlign w:val="center"/>
          </w:tcPr>
          <w:p w14:paraId="4B248E22">
            <w:pPr>
              <w:jc w:val="center"/>
              <w:rPr>
                <w:color w:val="auto"/>
              </w:rPr>
            </w:pPr>
          </w:p>
        </w:tc>
      </w:tr>
      <w:tr w14:paraId="2CACF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6E3E47AE">
            <w:pPr>
              <w:jc w:val="center"/>
              <w:rPr>
                <w:color w:val="auto"/>
              </w:rPr>
            </w:pPr>
          </w:p>
        </w:tc>
        <w:tc>
          <w:tcPr>
            <w:tcW w:w="2969" w:type="dxa"/>
            <w:noWrap w:val="0"/>
            <w:vAlign w:val="center"/>
          </w:tcPr>
          <w:p w14:paraId="0095948E">
            <w:pPr>
              <w:jc w:val="center"/>
              <w:rPr>
                <w:color w:val="auto"/>
              </w:rPr>
            </w:pPr>
          </w:p>
        </w:tc>
        <w:tc>
          <w:tcPr>
            <w:tcW w:w="1782" w:type="dxa"/>
            <w:noWrap w:val="0"/>
            <w:vAlign w:val="center"/>
          </w:tcPr>
          <w:p w14:paraId="166B3A3B">
            <w:pPr>
              <w:jc w:val="center"/>
              <w:rPr>
                <w:color w:val="auto"/>
              </w:rPr>
            </w:pPr>
          </w:p>
        </w:tc>
        <w:tc>
          <w:tcPr>
            <w:tcW w:w="3063" w:type="dxa"/>
            <w:noWrap w:val="0"/>
            <w:vAlign w:val="center"/>
          </w:tcPr>
          <w:p w14:paraId="7255D13E">
            <w:pPr>
              <w:jc w:val="center"/>
              <w:rPr>
                <w:color w:val="auto"/>
              </w:rPr>
            </w:pPr>
          </w:p>
        </w:tc>
      </w:tr>
      <w:tr w14:paraId="2624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60F95B39">
            <w:pPr>
              <w:jc w:val="center"/>
              <w:rPr>
                <w:color w:val="auto"/>
              </w:rPr>
            </w:pPr>
          </w:p>
        </w:tc>
        <w:tc>
          <w:tcPr>
            <w:tcW w:w="2969" w:type="dxa"/>
            <w:noWrap w:val="0"/>
            <w:vAlign w:val="center"/>
          </w:tcPr>
          <w:p w14:paraId="6AEDAEF8">
            <w:pPr>
              <w:jc w:val="center"/>
              <w:rPr>
                <w:color w:val="auto"/>
              </w:rPr>
            </w:pPr>
          </w:p>
        </w:tc>
        <w:tc>
          <w:tcPr>
            <w:tcW w:w="1782" w:type="dxa"/>
            <w:noWrap w:val="0"/>
            <w:vAlign w:val="center"/>
          </w:tcPr>
          <w:p w14:paraId="04C18562">
            <w:pPr>
              <w:jc w:val="center"/>
              <w:rPr>
                <w:color w:val="auto"/>
              </w:rPr>
            </w:pPr>
          </w:p>
        </w:tc>
        <w:tc>
          <w:tcPr>
            <w:tcW w:w="3063" w:type="dxa"/>
            <w:noWrap w:val="0"/>
            <w:vAlign w:val="center"/>
          </w:tcPr>
          <w:p w14:paraId="5887E41F">
            <w:pPr>
              <w:jc w:val="center"/>
              <w:rPr>
                <w:color w:val="auto"/>
              </w:rPr>
            </w:pPr>
          </w:p>
        </w:tc>
      </w:tr>
      <w:tr w14:paraId="22D8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216A8B4B">
            <w:pPr>
              <w:jc w:val="center"/>
              <w:rPr>
                <w:color w:val="auto"/>
              </w:rPr>
            </w:pPr>
          </w:p>
        </w:tc>
        <w:tc>
          <w:tcPr>
            <w:tcW w:w="2969" w:type="dxa"/>
            <w:noWrap w:val="0"/>
            <w:vAlign w:val="center"/>
          </w:tcPr>
          <w:p w14:paraId="04F99130">
            <w:pPr>
              <w:jc w:val="center"/>
              <w:rPr>
                <w:color w:val="auto"/>
              </w:rPr>
            </w:pPr>
          </w:p>
        </w:tc>
        <w:tc>
          <w:tcPr>
            <w:tcW w:w="1782" w:type="dxa"/>
            <w:noWrap w:val="0"/>
            <w:vAlign w:val="center"/>
          </w:tcPr>
          <w:p w14:paraId="4CF8F114">
            <w:pPr>
              <w:jc w:val="center"/>
              <w:rPr>
                <w:color w:val="auto"/>
              </w:rPr>
            </w:pPr>
          </w:p>
        </w:tc>
        <w:tc>
          <w:tcPr>
            <w:tcW w:w="3063" w:type="dxa"/>
            <w:noWrap w:val="0"/>
            <w:vAlign w:val="center"/>
          </w:tcPr>
          <w:p w14:paraId="6FE607F9">
            <w:pPr>
              <w:jc w:val="center"/>
              <w:rPr>
                <w:color w:val="auto"/>
              </w:rPr>
            </w:pPr>
          </w:p>
        </w:tc>
      </w:tr>
    </w:tbl>
    <w:p w14:paraId="71057320">
      <w:pPr>
        <w:spacing w:line="360" w:lineRule="auto"/>
        <w:rPr>
          <w:color w:val="auto"/>
        </w:rPr>
      </w:pPr>
      <w:r>
        <w:rPr>
          <w:rFonts w:hint="eastAsia"/>
          <w:color w:val="auto"/>
        </w:rPr>
        <w:t>注：供应商所列项目清单必须真实。时间要求为</w:t>
      </w:r>
      <w:r>
        <w:rPr>
          <w:rFonts w:hint="eastAsia"/>
          <w:color w:val="auto"/>
          <w:u w:val="single"/>
        </w:rPr>
        <w:t>20</w:t>
      </w:r>
      <w:r>
        <w:rPr>
          <w:rFonts w:hint="eastAsia"/>
          <w:color w:val="auto"/>
          <w:u w:val="single"/>
          <w:lang w:val="en-US" w:eastAsia="zh-CN"/>
        </w:rPr>
        <w:t>21</w:t>
      </w:r>
      <w:r>
        <w:rPr>
          <w:rFonts w:hint="eastAsia"/>
          <w:color w:val="auto"/>
        </w:rPr>
        <w:t>年</w:t>
      </w:r>
      <w:r>
        <w:rPr>
          <w:rFonts w:hint="eastAsia"/>
          <w:color w:val="auto"/>
          <w:u w:val="single"/>
        </w:rPr>
        <w:t xml:space="preserve"> 1 </w:t>
      </w:r>
      <w:r>
        <w:rPr>
          <w:rFonts w:hint="eastAsia"/>
          <w:color w:val="auto"/>
        </w:rPr>
        <w:t>月</w:t>
      </w:r>
      <w:r>
        <w:rPr>
          <w:rFonts w:hint="eastAsia"/>
          <w:color w:val="auto"/>
          <w:u w:val="single"/>
        </w:rPr>
        <w:t xml:space="preserve"> 1 </w:t>
      </w:r>
      <w:r>
        <w:rPr>
          <w:rFonts w:hint="eastAsia"/>
          <w:color w:val="auto"/>
        </w:rPr>
        <w:t>日以来（以合同签订时间为准），应附</w:t>
      </w:r>
      <w:r>
        <w:rPr>
          <w:rFonts w:hint="eastAsia"/>
          <w:b/>
          <w:bCs/>
          <w:color w:val="auto"/>
          <w:u w:val="single"/>
          <w:lang w:val="en-US" w:eastAsia="zh-CN"/>
        </w:rPr>
        <w:t>保险单、</w:t>
      </w:r>
      <w:r>
        <w:rPr>
          <w:rFonts w:hint="eastAsia"/>
          <w:b/>
          <w:bCs/>
          <w:color w:val="auto"/>
          <w:u w:val="single"/>
        </w:rPr>
        <w:t>中标通知书</w:t>
      </w:r>
      <w:r>
        <w:rPr>
          <w:rFonts w:hint="eastAsia"/>
          <w:b/>
          <w:bCs/>
          <w:color w:val="auto"/>
          <w:u w:val="single"/>
          <w:lang w:val="en-US" w:eastAsia="zh-CN"/>
        </w:rPr>
        <w:t>或</w:t>
      </w:r>
      <w:r>
        <w:rPr>
          <w:rFonts w:hint="eastAsia"/>
          <w:b/>
          <w:bCs/>
          <w:color w:val="auto"/>
          <w:u w:val="single"/>
        </w:rPr>
        <w:t>合同协议书原件扫描件（或图片）</w:t>
      </w:r>
      <w:r>
        <w:rPr>
          <w:rFonts w:hint="eastAsia"/>
          <w:color w:val="auto"/>
        </w:rPr>
        <w:t>， 要求清晰可见。</w:t>
      </w:r>
    </w:p>
    <w:p w14:paraId="6883DF0E">
      <w:pPr>
        <w:spacing w:line="360" w:lineRule="auto"/>
        <w:rPr>
          <w:color w:val="auto"/>
        </w:rPr>
      </w:pPr>
    </w:p>
    <w:p w14:paraId="62337C12">
      <w:pPr>
        <w:spacing w:before="156" w:beforeLines="50" w:after="156" w:afterLines="50" w:line="440" w:lineRule="exact"/>
        <w:ind w:left="687" w:leftChars="227" w:hanging="210" w:hangingChars="100"/>
        <w:rPr>
          <w:color w:val="auto"/>
        </w:rPr>
      </w:pPr>
    </w:p>
    <w:p w14:paraId="08326644">
      <w:pPr>
        <w:rPr>
          <w:color w:val="auto"/>
        </w:rPr>
      </w:pPr>
      <w:r>
        <w:rPr>
          <w:rFonts w:hint="eastAsia"/>
          <w:color w:val="auto"/>
        </w:rPr>
        <w:t>供应商：</w:t>
      </w:r>
      <w:r>
        <w:rPr>
          <w:rFonts w:hint="eastAsia"/>
          <w:color w:val="auto"/>
          <w:u w:val="single"/>
        </w:rPr>
        <w:t xml:space="preserve">                               </w:t>
      </w:r>
      <w:r>
        <w:rPr>
          <w:rFonts w:hint="eastAsia"/>
          <w:color w:val="auto"/>
        </w:rPr>
        <w:t>（电子印章）</w:t>
      </w:r>
    </w:p>
    <w:p w14:paraId="79474E65">
      <w:pPr>
        <w:rPr>
          <w:color w:val="auto"/>
        </w:rPr>
      </w:pPr>
      <w:r>
        <w:rPr>
          <w:rFonts w:hint="eastAsia"/>
          <w:color w:val="auto"/>
        </w:rPr>
        <w:t xml:space="preserve">     </w:t>
      </w:r>
    </w:p>
    <w:p w14:paraId="24B8CD0A">
      <w:pPr>
        <w:rPr>
          <w:color w:val="auto"/>
        </w:rPr>
      </w:pPr>
      <w:r>
        <w:rPr>
          <w:rFonts w:hint="eastAsia"/>
          <w:color w:val="auto"/>
        </w:rPr>
        <w:t>法定代表人或其委托代理人：</w:t>
      </w:r>
      <w:r>
        <w:rPr>
          <w:rFonts w:hint="eastAsia"/>
          <w:color w:val="auto"/>
          <w:u w:val="single"/>
        </w:rPr>
        <w:t xml:space="preserve">        </w:t>
      </w:r>
      <w:r>
        <w:rPr>
          <w:rFonts w:hint="eastAsia"/>
          <w:color w:val="auto"/>
        </w:rPr>
        <w:t>（电子签章）</w:t>
      </w:r>
    </w:p>
    <w:p w14:paraId="2AF9D296">
      <w:pPr>
        <w:rPr>
          <w:color w:val="auto"/>
        </w:rPr>
      </w:pPr>
    </w:p>
    <w:p w14:paraId="5F640E47">
      <w:pPr>
        <w:tabs>
          <w:tab w:val="left" w:pos="5380"/>
          <w:tab w:val="left" w:pos="6520"/>
          <w:tab w:val="left" w:pos="7680"/>
        </w:tabs>
        <w:autoSpaceDE w:val="0"/>
        <w:autoSpaceDN w:val="0"/>
        <w:adjustRightInd w:val="0"/>
        <w:ind w:right="-20" w:firstLine="1050" w:firstLineChars="500"/>
        <w:jc w:val="left"/>
        <w:rPr>
          <w:color w:val="auto"/>
          <w:kern w:val="0"/>
        </w:rPr>
      </w:pPr>
      <w:r>
        <w:rPr>
          <w:rFonts w:hint="eastAsia"/>
          <w:color w:val="auto"/>
          <w:kern w:val="0"/>
          <w:u w:val="single"/>
        </w:rPr>
        <w:t xml:space="preserve">     </w:t>
      </w:r>
      <w:r>
        <w:rPr>
          <w:rFonts w:hint="eastAsia"/>
          <w:color w:val="auto"/>
          <w:spacing w:val="43"/>
          <w:kern w:val="0"/>
          <w:u w:val="single"/>
        </w:rPr>
        <w:t xml:space="preserve"> </w:t>
      </w:r>
      <w:r>
        <w:rPr>
          <w:rFonts w:hint="eastAsia"/>
          <w:color w:val="auto"/>
          <w:kern w:val="0"/>
        </w:rPr>
        <w:t>年</w:t>
      </w:r>
      <w:r>
        <w:rPr>
          <w:rFonts w:hint="eastAsia"/>
          <w:color w:val="auto"/>
          <w:kern w:val="0"/>
          <w:u w:val="single"/>
        </w:rPr>
        <w:t xml:space="preserve">       </w:t>
      </w:r>
      <w:r>
        <w:rPr>
          <w:rFonts w:hint="eastAsia"/>
          <w:color w:val="auto"/>
          <w:kern w:val="0"/>
        </w:rPr>
        <w:t>月</w:t>
      </w:r>
      <w:r>
        <w:rPr>
          <w:rFonts w:hint="eastAsia"/>
          <w:color w:val="auto"/>
          <w:kern w:val="0"/>
          <w:u w:val="single"/>
        </w:rPr>
        <w:t xml:space="preserve">      </w:t>
      </w:r>
      <w:r>
        <w:rPr>
          <w:rFonts w:hint="eastAsia"/>
          <w:color w:val="auto"/>
          <w:kern w:val="0"/>
        </w:rPr>
        <w:t>日</w:t>
      </w:r>
    </w:p>
    <w:p w14:paraId="4005CBAD">
      <w:pPr>
        <w:rPr>
          <w:color w:val="auto"/>
          <w:sz w:val="24"/>
        </w:rPr>
      </w:pPr>
    </w:p>
    <w:p w14:paraId="04561960">
      <w:pPr>
        <w:rPr>
          <w:color w:val="auto"/>
          <w:sz w:val="24"/>
        </w:rPr>
      </w:pPr>
    </w:p>
    <w:p w14:paraId="01A973FA">
      <w:pPr>
        <w:rPr>
          <w:color w:val="auto"/>
        </w:rPr>
      </w:pPr>
    </w:p>
    <w:p w14:paraId="2212D95A">
      <w:pPr>
        <w:rPr>
          <w:color w:val="auto"/>
        </w:rPr>
      </w:pPr>
      <w:bookmarkStart w:id="840" w:name="_Toc13712"/>
      <w:bookmarkStart w:id="841" w:name="_Toc8720"/>
    </w:p>
    <w:p w14:paraId="449572CA">
      <w:pPr>
        <w:pStyle w:val="3"/>
        <w:tabs>
          <w:tab w:val="left" w:pos="420"/>
          <w:tab w:val="left" w:pos="840"/>
        </w:tabs>
        <w:spacing w:line="360" w:lineRule="auto"/>
        <w:ind w:left="420"/>
        <w:jc w:val="center"/>
        <w:rPr>
          <w:color w:val="auto"/>
        </w:rPr>
      </w:pPr>
      <w:r>
        <w:rPr>
          <w:rFonts w:hint="eastAsia"/>
          <w:bCs w:val="0"/>
          <w:color w:val="auto"/>
          <w:lang w:val="zh-CN"/>
        </w:rPr>
        <w:br w:type="page"/>
      </w:r>
      <w:bookmarkStart w:id="842" w:name="_Toc17039"/>
      <w:bookmarkStart w:id="843" w:name="_Toc29623360"/>
      <w:bookmarkStart w:id="844" w:name="_Toc9453"/>
      <w:r>
        <w:rPr>
          <w:rFonts w:hint="eastAsia"/>
          <w:bCs w:val="0"/>
          <w:color w:val="auto"/>
          <w:lang w:val="zh-CN"/>
        </w:rPr>
        <w:t>七、人员配备状况</w:t>
      </w:r>
      <w:bookmarkEnd w:id="842"/>
      <w:bookmarkEnd w:id="843"/>
      <w:bookmarkEnd w:id="844"/>
    </w:p>
    <w:p w14:paraId="6B7A8804">
      <w:pPr>
        <w:pStyle w:val="4"/>
        <w:numPr>
          <w:ilvl w:val="0"/>
          <w:numId w:val="20"/>
        </w:numPr>
        <w:wordWrap/>
        <w:topLinePunct w:val="0"/>
        <w:jc w:val="center"/>
        <w:rPr>
          <w:bCs w:val="0"/>
          <w:color w:val="auto"/>
          <w:lang w:val="zh-CN"/>
        </w:rPr>
      </w:pPr>
      <w:bookmarkStart w:id="845" w:name="_Toc29623361"/>
      <w:r>
        <w:rPr>
          <w:rFonts w:hint="eastAsia"/>
          <w:bCs w:val="0"/>
          <w:color w:val="auto"/>
          <w:lang w:val="zh-CN"/>
        </w:rPr>
        <w:t>拟派主要人员汇总表</w:t>
      </w:r>
      <w:bookmarkEnd w:id="845"/>
    </w:p>
    <w:tbl>
      <w:tblPr>
        <w:tblStyle w:val="18"/>
        <w:tblW w:w="0" w:type="auto"/>
        <w:tblInd w:w="3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372"/>
        <w:gridCol w:w="1282"/>
        <w:gridCol w:w="1282"/>
        <w:gridCol w:w="1282"/>
        <w:gridCol w:w="1816"/>
        <w:gridCol w:w="1184"/>
      </w:tblGrid>
      <w:tr w14:paraId="372F9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14:paraId="27A02182">
            <w:pPr>
              <w:spacing w:line="360" w:lineRule="auto"/>
              <w:jc w:val="center"/>
              <w:rPr>
                <w:color w:val="auto"/>
              </w:rPr>
            </w:pPr>
            <w:r>
              <w:rPr>
                <w:rFonts w:hint="eastAsia"/>
                <w:color w:val="auto"/>
              </w:rPr>
              <w:t>序号</w:t>
            </w:r>
          </w:p>
        </w:tc>
        <w:tc>
          <w:tcPr>
            <w:tcW w:w="1372" w:type="dxa"/>
            <w:tcBorders>
              <w:top w:val="single" w:color="auto" w:sz="4" w:space="0"/>
              <w:left w:val="nil"/>
              <w:bottom w:val="single" w:color="auto" w:sz="4" w:space="0"/>
              <w:right w:val="single" w:color="auto" w:sz="4" w:space="0"/>
            </w:tcBorders>
            <w:noWrap w:val="0"/>
            <w:vAlign w:val="center"/>
          </w:tcPr>
          <w:p w14:paraId="3B5F1D94">
            <w:pPr>
              <w:spacing w:line="360" w:lineRule="auto"/>
              <w:ind w:left="154"/>
              <w:jc w:val="center"/>
              <w:rPr>
                <w:color w:val="auto"/>
              </w:rPr>
            </w:pPr>
            <w:r>
              <w:rPr>
                <w:rFonts w:hint="eastAsia"/>
                <w:color w:val="auto"/>
              </w:rPr>
              <w:t>职务</w:t>
            </w:r>
          </w:p>
        </w:tc>
        <w:tc>
          <w:tcPr>
            <w:tcW w:w="1282" w:type="dxa"/>
            <w:tcBorders>
              <w:top w:val="single" w:color="auto" w:sz="4" w:space="0"/>
              <w:left w:val="nil"/>
              <w:bottom w:val="single" w:color="auto" w:sz="4" w:space="0"/>
              <w:right w:val="single" w:color="auto" w:sz="4" w:space="0"/>
            </w:tcBorders>
            <w:noWrap w:val="0"/>
            <w:vAlign w:val="center"/>
          </w:tcPr>
          <w:p w14:paraId="20711127">
            <w:pPr>
              <w:spacing w:line="360" w:lineRule="auto"/>
              <w:ind w:left="154"/>
              <w:jc w:val="center"/>
              <w:rPr>
                <w:color w:val="auto"/>
              </w:rPr>
            </w:pPr>
            <w:r>
              <w:rPr>
                <w:rFonts w:hint="eastAsia"/>
                <w:color w:val="auto"/>
              </w:rPr>
              <w:t>姓名</w:t>
            </w:r>
          </w:p>
        </w:tc>
        <w:tc>
          <w:tcPr>
            <w:tcW w:w="1282" w:type="dxa"/>
            <w:tcBorders>
              <w:top w:val="single" w:color="auto" w:sz="4" w:space="0"/>
              <w:left w:val="nil"/>
              <w:bottom w:val="single" w:color="auto" w:sz="4" w:space="0"/>
              <w:right w:val="single" w:color="auto" w:sz="4" w:space="0"/>
            </w:tcBorders>
            <w:noWrap w:val="0"/>
            <w:vAlign w:val="center"/>
          </w:tcPr>
          <w:p w14:paraId="1D5C2237">
            <w:pPr>
              <w:spacing w:line="360" w:lineRule="auto"/>
              <w:ind w:left="154"/>
              <w:jc w:val="center"/>
              <w:rPr>
                <w:color w:val="auto"/>
              </w:rPr>
            </w:pPr>
            <w:r>
              <w:rPr>
                <w:rFonts w:hint="eastAsia"/>
                <w:color w:val="auto"/>
              </w:rPr>
              <w:t>身份证号</w:t>
            </w:r>
          </w:p>
        </w:tc>
        <w:tc>
          <w:tcPr>
            <w:tcW w:w="1282" w:type="dxa"/>
            <w:tcBorders>
              <w:top w:val="single" w:color="auto" w:sz="4" w:space="0"/>
              <w:left w:val="nil"/>
              <w:bottom w:val="single" w:color="auto" w:sz="4" w:space="0"/>
              <w:right w:val="single" w:color="auto" w:sz="4" w:space="0"/>
            </w:tcBorders>
            <w:noWrap w:val="0"/>
            <w:vAlign w:val="center"/>
          </w:tcPr>
          <w:p w14:paraId="2436E058">
            <w:pPr>
              <w:spacing w:line="360" w:lineRule="auto"/>
              <w:ind w:left="154"/>
              <w:jc w:val="center"/>
              <w:rPr>
                <w:color w:val="auto"/>
              </w:rPr>
            </w:pPr>
            <w:r>
              <w:rPr>
                <w:rFonts w:hint="eastAsia"/>
                <w:color w:val="auto"/>
              </w:rPr>
              <w:t>联系电话</w:t>
            </w:r>
          </w:p>
        </w:tc>
        <w:tc>
          <w:tcPr>
            <w:tcW w:w="1816" w:type="dxa"/>
            <w:tcBorders>
              <w:top w:val="single" w:color="auto" w:sz="4" w:space="0"/>
              <w:left w:val="nil"/>
              <w:bottom w:val="single" w:color="auto" w:sz="4" w:space="0"/>
              <w:right w:val="single" w:color="auto" w:sz="4" w:space="0"/>
            </w:tcBorders>
            <w:noWrap w:val="0"/>
            <w:vAlign w:val="center"/>
          </w:tcPr>
          <w:p w14:paraId="39A1DA0B">
            <w:pPr>
              <w:spacing w:line="360" w:lineRule="auto"/>
              <w:jc w:val="center"/>
              <w:rPr>
                <w:color w:val="auto"/>
              </w:rPr>
            </w:pPr>
            <w:r>
              <w:rPr>
                <w:rFonts w:hint="eastAsia"/>
                <w:color w:val="auto"/>
              </w:rPr>
              <w:t>岗位/工作年限</w:t>
            </w:r>
          </w:p>
        </w:tc>
        <w:tc>
          <w:tcPr>
            <w:tcW w:w="1184" w:type="dxa"/>
            <w:tcBorders>
              <w:top w:val="single" w:color="auto" w:sz="4" w:space="0"/>
              <w:left w:val="nil"/>
              <w:bottom w:val="single" w:color="auto" w:sz="4" w:space="0"/>
              <w:right w:val="single" w:color="auto" w:sz="4" w:space="0"/>
            </w:tcBorders>
            <w:noWrap w:val="0"/>
            <w:vAlign w:val="center"/>
          </w:tcPr>
          <w:p w14:paraId="5408559A">
            <w:pPr>
              <w:spacing w:line="360" w:lineRule="auto"/>
              <w:jc w:val="center"/>
              <w:rPr>
                <w:color w:val="auto"/>
              </w:rPr>
            </w:pPr>
            <w:r>
              <w:rPr>
                <w:rFonts w:hint="eastAsia"/>
                <w:color w:val="auto"/>
              </w:rPr>
              <w:t>备注</w:t>
            </w:r>
          </w:p>
        </w:tc>
      </w:tr>
      <w:tr w14:paraId="3A0E1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14:paraId="04BA7FB7">
            <w:pPr>
              <w:spacing w:line="360" w:lineRule="auto"/>
              <w:ind w:left="154"/>
              <w:jc w:val="center"/>
              <w:rPr>
                <w:color w:val="auto"/>
              </w:rPr>
            </w:pPr>
          </w:p>
        </w:tc>
        <w:tc>
          <w:tcPr>
            <w:tcW w:w="1372" w:type="dxa"/>
            <w:tcBorders>
              <w:top w:val="single" w:color="auto" w:sz="4" w:space="0"/>
              <w:left w:val="nil"/>
              <w:bottom w:val="single" w:color="auto" w:sz="4" w:space="0"/>
              <w:right w:val="single" w:color="auto" w:sz="4" w:space="0"/>
            </w:tcBorders>
            <w:noWrap w:val="0"/>
            <w:vAlign w:val="center"/>
          </w:tcPr>
          <w:p w14:paraId="26BB474D">
            <w:pPr>
              <w:spacing w:line="360" w:lineRule="auto"/>
              <w:ind w:left="154"/>
              <w:jc w:val="center"/>
              <w:rPr>
                <w:color w:val="auto"/>
              </w:rPr>
            </w:pPr>
          </w:p>
        </w:tc>
        <w:tc>
          <w:tcPr>
            <w:tcW w:w="1282" w:type="dxa"/>
            <w:tcBorders>
              <w:top w:val="single" w:color="auto" w:sz="4" w:space="0"/>
              <w:left w:val="nil"/>
              <w:bottom w:val="single" w:color="auto" w:sz="4" w:space="0"/>
              <w:right w:val="single" w:color="auto" w:sz="4" w:space="0"/>
            </w:tcBorders>
            <w:noWrap w:val="0"/>
            <w:vAlign w:val="center"/>
          </w:tcPr>
          <w:p w14:paraId="420FA039">
            <w:pPr>
              <w:spacing w:line="360" w:lineRule="auto"/>
              <w:ind w:left="154"/>
              <w:jc w:val="center"/>
              <w:rPr>
                <w:color w:val="auto"/>
              </w:rPr>
            </w:pPr>
          </w:p>
        </w:tc>
        <w:tc>
          <w:tcPr>
            <w:tcW w:w="1282" w:type="dxa"/>
            <w:tcBorders>
              <w:top w:val="single" w:color="auto" w:sz="4" w:space="0"/>
              <w:left w:val="nil"/>
              <w:bottom w:val="single" w:color="auto" w:sz="4" w:space="0"/>
              <w:right w:val="single" w:color="auto" w:sz="4" w:space="0"/>
            </w:tcBorders>
            <w:noWrap w:val="0"/>
            <w:vAlign w:val="center"/>
          </w:tcPr>
          <w:p w14:paraId="232D3358">
            <w:pPr>
              <w:spacing w:line="360" w:lineRule="auto"/>
              <w:ind w:left="154"/>
              <w:jc w:val="center"/>
              <w:rPr>
                <w:color w:val="auto"/>
              </w:rPr>
            </w:pPr>
          </w:p>
        </w:tc>
        <w:tc>
          <w:tcPr>
            <w:tcW w:w="1282" w:type="dxa"/>
            <w:tcBorders>
              <w:top w:val="single" w:color="auto" w:sz="4" w:space="0"/>
              <w:left w:val="nil"/>
              <w:bottom w:val="single" w:color="auto" w:sz="4" w:space="0"/>
              <w:right w:val="single" w:color="auto" w:sz="4" w:space="0"/>
            </w:tcBorders>
            <w:noWrap w:val="0"/>
            <w:vAlign w:val="center"/>
          </w:tcPr>
          <w:p w14:paraId="7F0F3877">
            <w:pPr>
              <w:spacing w:line="360" w:lineRule="auto"/>
              <w:ind w:left="154"/>
              <w:jc w:val="center"/>
              <w:rPr>
                <w:color w:val="auto"/>
              </w:rPr>
            </w:pPr>
          </w:p>
        </w:tc>
        <w:tc>
          <w:tcPr>
            <w:tcW w:w="1816" w:type="dxa"/>
            <w:tcBorders>
              <w:top w:val="single" w:color="auto" w:sz="4" w:space="0"/>
              <w:left w:val="nil"/>
              <w:bottom w:val="single" w:color="auto" w:sz="4" w:space="0"/>
              <w:right w:val="single" w:color="auto" w:sz="4" w:space="0"/>
            </w:tcBorders>
            <w:noWrap w:val="0"/>
            <w:vAlign w:val="center"/>
          </w:tcPr>
          <w:p w14:paraId="36DB18DA">
            <w:pPr>
              <w:spacing w:line="360" w:lineRule="auto"/>
              <w:ind w:left="154"/>
              <w:jc w:val="center"/>
              <w:rPr>
                <w:color w:val="auto"/>
              </w:rPr>
            </w:pPr>
          </w:p>
        </w:tc>
        <w:tc>
          <w:tcPr>
            <w:tcW w:w="1184" w:type="dxa"/>
            <w:tcBorders>
              <w:top w:val="single" w:color="auto" w:sz="4" w:space="0"/>
              <w:left w:val="nil"/>
              <w:bottom w:val="single" w:color="auto" w:sz="4" w:space="0"/>
              <w:right w:val="single" w:color="auto" w:sz="4" w:space="0"/>
            </w:tcBorders>
            <w:noWrap w:val="0"/>
            <w:vAlign w:val="center"/>
          </w:tcPr>
          <w:p w14:paraId="168AB4D4">
            <w:pPr>
              <w:spacing w:line="360" w:lineRule="auto"/>
              <w:ind w:left="154"/>
              <w:jc w:val="center"/>
              <w:rPr>
                <w:color w:val="auto"/>
              </w:rPr>
            </w:pPr>
          </w:p>
        </w:tc>
      </w:tr>
      <w:tr w14:paraId="6267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14:paraId="5708979E">
            <w:pPr>
              <w:spacing w:line="360" w:lineRule="auto"/>
              <w:ind w:left="154"/>
              <w:jc w:val="center"/>
              <w:rPr>
                <w:color w:val="auto"/>
              </w:rPr>
            </w:pPr>
          </w:p>
        </w:tc>
        <w:tc>
          <w:tcPr>
            <w:tcW w:w="1372" w:type="dxa"/>
            <w:tcBorders>
              <w:top w:val="single" w:color="auto" w:sz="4" w:space="0"/>
              <w:left w:val="nil"/>
              <w:bottom w:val="single" w:color="auto" w:sz="4" w:space="0"/>
              <w:right w:val="single" w:color="auto" w:sz="4" w:space="0"/>
            </w:tcBorders>
            <w:noWrap w:val="0"/>
            <w:vAlign w:val="center"/>
          </w:tcPr>
          <w:p w14:paraId="3109BA95">
            <w:pPr>
              <w:spacing w:line="360" w:lineRule="auto"/>
              <w:ind w:left="154"/>
              <w:jc w:val="center"/>
              <w:rPr>
                <w:color w:val="auto"/>
              </w:rPr>
            </w:pPr>
          </w:p>
        </w:tc>
        <w:tc>
          <w:tcPr>
            <w:tcW w:w="1282" w:type="dxa"/>
            <w:tcBorders>
              <w:top w:val="single" w:color="auto" w:sz="4" w:space="0"/>
              <w:left w:val="nil"/>
              <w:bottom w:val="single" w:color="auto" w:sz="4" w:space="0"/>
              <w:right w:val="single" w:color="auto" w:sz="4" w:space="0"/>
            </w:tcBorders>
            <w:noWrap w:val="0"/>
            <w:vAlign w:val="center"/>
          </w:tcPr>
          <w:p w14:paraId="21921C78">
            <w:pPr>
              <w:spacing w:line="360" w:lineRule="auto"/>
              <w:ind w:left="154"/>
              <w:jc w:val="center"/>
              <w:rPr>
                <w:color w:val="auto"/>
              </w:rPr>
            </w:pPr>
          </w:p>
        </w:tc>
        <w:tc>
          <w:tcPr>
            <w:tcW w:w="1282" w:type="dxa"/>
            <w:tcBorders>
              <w:top w:val="single" w:color="auto" w:sz="4" w:space="0"/>
              <w:left w:val="nil"/>
              <w:bottom w:val="single" w:color="auto" w:sz="4" w:space="0"/>
              <w:right w:val="single" w:color="auto" w:sz="4" w:space="0"/>
            </w:tcBorders>
            <w:noWrap w:val="0"/>
            <w:vAlign w:val="center"/>
          </w:tcPr>
          <w:p w14:paraId="3DDEFCA0">
            <w:pPr>
              <w:spacing w:line="360" w:lineRule="auto"/>
              <w:ind w:left="154"/>
              <w:jc w:val="center"/>
              <w:rPr>
                <w:color w:val="auto"/>
              </w:rPr>
            </w:pPr>
          </w:p>
        </w:tc>
        <w:tc>
          <w:tcPr>
            <w:tcW w:w="1282" w:type="dxa"/>
            <w:tcBorders>
              <w:top w:val="single" w:color="auto" w:sz="4" w:space="0"/>
              <w:left w:val="nil"/>
              <w:bottom w:val="single" w:color="auto" w:sz="4" w:space="0"/>
              <w:right w:val="single" w:color="auto" w:sz="4" w:space="0"/>
            </w:tcBorders>
            <w:noWrap w:val="0"/>
            <w:vAlign w:val="center"/>
          </w:tcPr>
          <w:p w14:paraId="35CF98B4">
            <w:pPr>
              <w:spacing w:line="360" w:lineRule="auto"/>
              <w:ind w:left="154"/>
              <w:jc w:val="center"/>
              <w:rPr>
                <w:color w:val="auto"/>
              </w:rPr>
            </w:pPr>
          </w:p>
        </w:tc>
        <w:tc>
          <w:tcPr>
            <w:tcW w:w="1816" w:type="dxa"/>
            <w:tcBorders>
              <w:top w:val="single" w:color="auto" w:sz="4" w:space="0"/>
              <w:left w:val="nil"/>
              <w:bottom w:val="single" w:color="auto" w:sz="4" w:space="0"/>
              <w:right w:val="single" w:color="auto" w:sz="4" w:space="0"/>
            </w:tcBorders>
            <w:noWrap w:val="0"/>
            <w:vAlign w:val="center"/>
          </w:tcPr>
          <w:p w14:paraId="495AEA73">
            <w:pPr>
              <w:spacing w:line="360" w:lineRule="auto"/>
              <w:ind w:left="154"/>
              <w:jc w:val="center"/>
              <w:rPr>
                <w:color w:val="auto"/>
              </w:rPr>
            </w:pPr>
          </w:p>
        </w:tc>
        <w:tc>
          <w:tcPr>
            <w:tcW w:w="1184" w:type="dxa"/>
            <w:tcBorders>
              <w:top w:val="single" w:color="auto" w:sz="4" w:space="0"/>
              <w:left w:val="nil"/>
              <w:bottom w:val="single" w:color="auto" w:sz="4" w:space="0"/>
              <w:right w:val="single" w:color="auto" w:sz="4" w:space="0"/>
            </w:tcBorders>
            <w:noWrap w:val="0"/>
            <w:vAlign w:val="center"/>
          </w:tcPr>
          <w:p w14:paraId="6C63844F">
            <w:pPr>
              <w:spacing w:line="360" w:lineRule="auto"/>
              <w:ind w:left="154"/>
              <w:jc w:val="center"/>
              <w:rPr>
                <w:color w:val="auto"/>
              </w:rPr>
            </w:pPr>
          </w:p>
        </w:tc>
      </w:tr>
      <w:tr w14:paraId="269B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14:paraId="3CE117EA">
            <w:pPr>
              <w:spacing w:line="360" w:lineRule="auto"/>
              <w:ind w:left="154"/>
              <w:jc w:val="center"/>
              <w:rPr>
                <w:color w:val="auto"/>
              </w:rPr>
            </w:pPr>
          </w:p>
        </w:tc>
        <w:tc>
          <w:tcPr>
            <w:tcW w:w="1372" w:type="dxa"/>
            <w:tcBorders>
              <w:top w:val="single" w:color="auto" w:sz="4" w:space="0"/>
              <w:left w:val="nil"/>
              <w:bottom w:val="single" w:color="auto" w:sz="4" w:space="0"/>
              <w:right w:val="single" w:color="auto" w:sz="4" w:space="0"/>
            </w:tcBorders>
            <w:noWrap w:val="0"/>
            <w:vAlign w:val="center"/>
          </w:tcPr>
          <w:p w14:paraId="4031AFD2">
            <w:pPr>
              <w:spacing w:line="360" w:lineRule="auto"/>
              <w:ind w:left="154"/>
              <w:jc w:val="center"/>
              <w:rPr>
                <w:color w:val="auto"/>
              </w:rPr>
            </w:pPr>
          </w:p>
        </w:tc>
        <w:tc>
          <w:tcPr>
            <w:tcW w:w="1282" w:type="dxa"/>
            <w:tcBorders>
              <w:top w:val="single" w:color="auto" w:sz="4" w:space="0"/>
              <w:left w:val="nil"/>
              <w:bottom w:val="single" w:color="auto" w:sz="4" w:space="0"/>
              <w:right w:val="single" w:color="auto" w:sz="4" w:space="0"/>
            </w:tcBorders>
            <w:noWrap w:val="0"/>
            <w:vAlign w:val="center"/>
          </w:tcPr>
          <w:p w14:paraId="1FC16451">
            <w:pPr>
              <w:spacing w:line="360" w:lineRule="auto"/>
              <w:ind w:left="154"/>
              <w:jc w:val="center"/>
              <w:rPr>
                <w:color w:val="auto"/>
              </w:rPr>
            </w:pPr>
          </w:p>
        </w:tc>
        <w:tc>
          <w:tcPr>
            <w:tcW w:w="1282" w:type="dxa"/>
            <w:tcBorders>
              <w:top w:val="single" w:color="auto" w:sz="4" w:space="0"/>
              <w:left w:val="nil"/>
              <w:bottom w:val="single" w:color="auto" w:sz="4" w:space="0"/>
              <w:right w:val="single" w:color="auto" w:sz="4" w:space="0"/>
            </w:tcBorders>
            <w:noWrap w:val="0"/>
            <w:vAlign w:val="center"/>
          </w:tcPr>
          <w:p w14:paraId="7DCB0C1E">
            <w:pPr>
              <w:spacing w:line="360" w:lineRule="auto"/>
              <w:ind w:left="154"/>
              <w:jc w:val="center"/>
              <w:rPr>
                <w:color w:val="auto"/>
              </w:rPr>
            </w:pPr>
          </w:p>
        </w:tc>
        <w:tc>
          <w:tcPr>
            <w:tcW w:w="1282" w:type="dxa"/>
            <w:tcBorders>
              <w:top w:val="single" w:color="auto" w:sz="4" w:space="0"/>
              <w:left w:val="nil"/>
              <w:bottom w:val="single" w:color="auto" w:sz="4" w:space="0"/>
              <w:right w:val="single" w:color="auto" w:sz="4" w:space="0"/>
            </w:tcBorders>
            <w:noWrap w:val="0"/>
            <w:vAlign w:val="center"/>
          </w:tcPr>
          <w:p w14:paraId="26A83B1A">
            <w:pPr>
              <w:spacing w:line="360" w:lineRule="auto"/>
              <w:ind w:left="154"/>
              <w:jc w:val="center"/>
              <w:rPr>
                <w:color w:val="auto"/>
              </w:rPr>
            </w:pPr>
          </w:p>
        </w:tc>
        <w:tc>
          <w:tcPr>
            <w:tcW w:w="1816" w:type="dxa"/>
            <w:tcBorders>
              <w:top w:val="single" w:color="auto" w:sz="4" w:space="0"/>
              <w:left w:val="nil"/>
              <w:bottom w:val="single" w:color="auto" w:sz="4" w:space="0"/>
              <w:right w:val="single" w:color="auto" w:sz="4" w:space="0"/>
            </w:tcBorders>
            <w:noWrap w:val="0"/>
            <w:vAlign w:val="center"/>
          </w:tcPr>
          <w:p w14:paraId="748FAD01">
            <w:pPr>
              <w:spacing w:line="360" w:lineRule="auto"/>
              <w:ind w:left="154"/>
              <w:jc w:val="center"/>
              <w:rPr>
                <w:color w:val="auto"/>
              </w:rPr>
            </w:pPr>
          </w:p>
        </w:tc>
        <w:tc>
          <w:tcPr>
            <w:tcW w:w="1184" w:type="dxa"/>
            <w:tcBorders>
              <w:top w:val="single" w:color="auto" w:sz="4" w:space="0"/>
              <w:left w:val="nil"/>
              <w:bottom w:val="single" w:color="auto" w:sz="4" w:space="0"/>
              <w:right w:val="single" w:color="auto" w:sz="4" w:space="0"/>
            </w:tcBorders>
            <w:noWrap w:val="0"/>
            <w:vAlign w:val="center"/>
          </w:tcPr>
          <w:p w14:paraId="296293FE">
            <w:pPr>
              <w:spacing w:line="360" w:lineRule="auto"/>
              <w:ind w:left="154"/>
              <w:jc w:val="center"/>
              <w:rPr>
                <w:color w:val="auto"/>
              </w:rPr>
            </w:pPr>
          </w:p>
        </w:tc>
      </w:tr>
      <w:tr w14:paraId="3969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14:paraId="159DCA66">
            <w:pPr>
              <w:spacing w:line="360" w:lineRule="auto"/>
              <w:ind w:left="154"/>
              <w:jc w:val="center"/>
              <w:rPr>
                <w:color w:val="auto"/>
              </w:rPr>
            </w:pPr>
          </w:p>
        </w:tc>
        <w:tc>
          <w:tcPr>
            <w:tcW w:w="1372" w:type="dxa"/>
            <w:tcBorders>
              <w:top w:val="single" w:color="auto" w:sz="4" w:space="0"/>
              <w:left w:val="nil"/>
              <w:bottom w:val="single" w:color="auto" w:sz="4" w:space="0"/>
              <w:right w:val="single" w:color="auto" w:sz="4" w:space="0"/>
            </w:tcBorders>
            <w:noWrap w:val="0"/>
            <w:vAlign w:val="center"/>
          </w:tcPr>
          <w:p w14:paraId="7EC9910E">
            <w:pPr>
              <w:spacing w:line="360" w:lineRule="auto"/>
              <w:ind w:left="154"/>
              <w:jc w:val="center"/>
              <w:rPr>
                <w:color w:val="auto"/>
              </w:rPr>
            </w:pPr>
          </w:p>
        </w:tc>
        <w:tc>
          <w:tcPr>
            <w:tcW w:w="1282" w:type="dxa"/>
            <w:tcBorders>
              <w:top w:val="single" w:color="auto" w:sz="4" w:space="0"/>
              <w:left w:val="nil"/>
              <w:bottom w:val="single" w:color="auto" w:sz="4" w:space="0"/>
              <w:right w:val="single" w:color="auto" w:sz="4" w:space="0"/>
            </w:tcBorders>
            <w:noWrap w:val="0"/>
            <w:vAlign w:val="center"/>
          </w:tcPr>
          <w:p w14:paraId="58939E4D">
            <w:pPr>
              <w:spacing w:line="360" w:lineRule="auto"/>
              <w:ind w:left="154"/>
              <w:jc w:val="center"/>
              <w:rPr>
                <w:color w:val="auto"/>
              </w:rPr>
            </w:pPr>
          </w:p>
        </w:tc>
        <w:tc>
          <w:tcPr>
            <w:tcW w:w="1282" w:type="dxa"/>
            <w:tcBorders>
              <w:top w:val="single" w:color="auto" w:sz="4" w:space="0"/>
              <w:left w:val="nil"/>
              <w:bottom w:val="single" w:color="auto" w:sz="4" w:space="0"/>
              <w:right w:val="single" w:color="auto" w:sz="4" w:space="0"/>
            </w:tcBorders>
            <w:noWrap w:val="0"/>
            <w:vAlign w:val="center"/>
          </w:tcPr>
          <w:p w14:paraId="7243650A">
            <w:pPr>
              <w:spacing w:line="360" w:lineRule="auto"/>
              <w:ind w:left="154"/>
              <w:jc w:val="center"/>
              <w:rPr>
                <w:color w:val="auto"/>
              </w:rPr>
            </w:pPr>
          </w:p>
        </w:tc>
        <w:tc>
          <w:tcPr>
            <w:tcW w:w="1282" w:type="dxa"/>
            <w:tcBorders>
              <w:top w:val="single" w:color="auto" w:sz="4" w:space="0"/>
              <w:left w:val="nil"/>
              <w:bottom w:val="single" w:color="auto" w:sz="4" w:space="0"/>
              <w:right w:val="single" w:color="auto" w:sz="4" w:space="0"/>
            </w:tcBorders>
            <w:noWrap w:val="0"/>
            <w:vAlign w:val="center"/>
          </w:tcPr>
          <w:p w14:paraId="556A6967">
            <w:pPr>
              <w:spacing w:line="360" w:lineRule="auto"/>
              <w:ind w:left="154"/>
              <w:jc w:val="center"/>
              <w:rPr>
                <w:color w:val="auto"/>
              </w:rPr>
            </w:pPr>
          </w:p>
        </w:tc>
        <w:tc>
          <w:tcPr>
            <w:tcW w:w="1816" w:type="dxa"/>
            <w:tcBorders>
              <w:top w:val="single" w:color="auto" w:sz="4" w:space="0"/>
              <w:left w:val="nil"/>
              <w:bottom w:val="single" w:color="auto" w:sz="4" w:space="0"/>
              <w:right w:val="single" w:color="auto" w:sz="4" w:space="0"/>
            </w:tcBorders>
            <w:noWrap w:val="0"/>
            <w:vAlign w:val="center"/>
          </w:tcPr>
          <w:p w14:paraId="1E40C455">
            <w:pPr>
              <w:spacing w:line="360" w:lineRule="auto"/>
              <w:ind w:left="154"/>
              <w:jc w:val="center"/>
              <w:rPr>
                <w:color w:val="auto"/>
              </w:rPr>
            </w:pPr>
          </w:p>
        </w:tc>
        <w:tc>
          <w:tcPr>
            <w:tcW w:w="1184" w:type="dxa"/>
            <w:tcBorders>
              <w:top w:val="single" w:color="auto" w:sz="4" w:space="0"/>
              <w:left w:val="nil"/>
              <w:bottom w:val="single" w:color="auto" w:sz="4" w:space="0"/>
              <w:right w:val="single" w:color="auto" w:sz="4" w:space="0"/>
            </w:tcBorders>
            <w:noWrap w:val="0"/>
            <w:vAlign w:val="center"/>
          </w:tcPr>
          <w:p w14:paraId="01DC212E">
            <w:pPr>
              <w:spacing w:line="360" w:lineRule="auto"/>
              <w:ind w:left="154"/>
              <w:jc w:val="center"/>
              <w:rPr>
                <w:color w:val="auto"/>
              </w:rPr>
            </w:pPr>
          </w:p>
        </w:tc>
      </w:tr>
      <w:tr w14:paraId="41691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14:paraId="7FD2FCF2">
            <w:pPr>
              <w:spacing w:line="360" w:lineRule="auto"/>
              <w:ind w:left="154"/>
              <w:jc w:val="center"/>
              <w:rPr>
                <w:color w:val="auto"/>
              </w:rPr>
            </w:pPr>
          </w:p>
        </w:tc>
        <w:tc>
          <w:tcPr>
            <w:tcW w:w="1372" w:type="dxa"/>
            <w:tcBorders>
              <w:top w:val="single" w:color="auto" w:sz="4" w:space="0"/>
              <w:left w:val="nil"/>
              <w:bottom w:val="single" w:color="auto" w:sz="4" w:space="0"/>
              <w:right w:val="single" w:color="auto" w:sz="4" w:space="0"/>
            </w:tcBorders>
            <w:noWrap w:val="0"/>
            <w:vAlign w:val="center"/>
          </w:tcPr>
          <w:p w14:paraId="2DC45DDA">
            <w:pPr>
              <w:spacing w:line="360" w:lineRule="auto"/>
              <w:ind w:left="154"/>
              <w:jc w:val="center"/>
              <w:rPr>
                <w:color w:val="auto"/>
              </w:rPr>
            </w:pPr>
          </w:p>
        </w:tc>
        <w:tc>
          <w:tcPr>
            <w:tcW w:w="1282" w:type="dxa"/>
            <w:tcBorders>
              <w:top w:val="single" w:color="auto" w:sz="4" w:space="0"/>
              <w:left w:val="nil"/>
              <w:bottom w:val="single" w:color="auto" w:sz="4" w:space="0"/>
              <w:right w:val="single" w:color="auto" w:sz="4" w:space="0"/>
            </w:tcBorders>
            <w:noWrap w:val="0"/>
            <w:vAlign w:val="center"/>
          </w:tcPr>
          <w:p w14:paraId="7476E73E">
            <w:pPr>
              <w:spacing w:line="360" w:lineRule="auto"/>
              <w:ind w:left="154"/>
              <w:jc w:val="center"/>
              <w:rPr>
                <w:color w:val="auto"/>
              </w:rPr>
            </w:pPr>
          </w:p>
        </w:tc>
        <w:tc>
          <w:tcPr>
            <w:tcW w:w="1282" w:type="dxa"/>
            <w:tcBorders>
              <w:top w:val="single" w:color="auto" w:sz="4" w:space="0"/>
              <w:left w:val="nil"/>
              <w:bottom w:val="single" w:color="auto" w:sz="4" w:space="0"/>
              <w:right w:val="single" w:color="auto" w:sz="4" w:space="0"/>
            </w:tcBorders>
            <w:noWrap w:val="0"/>
            <w:vAlign w:val="center"/>
          </w:tcPr>
          <w:p w14:paraId="58602146">
            <w:pPr>
              <w:spacing w:line="360" w:lineRule="auto"/>
              <w:ind w:left="154"/>
              <w:jc w:val="center"/>
              <w:rPr>
                <w:color w:val="auto"/>
              </w:rPr>
            </w:pPr>
          </w:p>
        </w:tc>
        <w:tc>
          <w:tcPr>
            <w:tcW w:w="1282" w:type="dxa"/>
            <w:tcBorders>
              <w:top w:val="single" w:color="auto" w:sz="4" w:space="0"/>
              <w:left w:val="nil"/>
              <w:bottom w:val="single" w:color="auto" w:sz="4" w:space="0"/>
              <w:right w:val="single" w:color="auto" w:sz="4" w:space="0"/>
            </w:tcBorders>
            <w:noWrap w:val="0"/>
            <w:vAlign w:val="center"/>
          </w:tcPr>
          <w:p w14:paraId="04FC41C6">
            <w:pPr>
              <w:spacing w:line="360" w:lineRule="auto"/>
              <w:ind w:left="154"/>
              <w:jc w:val="center"/>
              <w:rPr>
                <w:color w:val="auto"/>
              </w:rPr>
            </w:pPr>
          </w:p>
        </w:tc>
        <w:tc>
          <w:tcPr>
            <w:tcW w:w="1816" w:type="dxa"/>
            <w:tcBorders>
              <w:top w:val="single" w:color="auto" w:sz="4" w:space="0"/>
              <w:left w:val="nil"/>
              <w:bottom w:val="single" w:color="auto" w:sz="4" w:space="0"/>
              <w:right w:val="single" w:color="auto" w:sz="4" w:space="0"/>
            </w:tcBorders>
            <w:noWrap w:val="0"/>
            <w:vAlign w:val="center"/>
          </w:tcPr>
          <w:p w14:paraId="0E23179B">
            <w:pPr>
              <w:spacing w:line="360" w:lineRule="auto"/>
              <w:ind w:left="154"/>
              <w:jc w:val="center"/>
              <w:rPr>
                <w:color w:val="auto"/>
              </w:rPr>
            </w:pPr>
          </w:p>
        </w:tc>
        <w:tc>
          <w:tcPr>
            <w:tcW w:w="1184" w:type="dxa"/>
            <w:tcBorders>
              <w:top w:val="single" w:color="auto" w:sz="4" w:space="0"/>
              <w:left w:val="nil"/>
              <w:bottom w:val="single" w:color="auto" w:sz="4" w:space="0"/>
              <w:right w:val="single" w:color="auto" w:sz="4" w:space="0"/>
            </w:tcBorders>
            <w:noWrap w:val="0"/>
            <w:vAlign w:val="center"/>
          </w:tcPr>
          <w:p w14:paraId="21EE0260">
            <w:pPr>
              <w:spacing w:line="360" w:lineRule="auto"/>
              <w:ind w:left="154"/>
              <w:jc w:val="center"/>
              <w:rPr>
                <w:color w:val="auto"/>
              </w:rPr>
            </w:pPr>
          </w:p>
        </w:tc>
      </w:tr>
    </w:tbl>
    <w:p w14:paraId="0FB03ADD">
      <w:pPr>
        <w:rPr>
          <w:color w:val="auto"/>
        </w:rPr>
      </w:pPr>
    </w:p>
    <w:p w14:paraId="0FBD7FAD">
      <w:pPr>
        <w:pStyle w:val="4"/>
        <w:numPr>
          <w:ilvl w:val="0"/>
          <w:numId w:val="20"/>
        </w:numPr>
        <w:wordWrap/>
        <w:topLinePunct w:val="0"/>
        <w:jc w:val="center"/>
        <w:rPr>
          <w:color w:val="auto"/>
          <w:sz w:val="24"/>
          <w:szCs w:val="24"/>
        </w:rPr>
      </w:pPr>
      <w:r>
        <w:rPr>
          <w:rFonts w:hint="eastAsia"/>
          <w:bCs w:val="0"/>
          <w:color w:val="auto"/>
          <w:sz w:val="24"/>
          <w:szCs w:val="24"/>
          <w:lang w:val="zh-CN"/>
        </w:rPr>
        <w:br w:type="page"/>
      </w:r>
      <w:bookmarkStart w:id="846" w:name="_Toc29623362"/>
      <w:r>
        <w:rPr>
          <w:rFonts w:hint="eastAsia"/>
          <w:bCs w:val="0"/>
          <w:color w:val="auto"/>
          <w:lang w:val="zh-CN"/>
        </w:rPr>
        <w:t>主要人员简历表</w:t>
      </w:r>
      <w:bookmarkEnd w:id="846"/>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2434"/>
        <w:gridCol w:w="2483"/>
        <w:gridCol w:w="14"/>
        <w:gridCol w:w="2503"/>
      </w:tblGrid>
      <w:tr w14:paraId="7DF6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center"/>
          </w:tcPr>
          <w:p w14:paraId="36E7722E">
            <w:pPr>
              <w:spacing w:line="440" w:lineRule="exact"/>
              <w:jc w:val="center"/>
              <w:rPr>
                <w:color w:val="auto"/>
              </w:rPr>
            </w:pPr>
            <w:r>
              <w:rPr>
                <w:rFonts w:hint="eastAsia"/>
                <w:color w:val="auto"/>
              </w:rPr>
              <w:t>姓    名</w:t>
            </w:r>
          </w:p>
        </w:tc>
        <w:tc>
          <w:tcPr>
            <w:tcW w:w="2434" w:type="dxa"/>
            <w:tcBorders>
              <w:top w:val="single" w:color="auto" w:sz="4" w:space="0"/>
              <w:left w:val="nil"/>
              <w:bottom w:val="single" w:color="auto" w:sz="4" w:space="0"/>
              <w:right w:val="single" w:color="auto" w:sz="4" w:space="0"/>
            </w:tcBorders>
            <w:noWrap w:val="0"/>
            <w:vAlign w:val="center"/>
          </w:tcPr>
          <w:p w14:paraId="7082C392">
            <w:pPr>
              <w:spacing w:line="440" w:lineRule="exact"/>
              <w:jc w:val="center"/>
              <w:rPr>
                <w:color w:val="auto"/>
              </w:rPr>
            </w:pPr>
          </w:p>
        </w:tc>
        <w:tc>
          <w:tcPr>
            <w:tcW w:w="2497" w:type="dxa"/>
            <w:gridSpan w:val="2"/>
            <w:tcBorders>
              <w:top w:val="single" w:color="auto" w:sz="4" w:space="0"/>
              <w:left w:val="nil"/>
              <w:bottom w:val="single" w:color="auto" w:sz="4" w:space="0"/>
              <w:right w:val="single" w:color="auto" w:sz="4" w:space="0"/>
            </w:tcBorders>
            <w:noWrap w:val="0"/>
            <w:vAlign w:val="center"/>
          </w:tcPr>
          <w:p w14:paraId="233863B9">
            <w:pPr>
              <w:spacing w:line="440" w:lineRule="exact"/>
              <w:jc w:val="center"/>
              <w:rPr>
                <w:color w:val="auto"/>
              </w:rPr>
            </w:pPr>
            <w:r>
              <w:rPr>
                <w:rFonts w:hint="eastAsia"/>
                <w:color w:val="auto"/>
              </w:rPr>
              <w:t>年    龄</w:t>
            </w:r>
          </w:p>
        </w:tc>
        <w:tc>
          <w:tcPr>
            <w:tcW w:w="2503" w:type="dxa"/>
            <w:tcBorders>
              <w:top w:val="single" w:color="auto" w:sz="4" w:space="0"/>
              <w:left w:val="nil"/>
              <w:bottom w:val="single" w:color="auto" w:sz="4" w:space="0"/>
              <w:right w:val="single" w:color="auto" w:sz="4" w:space="0"/>
            </w:tcBorders>
            <w:noWrap w:val="0"/>
            <w:vAlign w:val="center"/>
          </w:tcPr>
          <w:p w14:paraId="02459060">
            <w:pPr>
              <w:spacing w:line="440" w:lineRule="exact"/>
              <w:rPr>
                <w:color w:val="auto"/>
              </w:rPr>
            </w:pPr>
          </w:p>
        </w:tc>
      </w:tr>
      <w:tr w14:paraId="7105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center"/>
          </w:tcPr>
          <w:p w14:paraId="2DA01746">
            <w:pPr>
              <w:spacing w:line="440" w:lineRule="exact"/>
              <w:jc w:val="center"/>
              <w:rPr>
                <w:color w:val="auto"/>
              </w:rPr>
            </w:pPr>
            <w:r>
              <w:rPr>
                <w:rFonts w:hint="eastAsia"/>
                <w:color w:val="auto"/>
              </w:rPr>
              <w:t>职    务</w:t>
            </w:r>
          </w:p>
        </w:tc>
        <w:tc>
          <w:tcPr>
            <w:tcW w:w="7434" w:type="dxa"/>
            <w:gridSpan w:val="4"/>
            <w:tcBorders>
              <w:top w:val="single" w:color="auto" w:sz="4" w:space="0"/>
              <w:left w:val="nil"/>
              <w:bottom w:val="single" w:color="auto" w:sz="4" w:space="0"/>
              <w:right w:val="single" w:color="auto" w:sz="4" w:space="0"/>
            </w:tcBorders>
            <w:noWrap w:val="0"/>
            <w:vAlign w:val="center"/>
          </w:tcPr>
          <w:p w14:paraId="19887D85">
            <w:pPr>
              <w:spacing w:line="440" w:lineRule="exact"/>
              <w:rPr>
                <w:color w:val="auto"/>
              </w:rPr>
            </w:pPr>
          </w:p>
        </w:tc>
      </w:tr>
      <w:tr w14:paraId="04B01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center"/>
          </w:tcPr>
          <w:p w14:paraId="60017E30">
            <w:pPr>
              <w:spacing w:line="440" w:lineRule="exact"/>
              <w:jc w:val="center"/>
              <w:rPr>
                <w:color w:val="auto"/>
              </w:rPr>
            </w:pPr>
            <w:r>
              <w:rPr>
                <w:rFonts w:hint="eastAsia"/>
                <w:color w:val="auto"/>
              </w:rPr>
              <w:t>毕业学校</w:t>
            </w:r>
          </w:p>
        </w:tc>
        <w:tc>
          <w:tcPr>
            <w:tcW w:w="7434" w:type="dxa"/>
            <w:gridSpan w:val="4"/>
            <w:tcBorders>
              <w:top w:val="single" w:color="auto" w:sz="4" w:space="0"/>
              <w:left w:val="nil"/>
              <w:bottom w:val="single" w:color="auto" w:sz="4" w:space="0"/>
              <w:right w:val="single" w:color="auto" w:sz="4" w:space="0"/>
            </w:tcBorders>
            <w:noWrap w:val="0"/>
            <w:vAlign w:val="top"/>
          </w:tcPr>
          <w:p w14:paraId="0C988645">
            <w:pPr>
              <w:spacing w:line="440" w:lineRule="exact"/>
              <w:rPr>
                <w:color w:val="auto"/>
              </w:rPr>
            </w:pPr>
            <w:r>
              <w:rPr>
                <w:rFonts w:hint="eastAsia"/>
                <w:color w:val="auto"/>
              </w:rPr>
              <w:t xml:space="preserve">      年毕业于            学校        专业</w:t>
            </w:r>
          </w:p>
        </w:tc>
      </w:tr>
      <w:tr w14:paraId="3FD5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center"/>
          </w:tcPr>
          <w:p w14:paraId="63F11961">
            <w:pPr>
              <w:spacing w:line="440" w:lineRule="exact"/>
              <w:jc w:val="center"/>
              <w:rPr>
                <w:color w:val="auto"/>
              </w:rPr>
            </w:pPr>
            <w:r>
              <w:rPr>
                <w:rFonts w:hint="eastAsia"/>
                <w:color w:val="auto"/>
              </w:rPr>
              <w:t>时    间</w:t>
            </w:r>
          </w:p>
        </w:tc>
        <w:tc>
          <w:tcPr>
            <w:tcW w:w="2434" w:type="dxa"/>
            <w:tcBorders>
              <w:top w:val="single" w:color="auto" w:sz="4" w:space="0"/>
              <w:left w:val="nil"/>
              <w:bottom w:val="single" w:color="auto" w:sz="4" w:space="0"/>
              <w:right w:val="single" w:color="auto" w:sz="4" w:space="0"/>
            </w:tcBorders>
            <w:noWrap w:val="0"/>
            <w:vAlign w:val="center"/>
          </w:tcPr>
          <w:p w14:paraId="1E2ACA5B">
            <w:pPr>
              <w:spacing w:line="440" w:lineRule="exact"/>
              <w:rPr>
                <w:color w:val="auto"/>
              </w:rPr>
            </w:pPr>
            <w:r>
              <w:rPr>
                <w:rFonts w:hint="eastAsia"/>
                <w:color w:val="auto"/>
              </w:rPr>
              <w:t>参加过的类似项目</w:t>
            </w:r>
          </w:p>
        </w:tc>
        <w:tc>
          <w:tcPr>
            <w:tcW w:w="2483" w:type="dxa"/>
            <w:tcBorders>
              <w:top w:val="single" w:color="auto" w:sz="4" w:space="0"/>
              <w:left w:val="nil"/>
              <w:bottom w:val="single" w:color="auto" w:sz="4" w:space="0"/>
              <w:right w:val="single" w:color="auto" w:sz="4" w:space="0"/>
            </w:tcBorders>
            <w:noWrap w:val="0"/>
            <w:vAlign w:val="center"/>
          </w:tcPr>
          <w:p w14:paraId="425C775F">
            <w:pPr>
              <w:spacing w:line="440" w:lineRule="exact"/>
              <w:rPr>
                <w:color w:val="auto"/>
              </w:rPr>
            </w:pPr>
            <w:r>
              <w:rPr>
                <w:rFonts w:hint="eastAsia"/>
                <w:color w:val="auto"/>
              </w:rPr>
              <w:t>担任职务</w:t>
            </w:r>
          </w:p>
        </w:tc>
        <w:tc>
          <w:tcPr>
            <w:tcW w:w="2517" w:type="dxa"/>
            <w:gridSpan w:val="2"/>
            <w:tcBorders>
              <w:top w:val="single" w:color="auto" w:sz="4" w:space="0"/>
              <w:left w:val="nil"/>
              <w:bottom w:val="single" w:color="auto" w:sz="4" w:space="0"/>
              <w:right w:val="single" w:color="auto" w:sz="4" w:space="0"/>
            </w:tcBorders>
            <w:noWrap w:val="0"/>
            <w:vAlign w:val="center"/>
          </w:tcPr>
          <w:p w14:paraId="64E64B52">
            <w:pPr>
              <w:spacing w:line="440" w:lineRule="exact"/>
              <w:rPr>
                <w:color w:val="auto"/>
              </w:rPr>
            </w:pPr>
            <w:r>
              <w:rPr>
                <w:rFonts w:hint="eastAsia"/>
                <w:color w:val="auto"/>
              </w:rPr>
              <w:t>备注</w:t>
            </w:r>
          </w:p>
        </w:tc>
      </w:tr>
      <w:tr w14:paraId="313E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top"/>
          </w:tcPr>
          <w:p w14:paraId="0E8B6A3D">
            <w:pPr>
              <w:spacing w:line="440" w:lineRule="exact"/>
              <w:rPr>
                <w:color w:val="auto"/>
              </w:rPr>
            </w:pPr>
          </w:p>
        </w:tc>
        <w:tc>
          <w:tcPr>
            <w:tcW w:w="2434" w:type="dxa"/>
            <w:tcBorders>
              <w:top w:val="single" w:color="auto" w:sz="4" w:space="0"/>
              <w:left w:val="nil"/>
              <w:bottom w:val="single" w:color="auto" w:sz="4" w:space="0"/>
              <w:right w:val="single" w:color="auto" w:sz="4" w:space="0"/>
            </w:tcBorders>
            <w:noWrap w:val="0"/>
            <w:vAlign w:val="top"/>
          </w:tcPr>
          <w:p w14:paraId="058C674A">
            <w:pPr>
              <w:spacing w:line="440" w:lineRule="exact"/>
              <w:rPr>
                <w:color w:val="auto"/>
              </w:rPr>
            </w:pPr>
          </w:p>
        </w:tc>
        <w:tc>
          <w:tcPr>
            <w:tcW w:w="2483" w:type="dxa"/>
            <w:tcBorders>
              <w:top w:val="single" w:color="auto" w:sz="4" w:space="0"/>
              <w:left w:val="nil"/>
              <w:bottom w:val="single" w:color="auto" w:sz="4" w:space="0"/>
              <w:right w:val="single" w:color="auto" w:sz="4" w:space="0"/>
            </w:tcBorders>
            <w:noWrap w:val="0"/>
            <w:vAlign w:val="top"/>
          </w:tcPr>
          <w:p w14:paraId="75CDCFE6">
            <w:pPr>
              <w:spacing w:line="440" w:lineRule="exact"/>
              <w:rPr>
                <w:color w:val="auto"/>
              </w:rPr>
            </w:pPr>
          </w:p>
        </w:tc>
        <w:tc>
          <w:tcPr>
            <w:tcW w:w="2517" w:type="dxa"/>
            <w:gridSpan w:val="2"/>
            <w:tcBorders>
              <w:top w:val="single" w:color="auto" w:sz="4" w:space="0"/>
              <w:left w:val="nil"/>
              <w:bottom w:val="single" w:color="auto" w:sz="4" w:space="0"/>
              <w:right w:val="single" w:color="auto" w:sz="4" w:space="0"/>
            </w:tcBorders>
            <w:noWrap w:val="0"/>
            <w:vAlign w:val="top"/>
          </w:tcPr>
          <w:p w14:paraId="4377048C">
            <w:pPr>
              <w:spacing w:line="440" w:lineRule="exact"/>
              <w:rPr>
                <w:color w:val="auto"/>
              </w:rPr>
            </w:pPr>
          </w:p>
        </w:tc>
      </w:tr>
      <w:tr w14:paraId="6B5F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top"/>
          </w:tcPr>
          <w:p w14:paraId="554A4C47">
            <w:pPr>
              <w:spacing w:line="440" w:lineRule="exact"/>
              <w:rPr>
                <w:color w:val="auto"/>
              </w:rPr>
            </w:pPr>
          </w:p>
        </w:tc>
        <w:tc>
          <w:tcPr>
            <w:tcW w:w="2434" w:type="dxa"/>
            <w:tcBorders>
              <w:top w:val="single" w:color="auto" w:sz="4" w:space="0"/>
              <w:left w:val="nil"/>
              <w:bottom w:val="single" w:color="auto" w:sz="4" w:space="0"/>
              <w:right w:val="single" w:color="auto" w:sz="4" w:space="0"/>
            </w:tcBorders>
            <w:noWrap w:val="0"/>
            <w:vAlign w:val="top"/>
          </w:tcPr>
          <w:p w14:paraId="10B567FF">
            <w:pPr>
              <w:spacing w:line="440" w:lineRule="exact"/>
              <w:rPr>
                <w:color w:val="auto"/>
              </w:rPr>
            </w:pPr>
          </w:p>
        </w:tc>
        <w:tc>
          <w:tcPr>
            <w:tcW w:w="2483" w:type="dxa"/>
            <w:tcBorders>
              <w:top w:val="single" w:color="auto" w:sz="4" w:space="0"/>
              <w:left w:val="nil"/>
              <w:bottom w:val="single" w:color="auto" w:sz="4" w:space="0"/>
              <w:right w:val="single" w:color="auto" w:sz="4" w:space="0"/>
            </w:tcBorders>
            <w:noWrap w:val="0"/>
            <w:vAlign w:val="top"/>
          </w:tcPr>
          <w:p w14:paraId="13CD460A">
            <w:pPr>
              <w:spacing w:line="440" w:lineRule="exact"/>
              <w:rPr>
                <w:color w:val="auto"/>
              </w:rPr>
            </w:pPr>
          </w:p>
        </w:tc>
        <w:tc>
          <w:tcPr>
            <w:tcW w:w="2517" w:type="dxa"/>
            <w:gridSpan w:val="2"/>
            <w:tcBorders>
              <w:top w:val="single" w:color="auto" w:sz="4" w:space="0"/>
              <w:left w:val="nil"/>
              <w:bottom w:val="single" w:color="auto" w:sz="4" w:space="0"/>
              <w:right w:val="single" w:color="auto" w:sz="4" w:space="0"/>
            </w:tcBorders>
            <w:noWrap w:val="0"/>
            <w:vAlign w:val="top"/>
          </w:tcPr>
          <w:p w14:paraId="4C606629">
            <w:pPr>
              <w:spacing w:line="440" w:lineRule="exact"/>
              <w:rPr>
                <w:color w:val="auto"/>
              </w:rPr>
            </w:pPr>
          </w:p>
        </w:tc>
      </w:tr>
      <w:tr w14:paraId="1842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top"/>
          </w:tcPr>
          <w:p w14:paraId="54362DBC">
            <w:pPr>
              <w:spacing w:line="440" w:lineRule="exact"/>
              <w:rPr>
                <w:color w:val="auto"/>
              </w:rPr>
            </w:pPr>
          </w:p>
        </w:tc>
        <w:tc>
          <w:tcPr>
            <w:tcW w:w="2434" w:type="dxa"/>
            <w:tcBorders>
              <w:top w:val="single" w:color="auto" w:sz="4" w:space="0"/>
              <w:left w:val="nil"/>
              <w:bottom w:val="single" w:color="auto" w:sz="4" w:space="0"/>
              <w:right w:val="single" w:color="auto" w:sz="4" w:space="0"/>
            </w:tcBorders>
            <w:noWrap w:val="0"/>
            <w:vAlign w:val="top"/>
          </w:tcPr>
          <w:p w14:paraId="14B4E9DC">
            <w:pPr>
              <w:spacing w:line="440" w:lineRule="exact"/>
              <w:rPr>
                <w:color w:val="auto"/>
              </w:rPr>
            </w:pPr>
          </w:p>
        </w:tc>
        <w:tc>
          <w:tcPr>
            <w:tcW w:w="2483" w:type="dxa"/>
            <w:tcBorders>
              <w:top w:val="single" w:color="auto" w:sz="4" w:space="0"/>
              <w:left w:val="nil"/>
              <w:bottom w:val="single" w:color="auto" w:sz="4" w:space="0"/>
              <w:right w:val="single" w:color="auto" w:sz="4" w:space="0"/>
            </w:tcBorders>
            <w:noWrap w:val="0"/>
            <w:vAlign w:val="top"/>
          </w:tcPr>
          <w:p w14:paraId="20B49B63">
            <w:pPr>
              <w:spacing w:line="440" w:lineRule="exact"/>
              <w:rPr>
                <w:color w:val="auto"/>
              </w:rPr>
            </w:pPr>
          </w:p>
        </w:tc>
        <w:tc>
          <w:tcPr>
            <w:tcW w:w="2517" w:type="dxa"/>
            <w:gridSpan w:val="2"/>
            <w:tcBorders>
              <w:top w:val="single" w:color="auto" w:sz="4" w:space="0"/>
              <w:left w:val="nil"/>
              <w:bottom w:val="single" w:color="auto" w:sz="4" w:space="0"/>
              <w:right w:val="single" w:color="auto" w:sz="4" w:space="0"/>
            </w:tcBorders>
            <w:noWrap w:val="0"/>
            <w:vAlign w:val="top"/>
          </w:tcPr>
          <w:p w14:paraId="42886168">
            <w:pPr>
              <w:spacing w:line="440" w:lineRule="exact"/>
              <w:rPr>
                <w:color w:val="auto"/>
              </w:rPr>
            </w:pPr>
          </w:p>
        </w:tc>
      </w:tr>
      <w:tr w14:paraId="59052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top"/>
          </w:tcPr>
          <w:p w14:paraId="191A0E17">
            <w:pPr>
              <w:spacing w:line="440" w:lineRule="exact"/>
              <w:rPr>
                <w:color w:val="auto"/>
              </w:rPr>
            </w:pPr>
          </w:p>
        </w:tc>
        <w:tc>
          <w:tcPr>
            <w:tcW w:w="2434" w:type="dxa"/>
            <w:tcBorders>
              <w:top w:val="single" w:color="auto" w:sz="4" w:space="0"/>
              <w:left w:val="nil"/>
              <w:bottom w:val="single" w:color="auto" w:sz="4" w:space="0"/>
              <w:right w:val="single" w:color="auto" w:sz="4" w:space="0"/>
            </w:tcBorders>
            <w:noWrap w:val="0"/>
            <w:vAlign w:val="top"/>
          </w:tcPr>
          <w:p w14:paraId="5F0CAEA0">
            <w:pPr>
              <w:spacing w:line="440" w:lineRule="exact"/>
              <w:rPr>
                <w:color w:val="auto"/>
              </w:rPr>
            </w:pPr>
          </w:p>
        </w:tc>
        <w:tc>
          <w:tcPr>
            <w:tcW w:w="2483" w:type="dxa"/>
            <w:tcBorders>
              <w:top w:val="single" w:color="auto" w:sz="4" w:space="0"/>
              <w:left w:val="nil"/>
              <w:bottom w:val="single" w:color="auto" w:sz="4" w:space="0"/>
              <w:right w:val="single" w:color="auto" w:sz="4" w:space="0"/>
            </w:tcBorders>
            <w:noWrap w:val="0"/>
            <w:vAlign w:val="top"/>
          </w:tcPr>
          <w:p w14:paraId="08D3C5CE">
            <w:pPr>
              <w:spacing w:line="440" w:lineRule="exact"/>
              <w:rPr>
                <w:color w:val="auto"/>
              </w:rPr>
            </w:pPr>
          </w:p>
        </w:tc>
        <w:tc>
          <w:tcPr>
            <w:tcW w:w="2517" w:type="dxa"/>
            <w:gridSpan w:val="2"/>
            <w:tcBorders>
              <w:top w:val="single" w:color="auto" w:sz="4" w:space="0"/>
              <w:left w:val="nil"/>
              <w:bottom w:val="single" w:color="auto" w:sz="4" w:space="0"/>
              <w:right w:val="single" w:color="auto" w:sz="4" w:space="0"/>
            </w:tcBorders>
            <w:noWrap w:val="0"/>
            <w:vAlign w:val="top"/>
          </w:tcPr>
          <w:p w14:paraId="4CA3FCBC">
            <w:pPr>
              <w:spacing w:line="440" w:lineRule="exact"/>
              <w:rPr>
                <w:color w:val="auto"/>
              </w:rPr>
            </w:pPr>
          </w:p>
        </w:tc>
      </w:tr>
      <w:tr w14:paraId="1A0D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top"/>
          </w:tcPr>
          <w:p w14:paraId="6DD41E92">
            <w:pPr>
              <w:spacing w:line="440" w:lineRule="exact"/>
              <w:rPr>
                <w:color w:val="auto"/>
              </w:rPr>
            </w:pPr>
          </w:p>
        </w:tc>
        <w:tc>
          <w:tcPr>
            <w:tcW w:w="2434" w:type="dxa"/>
            <w:tcBorders>
              <w:top w:val="single" w:color="auto" w:sz="4" w:space="0"/>
              <w:left w:val="nil"/>
              <w:bottom w:val="single" w:color="auto" w:sz="4" w:space="0"/>
              <w:right w:val="single" w:color="auto" w:sz="4" w:space="0"/>
            </w:tcBorders>
            <w:noWrap w:val="0"/>
            <w:vAlign w:val="top"/>
          </w:tcPr>
          <w:p w14:paraId="335922C3">
            <w:pPr>
              <w:spacing w:line="440" w:lineRule="exact"/>
              <w:rPr>
                <w:color w:val="auto"/>
              </w:rPr>
            </w:pPr>
          </w:p>
        </w:tc>
        <w:tc>
          <w:tcPr>
            <w:tcW w:w="2483" w:type="dxa"/>
            <w:tcBorders>
              <w:top w:val="single" w:color="auto" w:sz="4" w:space="0"/>
              <w:left w:val="nil"/>
              <w:bottom w:val="single" w:color="auto" w:sz="4" w:space="0"/>
              <w:right w:val="single" w:color="auto" w:sz="4" w:space="0"/>
            </w:tcBorders>
            <w:noWrap w:val="0"/>
            <w:vAlign w:val="top"/>
          </w:tcPr>
          <w:p w14:paraId="55EF81F6">
            <w:pPr>
              <w:spacing w:line="440" w:lineRule="exact"/>
              <w:rPr>
                <w:color w:val="auto"/>
              </w:rPr>
            </w:pPr>
          </w:p>
        </w:tc>
        <w:tc>
          <w:tcPr>
            <w:tcW w:w="2517" w:type="dxa"/>
            <w:gridSpan w:val="2"/>
            <w:tcBorders>
              <w:top w:val="single" w:color="auto" w:sz="4" w:space="0"/>
              <w:left w:val="nil"/>
              <w:bottom w:val="single" w:color="auto" w:sz="4" w:space="0"/>
              <w:right w:val="single" w:color="auto" w:sz="4" w:space="0"/>
            </w:tcBorders>
            <w:noWrap w:val="0"/>
            <w:vAlign w:val="top"/>
          </w:tcPr>
          <w:p w14:paraId="701C6EF4">
            <w:pPr>
              <w:spacing w:line="440" w:lineRule="exact"/>
              <w:rPr>
                <w:color w:val="auto"/>
              </w:rPr>
            </w:pPr>
          </w:p>
        </w:tc>
      </w:tr>
      <w:tr w14:paraId="2F42C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top"/>
          </w:tcPr>
          <w:p w14:paraId="7A932AF6">
            <w:pPr>
              <w:spacing w:line="440" w:lineRule="exact"/>
              <w:rPr>
                <w:color w:val="auto"/>
              </w:rPr>
            </w:pPr>
          </w:p>
        </w:tc>
        <w:tc>
          <w:tcPr>
            <w:tcW w:w="2434" w:type="dxa"/>
            <w:tcBorders>
              <w:top w:val="single" w:color="auto" w:sz="4" w:space="0"/>
              <w:left w:val="nil"/>
              <w:bottom w:val="single" w:color="auto" w:sz="4" w:space="0"/>
              <w:right w:val="single" w:color="auto" w:sz="4" w:space="0"/>
            </w:tcBorders>
            <w:noWrap w:val="0"/>
            <w:vAlign w:val="top"/>
          </w:tcPr>
          <w:p w14:paraId="2AADA64B">
            <w:pPr>
              <w:spacing w:line="440" w:lineRule="exact"/>
              <w:rPr>
                <w:color w:val="auto"/>
              </w:rPr>
            </w:pPr>
          </w:p>
        </w:tc>
        <w:tc>
          <w:tcPr>
            <w:tcW w:w="2483" w:type="dxa"/>
            <w:tcBorders>
              <w:top w:val="single" w:color="auto" w:sz="4" w:space="0"/>
              <w:left w:val="nil"/>
              <w:bottom w:val="single" w:color="auto" w:sz="4" w:space="0"/>
              <w:right w:val="single" w:color="auto" w:sz="4" w:space="0"/>
            </w:tcBorders>
            <w:noWrap w:val="0"/>
            <w:vAlign w:val="top"/>
          </w:tcPr>
          <w:p w14:paraId="35054A68">
            <w:pPr>
              <w:spacing w:line="440" w:lineRule="exact"/>
              <w:rPr>
                <w:color w:val="auto"/>
              </w:rPr>
            </w:pPr>
          </w:p>
        </w:tc>
        <w:tc>
          <w:tcPr>
            <w:tcW w:w="2517" w:type="dxa"/>
            <w:gridSpan w:val="2"/>
            <w:tcBorders>
              <w:top w:val="single" w:color="auto" w:sz="4" w:space="0"/>
              <w:left w:val="nil"/>
              <w:bottom w:val="single" w:color="auto" w:sz="4" w:space="0"/>
              <w:right w:val="single" w:color="auto" w:sz="4" w:space="0"/>
            </w:tcBorders>
            <w:noWrap w:val="0"/>
            <w:vAlign w:val="top"/>
          </w:tcPr>
          <w:p w14:paraId="62A8B665">
            <w:pPr>
              <w:spacing w:line="440" w:lineRule="exact"/>
              <w:rPr>
                <w:color w:val="auto"/>
              </w:rPr>
            </w:pPr>
          </w:p>
        </w:tc>
      </w:tr>
    </w:tbl>
    <w:p w14:paraId="321ADB90">
      <w:pPr>
        <w:autoSpaceDE w:val="0"/>
        <w:autoSpaceDN w:val="0"/>
        <w:adjustRightInd w:val="0"/>
        <w:spacing w:line="110" w:lineRule="exact"/>
        <w:rPr>
          <w:rFonts w:ascii="Times New Roman" w:hAnsi="Times New Roman"/>
          <w:color w:val="auto"/>
          <w:kern w:val="0"/>
          <w:sz w:val="11"/>
          <w:szCs w:val="11"/>
        </w:rPr>
      </w:pPr>
    </w:p>
    <w:p w14:paraId="3C6DEB3F">
      <w:pPr>
        <w:pStyle w:val="4"/>
        <w:numPr>
          <w:ilvl w:val="0"/>
          <w:numId w:val="20"/>
        </w:numPr>
        <w:wordWrap/>
        <w:topLinePunct w:val="0"/>
        <w:jc w:val="center"/>
        <w:rPr>
          <w:bCs w:val="0"/>
          <w:color w:val="auto"/>
          <w:sz w:val="24"/>
          <w:szCs w:val="24"/>
          <w:lang w:val="zh-CN"/>
        </w:rPr>
      </w:pPr>
      <w:r>
        <w:rPr>
          <w:rFonts w:hint="eastAsia"/>
          <w:bCs w:val="0"/>
          <w:color w:val="auto"/>
          <w:sz w:val="24"/>
          <w:szCs w:val="24"/>
          <w:lang w:val="zh-CN"/>
        </w:rPr>
        <w:br w:type="page"/>
      </w:r>
      <w:bookmarkStart w:id="847" w:name="_Toc29623363"/>
      <w:r>
        <w:rPr>
          <w:rFonts w:hint="eastAsia"/>
          <w:bCs w:val="0"/>
          <w:color w:val="auto"/>
          <w:lang w:val="zh-CN"/>
        </w:rPr>
        <w:t>人员安排及管理制度</w:t>
      </w:r>
      <w:bookmarkEnd w:id="847"/>
    </w:p>
    <w:p w14:paraId="782C10E0">
      <w:pPr>
        <w:pStyle w:val="2"/>
        <w:spacing w:before="120" w:after="120"/>
        <w:jc w:val="center"/>
        <w:rPr>
          <w:rFonts w:hint="eastAsia" w:ascii="宋体" w:hAnsi="宋体"/>
          <w:color w:val="auto"/>
          <w:szCs w:val="32"/>
        </w:rPr>
      </w:pPr>
      <w:r>
        <w:rPr>
          <w:rFonts w:hint="eastAsia"/>
          <w:bCs w:val="0"/>
          <w:color w:val="auto"/>
          <w:lang w:val="zh-CN"/>
        </w:rPr>
        <w:br w:type="page"/>
      </w:r>
      <w:bookmarkEnd w:id="840"/>
      <w:bookmarkEnd w:id="841"/>
    </w:p>
    <w:p w14:paraId="6E86CAAD">
      <w:pPr>
        <w:bidi w:val="0"/>
        <w:jc w:val="center"/>
        <w:rPr>
          <w:b/>
          <w:bCs/>
          <w:color w:val="auto"/>
          <w:sz w:val="30"/>
          <w:szCs w:val="30"/>
        </w:rPr>
      </w:pPr>
      <w:r>
        <w:rPr>
          <w:rFonts w:hint="eastAsia"/>
          <w:b/>
          <w:bCs/>
          <w:color w:val="auto"/>
          <w:sz w:val="30"/>
          <w:szCs w:val="30"/>
        </w:rPr>
        <w:t>八、其他资料</w:t>
      </w:r>
    </w:p>
    <w:p w14:paraId="6E1B8A28">
      <w:pPr>
        <w:pStyle w:val="11"/>
        <w:ind w:firstLine="0"/>
        <w:jc w:val="left"/>
        <w:rPr>
          <w:rFonts w:hint="eastAsia" w:ascii="宋体" w:hAnsi="宋体" w:cs="宋体"/>
          <w:color w:val="auto"/>
          <w:sz w:val="24"/>
          <w:szCs w:val="24"/>
        </w:rPr>
      </w:pPr>
      <w:r>
        <w:rPr>
          <w:rFonts w:hint="eastAsia" w:ascii="宋体" w:hAnsi="宋体" w:cs="宋体"/>
          <w:b/>
          <w:bCs/>
          <w:color w:val="auto"/>
          <w:sz w:val="24"/>
          <w:szCs w:val="24"/>
        </w:rPr>
        <w:t>附件1</w:t>
      </w:r>
    </w:p>
    <w:p w14:paraId="61665047">
      <w:pPr>
        <w:pStyle w:val="11"/>
        <w:ind w:firstLine="0"/>
        <w:jc w:val="center"/>
        <w:rPr>
          <w:rFonts w:hint="eastAsia" w:ascii="宋体" w:hAnsi="宋体" w:cs="宋体"/>
          <w:b/>
          <w:bCs/>
          <w:color w:val="auto"/>
          <w:sz w:val="24"/>
          <w:szCs w:val="24"/>
          <w:lang w:val="zh-CN"/>
        </w:rPr>
      </w:pPr>
      <w:r>
        <w:rPr>
          <w:rFonts w:hint="eastAsia" w:ascii="宋体" w:hAnsi="宋体" w:cs="宋体"/>
          <w:b/>
          <w:bCs/>
          <w:color w:val="auto"/>
          <w:sz w:val="24"/>
          <w:szCs w:val="24"/>
          <w:lang w:val="zh-CN"/>
        </w:rPr>
        <w:t>中小企业声明函（工程、服务）</w:t>
      </w:r>
    </w:p>
    <w:p w14:paraId="1EE17692">
      <w:pPr>
        <w:pStyle w:val="11"/>
        <w:ind w:firstLine="0"/>
        <w:jc w:val="center"/>
        <w:rPr>
          <w:rFonts w:hint="eastAsia" w:ascii="宋体" w:hAnsi="宋体" w:cs="宋体"/>
          <w:b/>
          <w:bCs/>
          <w:color w:val="auto"/>
          <w:sz w:val="24"/>
          <w:szCs w:val="24"/>
          <w:lang w:val="zh-CN"/>
        </w:rPr>
      </w:pPr>
      <w:r>
        <w:rPr>
          <w:rFonts w:hint="eastAsia" w:ascii="宋体" w:hAnsi="宋体" w:cs="宋体"/>
          <w:b/>
          <w:bCs/>
          <w:color w:val="auto"/>
          <w:sz w:val="24"/>
          <w:szCs w:val="24"/>
          <w:lang w:val="zh-CN"/>
        </w:rPr>
        <w:t>（如有）</w:t>
      </w:r>
    </w:p>
    <w:p w14:paraId="3FF986C6">
      <w:pPr>
        <w:pStyle w:val="11"/>
        <w:spacing w:line="360" w:lineRule="auto"/>
        <w:ind w:firstLine="461"/>
        <w:rPr>
          <w:rFonts w:hint="eastAsia" w:ascii="宋体" w:hAnsi="宋体" w:cs="宋体"/>
          <w:color w:val="auto"/>
          <w:sz w:val="24"/>
          <w:szCs w:val="24"/>
          <w:lang w:val="zh-CN"/>
        </w:rPr>
      </w:pPr>
      <w:r>
        <w:rPr>
          <w:rFonts w:hint="eastAsia" w:ascii="宋体" w:hAnsi="宋体" w:cs="宋体"/>
          <w:color w:val="auto"/>
          <w:sz w:val="24"/>
          <w:szCs w:val="24"/>
          <w:lang w:val="zh-CN"/>
        </w:rPr>
        <w:t>本公司（联合体）郑重声明，根据《政府采购促进中小企业发展管理办法》（财库[20</w:t>
      </w:r>
      <w:r>
        <w:rPr>
          <w:rFonts w:hint="eastAsia" w:ascii="宋体" w:hAnsi="宋体" w:cs="宋体"/>
          <w:color w:val="auto"/>
          <w:sz w:val="24"/>
          <w:szCs w:val="24"/>
        </w:rPr>
        <w:t>20</w:t>
      </w:r>
      <w:r>
        <w:rPr>
          <w:rFonts w:hint="eastAsia" w:ascii="宋体" w:hAnsi="宋体" w:cs="宋体"/>
          <w:color w:val="auto"/>
          <w:sz w:val="24"/>
          <w:szCs w:val="24"/>
          <w:lang w:val="zh-CN"/>
        </w:rPr>
        <w:t>]</w:t>
      </w:r>
      <w:r>
        <w:rPr>
          <w:rFonts w:hint="eastAsia" w:ascii="宋体" w:hAnsi="宋体" w:cs="宋体"/>
          <w:color w:val="auto"/>
          <w:sz w:val="24"/>
          <w:szCs w:val="24"/>
        </w:rPr>
        <w:t>46</w:t>
      </w:r>
      <w:r>
        <w:rPr>
          <w:rFonts w:hint="eastAsia" w:ascii="宋体" w:hAnsi="宋体" w:cs="宋体"/>
          <w:color w:val="auto"/>
          <w:sz w:val="24"/>
          <w:szCs w:val="24"/>
          <w:lang w:val="zh-CN"/>
        </w:rPr>
        <w:t>号）的规定，本公司（联合体）参加</w:t>
      </w:r>
      <w:r>
        <w:rPr>
          <w:rFonts w:hint="eastAsia" w:ascii="宋体" w:hAnsi="宋体" w:cs="宋体"/>
          <w:color w:val="auto"/>
          <w:sz w:val="24"/>
          <w:szCs w:val="24"/>
          <w:u w:val="single"/>
          <w:lang w:val="zh-CN"/>
        </w:rPr>
        <w:t>（单位名称）</w:t>
      </w:r>
      <w:r>
        <w:rPr>
          <w:rFonts w:hint="eastAsia" w:ascii="宋体" w:hAnsi="宋体" w:cs="宋体"/>
          <w:color w:val="auto"/>
          <w:sz w:val="24"/>
          <w:szCs w:val="24"/>
          <w:lang w:val="zh-CN"/>
        </w:rPr>
        <w:t>的</w:t>
      </w:r>
      <w:r>
        <w:rPr>
          <w:rFonts w:hint="eastAsia" w:ascii="宋体" w:hAnsi="宋体" w:cs="宋体"/>
          <w:color w:val="auto"/>
          <w:sz w:val="24"/>
          <w:szCs w:val="24"/>
          <w:u w:val="single"/>
          <w:lang w:val="zh-CN"/>
        </w:rPr>
        <w:t>（项目名称）</w:t>
      </w:r>
      <w:r>
        <w:rPr>
          <w:rFonts w:hint="eastAsia" w:ascii="宋体" w:hAnsi="宋体" w:cs="宋体"/>
          <w:color w:val="auto"/>
          <w:sz w:val="24"/>
          <w:szCs w:val="24"/>
          <w:lang w:val="zh-CN"/>
        </w:rPr>
        <w:t>采购活动，工程的施工单位全部为符合政策要求的中小企业（或者：服务全部由符合政策要求的中小企业承接）。相关企业（含联合体中的中小企业、签订分包意向协议的中小企业）的具体情况如下：</w:t>
      </w:r>
    </w:p>
    <w:p w14:paraId="6D329EE1">
      <w:pPr>
        <w:pStyle w:val="11"/>
        <w:numPr>
          <w:ilvl w:val="0"/>
          <w:numId w:val="21"/>
        </w:numPr>
        <w:spacing w:line="360" w:lineRule="auto"/>
        <w:ind w:firstLine="461"/>
        <w:rPr>
          <w:rFonts w:hint="eastAsia" w:ascii="宋体" w:hAnsi="宋体" w:cs="宋体"/>
          <w:color w:val="auto"/>
          <w:sz w:val="24"/>
          <w:szCs w:val="24"/>
        </w:rPr>
      </w:pPr>
      <w:r>
        <w:rPr>
          <w:rFonts w:hint="eastAsia" w:ascii="宋体" w:hAnsi="宋体" w:cs="宋体"/>
          <w:color w:val="auto"/>
          <w:sz w:val="24"/>
          <w:szCs w:val="24"/>
          <w:u w:val="single"/>
          <w:lang w:val="zh-CN"/>
        </w:rPr>
        <w:t>（标的名称）</w:t>
      </w:r>
      <w:r>
        <w:rPr>
          <w:rFonts w:hint="eastAsia" w:ascii="宋体" w:hAnsi="宋体" w:cs="宋体"/>
          <w:color w:val="auto"/>
          <w:sz w:val="24"/>
          <w:szCs w:val="24"/>
          <w:lang w:val="zh-CN"/>
        </w:rPr>
        <w:t>，属于</w:t>
      </w:r>
      <w:r>
        <w:rPr>
          <w:rFonts w:hint="eastAsia" w:ascii="宋体" w:hAnsi="宋体" w:cs="宋体"/>
          <w:color w:val="auto"/>
          <w:sz w:val="24"/>
          <w:szCs w:val="24"/>
          <w:u w:val="single"/>
          <w:lang w:val="zh-CN"/>
        </w:rPr>
        <w:t>（采购文件中明确的所属行业）</w:t>
      </w:r>
      <w:r>
        <w:rPr>
          <w:rFonts w:hint="eastAsia" w:ascii="宋体" w:hAnsi="宋体" w:cs="宋体"/>
          <w:color w:val="auto"/>
          <w:sz w:val="24"/>
          <w:szCs w:val="24"/>
          <w:lang w:val="zh-CN"/>
        </w:rPr>
        <w:t>行业；承建（承接）企业为</w:t>
      </w:r>
      <w:r>
        <w:rPr>
          <w:rFonts w:hint="eastAsia" w:ascii="宋体" w:hAnsi="宋体" w:cs="宋体"/>
          <w:color w:val="auto"/>
          <w:sz w:val="24"/>
          <w:szCs w:val="24"/>
          <w:u w:val="single"/>
          <w:lang w:val="zh-CN"/>
        </w:rPr>
        <w:t>（企业名称）</w:t>
      </w:r>
      <w:r>
        <w:rPr>
          <w:rFonts w:hint="eastAsia" w:ascii="宋体" w:hAnsi="宋体" w:cs="宋体"/>
          <w:color w:val="auto"/>
          <w:sz w:val="24"/>
          <w:szCs w:val="24"/>
          <w:lang w:val="zh-CN"/>
        </w:rPr>
        <w:t>，从业人员</w:t>
      </w:r>
      <w:r>
        <w:rPr>
          <w:rFonts w:hint="eastAsia" w:ascii="宋体" w:hAnsi="宋体" w:cs="宋体"/>
          <w:color w:val="auto"/>
          <w:sz w:val="24"/>
          <w:szCs w:val="24"/>
          <w:u w:val="single"/>
        </w:rPr>
        <w:t xml:space="preserve">   </w:t>
      </w:r>
      <w:r>
        <w:rPr>
          <w:rFonts w:hint="eastAsia" w:ascii="宋体" w:hAnsi="宋体" w:cs="宋体"/>
          <w:color w:val="auto"/>
          <w:sz w:val="24"/>
          <w:szCs w:val="24"/>
        </w:rPr>
        <w:t>人，营业收入为</w:t>
      </w:r>
      <w:r>
        <w:rPr>
          <w:rFonts w:hint="eastAsia" w:ascii="宋体" w:hAnsi="宋体" w:cs="宋体"/>
          <w:color w:val="auto"/>
          <w:sz w:val="24"/>
          <w:szCs w:val="24"/>
          <w:u w:val="single"/>
        </w:rPr>
        <w:t xml:space="preserve">   </w:t>
      </w:r>
      <w:r>
        <w:rPr>
          <w:rFonts w:hint="eastAsia" w:ascii="宋体" w:hAnsi="宋体" w:cs="宋体"/>
          <w:color w:val="auto"/>
          <w:sz w:val="24"/>
          <w:szCs w:val="24"/>
        </w:rPr>
        <w:t>万元，资产总额为</w:t>
      </w:r>
      <w:r>
        <w:rPr>
          <w:rFonts w:hint="eastAsia" w:ascii="宋体" w:hAnsi="宋体" w:cs="宋体"/>
          <w:color w:val="auto"/>
          <w:sz w:val="24"/>
          <w:szCs w:val="24"/>
          <w:u w:val="single"/>
        </w:rPr>
        <w:t xml:space="preserve">     </w:t>
      </w:r>
      <w:r>
        <w:rPr>
          <w:rFonts w:hint="eastAsia" w:ascii="宋体" w:hAnsi="宋体" w:cs="宋体"/>
          <w:color w:val="auto"/>
          <w:sz w:val="24"/>
          <w:szCs w:val="24"/>
        </w:rPr>
        <w:t>万元，属于</w:t>
      </w:r>
      <w:r>
        <w:rPr>
          <w:rFonts w:hint="eastAsia" w:ascii="宋体" w:hAnsi="宋体" w:cs="宋体"/>
          <w:color w:val="auto"/>
          <w:sz w:val="24"/>
          <w:szCs w:val="24"/>
          <w:u w:val="single"/>
        </w:rPr>
        <w:t>（中型企业、小型企业、微型企业）</w:t>
      </w:r>
      <w:r>
        <w:rPr>
          <w:rFonts w:hint="eastAsia" w:ascii="宋体" w:hAnsi="宋体" w:cs="宋体"/>
          <w:color w:val="auto"/>
          <w:sz w:val="24"/>
          <w:szCs w:val="24"/>
        </w:rPr>
        <w:t>；</w:t>
      </w:r>
    </w:p>
    <w:p w14:paraId="0E68701E">
      <w:pPr>
        <w:pStyle w:val="11"/>
        <w:numPr>
          <w:ilvl w:val="0"/>
          <w:numId w:val="21"/>
        </w:numPr>
        <w:spacing w:line="360" w:lineRule="auto"/>
        <w:ind w:firstLine="461"/>
        <w:rPr>
          <w:rFonts w:hint="eastAsia" w:ascii="宋体" w:hAnsi="宋体" w:cs="宋体"/>
          <w:color w:val="auto"/>
          <w:sz w:val="24"/>
          <w:szCs w:val="24"/>
        </w:rPr>
      </w:pPr>
      <w:r>
        <w:rPr>
          <w:rFonts w:hint="eastAsia" w:ascii="宋体" w:hAnsi="宋体" w:cs="宋体"/>
          <w:color w:val="auto"/>
          <w:sz w:val="24"/>
          <w:szCs w:val="24"/>
          <w:u w:val="single"/>
        </w:rPr>
        <w:t>（标的名称）</w:t>
      </w:r>
      <w:r>
        <w:rPr>
          <w:rFonts w:hint="eastAsia" w:ascii="宋体" w:hAnsi="宋体" w:cs="宋体"/>
          <w:color w:val="auto"/>
          <w:sz w:val="24"/>
          <w:szCs w:val="24"/>
        </w:rPr>
        <w:t>，属于</w:t>
      </w:r>
      <w:r>
        <w:rPr>
          <w:rFonts w:hint="eastAsia" w:ascii="宋体" w:hAnsi="宋体" w:cs="宋体"/>
          <w:color w:val="auto"/>
          <w:sz w:val="24"/>
          <w:szCs w:val="24"/>
          <w:u w:val="single"/>
        </w:rPr>
        <w:t>（采购文件中明确的所属行业）</w:t>
      </w:r>
      <w:r>
        <w:rPr>
          <w:rFonts w:hint="eastAsia" w:ascii="宋体" w:hAnsi="宋体" w:cs="宋体"/>
          <w:color w:val="auto"/>
          <w:sz w:val="24"/>
          <w:szCs w:val="24"/>
        </w:rPr>
        <w:t>行业；</w:t>
      </w:r>
      <w:r>
        <w:rPr>
          <w:rFonts w:hint="eastAsia" w:ascii="宋体" w:hAnsi="宋体" w:cs="宋体"/>
          <w:color w:val="auto"/>
          <w:sz w:val="24"/>
          <w:szCs w:val="24"/>
          <w:lang w:val="zh-CN"/>
        </w:rPr>
        <w:t>承建（承接）企业</w:t>
      </w:r>
      <w:r>
        <w:rPr>
          <w:rFonts w:hint="eastAsia" w:ascii="宋体" w:hAnsi="宋体" w:cs="宋体"/>
          <w:color w:val="auto"/>
          <w:sz w:val="24"/>
          <w:szCs w:val="24"/>
        </w:rPr>
        <w:t>为</w:t>
      </w:r>
      <w:r>
        <w:rPr>
          <w:rFonts w:hint="eastAsia" w:ascii="宋体" w:hAnsi="宋体" w:cs="宋体"/>
          <w:color w:val="auto"/>
          <w:sz w:val="24"/>
          <w:szCs w:val="24"/>
          <w:u w:val="single"/>
        </w:rPr>
        <w:t>（企业名称）</w:t>
      </w:r>
      <w:r>
        <w:rPr>
          <w:rFonts w:hint="eastAsia" w:ascii="宋体" w:hAnsi="宋体" w:cs="宋体"/>
          <w:color w:val="auto"/>
          <w:sz w:val="24"/>
          <w:szCs w:val="24"/>
        </w:rPr>
        <w:t>，从业人员</w:t>
      </w:r>
      <w:r>
        <w:rPr>
          <w:rFonts w:hint="eastAsia" w:ascii="宋体" w:hAnsi="宋体" w:cs="宋体"/>
          <w:color w:val="auto"/>
          <w:sz w:val="24"/>
          <w:szCs w:val="24"/>
          <w:u w:val="single"/>
        </w:rPr>
        <w:t xml:space="preserve">   </w:t>
      </w:r>
      <w:r>
        <w:rPr>
          <w:rFonts w:hint="eastAsia" w:ascii="宋体" w:hAnsi="宋体" w:cs="宋体"/>
          <w:color w:val="auto"/>
          <w:sz w:val="24"/>
          <w:szCs w:val="24"/>
        </w:rPr>
        <w:t>人，营业收入为</w:t>
      </w:r>
      <w:r>
        <w:rPr>
          <w:rFonts w:hint="eastAsia" w:ascii="宋体" w:hAnsi="宋体" w:cs="宋体"/>
          <w:color w:val="auto"/>
          <w:sz w:val="24"/>
          <w:szCs w:val="24"/>
          <w:u w:val="single"/>
        </w:rPr>
        <w:t xml:space="preserve">    </w:t>
      </w:r>
      <w:r>
        <w:rPr>
          <w:rFonts w:hint="eastAsia" w:ascii="宋体" w:hAnsi="宋体" w:cs="宋体"/>
          <w:color w:val="auto"/>
          <w:sz w:val="24"/>
          <w:szCs w:val="24"/>
        </w:rPr>
        <w:t>万元，资产总额为</w:t>
      </w:r>
      <w:r>
        <w:rPr>
          <w:rFonts w:hint="eastAsia" w:ascii="宋体" w:hAnsi="宋体" w:cs="宋体"/>
          <w:color w:val="auto"/>
          <w:sz w:val="24"/>
          <w:szCs w:val="24"/>
          <w:u w:val="single"/>
        </w:rPr>
        <w:t xml:space="preserve">     </w:t>
      </w:r>
      <w:r>
        <w:rPr>
          <w:rFonts w:hint="eastAsia" w:ascii="宋体" w:hAnsi="宋体" w:cs="宋体"/>
          <w:color w:val="auto"/>
          <w:sz w:val="24"/>
          <w:szCs w:val="24"/>
        </w:rPr>
        <w:t>万元，属于</w:t>
      </w:r>
      <w:r>
        <w:rPr>
          <w:rFonts w:hint="eastAsia" w:ascii="宋体" w:hAnsi="宋体" w:cs="宋体"/>
          <w:color w:val="auto"/>
          <w:sz w:val="24"/>
          <w:szCs w:val="24"/>
          <w:u w:val="single"/>
        </w:rPr>
        <w:t>（中型企业、小型企业、微型企业）</w:t>
      </w:r>
      <w:r>
        <w:rPr>
          <w:rFonts w:hint="eastAsia" w:ascii="宋体" w:hAnsi="宋体" w:cs="宋体"/>
          <w:color w:val="auto"/>
          <w:sz w:val="24"/>
          <w:szCs w:val="24"/>
        </w:rPr>
        <w:t>；</w:t>
      </w:r>
    </w:p>
    <w:p w14:paraId="0793D9A9">
      <w:pPr>
        <w:pStyle w:val="11"/>
        <w:spacing w:line="360" w:lineRule="auto"/>
        <w:ind w:firstLine="480"/>
        <w:rPr>
          <w:rFonts w:hint="eastAsia" w:ascii="宋体" w:hAnsi="宋体" w:cs="宋体"/>
          <w:color w:val="auto"/>
          <w:sz w:val="24"/>
          <w:szCs w:val="24"/>
        </w:rPr>
      </w:pPr>
      <w:r>
        <w:rPr>
          <w:rFonts w:hint="eastAsia" w:ascii="宋体" w:hAnsi="宋体" w:cs="宋体"/>
          <w:color w:val="auto"/>
          <w:sz w:val="24"/>
          <w:szCs w:val="24"/>
        </w:rPr>
        <w:t>.......</w:t>
      </w:r>
    </w:p>
    <w:p w14:paraId="1F56623A">
      <w:pPr>
        <w:pStyle w:val="11"/>
        <w:spacing w:line="360" w:lineRule="auto"/>
        <w:ind w:firstLine="480"/>
        <w:rPr>
          <w:rFonts w:hint="eastAsia" w:ascii="宋体" w:hAnsi="宋体" w:cs="宋体"/>
          <w:color w:val="auto"/>
          <w:sz w:val="24"/>
          <w:szCs w:val="24"/>
        </w:rPr>
      </w:pPr>
      <w:r>
        <w:rPr>
          <w:rFonts w:hint="eastAsia" w:ascii="宋体" w:hAnsi="宋体" w:cs="宋体"/>
          <w:color w:val="auto"/>
          <w:sz w:val="24"/>
          <w:szCs w:val="24"/>
        </w:rPr>
        <w:t>以上企业，不属于大企业的分支机构，不存在控股股东为大企业的情形，也不存在与大企业的负责人为同一人的情形。</w:t>
      </w:r>
    </w:p>
    <w:p w14:paraId="073F8FAC">
      <w:pPr>
        <w:pStyle w:val="11"/>
        <w:spacing w:line="360" w:lineRule="auto"/>
        <w:ind w:firstLine="480"/>
        <w:rPr>
          <w:rFonts w:hint="eastAsia" w:ascii="宋体" w:hAnsi="宋体" w:cs="宋体"/>
          <w:color w:val="auto"/>
          <w:sz w:val="24"/>
          <w:szCs w:val="24"/>
        </w:rPr>
      </w:pPr>
      <w:r>
        <w:rPr>
          <w:rFonts w:hint="eastAsia" w:ascii="宋体" w:hAnsi="宋体" w:cs="宋体"/>
          <w:color w:val="auto"/>
          <w:sz w:val="24"/>
          <w:szCs w:val="24"/>
        </w:rPr>
        <w:t>本企业对上述声明内容的真实性负责。如有虚假，将依法承担相应责任。</w:t>
      </w:r>
    </w:p>
    <w:p w14:paraId="3A750372">
      <w:pPr>
        <w:pStyle w:val="11"/>
        <w:spacing w:line="360" w:lineRule="auto"/>
        <w:ind w:firstLine="461"/>
        <w:rPr>
          <w:rFonts w:hint="eastAsia" w:ascii="宋体" w:hAnsi="宋体" w:cs="宋体"/>
          <w:color w:val="auto"/>
          <w:sz w:val="24"/>
          <w:szCs w:val="24"/>
          <w:lang w:val="zh-CN"/>
        </w:rPr>
      </w:pPr>
      <w:r>
        <w:rPr>
          <w:rFonts w:hint="eastAsia" w:ascii="宋体" w:hAnsi="宋体" w:cs="宋体"/>
          <w:color w:val="auto"/>
          <w:sz w:val="24"/>
          <w:szCs w:val="24"/>
          <w:lang w:val="zh-CN"/>
        </w:rPr>
        <w:t>注：从业人员、营业收入、资产总额填报上一年度数据，无上一年度数据的新成立企业可不填报。</w:t>
      </w:r>
    </w:p>
    <w:p w14:paraId="0F8B54C8">
      <w:pPr>
        <w:spacing w:line="360" w:lineRule="auto"/>
        <w:ind w:firstLine="720" w:firstLineChars="300"/>
        <w:rPr>
          <w:rFonts w:hint="eastAsia" w:ascii="宋体" w:hAnsi="宋体" w:cs="宋体"/>
          <w:color w:val="auto"/>
          <w:sz w:val="24"/>
          <w:szCs w:val="24"/>
          <w:lang w:val="zh-CN"/>
        </w:rPr>
      </w:pPr>
      <w:r>
        <w:rPr>
          <w:rFonts w:hint="eastAsia" w:ascii="宋体" w:hAnsi="宋体" w:cs="宋体"/>
          <w:color w:val="auto"/>
          <w:sz w:val="24"/>
          <w:szCs w:val="24"/>
          <w:lang w:val="zh-CN"/>
        </w:rPr>
        <w:t xml:space="preserve">                      </w:t>
      </w:r>
      <w:r>
        <w:rPr>
          <w:rFonts w:hint="eastAsia" w:ascii="宋体" w:hAnsi="宋体" w:cs="宋体"/>
          <w:color w:val="auto"/>
          <w:sz w:val="24"/>
          <w:szCs w:val="24"/>
        </w:rPr>
        <w:t xml:space="preserve"> </w:t>
      </w:r>
      <w:r>
        <w:rPr>
          <w:rFonts w:hint="eastAsia" w:ascii="宋体" w:hAnsi="宋体" w:cs="宋体"/>
          <w:color w:val="auto"/>
          <w:kern w:val="0"/>
          <w:sz w:val="24"/>
          <w:szCs w:val="24"/>
          <w:lang w:val="zh-CN"/>
        </w:rPr>
        <w:t>企业名称（盖章）：</w:t>
      </w:r>
      <w:r>
        <w:rPr>
          <w:rFonts w:hint="eastAsia" w:ascii="宋体" w:hAnsi="宋体" w:cs="宋体"/>
          <w:color w:val="auto"/>
          <w:kern w:val="0"/>
          <w:sz w:val="24"/>
          <w:szCs w:val="24"/>
          <w:u w:val="single"/>
          <w:lang w:val="zh-CN"/>
        </w:rPr>
        <w:t xml:space="preserve">            </w:t>
      </w:r>
      <w:r>
        <w:rPr>
          <w:rFonts w:hint="eastAsia" w:ascii="宋体" w:hAnsi="宋体" w:cs="宋体"/>
          <w:color w:val="auto"/>
          <w:kern w:val="0"/>
          <w:sz w:val="24"/>
          <w:szCs w:val="24"/>
          <w:lang w:val="zh-CN"/>
        </w:rPr>
        <w:t xml:space="preserve">  </w:t>
      </w:r>
      <w:r>
        <w:rPr>
          <w:rFonts w:hint="eastAsia" w:ascii="宋体" w:hAnsi="宋体" w:cs="宋体"/>
          <w:color w:val="auto"/>
          <w:sz w:val="24"/>
          <w:szCs w:val="24"/>
          <w:lang w:val="zh-CN"/>
        </w:rPr>
        <w:t xml:space="preserve">         </w:t>
      </w:r>
    </w:p>
    <w:p w14:paraId="1E5A6850">
      <w:pPr>
        <w:spacing w:line="360" w:lineRule="auto"/>
        <w:ind w:firstLine="2880" w:firstLineChars="1200"/>
        <w:rPr>
          <w:rFonts w:hint="eastAsia" w:ascii="宋体" w:hAnsi="宋体" w:cs="宋体"/>
          <w:color w:val="auto"/>
          <w:sz w:val="28"/>
          <w:szCs w:val="28"/>
        </w:rPr>
      </w:pPr>
      <w:r>
        <w:rPr>
          <w:rFonts w:hint="eastAsia" w:ascii="宋体" w:hAnsi="宋体" w:cs="宋体"/>
          <w:color w:val="auto"/>
          <w:sz w:val="24"/>
          <w:szCs w:val="24"/>
          <w:lang w:val="zh-CN"/>
        </w:rPr>
        <w:t xml:space="preserve">     </w:t>
      </w:r>
      <w:r>
        <w:rPr>
          <w:rFonts w:hint="eastAsia" w:ascii="宋体" w:hAnsi="宋体" w:cs="宋体"/>
          <w:color w:val="auto"/>
          <w:sz w:val="24"/>
          <w:szCs w:val="24"/>
        </w:rPr>
        <w:t>日期：</w:t>
      </w:r>
      <w:r>
        <w:rPr>
          <w:rFonts w:hint="eastAsia" w:ascii="宋体" w:hAnsi="宋体" w:cs="宋体"/>
          <w:color w:val="auto"/>
          <w:sz w:val="24"/>
          <w:szCs w:val="24"/>
          <w:u w:val="single"/>
        </w:rPr>
        <w:t xml:space="preserve">        </w:t>
      </w:r>
      <w:r>
        <w:rPr>
          <w:rFonts w:hint="eastAsia" w:ascii="宋体" w:hAnsi="宋体" w:cs="宋体"/>
          <w:color w:val="auto"/>
          <w:sz w:val="24"/>
          <w:szCs w:val="24"/>
        </w:rPr>
        <w:t>年</w:t>
      </w:r>
      <w:r>
        <w:rPr>
          <w:rFonts w:hint="eastAsia" w:ascii="宋体" w:hAnsi="宋体" w:cs="宋体"/>
          <w:color w:val="auto"/>
          <w:sz w:val="24"/>
          <w:szCs w:val="24"/>
          <w:u w:val="single"/>
        </w:rPr>
        <w:t xml:space="preserve">       </w:t>
      </w:r>
      <w:r>
        <w:rPr>
          <w:rFonts w:hint="eastAsia" w:ascii="宋体" w:hAnsi="宋体" w:cs="宋体"/>
          <w:color w:val="auto"/>
          <w:sz w:val="24"/>
          <w:szCs w:val="24"/>
        </w:rPr>
        <w:t>月</w:t>
      </w:r>
      <w:r>
        <w:rPr>
          <w:rFonts w:hint="eastAsia" w:ascii="宋体" w:hAnsi="宋体" w:cs="宋体"/>
          <w:color w:val="auto"/>
          <w:sz w:val="24"/>
          <w:szCs w:val="24"/>
          <w:u w:val="single"/>
        </w:rPr>
        <w:t xml:space="preserve">       </w:t>
      </w:r>
      <w:r>
        <w:rPr>
          <w:rFonts w:hint="eastAsia" w:ascii="宋体" w:hAnsi="宋体" w:cs="宋体"/>
          <w:color w:val="auto"/>
          <w:sz w:val="24"/>
          <w:szCs w:val="24"/>
        </w:rPr>
        <w:t>日</w:t>
      </w:r>
    </w:p>
    <w:p w14:paraId="6AAAC94E">
      <w:pPr>
        <w:autoSpaceDE w:val="0"/>
        <w:autoSpaceDN w:val="0"/>
        <w:adjustRightInd w:val="0"/>
        <w:snapToGrid w:val="0"/>
        <w:jc w:val="left"/>
        <w:rPr>
          <w:rFonts w:hint="eastAsia" w:ascii="宋体" w:hAnsi="宋体" w:cs="宋体"/>
          <w:b/>
          <w:bCs/>
          <w:color w:val="auto"/>
          <w:kern w:val="0"/>
          <w:sz w:val="24"/>
          <w:szCs w:val="24"/>
        </w:rPr>
      </w:pPr>
      <w:r>
        <w:rPr>
          <w:rFonts w:hint="eastAsia" w:ascii="宋体" w:hAnsi="宋体" w:cs="宋体"/>
          <w:color w:val="auto"/>
          <w:kern w:val="0"/>
          <w:sz w:val="28"/>
          <w:szCs w:val="28"/>
          <w:lang w:val="zh-CN"/>
        </w:rPr>
        <w:br w:type="page"/>
      </w:r>
      <w:r>
        <w:rPr>
          <w:rFonts w:hint="eastAsia" w:ascii="宋体" w:hAnsi="宋体" w:cs="宋体"/>
          <w:b/>
          <w:bCs/>
          <w:color w:val="auto"/>
          <w:kern w:val="0"/>
          <w:sz w:val="24"/>
          <w:szCs w:val="24"/>
        </w:rPr>
        <w:t>附件2</w:t>
      </w:r>
    </w:p>
    <w:p w14:paraId="036B679E">
      <w:pPr>
        <w:autoSpaceDE w:val="0"/>
        <w:autoSpaceDN w:val="0"/>
        <w:adjustRightInd w:val="0"/>
        <w:snapToGrid w:val="0"/>
        <w:jc w:val="center"/>
        <w:rPr>
          <w:rFonts w:hint="eastAsia" w:ascii="宋体" w:hAnsi="宋体" w:cs="宋体"/>
          <w:color w:val="auto"/>
          <w:kern w:val="0"/>
          <w:sz w:val="24"/>
          <w:szCs w:val="24"/>
          <w:lang w:val="zh-CN"/>
        </w:rPr>
      </w:pPr>
    </w:p>
    <w:p w14:paraId="3744B337">
      <w:pPr>
        <w:autoSpaceDE w:val="0"/>
        <w:autoSpaceDN w:val="0"/>
        <w:adjustRightInd w:val="0"/>
        <w:snapToGrid w:val="0"/>
        <w:jc w:val="center"/>
        <w:rPr>
          <w:rFonts w:hint="eastAsia" w:ascii="宋体" w:hAnsi="宋体" w:cs="宋体"/>
          <w:b/>
          <w:bCs/>
          <w:color w:val="auto"/>
          <w:kern w:val="0"/>
          <w:sz w:val="24"/>
          <w:szCs w:val="24"/>
          <w:lang w:val="zh-CN"/>
        </w:rPr>
      </w:pPr>
      <w:r>
        <w:rPr>
          <w:rFonts w:hint="eastAsia" w:ascii="宋体" w:hAnsi="宋体" w:cs="宋体"/>
          <w:b/>
          <w:bCs/>
          <w:color w:val="auto"/>
          <w:kern w:val="0"/>
          <w:sz w:val="24"/>
          <w:szCs w:val="24"/>
          <w:lang w:val="zh-CN"/>
        </w:rPr>
        <w:t>关于监狱企业（如有）</w:t>
      </w:r>
    </w:p>
    <w:p w14:paraId="554939EF">
      <w:pPr>
        <w:pStyle w:val="69"/>
        <w:rPr>
          <w:rFonts w:hint="eastAsia" w:ascii="宋体" w:hAnsi="宋体" w:cs="宋体"/>
          <w:b/>
          <w:bCs/>
          <w:color w:val="auto"/>
          <w:sz w:val="24"/>
          <w:szCs w:val="24"/>
          <w:lang w:val="zh-CN"/>
        </w:rPr>
      </w:pPr>
    </w:p>
    <w:p w14:paraId="7674AE12">
      <w:pPr>
        <w:autoSpaceDE w:val="0"/>
        <w:autoSpaceDN w:val="0"/>
        <w:adjustRightInd w:val="0"/>
        <w:snapToGrid w:val="0"/>
        <w:spacing w:line="360" w:lineRule="auto"/>
        <w:jc w:val="left"/>
        <w:rPr>
          <w:rFonts w:hint="eastAsia" w:ascii="宋体" w:hAnsi="宋体" w:cs="宋体"/>
          <w:color w:val="auto"/>
          <w:kern w:val="0"/>
          <w:sz w:val="24"/>
          <w:szCs w:val="24"/>
          <w:lang w:val="zh-CN"/>
        </w:rPr>
      </w:pPr>
      <w:r>
        <w:rPr>
          <w:rFonts w:hint="eastAsia" w:ascii="宋体" w:hAnsi="宋体" w:cs="宋体"/>
          <w:color w:val="auto"/>
          <w:kern w:val="0"/>
          <w:sz w:val="24"/>
          <w:szCs w:val="24"/>
          <w:lang w:val="zh-CN"/>
        </w:rPr>
        <w:t>1、政府采购政策</w:t>
      </w:r>
    </w:p>
    <w:p w14:paraId="03191744">
      <w:pPr>
        <w:autoSpaceDE w:val="0"/>
        <w:autoSpaceDN w:val="0"/>
        <w:adjustRightInd w:val="0"/>
        <w:snapToGrid w:val="0"/>
        <w:spacing w:line="360" w:lineRule="auto"/>
        <w:ind w:firstLine="480" w:firstLineChars="200"/>
        <w:jc w:val="left"/>
        <w:rPr>
          <w:rFonts w:hint="eastAsia" w:ascii="宋体" w:hAnsi="宋体" w:cs="宋体"/>
          <w:color w:val="auto"/>
          <w:kern w:val="0"/>
          <w:sz w:val="24"/>
          <w:szCs w:val="24"/>
          <w:lang w:val="zh-CN"/>
        </w:rPr>
      </w:pPr>
      <w:r>
        <w:rPr>
          <w:rFonts w:hint="eastAsia" w:ascii="宋体" w:hAnsi="宋体" w:cs="宋体"/>
          <w:color w:val="auto"/>
          <w:kern w:val="0"/>
          <w:sz w:val="24"/>
          <w:szCs w:val="24"/>
          <w:lang w:val="zh-CN"/>
        </w:rPr>
        <w:t>财政部、司法部关于政府采购支持监狱企业发展有关问题的通知（财库【2014】68 号）</w:t>
      </w:r>
    </w:p>
    <w:p w14:paraId="37FC744A">
      <w:pPr>
        <w:autoSpaceDE w:val="0"/>
        <w:autoSpaceDN w:val="0"/>
        <w:adjustRightInd w:val="0"/>
        <w:snapToGrid w:val="0"/>
        <w:spacing w:line="360" w:lineRule="auto"/>
        <w:jc w:val="left"/>
        <w:rPr>
          <w:rFonts w:hint="eastAsia" w:ascii="宋体" w:hAnsi="宋体" w:cs="宋体"/>
          <w:color w:val="auto"/>
          <w:kern w:val="0"/>
          <w:sz w:val="24"/>
          <w:szCs w:val="24"/>
          <w:lang w:val="zh-CN"/>
        </w:rPr>
      </w:pPr>
      <w:r>
        <w:rPr>
          <w:rFonts w:hint="eastAsia" w:ascii="宋体" w:hAnsi="宋体" w:cs="宋体"/>
          <w:color w:val="auto"/>
          <w:kern w:val="0"/>
          <w:sz w:val="24"/>
          <w:szCs w:val="24"/>
          <w:lang w:val="zh-CN"/>
        </w:rPr>
        <w:t>2、附证明材料</w:t>
      </w:r>
    </w:p>
    <w:p w14:paraId="5E0CA74B">
      <w:pPr>
        <w:autoSpaceDE w:val="0"/>
        <w:autoSpaceDN w:val="0"/>
        <w:adjustRightInd w:val="0"/>
        <w:snapToGrid w:val="0"/>
        <w:spacing w:line="360" w:lineRule="auto"/>
        <w:ind w:firstLine="480" w:firstLineChars="200"/>
        <w:jc w:val="left"/>
        <w:rPr>
          <w:rFonts w:hint="eastAsia" w:ascii="宋体" w:hAnsi="宋体" w:cs="宋体"/>
          <w:color w:val="auto"/>
          <w:kern w:val="0"/>
          <w:sz w:val="24"/>
          <w:szCs w:val="24"/>
          <w:lang w:val="zh-CN"/>
        </w:rPr>
      </w:pPr>
      <w:r>
        <w:rPr>
          <w:rFonts w:hint="eastAsia" w:ascii="宋体" w:hAnsi="宋体" w:cs="宋体"/>
          <w:color w:val="auto"/>
          <w:kern w:val="0"/>
          <w:sz w:val="24"/>
          <w:szCs w:val="24"/>
          <w:lang w:val="zh-CN"/>
        </w:rPr>
        <w:t xml:space="preserve">提供由省级以上监狱管理局、戒毒管理局（含新疆生产建设兵团）出具的属于监狱企业的证明文件。 </w:t>
      </w:r>
    </w:p>
    <w:p w14:paraId="3894F48F">
      <w:pPr>
        <w:autoSpaceDE w:val="0"/>
        <w:autoSpaceDN w:val="0"/>
        <w:adjustRightInd w:val="0"/>
        <w:snapToGrid w:val="0"/>
        <w:jc w:val="left"/>
        <w:rPr>
          <w:rFonts w:hint="eastAsia" w:ascii="宋体" w:hAnsi="宋体" w:cs="宋体"/>
          <w:color w:val="auto"/>
          <w:kern w:val="0"/>
          <w:sz w:val="24"/>
          <w:szCs w:val="24"/>
          <w:lang w:val="zh-CN"/>
        </w:rPr>
      </w:pPr>
      <w:r>
        <w:rPr>
          <w:rFonts w:hint="eastAsia" w:ascii="宋体" w:hAnsi="宋体" w:cs="宋体"/>
          <w:color w:val="auto"/>
          <w:kern w:val="0"/>
          <w:sz w:val="24"/>
          <w:szCs w:val="24"/>
          <w:lang w:val="zh-CN"/>
        </w:rPr>
        <w:t xml:space="preserve"> </w:t>
      </w:r>
    </w:p>
    <w:p w14:paraId="480B2749">
      <w:pPr>
        <w:pStyle w:val="69"/>
        <w:rPr>
          <w:rFonts w:hint="eastAsia" w:ascii="宋体" w:hAnsi="宋体" w:cs="宋体"/>
          <w:color w:val="auto"/>
          <w:sz w:val="24"/>
          <w:szCs w:val="24"/>
          <w:lang w:val="zh-CN"/>
        </w:rPr>
      </w:pPr>
    </w:p>
    <w:p w14:paraId="68A24089">
      <w:pPr>
        <w:pStyle w:val="69"/>
        <w:rPr>
          <w:rFonts w:hint="eastAsia" w:ascii="宋体" w:hAnsi="宋体" w:cs="宋体"/>
          <w:color w:val="auto"/>
          <w:sz w:val="24"/>
          <w:szCs w:val="24"/>
          <w:lang w:val="zh-CN"/>
        </w:rPr>
      </w:pPr>
    </w:p>
    <w:p w14:paraId="1D23A433">
      <w:pPr>
        <w:pStyle w:val="69"/>
        <w:rPr>
          <w:rFonts w:hint="eastAsia" w:ascii="宋体" w:hAnsi="宋体" w:cs="宋体"/>
          <w:color w:val="auto"/>
          <w:sz w:val="24"/>
          <w:szCs w:val="24"/>
          <w:lang w:val="zh-CN"/>
        </w:rPr>
      </w:pPr>
    </w:p>
    <w:p w14:paraId="51D83D69">
      <w:pPr>
        <w:pStyle w:val="69"/>
        <w:rPr>
          <w:rFonts w:hint="eastAsia" w:ascii="宋体" w:hAnsi="宋体" w:cs="宋体"/>
          <w:color w:val="auto"/>
          <w:sz w:val="24"/>
          <w:szCs w:val="24"/>
          <w:lang w:val="zh-CN"/>
        </w:rPr>
      </w:pPr>
    </w:p>
    <w:p w14:paraId="7F5C697D">
      <w:pPr>
        <w:pStyle w:val="69"/>
        <w:rPr>
          <w:rFonts w:hint="eastAsia" w:ascii="宋体" w:hAnsi="宋体" w:cs="宋体"/>
          <w:color w:val="auto"/>
          <w:sz w:val="24"/>
          <w:szCs w:val="24"/>
          <w:lang w:val="zh-CN"/>
        </w:rPr>
      </w:pPr>
    </w:p>
    <w:p w14:paraId="32E8922F">
      <w:pPr>
        <w:pStyle w:val="69"/>
        <w:rPr>
          <w:rFonts w:hint="eastAsia" w:ascii="宋体" w:hAnsi="宋体" w:cs="宋体"/>
          <w:color w:val="auto"/>
          <w:sz w:val="24"/>
          <w:szCs w:val="24"/>
          <w:lang w:val="zh-CN"/>
        </w:rPr>
      </w:pPr>
    </w:p>
    <w:p w14:paraId="72A6DC4D">
      <w:pPr>
        <w:pStyle w:val="69"/>
        <w:rPr>
          <w:rFonts w:hint="eastAsia" w:ascii="宋体" w:hAnsi="宋体" w:cs="宋体"/>
          <w:color w:val="auto"/>
          <w:sz w:val="24"/>
          <w:szCs w:val="24"/>
          <w:lang w:val="zh-CN"/>
        </w:rPr>
      </w:pPr>
    </w:p>
    <w:p w14:paraId="46688AB0">
      <w:pPr>
        <w:pStyle w:val="69"/>
        <w:rPr>
          <w:rFonts w:hint="eastAsia" w:ascii="宋体" w:hAnsi="宋体" w:cs="宋体"/>
          <w:color w:val="auto"/>
          <w:sz w:val="24"/>
          <w:szCs w:val="24"/>
          <w:lang w:val="zh-CN"/>
        </w:rPr>
      </w:pPr>
    </w:p>
    <w:p w14:paraId="7F20730C">
      <w:pPr>
        <w:pStyle w:val="69"/>
        <w:rPr>
          <w:rFonts w:hint="eastAsia" w:ascii="宋体" w:hAnsi="宋体" w:cs="宋体"/>
          <w:color w:val="auto"/>
          <w:sz w:val="24"/>
          <w:szCs w:val="24"/>
          <w:lang w:val="zh-CN"/>
        </w:rPr>
      </w:pPr>
    </w:p>
    <w:p w14:paraId="5D8F3DBE">
      <w:pPr>
        <w:pStyle w:val="69"/>
        <w:rPr>
          <w:rFonts w:hint="eastAsia" w:ascii="宋体" w:hAnsi="宋体" w:cs="宋体"/>
          <w:color w:val="auto"/>
          <w:sz w:val="24"/>
          <w:szCs w:val="24"/>
          <w:lang w:val="zh-CN"/>
        </w:rPr>
      </w:pPr>
    </w:p>
    <w:p w14:paraId="793BF0F5">
      <w:pPr>
        <w:pStyle w:val="69"/>
        <w:rPr>
          <w:rFonts w:hint="eastAsia" w:ascii="宋体" w:hAnsi="宋体" w:cs="宋体"/>
          <w:color w:val="auto"/>
          <w:sz w:val="28"/>
          <w:szCs w:val="28"/>
          <w:lang w:val="zh-CN"/>
        </w:rPr>
      </w:pPr>
    </w:p>
    <w:p w14:paraId="0A0BD7EB">
      <w:pPr>
        <w:pStyle w:val="69"/>
        <w:rPr>
          <w:rFonts w:hint="eastAsia" w:ascii="宋体" w:hAnsi="宋体" w:cs="宋体"/>
          <w:color w:val="auto"/>
          <w:sz w:val="28"/>
          <w:szCs w:val="28"/>
          <w:lang w:val="zh-CN"/>
        </w:rPr>
      </w:pPr>
    </w:p>
    <w:p w14:paraId="2133C935">
      <w:pPr>
        <w:pStyle w:val="69"/>
        <w:rPr>
          <w:rFonts w:hint="eastAsia" w:ascii="宋体" w:hAnsi="宋体" w:cs="宋体"/>
          <w:color w:val="auto"/>
          <w:sz w:val="28"/>
          <w:szCs w:val="28"/>
          <w:lang w:val="zh-CN"/>
        </w:rPr>
      </w:pPr>
    </w:p>
    <w:p w14:paraId="050D33AC">
      <w:pPr>
        <w:pStyle w:val="69"/>
        <w:rPr>
          <w:rFonts w:hint="eastAsia" w:ascii="宋体" w:hAnsi="宋体" w:cs="宋体"/>
          <w:color w:val="auto"/>
          <w:sz w:val="28"/>
          <w:szCs w:val="28"/>
          <w:lang w:val="zh-CN"/>
        </w:rPr>
      </w:pPr>
    </w:p>
    <w:p w14:paraId="5A8A4926">
      <w:pPr>
        <w:pStyle w:val="69"/>
        <w:rPr>
          <w:rFonts w:hint="eastAsia" w:ascii="宋体" w:hAnsi="宋体" w:cs="宋体"/>
          <w:color w:val="auto"/>
          <w:sz w:val="28"/>
          <w:szCs w:val="28"/>
          <w:lang w:val="zh-CN"/>
        </w:rPr>
      </w:pPr>
    </w:p>
    <w:p w14:paraId="0D04AC7F">
      <w:pPr>
        <w:pStyle w:val="69"/>
        <w:rPr>
          <w:rFonts w:hint="eastAsia" w:ascii="宋体" w:hAnsi="宋体" w:cs="宋体"/>
          <w:color w:val="auto"/>
          <w:sz w:val="28"/>
          <w:szCs w:val="28"/>
          <w:lang w:val="zh-CN"/>
        </w:rPr>
      </w:pPr>
    </w:p>
    <w:p w14:paraId="0F6080F2">
      <w:pPr>
        <w:pStyle w:val="69"/>
        <w:rPr>
          <w:rFonts w:hint="eastAsia" w:ascii="宋体" w:hAnsi="宋体" w:cs="宋体"/>
          <w:color w:val="auto"/>
          <w:sz w:val="28"/>
          <w:szCs w:val="28"/>
          <w:lang w:val="zh-CN"/>
        </w:rPr>
      </w:pPr>
    </w:p>
    <w:p w14:paraId="392908DC">
      <w:pPr>
        <w:pStyle w:val="69"/>
        <w:rPr>
          <w:rFonts w:hint="eastAsia" w:ascii="宋体" w:hAnsi="宋体" w:cs="宋体"/>
          <w:color w:val="auto"/>
          <w:sz w:val="28"/>
          <w:szCs w:val="28"/>
          <w:lang w:val="zh-CN"/>
        </w:rPr>
      </w:pPr>
    </w:p>
    <w:p w14:paraId="4A7C7630">
      <w:pPr>
        <w:pStyle w:val="69"/>
        <w:rPr>
          <w:rFonts w:hint="eastAsia" w:ascii="宋体" w:hAnsi="宋体" w:cs="宋体"/>
          <w:color w:val="auto"/>
          <w:sz w:val="28"/>
          <w:szCs w:val="28"/>
          <w:lang w:val="zh-CN"/>
        </w:rPr>
      </w:pPr>
    </w:p>
    <w:p w14:paraId="1DCB4983">
      <w:pPr>
        <w:pStyle w:val="69"/>
        <w:rPr>
          <w:rFonts w:hint="eastAsia" w:ascii="宋体" w:hAnsi="宋体" w:cs="宋体"/>
          <w:color w:val="auto"/>
          <w:sz w:val="28"/>
          <w:szCs w:val="28"/>
          <w:lang w:val="zh-CN"/>
        </w:rPr>
      </w:pPr>
    </w:p>
    <w:p w14:paraId="423EF98F">
      <w:pPr>
        <w:pStyle w:val="69"/>
        <w:rPr>
          <w:rFonts w:hint="eastAsia" w:ascii="宋体" w:hAnsi="宋体" w:cs="宋体"/>
          <w:color w:val="auto"/>
          <w:sz w:val="28"/>
          <w:szCs w:val="28"/>
          <w:lang w:val="zh-CN"/>
        </w:rPr>
      </w:pPr>
    </w:p>
    <w:p w14:paraId="573D0B85">
      <w:pPr>
        <w:pStyle w:val="69"/>
        <w:rPr>
          <w:rFonts w:hint="eastAsia" w:ascii="宋体" w:hAnsi="宋体" w:cs="宋体"/>
          <w:color w:val="auto"/>
          <w:sz w:val="28"/>
          <w:szCs w:val="28"/>
          <w:lang w:val="zh-CN"/>
        </w:rPr>
      </w:pPr>
    </w:p>
    <w:p w14:paraId="294A58B5">
      <w:pPr>
        <w:pStyle w:val="69"/>
        <w:rPr>
          <w:rFonts w:hint="eastAsia" w:ascii="宋体" w:hAnsi="宋体" w:cs="宋体"/>
          <w:color w:val="auto"/>
          <w:sz w:val="28"/>
          <w:szCs w:val="28"/>
          <w:lang w:val="zh-CN"/>
        </w:rPr>
      </w:pPr>
    </w:p>
    <w:p w14:paraId="52AEE7C4">
      <w:pPr>
        <w:pStyle w:val="69"/>
        <w:rPr>
          <w:rFonts w:hint="eastAsia" w:ascii="宋体" w:hAnsi="宋体" w:cs="宋体"/>
          <w:color w:val="auto"/>
          <w:sz w:val="28"/>
          <w:szCs w:val="28"/>
          <w:lang w:val="zh-CN"/>
        </w:rPr>
      </w:pPr>
    </w:p>
    <w:p w14:paraId="6482D1A7">
      <w:pPr>
        <w:autoSpaceDE w:val="0"/>
        <w:autoSpaceDN w:val="0"/>
        <w:adjustRightInd w:val="0"/>
        <w:snapToGrid w:val="0"/>
        <w:jc w:val="left"/>
        <w:rPr>
          <w:rFonts w:hint="eastAsia" w:ascii="宋体" w:hAnsi="宋体" w:cs="宋体"/>
          <w:b/>
          <w:bCs/>
          <w:color w:val="auto"/>
          <w:kern w:val="0"/>
          <w:sz w:val="24"/>
          <w:szCs w:val="24"/>
        </w:rPr>
      </w:pPr>
      <w:r>
        <w:rPr>
          <w:rFonts w:hint="eastAsia" w:ascii="宋体" w:hAnsi="宋体" w:cs="宋体"/>
          <w:b/>
          <w:bCs/>
          <w:color w:val="auto"/>
          <w:kern w:val="0"/>
          <w:sz w:val="24"/>
          <w:szCs w:val="24"/>
        </w:rPr>
        <w:t>附件3</w:t>
      </w:r>
    </w:p>
    <w:p w14:paraId="6A30E173">
      <w:pPr>
        <w:autoSpaceDE w:val="0"/>
        <w:autoSpaceDN w:val="0"/>
        <w:adjustRightInd w:val="0"/>
        <w:snapToGrid w:val="0"/>
        <w:jc w:val="center"/>
        <w:rPr>
          <w:rFonts w:hint="eastAsia" w:ascii="宋体" w:hAnsi="宋体" w:cs="宋体"/>
          <w:b/>
          <w:bCs/>
          <w:color w:val="auto"/>
          <w:sz w:val="24"/>
          <w:szCs w:val="24"/>
          <w:lang w:val="zh-CN"/>
        </w:rPr>
      </w:pPr>
      <w:r>
        <w:rPr>
          <w:rFonts w:hint="eastAsia" w:ascii="宋体" w:hAnsi="宋体" w:cs="宋体"/>
          <w:b/>
          <w:bCs/>
          <w:color w:val="auto"/>
          <w:kern w:val="0"/>
          <w:sz w:val="24"/>
          <w:szCs w:val="24"/>
          <w:lang w:val="zh-CN"/>
        </w:rPr>
        <w:t>关于促进残疾人就业的政府采购政策（如有）</w:t>
      </w:r>
    </w:p>
    <w:p w14:paraId="146EEAFD">
      <w:pPr>
        <w:pStyle w:val="69"/>
        <w:rPr>
          <w:rFonts w:hint="eastAsia" w:ascii="宋体" w:hAnsi="宋体" w:cs="宋体"/>
          <w:color w:val="auto"/>
          <w:sz w:val="24"/>
          <w:szCs w:val="24"/>
          <w:lang w:val="zh-CN"/>
        </w:rPr>
      </w:pPr>
    </w:p>
    <w:p w14:paraId="07289C2B">
      <w:pPr>
        <w:autoSpaceDE w:val="0"/>
        <w:autoSpaceDN w:val="0"/>
        <w:adjustRightInd w:val="0"/>
        <w:snapToGrid w:val="0"/>
        <w:spacing w:line="360" w:lineRule="auto"/>
        <w:jc w:val="left"/>
        <w:rPr>
          <w:rFonts w:hint="eastAsia" w:ascii="宋体" w:hAnsi="宋体" w:cs="宋体"/>
          <w:color w:val="auto"/>
          <w:kern w:val="0"/>
          <w:sz w:val="24"/>
          <w:szCs w:val="24"/>
          <w:lang w:val="zh-CN"/>
        </w:rPr>
      </w:pPr>
      <w:r>
        <w:rPr>
          <w:rFonts w:hint="eastAsia" w:ascii="宋体" w:hAnsi="宋体" w:cs="宋体"/>
          <w:color w:val="auto"/>
          <w:kern w:val="0"/>
          <w:sz w:val="24"/>
          <w:szCs w:val="24"/>
          <w:lang w:val="zh-CN"/>
        </w:rPr>
        <w:t>1、政府采购政策</w:t>
      </w:r>
    </w:p>
    <w:p w14:paraId="742F6E57">
      <w:pPr>
        <w:autoSpaceDE w:val="0"/>
        <w:autoSpaceDN w:val="0"/>
        <w:adjustRightInd w:val="0"/>
        <w:snapToGrid w:val="0"/>
        <w:spacing w:line="360" w:lineRule="auto"/>
        <w:ind w:firstLine="480" w:firstLineChars="200"/>
        <w:jc w:val="left"/>
        <w:rPr>
          <w:rFonts w:hint="eastAsia" w:ascii="宋体" w:hAnsi="宋体" w:cs="宋体"/>
          <w:color w:val="auto"/>
          <w:kern w:val="0"/>
          <w:sz w:val="24"/>
          <w:szCs w:val="24"/>
          <w:lang w:val="zh-CN"/>
        </w:rPr>
      </w:pPr>
      <w:r>
        <w:rPr>
          <w:rFonts w:hint="eastAsia" w:ascii="宋体" w:hAnsi="宋体" w:cs="宋体"/>
          <w:color w:val="auto"/>
          <w:kern w:val="0"/>
          <w:sz w:val="24"/>
          <w:szCs w:val="24"/>
          <w:lang w:val="zh-CN"/>
        </w:rPr>
        <w:t>关于促进残疾人就业政府采购政策的通知（财库〔2017〕141 号）</w:t>
      </w:r>
    </w:p>
    <w:p w14:paraId="15D90346">
      <w:pPr>
        <w:autoSpaceDE w:val="0"/>
        <w:autoSpaceDN w:val="0"/>
        <w:adjustRightInd w:val="0"/>
        <w:snapToGrid w:val="0"/>
        <w:spacing w:line="360" w:lineRule="auto"/>
        <w:jc w:val="left"/>
        <w:rPr>
          <w:rFonts w:hint="eastAsia" w:ascii="宋体" w:hAnsi="宋体" w:cs="宋体"/>
          <w:color w:val="auto"/>
          <w:kern w:val="0"/>
          <w:sz w:val="24"/>
          <w:szCs w:val="24"/>
          <w:lang w:val="zh-CN"/>
        </w:rPr>
      </w:pPr>
      <w:r>
        <w:rPr>
          <w:rFonts w:hint="eastAsia" w:ascii="宋体" w:hAnsi="宋体" w:cs="宋体"/>
          <w:color w:val="auto"/>
          <w:kern w:val="0"/>
          <w:sz w:val="24"/>
          <w:szCs w:val="24"/>
          <w:lang w:val="zh-CN"/>
        </w:rPr>
        <w:t>2、附残疾人福利性单位声明函</w:t>
      </w:r>
    </w:p>
    <w:p w14:paraId="58F49ACC">
      <w:pPr>
        <w:autoSpaceDE w:val="0"/>
        <w:autoSpaceDN w:val="0"/>
        <w:adjustRightInd w:val="0"/>
        <w:snapToGrid w:val="0"/>
        <w:spacing w:line="360" w:lineRule="auto"/>
        <w:ind w:firstLine="480" w:firstLineChars="200"/>
        <w:jc w:val="left"/>
        <w:rPr>
          <w:rFonts w:hint="eastAsia" w:ascii="宋体" w:hAnsi="宋体" w:cs="宋体"/>
          <w:color w:val="auto"/>
          <w:kern w:val="0"/>
          <w:sz w:val="24"/>
          <w:szCs w:val="24"/>
          <w:lang w:val="zh-CN"/>
        </w:rPr>
      </w:pPr>
      <w:r>
        <w:rPr>
          <w:rFonts w:hint="eastAsia" w:ascii="宋体" w:hAnsi="宋体" w:cs="宋体"/>
          <w:color w:val="auto"/>
          <w:kern w:val="0"/>
          <w:sz w:val="24"/>
          <w:szCs w:val="24"/>
          <w:lang w:val="zh-CN"/>
        </w:rPr>
        <w:t>本单位郑重声明，根据《财政部民政部中国残疾人联合会关于促进残疾人就业政府</w:t>
      </w:r>
    </w:p>
    <w:p w14:paraId="5A23C8CB">
      <w:pPr>
        <w:autoSpaceDE w:val="0"/>
        <w:autoSpaceDN w:val="0"/>
        <w:adjustRightInd w:val="0"/>
        <w:snapToGrid w:val="0"/>
        <w:spacing w:line="360" w:lineRule="auto"/>
        <w:jc w:val="left"/>
        <w:rPr>
          <w:rFonts w:hint="eastAsia" w:ascii="宋体" w:hAnsi="宋体" w:cs="宋体"/>
          <w:color w:val="auto"/>
          <w:kern w:val="0"/>
          <w:sz w:val="24"/>
          <w:szCs w:val="24"/>
          <w:lang w:val="zh-CN"/>
        </w:rPr>
      </w:pPr>
      <w:r>
        <w:rPr>
          <w:rFonts w:hint="eastAsia" w:ascii="宋体" w:hAnsi="宋体" w:cs="宋体"/>
          <w:color w:val="auto"/>
          <w:kern w:val="0"/>
          <w:sz w:val="24"/>
          <w:szCs w:val="24"/>
          <w:lang w:val="zh-CN"/>
        </w:rPr>
        <w:t>采购政策的通知》（财库〔2017〕141 号）的规定，本单位为符合条件的残疾人福利性单位，且本单位参加__________________单位的______________________项目采购活动提供本单位制造的货物（由本单位承担工程/提供服务），或者提供其他残疾人福利性单位制造的货物（不包括使用非残疾人福利性单位注册商标的货物）。</w:t>
      </w:r>
    </w:p>
    <w:p w14:paraId="7CBB3A56">
      <w:pPr>
        <w:autoSpaceDE w:val="0"/>
        <w:autoSpaceDN w:val="0"/>
        <w:adjustRightInd w:val="0"/>
        <w:snapToGrid w:val="0"/>
        <w:spacing w:line="360" w:lineRule="auto"/>
        <w:ind w:firstLine="480" w:firstLineChars="200"/>
        <w:jc w:val="left"/>
        <w:rPr>
          <w:rFonts w:hint="eastAsia" w:ascii="宋体" w:hAnsi="宋体" w:cs="宋体"/>
          <w:color w:val="auto"/>
          <w:kern w:val="0"/>
          <w:sz w:val="24"/>
          <w:szCs w:val="24"/>
          <w:lang w:val="zh-CN"/>
        </w:rPr>
      </w:pPr>
      <w:r>
        <w:rPr>
          <w:rFonts w:hint="eastAsia" w:ascii="宋体" w:hAnsi="宋体" w:cs="宋体"/>
          <w:color w:val="auto"/>
          <w:kern w:val="0"/>
          <w:sz w:val="24"/>
          <w:szCs w:val="24"/>
          <w:lang w:val="zh-CN"/>
        </w:rPr>
        <w:t>本单位对上述声明的真实性负责。如有虚假，将依法承担相应责任。</w:t>
      </w:r>
    </w:p>
    <w:p w14:paraId="3DF2F630">
      <w:pPr>
        <w:autoSpaceDE w:val="0"/>
        <w:autoSpaceDN w:val="0"/>
        <w:adjustRightInd w:val="0"/>
        <w:snapToGrid w:val="0"/>
        <w:spacing w:line="360" w:lineRule="auto"/>
        <w:ind w:firstLine="2400" w:firstLineChars="1000"/>
        <w:jc w:val="left"/>
        <w:rPr>
          <w:rFonts w:hint="eastAsia" w:ascii="宋体" w:hAnsi="宋体" w:cs="宋体"/>
          <w:color w:val="auto"/>
          <w:kern w:val="0"/>
          <w:sz w:val="24"/>
          <w:szCs w:val="24"/>
          <w:lang w:val="zh-CN"/>
        </w:rPr>
      </w:pPr>
    </w:p>
    <w:p w14:paraId="769B063A">
      <w:pPr>
        <w:autoSpaceDE w:val="0"/>
        <w:autoSpaceDN w:val="0"/>
        <w:adjustRightInd w:val="0"/>
        <w:snapToGrid w:val="0"/>
        <w:spacing w:line="360" w:lineRule="auto"/>
        <w:ind w:firstLine="2400" w:firstLineChars="1000"/>
        <w:jc w:val="left"/>
        <w:rPr>
          <w:rFonts w:hint="eastAsia" w:ascii="宋体" w:hAnsi="宋体" w:cs="宋体"/>
          <w:color w:val="auto"/>
          <w:kern w:val="0"/>
          <w:sz w:val="24"/>
          <w:szCs w:val="24"/>
          <w:lang w:val="zh-CN"/>
        </w:rPr>
      </w:pPr>
    </w:p>
    <w:p w14:paraId="6ECB3E16">
      <w:pPr>
        <w:autoSpaceDE w:val="0"/>
        <w:autoSpaceDN w:val="0"/>
        <w:adjustRightInd w:val="0"/>
        <w:snapToGrid w:val="0"/>
        <w:spacing w:line="360" w:lineRule="auto"/>
        <w:ind w:firstLine="2400" w:firstLineChars="1000"/>
        <w:jc w:val="left"/>
        <w:rPr>
          <w:rFonts w:hint="eastAsia" w:ascii="宋体" w:hAnsi="宋体" w:cs="宋体"/>
          <w:color w:val="auto"/>
          <w:kern w:val="0"/>
          <w:sz w:val="24"/>
          <w:szCs w:val="24"/>
          <w:lang w:val="zh-CN"/>
        </w:rPr>
      </w:pPr>
      <w:r>
        <w:rPr>
          <w:rFonts w:hint="eastAsia" w:ascii="宋体" w:hAnsi="宋体" w:cs="宋体"/>
          <w:color w:val="auto"/>
          <w:kern w:val="0"/>
          <w:sz w:val="24"/>
          <w:szCs w:val="24"/>
          <w:lang w:val="zh-CN"/>
        </w:rPr>
        <w:t>投标人名称：          （盖单位公章）</w:t>
      </w:r>
    </w:p>
    <w:p w14:paraId="65B4EBD7">
      <w:pPr>
        <w:autoSpaceDE w:val="0"/>
        <w:autoSpaceDN w:val="0"/>
        <w:adjustRightInd w:val="0"/>
        <w:snapToGrid w:val="0"/>
        <w:spacing w:line="360" w:lineRule="auto"/>
        <w:ind w:firstLine="3600" w:firstLineChars="1500"/>
        <w:jc w:val="left"/>
        <w:rPr>
          <w:rFonts w:hint="eastAsia" w:ascii="宋体" w:hAnsi="宋体" w:cs="宋体"/>
          <w:color w:val="auto"/>
          <w:kern w:val="0"/>
          <w:sz w:val="24"/>
          <w:szCs w:val="24"/>
          <w:lang w:val="zh-CN"/>
        </w:rPr>
      </w:pPr>
      <w:r>
        <w:rPr>
          <w:rFonts w:hint="eastAsia" w:ascii="宋体" w:hAnsi="宋体" w:cs="宋体"/>
          <w:color w:val="auto"/>
          <w:kern w:val="0"/>
          <w:sz w:val="24"/>
          <w:szCs w:val="24"/>
          <w:lang w:val="zh-CN"/>
        </w:rPr>
        <w:t>年    月    日</w:t>
      </w:r>
    </w:p>
    <w:p w14:paraId="0D09A3BA">
      <w:pPr>
        <w:spacing w:line="500" w:lineRule="exact"/>
        <w:rPr>
          <w:rFonts w:hint="eastAsia" w:ascii="宋体" w:hAnsi="宋体" w:cs="宋体"/>
          <w:b/>
          <w:bCs/>
          <w:color w:val="auto"/>
          <w:sz w:val="24"/>
          <w:szCs w:val="24"/>
        </w:rPr>
      </w:pPr>
    </w:p>
    <w:p w14:paraId="4D22B441">
      <w:pPr>
        <w:rPr>
          <w:rFonts w:hint="eastAsia" w:ascii="宋体" w:hAnsi="宋体" w:cs="宋体"/>
          <w:color w:val="auto"/>
          <w:sz w:val="24"/>
          <w:szCs w:val="24"/>
        </w:rPr>
      </w:pPr>
    </w:p>
    <w:p w14:paraId="59BD601E">
      <w:pPr>
        <w:tabs>
          <w:tab w:val="left" w:pos="4200"/>
        </w:tabs>
        <w:autoSpaceDE w:val="0"/>
        <w:autoSpaceDN w:val="0"/>
        <w:adjustRightInd w:val="0"/>
        <w:spacing w:before="1" w:line="360" w:lineRule="auto"/>
        <w:ind w:right="-214"/>
        <w:jc w:val="center"/>
        <w:rPr>
          <w:rFonts w:hint="eastAsia" w:ascii="宋体" w:hAnsi="宋体" w:cs="宋体"/>
          <w:b/>
          <w:color w:val="auto"/>
          <w:sz w:val="24"/>
          <w:szCs w:val="24"/>
        </w:rPr>
      </w:pPr>
      <w:r>
        <w:rPr>
          <w:rFonts w:hint="eastAsia" w:ascii="宋体" w:hAnsi="宋体" w:cs="宋体"/>
          <w:b/>
          <w:color w:val="auto"/>
          <w:sz w:val="24"/>
          <w:szCs w:val="24"/>
        </w:rPr>
        <w:t xml:space="preserve">   </w:t>
      </w:r>
    </w:p>
    <w:p w14:paraId="723ECC86">
      <w:pPr>
        <w:tabs>
          <w:tab w:val="left" w:pos="4200"/>
        </w:tabs>
        <w:autoSpaceDE w:val="0"/>
        <w:autoSpaceDN w:val="0"/>
        <w:adjustRightInd w:val="0"/>
        <w:spacing w:before="1" w:line="360" w:lineRule="auto"/>
        <w:ind w:right="-214"/>
        <w:jc w:val="center"/>
        <w:rPr>
          <w:rFonts w:hint="eastAsia" w:ascii="宋体" w:hAnsi="宋体" w:cs="宋体"/>
          <w:b/>
          <w:color w:val="auto"/>
          <w:sz w:val="24"/>
          <w:szCs w:val="24"/>
        </w:rPr>
      </w:pPr>
    </w:p>
    <w:p w14:paraId="69C0F8C2">
      <w:pPr>
        <w:autoSpaceDE w:val="0"/>
        <w:autoSpaceDN w:val="0"/>
        <w:adjustRightInd w:val="0"/>
        <w:ind w:right="3197"/>
        <w:rPr>
          <w:rFonts w:hint="eastAsia" w:ascii="宋体" w:hAnsi="宋体" w:cs="宋体"/>
          <w:color w:val="auto"/>
          <w:w w:val="99"/>
          <w:kern w:val="0"/>
          <w:sz w:val="24"/>
          <w:szCs w:val="24"/>
        </w:rPr>
      </w:pPr>
      <w:r>
        <w:rPr>
          <w:rFonts w:hint="eastAsia" w:ascii="宋体" w:hAnsi="宋体" w:cs="宋体"/>
          <w:color w:val="auto"/>
          <w:w w:val="99"/>
          <w:kern w:val="0"/>
          <w:sz w:val="24"/>
          <w:szCs w:val="24"/>
        </w:rPr>
        <w:t xml:space="preserve">                                                  </w:t>
      </w:r>
    </w:p>
    <w:p w14:paraId="6148EF9D">
      <w:pPr>
        <w:pStyle w:val="5"/>
        <w:spacing w:line="360" w:lineRule="auto"/>
        <w:ind w:firstLine="551"/>
        <w:jc w:val="left"/>
        <w:rPr>
          <w:rFonts w:hint="eastAsia" w:ascii="宋体" w:hAnsi="宋体" w:cs="宋体"/>
          <w:color w:val="auto"/>
          <w:w w:val="99"/>
          <w:kern w:val="0"/>
          <w:sz w:val="24"/>
          <w:szCs w:val="24"/>
        </w:rPr>
      </w:pPr>
      <w:r>
        <w:rPr>
          <w:rFonts w:hint="eastAsia" w:ascii="宋体" w:hAnsi="宋体" w:cs="宋体"/>
          <w:color w:val="auto"/>
          <w:w w:val="99"/>
          <w:kern w:val="0"/>
          <w:sz w:val="24"/>
          <w:szCs w:val="24"/>
        </w:rPr>
        <w:br w:type="page"/>
      </w:r>
      <w:r>
        <w:rPr>
          <w:rFonts w:hint="eastAsia" w:ascii="宋体" w:hAnsi="宋体" w:cs="宋体"/>
          <w:b/>
          <w:bCs/>
          <w:color w:val="auto"/>
          <w:w w:val="99"/>
          <w:kern w:val="0"/>
          <w:sz w:val="24"/>
          <w:szCs w:val="24"/>
        </w:rPr>
        <w:t>附件4</w:t>
      </w:r>
    </w:p>
    <w:p w14:paraId="4A18F4A8">
      <w:pPr>
        <w:pStyle w:val="5"/>
        <w:spacing w:line="360" w:lineRule="auto"/>
        <w:ind w:firstLine="562"/>
        <w:jc w:val="center"/>
        <w:rPr>
          <w:rFonts w:hint="eastAsia" w:ascii="宋体" w:hAnsi="宋体" w:cs="宋体"/>
          <w:b/>
          <w:bCs/>
          <w:color w:val="auto"/>
          <w:sz w:val="24"/>
          <w:szCs w:val="24"/>
        </w:rPr>
      </w:pPr>
      <w:r>
        <w:rPr>
          <w:rFonts w:hint="eastAsia" w:ascii="宋体" w:hAnsi="宋体" w:cs="宋体"/>
          <w:b/>
          <w:bCs/>
          <w:color w:val="auto"/>
          <w:sz w:val="24"/>
          <w:szCs w:val="24"/>
        </w:rPr>
        <w:t>河南省政府采购合同融资政策告知函</w:t>
      </w:r>
    </w:p>
    <w:p w14:paraId="5E5235C6">
      <w:pPr>
        <w:pStyle w:val="5"/>
        <w:spacing w:line="360" w:lineRule="auto"/>
        <w:ind w:firstLine="562"/>
        <w:jc w:val="center"/>
        <w:rPr>
          <w:rFonts w:hint="eastAsia" w:ascii="宋体" w:hAnsi="宋体" w:cs="宋体"/>
          <w:b/>
          <w:bCs/>
          <w:color w:val="auto"/>
          <w:sz w:val="24"/>
          <w:szCs w:val="24"/>
        </w:rPr>
      </w:pPr>
    </w:p>
    <w:p w14:paraId="4DC37F10">
      <w:pPr>
        <w:pStyle w:val="5"/>
        <w:spacing w:line="360" w:lineRule="auto"/>
        <w:ind w:firstLine="560"/>
        <w:rPr>
          <w:rFonts w:hint="eastAsia" w:ascii="宋体" w:hAnsi="宋体" w:cs="宋体"/>
          <w:color w:val="auto"/>
          <w:sz w:val="24"/>
          <w:szCs w:val="24"/>
        </w:rPr>
      </w:pPr>
      <w:r>
        <w:rPr>
          <w:rFonts w:hint="eastAsia" w:ascii="宋体" w:hAnsi="宋体" w:cs="宋体"/>
          <w:color w:val="auto"/>
          <w:sz w:val="24"/>
          <w:szCs w:val="24"/>
        </w:rPr>
        <w:t>各供应商：</w:t>
      </w:r>
    </w:p>
    <w:p w14:paraId="60E35804">
      <w:pPr>
        <w:pStyle w:val="5"/>
        <w:spacing w:line="360" w:lineRule="auto"/>
        <w:ind w:firstLine="560"/>
        <w:rPr>
          <w:rFonts w:hint="eastAsia" w:ascii="宋体" w:hAnsi="宋体" w:cs="宋体"/>
          <w:color w:val="auto"/>
          <w:sz w:val="24"/>
          <w:szCs w:val="24"/>
        </w:rPr>
      </w:pPr>
    </w:p>
    <w:p w14:paraId="4F76613A">
      <w:pPr>
        <w:pStyle w:val="5"/>
        <w:spacing w:line="360" w:lineRule="auto"/>
        <w:ind w:firstLine="560"/>
        <w:rPr>
          <w:rFonts w:hint="eastAsia" w:ascii="宋体" w:hAnsi="宋体" w:cs="宋体"/>
          <w:color w:val="auto"/>
          <w:sz w:val="24"/>
          <w:szCs w:val="24"/>
        </w:rPr>
      </w:pPr>
      <w:r>
        <w:rPr>
          <w:rFonts w:hint="eastAsia" w:ascii="宋体" w:hAnsi="宋体" w:cs="宋体"/>
          <w:color w:val="auto"/>
          <w:sz w:val="24"/>
          <w:szCs w:val="24"/>
        </w:rPr>
        <w:t>欢迎贵公司参与河南省政府采购活动！</w:t>
      </w:r>
    </w:p>
    <w:p w14:paraId="669547F3">
      <w:pPr>
        <w:pStyle w:val="5"/>
        <w:spacing w:line="360" w:lineRule="auto"/>
        <w:ind w:firstLine="560"/>
        <w:rPr>
          <w:rFonts w:hint="eastAsia" w:ascii="宋体" w:hAnsi="宋体" w:cs="宋体"/>
          <w:color w:val="auto"/>
          <w:sz w:val="24"/>
          <w:szCs w:val="24"/>
        </w:rPr>
      </w:pPr>
      <w:r>
        <w:rPr>
          <w:rFonts w:hint="eastAsia" w:ascii="宋体" w:hAnsi="宋体" w:cs="宋体"/>
          <w:color w:val="auto"/>
          <w:sz w:val="24"/>
          <w:szCs w:val="24"/>
        </w:rPr>
        <w:t>政府采购合同融资是河南省财政厅支持中小微企业发展，针对参与政府采购活动的供应离融资难、融资贵问题推出的一项融资政策。贵公司若成为本次政府采购项目的中标成交供应商，可持政府采购合同向金融机构申请贷款，无需抵押、担保，融资机构将根据《河南省政府采购合同融资工作实施方案》（豫财购(2017〕10 号)，按照双方自愿的原则提供便捷、优惠的贷款服务。</w:t>
      </w:r>
    </w:p>
    <w:p w14:paraId="0FF9E9A5">
      <w:pPr>
        <w:pStyle w:val="5"/>
        <w:spacing w:line="360" w:lineRule="auto"/>
        <w:ind w:firstLine="560"/>
        <w:rPr>
          <w:rFonts w:hint="eastAsia" w:ascii="宋体" w:hAnsi="宋体" w:cs="宋体"/>
          <w:color w:val="auto"/>
          <w:sz w:val="24"/>
          <w:szCs w:val="24"/>
        </w:rPr>
      </w:pPr>
      <w:r>
        <w:rPr>
          <w:rFonts w:hint="eastAsia" w:ascii="宋体" w:hAnsi="宋体" w:cs="宋体"/>
          <w:color w:val="auto"/>
          <w:sz w:val="24"/>
          <w:szCs w:val="24"/>
        </w:rPr>
        <w:t>贷款渠道和提供贷款的金融机构，可在河南省政府采购网“河南省政府采购合同融资平台”查询联系。</w:t>
      </w:r>
    </w:p>
    <w:p w14:paraId="24EDD0A8">
      <w:pPr>
        <w:pStyle w:val="11"/>
        <w:rPr>
          <w:color w:val="auto"/>
          <w:sz w:val="28"/>
          <w:szCs w:val="22"/>
        </w:rPr>
      </w:pPr>
    </w:p>
    <w:p w14:paraId="2B82D74E">
      <w:pPr>
        <w:pStyle w:val="10"/>
        <w:rPr>
          <w:color w:val="auto"/>
        </w:rPr>
      </w:pPr>
    </w:p>
    <w:p w14:paraId="0FA8A7EB">
      <w:pPr>
        <w:pStyle w:val="9"/>
        <w:rPr>
          <w:color w:val="auto"/>
        </w:rPr>
      </w:pPr>
    </w:p>
    <w:p w14:paraId="3024AD65">
      <w:pPr>
        <w:rPr>
          <w:color w:val="auto"/>
        </w:rPr>
      </w:pPr>
    </w:p>
    <w:p w14:paraId="288D4B4E">
      <w:pPr>
        <w:pStyle w:val="11"/>
        <w:rPr>
          <w:color w:val="auto"/>
        </w:rPr>
      </w:pPr>
    </w:p>
    <w:p w14:paraId="7B75720D">
      <w:pPr>
        <w:pStyle w:val="10"/>
        <w:rPr>
          <w:color w:val="auto"/>
        </w:rPr>
      </w:pPr>
    </w:p>
    <w:p w14:paraId="13B62980">
      <w:pPr>
        <w:pStyle w:val="9"/>
        <w:rPr>
          <w:color w:val="auto"/>
        </w:rPr>
      </w:pPr>
    </w:p>
    <w:p w14:paraId="07A2E75B">
      <w:pPr>
        <w:rPr>
          <w:color w:val="auto"/>
        </w:rPr>
      </w:pPr>
    </w:p>
    <w:p w14:paraId="531DBE5A">
      <w:pPr>
        <w:pStyle w:val="11"/>
        <w:rPr>
          <w:color w:val="auto"/>
        </w:rPr>
      </w:pPr>
    </w:p>
    <w:p w14:paraId="2F0BBD15">
      <w:pPr>
        <w:pStyle w:val="10"/>
        <w:rPr>
          <w:color w:val="auto"/>
        </w:rPr>
      </w:pPr>
    </w:p>
    <w:p w14:paraId="6C84519A">
      <w:pPr>
        <w:pStyle w:val="9"/>
        <w:rPr>
          <w:color w:val="auto"/>
        </w:rPr>
      </w:pPr>
    </w:p>
    <w:p w14:paraId="40D889DC">
      <w:pPr>
        <w:rPr>
          <w:color w:val="auto"/>
        </w:rPr>
      </w:pPr>
    </w:p>
    <w:p w14:paraId="39B6C850">
      <w:pPr>
        <w:pStyle w:val="11"/>
        <w:rPr>
          <w:color w:val="auto"/>
        </w:rPr>
      </w:pPr>
    </w:p>
    <w:p w14:paraId="57382931">
      <w:pPr>
        <w:pStyle w:val="10"/>
        <w:rPr>
          <w:color w:val="auto"/>
        </w:rPr>
      </w:pPr>
    </w:p>
    <w:p w14:paraId="4CBA1E9D">
      <w:pPr>
        <w:pStyle w:val="9"/>
        <w:rPr>
          <w:color w:val="auto"/>
        </w:rPr>
      </w:pPr>
    </w:p>
    <w:p w14:paraId="2E33D382">
      <w:pPr>
        <w:rPr>
          <w:color w:val="auto"/>
        </w:rPr>
      </w:pPr>
    </w:p>
    <w:p w14:paraId="3A13FB26">
      <w:pPr>
        <w:pStyle w:val="11"/>
        <w:rPr>
          <w:color w:val="auto"/>
        </w:rPr>
      </w:pPr>
    </w:p>
    <w:p w14:paraId="7970B9A1">
      <w:pPr>
        <w:pStyle w:val="10"/>
        <w:rPr>
          <w:color w:val="auto"/>
        </w:rPr>
      </w:pPr>
    </w:p>
    <w:p w14:paraId="3723475D">
      <w:pPr>
        <w:rPr>
          <w:color w:val="auto"/>
        </w:rPr>
      </w:pPr>
    </w:p>
    <w:p w14:paraId="5798A3B9">
      <w:pPr>
        <w:pStyle w:val="11"/>
        <w:jc w:val="center"/>
        <w:rPr>
          <w:rFonts w:hint="eastAsia" w:ascii="仿宋" w:hAnsi="仿宋" w:eastAsia="仿宋" w:cs="宋体"/>
          <w:color w:val="auto"/>
          <w:sz w:val="24"/>
          <w:szCs w:val="24"/>
          <w:lang w:val="en-US" w:eastAsia="zh-CN"/>
        </w:rPr>
      </w:pPr>
    </w:p>
    <w:p w14:paraId="5215B443">
      <w:pPr>
        <w:pStyle w:val="11"/>
        <w:jc w:val="left"/>
        <w:rPr>
          <w:rFonts w:hint="eastAsia" w:ascii="宋体" w:hAnsi="宋体" w:eastAsia="宋体" w:cs="宋体"/>
          <w:b/>
          <w:bCs/>
          <w:color w:val="auto"/>
          <w:w w:val="99"/>
          <w:kern w:val="0"/>
          <w:sz w:val="24"/>
          <w:szCs w:val="24"/>
          <w:lang w:eastAsia="zh-CN"/>
        </w:rPr>
      </w:pPr>
      <w:r>
        <w:rPr>
          <w:rFonts w:hint="eastAsia" w:ascii="宋体" w:hAnsi="宋体" w:cs="宋体"/>
          <w:b/>
          <w:bCs/>
          <w:color w:val="auto"/>
          <w:w w:val="99"/>
          <w:kern w:val="0"/>
          <w:sz w:val="24"/>
          <w:szCs w:val="24"/>
        </w:rPr>
        <w:t>附件</w:t>
      </w:r>
      <w:r>
        <w:rPr>
          <w:rFonts w:hint="eastAsia" w:ascii="宋体" w:hAnsi="宋体" w:cs="宋体"/>
          <w:b/>
          <w:bCs/>
          <w:color w:val="auto"/>
          <w:w w:val="99"/>
          <w:kern w:val="0"/>
          <w:sz w:val="24"/>
          <w:szCs w:val="24"/>
          <w:lang w:val="en-US" w:eastAsia="zh-CN"/>
        </w:rPr>
        <w:t>5</w:t>
      </w:r>
    </w:p>
    <w:p w14:paraId="0F7FF44D">
      <w:pPr>
        <w:pStyle w:val="11"/>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郏县政府采购供应商信用承诺书</w:t>
      </w:r>
    </w:p>
    <w:p w14:paraId="323A75DE">
      <w:pPr>
        <w:pStyle w:val="11"/>
        <w:spacing w:line="360" w:lineRule="auto"/>
        <w:jc w:val="both"/>
        <w:rPr>
          <w:rFonts w:hint="eastAsia" w:ascii="宋体" w:hAnsi="宋体" w:eastAsia="宋体" w:cs="宋体"/>
          <w:color w:val="auto"/>
          <w:sz w:val="24"/>
          <w:szCs w:val="24"/>
          <w:lang w:val="en-US" w:eastAsia="zh-CN"/>
        </w:rPr>
      </w:pPr>
    </w:p>
    <w:p w14:paraId="1B9FC5B3">
      <w:pPr>
        <w:pStyle w:val="11"/>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致(</w:t>
      </w:r>
      <w:r>
        <w:rPr>
          <w:rFonts w:hint="eastAsia" w:ascii="宋体" w:hAnsi="宋体" w:eastAsia="宋体" w:cs="宋体"/>
          <w:color w:val="auto"/>
          <w:sz w:val="24"/>
          <w:szCs w:val="24"/>
          <w:u w:val="single"/>
          <w:lang w:val="en-US" w:eastAsia="zh-CN"/>
        </w:rPr>
        <w:t>采购人或采购代理机构</w:t>
      </w:r>
      <w:r>
        <w:rPr>
          <w:rFonts w:hint="eastAsia" w:ascii="宋体" w:hAnsi="宋体" w:eastAsia="宋体" w:cs="宋体"/>
          <w:color w:val="auto"/>
          <w:sz w:val="24"/>
          <w:szCs w:val="24"/>
          <w:lang w:val="en-US" w:eastAsia="zh-CN"/>
        </w:rPr>
        <w:t>):</w:t>
      </w:r>
    </w:p>
    <w:p w14:paraId="408C1CFF">
      <w:pPr>
        <w:pStyle w:val="11"/>
        <w:spacing w:line="360" w:lineRule="auto"/>
        <w:jc w:val="both"/>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单位名称:</w:t>
      </w:r>
      <w:r>
        <w:rPr>
          <w:rFonts w:hint="eastAsia" w:ascii="宋体" w:hAnsi="宋体" w:eastAsia="宋体" w:cs="宋体"/>
          <w:color w:val="auto"/>
          <w:sz w:val="24"/>
          <w:szCs w:val="24"/>
          <w:u w:val="single"/>
          <w:lang w:val="en-US" w:eastAsia="zh-CN"/>
        </w:rPr>
        <w:t xml:space="preserve">                                       </w:t>
      </w:r>
    </w:p>
    <w:p w14:paraId="39BAFAB6">
      <w:pPr>
        <w:pStyle w:val="11"/>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统一社会信用代码:</w:t>
      </w:r>
      <w:r>
        <w:rPr>
          <w:rFonts w:hint="eastAsia" w:ascii="宋体" w:hAnsi="宋体" w:eastAsia="宋体" w:cs="宋体"/>
          <w:color w:val="auto"/>
          <w:sz w:val="24"/>
          <w:szCs w:val="24"/>
          <w:u w:val="single"/>
          <w:lang w:val="en-US" w:eastAsia="zh-CN"/>
        </w:rPr>
        <w:t xml:space="preserve">                               </w:t>
      </w:r>
    </w:p>
    <w:p w14:paraId="43D364BE">
      <w:pPr>
        <w:pStyle w:val="11"/>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法定代表人:</w:t>
      </w:r>
      <w:r>
        <w:rPr>
          <w:rFonts w:hint="eastAsia" w:ascii="宋体" w:hAnsi="宋体" w:eastAsia="宋体" w:cs="宋体"/>
          <w:color w:val="auto"/>
          <w:sz w:val="24"/>
          <w:szCs w:val="24"/>
          <w:u w:val="single"/>
          <w:lang w:val="en-US" w:eastAsia="zh-CN"/>
        </w:rPr>
        <w:t xml:space="preserve">                                     </w:t>
      </w:r>
    </w:p>
    <w:p w14:paraId="4DFE0AC2">
      <w:pPr>
        <w:pStyle w:val="11"/>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联系地址和电话:</w:t>
      </w:r>
      <w:r>
        <w:rPr>
          <w:rFonts w:hint="eastAsia" w:ascii="宋体" w:hAnsi="宋体" w:eastAsia="宋体" w:cs="宋体"/>
          <w:color w:val="auto"/>
          <w:sz w:val="24"/>
          <w:szCs w:val="24"/>
          <w:u w:val="single"/>
          <w:lang w:val="en-US" w:eastAsia="zh-CN"/>
        </w:rPr>
        <w:t xml:space="preserve">                                 </w:t>
      </w:r>
    </w:p>
    <w:p w14:paraId="1FBB05A2">
      <w:pPr>
        <w:pStyle w:val="11"/>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我单位自愿参加本次政府采购活动，严格遵守《中华人民共和国政府采购法》及相关法律法规，依法诚信经营，无条件遵守本次政府采购活动的各项规定，我单位郑重承诺，本公司符合《中华人民共和国政府采购法》第二十二条规定的条件:</w:t>
      </w:r>
    </w:p>
    <w:p w14:paraId="5BC3C1D2">
      <w:pPr>
        <w:pStyle w:val="11"/>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(一)具有独立承担民事责任的能力;</w:t>
      </w:r>
    </w:p>
    <w:p w14:paraId="3282346E">
      <w:pPr>
        <w:pStyle w:val="11"/>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(二)具有良好的商业信誉和健全的财务会计制度;</w:t>
      </w:r>
    </w:p>
    <w:p w14:paraId="11A62541">
      <w:pPr>
        <w:pStyle w:val="11"/>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(三)具有履行合同所必需的设备和专业技术能力;</w:t>
      </w:r>
    </w:p>
    <w:p w14:paraId="62390597">
      <w:pPr>
        <w:pStyle w:val="11"/>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(四)有依法缴纳税收和社会保障资金的良好记录;</w:t>
      </w:r>
    </w:p>
    <w:p w14:paraId="296939B0">
      <w:pPr>
        <w:pStyle w:val="11"/>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(五)参加政府采购活动前三年内，在经营活动中没有重大违法记录;</w:t>
      </w:r>
    </w:p>
    <w:p w14:paraId="7E7752EB">
      <w:pPr>
        <w:pStyle w:val="11"/>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(六)法律，行政法规规定的其他条件。</w:t>
      </w:r>
    </w:p>
    <w:p w14:paraId="7C70A2EF">
      <w:pPr>
        <w:pStyle w:val="11"/>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我单位保证上述承诺事项的真实性，如有弄虚作假或其他违法违规行为，愿意承担一切法律责任，并承担因此所造成的一切损失。</w:t>
      </w:r>
    </w:p>
    <w:p w14:paraId="01ABA548">
      <w:pPr>
        <w:pStyle w:val="11"/>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供应商(企业电子章):</w:t>
      </w:r>
      <w:r>
        <w:rPr>
          <w:rFonts w:hint="eastAsia" w:ascii="宋体" w:hAnsi="宋体" w:eastAsia="宋体" w:cs="宋体"/>
          <w:color w:val="auto"/>
          <w:sz w:val="24"/>
          <w:szCs w:val="24"/>
          <w:u w:val="single"/>
          <w:lang w:val="en-US" w:eastAsia="zh-CN"/>
        </w:rPr>
        <w:t xml:space="preserve">                      </w:t>
      </w:r>
    </w:p>
    <w:p w14:paraId="03C159F1">
      <w:pPr>
        <w:pStyle w:val="11"/>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法定代表人或授权代表(签字或电子印章):</w:t>
      </w:r>
      <w:r>
        <w:rPr>
          <w:rFonts w:hint="eastAsia" w:ascii="宋体" w:hAnsi="宋体" w:eastAsia="宋体" w:cs="宋体"/>
          <w:color w:val="auto"/>
          <w:sz w:val="24"/>
          <w:szCs w:val="24"/>
          <w:u w:val="single"/>
          <w:lang w:val="en-US" w:eastAsia="zh-CN"/>
        </w:rPr>
        <w:t xml:space="preserve">                </w:t>
      </w:r>
    </w:p>
    <w:p w14:paraId="14BFA1DE">
      <w:pPr>
        <w:pStyle w:val="11"/>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日期:</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en-US" w:eastAsia="zh-CN"/>
        </w:rPr>
        <w:t>年</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en-US" w:eastAsia="zh-CN"/>
        </w:rPr>
        <w:t>月</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en-US" w:eastAsia="zh-CN"/>
        </w:rPr>
        <w:t xml:space="preserve">日 </w:t>
      </w:r>
    </w:p>
    <w:p w14:paraId="11F5ABFC">
      <w:pPr>
        <w:pStyle w:val="11"/>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注:1.供应商须在响应文件中按此模板提供承诺函，未提供视为未实质性响应采购文件要求，按无效响应处理。</w:t>
      </w:r>
    </w:p>
    <w:p w14:paraId="16C51722">
      <w:pPr>
        <w:pStyle w:val="11"/>
        <w:spacing w:line="360" w:lineRule="auto"/>
        <w:jc w:val="both"/>
        <w:rPr>
          <w:rFonts w:hint="eastAsia" w:ascii="宋体" w:hAnsi="宋体" w:eastAsia="宋体" w:cs="宋体"/>
          <w:color w:val="auto"/>
          <w:sz w:val="18"/>
          <w:szCs w:val="18"/>
        </w:rPr>
      </w:pPr>
      <w:r>
        <w:rPr>
          <w:rFonts w:hint="eastAsia" w:ascii="宋体" w:hAnsi="宋体" w:eastAsia="宋体" w:cs="宋体"/>
          <w:color w:val="auto"/>
          <w:sz w:val="24"/>
          <w:szCs w:val="18"/>
          <w:lang w:val="en-US" w:eastAsia="zh-CN"/>
        </w:rPr>
        <w:t>2.供应商的法定代表人或者授权代表的签字或盖章应真实、有效,如由授权代表签字或盖章的,应提供“法定代表人授权书”</w:t>
      </w:r>
    </w:p>
    <w:p w14:paraId="4C4D3C75">
      <w:pPr>
        <w:rPr>
          <w:color w:val="auto"/>
        </w:rPr>
      </w:pPr>
    </w:p>
    <w:sectPr>
      <w:headerReference r:id="rId5" w:type="default"/>
      <w:footerReference r:id="rId6" w:type="default"/>
      <w:pgSz w:w="11906" w:h="16838"/>
      <w:pgMar w:top="1417" w:right="1417" w:bottom="1417" w:left="1417" w:header="851" w:footer="726"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onsolas">
    <w:panose1 w:val="020B0609020204030204"/>
    <w:charset w:val="00"/>
    <w:family w:val="auto"/>
    <w:pitch w:val="default"/>
    <w:sig w:usb0="E00006FF" w:usb1="0000FCFF" w:usb2="00000001" w:usb3="00000000" w:csb0="6000019F" w:csb1="DFD70000"/>
  </w:font>
  <w:font w:name="微软雅黑">
    <w:panose1 w:val="020B0503020204020204"/>
    <w:charset w:val="86"/>
    <w:family w:val="auto"/>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E2062">
    <w:pPr>
      <w:pStyle w:val="12"/>
      <w:jc w:val="right"/>
    </w:pPr>
    <w:r>
      <w:rPr>
        <w:rFonts w:hint="eastAsia"/>
      </w:rPr>
      <w:t>1</w:t>
    </w:r>
  </w:p>
  <w:p w14:paraId="5886EFE9">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32829">
    <w:pPr>
      <w:pStyle w:val="12"/>
      <w:pBdr>
        <w:top w:val="thinThickSmallGap" w:color="622423" w:sz="24" w:space="1"/>
      </w:pBdr>
      <w:tabs>
        <w:tab w:val="right" w:pos="8787"/>
        <w:tab w:val="clear" w:pos="4153"/>
        <w:tab w:val="clear" w:pos="8306"/>
      </w:tabs>
      <w:rPr>
        <w:rFonts w:hint="eastAsia" w:ascii="Cambria" w:hAnsi="Cambria"/>
        <w:sz w:val="21"/>
        <w:szCs w:val="21"/>
      </w:rPr>
    </w:pPr>
    <w:r>
      <w:rPr>
        <w:szCs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D57744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22</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ml5N0zAEAAKcDAAAOAAAAAAAAAAEAIAAAAB4BAABkcnMvZTJv&#10;RG9jLnhtbFBLBQYAAAAABgAGAFkBAABcBQAAAAA=&#10;">
              <v:fill on="f" focussize="0,0"/>
              <v:stroke on="f"/>
              <v:imagedata o:title=""/>
              <o:lock v:ext="edit" aspectratio="f"/>
              <v:textbox inset="0mm,0mm,0mm,0mm" style="mso-fit-shape-to-text:t;">
                <w:txbxContent>
                  <w:p w14:paraId="6D57744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22</w:t>
                    </w:r>
                    <w:r>
                      <w:rPr>
                        <w:rFonts w:hint="eastAsia"/>
                        <w:sz w:val="18"/>
                      </w:rPr>
                      <w:fldChar w:fldCharType="end"/>
                    </w:r>
                  </w:p>
                </w:txbxContent>
              </v:textbox>
            </v:shape>
          </w:pict>
        </mc:Fallback>
      </mc:AlternateContent>
    </w:r>
    <w:r>
      <w:rPr>
        <w:rFonts w:hint="eastAsia" w:ascii="Cambria" w:hAnsi="Cambria"/>
        <w:szCs w:val="18"/>
      </w:rPr>
      <w:t xml:space="preserve">      </w:t>
    </w:r>
    <w:r>
      <w:rPr>
        <w:rFonts w:hint="eastAsia" w:ascii="Cambria" w:hAnsi="Cambria"/>
        <w:szCs w:val="18"/>
        <w:lang w:eastAsia="zh-CN"/>
      </w:rPr>
      <w:t>河南古基工程管理有限公司</w:t>
    </w:r>
    <w:r>
      <w:rPr>
        <w:rFonts w:ascii="Cambria" w:hAnsi="Cambria"/>
        <w:sz w:val="21"/>
        <w:szCs w:val="21"/>
        <w:lang w:val="zh-CN"/>
      </w:rPr>
      <w:tab/>
    </w:r>
    <w:r>
      <w:rPr>
        <w:rFonts w:ascii="Cambria" w:hAnsi="Cambria"/>
        <w:sz w:val="21"/>
        <w:szCs w:val="21"/>
        <w:lang w:val="zh-CN"/>
      </w:rPr>
      <w:t xml:space="preserve"> </w:t>
    </w:r>
    <w:r>
      <w:rPr>
        <w:rFonts w:hint="eastAsia"/>
        <w:sz w:val="21"/>
        <w:szCs w:val="21"/>
      </w:rPr>
      <w:t xml:space="preserve"> </w:t>
    </w:r>
  </w:p>
  <w:p w14:paraId="3E9CA2D9">
    <w:pPr>
      <w:pStyle w:val="12"/>
      <w:rPr>
        <w:sz w:val="21"/>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ECC6B">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BABB0">
    <w:pPr>
      <w:pStyle w:val="13"/>
      <w:pBdr>
        <w:bottom w:val="thickThinSmallGap" w:color="622423" w:sz="24" w:space="1"/>
      </w:pBdr>
      <w:tabs>
        <w:tab w:val="right" w:pos="9638"/>
      </w:tabs>
      <w:jc w:val="left"/>
      <w:rPr>
        <w:rFonts w:hint="eastAsia" w:ascii="Cambria" w:hAnsi="Cambria" w:eastAsia="宋体"/>
        <w:szCs w:val="18"/>
        <w:lang w:eastAsia="zh-CN"/>
      </w:rPr>
    </w:pPr>
    <w:r>
      <w:rPr>
        <w:rFonts w:hint="eastAsia" w:cs="Times New Roman"/>
        <w:szCs w:val="18"/>
        <w:lang w:eastAsia="zh-CN"/>
      </w:rPr>
      <w:t>郏县人民医院2025年医疗责任险服务项目</w:t>
    </w:r>
    <w:r>
      <w:rPr>
        <w:rFonts w:hint="eastAsia" w:ascii="Times New Roman" w:hAnsi="Times New Roman" w:eastAsia="宋体" w:cs="Times New Roman"/>
        <w:szCs w:val="18"/>
        <w:lang w:val="en-US" w:eastAsia="zh-CN"/>
      </w:rPr>
      <w:t xml:space="preserve">  </w:t>
    </w:r>
    <w:r>
      <w:rPr>
        <w:rFonts w:hint="eastAsia" w:ascii="Times New Roman" w:hAnsi="Times New Roman" w:eastAsia="宋体" w:cs="Times New Roman"/>
        <w:szCs w:val="18"/>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eastAsia="zh-CN"/>
      </w:rPr>
      <w:t xml:space="preserve">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0C8B71"/>
    <w:multiLevelType w:val="singleLevel"/>
    <w:tmpl w:val="920C8B71"/>
    <w:lvl w:ilvl="0" w:tentative="0">
      <w:start w:val="1"/>
      <w:numFmt w:val="decimal"/>
      <w:lvlText w:val="(%1)"/>
      <w:lvlJc w:val="left"/>
      <w:pPr>
        <w:ind w:left="425" w:hanging="425"/>
      </w:pPr>
      <w:rPr>
        <w:rFonts w:hint="default"/>
      </w:rPr>
    </w:lvl>
  </w:abstractNum>
  <w:abstractNum w:abstractNumId="1">
    <w:nsid w:val="92FEED52"/>
    <w:multiLevelType w:val="singleLevel"/>
    <w:tmpl w:val="92FEED52"/>
    <w:lvl w:ilvl="0" w:tentative="0">
      <w:start w:val="1"/>
      <w:numFmt w:val="decimal"/>
      <w:lvlText w:val="(%1)"/>
      <w:lvlJc w:val="left"/>
      <w:pPr>
        <w:ind w:left="425" w:hanging="425"/>
      </w:pPr>
      <w:rPr>
        <w:rFonts w:hint="default"/>
      </w:rPr>
    </w:lvl>
  </w:abstractNum>
  <w:abstractNum w:abstractNumId="2">
    <w:nsid w:val="973DD820"/>
    <w:multiLevelType w:val="multilevel"/>
    <w:tmpl w:val="973DD820"/>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A0647C4F"/>
    <w:multiLevelType w:val="multilevel"/>
    <w:tmpl w:val="A0647C4F"/>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BE7AECDF"/>
    <w:multiLevelType w:val="singleLevel"/>
    <w:tmpl w:val="BE7AECDF"/>
    <w:lvl w:ilvl="0" w:tentative="0">
      <w:start w:val="1"/>
      <w:numFmt w:val="decimal"/>
      <w:lvlText w:val="(%1)"/>
      <w:lvlJc w:val="left"/>
      <w:pPr>
        <w:ind w:left="425" w:hanging="425"/>
      </w:pPr>
      <w:rPr>
        <w:rFonts w:hint="default"/>
      </w:rPr>
    </w:lvl>
  </w:abstractNum>
  <w:abstractNum w:abstractNumId="5">
    <w:nsid w:val="CD806B66"/>
    <w:multiLevelType w:val="singleLevel"/>
    <w:tmpl w:val="CD806B66"/>
    <w:lvl w:ilvl="0" w:tentative="0">
      <w:start w:val="1"/>
      <w:numFmt w:val="decimal"/>
      <w:lvlText w:val="(%1)"/>
      <w:lvlJc w:val="left"/>
      <w:pPr>
        <w:ind w:left="425" w:hanging="425"/>
      </w:pPr>
      <w:rPr>
        <w:rFonts w:hint="default"/>
      </w:rPr>
    </w:lvl>
  </w:abstractNum>
  <w:abstractNum w:abstractNumId="6">
    <w:nsid w:val="DB1C88D8"/>
    <w:multiLevelType w:val="singleLevel"/>
    <w:tmpl w:val="DB1C88D8"/>
    <w:lvl w:ilvl="0" w:tentative="0">
      <w:start w:val="1"/>
      <w:numFmt w:val="decimal"/>
      <w:lvlText w:val="%1."/>
      <w:lvlJc w:val="left"/>
      <w:pPr>
        <w:tabs>
          <w:tab w:val="left" w:pos="312"/>
        </w:tabs>
      </w:pPr>
    </w:lvl>
  </w:abstractNum>
  <w:abstractNum w:abstractNumId="7">
    <w:nsid w:val="FCC59B67"/>
    <w:multiLevelType w:val="singleLevel"/>
    <w:tmpl w:val="FCC59B67"/>
    <w:lvl w:ilvl="0" w:tentative="0">
      <w:start w:val="1"/>
      <w:numFmt w:val="decimal"/>
      <w:lvlText w:val="(%1)"/>
      <w:lvlJc w:val="left"/>
      <w:pPr>
        <w:ind w:left="425" w:hanging="425"/>
      </w:pPr>
      <w:rPr>
        <w:rFonts w:hint="default"/>
      </w:rPr>
    </w:lvl>
  </w:abstractNum>
  <w:abstractNum w:abstractNumId="8">
    <w:nsid w:val="0B973F85"/>
    <w:multiLevelType w:val="multilevel"/>
    <w:tmpl w:val="0B973F85"/>
    <w:lvl w:ilvl="0" w:tentative="0">
      <w:start w:val="1"/>
      <w:numFmt w:val="chineseCountingThousand"/>
      <w:lvlText w:val="(%1)"/>
      <w:lvlJc w:val="left"/>
      <w:pPr>
        <w:tabs>
          <w:tab w:val="left" w:pos="425"/>
        </w:tabs>
        <w:ind w:left="425" w:hanging="425"/>
      </w:pPr>
      <w:rPr>
        <w:rFonts w:hint="eastAsia"/>
        <w:sz w:val="21"/>
        <w:szCs w:val="21"/>
      </w:rPr>
    </w:lvl>
    <w:lvl w:ilvl="1" w:tentative="0">
      <w:start w:val="1"/>
      <w:numFmt w:val="upperLetter"/>
      <w:lvlText w:val="%23.1"/>
      <w:lvlJc w:val="left"/>
      <w:pPr>
        <w:tabs>
          <w:tab w:val="left" w:pos="992"/>
        </w:tabs>
        <w:ind w:left="992" w:hanging="567"/>
      </w:pPr>
      <w:rPr>
        <w:rFonts w:hint="eastAsia"/>
      </w:rPr>
    </w:lvl>
    <w:lvl w:ilvl="2" w:tentative="0">
      <w:start w:val="1"/>
      <w:numFmt w:val="decimal"/>
      <w:lvlText w:val="3.%3"/>
      <w:lvlJc w:val="left"/>
      <w:pPr>
        <w:tabs>
          <w:tab w:val="left" w:pos="1418"/>
        </w:tabs>
        <w:ind w:left="1418" w:hanging="567"/>
      </w:pPr>
      <w:rPr>
        <w:rFonts w:hint="eastAsia"/>
      </w:rPr>
    </w:lvl>
    <w:lvl w:ilvl="3" w:tentative="0">
      <w:start w:val="1"/>
      <w:numFmt w:val="decimal"/>
      <w:lvlText w:val="%2"/>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149490AF"/>
    <w:multiLevelType w:val="singleLevel"/>
    <w:tmpl w:val="149490AF"/>
    <w:lvl w:ilvl="0" w:tentative="0">
      <w:start w:val="1"/>
      <w:numFmt w:val="decimal"/>
      <w:lvlText w:val="(%1)"/>
      <w:lvlJc w:val="left"/>
      <w:pPr>
        <w:ind w:left="425" w:hanging="425"/>
      </w:pPr>
      <w:rPr>
        <w:rFonts w:hint="default"/>
      </w:rPr>
    </w:lvl>
  </w:abstractNum>
  <w:abstractNum w:abstractNumId="10">
    <w:nsid w:val="16A32F38"/>
    <w:multiLevelType w:val="multilevel"/>
    <w:tmpl w:val="16A32F38"/>
    <w:lvl w:ilvl="0" w:tentative="0">
      <w:start w:val="1"/>
      <w:numFmt w:val="japaneseCounting"/>
      <w:lvlText w:val="第%1条"/>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2D6A2507"/>
    <w:multiLevelType w:val="singleLevel"/>
    <w:tmpl w:val="2D6A2507"/>
    <w:lvl w:ilvl="0" w:tentative="0">
      <w:start w:val="1"/>
      <w:numFmt w:val="decimal"/>
      <w:lvlText w:val="(%1)"/>
      <w:lvlJc w:val="left"/>
      <w:pPr>
        <w:ind w:left="425" w:hanging="425"/>
      </w:pPr>
      <w:rPr>
        <w:rFonts w:hint="default"/>
      </w:rPr>
    </w:lvl>
  </w:abstractNum>
  <w:abstractNum w:abstractNumId="12">
    <w:nsid w:val="301B1AF1"/>
    <w:multiLevelType w:val="singleLevel"/>
    <w:tmpl w:val="301B1AF1"/>
    <w:lvl w:ilvl="0" w:tentative="0">
      <w:start w:val="1"/>
      <w:numFmt w:val="decimal"/>
      <w:lvlText w:val="(%1)"/>
      <w:lvlJc w:val="left"/>
      <w:pPr>
        <w:ind w:left="425" w:hanging="425"/>
      </w:pPr>
      <w:rPr>
        <w:rFonts w:hint="default"/>
      </w:rPr>
    </w:lvl>
  </w:abstractNum>
  <w:abstractNum w:abstractNumId="13">
    <w:nsid w:val="570C9FE6"/>
    <w:multiLevelType w:val="singleLevel"/>
    <w:tmpl w:val="570C9FE6"/>
    <w:lvl w:ilvl="0" w:tentative="0">
      <w:start w:val="1"/>
      <w:numFmt w:val="decimal"/>
      <w:lvlText w:val="(%1)"/>
      <w:lvlJc w:val="left"/>
      <w:pPr>
        <w:ind w:left="425" w:hanging="425"/>
      </w:pPr>
      <w:rPr>
        <w:rFonts w:hint="default"/>
      </w:rPr>
    </w:lvl>
  </w:abstractNum>
  <w:abstractNum w:abstractNumId="14">
    <w:nsid w:val="57AD89C1"/>
    <w:multiLevelType w:val="singleLevel"/>
    <w:tmpl w:val="57AD89C1"/>
    <w:lvl w:ilvl="0" w:tentative="0">
      <w:start w:val="4"/>
      <w:numFmt w:val="decimal"/>
      <w:suff w:val="nothing"/>
      <w:lvlText w:val="%1."/>
      <w:lvlJc w:val="left"/>
    </w:lvl>
  </w:abstractNum>
  <w:abstractNum w:abstractNumId="15">
    <w:nsid w:val="6A3DEC23"/>
    <w:multiLevelType w:val="singleLevel"/>
    <w:tmpl w:val="6A3DEC23"/>
    <w:lvl w:ilvl="0" w:tentative="0">
      <w:start w:val="1"/>
      <w:numFmt w:val="decimal"/>
      <w:lvlText w:val="(%1)"/>
      <w:lvlJc w:val="left"/>
      <w:pPr>
        <w:ind w:left="425" w:hanging="425"/>
      </w:pPr>
      <w:rPr>
        <w:rFonts w:hint="default"/>
      </w:rPr>
    </w:lvl>
  </w:abstractNum>
  <w:abstractNum w:abstractNumId="16">
    <w:nsid w:val="6BDA4796"/>
    <w:multiLevelType w:val="singleLevel"/>
    <w:tmpl w:val="6BDA4796"/>
    <w:lvl w:ilvl="0" w:tentative="0">
      <w:start w:val="1"/>
      <w:numFmt w:val="decimal"/>
      <w:lvlText w:val="(%1)"/>
      <w:lvlJc w:val="left"/>
      <w:pPr>
        <w:ind w:left="425" w:hanging="425"/>
      </w:pPr>
      <w:rPr>
        <w:rFonts w:hint="default"/>
      </w:rPr>
    </w:lvl>
  </w:abstractNum>
  <w:abstractNum w:abstractNumId="17">
    <w:nsid w:val="6E9C984D"/>
    <w:multiLevelType w:val="singleLevel"/>
    <w:tmpl w:val="6E9C984D"/>
    <w:lvl w:ilvl="0" w:tentative="0">
      <w:start w:val="1"/>
      <w:numFmt w:val="decimal"/>
      <w:suff w:val="space"/>
      <w:lvlText w:val="%1."/>
      <w:lvlJc w:val="left"/>
    </w:lvl>
  </w:abstractNum>
  <w:abstractNum w:abstractNumId="18">
    <w:nsid w:val="6EBA6A3C"/>
    <w:multiLevelType w:val="singleLevel"/>
    <w:tmpl w:val="6EBA6A3C"/>
    <w:lvl w:ilvl="0" w:tentative="0">
      <w:start w:val="1"/>
      <w:numFmt w:val="decimal"/>
      <w:suff w:val="space"/>
      <w:lvlText w:val="%1."/>
      <w:lvlJc w:val="left"/>
    </w:lvl>
  </w:abstractNum>
  <w:abstractNum w:abstractNumId="19">
    <w:nsid w:val="75BB5789"/>
    <w:multiLevelType w:val="singleLevel"/>
    <w:tmpl w:val="75BB5789"/>
    <w:lvl w:ilvl="0" w:tentative="0">
      <w:start w:val="1"/>
      <w:numFmt w:val="decimal"/>
      <w:lvlText w:val="(%1)"/>
      <w:lvlJc w:val="left"/>
      <w:pPr>
        <w:ind w:left="425" w:hanging="425"/>
      </w:pPr>
      <w:rPr>
        <w:rFonts w:hint="default"/>
      </w:rPr>
    </w:lvl>
  </w:abstractNum>
  <w:abstractNum w:abstractNumId="20">
    <w:nsid w:val="7A1A81EF"/>
    <w:multiLevelType w:val="multilevel"/>
    <w:tmpl w:val="7A1A81EF"/>
    <w:lvl w:ilvl="0" w:tentative="0">
      <w:start w:val="1"/>
      <w:numFmt w:val="decimal"/>
      <w:lvlText w:val="%1."/>
      <w:lvlJc w:val="left"/>
      <w:pPr>
        <w:ind w:left="425" w:hanging="425"/>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18"/>
  </w:num>
  <w:num w:numId="2">
    <w:abstractNumId w:val="20"/>
  </w:num>
  <w:num w:numId="3">
    <w:abstractNumId w:val="3"/>
  </w:num>
  <w:num w:numId="4">
    <w:abstractNumId w:val="15"/>
  </w:num>
  <w:num w:numId="5">
    <w:abstractNumId w:val="19"/>
  </w:num>
  <w:num w:numId="6">
    <w:abstractNumId w:val="16"/>
  </w:num>
  <w:num w:numId="7">
    <w:abstractNumId w:val="4"/>
  </w:num>
  <w:num w:numId="8">
    <w:abstractNumId w:val="7"/>
  </w:num>
  <w:num w:numId="9">
    <w:abstractNumId w:val="9"/>
  </w:num>
  <w:num w:numId="10">
    <w:abstractNumId w:val="0"/>
  </w:num>
  <w:num w:numId="11">
    <w:abstractNumId w:val="17"/>
  </w:num>
  <w:num w:numId="12">
    <w:abstractNumId w:val="2"/>
  </w:num>
  <w:num w:numId="13">
    <w:abstractNumId w:val="11"/>
  </w:num>
  <w:num w:numId="14">
    <w:abstractNumId w:val="5"/>
  </w:num>
  <w:num w:numId="15">
    <w:abstractNumId w:val="13"/>
  </w:num>
  <w:num w:numId="16">
    <w:abstractNumId w:val="1"/>
  </w:num>
  <w:num w:numId="17">
    <w:abstractNumId w:val="10"/>
  </w:num>
  <w:num w:numId="18">
    <w:abstractNumId w:val="14"/>
  </w:num>
  <w:num w:numId="19">
    <w:abstractNumId w:val="12"/>
  </w:num>
  <w:num w:numId="20">
    <w:abstractNumId w:val="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A5Y2Y5ZjA0MTI3MDAzNGM1ZjMwOTg3MDE0YjRiNmIifQ=="/>
  </w:docVars>
  <w:rsids>
    <w:rsidRoot w:val="00000000"/>
    <w:rsid w:val="01866D1F"/>
    <w:rsid w:val="02096ED9"/>
    <w:rsid w:val="04254C1F"/>
    <w:rsid w:val="05111F73"/>
    <w:rsid w:val="067B57E2"/>
    <w:rsid w:val="07A0475C"/>
    <w:rsid w:val="07D621E2"/>
    <w:rsid w:val="08986B20"/>
    <w:rsid w:val="08C77F05"/>
    <w:rsid w:val="09F614BE"/>
    <w:rsid w:val="0B12230C"/>
    <w:rsid w:val="0B674587"/>
    <w:rsid w:val="0BEE2A77"/>
    <w:rsid w:val="0CD90540"/>
    <w:rsid w:val="0D15073F"/>
    <w:rsid w:val="0F696C6D"/>
    <w:rsid w:val="11F72B09"/>
    <w:rsid w:val="14A405FA"/>
    <w:rsid w:val="16FE05E2"/>
    <w:rsid w:val="1B0F0EC3"/>
    <w:rsid w:val="1B266237"/>
    <w:rsid w:val="1B5B5A5C"/>
    <w:rsid w:val="1B9273FE"/>
    <w:rsid w:val="1C154FCD"/>
    <w:rsid w:val="1ED70577"/>
    <w:rsid w:val="1FD46237"/>
    <w:rsid w:val="20DA787E"/>
    <w:rsid w:val="21B23A18"/>
    <w:rsid w:val="21EE54FF"/>
    <w:rsid w:val="22A85759"/>
    <w:rsid w:val="22C9231D"/>
    <w:rsid w:val="24A73F1B"/>
    <w:rsid w:val="24B43B82"/>
    <w:rsid w:val="25DD6DAB"/>
    <w:rsid w:val="2622149E"/>
    <w:rsid w:val="267E514F"/>
    <w:rsid w:val="26F176CF"/>
    <w:rsid w:val="28550131"/>
    <w:rsid w:val="29FB2A69"/>
    <w:rsid w:val="2B3719C5"/>
    <w:rsid w:val="2B777AB1"/>
    <w:rsid w:val="2D3F3214"/>
    <w:rsid w:val="2E374561"/>
    <w:rsid w:val="2E9B2E4E"/>
    <w:rsid w:val="2F542EF1"/>
    <w:rsid w:val="30744ECD"/>
    <w:rsid w:val="30907F59"/>
    <w:rsid w:val="30F27CC7"/>
    <w:rsid w:val="31F938DC"/>
    <w:rsid w:val="366623F9"/>
    <w:rsid w:val="378269D8"/>
    <w:rsid w:val="38665811"/>
    <w:rsid w:val="39535FC7"/>
    <w:rsid w:val="3A3A0F35"/>
    <w:rsid w:val="3C0E4427"/>
    <w:rsid w:val="3D9B618F"/>
    <w:rsid w:val="3EA03A5D"/>
    <w:rsid w:val="3EA34660"/>
    <w:rsid w:val="3F2C130C"/>
    <w:rsid w:val="3F9D7F9C"/>
    <w:rsid w:val="40377B31"/>
    <w:rsid w:val="410B7187"/>
    <w:rsid w:val="4114603C"/>
    <w:rsid w:val="43923B90"/>
    <w:rsid w:val="447D52A7"/>
    <w:rsid w:val="447F4114"/>
    <w:rsid w:val="450944AF"/>
    <w:rsid w:val="450B1A87"/>
    <w:rsid w:val="45E8154C"/>
    <w:rsid w:val="4676240A"/>
    <w:rsid w:val="47A74DC1"/>
    <w:rsid w:val="47D7202F"/>
    <w:rsid w:val="480F17F3"/>
    <w:rsid w:val="4A313F97"/>
    <w:rsid w:val="4B69167A"/>
    <w:rsid w:val="4FF26A8A"/>
    <w:rsid w:val="525766D1"/>
    <w:rsid w:val="55E0078B"/>
    <w:rsid w:val="55EE7B38"/>
    <w:rsid w:val="578C7BC8"/>
    <w:rsid w:val="58BC103B"/>
    <w:rsid w:val="593863AA"/>
    <w:rsid w:val="59BA1165"/>
    <w:rsid w:val="5A5E6A84"/>
    <w:rsid w:val="5C7F2AAC"/>
    <w:rsid w:val="5F955B7F"/>
    <w:rsid w:val="60FB0B6F"/>
    <w:rsid w:val="62A32E82"/>
    <w:rsid w:val="62D179A7"/>
    <w:rsid w:val="63A85457"/>
    <w:rsid w:val="63C705E7"/>
    <w:rsid w:val="645B6A79"/>
    <w:rsid w:val="67473665"/>
    <w:rsid w:val="67970A42"/>
    <w:rsid w:val="67D05125"/>
    <w:rsid w:val="69945C1F"/>
    <w:rsid w:val="6A5D6C72"/>
    <w:rsid w:val="6C2B7952"/>
    <w:rsid w:val="6D0713BD"/>
    <w:rsid w:val="6DDA4B34"/>
    <w:rsid w:val="6E326EC5"/>
    <w:rsid w:val="6E8E4DD0"/>
    <w:rsid w:val="6F20398A"/>
    <w:rsid w:val="6F9E1043"/>
    <w:rsid w:val="6FD43509"/>
    <w:rsid w:val="705F5FCE"/>
    <w:rsid w:val="71B72890"/>
    <w:rsid w:val="73081ADA"/>
    <w:rsid w:val="73AA445A"/>
    <w:rsid w:val="7430760E"/>
    <w:rsid w:val="749D7922"/>
    <w:rsid w:val="75F9363C"/>
    <w:rsid w:val="766905FD"/>
    <w:rsid w:val="76D11CFE"/>
    <w:rsid w:val="79EF253F"/>
    <w:rsid w:val="7B346CFF"/>
    <w:rsid w:val="7C2F7BF3"/>
    <w:rsid w:val="7EE36A72"/>
    <w:rsid w:val="7F623E3B"/>
    <w:rsid w:val="7FE65A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6" w:lineRule="auto"/>
      <w:outlineLvl w:val="0"/>
    </w:pPr>
    <w:rPr>
      <w:b/>
      <w:bCs/>
      <w:kern w:val="44"/>
      <w:sz w:val="44"/>
      <w:szCs w:val="44"/>
    </w:rPr>
  </w:style>
  <w:style w:type="paragraph" w:styleId="3">
    <w:name w:val="heading 2"/>
    <w:basedOn w:val="1"/>
    <w:next w:val="1"/>
    <w:link w:val="31"/>
    <w:qFormat/>
    <w:uiPriority w:val="0"/>
    <w:pPr>
      <w:keepNext/>
      <w:keepLines/>
      <w:spacing w:before="260" w:beforeLines="0" w:after="260" w:afterLines="0" w:line="415" w:lineRule="auto"/>
      <w:outlineLvl w:val="1"/>
    </w:pPr>
    <w:rPr>
      <w:rFonts w:ascii="Arial" w:hAnsi="Arial" w:eastAsia="黑体"/>
      <w:b/>
      <w:bCs/>
      <w:kern w:val="2"/>
      <w:sz w:val="32"/>
      <w:szCs w:val="32"/>
      <w:lang w:val="en-US" w:eastAsia="zh-CN" w:bidi="ar-SA"/>
    </w:rPr>
  </w:style>
  <w:style w:type="paragraph" w:styleId="4">
    <w:name w:val="heading 3"/>
    <w:basedOn w:val="1"/>
    <w:next w:val="1"/>
    <w:autoRedefine/>
    <w:qFormat/>
    <w:uiPriority w:val="0"/>
    <w:pPr>
      <w:keepNext/>
      <w:keepLines/>
      <w:spacing w:line="360" w:lineRule="auto"/>
      <w:outlineLvl w:val="2"/>
    </w:pPr>
    <w:rPr>
      <w:rFonts w:cs="Times New Roman"/>
      <w:b/>
      <w:bCs/>
    </w:rPr>
  </w:style>
  <w:style w:type="character" w:default="1" w:styleId="19">
    <w:name w:val="Default Paragraph Font"/>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5">
    <w:name w:val="Normal Indent"/>
    <w:basedOn w:val="1"/>
    <w:autoRedefine/>
    <w:qFormat/>
    <w:uiPriority w:val="0"/>
    <w:pPr>
      <w:ind w:firstLine="420" w:firstLineChars="200"/>
    </w:pPr>
    <w:rPr>
      <w:szCs w:val="20"/>
    </w:rPr>
  </w:style>
  <w:style w:type="paragraph" w:styleId="6">
    <w:name w:val="Body Text"/>
    <w:basedOn w:val="1"/>
    <w:next w:val="1"/>
    <w:autoRedefine/>
    <w:qFormat/>
    <w:uiPriority w:val="99"/>
    <w:pPr>
      <w:adjustRightInd w:val="0"/>
      <w:spacing w:after="60" w:line="360" w:lineRule="atLeast"/>
      <w:ind w:left="72" w:leftChars="30" w:right="30" w:rightChars="30"/>
      <w:jc w:val="center"/>
      <w:textAlignment w:val="baseline"/>
    </w:pPr>
    <w:rPr>
      <w:rFonts w:ascii="Calibri" w:hAnsi="Calibri" w:eastAsia="宋体" w:cs="Times New Roman"/>
      <w:szCs w:val="22"/>
    </w:rPr>
  </w:style>
  <w:style w:type="paragraph" w:styleId="7">
    <w:name w:val="List 2"/>
    <w:basedOn w:val="1"/>
    <w:autoRedefine/>
    <w:qFormat/>
    <w:uiPriority w:val="0"/>
    <w:pPr>
      <w:ind w:left="100" w:leftChars="200" w:hanging="200" w:hangingChars="200"/>
      <w:contextualSpacing/>
    </w:pPr>
  </w:style>
  <w:style w:type="paragraph" w:styleId="8">
    <w:name w:val="List Continue"/>
    <w:basedOn w:val="1"/>
    <w:autoRedefine/>
    <w:qFormat/>
    <w:uiPriority w:val="0"/>
    <w:pPr>
      <w:widowControl/>
      <w:spacing w:before="100" w:beforeAutospacing="1" w:after="100" w:afterAutospacing="1"/>
      <w:jc w:val="left"/>
    </w:pPr>
    <w:rPr>
      <w:kern w:val="0"/>
      <w:sz w:val="24"/>
    </w:rPr>
  </w:style>
  <w:style w:type="paragraph" w:styleId="9">
    <w:name w:val="toc 5"/>
    <w:basedOn w:val="1"/>
    <w:next w:val="1"/>
    <w:qFormat/>
    <w:uiPriority w:val="39"/>
    <w:pPr>
      <w:ind w:left="840"/>
      <w:jc w:val="left"/>
    </w:pPr>
    <w:rPr>
      <w:sz w:val="18"/>
      <w:szCs w:val="18"/>
    </w:rPr>
  </w:style>
  <w:style w:type="paragraph" w:styleId="10">
    <w:name w:val="Plain Text"/>
    <w:basedOn w:val="1"/>
    <w:next w:val="9"/>
    <w:autoRedefine/>
    <w:unhideWhenUsed/>
    <w:qFormat/>
    <w:uiPriority w:val="99"/>
    <w:rPr>
      <w:rFonts w:ascii="宋体" w:hAnsi="Courier New" w:eastAsia="宋体"/>
      <w:kern w:val="2"/>
      <w:sz w:val="19"/>
      <w:lang w:val="en-US" w:eastAsia="zh-CN" w:bidi="ar-SA"/>
    </w:rPr>
  </w:style>
  <w:style w:type="paragraph" w:styleId="11">
    <w:name w:val="Body Text Indent 2"/>
    <w:basedOn w:val="1"/>
    <w:next w:val="10"/>
    <w:autoRedefine/>
    <w:unhideWhenUsed/>
    <w:qFormat/>
    <w:uiPriority w:val="99"/>
    <w:pPr>
      <w:ind w:firstLine="570"/>
    </w:pPr>
    <w:rPr>
      <w:sz w:val="32"/>
    </w:r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14">
    <w:name w:val="toc 1"/>
    <w:basedOn w:val="1"/>
    <w:next w:val="1"/>
    <w:autoRedefine/>
    <w:qFormat/>
    <w:uiPriority w:val="39"/>
    <w:pPr>
      <w:spacing w:line="500" w:lineRule="exact"/>
    </w:pPr>
  </w:style>
  <w:style w:type="paragraph" w:styleId="15">
    <w:name w:val="toc 2"/>
    <w:basedOn w:val="1"/>
    <w:next w:val="1"/>
    <w:autoRedefine/>
    <w:unhideWhenUsed/>
    <w:qFormat/>
    <w:uiPriority w:val="39"/>
    <w:pPr>
      <w:ind w:left="420" w:leftChars="200"/>
    </w:pPr>
  </w:style>
  <w:style w:type="paragraph" w:styleId="16">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17">
    <w:name w:val="Body Text First Indent"/>
    <w:basedOn w:val="6"/>
    <w:next w:val="1"/>
    <w:autoRedefine/>
    <w:qFormat/>
    <w:uiPriority w:val="0"/>
    <w:pPr>
      <w:ind w:firstLine="420" w:firstLineChars="100"/>
    </w:pPr>
    <w:rPr>
      <w:rFonts w:eastAsia="仿宋_GB2312"/>
      <w:sz w:val="28"/>
    </w:rPr>
  </w:style>
  <w:style w:type="character" w:styleId="20">
    <w:name w:val="Strong"/>
    <w:basedOn w:val="19"/>
    <w:qFormat/>
    <w:uiPriority w:val="0"/>
    <w:rPr>
      <w:b/>
      <w:bCs/>
    </w:rPr>
  </w:style>
  <w:style w:type="character" w:styleId="21">
    <w:name w:val="FollowedHyperlink"/>
    <w:basedOn w:val="19"/>
    <w:qFormat/>
    <w:uiPriority w:val="0"/>
    <w:rPr>
      <w:color w:val="1F3149"/>
      <w:u w:val="none"/>
    </w:rPr>
  </w:style>
  <w:style w:type="character" w:styleId="22">
    <w:name w:val="HTML Definition"/>
    <w:basedOn w:val="19"/>
    <w:qFormat/>
    <w:uiPriority w:val="0"/>
    <w:rPr>
      <w:i/>
      <w:iCs/>
    </w:rPr>
  </w:style>
  <w:style w:type="character" w:styleId="23">
    <w:name w:val="Hyperlink"/>
    <w:basedOn w:val="19"/>
    <w:autoRedefine/>
    <w:qFormat/>
    <w:uiPriority w:val="0"/>
    <w:rPr>
      <w:color w:val="136EC2"/>
      <w:u w:val="single"/>
    </w:rPr>
  </w:style>
  <w:style w:type="character" w:styleId="24">
    <w:name w:val="HTML Code"/>
    <w:basedOn w:val="19"/>
    <w:qFormat/>
    <w:uiPriority w:val="0"/>
    <w:rPr>
      <w:rFonts w:hint="default" w:ascii="Consolas" w:hAnsi="Consolas" w:eastAsia="Consolas" w:cs="Consolas"/>
      <w:color w:val="C7254E"/>
      <w:sz w:val="21"/>
      <w:szCs w:val="21"/>
      <w:shd w:val="clear" w:fill="F9F2F4"/>
    </w:rPr>
  </w:style>
  <w:style w:type="character" w:styleId="25">
    <w:name w:val="HTML Keyboard"/>
    <w:basedOn w:val="19"/>
    <w:qFormat/>
    <w:uiPriority w:val="0"/>
    <w:rPr>
      <w:rFonts w:ascii="Consolas" w:hAnsi="Consolas" w:eastAsia="Consolas" w:cs="Consolas"/>
      <w:color w:val="FFFFFF"/>
      <w:sz w:val="21"/>
      <w:szCs w:val="21"/>
      <w:shd w:val="clear" w:fill="333333"/>
    </w:rPr>
  </w:style>
  <w:style w:type="character" w:styleId="26">
    <w:name w:val="HTML Sample"/>
    <w:basedOn w:val="19"/>
    <w:qFormat/>
    <w:uiPriority w:val="0"/>
    <w:rPr>
      <w:rFonts w:hint="default" w:ascii="Consolas" w:hAnsi="Consolas" w:eastAsia="Consolas" w:cs="Consolas"/>
      <w:sz w:val="21"/>
      <w:szCs w:val="21"/>
    </w:rPr>
  </w:style>
  <w:style w:type="paragraph" w:customStyle="1" w:styleId="27">
    <w:name w:val="style4"/>
    <w:basedOn w:val="28"/>
    <w:next w:val="29"/>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28">
    <w:name w:val="正文_0"/>
    <w:basedOn w:val="1"/>
    <w:next w:val="17"/>
    <w:autoRedefine/>
    <w:qFormat/>
    <w:uiPriority w:val="0"/>
    <w:rPr>
      <w:rFonts w:ascii="Times New Roman" w:hAnsi="Times New Roman"/>
    </w:rPr>
  </w:style>
  <w:style w:type="paragraph" w:customStyle="1" w:styleId="29">
    <w:name w:val="2"/>
    <w:basedOn w:val="1"/>
    <w:next w:val="1"/>
    <w:autoRedefine/>
    <w:qFormat/>
    <w:uiPriority w:val="0"/>
    <w:rPr>
      <w:rFonts w:ascii="Times New Roman" w:hAnsi="Times New Roman"/>
      <w:kern w:val="0"/>
    </w:rPr>
  </w:style>
  <w:style w:type="paragraph" w:customStyle="1" w:styleId="30">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1">
    <w:name w:val="标题 2 Char"/>
    <w:link w:val="3"/>
    <w:autoRedefine/>
    <w:qFormat/>
    <w:uiPriority w:val="0"/>
    <w:rPr>
      <w:rFonts w:ascii="Arial" w:hAnsi="Arial" w:eastAsia="黑体"/>
      <w:b/>
      <w:bCs/>
      <w:kern w:val="2"/>
      <w:sz w:val="32"/>
      <w:szCs w:val="32"/>
      <w:lang w:val="en-US" w:eastAsia="zh-CN" w:bidi="ar-SA"/>
    </w:rPr>
  </w:style>
  <w:style w:type="character" w:customStyle="1" w:styleId="32">
    <w:name w:val="l_1"/>
    <w:basedOn w:val="19"/>
    <w:qFormat/>
    <w:uiPriority w:val="0"/>
  </w:style>
  <w:style w:type="character" w:customStyle="1" w:styleId="33">
    <w:name w:val="icon_dljg"/>
    <w:basedOn w:val="19"/>
    <w:qFormat/>
    <w:uiPriority w:val="0"/>
  </w:style>
  <w:style w:type="character" w:customStyle="1" w:styleId="34">
    <w:name w:val="l_9"/>
    <w:basedOn w:val="19"/>
    <w:qFormat/>
    <w:uiPriority w:val="0"/>
  </w:style>
  <w:style w:type="character" w:customStyle="1" w:styleId="35">
    <w:name w:val="l_91"/>
    <w:basedOn w:val="19"/>
    <w:qFormat/>
    <w:uiPriority w:val="0"/>
  </w:style>
  <w:style w:type="character" w:customStyle="1" w:styleId="36">
    <w:name w:val="l_3"/>
    <w:basedOn w:val="19"/>
    <w:qFormat/>
    <w:uiPriority w:val="0"/>
  </w:style>
  <w:style w:type="character" w:customStyle="1" w:styleId="37">
    <w:name w:val="l_13"/>
    <w:basedOn w:val="19"/>
    <w:qFormat/>
    <w:uiPriority w:val="0"/>
  </w:style>
  <w:style w:type="character" w:customStyle="1" w:styleId="38">
    <w:name w:val="icon_cxktbr"/>
    <w:basedOn w:val="19"/>
    <w:qFormat/>
    <w:uiPriority w:val="0"/>
  </w:style>
  <w:style w:type="character" w:customStyle="1" w:styleId="39">
    <w:name w:val="icon_cxkcyry"/>
    <w:basedOn w:val="19"/>
    <w:qFormat/>
    <w:uiPriority w:val="0"/>
  </w:style>
  <w:style w:type="character" w:customStyle="1" w:styleId="40">
    <w:name w:val="m-text"/>
    <w:basedOn w:val="19"/>
    <w:qFormat/>
    <w:uiPriority w:val="0"/>
  </w:style>
  <w:style w:type="character" w:customStyle="1" w:styleId="41">
    <w:name w:val="icon_gzkj"/>
    <w:basedOn w:val="19"/>
    <w:qFormat/>
    <w:uiPriority w:val="0"/>
  </w:style>
  <w:style w:type="character" w:customStyle="1" w:styleId="42">
    <w:name w:val="l_0"/>
    <w:basedOn w:val="19"/>
    <w:qFormat/>
    <w:uiPriority w:val="0"/>
  </w:style>
  <w:style w:type="character" w:customStyle="1" w:styleId="43">
    <w:name w:val="l_2"/>
    <w:basedOn w:val="19"/>
    <w:qFormat/>
    <w:uiPriority w:val="0"/>
  </w:style>
  <w:style w:type="character" w:customStyle="1" w:styleId="44">
    <w:name w:val="l_8"/>
    <w:basedOn w:val="19"/>
    <w:qFormat/>
    <w:uiPriority w:val="0"/>
  </w:style>
  <w:style w:type="character" w:customStyle="1" w:styleId="45">
    <w:name w:val="icon_xglc"/>
    <w:basedOn w:val="19"/>
    <w:qFormat/>
    <w:uiPriority w:val="0"/>
  </w:style>
  <w:style w:type="character" w:customStyle="1" w:styleId="46">
    <w:name w:val="l_7"/>
    <w:basedOn w:val="19"/>
    <w:qFormat/>
    <w:uiPriority w:val="0"/>
  </w:style>
  <w:style w:type="character" w:customStyle="1" w:styleId="47">
    <w:name w:val="l_71"/>
    <w:basedOn w:val="19"/>
    <w:qFormat/>
    <w:uiPriority w:val="0"/>
  </w:style>
  <w:style w:type="character" w:customStyle="1" w:styleId="48">
    <w:name w:val="l_4"/>
    <w:basedOn w:val="19"/>
    <w:qFormat/>
    <w:uiPriority w:val="0"/>
  </w:style>
  <w:style w:type="character" w:customStyle="1" w:styleId="49">
    <w:name w:val="l_41"/>
    <w:basedOn w:val="19"/>
    <w:qFormat/>
    <w:uiPriority w:val="0"/>
  </w:style>
  <w:style w:type="character" w:customStyle="1" w:styleId="50">
    <w:name w:val="l_5"/>
    <w:basedOn w:val="19"/>
    <w:qFormat/>
    <w:uiPriority w:val="0"/>
  </w:style>
  <w:style w:type="character" w:customStyle="1" w:styleId="51">
    <w:name w:val="icon_lzrz"/>
    <w:basedOn w:val="19"/>
    <w:qFormat/>
    <w:uiPriority w:val="0"/>
  </w:style>
  <w:style w:type="character" w:customStyle="1" w:styleId="52">
    <w:name w:val="layui-laypage-curr"/>
    <w:basedOn w:val="19"/>
    <w:qFormat/>
    <w:uiPriority w:val="0"/>
  </w:style>
  <w:style w:type="character" w:customStyle="1" w:styleId="53">
    <w:name w:val="l_11"/>
    <w:basedOn w:val="19"/>
    <w:qFormat/>
    <w:uiPriority w:val="0"/>
  </w:style>
  <w:style w:type="character" w:customStyle="1" w:styleId="54">
    <w:name w:val="l_15"/>
    <w:basedOn w:val="19"/>
    <w:qFormat/>
    <w:uiPriority w:val="0"/>
  </w:style>
  <w:style w:type="character" w:customStyle="1" w:styleId="55">
    <w:name w:val="color-blue"/>
    <w:basedOn w:val="19"/>
    <w:qFormat/>
    <w:uiPriority w:val="0"/>
    <w:rPr>
      <w:color w:val="1890FF"/>
      <w:sz w:val="14"/>
      <w:szCs w:val="14"/>
      <w:bdr w:val="single" w:color="1890FF" w:sz="4" w:space="0"/>
    </w:rPr>
  </w:style>
  <w:style w:type="character" w:customStyle="1" w:styleId="56">
    <w:name w:val="color-yellow"/>
    <w:basedOn w:val="19"/>
    <w:qFormat/>
    <w:uiPriority w:val="0"/>
    <w:rPr>
      <w:color w:val="FAAD14"/>
      <w:sz w:val="14"/>
      <w:szCs w:val="14"/>
      <w:bdr w:val="single" w:color="FAAD14" w:sz="4" w:space="0"/>
    </w:rPr>
  </w:style>
  <w:style w:type="character" w:customStyle="1" w:styleId="57">
    <w:name w:val="color-yellow1"/>
    <w:basedOn w:val="19"/>
    <w:qFormat/>
    <w:uiPriority w:val="0"/>
    <w:rPr>
      <w:color w:val="FAAD14"/>
      <w:sz w:val="14"/>
      <w:szCs w:val="14"/>
      <w:bdr w:val="single" w:color="FAAD14" w:sz="4" w:space="0"/>
    </w:rPr>
  </w:style>
  <w:style w:type="character" w:customStyle="1" w:styleId="58">
    <w:name w:val="l_12"/>
    <w:basedOn w:val="19"/>
    <w:qFormat/>
    <w:uiPriority w:val="0"/>
  </w:style>
  <w:style w:type="character" w:customStyle="1" w:styleId="59">
    <w:name w:val="l_121"/>
    <w:basedOn w:val="19"/>
    <w:qFormat/>
    <w:uiPriority w:val="0"/>
  </w:style>
  <w:style w:type="character" w:customStyle="1" w:styleId="60">
    <w:name w:val="first-child1"/>
    <w:basedOn w:val="19"/>
    <w:qFormat/>
    <w:uiPriority w:val="0"/>
  </w:style>
  <w:style w:type="character" w:customStyle="1" w:styleId="61">
    <w:name w:val="l_6"/>
    <w:basedOn w:val="19"/>
    <w:qFormat/>
    <w:uiPriority w:val="0"/>
  </w:style>
  <w:style w:type="character" w:customStyle="1" w:styleId="62">
    <w:name w:val="l_61"/>
    <w:basedOn w:val="19"/>
    <w:qFormat/>
    <w:uiPriority w:val="0"/>
  </w:style>
  <w:style w:type="character" w:customStyle="1" w:styleId="63">
    <w:name w:val="l_10"/>
    <w:basedOn w:val="19"/>
    <w:qFormat/>
    <w:uiPriority w:val="0"/>
  </w:style>
  <w:style w:type="character" w:customStyle="1" w:styleId="64">
    <w:name w:val="l_101"/>
    <w:basedOn w:val="19"/>
    <w:qFormat/>
    <w:uiPriority w:val="0"/>
  </w:style>
  <w:style w:type="character" w:customStyle="1" w:styleId="65">
    <w:name w:val="l_14"/>
    <w:basedOn w:val="19"/>
    <w:qFormat/>
    <w:uiPriority w:val="0"/>
  </w:style>
  <w:style w:type="character" w:customStyle="1" w:styleId="66">
    <w:name w:val="l_141"/>
    <w:basedOn w:val="19"/>
    <w:qFormat/>
    <w:uiPriority w:val="0"/>
  </w:style>
  <w:style w:type="character" w:customStyle="1" w:styleId="67">
    <w:name w:val="icon_xzry"/>
    <w:basedOn w:val="19"/>
    <w:qFormat/>
    <w:uiPriority w:val="0"/>
  </w:style>
  <w:style w:type="character" w:customStyle="1" w:styleId="68">
    <w:name w:val="color_cdyy"/>
    <w:basedOn w:val="19"/>
    <w:qFormat/>
    <w:uiPriority w:val="0"/>
    <w:rPr>
      <w:color w:val="FFFFFF"/>
      <w:bdr w:val="single" w:color="FFFFFF" w:sz="4" w:space="0"/>
    </w:rPr>
  </w:style>
  <w:style w:type="paragraph" w:customStyle="1" w:styleId="69">
    <w:name w:val="无间隔1"/>
    <w:basedOn w:val="1"/>
    <w:qFormat/>
    <w:uiPriority w:val="99"/>
    <w:pPr>
      <w:spacing w:line="400" w:lineRule="exact"/>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248</Words>
  <Characters>277</Characters>
  <Lines>0</Lines>
  <Paragraphs>0</Paragraphs>
  <TotalTime>2</TotalTime>
  <ScaleCrop>false</ScaleCrop>
  <LinksUpToDate>false</LinksUpToDate>
  <CharactersWithSpaces>320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2024-04-09T05:34:00Z</dcterms:created>
  <dc:creator>Lenovo</dc:creator>
  <cp:lastModifiedBy>°</cp:lastModifiedBy>
  <dcterms:modified xsi:type="dcterms:W3CDTF">2025-05-27T03:06:53Z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D61EE0B86F2C4318BA35CA998163D69D_13</vt:lpwstr>
  </property>
  <property fmtid="{D5CDD505-2E9C-101B-9397-08002B2CF9AE}" pid="4" name="KSOTemplateDocerSaveRecord">
    <vt:lpwstr>eyJoZGlkIjoiYzA5Y2Y5ZjA0MTI3MDAzNGM1ZjMwOTg3MDE0YjRiNmIiLCJ1c2VySWQiOiIzMDc2MzM3NzEifQ==</vt:lpwstr>
  </property>
</Properties>
</file>