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37B6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1.专家评审结果及其他供应商未成交信息告知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p w14:paraId="2BD351EF"/>
    <w:p w14:paraId="13D38CBC">
      <w:r>
        <w:drawing>
          <wp:inline distT="0" distB="0" distL="114300" distR="114300">
            <wp:extent cx="5265420" cy="1842770"/>
            <wp:effectExtent l="0" t="0" r="190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32E3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无效标或废标情况:无</w:t>
      </w:r>
    </w:p>
    <w:p w14:paraId="055EFAC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采购人依法确定第一成交候选人为本项目成交人。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1569E"/>
    <w:rsid w:val="549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2025-10-30T12:58:00Z</dcterms:created>
  <dc:creator>nsw23</dc:creator>
  <cp:lastModifiedBy>盛宏咨询</cp:lastModifiedBy>
  <dcterms:modified xsi:type="dcterms:W3CDTF">2025-10-30T14:11:20Z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eyJoZGlkIjoiNjdlODgxMGI5Yzg3MjZlOGMzZTU4NTc1ZGRiMWEwZmIiLCJ1c2VySWQiOiIxMDYzNTA3NTUwIn0=</vt:lpwstr>
  </property>
  <property fmtid="{D5CDD505-2E9C-101B-9397-08002B2CF9AE}" pid="4" name="ICV">
    <vt:lpwstr>C16C23049481499AA2FEC7FEDAAC511F_12</vt:lpwstr>
  </property>
</Properties>
</file>