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A2DD1">
      <w:pPr>
        <w:tabs>
          <w:tab w:val="left" w:pos="315"/>
          <w:tab w:val="left" w:pos="8820"/>
        </w:tabs>
        <w:spacing w:line="500" w:lineRule="exact"/>
        <w:ind w:right="267" w:rightChars="127"/>
        <w:jc w:val="center"/>
        <w:rPr>
          <w:rFonts w:ascii="仿宋_GB2312" w:eastAsia="仿宋_GB2312"/>
          <w:sz w:val="24"/>
        </w:rPr>
      </w:pPr>
    </w:p>
    <w:p w14:paraId="587C89A2">
      <w:pPr>
        <w:tabs>
          <w:tab w:val="left" w:pos="315"/>
          <w:tab w:val="left" w:pos="8820"/>
        </w:tabs>
        <w:ind w:right="267" w:rightChars="127"/>
        <w:rPr>
          <w:rFonts w:ascii="仿宋_GB2312" w:eastAsia="仿宋_GB2312"/>
          <w:sz w:val="24"/>
        </w:rPr>
      </w:pPr>
    </w:p>
    <w:p w14:paraId="3CB8FC78">
      <w:pPr>
        <w:tabs>
          <w:tab w:val="left" w:pos="315"/>
          <w:tab w:val="left" w:pos="8820"/>
        </w:tabs>
        <w:spacing w:line="500" w:lineRule="exact"/>
        <w:ind w:right="267" w:rightChars="127"/>
        <w:rPr>
          <w:rFonts w:ascii="仿宋_GB2312" w:eastAsia="仿宋_GB2312"/>
          <w:b/>
          <w:bCs/>
          <w:sz w:val="24"/>
        </w:rPr>
      </w:pPr>
    </w:p>
    <w:p w14:paraId="39D338BC">
      <w:pPr>
        <w:tabs>
          <w:tab w:val="left" w:pos="315"/>
          <w:tab w:val="left" w:pos="8820"/>
        </w:tabs>
        <w:spacing w:line="500" w:lineRule="exact"/>
        <w:ind w:right="267" w:rightChars="127"/>
        <w:jc w:val="center"/>
        <w:rPr>
          <w:rFonts w:ascii="微软简标宋" w:eastAsia="黑体"/>
          <w:b/>
          <w:bCs/>
          <w:sz w:val="24"/>
        </w:rPr>
      </w:pPr>
    </w:p>
    <w:p w14:paraId="3E4FF874">
      <w:pPr>
        <w:pStyle w:val="35"/>
        <w:ind w:firstLine="210"/>
      </w:pPr>
    </w:p>
    <w:p w14:paraId="4D188C7C">
      <w:pPr>
        <w:pStyle w:val="35"/>
        <w:ind w:firstLine="210"/>
      </w:pPr>
    </w:p>
    <w:p w14:paraId="7FD583BB">
      <w:pPr>
        <w:pStyle w:val="35"/>
        <w:ind w:firstLine="210"/>
      </w:pPr>
    </w:p>
    <w:p w14:paraId="78271F23">
      <w:pPr>
        <w:pStyle w:val="35"/>
        <w:ind w:firstLine="210"/>
      </w:pPr>
      <w:r>
        <w:rPr>
          <w:rFonts w:hint="eastAsia" w:ascii="宋体" w:hAnsi="宋体" w:cs="Arial Unicode MS"/>
          <w:b/>
          <w:bCs/>
          <w:sz w:val="32"/>
          <w:szCs w:val="32"/>
        </w:rPr>
        <w:t>周口市住房公积金管理中心公积金数据治理服务项目</w:t>
      </w:r>
    </w:p>
    <w:p w14:paraId="2083E71D">
      <w:pPr>
        <w:pStyle w:val="35"/>
        <w:ind w:firstLine="210"/>
      </w:pPr>
    </w:p>
    <w:p w14:paraId="14359CDA">
      <w:pPr>
        <w:spacing w:before="13" w:line="360" w:lineRule="auto"/>
        <w:ind w:right="23"/>
        <w:jc w:val="center"/>
        <w:rPr>
          <w:rFonts w:ascii="宋体" w:hAnsi="宋体" w:cs="Arial Unicode MS"/>
          <w:b/>
          <w:bCs/>
          <w:sz w:val="32"/>
          <w:szCs w:val="32"/>
        </w:rPr>
      </w:pPr>
      <w:r>
        <w:rPr>
          <w:rFonts w:hint="eastAsia" w:ascii="宋体" w:hAnsi="宋体" w:cs="Arial Unicode MS"/>
          <w:b/>
          <w:bCs/>
          <w:sz w:val="32"/>
          <w:szCs w:val="32"/>
          <w:lang w:val="en-US" w:eastAsia="zh-CN"/>
        </w:rPr>
        <w:t>采购需求</w:t>
      </w:r>
      <w:r>
        <w:rPr>
          <w:rFonts w:hint="eastAsia" w:ascii="宋体" w:hAnsi="宋体" w:cs="Arial Unicode MS"/>
          <w:b/>
          <w:bCs/>
          <w:sz w:val="32"/>
          <w:szCs w:val="32"/>
        </w:rPr>
        <w:t>与评分标准</w:t>
      </w:r>
    </w:p>
    <w:p w14:paraId="33C46A5A">
      <w:pPr>
        <w:pStyle w:val="35"/>
        <w:ind w:firstLine="240"/>
        <w:rPr>
          <w:sz w:val="24"/>
        </w:rPr>
      </w:pPr>
    </w:p>
    <w:p w14:paraId="166EF9CB">
      <w:pPr>
        <w:pStyle w:val="35"/>
        <w:ind w:firstLine="240"/>
        <w:rPr>
          <w:sz w:val="24"/>
        </w:rPr>
      </w:pPr>
    </w:p>
    <w:p w14:paraId="3535BF04">
      <w:pPr>
        <w:pStyle w:val="35"/>
        <w:ind w:firstLine="240"/>
        <w:rPr>
          <w:sz w:val="24"/>
        </w:rPr>
      </w:pPr>
    </w:p>
    <w:p w14:paraId="60157D07">
      <w:pPr>
        <w:pStyle w:val="35"/>
        <w:ind w:firstLine="240"/>
        <w:rPr>
          <w:sz w:val="24"/>
        </w:rPr>
      </w:pPr>
    </w:p>
    <w:p w14:paraId="102977A4">
      <w:pPr>
        <w:pStyle w:val="35"/>
        <w:ind w:firstLine="240"/>
        <w:rPr>
          <w:sz w:val="24"/>
        </w:rPr>
      </w:pPr>
    </w:p>
    <w:p w14:paraId="154B333F">
      <w:pPr>
        <w:pStyle w:val="35"/>
        <w:ind w:firstLine="240"/>
        <w:rPr>
          <w:sz w:val="24"/>
        </w:rPr>
      </w:pPr>
    </w:p>
    <w:p w14:paraId="09C6753D">
      <w:pPr>
        <w:pStyle w:val="35"/>
        <w:ind w:firstLine="240"/>
        <w:rPr>
          <w:sz w:val="24"/>
        </w:rPr>
      </w:pPr>
    </w:p>
    <w:p w14:paraId="2ED1D8A0">
      <w:pPr>
        <w:pStyle w:val="35"/>
        <w:ind w:firstLine="240"/>
        <w:rPr>
          <w:sz w:val="24"/>
        </w:rPr>
      </w:pPr>
    </w:p>
    <w:p w14:paraId="45449E3B">
      <w:pPr>
        <w:pStyle w:val="35"/>
        <w:ind w:firstLine="240"/>
        <w:rPr>
          <w:sz w:val="24"/>
        </w:rPr>
      </w:pPr>
    </w:p>
    <w:p w14:paraId="18A4E004">
      <w:pPr>
        <w:pStyle w:val="35"/>
        <w:ind w:firstLine="240"/>
        <w:rPr>
          <w:sz w:val="24"/>
        </w:rPr>
      </w:pPr>
    </w:p>
    <w:p w14:paraId="1EA1CFC9">
      <w:pPr>
        <w:pStyle w:val="35"/>
        <w:ind w:firstLine="240"/>
        <w:rPr>
          <w:sz w:val="24"/>
        </w:rPr>
      </w:pPr>
    </w:p>
    <w:p w14:paraId="5E831774">
      <w:pPr>
        <w:pStyle w:val="2"/>
        <w:jc w:val="center"/>
        <w:rPr>
          <w:sz w:val="24"/>
          <w:szCs w:val="24"/>
        </w:rPr>
      </w:pPr>
      <w:r>
        <w:rPr>
          <w:rFonts w:hint="eastAsia" w:ascii="仿宋_GB2312" w:eastAsia="仿宋_GB2312"/>
          <w:sz w:val="24"/>
          <w:szCs w:val="24"/>
        </w:rPr>
        <w:br w:type="page"/>
      </w:r>
      <w:bookmarkStart w:id="0" w:name="_Toc93065424"/>
    </w:p>
    <w:bookmarkEnd w:id="0"/>
    <w:p w14:paraId="3690CC36">
      <w:pPr>
        <w:pStyle w:val="2"/>
        <w:spacing w:before="200" w:after="200" w:line="360" w:lineRule="auto"/>
        <w:rPr>
          <w:rFonts w:hint="eastAsia"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 xml:space="preserve">第一章 </w:t>
      </w:r>
      <w:r>
        <w:rPr>
          <w:rFonts w:hint="eastAsia" w:ascii="Times New Roman" w:hAnsi="Times New Roman" w:eastAsia="宋体" w:cs="Times New Roman"/>
          <w:sz w:val="24"/>
          <w:szCs w:val="24"/>
        </w:rPr>
        <w:t>服务需求</w:t>
      </w:r>
    </w:p>
    <w:p w14:paraId="5A580E72">
      <w:pPr>
        <w:pStyle w:val="61"/>
        <w:numPr>
          <w:ilvl w:val="0"/>
          <w:numId w:val="1"/>
        </w:numPr>
        <w:spacing w:before="13" w:line="360" w:lineRule="auto"/>
        <w:ind w:right="20" w:firstLineChars="0"/>
        <w:rPr>
          <w:rFonts w:ascii="宋体" w:hAnsi="宋体" w:cs="Arial Unicode MS"/>
          <w:b/>
          <w:bCs/>
          <w:sz w:val="24"/>
        </w:rPr>
      </w:pPr>
      <w:r>
        <w:rPr>
          <w:rFonts w:hint="eastAsia" w:ascii="宋体" w:hAnsi="宋体" w:cs="Arial Unicode MS"/>
          <w:b/>
          <w:bCs/>
          <w:sz w:val="24"/>
          <w:lang w:val="en-US" w:eastAsia="zh-CN"/>
        </w:rPr>
        <w:t>项目名称</w:t>
      </w:r>
    </w:p>
    <w:p w14:paraId="274A2DE1">
      <w:pPr>
        <w:spacing w:before="13" w:line="360" w:lineRule="auto"/>
        <w:ind w:right="23" w:firstLine="480" w:firstLineChars="200"/>
        <w:rPr>
          <w:rFonts w:ascii="宋体" w:hAnsi="宋体" w:cs="Arial Unicode MS"/>
          <w:b/>
          <w:bCs/>
          <w:sz w:val="24"/>
        </w:rPr>
      </w:pPr>
      <w:r>
        <w:rPr>
          <w:rFonts w:hint="eastAsia" w:ascii="宋体" w:hAnsi="宋体" w:eastAsia="宋体" w:cs="Arial Unicode MS"/>
          <w:sz w:val="24"/>
          <w:lang w:val="en-US" w:eastAsia="zh-CN"/>
        </w:rPr>
        <w:t>周口市住房公积金管理中心公积金数据治理服务项目</w:t>
      </w:r>
    </w:p>
    <w:p w14:paraId="4036716D">
      <w:pPr>
        <w:pStyle w:val="61"/>
        <w:numPr>
          <w:ilvl w:val="0"/>
          <w:numId w:val="1"/>
        </w:numPr>
        <w:spacing w:before="13" w:line="360" w:lineRule="auto"/>
        <w:ind w:right="20" w:firstLineChars="0"/>
        <w:rPr>
          <w:rFonts w:ascii="宋体" w:hAnsi="宋体" w:cs="Arial Unicode MS"/>
          <w:b/>
          <w:bCs/>
          <w:sz w:val="24"/>
        </w:rPr>
      </w:pPr>
      <w:r>
        <w:rPr>
          <w:rFonts w:hint="eastAsia" w:ascii="宋体" w:hAnsi="宋体" w:cs="Arial Unicode MS"/>
          <w:b/>
          <w:bCs/>
          <w:sz w:val="24"/>
          <w:lang w:val="en-US" w:eastAsia="zh-CN"/>
        </w:rPr>
        <w:t>项目预算</w:t>
      </w:r>
    </w:p>
    <w:p w14:paraId="5A29187F">
      <w:pPr>
        <w:spacing w:before="13" w:line="360" w:lineRule="auto"/>
        <w:ind w:right="23" w:firstLine="480" w:firstLineChars="200"/>
        <w:rPr>
          <w:rFonts w:hint="eastAsia" w:ascii="宋体" w:hAnsi="宋体" w:eastAsia="宋体" w:cs="Arial Unicode MS"/>
          <w:sz w:val="24"/>
          <w:lang w:val="en-US" w:eastAsia="zh-CN"/>
        </w:rPr>
      </w:pPr>
      <w:r>
        <w:rPr>
          <w:rFonts w:hint="eastAsia" w:ascii="宋体" w:hAnsi="宋体" w:eastAsia="宋体" w:cs="Arial Unicode MS"/>
          <w:sz w:val="24"/>
          <w:lang w:val="en-US" w:eastAsia="zh-CN"/>
        </w:rPr>
        <w:t>本项目预算为30万元。</w:t>
      </w:r>
    </w:p>
    <w:p w14:paraId="7DACCB9D">
      <w:pPr>
        <w:pStyle w:val="61"/>
        <w:numPr>
          <w:ilvl w:val="0"/>
          <w:numId w:val="1"/>
        </w:numPr>
        <w:spacing w:before="13" w:line="360" w:lineRule="auto"/>
        <w:ind w:right="20" w:firstLineChars="0"/>
        <w:rPr>
          <w:rFonts w:ascii="宋体" w:hAnsi="宋体" w:cs="Arial Unicode MS"/>
          <w:b/>
          <w:bCs/>
          <w:sz w:val="24"/>
        </w:rPr>
      </w:pPr>
      <w:r>
        <w:rPr>
          <w:rFonts w:hint="eastAsia" w:ascii="宋体" w:hAnsi="宋体" w:cs="Arial Unicode MS"/>
          <w:b/>
          <w:bCs/>
          <w:sz w:val="24"/>
        </w:rPr>
        <w:t>项目背景</w:t>
      </w:r>
    </w:p>
    <w:p w14:paraId="093FD7EB">
      <w:pPr>
        <w:spacing w:before="13" w:line="360" w:lineRule="auto"/>
        <w:ind w:right="23" w:firstLine="480" w:firstLineChars="200"/>
        <w:rPr>
          <w:rFonts w:hint="eastAsia" w:ascii="宋体" w:hAnsi="宋体" w:eastAsia="宋体" w:cs="Arial Unicode MS"/>
          <w:sz w:val="24"/>
          <w:lang w:val="en-US" w:eastAsia="zh-CN"/>
        </w:rPr>
      </w:pPr>
      <w:r>
        <w:rPr>
          <w:rFonts w:hint="eastAsia" w:ascii="宋体" w:hAnsi="宋体" w:eastAsia="宋体" w:cs="Arial Unicode MS"/>
          <w:sz w:val="24"/>
          <w:lang w:val="en-US" w:eastAsia="zh-CN"/>
        </w:rPr>
        <w:t>2022年12月，住房城乡建设部印发《住房和城乡建设部关于加快住房公积金数字化发展的指导意见》（以下简称“数字化发展指导意见”），提出要健全共享利用的数据资源体系，并从以下几个方面对健全住房公积金数据资源体系提出了指导意见：全面加强数据治理。强化各级住房公积金管理机构数据管理职责，建立健全多主体协同的数据治理机制，提升数据治理水平和管理能力。加强数据全生命周期质量管理，确保数据真实、准确、完整。住房公积金管理中心要落实数据管理主体责任，规范数据采集，提高新产生数据的质量，开展存量数据质量提升工作，运用技术手段增强数据校核纠错能力，重点做好规范数据语义、补全数据缺项、纠正错误数据等工作。</w:t>
      </w:r>
    </w:p>
    <w:p w14:paraId="413DBE2A">
      <w:pPr>
        <w:spacing w:before="13" w:line="360" w:lineRule="auto"/>
        <w:ind w:right="23" w:firstLine="480" w:firstLineChars="200"/>
        <w:rPr>
          <w:rFonts w:hint="default" w:ascii="宋体" w:hAnsi="宋体" w:eastAsia="宋体" w:cs="Arial Unicode MS"/>
          <w:sz w:val="24"/>
          <w:lang w:val="en-US" w:eastAsia="zh-CN"/>
        </w:rPr>
      </w:pPr>
      <w:r>
        <w:rPr>
          <w:rFonts w:hint="eastAsia" w:ascii="宋体" w:hAnsi="宋体" w:eastAsia="宋体" w:cs="Arial Unicode MS"/>
          <w:sz w:val="24"/>
          <w:lang w:val="en-US" w:eastAsia="zh-CN"/>
        </w:rPr>
        <w:t>周口市住房公积金管理中心积极贯彻落实住建部工作部署，结合中心实际业务情况、业务协同等需求，开展数据治理相关项目建设，并取得了很大的成效。为持续提升中心数据质量，现拟采购周口市住房公积金管理中心公积金数据治理服务项目。</w:t>
      </w:r>
    </w:p>
    <w:p w14:paraId="178EAB1A">
      <w:pPr>
        <w:pStyle w:val="61"/>
        <w:numPr>
          <w:ilvl w:val="0"/>
          <w:numId w:val="1"/>
        </w:numPr>
        <w:spacing w:before="13" w:line="360" w:lineRule="auto"/>
        <w:ind w:right="20" w:firstLineChars="0"/>
        <w:rPr>
          <w:rFonts w:ascii="宋体" w:hAnsi="宋体" w:cs="Arial Unicode MS"/>
          <w:b/>
          <w:bCs/>
          <w:sz w:val="24"/>
        </w:rPr>
      </w:pPr>
      <w:r>
        <w:rPr>
          <w:rFonts w:hint="eastAsia" w:ascii="宋体" w:hAnsi="宋体" w:cs="Arial Unicode MS"/>
          <w:b/>
          <w:bCs/>
          <w:sz w:val="24"/>
          <w:lang w:val="en-US" w:eastAsia="zh-CN"/>
        </w:rPr>
        <w:t>服务内容要求</w:t>
      </w:r>
    </w:p>
    <w:p w14:paraId="1DBB6CFB">
      <w:pPr>
        <w:numPr>
          <w:ilvl w:val="0"/>
          <w:numId w:val="2"/>
        </w:numPr>
        <w:spacing w:before="13" w:line="360" w:lineRule="auto"/>
        <w:ind w:left="0" w:leftChars="0" w:right="23" w:firstLine="420" w:firstLineChars="0"/>
        <w:rPr>
          <w:rFonts w:hint="eastAsia" w:ascii="宋体" w:hAnsi="宋体" w:eastAsia="宋体" w:cs="Arial Unicode MS"/>
          <w:sz w:val="24"/>
          <w:lang w:val="en-US" w:eastAsia="zh-CN"/>
        </w:rPr>
      </w:pPr>
      <w:r>
        <w:rPr>
          <w:rFonts w:hint="eastAsia" w:ascii="宋体" w:hAnsi="宋体" w:eastAsia="宋体" w:cs="Arial Unicode MS"/>
          <w:sz w:val="24"/>
          <w:lang w:val="en-US" w:eastAsia="zh-CN"/>
        </w:rPr>
        <w:t>提供定期数据质量检核服务</w:t>
      </w:r>
    </w:p>
    <w:p w14:paraId="2509F093">
      <w:pPr>
        <w:spacing w:before="13" w:line="360" w:lineRule="auto"/>
        <w:ind w:right="23" w:firstLine="480" w:firstLineChars="200"/>
        <w:rPr>
          <w:rFonts w:hint="default" w:ascii="宋体" w:hAnsi="宋体" w:eastAsia="宋体" w:cs="Arial Unicode MS"/>
          <w:sz w:val="24"/>
          <w:lang w:val="en-US" w:eastAsia="zh-CN"/>
        </w:rPr>
      </w:pPr>
      <w:r>
        <w:rPr>
          <w:rFonts w:hint="eastAsia" w:ascii="宋体" w:hAnsi="宋体" w:eastAsia="宋体" w:cs="Arial Unicode MS"/>
          <w:sz w:val="24"/>
          <w:lang w:val="en-US" w:eastAsia="zh-CN"/>
        </w:rPr>
        <w:t>结合周口市住房公积金管理中心数据治理需求，采用数据质检工具，定期对中心数据质量进行检核，并输出《数据质量检核报告》。服务次数不少于</w:t>
      </w:r>
      <w:r>
        <w:rPr>
          <w:rFonts w:hint="eastAsia" w:ascii="宋体" w:hAnsi="宋体" w:cs="Arial Unicode MS"/>
          <w:sz w:val="24"/>
          <w:lang w:val="en-US" w:eastAsia="zh-CN"/>
        </w:rPr>
        <w:t>2</w:t>
      </w:r>
      <w:r>
        <w:rPr>
          <w:rFonts w:hint="eastAsia" w:ascii="宋体" w:hAnsi="宋体" w:eastAsia="宋体" w:cs="Arial Unicode MS"/>
          <w:sz w:val="24"/>
          <w:lang w:val="en-US" w:eastAsia="zh-CN"/>
        </w:rPr>
        <w:t>次。</w:t>
      </w:r>
    </w:p>
    <w:p w14:paraId="40223247">
      <w:pPr>
        <w:numPr>
          <w:ilvl w:val="0"/>
          <w:numId w:val="2"/>
        </w:numPr>
        <w:spacing w:before="13" w:line="360" w:lineRule="auto"/>
        <w:ind w:left="0" w:leftChars="0" w:right="23" w:firstLine="420" w:firstLineChars="0"/>
        <w:rPr>
          <w:rFonts w:hint="eastAsia" w:ascii="宋体" w:hAnsi="宋体" w:eastAsia="宋体" w:cs="Arial Unicode MS"/>
          <w:sz w:val="24"/>
          <w:lang w:val="en-US" w:eastAsia="zh-CN"/>
        </w:rPr>
      </w:pPr>
      <w:r>
        <w:rPr>
          <w:rFonts w:hint="eastAsia" w:ascii="宋体" w:hAnsi="宋体" w:eastAsia="宋体" w:cs="Arial Unicode MS"/>
          <w:sz w:val="24"/>
          <w:lang w:val="en-US" w:eastAsia="zh-CN"/>
        </w:rPr>
        <w:t>提供问题解析及整改清单服务</w:t>
      </w:r>
      <w:r>
        <w:rPr>
          <w:rFonts w:hint="eastAsia" w:ascii="宋体" w:hAnsi="宋体" w:eastAsia="宋体" w:cs="Arial Unicode MS"/>
          <w:sz w:val="24"/>
          <w:lang w:val="en-US" w:eastAsia="zh-CN"/>
        </w:rPr>
        <w:tab/>
      </w:r>
    </w:p>
    <w:p w14:paraId="087B5B4C">
      <w:pPr>
        <w:spacing w:before="13" w:line="360" w:lineRule="auto"/>
        <w:ind w:right="23" w:firstLine="480" w:firstLineChars="200"/>
        <w:rPr>
          <w:rFonts w:hint="eastAsia" w:ascii="宋体" w:hAnsi="宋体" w:eastAsia="宋体" w:cs="Arial Unicode MS"/>
          <w:sz w:val="24"/>
          <w:lang w:val="en-US" w:eastAsia="zh-CN"/>
        </w:rPr>
      </w:pPr>
      <w:r>
        <w:rPr>
          <w:rFonts w:hint="eastAsia" w:ascii="宋体" w:hAnsi="宋体" w:eastAsia="宋体" w:cs="Arial Unicode MS"/>
          <w:sz w:val="24"/>
          <w:lang w:val="en-GB" w:eastAsia="zh-CN"/>
        </w:rPr>
        <w:t>结合《数据质量检核报告》分析问题数据整改方式，对问题数据进行分类</w:t>
      </w:r>
      <w:r>
        <w:rPr>
          <w:rFonts w:hint="eastAsia" w:ascii="宋体" w:hAnsi="宋体" w:eastAsia="宋体" w:cs="Arial Unicode MS"/>
          <w:sz w:val="24"/>
          <w:lang w:val="en-US" w:eastAsia="zh-CN"/>
        </w:rPr>
        <w:t>并</w:t>
      </w:r>
      <w:r>
        <w:rPr>
          <w:rFonts w:hint="eastAsia" w:ascii="宋体" w:hAnsi="宋体" w:eastAsia="宋体" w:cs="Arial Unicode MS"/>
          <w:sz w:val="24"/>
          <w:lang w:val="en-GB" w:eastAsia="zh-CN"/>
        </w:rPr>
        <w:t>提出处理措施建议。</w:t>
      </w:r>
      <w:r>
        <w:rPr>
          <w:rFonts w:hint="eastAsia" w:ascii="宋体" w:hAnsi="宋体" w:eastAsia="宋体" w:cs="Arial Unicode MS"/>
          <w:sz w:val="24"/>
          <w:lang w:val="en-US" w:eastAsia="zh-CN"/>
        </w:rPr>
        <w:t>服务次数不少于</w:t>
      </w:r>
      <w:r>
        <w:rPr>
          <w:rFonts w:hint="eastAsia" w:ascii="宋体" w:hAnsi="宋体" w:cs="Arial Unicode MS"/>
          <w:sz w:val="24"/>
          <w:lang w:val="en-US" w:eastAsia="zh-CN"/>
        </w:rPr>
        <w:t>2</w:t>
      </w:r>
      <w:r>
        <w:rPr>
          <w:rFonts w:hint="eastAsia" w:ascii="宋体" w:hAnsi="宋体" w:eastAsia="宋体" w:cs="Arial Unicode MS"/>
          <w:sz w:val="24"/>
          <w:lang w:val="en-US" w:eastAsia="zh-CN"/>
        </w:rPr>
        <w:t>次。</w:t>
      </w:r>
    </w:p>
    <w:p w14:paraId="444E01DF">
      <w:pPr>
        <w:numPr>
          <w:ilvl w:val="0"/>
          <w:numId w:val="2"/>
        </w:numPr>
        <w:spacing w:before="13" w:line="360" w:lineRule="auto"/>
        <w:ind w:left="0" w:leftChars="0" w:right="23" w:firstLine="420" w:firstLineChars="0"/>
        <w:rPr>
          <w:rFonts w:hint="eastAsia" w:ascii="宋体" w:hAnsi="宋体" w:eastAsia="宋体" w:cs="Arial Unicode MS"/>
          <w:sz w:val="24"/>
          <w:lang w:val="en-US" w:eastAsia="zh-CN"/>
        </w:rPr>
      </w:pPr>
      <w:r>
        <w:rPr>
          <w:rFonts w:hint="eastAsia" w:ascii="宋体" w:hAnsi="宋体" w:eastAsia="宋体" w:cs="Arial Unicode MS"/>
          <w:sz w:val="24"/>
          <w:lang w:val="en-US" w:eastAsia="zh-CN"/>
        </w:rPr>
        <w:t>提供问题数据技术整改服务</w:t>
      </w:r>
      <w:r>
        <w:rPr>
          <w:rFonts w:hint="eastAsia" w:ascii="宋体" w:hAnsi="宋体" w:eastAsia="宋体" w:cs="Arial Unicode MS"/>
          <w:sz w:val="24"/>
          <w:lang w:val="en-US" w:eastAsia="zh-CN"/>
        </w:rPr>
        <w:tab/>
      </w:r>
    </w:p>
    <w:p w14:paraId="541C0FB4">
      <w:pPr>
        <w:spacing w:before="13" w:line="360" w:lineRule="auto"/>
        <w:ind w:right="23" w:firstLine="480" w:firstLineChars="200"/>
        <w:rPr>
          <w:rFonts w:ascii="宋体" w:hAnsi="宋体" w:cs="Arial Unicode MS"/>
          <w:b/>
          <w:bCs/>
          <w:sz w:val="24"/>
        </w:rPr>
      </w:pPr>
      <w:r>
        <w:rPr>
          <w:rFonts w:hint="eastAsia" w:ascii="宋体" w:hAnsi="宋体" w:eastAsia="宋体" w:cs="Arial Unicode MS"/>
          <w:sz w:val="24"/>
          <w:lang w:val="en-US" w:eastAsia="zh-CN"/>
        </w:rPr>
        <w:t>结合问题数据整改方式，对具备技术整改条件的问题数据实施技术化整改修复。</w:t>
      </w:r>
    </w:p>
    <w:p w14:paraId="43472E86">
      <w:pPr>
        <w:pStyle w:val="61"/>
        <w:numPr>
          <w:ilvl w:val="0"/>
          <w:numId w:val="1"/>
        </w:numPr>
        <w:spacing w:before="13" w:line="360" w:lineRule="auto"/>
        <w:ind w:right="20" w:firstLineChars="0"/>
        <w:rPr>
          <w:rFonts w:ascii="宋体" w:hAnsi="宋体" w:cs="Arial Unicode MS"/>
          <w:b/>
          <w:bCs/>
          <w:sz w:val="24"/>
        </w:rPr>
      </w:pPr>
      <w:r>
        <w:rPr>
          <w:rFonts w:hint="eastAsia" w:ascii="宋体" w:hAnsi="宋体" w:cs="Arial Unicode MS"/>
          <w:b/>
          <w:bCs/>
          <w:sz w:val="24"/>
        </w:rPr>
        <w:t>商务要求</w:t>
      </w:r>
    </w:p>
    <w:p w14:paraId="1CD0B382">
      <w:pPr>
        <w:pStyle w:val="22"/>
        <w:numPr>
          <w:ilvl w:val="0"/>
          <w:numId w:val="3"/>
        </w:numPr>
        <w:spacing w:after="0" w:line="360" w:lineRule="auto"/>
        <w:rPr>
          <w:rStyle w:val="81"/>
          <w:rFonts w:cs="宋体"/>
        </w:rPr>
      </w:pPr>
      <w:bookmarkStart w:id="1" w:name="_Toc32941039"/>
      <w:r>
        <w:rPr>
          <w:rStyle w:val="81"/>
          <w:rFonts w:hint="eastAsia" w:cs="宋体"/>
        </w:rPr>
        <w:t>服务时间</w:t>
      </w:r>
      <w:bookmarkEnd w:id="1"/>
      <w:r>
        <w:rPr>
          <w:rStyle w:val="81"/>
          <w:rFonts w:hint="eastAsia" w:cs="宋体"/>
        </w:rPr>
        <w:t>：自合同签订后一年。</w:t>
      </w:r>
      <w:bookmarkStart w:id="3" w:name="_GoBack"/>
      <w:bookmarkEnd w:id="3"/>
    </w:p>
    <w:p w14:paraId="0D833A20">
      <w:pPr>
        <w:pStyle w:val="22"/>
        <w:numPr>
          <w:ilvl w:val="0"/>
          <w:numId w:val="3"/>
        </w:numPr>
        <w:spacing w:after="0" w:line="360" w:lineRule="auto"/>
        <w:rPr>
          <w:rStyle w:val="81"/>
          <w:rFonts w:cs="宋体"/>
        </w:rPr>
      </w:pPr>
      <w:r>
        <w:rPr>
          <w:rStyle w:val="81"/>
          <w:rFonts w:hint="eastAsia" w:cs="宋体"/>
        </w:rPr>
        <w:t>项目服务地点：采购方指定地点。</w:t>
      </w:r>
    </w:p>
    <w:p w14:paraId="500602C0">
      <w:pPr>
        <w:pStyle w:val="22"/>
        <w:numPr>
          <w:ilvl w:val="0"/>
          <w:numId w:val="3"/>
        </w:numPr>
        <w:spacing w:after="0" w:line="360" w:lineRule="auto"/>
        <w:rPr>
          <w:rStyle w:val="81"/>
          <w:rFonts w:cs="宋体"/>
        </w:rPr>
      </w:pPr>
      <w:bookmarkStart w:id="2" w:name="_Toc32941040"/>
      <w:r>
        <w:rPr>
          <w:rStyle w:val="81"/>
          <w:rFonts w:hint="eastAsia" w:cs="宋体"/>
        </w:rPr>
        <w:t>付款方式</w:t>
      </w:r>
      <w:bookmarkEnd w:id="2"/>
      <w:r>
        <w:rPr>
          <w:rStyle w:val="81"/>
          <w:rFonts w:hint="eastAsia" w:cs="宋体"/>
        </w:rPr>
        <w:t>：签订合同后，7个工作日内采购人支付1</w:t>
      </w:r>
      <w:r>
        <w:rPr>
          <w:rStyle w:val="81"/>
          <w:rFonts w:cs="宋体"/>
        </w:rPr>
        <w:t>00</w:t>
      </w:r>
      <w:r>
        <w:rPr>
          <w:rStyle w:val="81"/>
          <w:rFonts w:hint="eastAsia" w:cs="宋体"/>
        </w:rPr>
        <w:t>%合同金额。</w:t>
      </w:r>
    </w:p>
    <w:p w14:paraId="1F2E4821">
      <w:pPr>
        <w:spacing w:before="13" w:line="360" w:lineRule="auto"/>
        <w:ind w:left="210" w:leftChars="100" w:right="17" w:rightChars="8" w:firstLine="480"/>
        <w:rPr>
          <w:rFonts w:ascii="宋体" w:hAnsi="宋体" w:cs="Arial Unicode MS"/>
          <w:sz w:val="24"/>
        </w:rPr>
        <w:sectPr>
          <w:footerReference r:id="rId3" w:type="default"/>
          <w:footerReference r:id="rId4" w:type="even"/>
          <w:pgSz w:w="11907" w:h="16840"/>
          <w:pgMar w:top="1134" w:right="1191" w:bottom="1134" w:left="1304" w:header="964" w:footer="992" w:gutter="0"/>
          <w:pgNumType w:fmt="numberInDash"/>
          <w:cols w:space="720" w:num="1"/>
          <w:docGrid w:linePitch="381" w:charSpace="0"/>
        </w:sectPr>
      </w:pPr>
    </w:p>
    <w:p w14:paraId="4E82216A">
      <w:pPr>
        <w:pStyle w:val="2"/>
        <w:spacing w:before="200" w:after="200" w:line="360" w:lineRule="auto"/>
        <w:rPr>
          <w:sz w:val="24"/>
          <w:szCs w:val="24"/>
        </w:rPr>
      </w:pPr>
      <w:r>
        <w:rPr>
          <w:rFonts w:hint="eastAsia"/>
          <w:sz w:val="24"/>
          <w:szCs w:val="24"/>
        </w:rPr>
        <w:t>第二章 评标方法</w:t>
      </w:r>
    </w:p>
    <w:tbl>
      <w:tblPr>
        <w:tblStyle w:val="28"/>
        <w:tblpPr w:leftFromText="180" w:rightFromText="180" w:vertAnchor="text" w:tblpXSpec="center" w:tblpY="1"/>
        <w:tblOverlap w:val="never"/>
        <w:tblW w:w="50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1146"/>
        <w:gridCol w:w="6305"/>
        <w:gridCol w:w="694"/>
      </w:tblGrid>
      <w:tr w14:paraId="0696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3" w:type="pct"/>
            <w:tcBorders>
              <w:tl2br w:val="nil"/>
              <w:tr2bl w:val="nil"/>
            </w:tcBorders>
            <w:shd w:val="clear" w:color="auto" w:fill="auto"/>
            <w:vAlign w:val="center"/>
          </w:tcPr>
          <w:p w14:paraId="1C454A1C">
            <w:pPr>
              <w:wordWrap w:val="0"/>
              <w:jc w:val="center"/>
              <w:rPr>
                <w:rFonts w:hint="eastAsia"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序号</w:t>
            </w:r>
          </w:p>
        </w:tc>
        <w:tc>
          <w:tcPr>
            <w:tcW w:w="651" w:type="pct"/>
            <w:tcBorders>
              <w:tl2br w:val="nil"/>
              <w:tr2bl w:val="nil"/>
            </w:tcBorders>
            <w:shd w:val="clear" w:color="auto" w:fill="auto"/>
            <w:vAlign w:val="center"/>
          </w:tcPr>
          <w:p w14:paraId="2938E2EC">
            <w:pPr>
              <w:wordWrap w:val="0"/>
              <w:jc w:val="center"/>
              <w:rPr>
                <w:rFonts w:hint="eastAsia"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评审因素</w:t>
            </w:r>
          </w:p>
        </w:tc>
        <w:tc>
          <w:tcPr>
            <w:tcW w:w="3580" w:type="pct"/>
            <w:tcBorders>
              <w:tl2br w:val="nil"/>
              <w:tr2bl w:val="nil"/>
            </w:tcBorders>
            <w:shd w:val="clear" w:color="auto" w:fill="auto"/>
            <w:vAlign w:val="center"/>
          </w:tcPr>
          <w:p w14:paraId="06664DE8">
            <w:pPr>
              <w:wordWrap w:val="0"/>
              <w:jc w:val="center"/>
              <w:rPr>
                <w:rFonts w:hint="eastAsia"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评审细则</w:t>
            </w:r>
          </w:p>
        </w:tc>
        <w:tc>
          <w:tcPr>
            <w:tcW w:w="393" w:type="pct"/>
            <w:tcBorders>
              <w:tl2br w:val="nil"/>
              <w:tr2bl w:val="nil"/>
            </w:tcBorders>
            <w:shd w:val="clear" w:color="auto" w:fill="auto"/>
            <w:vAlign w:val="center"/>
          </w:tcPr>
          <w:p w14:paraId="1DC76C6A">
            <w:pPr>
              <w:wordWrap w:val="0"/>
              <w:jc w:val="center"/>
              <w:rPr>
                <w:rFonts w:hint="eastAsia" w:ascii="宋体" w:hAnsi="宋体"/>
                <w:b/>
                <w:bCs/>
                <w:color w:val="000000" w:themeColor="text1"/>
                <w:szCs w:val="21"/>
                <w14:textFill>
                  <w14:solidFill>
                    <w14:schemeClr w14:val="tx1"/>
                  </w14:solidFill>
                </w14:textFill>
              </w:rPr>
            </w:pPr>
            <w:r>
              <w:rPr>
                <w:rFonts w:hint="eastAsia" w:ascii="宋体" w:hAnsi="宋体"/>
                <w:b/>
                <w:bCs/>
                <w:color w:val="000000" w:themeColor="text1"/>
                <w:szCs w:val="21"/>
                <w14:textFill>
                  <w14:solidFill>
                    <w14:schemeClr w14:val="tx1"/>
                  </w14:solidFill>
                </w14:textFill>
              </w:rPr>
              <w:t>分值</w:t>
            </w:r>
          </w:p>
        </w:tc>
      </w:tr>
      <w:tr w14:paraId="03C5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gridSpan w:val="4"/>
            <w:tcBorders>
              <w:tl2br w:val="nil"/>
              <w:tr2bl w:val="nil"/>
            </w:tcBorders>
            <w:shd w:val="clear" w:color="auto" w:fill="auto"/>
            <w:vAlign w:val="center"/>
          </w:tcPr>
          <w:p w14:paraId="64755189">
            <w:pPr>
              <w:wordWrap w:val="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1.价格（10分）</w:t>
            </w:r>
          </w:p>
        </w:tc>
      </w:tr>
      <w:tr w14:paraId="1C02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373" w:type="pct"/>
            <w:tcBorders>
              <w:tl2br w:val="nil"/>
              <w:tr2bl w:val="nil"/>
            </w:tcBorders>
            <w:shd w:val="clear" w:color="auto" w:fill="auto"/>
            <w:vAlign w:val="center"/>
          </w:tcPr>
          <w:p w14:paraId="57549FAE">
            <w:pPr>
              <w:wordWrap w:val="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651" w:type="pct"/>
            <w:tcBorders>
              <w:tl2br w:val="nil"/>
              <w:tr2bl w:val="nil"/>
            </w:tcBorders>
            <w:shd w:val="clear" w:color="auto" w:fill="auto"/>
            <w:vAlign w:val="center"/>
          </w:tcPr>
          <w:p w14:paraId="647EA808">
            <w:pPr>
              <w:wordWrap w:val="0"/>
              <w:jc w:val="left"/>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价格</w:t>
            </w:r>
            <w:r>
              <w:rPr>
                <w:rFonts w:hint="eastAsia" w:ascii="宋体" w:hAnsi="宋体" w:eastAsia="宋体" w:cs="宋体"/>
                <w:color w:val="000000" w:themeColor="text1"/>
                <w:szCs w:val="21"/>
                <w:lang w:val="en-US" w:eastAsia="zh-CN"/>
                <w14:textFill>
                  <w14:solidFill>
                    <w14:schemeClr w14:val="tx1"/>
                  </w14:solidFill>
                </w14:textFill>
              </w:rPr>
              <w:t>分</w:t>
            </w:r>
          </w:p>
        </w:tc>
        <w:tc>
          <w:tcPr>
            <w:tcW w:w="3580" w:type="pct"/>
            <w:tcBorders>
              <w:tl2br w:val="nil"/>
              <w:tr2bl w:val="nil"/>
            </w:tcBorders>
            <w:shd w:val="clear" w:color="auto" w:fill="auto"/>
            <w:vAlign w:val="center"/>
          </w:tcPr>
          <w:p w14:paraId="4D668E9B">
            <w:pPr>
              <w:jc w:val="left"/>
              <w:rPr>
                <w:rFonts w:hint="eastAsia" w:ascii="宋体" w:hAnsi="宋体" w:eastAsia="宋体" w:cs="宋体"/>
                <w:szCs w:val="21"/>
              </w:rPr>
            </w:pPr>
            <w:r>
              <w:rPr>
                <w:rFonts w:hint="eastAsia" w:ascii="宋体" w:hAnsi="宋体" w:eastAsia="宋体" w:cs="宋体"/>
                <w:szCs w:val="21"/>
              </w:rPr>
              <w:t>采用低价优先法计算，即满足招标文件要求且</w:t>
            </w:r>
            <w:r>
              <w:rPr>
                <w:rFonts w:hint="eastAsia" w:ascii="宋体" w:hAnsi="宋体" w:eastAsia="宋体" w:cs="宋体"/>
                <w:szCs w:val="21"/>
                <w:lang w:val="en-US" w:eastAsia="zh-CN"/>
              </w:rPr>
              <w:t>响应</w:t>
            </w:r>
            <w:r>
              <w:rPr>
                <w:rFonts w:hint="eastAsia" w:ascii="宋体" w:hAnsi="宋体" w:eastAsia="宋体" w:cs="宋体"/>
                <w:szCs w:val="21"/>
              </w:rPr>
              <w:t>价格最低的</w:t>
            </w:r>
            <w:r>
              <w:rPr>
                <w:rFonts w:hint="eastAsia" w:ascii="宋体" w:hAnsi="宋体" w:eastAsia="宋体" w:cs="宋体"/>
                <w:szCs w:val="21"/>
                <w:lang w:val="en-US" w:eastAsia="zh-CN"/>
              </w:rPr>
              <w:t>响应</w:t>
            </w:r>
            <w:r>
              <w:rPr>
                <w:rFonts w:hint="eastAsia" w:ascii="宋体" w:hAnsi="宋体" w:eastAsia="宋体" w:cs="宋体"/>
                <w:szCs w:val="21"/>
              </w:rPr>
              <w:t>报价为评标基准价，其价格分为满分。</w:t>
            </w:r>
          </w:p>
          <w:p w14:paraId="736E79A8">
            <w:pPr>
              <w:wordWrap w:val="0"/>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szCs w:val="21"/>
              </w:rPr>
              <w:t>其他</w:t>
            </w:r>
            <w:r>
              <w:rPr>
                <w:rFonts w:hint="eastAsia" w:ascii="宋体" w:hAnsi="宋体" w:cs="宋体"/>
                <w:color w:val="auto"/>
                <w:sz w:val="21"/>
                <w:szCs w:val="21"/>
                <w:highlight w:val="none"/>
                <w:lang w:val="en-US" w:eastAsia="zh-CN"/>
              </w:rPr>
              <w:t>投标人</w:t>
            </w:r>
            <w:r>
              <w:rPr>
                <w:rFonts w:hint="eastAsia" w:ascii="宋体" w:hAnsi="宋体" w:eastAsia="宋体" w:cs="宋体"/>
                <w:szCs w:val="21"/>
              </w:rPr>
              <w:t>的价格分按照下列公式计算（小数点保留两位）：报价得分=</w:t>
            </w:r>
            <w:r>
              <w:rPr>
                <w:rFonts w:hint="eastAsia" w:ascii="宋体" w:hAnsi="宋体" w:eastAsia="宋体" w:cs="宋体"/>
                <w:szCs w:val="21"/>
                <w:lang w:eastAsia="zh-CN"/>
              </w:rPr>
              <w:t>（</w:t>
            </w:r>
            <w:r>
              <w:rPr>
                <w:rFonts w:hint="eastAsia" w:ascii="宋体" w:hAnsi="宋体" w:eastAsia="宋体" w:cs="宋体"/>
                <w:szCs w:val="21"/>
              </w:rPr>
              <w:t>评标基准价／</w:t>
            </w:r>
            <w:r>
              <w:rPr>
                <w:rFonts w:hint="eastAsia" w:ascii="宋体" w:hAnsi="宋体" w:eastAsia="宋体" w:cs="宋体"/>
                <w:szCs w:val="21"/>
                <w:lang w:val="en-US" w:eastAsia="zh-CN"/>
              </w:rPr>
              <w:t>响应</w:t>
            </w:r>
            <w:r>
              <w:rPr>
                <w:rFonts w:hint="eastAsia" w:ascii="宋体" w:hAnsi="宋体" w:eastAsia="宋体" w:cs="宋体"/>
                <w:szCs w:val="21"/>
              </w:rPr>
              <w:t>报价</w:t>
            </w:r>
            <w:r>
              <w:rPr>
                <w:rFonts w:hint="eastAsia" w:ascii="宋体" w:hAnsi="宋体" w:eastAsia="宋体" w:cs="宋体"/>
                <w:szCs w:val="21"/>
                <w:lang w:eastAsia="zh-CN"/>
              </w:rPr>
              <w:t>）</w:t>
            </w:r>
            <w:r>
              <w:rPr>
                <w:rFonts w:hint="eastAsia" w:ascii="宋体" w:hAnsi="宋体" w:eastAsia="宋体" w:cs="宋体"/>
                <w:szCs w:val="21"/>
              </w:rPr>
              <w:t>×10</w:t>
            </w:r>
          </w:p>
        </w:tc>
        <w:tc>
          <w:tcPr>
            <w:tcW w:w="393" w:type="pct"/>
            <w:tcBorders>
              <w:tl2br w:val="nil"/>
              <w:tr2bl w:val="nil"/>
            </w:tcBorders>
            <w:shd w:val="clear" w:color="auto" w:fill="auto"/>
            <w:vAlign w:val="center"/>
          </w:tcPr>
          <w:p w14:paraId="488B1DC8">
            <w:pPr>
              <w:wordWrap w:val="0"/>
              <w:jc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w:t>
            </w:r>
          </w:p>
        </w:tc>
      </w:tr>
      <w:tr w14:paraId="2306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gridSpan w:val="4"/>
            <w:tcBorders>
              <w:tl2br w:val="nil"/>
              <w:tr2bl w:val="nil"/>
            </w:tcBorders>
            <w:shd w:val="clear" w:color="auto" w:fill="auto"/>
            <w:vAlign w:val="center"/>
          </w:tcPr>
          <w:p w14:paraId="1F7D3FD5">
            <w:pPr>
              <w:wordWrap w:val="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2.技术（</w:t>
            </w:r>
            <w:r>
              <w:rPr>
                <w:rFonts w:hint="eastAsia" w:ascii="宋体" w:hAnsi="宋体"/>
                <w:color w:val="000000" w:themeColor="text1"/>
                <w:szCs w:val="21"/>
                <w:lang w:val="en-US" w:eastAsia="zh-CN"/>
                <w14:textFill>
                  <w14:solidFill>
                    <w14:schemeClr w14:val="tx1"/>
                  </w14:solidFill>
                </w14:textFill>
              </w:rPr>
              <w:t>55</w:t>
            </w:r>
            <w:r>
              <w:rPr>
                <w:rFonts w:hint="eastAsia" w:ascii="宋体" w:hAnsi="宋体"/>
                <w:color w:val="000000" w:themeColor="text1"/>
                <w:szCs w:val="21"/>
                <w14:textFill>
                  <w14:solidFill>
                    <w14:schemeClr w14:val="tx1"/>
                  </w14:solidFill>
                </w14:textFill>
              </w:rPr>
              <w:t>分）</w:t>
            </w:r>
          </w:p>
        </w:tc>
      </w:tr>
      <w:tr w14:paraId="2DF1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3" w:type="pct"/>
            <w:tcBorders>
              <w:tl2br w:val="nil"/>
              <w:tr2bl w:val="nil"/>
            </w:tcBorders>
            <w:shd w:val="clear" w:color="auto" w:fill="auto"/>
            <w:vAlign w:val="center"/>
          </w:tcPr>
          <w:p w14:paraId="4C5178FD">
            <w:pPr>
              <w:wordWrap w:val="0"/>
              <w:jc w:val="left"/>
              <w:rPr>
                <w:rFonts w:hint="eastAsia" w:ascii="宋体" w:hAnsi="宋体"/>
                <w:color w:val="000000" w:themeColor="text1"/>
                <w:sz w:val="21"/>
                <w:szCs w:val="21"/>
                <w14:textFill>
                  <w14:solidFill>
                    <w14:schemeClr w14:val="tx1"/>
                  </w14:solidFill>
                </w14:textFill>
              </w:rPr>
            </w:pPr>
            <w:r>
              <w:rPr>
                <w:rFonts w:hint="eastAsia" w:ascii="宋体" w:hAnsi="宋体"/>
                <w:color w:val="000000" w:themeColor="text1"/>
                <w:sz w:val="21"/>
                <w:szCs w:val="21"/>
                <w14:textFill>
                  <w14:solidFill>
                    <w14:schemeClr w14:val="tx1"/>
                  </w14:solidFill>
                </w14:textFill>
              </w:rPr>
              <w:t>2.1</w:t>
            </w:r>
          </w:p>
        </w:tc>
        <w:tc>
          <w:tcPr>
            <w:tcW w:w="651" w:type="pct"/>
            <w:tcBorders>
              <w:tl2br w:val="nil"/>
              <w:tr2bl w:val="nil"/>
            </w:tcBorders>
            <w:shd w:val="clear" w:color="auto" w:fill="auto"/>
            <w:vAlign w:val="center"/>
          </w:tcPr>
          <w:p w14:paraId="6C9B5AB3">
            <w:pPr>
              <w:wordWrap w:val="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现状分析</w:t>
            </w:r>
          </w:p>
        </w:tc>
        <w:tc>
          <w:tcPr>
            <w:tcW w:w="3580" w:type="pct"/>
            <w:tcBorders>
              <w:tl2br w:val="nil"/>
              <w:tr2bl w:val="nil"/>
            </w:tcBorders>
            <w:shd w:val="clear" w:color="auto" w:fill="auto"/>
            <w:vAlign w:val="center"/>
          </w:tcPr>
          <w:p w14:paraId="3D4B6D2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根据投标人对中心现有业务管理系统数据库核心表结构的理解程度综合评议。</w:t>
            </w:r>
          </w:p>
          <w:p w14:paraId="567961D5">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现有数据库核心表结构描述完整、清晰的得5分；</w:t>
            </w:r>
          </w:p>
          <w:p w14:paraId="73B050B4">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现有数据库核心表结构描述较为完整、清晰的得3分；</w:t>
            </w:r>
          </w:p>
          <w:p w14:paraId="268CF56E">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现有数据库核心表结构描述基本完整、但不够清晰的得1分；</w:t>
            </w:r>
          </w:p>
          <w:p w14:paraId="0892A380">
            <w:pPr>
              <w:widowControl/>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其他或</w:t>
            </w:r>
            <w:r>
              <w:rPr>
                <w:rFonts w:hint="eastAsia" w:ascii="宋体" w:hAnsi="宋体" w:eastAsia="宋体" w:cs="宋体"/>
                <w:color w:val="auto"/>
                <w:kern w:val="0"/>
                <w:sz w:val="21"/>
                <w:szCs w:val="21"/>
                <w:highlight w:val="none"/>
              </w:rPr>
              <w:t>未提供不得分。</w:t>
            </w:r>
          </w:p>
        </w:tc>
        <w:tc>
          <w:tcPr>
            <w:tcW w:w="393" w:type="pct"/>
            <w:tcBorders>
              <w:tl2br w:val="nil"/>
              <w:tr2bl w:val="nil"/>
            </w:tcBorders>
            <w:shd w:val="clear" w:color="auto" w:fill="auto"/>
            <w:vAlign w:val="center"/>
          </w:tcPr>
          <w:p w14:paraId="771CFBB4">
            <w:pPr>
              <w:wordWrap w:val="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605D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3" w:type="pct"/>
            <w:tcBorders>
              <w:tl2br w:val="nil"/>
              <w:tr2bl w:val="nil"/>
            </w:tcBorders>
            <w:shd w:val="clear" w:color="auto" w:fill="auto"/>
            <w:vAlign w:val="center"/>
          </w:tcPr>
          <w:p w14:paraId="70AB92EA">
            <w:pPr>
              <w:wordWrap w:val="0"/>
              <w:jc w:val="left"/>
              <w:rPr>
                <w:rFonts w:hint="default" w:ascii="宋体" w:hAnsi="宋体" w:eastAsia="宋体"/>
                <w:color w:val="000000" w:themeColor="text1"/>
                <w:sz w:val="21"/>
                <w:szCs w:val="21"/>
                <w:lang w:val="en-US" w:eastAsia="zh-CN"/>
                <w14:textFill>
                  <w14:solidFill>
                    <w14:schemeClr w14:val="tx1"/>
                  </w14:solidFill>
                </w14:textFill>
              </w:rPr>
            </w:pPr>
            <w:r>
              <w:rPr>
                <w:rFonts w:hint="eastAsia" w:ascii="宋体" w:hAnsi="宋体"/>
                <w:color w:val="000000" w:themeColor="text1"/>
                <w:sz w:val="21"/>
                <w:szCs w:val="21"/>
                <w:lang w:val="en-US" w:eastAsia="zh-CN"/>
                <w14:textFill>
                  <w14:solidFill>
                    <w14:schemeClr w14:val="tx1"/>
                  </w14:solidFill>
                </w14:textFill>
              </w:rPr>
              <w:t>2.2</w:t>
            </w:r>
          </w:p>
        </w:tc>
        <w:tc>
          <w:tcPr>
            <w:tcW w:w="651" w:type="pct"/>
            <w:tcBorders>
              <w:tl2br w:val="nil"/>
              <w:tr2bl w:val="nil"/>
            </w:tcBorders>
            <w:shd w:val="clear" w:color="auto" w:fill="auto"/>
            <w:vAlign w:val="center"/>
          </w:tcPr>
          <w:p w14:paraId="611CB069">
            <w:pPr>
              <w:wordWrap w:val="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需求分析</w:t>
            </w:r>
          </w:p>
        </w:tc>
        <w:tc>
          <w:tcPr>
            <w:tcW w:w="3580" w:type="pct"/>
            <w:tcBorders>
              <w:tl2br w:val="nil"/>
              <w:tr2bl w:val="nil"/>
            </w:tcBorders>
            <w:shd w:val="clear" w:color="auto" w:fill="auto"/>
            <w:vAlign w:val="center"/>
          </w:tcPr>
          <w:p w14:paraId="5DB629C7">
            <w:pPr>
              <w:widowControl/>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根据投标人</w:t>
            </w:r>
            <w:r>
              <w:rPr>
                <w:rFonts w:hint="eastAsia" w:ascii="宋体" w:hAnsi="宋体" w:eastAsia="宋体" w:cs="宋体"/>
                <w:color w:val="auto"/>
                <w:kern w:val="0"/>
                <w:sz w:val="21"/>
                <w:szCs w:val="21"/>
                <w:highlight w:val="none"/>
              </w:rPr>
              <w:t>对</w:t>
            </w:r>
            <w:r>
              <w:rPr>
                <w:rFonts w:hint="eastAsia" w:ascii="宋体" w:hAnsi="宋体" w:eastAsia="宋体" w:cs="宋体"/>
                <w:color w:val="auto"/>
                <w:kern w:val="0"/>
                <w:sz w:val="21"/>
                <w:szCs w:val="21"/>
                <w:highlight w:val="none"/>
                <w:lang w:val="en-US" w:eastAsia="zh-CN"/>
              </w:rPr>
              <w:t>本项目采购需求分析</w:t>
            </w:r>
            <w:r>
              <w:rPr>
                <w:rFonts w:hint="eastAsia" w:ascii="宋体" w:hAnsi="宋体" w:eastAsia="宋体" w:cs="宋体"/>
                <w:color w:val="auto"/>
                <w:kern w:val="0"/>
                <w:sz w:val="21"/>
                <w:szCs w:val="21"/>
                <w:highlight w:val="none"/>
              </w:rPr>
              <w:t>的全面性、准确性、清晰性进行</w:t>
            </w:r>
            <w:r>
              <w:rPr>
                <w:rFonts w:hint="eastAsia" w:ascii="宋体" w:hAnsi="宋体" w:eastAsia="宋体" w:cs="宋体"/>
                <w:color w:val="auto"/>
                <w:kern w:val="0"/>
                <w:sz w:val="21"/>
                <w:szCs w:val="21"/>
                <w:highlight w:val="none"/>
                <w:lang w:val="en-US" w:eastAsia="zh-CN"/>
              </w:rPr>
              <w:t>综合评议。</w:t>
            </w:r>
          </w:p>
          <w:p w14:paraId="4730CB72">
            <w:pPr>
              <w:widowControl/>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分析内容全面、准确、清晰的得</w:t>
            </w:r>
            <w:r>
              <w:rPr>
                <w:rFonts w:hint="eastAsia" w:ascii="宋体" w:hAnsi="宋体" w:eastAsia="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eastAsia="zh-CN"/>
              </w:rPr>
              <w:t>；</w:t>
            </w:r>
          </w:p>
          <w:p w14:paraId="0BE0417A">
            <w:pPr>
              <w:widowControl/>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分析内容较为全面、准确、清晰的得</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eastAsia="zh-CN"/>
              </w:rPr>
              <w:t>；</w:t>
            </w:r>
          </w:p>
          <w:p w14:paraId="40A6E533">
            <w:pPr>
              <w:widowControl/>
              <w:jc w:val="left"/>
              <w:rPr>
                <w:rFonts w:hint="eastAsia" w:ascii="宋体" w:hAnsi="宋体" w:eastAsia="宋体" w:cs="宋体"/>
                <w:sz w:val="21"/>
                <w:szCs w:val="21"/>
                <w:highlight w:val="none"/>
              </w:rPr>
            </w:pPr>
            <w:r>
              <w:rPr>
                <w:rFonts w:hint="eastAsia" w:ascii="宋体" w:hAnsi="宋体" w:eastAsia="宋体" w:cs="宋体"/>
                <w:color w:val="auto"/>
                <w:kern w:val="0"/>
                <w:sz w:val="21"/>
                <w:szCs w:val="21"/>
                <w:highlight w:val="none"/>
              </w:rPr>
              <w:t>分析内容基本全面、准确但不够清晰的得</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eastAsia="zh-CN"/>
              </w:rPr>
              <w:t>；</w:t>
            </w:r>
          </w:p>
          <w:p w14:paraId="0B29041C">
            <w:pPr>
              <w:widowControl/>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其他或</w:t>
            </w:r>
            <w:r>
              <w:rPr>
                <w:rFonts w:hint="eastAsia" w:ascii="宋体" w:hAnsi="宋体" w:eastAsia="宋体" w:cs="宋体"/>
                <w:color w:val="auto"/>
                <w:kern w:val="0"/>
                <w:sz w:val="21"/>
                <w:szCs w:val="21"/>
                <w:highlight w:val="none"/>
              </w:rPr>
              <w:t>未提供不得分。</w:t>
            </w:r>
          </w:p>
        </w:tc>
        <w:tc>
          <w:tcPr>
            <w:tcW w:w="393" w:type="pct"/>
            <w:tcBorders>
              <w:tl2br w:val="nil"/>
              <w:tr2bl w:val="nil"/>
            </w:tcBorders>
            <w:shd w:val="clear" w:color="auto" w:fill="auto"/>
            <w:vAlign w:val="center"/>
          </w:tcPr>
          <w:p w14:paraId="0A5CAB22">
            <w:pPr>
              <w:wordWrap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169C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373" w:type="pct"/>
            <w:tcBorders>
              <w:tl2br w:val="nil"/>
              <w:tr2bl w:val="nil"/>
            </w:tcBorders>
            <w:shd w:val="clear" w:color="auto" w:fill="auto"/>
            <w:vAlign w:val="center"/>
          </w:tcPr>
          <w:p w14:paraId="241B7E5C">
            <w:pPr>
              <w:wordWrap w:val="0"/>
              <w:jc w:val="left"/>
              <w:rPr>
                <w:rFonts w:hint="default"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2.3</w:t>
            </w:r>
          </w:p>
        </w:tc>
        <w:tc>
          <w:tcPr>
            <w:tcW w:w="651" w:type="pct"/>
            <w:vMerge w:val="restart"/>
            <w:tcBorders>
              <w:tl2br w:val="nil"/>
              <w:tr2bl w:val="nil"/>
            </w:tcBorders>
            <w:shd w:val="clear" w:color="auto" w:fill="auto"/>
            <w:vAlign w:val="center"/>
          </w:tcPr>
          <w:p w14:paraId="38196952">
            <w:pPr>
              <w:wordWrap w:val="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数据治理服务</w:t>
            </w:r>
            <w:r>
              <w:rPr>
                <w:rFonts w:hint="eastAsia" w:ascii="宋体" w:hAnsi="宋体" w:eastAsia="宋体" w:cs="宋体"/>
                <w:color w:val="auto"/>
                <w:sz w:val="21"/>
                <w:szCs w:val="21"/>
              </w:rPr>
              <w:t>方案</w:t>
            </w:r>
          </w:p>
        </w:tc>
        <w:tc>
          <w:tcPr>
            <w:tcW w:w="3580" w:type="pct"/>
            <w:tcBorders>
              <w:tl2br w:val="nil"/>
              <w:tr2bl w:val="nil"/>
            </w:tcBorders>
            <w:shd w:val="clear" w:color="auto" w:fill="auto"/>
            <w:vAlign w:val="center"/>
          </w:tcPr>
          <w:p w14:paraId="44A3B655">
            <w:pP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投标人</w:t>
            </w: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val="en-US" w:eastAsia="zh-CN"/>
              </w:rPr>
              <w:t>数据质量检核服务方案，包括服务过程中使用的数据质量检核规则、数据质量检核工具、数据质量检核报告模板等</w:t>
            </w:r>
            <w:r>
              <w:rPr>
                <w:rFonts w:hint="eastAsia" w:ascii="宋体" w:hAnsi="宋体" w:eastAsia="宋体" w:cs="宋体"/>
                <w:color w:val="auto"/>
                <w:sz w:val="21"/>
                <w:szCs w:val="21"/>
                <w:highlight w:val="none"/>
              </w:rPr>
              <w:t>为评审依据。对</w:t>
            </w:r>
            <w:r>
              <w:rPr>
                <w:rFonts w:hint="eastAsia" w:ascii="宋体" w:hAnsi="宋体" w:eastAsia="宋体" w:cs="宋体"/>
                <w:color w:val="auto"/>
                <w:sz w:val="21"/>
                <w:szCs w:val="21"/>
                <w:highlight w:val="none"/>
                <w:lang w:val="en-US" w:eastAsia="zh-CN"/>
              </w:rPr>
              <w:t>方案的</w:t>
            </w:r>
            <w:r>
              <w:rPr>
                <w:rFonts w:hint="eastAsia" w:ascii="宋体" w:hAnsi="宋体" w:eastAsia="宋体" w:cs="宋体"/>
                <w:color w:val="auto"/>
                <w:sz w:val="21"/>
                <w:szCs w:val="21"/>
                <w:highlight w:val="none"/>
              </w:rPr>
              <w:t>全面性、合理性、可行性进行综合评</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p w14:paraId="3B4B02E6">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方案全面、合理、可行的得12分；</w:t>
            </w:r>
          </w:p>
          <w:p w14:paraId="2BB11F5D">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方案较为全面、合理、可行的得9分；</w:t>
            </w:r>
          </w:p>
          <w:p w14:paraId="6B21CF16">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方案基本全面、合理，基本可行的得6分；</w:t>
            </w:r>
          </w:p>
          <w:p w14:paraId="0660BAAA">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方案不够全面、合理，可行性差的得3分；</w:t>
            </w:r>
          </w:p>
          <w:p w14:paraId="64AF3001">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其他或未提供不得分。</w:t>
            </w:r>
          </w:p>
        </w:tc>
        <w:tc>
          <w:tcPr>
            <w:tcW w:w="393" w:type="pct"/>
            <w:tcBorders>
              <w:tl2br w:val="nil"/>
              <w:tr2bl w:val="nil"/>
            </w:tcBorders>
            <w:shd w:val="clear" w:color="auto" w:fill="auto"/>
            <w:vAlign w:val="center"/>
          </w:tcPr>
          <w:p w14:paraId="2337FDA9">
            <w:pPr>
              <w:wordWrap w:val="0"/>
              <w:jc w:val="center"/>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12</w:t>
            </w:r>
          </w:p>
        </w:tc>
      </w:tr>
      <w:tr w14:paraId="2A3B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3" w:type="pct"/>
            <w:tcBorders>
              <w:tl2br w:val="nil"/>
              <w:tr2bl w:val="nil"/>
            </w:tcBorders>
            <w:shd w:val="clear" w:color="auto" w:fill="auto"/>
            <w:vAlign w:val="center"/>
          </w:tcPr>
          <w:p w14:paraId="4CAC97CF">
            <w:pPr>
              <w:wordWrap w:val="0"/>
              <w:jc w:val="left"/>
              <w:rPr>
                <w:rFonts w:hint="default" w:ascii="宋体" w:hAnsi="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2.4</w:t>
            </w:r>
          </w:p>
        </w:tc>
        <w:tc>
          <w:tcPr>
            <w:tcW w:w="651" w:type="pct"/>
            <w:vMerge w:val="continue"/>
            <w:tcBorders>
              <w:tl2br w:val="nil"/>
              <w:tr2bl w:val="nil"/>
            </w:tcBorders>
            <w:shd w:val="clear" w:color="auto" w:fill="auto"/>
            <w:vAlign w:val="center"/>
          </w:tcPr>
          <w:p w14:paraId="4D5B3801">
            <w:pPr>
              <w:wordWrap w:val="0"/>
              <w:jc w:val="left"/>
              <w:rPr>
                <w:rFonts w:hint="eastAsia" w:ascii="宋体" w:hAnsi="宋体" w:eastAsia="宋体" w:cs="宋体"/>
                <w:color w:val="auto"/>
                <w:sz w:val="21"/>
                <w:szCs w:val="21"/>
                <w:lang w:val="en-US" w:eastAsia="zh-CN"/>
              </w:rPr>
            </w:pPr>
          </w:p>
        </w:tc>
        <w:tc>
          <w:tcPr>
            <w:tcW w:w="3580" w:type="pct"/>
            <w:tcBorders>
              <w:tl2br w:val="nil"/>
              <w:tr2bl w:val="nil"/>
            </w:tcBorders>
            <w:shd w:val="clear" w:color="auto" w:fill="auto"/>
            <w:vAlign w:val="center"/>
          </w:tcPr>
          <w:p w14:paraId="71614BB1">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投标人提供问题数据解析及整改策略服务。对问题数据解析及整改策略的全面性、合理性、可行性进行综合评分。</w:t>
            </w:r>
          </w:p>
          <w:p w14:paraId="53333550">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数据解析及整改策略全面、合理、可行的得12分；</w:t>
            </w:r>
          </w:p>
          <w:p w14:paraId="06BCD41C">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数据解析及整改策略较为全面、合理、可行的得9分；</w:t>
            </w:r>
          </w:p>
          <w:p w14:paraId="247D895F">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数据解析及整改策略基本全面、合理，基本可行的得6分；</w:t>
            </w:r>
          </w:p>
          <w:p w14:paraId="51B7A44D">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数据解析及整改策略不够全面、合理，可行性差的得3分；</w:t>
            </w:r>
          </w:p>
          <w:p w14:paraId="320BD5DC">
            <w:pPr>
              <w:rPr>
                <w:rFonts w:hint="eastAsia"/>
                <w:lang w:val="en-US" w:eastAsia="zh-CN"/>
              </w:rPr>
            </w:pPr>
            <w:r>
              <w:rPr>
                <w:rFonts w:hint="eastAsia" w:ascii="宋体" w:hAnsi="宋体" w:eastAsia="宋体" w:cs="宋体"/>
                <w:color w:val="auto"/>
                <w:sz w:val="21"/>
                <w:szCs w:val="21"/>
                <w:highlight w:val="none"/>
                <w:lang w:val="en-US" w:eastAsia="zh-CN"/>
              </w:rPr>
              <w:t>其他或未提供不得分。</w:t>
            </w:r>
          </w:p>
        </w:tc>
        <w:tc>
          <w:tcPr>
            <w:tcW w:w="393" w:type="pct"/>
            <w:tcBorders>
              <w:tl2br w:val="nil"/>
              <w:tr2bl w:val="nil"/>
            </w:tcBorders>
            <w:shd w:val="clear" w:color="auto" w:fill="auto"/>
            <w:vAlign w:val="center"/>
          </w:tcPr>
          <w:p w14:paraId="368A6DD1">
            <w:pPr>
              <w:wordWrap w:val="0"/>
              <w:jc w:val="center"/>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12</w:t>
            </w:r>
          </w:p>
        </w:tc>
      </w:tr>
      <w:tr w14:paraId="4E641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73" w:type="pct"/>
            <w:tcBorders>
              <w:tl2br w:val="nil"/>
              <w:tr2bl w:val="nil"/>
            </w:tcBorders>
            <w:shd w:val="clear" w:color="auto" w:fill="auto"/>
            <w:vAlign w:val="center"/>
          </w:tcPr>
          <w:p w14:paraId="743BCDBC">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w:t>
            </w:r>
          </w:p>
        </w:tc>
        <w:tc>
          <w:tcPr>
            <w:tcW w:w="651" w:type="pct"/>
            <w:vMerge w:val="continue"/>
            <w:tcBorders>
              <w:tl2br w:val="nil"/>
              <w:tr2bl w:val="nil"/>
            </w:tcBorders>
            <w:shd w:val="clear" w:color="auto" w:fill="auto"/>
            <w:vAlign w:val="center"/>
          </w:tcPr>
          <w:p w14:paraId="518930A9">
            <w:pPr>
              <w:rPr>
                <w:rFonts w:hint="eastAsia" w:ascii="宋体" w:hAnsi="宋体" w:eastAsia="宋体" w:cs="宋体"/>
                <w:color w:val="auto"/>
                <w:sz w:val="21"/>
                <w:szCs w:val="21"/>
                <w:highlight w:val="none"/>
                <w:lang w:val="en-US" w:eastAsia="zh-CN"/>
              </w:rPr>
            </w:pPr>
          </w:p>
        </w:tc>
        <w:tc>
          <w:tcPr>
            <w:tcW w:w="3580" w:type="pct"/>
            <w:tcBorders>
              <w:tl2br w:val="nil"/>
              <w:tr2bl w:val="nil"/>
            </w:tcBorders>
            <w:shd w:val="clear" w:color="auto" w:fill="auto"/>
            <w:vAlign w:val="center"/>
          </w:tcPr>
          <w:p w14:paraId="6BB0E0EF">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投标人提供问题数据技术整改服务。对整改服务方案的全面性、合理性、可行性进行综合评分。</w:t>
            </w:r>
          </w:p>
          <w:p w14:paraId="517BE9D0">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整改技术路径科学合理，落地实施可行性强，得12分；</w:t>
            </w:r>
          </w:p>
          <w:p w14:paraId="6812C0E9">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整改技术路径较为合理，具备落地实施条件，得9分；</w:t>
            </w:r>
          </w:p>
          <w:p w14:paraId="2B37D065">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整改技术路径基本合理，可组织开展整改实施，得6分；</w:t>
            </w:r>
          </w:p>
          <w:p w14:paraId="430CBCC8">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整改技术路径合理性不足，实施难度大、可行性较差，得3分；</w:t>
            </w:r>
          </w:p>
          <w:p w14:paraId="4E2C767A">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其他或未提供不得分。</w:t>
            </w:r>
          </w:p>
        </w:tc>
        <w:tc>
          <w:tcPr>
            <w:tcW w:w="393" w:type="pct"/>
            <w:tcBorders>
              <w:tl2br w:val="nil"/>
              <w:tr2bl w:val="nil"/>
            </w:tcBorders>
            <w:shd w:val="clear" w:color="auto" w:fill="auto"/>
            <w:vAlign w:val="center"/>
          </w:tcPr>
          <w:p w14:paraId="2DA39DCA">
            <w:pPr>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r>
      <w:tr w14:paraId="47C4B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73" w:type="pct"/>
            <w:tcBorders>
              <w:tl2br w:val="nil"/>
              <w:tr2bl w:val="nil"/>
            </w:tcBorders>
            <w:shd w:val="clear" w:color="auto" w:fill="auto"/>
            <w:vAlign w:val="center"/>
          </w:tcPr>
          <w:p w14:paraId="73CF20D9">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w:t>
            </w:r>
          </w:p>
        </w:tc>
        <w:tc>
          <w:tcPr>
            <w:tcW w:w="651" w:type="pct"/>
            <w:tcBorders>
              <w:tl2br w:val="nil"/>
              <w:tr2bl w:val="nil"/>
            </w:tcBorders>
            <w:shd w:val="clear" w:color="auto" w:fill="auto"/>
            <w:vAlign w:val="center"/>
          </w:tcPr>
          <w:p w14:paraId="6C2C10CD">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服务实施方案</w:t>
            </w:r>
          </w:p>
        </w:tc>
        <w:tc>
          <w:tcPr>
            <w:tcW w:w="3580" w:type="pct"/>
            <w:tcBorders>
              <w:tl2br w:val="nil"/>
              <w:tr2bl w:val="nil"/>
            </w:tcBorders>
            <w:shd w:val="clear" w:color="auto" w:fill="auto"/>
            <w:vAlign w:val="center"/>
          </w:tcPr>
          <w:p w14:paraId="7E094083">
            <w:pP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提供完整的数据治理服务实施方案，包括服务工期安排、服务步骤、服务保障等相关内容为评审依据，从方案的完整性、计划性、可行性进行综合评分。</w:t>
            </w:r>
          </w:p>
          <w:p w14:paraId="582C984A">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方案全面、合理、可行的得5分；</w:t>
            </w:r>
          </w:p>
          <w:p w14:paraId="326A1255">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方案较为全面、合理、可行的得4分；</w:t>
            </w:r>
          </w:p>
          <w:p w14:paraId="72F91D5B">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方案基本全面、合理，基本可行的得3分；</w:t>
            </w:r>
          </w:p>
          <w:p w14:paraId="4E233C82">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方案不够全面、合理，可行性差的得2分；</w:t>
            </w:r>
          </w:p>
          <w:p w14:paraId="629F8BD1">
            <w:pPr>
              <w:rPr>
                <w:rFonts w:hint="eastAsia" w:ascii="宋体" w:hAnsi="宋体" w:eastAsia="宋体" w:cs="宋体"/>
                <w:lang w:val="en-US" w:eastAsia="zh-CN"/>
              </w:rPr>
            </w:pPr>
            <w:r>
              <w:rPr>
                <w:rFonts w:hint="eastAsia" w:ascii="宋体" w:hAnsi="宋体" w:eastAsia="宋体" w:cs="宋体"/>
                <w:color w:val="auto"/>
                <w:sz w:val="21"/>
                <w:szCs w:val="21"/>
                <w:highlight w:val="none"/>
                <w:lang w:val="en-US" w:eastAsia="zh-CN"/>
              </w:rPr>
              <w:t>其他或未提供不得分。</w:t>
            </w:r>
          </w:p>
        </w:tc>
        <w:tc>
          <w:tcPr>
            <w:tcW w:w="393" w:type="pct"/>
            <w:tcBorders>
              <w:tl2br w:val="nil"/>
              <w:tr2bl w:val="nil"/>
            </w:tcBorders>
            <w:shd w:val="clear" w:color="auto" w:fill="auto"/>
            <w:vAlign w:val="center"/>
          </w:tcPr>
          <w:p w14:paraId="3A040871">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1573B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73" w:type="pct"/>
            <w:tcBorders>
              <w:tl2br w:val="nil"/>
              <w:tr2bl w:val="nil"/>
            </w:tcBorders>
            <w:shd w:val="clear" w:color="auto" w:fill="auto"/>
            <w:vAlign w:val="center"/>
          </w:tcPr>
          <w:p w14:paraId="5033A993">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w:t>
            </w:r>
          </w:p>
        </w:tc>
        <w:tc>
          <w:tcPr>
            <w:tcW w:w="651" w:type="pct"/>
            <w:tcBorders>
              <w:tl2br w:val="nil"/>
              <w:tr2bl w:val="nil"/>
            </w:tcBorders>
            <w:shd w:val="clear" w:color="auto" w:fill="auto"/>
            <w:vAlign w:val="center"/>
          </w:tcPr>
          <w:p w14:paraId="4693188C">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应急服务方案</w:t>
            </w:r>
          </w:p>
        </w:tc>
        <w:tc>
          <w:tcPr>
            <w:tcW w:w="3580" w:type="pct"/>
            <w:tcBorders>
              <w:tl2br w:val="nil"/>
              <w:tr2bl w:val="nil"/>
            </w:tcBorders>
            <w:shd w:val="clear" w:color="auto" w:fill="auto"/>
            <w:vAlign w:val="center"/>
          </w:tcPr>
          <w:p w14:paraId="4CDA8680">
            <w:pPr>
              <w:rPr>
                <w:rFonts w:hint="eastAsia" w:ascii="宋体" w:hAnsi="宋体" w:eastAsia="宋体" w:cs="宋体"/>
                <w:color w:val="auto"/>
                <w:kern w:val="0"/>
                <w:szCs w:val="21"/>
                <w:lang w:val="en-US" w:eastAsia="zh-CN"/>
              </w:rPr>
            </w:pPr>
            <w:r>
              <w:rPr>
                <w:rFonts w:hint="eastAsia" w:ascii="宋体" w:hAnsi="宋体" w:cs="宋体"/>
                <w:color w:val="auto"/>
                <w:sz w:val="21"/>
                <w:szCs w:val="21"/>
                <w:highlight w:val="none"/>
                <w:lang w:val="en-US" w:eastAsia="zh-CN"/>
              </w:rPr>
              <w:t>投标人</w:t>
            </w:r>
            <w:r>
              <w:rPr>
                <w:rFonts w:hint="eastAsia" w:ascii="宋体" w:hAnsi="宋体" w:eastAsia="宋体" w:cs="宋体"/>
                <w:color w:val="auto"/>
                <w:kern w:val="0"/>
                <w:szCs w:val="21"/>
                <w:lang w:val="en-US" w:eastAsia="zh-CN"/>
              </w:rPr>
              <w:t>提供的应急服务方案，</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方案的</w:t>
            </w:r>
            <w:r>
              <w:rPr>
                <w:rFonts w:hint="eastAsia" w:ascii="宋体" w:hAnsi="宋体" w:eastAsia="宋体" w:cs="宋体"/>
                <w:color w:val="auto"/>
                <w:sz w:val="21"/>
                <w:szCs w:val="21"/>
                <w:highlight w:val="none"/>
              </w:rPr>
              <w:t>全面性、合理性、可行性进行综合评</w:t>
            </w:r>
            <w:r>
              <w:rPr>
                <w:rFonts w:hint="eastAsia" w:ascii="宋体" w:hAnsi="宋体" w:eastAsia="宋体" w:cs="宋体"/>
                <w:color w:val="auto"/>
                <w:sz w:val="21"/>
                <w:szCs w:val="21"/>
                <w:highlight w:val="none"/>
                <w:lang w:val="en-US" w:eastAsia="zh-CN"/>
              </w:rPr>
              <w:t>分</w:t>
            </w:r>
            <w:r>
              <w:rPr>
                <w:rFonts w:hint="eastAsia" w:ascii="宋体" w:hAnsi="宋体" w:eastAsia="宋体" w:cs="宋体"/>
                <w:color w:val="auto"/>
                <w:sz w:val="21"/>
                <w:szCs w:val="21"/>
                <w:highlight w:val="none"/>
                <w:lang w:eastAsia="zh-CN"/>
              </w:rPr>
              <w:t>。</w:t>
            </w:r>
          </w:p>
          <w:p w14:paraId="1E531D36">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方案全面、合理、可行的得4分；</w:t>
            </w:r>
          </w:p>
          <w:p w14:paraId="1EC6681F">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方案较为全面、合理、可行的得3分；</w:t>
            </w:r>
          </w:p>
          <w:p w14:paraId="40A12EEB">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方案基本全面、合理，基本可行的得2分；</w:t>
            </w:r>
          </w:p>
          <w:p w14:paraId="1B4CDD71">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方案不够全面、合理，可行性差的得1分；</w:t>
            </w:r>
          </w:p>
          <w:p w14:paraId="231DDEF7">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其他或未提供不得分。</w:t>
            </w:r>
          </w:p>
        </w:tc>
        <w:tc>
          <w:tcPr>
            <w:tcW w:w="393" w:type="pct"/>
            <w:tcBorders>
              <w:tl2br w:val="nil"/>
              <w:tr2bl w:val="nil"/>
            </w:tcBorders>
            <w:shd w:val="clear" w:color="auto" w:fill="auto"/>
            <w:vAlign w:val="center"/>
          </w:tcPr>
          <w:p w14:paraId="71D082EC">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12E5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5000" w:type="pct"/>
            <w:gridSpan w:val="4"/>
            <w:tcBorders>
              <w:tl2br w:val="nil"/>
              <w:tr2bl w:val="nil"/>
            </w:tcBorders>
            <w:shd w:val="clear" w:color="auto" w:fill="auto"/>
            <w:vAlign w:val="center"/>
          </w:tcPr>
          <w:p w14:paraId="604A066C">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3.服务团队（10）</w:t>
            </w:r>
          </w:p>
        </w:tc>
      </w:tr>
      <w:tr w14:paraId="665D3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3" w:type="pct"/>
            <w:tcBorders>
              <w:tl2br w:val="nil"/>
              <w:tr2bl w:val="nil"/>
            </w:tcBorders>
            <w:shd w:val="clear" w:color="auto" w:fill="auto"/>
            <w:vAlign w:val="center"/>
          </w:tcPr>
          <w:p w14:paraId="1276F8C0">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w:t>
            </w:r>
          </w:p>
        </w:tc>
        <w:tc>
          <w:tcPr>
            <w:tcW w:w="651" w:type="pct"/>
            <w:vMerge w:val="restart"/>
            <w:tcBorders>
              <w:tl2br w:val="nil"/>
              <w:tr2bl w:val="nil"/>
            </w:tcBorders>
            <w:shd w:val="clear" w:color="auto" w:fill="auto"/>
            <w:vAlign w:val="center"/>
          </w:tcPr>
          <w:p w14:paraId="7931999D">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团队人员</w:t>
            </w:r>
          </w:p>
        </w:tc>
        <w:tc>
          <w:tcPr>
            <w:tcW w:w="3580" w:type="pct"/>
            <w:tcBorders>
              <w:tl2br w:val="nil"/>
              <w:tr2bl w:val="nil"/>
            </w:tcBorders>
            <w:shd w:val="clear" w:color="auto" w:fill="auto"/>
            <w:vAlign w:val="center"/>
          </w:tcPr>
          <w:p w14:paraId="21348D86">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Cs w:val="21"/>
                <w:lang w:val="en-US" w:eastAsia="zh-CN"/>
              </w:rPr>
              <w:t>投标人拟定的项目经理</w:t>
            </w:r>
            <w:r>
              <w:rPr>
                <w:rFonts w:hint="eastAsia" w:ascii="宋体" w:hAnsi="宋体" w:eastAsia="宋体" w:cs="宋体"/>
                <w:color w:val="auto"/>
                <w:sz w:val="21"/>
                <w:szCs w:val="21"/>
                <w:highlight w:val="none"/>
                <w:lang w:val="en-US" w:eastAsia="zh-CN"/>
              </w:rPr>
              <w:t>具有信息系统项目管理师证书及DCMM数据管理师证书，每提供一个得3分，最高6分，未提供得0分。（须提供证书复印件及人员2026年以来任意一个月的社保缴纳证明并加盖</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公章）</w:t>
            </w:r>
          </w:p>
        </w:tc>
        <w:tc>
          <w:tcPr>
            <w:tcW w:w="393" w:type="pct"/>
            <w:tcBorders>
              <w:tl2br w:val="nil"/>
              <w:tr2bl w:val="nil"/>
            </w:tcBorders>
            <w:shd w:val="clear" w:color="auto" w:fill="auto"/>
            <w:vAlign w:val="center"/>
          </w:tcPr>
          <w:p w14:paraId="78260A12">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14:paraId="1BEC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73" w:type="pct"/>
            <w:tcBorders>
              <w:tl2br w:val="nil"/>
              <w:tr2bl w:val="nil"/>
            </w:tcBorders>
            <w:shd w:val="clear" w:color="auto" w:fill="auto"/>
            <w:vAlign w:val="center"/>
          </w:tcPr>
          <w:p w14:paraId="22193659">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w:t>
            </w:r>
          </w:p>
        </w:tc>
        <w:tc>
          <w:tcPr>
            <w:tcW w:w="651" w:type="pct"/>
            <w:vMerge w:val="continue"/>
            <w:tcBorders>
              <w:tl2br w:val="nil"/>
              <w:tr2bl w:val="nil"/>
            </w:tcBorders>
            <w:shd w:val="clear" w:color="auto" w:fill="auto"/>
            <w:vAlign w:val="center"/>
          </w:tcPr>
          <w:p w14:paraId="3C46A962">
            <w:pPr>
              <w:rPr>
                <w:rFonts w:hint="eastAsia" w:ascii="宋体" w:hAnsi="宋体" w:eastAsia="宋体" w:cs="宋体"/>
                <w:color w:val="auto"/>
                <w:sz w:val="21"/>
                <w:szCs w:val="21"/>
                <w:highlight w:val="none"/>
                <w:lang w:val="en-US" w:eastAsia="zh-CN"/>
              </w:rPr>
            </w:pPr>
          </w:p>
        </w:tc>
        <w:tc>
          <w:tcPr>
            <w:tcW w:w="3580" w:type="pct"/>
            <w:tcBorders>
              <w:tl2br w:val="nil"/>
              <w:tr2bl w:val="nil"/>
            </w:tcBorders>
            <w:shd w:val="clear" w:color="auto" w:fill="auto"/>
            <w:vAlign w:val="center"/>
          </w:tcPr>
          <w:p w14:paraId="7420B275">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Cs w:val="21"/>
                <w:lang w:val="en-US" w:eastAsia="zh-CN"/>
              </w:rPr>
              <w:t>投标人</w:t>
            </w:r>
            <w:r>
              <w:rPr>
                <w:rFonts w:hint="eastAsia" w:ascii="宋体" w:hAnsi="宋体" w:eastAsia="宋体" w:cs="宋体"/>
                <w:color w:val="auto"/>
                <w:sz w:val="21"/>
                <w:szCs w:val="21"/>
                <w:highlight w:val="none"/>
                <w:lang w:val="en-US" w:eastAsia="zh-CN"/>
              </w:rPr>
              <w:t>项目团队人员（不包括项目经理）具有DCMM数据管理师、信息系统项目管理师、系统集成项目管理工程师、信息安全工程师等相关证书，每提供一个得1分，最高4分。（须提供证书复印件及人员2026年以来任意一个月的社保缴纳证明并加盖</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公章）（注：同一人的多份证书只计1分）</w:t>
            </w:r>
          </w:p>
        </w:tc>
        <w:tc>
          <w:tcPr>
            <w:tcW w:w="393" w:type="pct"/>
            <w:tcBorders>
              <w:tl2br w:val="nil"/>
              <w:tr2bl w:val="nil"/>
            </w:tcBorders>
            <w:shd w:val="clear" w:color="auto" w:fill="auto"/>
            <w:vAlign w:val="center"/>
          </w:tcPr>
          <w:p w14:paraId="256B2EBD">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14:paraId="45D1D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gridSpan w:val="4"/>
            <w:tcBorders>
              <w:tl2br w:val="nil"/>
              <w:tr2bl w:val="nil"/>
            </w:tcBorders>
            <w:shd w:val="clear" w:color="auto" w:fill="auto"/>
            <w:vAlign w:val="center"/>
          </w:tcPr>
          <w:p w14:paraId="64EBD185">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4.业绩（5分）</w:t>
            </w:r>
          </w:p>
        </w:tc>
      </w:tr>
      <w:tr w14:paraId="1F4B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373" w:type="pct"/>
            <w:tcBorders>
              <w:tl2br w:val="nil"/>
              <w:tr2bl w:val="nil"/>
            </w:tcBorders>
            <w:shd w:val="clear" w:color="auto" w:fill="auto"/>
            <w:vAlign w:val="center"/>
          </w:tcPr>
          <w:p w14:paraId="1EAB9152">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651" w:type="pct"/>
            <w:tcBorders>
              <w:tl2br w:val="nil"/>
              <w:tr2bl w:val="nil"/>
            </w:tcBorders>
            <w:shd w:val="clear" w:color="auto" w:fill="auto"/>
            <w:vAlign w:val="center"/>
          </w:tcPr>
          <w:p w14:paraId="36F2A745">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项目案例</w:t>
            </w:r>
          </w:p>
        </w:tc>
        <w:tc>
          <w:tcPr>
            <w:tcW w:w="3580" w:type="pct"/>
            <w:tcBorders>
              <w:tl2br w:val="nil"/>
              <w:tr2bl w:val="nil"/>
            </w:tcBorders>
            <w:shd w:val="clear" w:color="auto" w:fill="auto"/>
            <w:vAlign w:val="center"/>
          </w:tcPr>
          <w:p w14:paraId="000F26D2">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2023年1月1日（以合同签订时间或中标通知书落款时间为准）至今</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具有类似项目案例，提供1个得2.5分，最高得5分，未提供得0分。(须提供相关成功应用案例合同的关键证明页或中标通知书复印件并加盖</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公章)</w:t>
            </w:r>
          </w:p>
        </w:tc>
        <w:tc>
          <w:tcPr>
            <w:tcW w:w="393" w:type="pct"/>
            <w:tcBorders>
              <w:tl2br w:val="nil"/>
              <w:tr2bl w:val="nil"/>
            </w:tcBorders>
            <w:shd w:val="clear" w:color="auto" w:fill="auto"/>
            <w:vAlign w:val="center"/>
          </w:tcPr>
          <w:p w14:paraId="60510574">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0BFB4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5000" w:type="pct"/>
            <w:gridSpan w:val="4"/>
            <w:tcBorders>
              <w:tl2br w:val="nil"/>
              <w:tr2bl w:val="nil"/>
            </w:tcBorders>
            <w:shd w:val="clear" w:color="auto" w:fill="auto"/>
            <w:vAlign w:val="center"/>
          </w:tcPr>
          <w:p w14:paraId="1DF2F059">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5.商务资质（20分）</w:t>
            </w:r>
          </w:p>
        </w:tc>
      </w:tr>
      <w:tr w14:paraId="706E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373" w:type="pct"/>
            <w:tcBorders>
              <w:tl2br w:val="nil"/>
              <w:tr2bl w:val="nil"/>
            </w:tcBorders>
            <w:shd w:val="clear" w:color="auto" w:fill="auto"/>
            <w:vAlign w:val="center"/>
          </w:tcPr>
          <w:p w14:paraId="41809961">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5.1</w:t>
            </w:r>
          </w:p>
        </w:tc>
        <w:tc>
          <w:tcPr>
            <w:tcW w:w="651" w:type="pct"/>
            <w:vMerge w:val="restart"/>
            <w:tcBorders>
              <w:tl2br w:val="nil"/>
              <w:tr2bl w:val="nil"/>
            </w:tcBorders>
            <w:shd w:val="clear" w:color="auto" w:fill="auto"/>
            <w:vAlign w:val="center"/>
          </w:tcPr>
          <w:p w14:paraId="087CE1A4">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企业资质</w:t>
            </w:r>
          </w:p>
        </w:tc>
        <w:tc>
          <w:tcPr>
            <w:tcW w:w="3580" w:type="pct"/>
            <w:tcBorders>
              <w:tl2br w:val="nil"/>
              <w:tr2bl w:val="nil"/>
            </w:tcBorders>
            <w:shd w:val="clear" w:color="auto" w:fill="auto"/>
            <w:vAlign w:val="center"/>
          </w:tcPr>
          <w:p w14:paraId="5BF0B497">
            <w:pPr>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sz w:val="21"/>
                <w:szCs w:val="21"/>
                <w:lang w:eastAsia="zh-CN"/>
              </w:rPr>
              <w:t>1.</w:t>
            </w:r>
            <w:r>
              <w:rPr>
                <w:rFonts w:hint="eastAsia" w:ascii="宋体" w:hAnsi="宋体" w:eastAsia="宋体" w:cs="宋体"/>
                <w:color w:val="000000"/>
                <w:sz w:val="21"/>
                <w:szCs w:val="21"/>
                <w:lang w:val="en-US" w:eastAsia="zh-CN"/>
              </w:rPr>
              <w:t>投标人</w:t>
            </w:r>
            <w:r>
              <w:rPr>
                <w:rFonts w:hint="eastAsia" w:ascii="宋体" w:hAnsi="宋体" w:eastAsia="宋体" w:cs="宋体"/>
                <w:color w:val="000000"/>
                <w:sz w:val="21"/>
                <w:szCs w:val="21"/>
              </w:rPr>
              <w:t>具有软件过程能力成熟度等级证书（</w:t>
            </w:r>
            <w:r>
              <w:rPr>
                <w:rFonts w:hint="eastAsia" w:ascii="宋体" w:hAnsi="宋体" w:eastAsia="宋体" w:cs="宋体"/>
                <w:color w:val="000000"/>
                <w:sz w:val="21"/>
                <w:szCs w:val="21"/>
                <w:lang w:val="en-US" w:eastAsia="zh-CN"/>
              </w:rPr>
              <w:t>CSMM</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等级5级得5分</w:t>
            </w:r>
            <w:r>
              <w:rPr>
                <w:rFonts w:hint="eastAsia" w:ascii="宋体" w:hAnsi="宋体" w:eastAsia="宋体" w:cs="宋体"/>
                <w:color w:val="000000"/>
                <w:sz w:val="21"/>
                <w:szCs w:val="21"/>
                <w:lang w:eastAsia="zh-CN"/>
              </w:rPr>
              <w:t>，</w:t>
            </w:r>
            <w:r>
              <w:rPr>
                <w:rFonts w:hint="eastAsia" w:ascii="宋体" w:hAnsi="宋体" w:eastAsia="宋体" w:cs="宋体"/>
                <w:bCs/>
                <w:sz w:val="21"/>
                <w:szCs w:val="21"/>
              </w:rPr>
              <w:t>4</w:t>
            </w:r>
            <w:r>
              <w:rPr>
                <w:rFonts w:hint="eastAsia" w:ascii="宋体" w:hAnsi="宋体" w:eastAsia="宋体" w:cs="宋体"/>
                <w:color w:val="000000"/>
                <w:sz w:val="21"/>
                <w:szCs w:val="21"/>
              </w:rPr>
              <w:t>级得2分，3级及以下得1分，</w:t>
            </w:r>
            <w:r>
              <w:rPr>
                <w:rFonts w:hint="eastAsia" w:ascii="宋体" w:hAnsi="宋体" w:eastAsia="宋体" w:cs="宋体"/>
                <w:color w:val="000000"/>
                <w:sz w:val="21"/>
                <w:szCs w:val="21"/>
                <w:lang w:val="en-US" w:eastAsia="zh-CN"/>
              </w:rPr>
              <w:t>其他或</w:t>
            </w:r>
            <w:r>
              <w:rPr>
                <w:rFonts w:hint="eastAsia" w:ascii="宋体" w:hAnsi="宋体" w:eastAsia="宋体" w:cs="宋体"/>
                <w:color w:val="000000"/>
                <w:sz w:val="21"/>
                <w:szCs w:val="21"/>
              </w:rPr>
              <w:t>未提供不得分</w:t>
            </w:r>
            <w:r>
              <w:rPr>
                <w:rFonts w:hint="eastAsia" w:ascii="宋体" w:hAnsi="宋体" w:eastAsia="宋体" w:cs="宋体"/>
                <w:color w:val="000000"/>
                <w:sz w:val="21"/>
                <w:szCs w:val="21"/>
                <w:lang w:eastAsia="zh-CN"/>
              </w:rPr>
              <w:t>。</w:t>
            </w:r>
            <w:r>
              <w:rPr>
                <w:rFonts w:hint="eastAsia" w:ascii="宋体" w:hAnsi="宋体" w:eastAsia="宋体" w:cs="宋体"/>
                <w:color w:val="auto"/>
                <w:sz w:val="21"/>
                <w:szCs w:val="21"/>
                <w:highlight w:val="none"/>
                <w:lang w:val="en-US" w:eastAsia="zh-CN"/>
              </w:rPr>
              <w:t>（须提供有效期内的证书复印件并加盖</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公章）</w:t>
            </w:r>
          </w:p>
        </w:tc>
        <w:tc>
          <w:tcPr>
            <w:tcW w:w="393" w:type="pct"/>
            <w:tcBorders>
              <w:tl2br w:val="nil"/>
              <w:tr2bl w:val="nil"/>
            </w:tcBorders>
            <w:shd w:val="clear" w:color="auto" w:fill="auto"/>
            <w:vAlign w:val="center"/>
          </w:tcPr>
          <w:p w14:paraId="3C4CFC11">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7A26C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373" w:type="pct"/>
            <w:tcBorders>
              <w:tl2br w:val="nil"/>
              <w:tr2bl w:val="nil"/>
            </w:tcBorders>
            <w:shd w:val="clear" w:color="auto" w:fill="auto"/>
            <w:vAlign w:val="center"/>
          </w:tcPr>
          <w:p w14:paraId="6B38F5C5">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5.2</w:t>
            </w:r>
          </w:p>
        </w:tc>
        <w:tc>
          <w:tcPr>
            <w:tcW w:w="651" w:type="pct"/>
            <w:vMerge w:val="continue"/>
            <w:tcBorders>
              <w:tl2br w:val="nil"/>
              <w:tr2bl w:val="nil"/>
            </w:tcBorders>
            <w:shd w:val="clear" w:color="auto" w:fill="auto"/>
            <w:vAlign w:val="center"/>
          </w:tcPr>
          <w:p w14:paraId="4E3C649C">
            <w:pPr>
              <w:rPr>
                <w:rFonts w:hint="eastAsia" w:ascii="宋体" w:hAnsi="宋体" w:eastAsia="宋体" w:cs="宋体"/>
                <w:color w:val="auto"/>
                <w:sz w:val="21"/>
                <w:szCs w:val="21"/>
                <w:highlight w:val="none"/>
                <w:lang w:val="en-US" w:eastAsia="zh-CN"/>
              </w:rPr>
            </w:pPr>
          </w:p>
        </w:tc>
        <w:tc>
          <w:tcPr>
            <w:tcW w:w="3580" w:type="pct"/>
            <w:tcBorders>
              <w:tl2br w:val="nil"/>
              <w:tr2bl w:val="nil"/>
            </w:tcBorders>
            <w:shd w:val="clear" w:color="auto" w:fill="auto"/>
            <w:vAlign w:val="center"/>
          </w:tcPr>
          <w:p w14:paraId="0A869A39">
            <w:pPr>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sz w:val="21"/>
                <w:szCs w:val="21"/>
                <w:lang w:eastAsia="zh-CN"/>
              </w:rPr>
              <w:t>2.</w:t>
            </w:r>
            <w:r>
              <w:rPr>
                <w:rFonts w:hint="eastAsia" w:ascii="宋体" w:hAnsi="宋体" w:eastAsia="宋体" w:cs="宋体"/>
                <w:color w:val="000000"/>
                <w:sz w:val="21"/>
                <w:szCs w:val="21"/>
                <w:lang w:val="en-US" w:eastAsia="zh-CN"/>
              </w:rPr>
              <w:t>投标人</w:t>
            </w:r>
            <w:r>
              <w:rPr>
                <w:rFonts w:hint="eastAsia" w:ascii="宋体" w:hAnsi="宋体" w:eastAsia="宋体" w:cs="宋体"/>
                <w:color w:val="000000"/>
                <w:sz w:val="21"/>
                <w:szCs w:val="21"/>
                <w:lang w:eastAsia="zh-CN"/>
              </w:rPr>
              <w:t>具有信息技术服务运行维护标准符合性证书，二级或以上得5分，三级得2分，</w:t>
            </w:r>
            <w:r>
              <w:rPr>
                <w:rFonts w:hint="eastAsia" w:ascii="宋体" w:hAnsi="宋体" w:eastAsia="宋体" w:cs="宋体"/>
                <w:color w:val="000000"/>
                <w:sz w:val="21"/>
                <w:szCs w:val="21"/>
                <w:lang w:val="en-US" w:eastAsia="zh-CN"/>
              </w:rPr>
              <w:t>其他或</w:t>
            </w:r>
            <w:r>
              <w:rPr>
                <w:rFonts w:hint="eastAsia" w:ascii="宋体" w:hAnsi="宋体" w:eastAsia="宋体" w:cs="宋体"/>
                <w:color w:val="000000"/>
                <w:sz w:val="21"/>
                <w:szCs w:val="21"/>
              </w:rPr>
              <w:t>未提供不得分</w:t>
            </w:r>
            <w:r>
              <w:rPr>
                <w:rFonts w:hint="eastAsia" w:ascii="宋体" w:hAnsi="宋体" w:eastAsia="宋体" w:cs="宋体"/>
                <w:color w:val="000000"/>
                <w:sz w:val="21"/>
                <w:szCs w:val="21"/>
                <w:lang w:eastAsia="zh-CN"/>
              </w:rPr>
              <w:t>。</w:t>
            </w:r>
            <w:r>
              <w:rPr>
                <w:rFonts w:hint="eastAsia" w:ascii="宋体" w:hAnsi="宋体" w:eastAsia="宋体" w:cs="宋体"/>
                <w:color w:val="auto"/>
                <w:sz w:val="21"/>
                <w:szCs w:val="21"/>
                <w:highlight w:val="none"/>
                <w:lang w:val="en-US" w:eastAsia="zh-CN"/>
              </w:rPr>
              <w:t>（须提供有效期内的证书复印件并加盖</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 xml:space="preserve">公章） </w:t>
            </w:r>
          </w:p>
        </w:tc>
        <w:tc>
          <w:tcPr>
            <w:tcW w:w="393" w:type="pct"/>
            <w:tcBorders>
              <w:tl2br w:val="nil"/>
              <w:tr2bl w:val="nil"/>
            </w:tcBorders>
            <w:shd w:val="clear" w:color="auto" w:fill="auto"/>
            <w:vAlign w:val="center"/>
          </w:tcPr>
          <w:p w14:paraId="0BE8B9A6">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28EC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373" w:type="pct"/>
            <w:tcBorders>
              <w:tl2br w:val="nil"/>
              <w:tr2bl w:val="nil"/>
            </w:tcBorders>
            <w:shd w:val="clear" w:color="auto" w:fill="auto"/>
            <w:vAlign w:val="center"/>
          </w:tcPr>
          <w:p w14:paraId="762D2E7E">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5.3</w:t>
            </w:r>
          </w:p>
        </w:tc>
        <w:tc>
          <w:tcPr>
            <w:tcW w:w="651" w:type="pct"/>
            <w:vMerge w:val="continue"/>
            <w:tcBorders>
              <w:tl2br w:val="nil"/>
              <w:tr2bl w:val="nil"/>
            </w:tcBorders>
            <w:shd w:val="clear" w:color="auto" w:fill="auto"/>
            <w:vAlign w:val="center"/>
          </w:tcPr>
          <w:p w14:paraId="4A1E3D30">
            <w:pPr>
              <w:rPr>
                <w:rFonts w:hint="eastAsia" w:ascii="宋体" w:hAnsi="宋体" w:eastAsia="宋体" w:cs="宋体"/>
                <w:color w:val="auto"/>
                <w:sz w:val="21"/>
                <w:szCs w:val="21"/>
                <w:highlight w:val="none"/>
                <w:lang w:val="en-US" w:eastAsia="zh-CN"/>
              </w:rPr>
            </w:pPr>
          </w:p>
        </w:tc>
        <w:tc>
          <w:tcPr>
            <w:tcW w:w="3580" w:type="pct"/>
            <w:tcBorders>
              <w:tl2br w:val="nil"/>
              <w:tr2bl w:val="nil"/>
            </w:tcBorders>
            <w:shd w:val="clear" w:color="auto" w:fill="auto"/>
            <w:vAlign w:val="center"/>
          </w:tcPr>
          <w:p w14:paraId="777330C0">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3.投标人具有</w:t>
            </w:r>
            <w:r>
              <w:rPr>
                <w:rFonts w:hint="eastAsia" w:ascii="宋体" w:hAnsi="宋体" w:eastAsia="宋体" w:cs="宋体"/>
                <w:color w:val="auto"/>
                <w:sz w:val="21"/>
                <w:szCs w:val="21"/>
                <w:highlight w:val="none"/>
                <w:lang w:val="en-US" w:eastAsia="zh-CN"/>
              </w:rPr>
              <w:t>数据管理能力成熟度等级证书，等级是3级及以上得5分，2级得3分，1级得1分，</w:t>
            </w:r>
            <w:r>
              <w:rPr>
                <w:rFonts w:hint="eastAsia" w:ascii="宋体" w:hAnsi="宋体" w:eastAsia="宋体" w:cs="宋体"/>
                <w:color w:val="000000"/>
                <w:sz w:val="21"/>
                <w:szCs w:val="21"/>
                <w:lang w:val="en-US" w:eastAsia="zh-CN"/>
              </w:rPr>
              <w:t>其他或</w:t>
            </w:r>
            <w:r>
              <w:rPr>
                <w:rFonts w:hint="eastAsia" w:ascii="宋体" w:hAnsi="宋体" w:eastAsia="宋体" w:cs="宋体"/>
                <w:color w:val="000000"/>
                <w:sz w:val="21"/>
                <w:szCs w:val="21"/>
              </w:rPr>
              <w:t>未提供不得分</w:t>
            </w:r>
            <w:r>
              <w:rPr>
                <w:rFonts w:hint="eastAsia" w:ascii="宋体" w:hAnsi="宋体" w:eastAsia="宋体" w:cs="宋体"/>
                <w:color w:val="000000"/>
                <w:sz w:val="21"/>
                <w:szCs w:val="21"/>
                <w:lang w:eastAsia="zh-CN"/>
              </w:rPr>
              <w:t>。</w:t>
            </w:r>
            <w:r>
              <w:rPr>
                <w:rFonts w:hint="eastAsia" w:ascii="宋体" w:hAnsi="宋体" w:eastAsia="宋体" w:cs="宋体"/>
                <w:color w:val="auto"/>
                <w:sz w:val="21"/>
                <w:szCs w:val="21"/>
                <w:highlight w:val="none"/>
                <w:lang w:val="en-US" w:eastAsia="zh-CN"/>
              </w:rPr>
              <w:t>（须提供有效期内的证书复印件并加盖</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公章）</w:t>
            </w:r>
          </w:p>
        </w:tc>
        <w:tc>
          <w:tcPr>
            <w:tcW w:w="393" w:type="pct"/>
            <w:tcBorders>
              <w:tl2br w:val="nil"/>
              <w:tr2bl w:val="nil"/>
            </w:tcBorders>
            <w:shd w:val="clear" w:color="auto" w:fill="auto"/>
            <w:vAlign w:val="center"/>
          </w:tcPr>
          <w:p w14:paraId="277956C4">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001A1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373" w:type="pct"/>
            <w:tcBorders>
              <w:tl2br w:val="nil"/>
              <w:tr2bl w:val="nil"/>
            </w:tcBorders>
            <w:shd w:val="clear" w:color="auto" w:fill="auto"/>
            <w:vAlign w:val="center"/>
          </w:tcPr>
          <w:p w14:paraId="0C00230B">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5.4</w:t>
            </w:r>
          </w:p>
        </w:tc>
        <w:tc>
          <w:tcPr>
            <w:tcW w:w="651" w:type="pct"/>
            <w:vMerge w:val="continue"/>
            <w:tcBorders>
              <w:tl2br w:val="nil"/>
              <w:tr2bl w:val="nil"/>
            </w:tcBorders>
            <w:shd w:val="clear" w:color="auto" w:fill="auto"/>
            <w:vAlign w:val="center"/>
          </w:tcPr>
          <w:p w14:paraId="242DB200">
            <w:pPr>
              <w:rPr>
                <w:rFonts w:hint="eastAsia" w:ascii="宋体" w:hAnsi="宋体" w:eastAsia="宋体" w:cs="宋体"/>
                <w:color w:val="auto"/>
                <w:sz w:val="21"/>
                <w:szCs w:val="21"/>
                <w:highlight w:val="none"/>
                <w:lang w:val="en-US" w:eastAsia="zh-CN"/>
              </w:rPr>
            </w:pPr>
          </w:p>
        </w:tc>
        <w:tc>
          <w:tcPr>
            <w:tcW w:w="3580" w:type="pct"/>
            <w:tcBorders>
              <w:tl2br w:val="nil"/>
              <w:tr2bl w:val="nil"/>
            </w:tcBorders>
            <w:shd w:val="clear" w:color="auto" w:fill="auto"/>
            <w:vAlign w:val="center"/>
          </w:tcPr>
          <w:p w14:paraId="093F6250">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Cs w:val="21"/>
                <w:highlight w:val="none"/>
                <w:lang w:val="en-US" w:eastAsia="zh-CN"/>
              </w:rPr>
              <w:t>4.投标人具有信息系统建设和服务能力等级证书，能力达到优秀级（CS4）或以上得5分，CS3得3分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000000"/>
                <w:sz w:val="21"/>
                <w:szCs w:val="21"/>
                <w:lang w:val="en-US" w:eastAsia="zh-CN"/>
              </w:rPr>
              <w:t>其他或</w:t>
            </w:r>
            <w:r>
              <w:rPr>
                <w:rFonts w:hint="eastAsia" w:ascii="宋体" w:hAnsi="宋体" w:eastAsia="宋体" w:cs="宋体"/>
                <w:color w:val="000000"/>
                <w:sz w:val="21"/>
                <w:szCs w:val="21"/>
              </w:rPr>
              <w:t>未提供不得分</w:t>
            </w:r>
            <w:r>
              <w:rPr>
                <w:rFonts w:hint="eastAsia" w:ascii="宋体" w:hAnsi="宋体" w:eastAsia="宋体" w:cs="宋体"/>
                <w:color w:val="000000"/>
                <w:sz w:val="21"/>
                <w:szCs w:val="21"/>
                <w:lang w:eastAsia="zh-CN"/>
              </w:rPr>
              <w:t>。</w:t>
            </w:r>
            <w:r>
              <w:rPr>
                <w:rFonts w:hint="eastAsia" w:ascii="宋体" w:hAnsi="宋体" w:eastAsia="宋体" w:cs="宋体"/>
                <w:color w:val="auto"/>
                <w:sz w:val="21"/>
                <w:szCs w:val="21"/>
                <w:highlight w:val="none"/>
                <w:lang w:val="en-US" w:eastAsia="zh-CN"/>
              </w:rPr>
              <w:t>（须提供有效期内的证书复印件并加盖</w:t>
            </w:r>
            <w:r>
              <w:rPr>
                <w:rFonts w:hint="eastAsia" w:ascii="宋体" w:hAnsi="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en-US" w:eastAsia="zh-CN"/>
              </w:rPr>
              <w:t>公章）</w:t>
            </w:r>
          </w:p>
        </w:tc>
        <w:tc>
          <w:tcPr>
            <w:tcW w:w="393" w:type="pct"/>
            <w:tcBorders>
              <w:tl2br w:val="nil"/>
              <w:tr2bl w:val="nil"/>
            </w:tcBorders>
            <w:shd w:val="clear" w:color="auto" w:fill="auto"/>
            <w:vAlign w:val="center"/>
          </w:tcPr>
          <w:p w14:paraId="32066E2D">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r>
      <w:tr w14:paraId="172D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606" w:type="pct"/>
            <w:gridSpan w:val="3"/>
            <w:tcBorders>
              <w:tl2br w:val="nil"/>
              <w:tr2bl w:val="nil"/>
            </w:tcBorders>
            <w:shd w:val="clear" w:color="auto" w:fill="auto"/>
            <w:vAlign w:val="center"/>
          </w:tcPr>
          <w:p w14:paraId="654F4778">
            <w:pPr>
              <w:jc w:val="righ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合计：</w:t>
            </w:r>
          </w:p>
        </w:tc>
        <w:tc>
          <w:tcPr>
            <w:tcW w:w="393" w:type="pct"/>
            <w:tcBorders>
              <w:tl2br w:val="nil"/>
              <w:tr2bl w:val="nil"/>
            </w:tcBorders>
            <w:shd w:val="clear" w:color="auto" w:fill="auto"/>
            <w:vAlign w:val="center"/>
          </w:tcPr>
          <w:p w14:paraId="2D75B1AB">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bl>
    <w:p w14:paraId="1E74DDA2">
      <w:pPr>
        <w:rPr>
          <w:sz w:val="24"/>
        </w:rPr>
      </w:pPr>
    </w:p>
    <w:sectPr>
      <w:pgSz w:w="11907" w:h="16840"/>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简标宋">
    <w:altName w:val="黑体"/>
    <w:panose1 w:val="00000000000000000000"/>
    <w:charset w:val="86"/>
    <w:family w:val="auto"/>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D3965">
    <w:pPr>
      <w:pStyle w:val="17"/>
      <w:ind w:right="360"/>
      <w:jc w:val="center"/>
    </w:pPr>
    <w:r>
      <w:fldChar w:fldCharType="begin"/>
    </w:r>
    <w:r>
      <w:rPr>
        <w:rStyle w:val="31"/>
      </w:rPr>
      <w:instrText xml:space="preserve"> PAGE </w:instrText>
    </w:r>
    <w:r>
      <w:fldChar w:fldCharType="separate"/>
    </w:r>
    <w:r>
      <w:rPr>
        <w:rStyle w:val="31"/>
      </w:rPr>
      <w:t>- 30 -</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95956">
    <w:pPr>
      <w:pStyle w:val="17"/>
      <w:framePr w:wrap="around" w:vAnchor="text" w:hAnchor="margin" w:xAlign="right" w:y="1"/>
      <w:rPr>
        <w:rStyle w:val="31"/>
      </w:rPr>
    </w:pPr>
    <w:r>
      <w:fldChar w:fldCharType="begin"/>
    </w:r>
    <w:r>
      <w:rPr>
        <w:rStyle w:val="31"/>
      </w:rPr>
      <w:instrText xml:space="preserve">PAGE  </w:instrText>
    </w:r>
    <w:r>
      <w:fldChar w:fldCharType="end"/>
    </w:r>
  </w:p>
  <w:p w14:paraId="44E50EA2">
    <w:pPr>
      <w:pStyle w:val="1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7753F1"/>
    <w:multiLevelType w:val="singleLevel"/>
    <w:tmpl w:val="E17753F1"/>
    <w:lvl w:ilvl="0" w:tentative="0">
      <w:start w:val="1"/>
      <w:numFmt w:val="chineseCounting"/>
      <w:suff w:val="nothing"/>
      <w:lvlText w:val="（%1）"/>
      <w:lvlJc w:val="left"/>
      <w:pPr>
        <w:ind w:left="0" w:firstLine="420"/>
      </w:pPr>
      <w:rPr>
        <w:rFonts w:hint="eastAsia"/>
      </w:rPr>
    </w:lvl>
  </w:abstractNum>
  <w:abstractNum w:abstractNumId="1">
    <w:nsid w:val="571F1189"/>
    <w:multiLevelType w:val="multilevel"/>
    <w:tmpl w:val="571F1189"/>
    <w:lvl w:ilvl="0" w:tentative="0">
      <w:start w:val="1"/>
      <w:numFmt w:val="chineseCountingThousand"/>
      <w:lvlText w:val="%1、"/>
      <w:lvlJc w:val="left"/>
      <w:pPr>
        <w:ind w:left="420" w:hanging="420"/>
      </w:pPr>
      <w:rPr>
        <w:rFonts w:hint="eastAsia"/>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6213363C"/>
    <w:multiLevelType w:val="multilevel"/>
    <w:tmpl w:val="6213363C"/>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gutterAtTop/>
  <w:documentProtection w:enforcement="0"/>
  <w:defaultTabStop w:val="420"/>
  <w:drawingGridHorizontalSpacing w:val="0"/>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EB7"/>
    <w:rsid w:val="00002165"/>
    <w:rsid w:val="00003297"/>
    <w:rsid w:val="00003AB0"/>
    <w:rsid w:val="00006828"/>
    <w:rsid w:val="00007916"/>
    <w:rsid w:val="000102C8"/>
    <w:rsid w:val="00010800"/>
    <w:rsid w:val="00010D52"/>
    <w:rsid w:val="000129DA"/>
    <w:rsid w:val="00013396"/>
    <w:rsid w:val="00013D3C"/>
    <w:rsid w:val="00014E7F"/>
    <w:rsid w:val="000213BA"/>
    <w:rsid w:val="00024C10"/>
    <w:rsid w:val="000408D7"/>
    <w:rsid w:val="00041FC0"/>
    <w:rsid w:val="0004275F"/>
    <w:rsid w:val="00044689"/>
    <w:rsid w:val="000449D3"/>
    <w:rsid w:val="00045FE3"/>
    <w:rsid w:val="00050196"/>
    <w:rsid w:val="000511E4"/>
    <w:rsid w:val="000529C4"/>
    <w:rsid w:val="00052B77"/>
    <w:rsid w:val="00052DCC"/>
    <w:rsid w:val="0005462A"/>
    <w:rsid w:val="00057BB8"/>
    <w:rsid w:val="000608AA"/>
    <w:rsid w:val="00066982"/>
    <w:rsid w:val="00071C67"/>
    <w:rsid w:val="00074405"/>
    <w:rsid w:val="000749C6"/>
    <w:rsid w:val="00081415"/>
    <w:rsid w:val="000829BC"/>
    <w:rsid w:val="00085402"/>
    <w:rsid w:val="000864BD"/>
    <w:rsid w:val="00086641"/>
    <w:rsid w:val="00086B9C"/>
    <w:rsid w:val="00091B49"/>
    <w:rsid w:val="000928CD"/>
    <w:rsid w:val="00093E90"/>
    <w:rsid w:val="00094BB5"/>
    <w:rsid w:val="000A257B"/>
    <w:rsid w:val="000A26CA"/>
    <w:rsid w:val="000A2C9A"/>
    <w:rsid w:val="000A44B1"/>
    <w:rsid w:val="000A520A"/>
    <w:rsid w:val="000A5315"/>
    <w:rsid w:val="000B3B85"/>
    <w:rsid w:val="000B7098"/>
    <w:rsid w:val="000C0E0E"/>
    <w:rsid w:val="000C7098"/>
    <w:rsid w:val="000D039A"/>
    <w:rsid w:val="000D1060"/>
    <w:rsid w:val="000D13CD"/>
    <w:rsid w:val="000D2FDB"/>
    <w:rsid w:val="000D5EE1"/>
    <w:rsid w:val="000E3C31"/>
    <w:rsid w:val="000E556F"/>
    <w:rsid w:val="000E6816"/>
    <w:rsid w:val="000F00E0"/>
    <w:rsid w:val="000F1943"/>
    <w:rsid w:val="000F24C7"/>
    <w:rsid w:val="000F7A85"/>
    <w:rsid w:val="00101C3F"/>
    <w:rsid w:val="00110380"/>
    <w:rsid w:val="0011055D"/>
    <w:rsid w:val="00112A3E"/>
    <w:rsid w:val="00114E0D"/>
    <w:rsid w:val="00114EC3"/>
    <w:rsid w:val="0011768E"/>
    <w:rsid w:val="00120244"/>
    <w:rsid w:val="00123459"/>
    <w:rsid w:val="00123AA2"/>
    <w:rsid w:val="00125504"/>
    <w:rsid w:val="001302F5"/>
    <w:rsid w:val="001337D6"/>
    <w:rsid w:val="00136327"/>
    <w:rsid w:val="0014247E"/>
    <w:rsid w:val="00144E58"/>
    <w:rsid w:val="00146C5A"/>
    <w:rsid w:val="0014703A"/>
    <w:rsid w:val="001538D4"/>
    <w:rsid w:val="00154236"/>
    <w:rsid w:val="00156E7B"/>
    <w:rsid w:val="00157047"/>
    <w:rsid w:val="00163FD1"/>
    <w:rsid w:val="001670CA"/>
    <w:rsid w:val="00170FFC"/>
    <w:rsid w:val="00172A27"/>
    <w:rsid w:val="001740C8"/>
    <w:rsid w:val="001741A6"/>
    <w:rsid w:val="0017512B"/>
    <w:rsid w:val="0018079E"/>
    <w:rsid w:val="00186974"/>
    <w:rsid w:val="00191897"/>
    <w:rsid w:val="00194767"/>
    <w:rsid w:val="00195842"/>
    <w:rsid w:val="00195D4F"/>
    <w:rsid w:val="00196EC8"/>
    <w:rsid w:val="001A0695"/>
    <w:rsid w:val="001A26F3"/>
    <w:rsid w:val="001A346F"/>
    <w:rsid w:val="001A59B6"/>
    <w:rsid w:val="001A5BD3"/>
    <w:rsid w:val="001B4FAB"/>
    <w:rsid w:val="001B541C"/>
    <w:rsid w:val="001B576E"/>
    <w:rsid w:val="001B5FA9"/>
    <w:rsid w:val="001B7F67"/>
    <w:rsid w:val="001C2A62"/>
    <w:rsid w:val="001C5B45"/>
    <w:rsid w:val="001C621E"/>
    <w:rsid w:val="001D45CF"/>
    <w:rsid w:val="001D7BCE"/>
    <w:rsid w:val="001E5FDC"/>
    <w:rsid w:val="001F1738"/>
    <w:rsid w:val="001F441B"/>
    <w:rsid w:val="00200168"/>
    <w:rsid w:val="002025C2"/>
    <w:rsid w:val="00205F75"/>
    <w:rsid w:val="00206F03"/>
    <w:rsid w:val="00207987"/>
    <w:rsid w:val="00212001"/>
    <w:rsid w:val="00213E36"/>
    <w:rsid w:val="002156E9"/>
    <w:rsid w:val="002176AB"/>
    <w:rsid w:val="00220318"/>
    <w:rsid w:val="0022038E"/>
    <w:rsid w:val="0022145E"/>
    <w:rsid w:val="00222577"/>
    <w:rsid w:val="002232E5"/>
    <w:rsid w:val="00224F94"/>
    <w:rsid w:val="00234983"/>
    <w:rsid w:val="00235210"/>
    <w:rsid w:val="00236B09"/>
    <w:rsid w:val="00241015"/>
    <w:rsid w:val="00246082"/>
    <w:rsid w:val="00247A19"/>
    <w:rsid w:val="00250B7A"/>
    <w:rsid w:val="00251AE3"/>
    <w:rsid w:val="0025654C"/>
    <w:rsid w:val="00257652"/>
    <w:rsid w:val="00257C04"/>
    <w:rsid w:val="00265B18"/>
    <w:rsid w:val="00270508"/>
    <w:rsid w:val="00270AB4"/>
    <w:rsid w:val="00280A38"/>
    <w:rsid w:val="0028546B"/>
    <w:rsid w:val="002A134F"/>
    <w:rsid w:val="002A2FB3"/>
    <w:rsid w:val="002A33CC"/>
    <w:rsid w:val="002A59FE"/>
    <w:rsid w:val="002A6593"/>
    <w:rsid w:val="002A6941"/>
    <w:rsid w:val="002B29FD"/>
    <w:rsid w:val="002B4CF0"/>
    <w:rsid w:val="002B7671"/>
    <w:rsid w:val="002B7AB2"/>
    <w:rsid w:val="002C00CD"/>
    <w:rsid w:val="002C24BA"/>
    <w:rsid w:val="002C440E"/>
    <w:rsid w:val="002C650A"/>
    <w:rsid w:val="002D2A87"/>
    <w:rsid w:val="002D2DA6"/>
    <w:rsid w:val="002D3FB3"/>
    <w:rsid w:val="002D6658"/>
    <w:rsid w:val="002D6811"/>
    <w:rsid w:val="002D7BB8"/>
    <w:rsid w:val="002E3325"/>
    <w:rsid w:val="002F3064"/>
    <w:rsid w:val="00300BC8"/>
    <w:rsid w:val="00304C09"/>
    <w:rsid w:val="00310CDB"/>
    <w:rsid w:val="003137C2"/>
    <w:rsid w:val="00313981"/>
    <w:rsid w:val="00315AD3"/>
    <w:rsid w:val="00322F75"/>
    <w:rsid w:val="0032356A"/>
    <w:rsid w:val="0032558B"/>
    <w:rsid w:val="00327B1D"/>
    <w:rsid w:val="00331138"/>
    <w:rsid w:val="003354CA"/>
    <w:rsid w:val="00336C0C"/>
    <w:rsid w:val="003370FE"/>
    <w:rsid w:val="00341B57"/>
    <w:rsid w:val="003420B3"/>
    <w:rsid w:val="0034239E"/>
    <w:rsid w:val="00342B36"/>
    <w:rsid w:val="00342B7F"/>
    <w:rsid w:val="00347F63"/>
    <w:rsid w:val="00351476"/>
    <w:rsid w:val="003568A3"/>
    <w:rsid w:val="00360B52"/>
    <w:rsid w:val="0036629C"/>
    <w:rsid w:val="00367065"/>
    <w:rsid w:val="00370453"/>
    <w:rsid w:val="003723EC"/>
    <w:rsid w:val="0037369C"/>
    <w:rsid w:val="00373F72"/>
    <w:rsid w:val="0037728A"/>
    <w:rsid w:val="00381FD5"/>
    <w:rsid w:val="0038214C"/>
    <w:rsid w:val="00386520"/>
    <w:rsid w:val="00392F47"/>
    <w:rsid w:val="00394363"/>
    <w:rsid w:val="00396455"/>
    <w:rsid w:val="00397A34"/>
    <w:rsid w:val="003A3D7E"/>
    <w:rsid w:val="003A4ABC"/>
    <w:rsid w:val="003A7D01"/>
    <w:rsid w:val="003B488B"/>
    <w:rsid w:val="003C0583"/>
    <w:rsid w:val="003C21D6"/>
    <w:rsid w:val="003C2A5C"/>
    <w:rsid w:val="003C4372"/>
    <w:rsid w:val="003C5B13"/>
    <w:rsid w:val="003C72BB"/>
    <w:rsid w:val="003D1B7D"/>
    <w:rsid w:val="003D68C0"/>
    <w:rsid w:val="003D7330"/>
    <w:rsid w:val="003E3D43"/>
    <w:rsid w:val="003E7C35"/>
    <w:rsid w:val="003F0BE5"/>
    <w:rsid w:val="003F2257"/>
    <w:rsid w:val="004008F7"/>
    <w:rsid w:val="00400D8D"/>
    <w:rsid w:val="004077E6"/>
    <w:rsid w:val="00412000"/>
    <w:rsid w:val="00412743"/>
    <w:rsid w:val="004144EF"/>
    <w:rsid w:val="00415E9C"/>
    <w:rsid w:val="00416396"/>
    <w:rsid w:val="00417D8B"/>
    <w:rsid w:val="00421E87"/>
    <w:rsid w:val="00423DDE"/>
    <w:rsid w:val="00427E1C"/>
    <w:rsid w:val="00436E32"/>
    <w:rsid w:val="00440598"/>
    <w:rsid w:val="0044268D"/>
    <w:rsid w:val="00443CF6"/>
    <w:rsid w:val="004441AE"/>
    <w:rsid w:val="00451260"/>
    <w:rsid w:val="004546C0"/>
    <w:rsid w:val="00462916"/>
    <w:rsid w:val="00467101"/>
    <w:rsid w:val="00467BD4"/>
    <w:rsid w:val="00475851"/>
    <w:rsid w:val="00480775"/>
    <w:rsid w:val="00480D31"/>
    <w:rsid w:val="00481F77"/>
    <w:rsid w:val="004833C9"/>
    <w:rsid w:val="004835C8"/>
    <w:rsid w:val="00484B9E"/>
    <w:rsid w:val="00487991"/>
    <w:rsid w:val="00491164"/>
    <w:rsid w:val="00492A0C"/>
    <w:rsid w:val="00493EBA"/>
    <w:rsid w:val="00495DFE"/>
    <w:rsid w:val="00497C3C"/>
    <w:rsid w:val="004A2891"/>
    <w:rsid w:val="004A35A6"/>
    <w:rsid w:val="004A669D"/>
    <w:rsid w:val="004B0282"/>
    <w:rsid w:val="004B253B"/>
    <w:rsid w:val="004B2C3C"/>
    <w:rsid w:val="004B6352"/>
    <w:rsid w:val="004B7594"/>
    <w:rsid w:val="004C2474"/>
    <w:rsid w:val="004C2BFF"/>
    <w:rsid w:val="004C39A7"/>
    <w:rsid w:val="004C4124"/>
    <w:rsid w:val="004C4A46"/>
    <w:rsid w:val="004C5947"/>
    <w:rsid w:val="004D63CD"/>
    <w:rsid w:val="004E01F6"/>
    <w:rsid w:val="004E0E11"/>
    <w:rsid w:val="004E2003"/>
    <w:rsid w:val="004E29E2"/>
    <w:rsid w:val="004E3C63"/>
    <w:rsid w:val="004F400C"/>
    <w:rsid w:val="004F613D"/>
    <w:rsid w:val="004F7DBB"/>
    <w:rsid w:val="00503FE1"/>
    <w:rsid w:val="00505A03"/>
    <w:rsid w:val="0050669F"/>
    <w:rsid w:val="00510C03"/>
    <w:rsid w:val="00513FAF"/>
    <w:rsid w:val="00520620"/>
    <w:rsid w:val="00520D02"/>
    <w:rsid w:val="00521E9D"/>
    <w:rsid w:val="00522CAA"/>
    <w:rsid w:val="00526086"/>
    <w:rsid w:val="005269CB"/>
    <w:rsid w:val="005301E0"/>
    <w:rsid w:val="0053098E"/>
    <w:rsid w:val="00534938"/>
    <w:rsid w:val="005429D6"/>
    <w:rsid w:val="005507A4"/>
    <w:rsid w:val="005557AD"/>
    <w:rsid w:val="00556822"/>
    <w:rsid w:val="00557571"/>
    <w:rsid w:val="00565583"/>
    <w:rsid w:val="00567916"/>
    <w:rsid w:val="005745F5"/>
    <w:rsid w:val="00575B7A"/>
    <w:rsid w:val="00576301"/>
    <w:rsid w:val="005812D3"/>
    <w:rsid w:val="005839B0"/>
    <w:rsid w:val="00586720"/>
    <w:rsid w:val="0058696C"/>
    <w:rsid w:val="00586AB1"/>
    <w:rsid w:val="00591F83"/>
    <w:rsid w:val="005A0AEF"/>
    <w:rsid w:val="005A1487"/>
    <w:rsid w:val="005A1F4D"/>
    <w:rsid w:val="005A5948"/>
    <w:rsid w:val="005A60F7"/>
    <w:rsid w:val="005B0990"/>
    <w:rsid w:val="005B3A63"/>
    <w:rsid w:val="005B7620"/>
    <w:rsid w:val="005C0DA9"/>
    <w:rsid w:val="005C3659"/>
    <w:rsid w:val="005C4554"/>
    <w:rsid w:val="005C59FB"/>
    <w:rsid w:val="005C627C"/>
    <w:rsid w:val="005D1CE5"/>
    <w:rsid w:val="005D40FE"/>
    <w:rsid w:val="005D69B1"/>
    <w:rsid w:val="005D6ACD"/>
    <w:rsid w:val="005D71B0"/>
    <w:rsid w:val="005E0004"/>
    <w:rsid w:val="005E12C5"/>
    <w:rsid w:val="005E15D8"/>
    <w:rsid w:val="005E1822"/>
    <w:rsid w:val="005E260C"/>
    <w:rsid w:val="005E43B1"/>
    <w:rsid w:val="005E68EB"/>
    <w:rsid w:val="005F3ADE"/>
    <w:rsid w:val="005F4D02"/>
    <w:rsid w:val="00601BF7"/>
    <w:rsid w:val="0060524B"/>
    <w:rsid w:val="00606903"/>
    <w:rsid w:val="00607654"/>
    <w:rsid w:val="006113CF"/>
    <w:rsid w:val="006158DC"/>
    <w:rsid w:val="0061645A"/>
    <w:rsid w:val="0062126D"/>
    <w:rsid w:val="00621B09"/>
    <w:rsid w:val="006227BE"/>
    <w:rsid w:val="0063018F"/>
    <w:rsid w:val="00632A25"/>
    <w:rsid w:val="0063372F"/>
    <w:rsid w:val="00636088"/>
    <w:rsid w:val="006362B0"/>
    <w:rsid w:val="00641A15"/>
    <w:rsid w:val="0064576F"/>
    <w:rsid w:val="00650ECD"/>
    <w:rsid w:val="006547BF"/>
    <w:rsid w:val="00660AE8"/>
    <w:rsid w:val="00664807"/>
    <w:rsid w:val="00665625"/>
    <w:rsid w:val="00666A24"/>
    <w:rsid w:val="00671CF7"/>
    <w:rsid w:val="0067351F"/>
    <w:rsid w:val="00676B60"/>
    <w:rsid w:val="0067790A"/>
    <w:rsid w:val="006828EF"/>
    <w:rsid w:val="00683330"/>
    <w:rsid w:val="00685DDD"/>
    <w:rsid w:val="00690481"/>
    <w:rsid w:val="00690661"/>
    <w:rsid w:val="00692E2F"/>
    <w:rsid w:val="006A1EA6"/>
    <w:rsid w:val="006A3E62"/>
    <w:rsid w:val="006A4ACB"/>
    <w:rsid w:val="006A7A4B"/>
    <w:rsid w:val="006B09AC"/>
    <w:rsid w:val="006B3C32"/>
    <w:rsid w:val="006B41DC"/>
    <w:rsid w:val="006B70D2"/>
    <w:rsid w:val="006C1791"/>
    <w:rsid w:val="006C631F"/>
    <w:rsid w:val="006D09EA"/>
    <w:rsid w:val="006D6985"/>
    <w:rsid w:val="006E3FE7"/>
    <w:rsid w:val="006E430F"/>
    <w:rsid w:val="006E6D9F"/>
    <w:rsid w:val="006F3DCD"/>
    <w:rsid w:val="006F68AD"/>
    <w:rsid w:val="00701D78"/>
    <w:rsid w:val="00702C0E"/>
    <w:rsid w:val="00706198"/>
    <w:rsid w:val="00706BE0"/>
    <w:rsid w:val="00714C4C"/>
    <w:rsid w:val="00715BAF"/>
    <w:rsid w:val="0071794C"/>
    <w:rsid w:val="00726195"/>
    <w:rsid w:val="007268FD"/>
    <w:rsid w:val="0073062F"/>
    <w:rsid w:val="00731000"/>
    <w:rsid w:val="00732671"/>
    <w:rsid w:val="00733043"/>
    <w:rsid w:val="007353E7"/>
    <w:rsid w:val="00741235"/>
    <w:rsid w:val="00753F28"/>
    <w:rsid w:val="007635E7"/>
    <w:rsid w:val="00771B3B"/>
    <w:rsid w:val="00772250"/>
    <w:rsid w:val="0077769A"/>
    <w:rsid w:val="00777F77"/>
    <w:rsid w:val="00781022"/>
    <w:rsid w:val="00781DB4"/>
    <w:rsid w:val="00785043"/>
    <w:rsid w:val="007865D6"/>
    <w:rsid w:val="00790ADF"/>
    <w:rsid w:val="00794764"/>
    <w:rsid w:val="00795CE5"/>
    <w:rsid w:val="007A02D3"/>
    <w:rsid w:val="007A1DF5"/>
    <w:rsid w:val="007A1F1A"/>
    <w:rsid w:val="007A6607"/>
    <w:rsid w:val="007B22A9"/>
    <w:rsid w:val="007B26AB"/>
    <w:rsid w:val="007C2E93"/>
    <w:rsid w:val="007C4817"/>
    <w:rsid w:val="007C5B30"/>
    <w:rsid w:val="007C66B3"/>
    <w:rsid w:val="007D68B2"/>
    <w:rsid w:val="007E1DC9"/>
    <w:rsid w:val="007E360B"/>
    <w:rsid w:val="007E4794"/>
    <w:rsid w:val="007F0F99"/>
    <w:rsid w:val="007F7BCC"/>
    <w:rsid w:val="007F7E0C"/>
    <w:rsid w:val="0080554F"/>
    <w:rsid w:val="00806276"/>
    <w:rsid w:val="0081290A"/>
    <w:rsid w:val="008154F8"/>
    <w:rsid w:val="00820231"/>
    <w:rsid w:val="00820E85"/>
    <w:rsid w:val="008249A0"/>
    <w:rsid w:val="008256E0"/>
    <w:rsid w:val="008300B9"/>
    <w:rsid w:val="00833334"/>
    <w:rsid w:val="00834ADC"/>
    <w:rsid w:val="00837F30"/>
    <w:rsid w:val="00843022"/>
    <w:rsid w:val="008449D1"/>
    <w:rsid w:val="0084642B"/>
    <w:rsid w:val="00852238"/>
    <w:rsid w:val="008556E9"/>
    <w:rsid w:val="0085663A"/>
    <w:rsid w:val="008567B8"/>
    <w:rsid w:val="00862964"/>
    <w:rsid w:val="0086450E"/>
    <w:rsid w:val="00864C00"/>
    <w:rsid w:val="0087215E"/>
    <w:rsid w:val="00873150"/>
    <w:rsid w:val="0087428F"/>
    <w:rsid w:val="008773D9"/>
    <w:rsid w:val="00877A82"/>
    <w:rsid w:val="0088015C"/>
    <w:rsid w:val="00884033"/>
    <w:rsid w:val="00885D9E"/>
    <w:rsid w:val="0089021D"/>
    <w:rsid w:val="00891B4D"/>
    <w:rsid w:val="008950FC"/>
    <w:rsid w:val="00895142"/>
    <w:rsid w:val="008A0F14"/>
    <w:rsid w:val="008A4F0E"/>
    <w:rsid w:val="008A51EC"/>
    <w:rsid w:val="008A57B7"/>
    <w:rsid w:val="008B0347"/>
    <w:rsid w:val="008B5DE6"/>
    <w:rsid w:val="008C0B9D"/>
    <w:rsid w:val="008C6860"/>
    <w:rsid w:val="008D133A"/>
    <w:rsid w:val="008D14C4"/>
    <w:rsid w:val="008D2636"/>
    <w:rsid w:val="008D3BB2"/>
    <w:rsid w:val="008D3C06"/>
    <w:rsid w:val="008D3CCB"/>
    <w:rsid w:val="008D4262"/>
    <w:rsid w:val="008D55EF"/>
    <w:rsid w:val="008D565A"/>
    <w:rsid w:val="008D666A"/>
    <w:rsid w:val="008E0610"/>
    <w:rsid w:val="008E4432"/>
    <w:rsid w:val="008F025C"/>
    <w:rsid w:val="008F05E7"/>
    <w:rsid w:val="008F0C14"/>
    <w:rsid w:val="008F3065"/>
    <w:rsid w:val="008F3DC2"/>
    <w:rsid w:val="009002BC"/>
    <w:rsid w:val="00904FAE"/>
    <w:rsid w:val="00905099"/>
    <w:rsid w:val="009055A7"/>
    <w:rsid w:val="00905AA1"/>
    <w:rsid w:val="009141DA"/>
    <w:rsid w:val="0091594C"/>
    <w:rsid w:val="0091644E"/>
    <w:rsid w:val="009202CA"/>
    <w:rsid w:val="00923FD9"/>
    <w:rsid w:val="009242CA"/>
    <w:rsid w:val="0092553D"/>
    <w:rsid w:val="00925D64"/>
    <w:rsid w:val="00926B89"/>
    <w:rsid w:val="0093017D"/>
    <w:rsid w:val="00931C19"/>
    <w:rsid w:val="00933328"/>
    <w:rsid w:val="00933FF5"/>
    <w:rsid w:val="0094012B"/>
    <w:rsid w:val="009405C8"/>
    <w:rsid w:val="0094461E"/>
    <w:rsid w:val="00945398"/>
    <w:rsid w:val="00950DCC"/>
    <w:rsid w:val="009563B8"/>
    <w:rsid w:val="00963D67"/>
    <w:rsid w:val="0097211C"/>
    <w:rsid w:val="00973791"/>
    <w:rsid w:val="00973CCF"/>
    <w:rsid w:val="00973CFC"/>
    <w:rsid w:val="00981EA7"/>
    <w:rsid w:val="009826D9"/>
    <w:rsid w:val="009833E8"/>
    <w:rsid w:val="00985B87"/>
    <w:rsid w:val="00986993"/>
    <w:rsid w:val="00994E2B"/>
    <w:rsid w:val="009B32DE"/>
    <w:rsid w:val="009B640D"/>
    <w:rsid w:val="009C1641"/>
    <w:rsid w:val="009C1815"/>
    <w:rsid w:val="009C1E45"/>
    <w:rsid w:val="009C4A93"/>
    <w:rsid w:val="009D02F1"/>
    <w:rsid w:val="009D1DF4"/>
    <w:rsid w:val="009D26B5"/>
    <w:rsid w:val="009D2780"/>
    <w:rsid w:val="009D43AA"/>
    <w:rsid w:val="009D5101"/>
    <w:rsid w:val="009D5F9E"/>
    <w:rsid w:val="009D7296"/>
    <w:rsid w:val="009D7626"/>
    <w:rsid w:val="009E178B"/>
    <w:rsid w:val="009E2358"/>
    <w:rsid w:val="009F1033"/>
    <w:rsid w:val="009F7719"/>
    <w:rsid w:val="00A05FC7"/>
    <w:rsid w:val="00A11EE6"/>
    <w:rsid w:val="00A21FFC"/>
    <w:rsid w:val="00A248DE"/>
    <w:rsid w:val="00A31C42"/>
    <w:rsid w:val="00A325C7"/>
    <w:rsid w:val="00A37EC9"/>
    <w:rsid w:val="00A37FA9"/>
    <w:rsid w:val="00A51635"/>
    <w:rsid w:val="00A52293"/>
    <w:rsid w:val="00A54E30"/>
    <w:rsid w:val="00A71698"/>
    <w:rsid w:val="00A720FE"/>
    <w:rsid w:val="00A74266"/>
    <w:rsid w:val="00A80DBD"/>
    <w:rsid w:val="00A82462"/>
    <w:rsid w:val="00A86E65"/>
    <w:rsid w:val="00A904CC"/>
    <w:rsid w:val="00A9111B"/>
    <w:rsid w:val="00A950A4"/>
    <w:rsid w:val="00A96B4F"/>
    <w:rsid w:val="00AA05CC"/>
    <w:rsid w:val="00AA5AED"/>
    <w:rsid w:val="00AA68A2"/>
    <w:rsid w:val="00AB1BAE"/>
    <w:rsid w:val="00AB3E61"/>
    <w:rsid w:val="00AB40DB"/>
    <w:rsid w:val="00AB48DF"/>
    <w:rsid w:val="00AB7180"/>
    <w:rsid w:val="00AC28E3"/>
    <w:rsid w:val="00AC5FEA"/>
    <w:rsid w:val="00AC68FB"/>
    <w:rsid w:val="00AC7F1A"/>
    <w:rsid w:val="00AD0EE5"/>
    <w:rsid w:val="00AD1707"/>
    <w:rsid w:val="00AD3A83"/>
    <w:rsid w:val="00AD4CA5"/>
    <w:rsid w:val="00AE0466"/>
    <w:rsid w:val="00AE0969"/>
    <w:rsid w:val="00AE701D"/>
    <w:rsid w:val="00AE7549"/>
    <w:rsid w:val="00AE7EA2"/>
    <w:rsid w:val="00AF7CA7"/>
    <w:rsid w:val="00B00A00"/>
    <w:rsid w:val="00B222CB"/>
    <w:rsid w:val="00B2244A"/>
    <w:rsid w:val="00B22C29"/>
    <w:rsid w:val="00B261F9"/>
    <w:rsid w:val="00B353DE"/>
    <w:rsid w:val="00B45123"/>
    <w:rsid w:val="00B46D0E"/>
    <w:rsid w:val="00B50E69"/>
    <w:rsid w:val="00B52928"/>
    <w:rsid w:val="00B60621"/>
    <w:rsid w:val="00B61578"/>
    <w:rsid w:val="00B61F6A"/>
    <w:rsid w:val="00B63E2D"/>
    <w:rsid w:val="00B63E3B"/>
    <w:rsid w:val="00B64171"/>
    <w:rsid w:val="00B65B2B"/>
    <w:rsid w:val="00B74DF6"/>
    <w:rsid w:val="00B75749"/>
    <w:rsid w:val="00B75770"/>
    <w:rsid w:val="00B76E76"/>
    <w:rsid w:val="00B80066"/>
    <w:rsid w:val="00B810FF"/>
    <w:rsid w:val="00B813C9"/>
    <w:rsid w:val="00B819C0"/>
    <w:rsid w:val="00B832B4"/>
    <w:rsid w:val="00B91785"/>
    <w:rsid w:val="00B946B0"/>
    <w:rsid w:val="00BA1264"/>
    <w:rsid w:val="00BA1E07"/>
    <w:rsid w:val="00BA3F05"/>
    <w:rsid w:val="00BA3F8C"/>
    <w:rsid w:val="00BA4044"/>
    <w:rsid w:val="00BA7189"/>
    <w:rsid w:val="00BB16AB"/>
    <w:rsid w:val="00BB7957"/>
    <w:rsid w:val="00BC0324"/>
    <w:rsid w:val="00BC39E8"/>
    <w:rsid w:val="00BC3C3C"/>
    <w:rsid w:val="00BD0FFD"/>
    <w:rsid w:val="00BE1722"/>
    <w:rsid w:val="00BE48BE"/>
    <w:rsid w:val="00BF01C3"/>
    <w:rsid w:val="00BF02C3"/>
    <w:rsid w:val="00BF0FC6"/>
    <w:rsid w:val="00BF13B6"/>
    <w:rsid w:val="00BF2F80"/>
    <w:rsid w:val="00BF5086"/>
    <w:rsid w:val="00BF5F55"/>
    <w:rsid w:val="00BF7F74"/>
    <w:rsid w:val="00C060D6"/>
    <w:rsid w:val="00C11BA9"/>
    <w:rsid w:val="00C11CE1"/>
    <w:rsid w:val="00C1433C"/>
    <w:rsid w:val="00C14703"/>
    <w:rsid w:val="00C15294"/>
    <w:rsid w:val="00C16276"/>
    <w:rsid w:val="00C163FF"/>
    <w:rsid w:val="00C22C7A"/>
    <w:rsid w:val="00C2478C"/>
    <w:rsid w:val="00C25084"/>
    <w:rsid w:val="00C26042"/>
    <w:rsid w:val="00C31016"/>
    <w:rsid w:val="00C35ACF"/>
    <w:rsid w:val="00C4116C"/>
    <w:rsid w:val="00C45761"/>
    <w:rsid w:val="00C463AE"/>
    <w:rsid w:val="00C4680C"/>
    <w:rsid w:val="00C46CF6"/>
    <w:rsid w:val="00C474B8"/>
    <w:rsid w:val="00C537EC"/>
    <w:rsid w:val="00C543C0"/>
    <w:rsid w:val="00C5522C"/>
    <w:rsid w:val="00C6454E"/>
    <w:rsid w:val="00C65D27"/>
    <w:rsid w:val="00C6787E"/>
    <w:rsid w:val="00C71746"/>
    <w:rsid w:val="00C74533"/>
    <w:rsid w:val="00C762CB"/>
    <w:rsid w:val="00C7681E"/>
    <w:rsid w:val="00C77074"/>
    <w:rsid w:val="00C82739"/>
    <w:rsid w:val="00C83A88"/>
    <w:rsid w:val="00C83BC9"/>
    <w:rsid w:val="00C83D2E"/>
    <w:rsid w:val="00C86968"/>
    <w:rsid w:val="00C9550F"/>
    <w:rsid w:val="00C97E4E"/>
    <w:rsid w:val="00CA0847"/>
    <w:rsid w:val="00CA0D11"/>
    <w:rsid w:val="00CA0D50"/>
    <w:rsid w:val="00CA170A"/>
    <w:rsid w:val="00CA17D5"/>
    <w:rsid w:val="00CA4004"/>
    <w:rsid w:val="00CB02EF"/>
    <w:rsid w:val="00CB57F8"/>
    <w:rsid w:val="00CB6933"/>
    <w:rsid w:val="00CB78A2"/>
    <w:rsid w:val="00CB7A49"/>
    <w:rsid w:val="00CC18F5"/>
    <w:rsid w:val="00CC21DA"/>
    <w:rsid w:val="00CC2BBE"/>
    <w:rsid w:val="00CC781E"/>
    <w:rsid w:val="00CC7E9F"/>
    <w:rsid w:val="00CD391C"/>
    <w:rsid w:val="00CD469E"/>
    <w:rsid w:val="00CD54AB"/>
    <w:rsid w:val="00CD56D5"/>
    <w:rsid w:val="00CD76A3"/>
    <w:rsid w:val="00CE1197"/>
    <w:rsid w:val="00CE70B2"/>
    <w:rsid w:val="00CF09ED"/>
    <w:rsid w:val="00CF20C5"/>
    <w:rsid w:val="00CF3A78"/>
    <w:rsid w:val="00CF55F5"/>
    <w:rsid w:val="00CF585B"/>
    <w:rsid w:val="00CF5D7A"/>
    <w:rsid w:val="00CF62CB"/>
    <w:rsid w:val="00CF7273"/>
    <w:rsid w:val="00CF7C4A"/>
    <w:rsid w:val="00D02838"/>
    <w:rsid w:val="00D02BC5"/>
    <w:rsid w:val="00D03761"/>
    <w:rsid w:val="00D075D0"/>
    <w:rsid w:val="00D23640"/>
    <w:rsid w:val="00D26C7D"/>
    <w:rsid w:val="00D27725"/>
    <w:rsid w:val="00D27DEA"/>
    <w:rsid w:val="00D30D4A"/>
    <w:rsid w:val="00D31B04"/>
    <w:rsid w:val="00D514B2"/>
    <w:rsid w:val="00D52EE1"/>
    <w:rsid w:val="00D5419F"/>
    <w:rsid w:val="00D63B3F"/>
    <w:rsid w:val="00D663BA"/>
    <w:rsid w:val="00D722E5"/>
    <w:rsid w:val="00D76B65"/>
    <w:rsid w:val="00D770DA"/>
    <w:rsid w:val="00D81169"/>
    <w:rsid w:val="00D90069"/>
    <w:rsid w:val="00D90563"/>
    <w:rsid w:val="00D90654"/>
    <w:rsid w:val="00D90954"/>
    <w:rsid w:val="00D963B5"/>
    <w:rsid w:val="00DB2611"/>
    <w:rsid w:val="00DB3311"/>
    <w:rsid w:val="00DB5086"/>
    <w:rsid w:val="00DB6C28"/>
    <w:rsid w:val="00DB6E55"/>
    <w:rsid w:val="00DB7C7E"/>
    <w:rsid w:val="00DC178C"/>
    <w:rsid w:val="00DC4C8F"/>
    <w:rsid w:val="00DC7070"/>
    <w:rsid w:val="00DD0C58"/>
    <w:rsid w:val="00DD4886"/>
    <w:rsid w:val="00DE2836"/>
    <w:rsid w:val="00DE40D2"/>
    <w:rsid w:val="00DF2BF0"/>
    <w:rsid w:val="00DF50DE"/>
    <w:rsid w:val="00DF6901"/>
    <w:rsid w:val="00DF7061"/>
    <w:rsid w:val="00E061E2"/>
    <w:rsid w:val="00E10368"/>
    <w:rsid w:val="00E10BED"/>
    <w:rsid w:val="00E1419A"/>
    <w:rsid w:val="00E20C65"/>
    <w:rsid w:val="00E20E4A"/>
    <w:rsid w:val="00E23C7A"/>
    <w:rsid w:val="00E34F1B"/>
    <w:rsid w:val="00E37B8C"/>
    <w:rsid w:val="00E41920"/>
    <w:rsid w:val="00E4462C"/>
    <w:rsid w:val="00E46EEB"/>
    <w:rsid w:val="00E47566"/>
    <w:rsid w:val="00E50376"/>
    <w:rsid w:val="00E525C0"/>
    <w:rsid w:val="00E620B6"/>
    <w:rsid w:val="00E6228B"/>
    <w:rsid w:val="00E70704"/>
    <w:rsid w:val="00E73041"/>
    <w:rsid w:val="00E774FE"/>
    <w:rsid w:val="00E803B1"/>
    <w:rsid w:val="00E8265B"/>
    <w:rsid w:val="00E85EA8"/>
    <w:rsid w:val="00E91F2D"/>
    <w:rsid w:val="00E94E14"/>
    <w:rsid w:val="00EA25A0"/>
    <w:rsid w:val="00EB0ADA"/>
    <w:rsid w:val="00EB48A6"/>
    <w:rsid w:val="00EB7E8A"/>
    <w:rsid w:val="00EC1F8A"/>
    <w:rsid w:val="00EC4276"/>
    <w:rsid w:val="00EC5DB1"/>
    <w:rsid w:val="00ED32AA"/>
    <w:rsid w:val="00EE2AA0"/>
    <w:rsid w:val="00EE313D"/>
    <w:rsid w:val="00EE44DC"/>
    <w:rsid w:val="00EE67AC"/>
    <w:rsid w:val="00EF42A8"/>
    <w:rsid w:val="00F06E68"/>
    <w:rsid w:val="00F15662"/>
    <w:rsid w:val="00F15FAA"/>
    <w:rsid w:val="00F16ED7"/>
    <w:rsid w:val="00F249A7"/>
    <w:rsid w:val="00F26376"/>
    <w:rsid w:val="00F30298"/>
    <w:rsid w:val="00F3029E"/>
    <w:rsid w:val="00F32031"/>
    <w:rsid w:val="00F32F54"/>
    <w:rsid w:val="00F359B8"/>
    <w:rsid w:val="00F37939"/>
    <w:rsid w:val="00F400A4"/>
    <w:rsid w:val="00F44F67"/>
    <w:rsid w:val="00F47334"/>
    <w:rsid w:val="00F52EE4"/>
    <w:rsid w:val="00F61537"/>
    <w:rsid w:val="00F66233"/>
    <w:rsid w:val="00F66FB2"/>
    <w:rsid w:val="00F67CEB"/>
    <w:rsid w:val="00F816B6"/>
    <w:rsid w:val="00F8251B"/>
    <w:rsid w:val="00F850E1"/>
    <w:rsid w:val="00F8641B"/>
    <w:rsid w:val="00F87182"/>
    <w:rsid w:val="00F907E3"/>
    <w:rsid w:val="00F974DE"/>
    <w:rsid w:val="00FA1603"/>
    <w:rsid w:val="00FA2AB7"/>
    <w:rsid w:val="00FB1131"/>
    <w:rsid w:val="00FB185F"/>
    <w:rsid w:val="00FB1D44"/>
    <w:rsid w:val="00FB21C7"/>
    <w:rsid w:val="00FB3A73"/>
    <w:rsid w:val="00FB5C5D"/>
    <w:rsid w:val="00FB7BB8"/>
    <w:rsid w:val="00FD440F"/>
    <w:rsid w:val="00FD52EF"/>
    <w:rsid w:val="00FD7284"/>
    <w:rsid w:val="00FE0F29"/>
    <w:rsid w:val="00FE6ED6"/>
    <w:rsid w:val="00FE7F88"/>
    <w:rsid w:val="00FF26A5"/>
    <w:rsid w:val="00FF309F"/>
    <w:rsid w:val="00FF3203"/>
    <w:rsid w:val="017C3055"/>
    <w:rsid w:val="028040E6"/>
    <w:rsid w:val="02B07FF7"/>
    <w:rsid w:val="0306072C"/>
    <w:rsid w:val="035717DD"/>
    <w:rsid w:val="036B7A18"/>
    <w:rsid w:val="03733BDF"/>
    <w:rsid w:val="03A308DC"/>
    <w:rsid w:val="03B967BA"/>
    <w:rsid w:val="03C07E8F"/>
    <w:rsid w:val="03C10B18"/>
    <w:rsid w:val="040532BA"/>
    <w:rsid w:val="04176582"/>
    <w:rsid w:val="04D1736D"/>
    <w:rsid w:val="051259ED"/>
    <w:rsid w:val="05232A17"/>
    <w:rsid w:val="07041580"/>
    <w:rsid w:val="07932A4C"/>
    <w:rsid w:val="07F26228"/>
    <w:rsid w:val="08DB1CFF"/>
    <w:rsid w:val="09137F54"/>
    <w:rsid w:val="09A10071"/>
    <w:rsid w:val="09DF5147"/>
    <w:rsid w:val="0A9E30AD"/>
    <w:rsid w:val="0AE47E6C"/>
    <w:rsid w:val="0B8F3BD1"/>
    <w:rsid w:val="0BC10E24"/>
    <w:rsid w:val="0BEB3B44"/>
    <w:rsid w:val="0C0644C0"/>
    <w:rsid w:val="0C3E1481"/>
    <w:rsid w:val="0D5D2955"/>
    <w:rsid w:val="0D927D0C"/>
    <w:rsid w:val="0E552DBD"/>
    <w:rsid w:val="0E947D89"/>
    <w:rsid w:val="0EB3315D"/>
    <w:rsid w:val="0EC2146B"/>
    <w:rsid w:val="0F0649A8"/>
    <w:rsid w:val="0FB659D5"/>
    <w:rsid w:val="10D62AA4"/>
    <w:rsid w:val="10E01AC6"/>
    <w:rsid w:val="12166380"/>
    <w:rsid w:val="13552B79"/>
    <w:rsid w:val="13793DF7"/>
    <w:rsid w:val="13936861"/>
    <w:rsid w:val="141C4A83"/>
    <w:rsid w:val="14354A58"/>
    <w:rsid w:val="14677422"/>
    <w:rsid w:val="152E6B10"/>
    <w:rsid w:val="16707A14"/>
    <w:rsid w:val="169F77B7"/>
    <w:rsid w:val="17693379"/>
    <w:rsid w:val="17AF07BB"/>
    <w:rsid w:val="17C374FB"/>
    <w:rsid w:val="181939B9"/>
    <w:rsid w:val="18CD45C3"/>
    <w:rsid w:val="18D74DC1"/>
    <w:rsid w:val="19805192"/>
    <w:rsid w:val="198F0959"/>
    <w:rsid w:val="199D5F29"/>
    <w:rsid w:val="1AED58EF"/>
    <w:rsid w:val="1C037E31"/>
    <w:rsid w:val="1F0364A2"/>
    <w:rsid w:val="1F397F3B"/>
    <w:rsid w:val="1F3A0BB5"/>
    <w:rsid w:val="1FA92FCB"/>
    <w:rsid w:val="1FB4044E"/>
    <w:rsid w:val="1FF4063A"/>
    <w:rsid w:val="20193BC8"/>
    <w:rsid w:val="202A40A9"/>
    <w:rsid w:val="21035F0B"/>
    <w:rsid w:val="21BB2414"/>
    <w:rsid w:val="220D398C"/>
    <w:rsid w:val="22131A84"/>
    <w:rsid w:val="22400CF8"/>
    <w:rsid w:val="2301566F"/>
    <w:rsid w:val="235D6544"/>
    <w:rsid w:val="23A84C85"/>
    <w:rsid w:val="23D700A4"/>
    <w:rsid w:val="24165293"/>
    <w:rsid w:val="24A10BF5"/>
    <w:rsid w:val="24D70B68"/>
    <w:rsid w:val="270F224B"/>
    <w:rsid w:val="27BC5F2F"/>
    <w:rsid w:val="28760433"/>
    <w:rsid w:val="287B63A6"/>
    <w:rsid w:val="29613C02"/>
    <w:rsid w:val="29DB03AA"/>
    <w:rsid w:val="2A397C18"/>
    <w:rsid w:val="2A5015D5"/>
    <w:rsid w:val="2A565288"/>
    <w:rsid w:val="2A81520E"/>
    <w:rsid w:val="2AC15C90"/>
    <w:rsid w:val="2ACE5D7A"/>
    <w:rsid w:val="2AF63392"/>
    <w:rsid w:val="2B8C563C"/>
    <w:rsid w:val="2C3F2C8B"/>
    <w:rsid w:val="2C435650"/>
    <w:rsid w:val="2C54310F"/>
    <w:rsid w:val="2C66791C"/>
    <w:rsid w:val="2CCC7521"/>
    <w:rsid w:val="2D2A577C"/>
    <w:rsid w:val="2D7A3266"/>
    <w:rsid w:val="2D8B5DE2"/>
    <w:rsid w:val="2ED949F9"/>
    <w:rsid w:val="2EDD0FB3"/>
    <w:rsid w:val="2EE72104"/>
    <w:rsid w:val="30091F7C"/>
    <w:rsid w:val="311110E7"/>
    <w:rsid w:val="312513B2"/>
    <w:rsid w:val="314862A9"/>
    <w:rsid w:val="31B042BF"/>
    <w:rsid w:val="31F12401"/>
    <w:rsid w:val="31FF5F72"/>
    <w:rsid w:val="32035D60"/>
    <w:rsid w:val="326E6953"/>
    <w:rsid w:val="33523A32"/>
    <w:rsid w:val="33A8380B"/>
    <w:rsid w:val="351D3D85"/>
    <w:rsid w:val="36D23A94"/>
    <w:rsid w:val="370C175D"/>
    <w:rsid w:val="371548E8"/>
    <w:rsid w:val="376940D0"/>
    <w:rsid w:val="37826121"/>
    <w:rsid w:val="37AE4CD6"/>
    <w:rsid w:val="37F925C7"/>
    <w:rsid w:val="38575B73"/>
    <w:rsid w:val="385775AE"/>
    <w:rsid w:val="39321D68"/>
    <w:rsid w:val="3A6D130B"/>
    <w:rsid w:val="3A6D4E67"/>
    <w:rsid w:val="3AA82343"/>
    <w:rsid w:val="3AAC1DDF"/>
    <w:rsid w:val="3AB53C55"/>
    <w:rsid w:val="3B18425F"/>
    <w:rsid w:val="3B1B48C3"/>
    <w:rsid w:val="3B7F4E52"/>
    <w:rsid w:val="3BA05B46"/>
    <w:rsid w:val="3BAE6CD9"/>
    <w:rsid w:val="3C3000ED"/>
    <w:rsid w:val="3C3C7157"/>
    <w:rsid w:val="3CBF3FD7"/>
    <w:rsid w:val="3D232399"/>
    <w:rsid w:val="3D2E2D19"/>
    <w:rsid w:val="3D31181A"/>
    <w:rsid w:val="3DC87CB2"/>
    <w:rsid w:val="3E2837F6"/>
    <w:rsid w:val="3E902BE2"/>
    <w:rsid w:val="3F4F365B"/>
    <w:rsid w:val="3F8627BD"/>
    <w:rsid w:val="3FA06D36"/>
    <w:rsid w:val="3FC613D9"/>
    <w:rsid w:val="41093759"/>
    <w:rsid w:val="41380196"/>
    <w:rsid w:val="41415EFF"/>
    <w:rsid w:val="41CF1EAC"/>
    <w:rsid w:val="41D026B4"/>
    <w:rsid w:val="42D640CA"/>
    <w:rsid w:val="43B04784"/>
    <w:rsid w:val="443B5FD6"/>
    <w:rsid w:val="452567EA"/>
    <w:rsid w:val="46565B2E"/>
    <w:rsid w:val="46886BA6"/>
    <w:rsid w:val="46BA6A3B"/>
    <w:rsid w:val="471E5E67"/>
    <w:rsid w:val="478D2B2A"/>
    <w:rsid w:val="490552AA"/>
    <w:rsid w:val="4A44093B"/>
    <w:rsid w:val="4B7A4CDC"/>
    <w:rsid w:val="4BB4488C"/>
    <w:rsid w:val="4C0007A2"/>
    <w:rsid w:val="4DD728A2"/>
    <w:rsid w:val="4F9E2D5E"/>
    <w:rsid w:val="4FFA680C"/>
    <w:rsid w:val="50981A4B"/>
    <w:rsid w:val="50C64E79"/>
    <w:rsid w:val="511851BE"/>
    <w:rsid w:val="513444D8"/>
    <w:rsid w:val="52466271"/>
    <w:rsid w:val="528A47BE"/>
    <w:rsid w:val="528D1696"/>
    <w:rsid w:val="529C2335"/>
    <w:rsid w:val="52CB2821"/>
    <w:rsid w:val="530121AE"/>
    <w:rsid w:val="53AD7D9F"/>
    <w:rsid w:val="541E4FD7"/>
    <w:rsid w:val="542F765C"/>
    <w:rsid w:val="543E5F31"/>
    <w:rsid w:val="54914939"/>
    <w:rsid w:val="54AD4DAE"/>
    <w:rsid w:val="54EB5EC1"/>
    <w:rsid w:val="554D13F6"/>
    <w:rsid w:val="574865E8"/>
    <w:rsid w:val="57580486"/>
    <w:rsid w:val="57B7680D"/>
    <w:rsid w:val="59BF34A3"/>
    <w:rsid w:val="59DA41E0"/>
    <w:rsid w:val="5A2424B3"/>
    <w:rsid w:val="5A3906A0"/>
    <w:rsid w:val="5A9919E3"/>
    <w:rsid w:val="5B2A7B0A"/>
    <w:rsid w:val="5B54373E"/>
    <w:rsid w:val="5BA552FD"/>
    <w:rsid w:val="5BC745F2"/>
    <w:rsid w:val="5CA161B2"/>
    <w:rsid w:val="5CD368DD"/>
    <w:rsid w:val="5E082F75"/>
    <w:rsid w:val="5EE21916"/>
    <w:rsid w:val="5F4417E0"/>
    <w:rsid w:val="5F88669E"/>
    <w:rsid w:val="5FB9683B"/>
    <w:rsid w:val="5FC24DE6"/>
    <w:rsid w:val="60E5134B"/>
    <w:rsid w:val="610E66EA"/>
    <w:rsid w:val="622F04A1"/>
    <w:rsid w:val="63556314"/>
    <w:rsid w:val="63781452"/>
    <w:rsid w:val="63E5334C"/>
    <w:rsid w:val="645C0879"/>
    <w:rsid w:val="64741C1C"/>
    <w:rsid w:val="648C064A"/>
    <w:rsid w:val="65260362"/>
    <w:rsid w:val="656B3097"/>
    <w:rsid w:val="65AD670F"/>
    <w:rsid w:val="65D12AFF"/>
    <w:rsid w:val="66AB4942"/>
    <w:rsid w:val="66E41EC6"/>
    <w:rsid w:val="6808778C"/>
    <w:rsid w:val="687951D6"/>
    <w:rsid w:val="68AB69AF"/>
    <w:rsid w:val="68D653C8"/>
    <w:rsid w:val="68D85250"/>
    <w:rsid w:val="68DD28B2"/>
    <w:rsid w:val="698D4180"/>
    <w:rsid w:val="6AA3655A"/>
    <w:rsid w:val="6B2615BF"/>
    <w:rsid w:val="6B593A30"/>
    <w:rsid w:val="6BA11AAE"/>
    <w:rsid w:val="6C47110C"/>
    <w:rsid w:val="6CAA611B"/>
    <w:rsid w:val="6CD060E6"/>
    <w:rsid w:val="6CD6631C"/>
    <w:rsid w:val="6D3654A5"/>
    <w:rsid w:val="6D920165"/>
    <w:rsid w:val="6DFC62A7"/>
    <w:rsid w:val="6E5F5F8F"/>
    <w:rsid w:val="6EB24C26"/>
    <w:rsid w:val="6EBD1212"/>
    <w:rsid w:val="704D7FE5"/>
    <w:rsid w:val="719C4BD4"/>
    <w:rsid w:val="71E65A61"/>
    <w:rsid w:val="72701938"/>
    <w:rsid w:val="7320212C"/>
    <w:rsid w:val="737E5A7D"/>
    <w:rsid w:val="737F118B"/>
    <w:rsid w:val="73813156"/>
    <w:rsid w:val="74170E85"/>
    <w:rsid w:val="74DF33C2"/>
    <w:rsid w:val="75DC35E9"/>
    <w:rsid w:val="76404C02"/>
    <w:rsid w:val="772A24D6"/>
    <w:rsid w:val="77F76874"/>
    <w:rsid w:val="78536543"/>
    <w:rsid w:val="789E6834"/>
    <w:rsid w:val="79FC6271"/>
    <w:rsid w:val="7A756E44"/>
    <w:rsid w:val="7B6B047E"/>
    <w:rsid w:val="7B6F1AE6"/>
    <w:rsid w:val="7BCF79D9"/>
    <w:rsid w:val="7C1A4C7A"/>
    <w:rsid w:val="7C444892"/>
    <w:rsid w:val="7CAE7448"/>
    <w:rsid w:val="7DA708AC"/>
    <w:rsid w:val="7DF36BF7"/>
    <w:rsid w:val="7E543E84"/>
    <w:rsid w:val="7EC90255"/>
    <w:rsid w:val="7FC00B6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spacing w:line="0" w:lineRule="atLeast"/>
      <w:jc w:val="center"/>
      <w:outlineLvl w:val="1"/>
    </w:pPr>
    <w:rPr>
      <w:kern w:val="0"/>
      <w:sz w:val="28"/>
    </w:rPr>
  </w:style>
  <w:style w:type="paragraph" w:styleId="4">
    <w:name w:val="heading 3"/>
    <w:basedOn w:val="1"/>
    <w:next w:val="1"/>
    <w:link w:val="37"/>
    <w:qFormat/>
    <w:uiPriority w:val="0"/>
    <w:pPr>
      <w:keepNext/>
      <w:keepLines/>
      <w:spacing w:before="260" w:after="260" w:line="416" w:lineRule="auto"/>
      <w:outlineLvl w:val="2"/>
    </w:pPr>
    <w:rPr>
      <w:b/>
      <w:bCs/>
      <w:sz w:val="32"/>
      <w:szCs w:val="32"/>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46"/>
    <w:qFormat/>
    <w:uiPriority w:val="0"/>
    <w:rPr>
      <w:rFonts w:ascii="宋体"/>
      <w:sz w:val="18"/>
      <w:szCs w:val="18"/>
    </w:rPr>
  </w:style>
  <w:style w:type="paragraph" w:styleId="6">
    <w:name w:val="annotation text"/>
    <w:basedOn w:val="1"/>
    <w:link w:val="45"/>
    <w:qFormat/>
    <w:uiPriority w:val="0"/>
    <w:pPr>
      <w:jc w:val="left"/>
    </w:pPr>
  </w:style>
  <w:style w:type="paragraph" w:styleId="7">
    <w:name w:val="Body Text 3"/>
    <w:basedOn w:val="1"/>
    <w:qFormat/>
    <w:uiPriority w:val="0"/>
    <w:pPr>
      <w:spacing w:after="120"/>
    </w:pPr>
    <w:rPr>
      <w:sz w:val="16"/>
      <w:szCs w:val="16"/>
    </w:rPr>
  </w:style>
  <w:style w:type="paragraph" w:styleId="8">
    <w:name w:val="Body Text"/>
    <w:basedOn w:val="1"/>
    <w:next w:val="9"/>
    <w:link w:val="43"/>
    <w:qFormat/>
    <w:uiPriority w:val="99"/>
    <w:pPr>
      <w:spacing w:after="120"/>
    </w:pPr>
  </w:style>
  <w:style w:type="paragraph" w:customStyle="1" w:styleId="9">
    <w:name w:val="Default"/>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styleId="10">
    <w:name w:val="Body Text Indent"/>
    <w:basedOn w:val="1"/>
    <w:next w:val="11"/>
    <w:qFormat/>
    <w:uiPriority w:val="0"/>
    <w:pPr>
      <w:ind w:firstLine="632" w:firstLineChars="200"/>
    </w:pPr>
    <w:rPr>
      <w:rFonts w:ascii="仿宋_GB2312" w:hAnsi="华文楷体" w:eastAsia="仿宋_GB2312"/>
      <w:sz w:val="32"/>
    </w:rPr>
  </w:style>
  <w:style w:type="paragraph" w:styleId="11">
    <w:name w:val="envelope return"/>
    <w:basedOn w:val="1"/>
    <w:qFormat/>
    <w:uiPriority w:val="99"/>
    <w:pPr>
      <w:snapToGrid w:val="0"/>
    </w:pPr>
    <w:rPr>
      <w:rFonts w:ascii="Arial" w:hAnsi="Arial"/>
    </w:rPr>
  </w:style>
  <w:style w:type="paragraph" w:styleId="12">
    <w:name w:val="List 2"/>
    <w:basedOn w:val="1"/>
    <w:qFormat/>
    <w:uiPriority w:val="0"/>
    <w:pPr>
      <w:ind w:left="400" w:leftChars="200" w:hanging="200" w:hangingChars="200"/>
    </w:pPr>
  </w:style>
  <w:style w:type="paragraph" w:styleId="13">
    <w:name w:val="Plain Text"/>
    <w:basedOn w:val="1"/>
    <w:link w:val="51"/>
    <w:qFormat/>
    <w:uiPriority w:val="99"/>
    <w:rPr>
      <w:rFonts w:ascii="宋体" w:hAnsi="Courier New"/>
      <w:szCs w:val="20"/>
    </w:rPr>
  </w:style>
  <w:style w:type="paragraph" w:styleId="14">
    <w:name w:val="Date"/>
    <w:basedOn w:val="1"/>
    <w:next w:val="1"/>
    <w:link w:val="47"/>
    <w:qFormat/>
    <w:uiPriority w:val="0"/>
    <w:pPr>
      <w:ind w:left="100" w:leftChars="2500"/>
    </w:pPr>
  </w:style>
  <w:style w:type="paragraph" w:styleId="15">
    <w:name w:val="Body Text Indent 2"/>
    <w:basedOn w:val="1"/>
    <w:qFormat/>
    <w:uiPriority w:val="0"/>
    <w:pPr>
      <w:spacing w:after="120" w:line="480" w:lineRule="auto"/>
      <w:ind w:left="420" w:leftChars="200"/>
    </w:pPr>
  </w:style>
  <w:style w:type="paragraph" w:styleId="16">
    <w:name w:val="Balloon Text"/>
    <w:basedOn w:val="1"/>
    <w:qFormat/>
    <w:uiPriority w:val="0"/>
    <w:rPr>
      <w:sz w:val="18"/>
      <w:szCs w:val="18"/>
    </w:rPr>
  </w:style>
  <w:style w:type="paragraph" w:styleId="17">
    <w:name w:val="footer"/>
    <w:basedOn w:val="1"/>
    <w:link w:val="68"/>
    <w:qFormat/>
    <w:uiPriority w:val="0"/>
    <w:pPr>
      <w:tabs>
        <w:tab w:val="center" w:pos="4153"/>
        <w:tab w:val="right" w:pos="8306"/>
      </w:tabs>
      <w:snapToGrid w:val="0"/>
      <w:jc w:val="left"/>
    </w:pPr>
    <w:rPr>
      <w:sz w:val="18"/>
      <w:szCs w:val="18"/>
    </w:rPr>
  </w:style>
  <w:style w:type="paragraph" w:styleId="18">
    <w:name w:val="header"/>
    <w:basedOn w:val="1"/>
    <w:link w:val="67"/>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39"/>
    <w:pPr>
      <w:spacing w:before="120" w:after="120"/>
      <w:jc w:val="left"/>
    </w:pPr>
    <w:rPr>
      <w:caps/>
    </w:rPr>
  </w:style>
  <w:style w:type="paragraph" w:styleId="20">
    <w:name w:val="Subtitle"/>
    <w:basedOn w:val="1"/>
    <w:next w:val="1"/>
    <w:link w:val="80"/>
    <w:qFormat/>
    <w:uiPriority w:val="11"/>
    <w:pPr>
      <w:spacing w:before="240" w:after="60" w:line="312" w:lineRule="auto"/>
      <w:jc w:val="center"/>
      <w:outlineLvl w:val="1"/>
    </w:pPr>
    <w:rPr>
      <w:rFonts w:asciiTheme="majorHAnsi" w:hAnsiTheme="majorHAnsi" w:cstheme="majorBidi"/>
      <w:b/>
      <w:bCs/>
      <w:kern w:val="28"/>
      <w:sz w:val="32"/>
      <w:szCs w:val="32"/>
      <w:lang w:eastAsia="en-US"/>
    </w:rPr>
  </w:style>
  <w:style w:type="paragraph" w:styleId="21">
    <w:name w:val="footnote text"/>
    <w:basedOn w:val="1"/>
    <w:qFormat/>
    <w:uiPriority w:val="99"/>
    <w:pPr>
      <w:snapToGrid w:val="0"/>
      <w:jc w:val="left"/>
    </w:pPr>
    <w:rPr>
      <w:sz w:val="18"/>
      <w:szCs w:val="18"/>
    </w:rPr>
  </w:style>
  <w:style w:type="paragraph" w:styleId="22">
    <w:name w:val="Body Text 2"/>
    <w:basedOn w:val="1"/>
    <w:link w:val="65"/>
    <w:qFormat/>
    <w:uiPriority w:val="0"/>
    <w:pPr>
      <w:spacing w:after="120" w:line="480" w:lineRule="auto"/>
    </w:pPr>
  </w:style>
  <w:style w:type="paragraph" w:styleId="23">
    <w:name w:val="Message Header"/>
    <w:basedOn w:val="1"/>
    <w:qFormat/>
    <w:uiPriority w:val="0"/>
    <w:pPr>
      <w:widowControl/>
      <w:shd w:val="pct20" w:color="000000" w:fill="auto"/>
      <w:ind w:left="1080" w:hanging="1080"/>
    </w:pPr>
    <w:rPr>
      <w:rFonts w:ascii="Cambria" w:hAnsi="Cambria" w:eastAsia="Cambria"/>
      <w:sz w:val="24"/>
    </w:rPr>
  </w:style>
  <w:style w:type="paragraph" w:styleId="24">
    <w:name w:val="Normal (Web)"/>
    <w:basedOn w:val="1"/>
    <w:unhideWhenUsed/>
    <w:qFormat/>
    <w:uiPriority w:val="99"/>
    <w:pPr>
      <w:widowControl/>
      <w:spacing w:before="100" w:beforeAutospacing="1" w:after="100" w:afterAutospacing="1"/>
      <w:jc w:val="left"/>
    </w:pPr>
    <w:rPr>
      <w:rFonts w:ascii="宋体" w:hAnsi="宋体"/>
      <w:kern w:val="0"/>
      <w:sz w:val="24"/>
      <w:szCs w:val="20"/>
    </w:rPr>
  </w:style>
  <w:style w:type="paragraph" w:styleId="25">
    <w:name w:val="annotation subject"/>
    <w:basedOn w:val="6"/>
    <w:next w:val="6"/>
    <w:link w:val="84"/>
    <w:semiHidden/>
    <w:unhideWhenUsed/>
    <w:qFormat/>
    <w:uiPriority w:val="0"/>
    <w:rPr>
      <w:b/>
      <w:bCs/>
    </w:rPr>
  </w:style>
  <w:style w:type="paragraph" w:styleId="26">
    <w:name w:val="Body Text First Indent"/>
    <w:basedOn w:val="8"/>
    <w:link w:val="42"/>
    <w:qFormat/>
    <w:uiPriority w:val="0"/>
    <w:pPr>
      <w:ind w:firstLine="420" w:firstLineChars="100"/>
    </w:pPr>
  </w:style>
  <w:style w:type="paragraph" w:styleId="27">
    <w:name w:val="Body Text First Indent 2"/>
    <w:basedOn w:val="10"/>
    <w:qFormat/>
    <w:uiPriority w:val="99"/>
    <w:pPr>
      <w:tabs>
        <w:tab w:val="left" w:pos="0"/>
        <w:tab w:val="left" w:pos="993"/>
        <w:tab w:val="left" w:pos="1134"/>
      </w:tabs>
      <w:ind w:firstLine="420"/>
    </w:p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page number"/>
    <w:basedOn w:val="30"/>
    <w:qFormat/>
    <w:uiPriority w:val="0"/>
  </w:style>
  <w:style w:type="character" w:styleId="32">
    <w:name w:val="FollowedHyperlink"/>
    <w:basedOn w:val="30"/>
    <w:qFormat/>
    <w:uiPriority w:val="0"/>
    <w:rPr>
      <w:color w:val="000000"/>
      <w:u w:val="none"/>
    </w:rPr>
  </w:style>
  <w:style w:type="character" w:styleId="33">
    <w:name w:val="Hyperlink"/>
    <w:qFormat/>
    <w:uiPriority w:val="99"/>
    <w:rPr>
      <w:color w:val="333333"/>
      <w:u w:val="none"/>
    </w:rPr>
  </w:style>
  <w:style w:type="character" w:styleId="34">
    <w:name w:val="annotation reference"/>
    <w:qFormat/>
    <w:uiPriority w:val="99"/>
    <w:rPr>
      <w:sz w:val="21"/>
    </w:rPr>
  </w:style>
  <w:style w:type="paragraph" w:customStyle="1" w:styleId="35">
    <w:name w:val="BodyText1I"/>
    <w:basedOn w:val="36"/>
    <w:qFormat/>
    <w:uiPriority w:val="99"/>
    <w:pPr>
      <w:ind w:firstLine="420" w:firstLineChars="100"/>
    </w:pPr>
  </w:style>
  <w:style w:type="paragraph" w:customStyle="1" w:styleId="36">
    <w:name w:val="BodyText"/>
    <w:basedOn w:val="1"/>
    <w:qFormat/>
    <w:uiPriority w:val="99"/>
    <w:pPr>
      <w:spacing w:after="120"/>
    </w:pPr>
  </w:style>
  <w:style w:type="character" w:customStyle="1" w:styleId="37">
    <w:name w:val="标题 3 字符"/>
    <w:link w:val="4"/>
    <w:semiHidden/>
    <w:qFormat/>
    <w:uiPriority w:val="0"/>
    <w:rPr>
      <w:b/>
      <w:bCs/>
      <w:kern w:val="2"/>
      <w:sz w:val="32"/>
      <w:szCs w:val="32"/>
    </w:rPr>
  </w:style>
  <w:style w:type="paragraph" w:customStyle="1" w:styleId="38">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39">
    <w:name w:val="font231"/>
    <w:qFormat/>
    <w:uiPriority w:val="0"/>
    <w:rPr>
      <w:rFonts w:hint="eastAsia" w:ascii="宋体" w:hAnsi="宋体" w:eastAsia="宋体" w:cs="宋体"/>
      <w:color w:val="000000"/>
      <w:sz w:val="22"/>
      <w:szCs w:val="22"/>
      <w:u w:val="none"/>
    </w:rPr>
  </w:style>
  <w:style w:type="character" w:customStyle="1" w:styleId="40">
    <w:name w:val="font11"/>
    <w:qFormat/>
    <w:uiPriority w:val="0"/>
    <w:rPr>
      <w:rFonts w:hint="default" w:ascii="Times New Roman" w:hAnsi="Times New Roman" w:cs="Times New Roman"/>
      <w:color w:val="000000"/>
      <w:sz w:val="18"/>
      <w:szCs w:val="18"/>
      <w:u w:val="none"/>
    </w:rPr>
  </w:style>
  <w:style w:type="character" w:customStyle="1" w:styleId="41">
    <w:name w:val="font191"/>
    <w:qFormat/>
    <w:uiPriority w:val="0"/>
    <w:rPr>
      <w:rFonts w:hint="default" w:ascii="Calibri" w:hAnsi="Calibri" w:cs="Calibri"/>
      <w:color w:val="000000"/>
      <w:sz w:val="22"/>
      <w:szCs w:val="22"/>
      <w:u w:val="none"/>
    </w:rPr>
  </w:style>
  <w:style w:type="character" w:customStyle="1" w:styleId="42">
    <w:name w:val="正文文本首行缩进 字符"/>
    <w:link w:val="26"/>
    <w:qFormat/>
    <w:uiPriority w:val="0"/>
    <w:rPr>
      <w:kern w:val="2"/>
      <w:sz w:val="21"/>
      <w:szCs w:val="24"/>
    </w:rPr>
  </w:style>
  <w:style w:type="character" w:customStyle="1" w:styleId="43">
    <w:name w:val="正文文本 字符"/>
    <w:link w:val="8"/>
    <w:qFormat/>
    <w:uiPriority w:val="99"/>
    <w:rPr>
      <w:kern w:val="2"/>
      <w:sz w:val="21"/>
      <w:szCs w:val="24"/>
    </w:rPr>
  </w:style>
  <w:style w:type="character" w:customStyle="1" w:styleId="44">
    <w:name w:val="font151"/>
    <w:qFormat/>
    <w:uiPriority w:val="0"/>
    <w:rPr>
      <w:rFonts w:hint="default" w:ascii="Calibri" w:hAnsi="Calibri" w:cs="Calibri"/>
      <w:color w:val="000000"/>
      <w:sz w:val="22"/>
      <w:szCs w:val="22"/>
      <w:u w:val="none"/>
    </w:rPr>
  </w:style>
  <w:style w:type="character" w:customStyle="1" w:styleId="45">
    <w:name w:val="批注文字 字符"/>
    <w:link w:val="6"/>
    <w:qFormat/>
    <w:uiPriority w:val="0"/>
    <w:rPr>
      <w:kern w:val="2"/>
      <w:sz w:val="21"/>
      <w:szCs w:val="24"/>
    </w:rPr>
  </w:style>
  <w:style w:type="character" w:customStyle="1" w:styleId="46">
    <w:name w:val="文档结构图 字符"/>
    <w:link w:val="5"/>
    <w:qFormat/>
    <w:uiPriority w:val="0"/>
    <w:rPr>
      <w:rFonts w:ascii="宋体"/>
      <w:kern w:val="2"/>
      <w:sz w:val="18"/>
      <w:szCs w:val="18"/>
    </w:rPr>
  </w:style>
  <w:style w:type="character" w:customStyle="1" w:styleId="47">
    <w:name w:val="日期 字符"/>
    <w:link w:val="14"/>
    <w:qFormat/>
    <w:uiPriority w:val="0"/>
    <w:rPr>
      <w:kern w:val="2"/>
      <w:sz w:val="21"/>
      <w:szCs w:val="24"/>
    </w:rPr>
  </w:style>
  <w:style w:type="character" w:customStyle="1" w:styleId="48">
    <w:name w:val="font221"/>
    <w:qFormat/>
    <w:uiPriority w:val="0"/>
    <w:rPr>
      <w:rFonts w:hint="eastAsia" w:ascii="宋体" w:hAnsi="宋体" w:eastAsia="宋体" w:cs="宋体"/>
      <w:color w:val="000000"/>
      <w:sz w:val="20"/>
      <w:szCs w:val="20"/>
      <w:u w:val="none"/>
    </w:rPr>
  </w:style>
  <w:style w:type="character" w:customStyle="1" w:styleId="49">
    <w:name w:val="font61"/>
    <w:qFormat/>
    <w:uiPriority w:val="0"/>
    <w:rPr>
      <w:rFonts w:hint="eastAsia" w:ascii="宋体" w:hAnsi="宋体" w:eastAsia="宋体" w:cs="宋体"/>
      <w:color w:val="FF0000"/>
      <w:sz w:val="22"/>
      <w:szCs w:val="22"/>
      <w:u w:val="none"/>
    </w:rPr>
  </w:style>
  <w:style w:type="character" w:customStyle="1" w:styleId="50">
    <w:name w:val="font31"/>
    <w:qFormat/>
    <w:uiPriority w:val="0"/>
    <w:rPr>
      <w:rFonts w:hint="eastAsia" w:ascii="宋体" w:hAnsi="宋体" w:eastAsia="宋体" w:cs="宋体"/>
      <w:color w:val="000000"/>
      <w:sz w:val="18"/>
      <w:szCs w:val="18"/>
      <w:u w:val="none"/>
    </w:rPr>
  </w:style>
  <w:style w:type="character" w:customStyle="1" w:styleId="51">
    <w:name w:val="纯文本 字符"/>
    <w:link w:val="13"/>
    <w:qFormat/>
    <w:uiPriority w:val="99"/>
    <w:rPr>
      <w:rFonts w:ascii="宋体" w:hAnsi="Courier New"/>
      <w:kern w:val="2"/>
      <w:sz w:val="21"/>
    </w:rPr>
  </w:style>
  <w:style w:type="character" w:customStyle="1" w:styleId="52">
    <w:name w:val="访问过的超链接1"/>
    <w:qFormat/>
    <w:uiPriority w:val="0"/>
    <w:rPr>
      <w:color w:val="333333"/>
      <w:u w:val="none"/>
    </w:rPr>
  </w:style>
  <w:style w:type="character" w:customStyle="1" w:styleId="53">
    <w:name w:val="font01"/>
    <w:qFormat/>
    <w:uiPriority w:val="0"/>
    <w:rPr>
      <w:rFonts w:hint="eastAsia" w:ascii="宋体" w:hAnsi="宋体" w:eastAsia="宋体" w:cs="宋体"/>
      <w:color w:val="000000"/>
      <w:sz w:val="22"/>
      <w:szCs w:val="22"/>
      <w:u w:val="none"/>
    </w:rPr>
  </w:style>
  <w:style w:type="character" w:customStyle="1" w:styleId="54">
    <w:name w:val="font21"/>
    <w:qFormat/>
    <w:uiPriority w:val="0"/>
    <w:rPr>
      <w:rFonts w:hint="default" w:ascii="Times New Roman" w:hAnsi="Times New Roman" w:cs="Times New Roman"/>
      <w:color w:val="000000"/>
      <w:sz w:val="18"/>
      <w:szCs w:val="18"/>
      <w:u w:val="none"/>
    </w:rPr>
  </w:style>
  <w:style w:type="paragraph" w:customStyle="1" w:styleId="55">
    <w:name w:val="p0"/>
    <w:basedOn w:val="1"/>
    <w:qFormat/>
    <w:uiPriority w:val="0"/>
    <w:pPr>
      <w:widowControl/>
    </w:pPr>
    <w:rPr>
      <w:rFonts w:ascii="Calibri" w:hAnsi="Calibri" w:cs="宋体"/>
      <w:kern w:val="0"/>
      <w:szCs w:val="21"/>
    </w:rPr>
  </w:style>
  <w:style w:type="paragraph" w:customStyle="1" w:styleId="56">
    <w:name w:val="List Paragraph1"/>
    <w:basedOn w:val="1"/>
    <w:qFormat/>
    <w:uiPriority w:val="0"/>
    <w:pPr>
      <w:ind w:firstLine="420" w:firstLineChars="200"/>
    </w:pPr>
  </w:style>
  <w:style w:type="paragraph" w:customStyle="1" w:styleId="57">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58">
    <w:name w:val="Table Paragraph"/>
    <w:basedOn w:val="1"/>
    <w:qFormat/>
    <w:uiPriority w:val="0"/>
    <w:pPr>
      <w:autoSpaceDE w:val="0"/>
      <w:autoSpaceDN w:val="0"/>
      <w:jc w:val="left"/>
    </w:pPr>
    <w:rPr>
      <w:rFonts w:ascii="宋体" w:hAnsi="宋体" w:cs="宋体"/>
      <w:kern w:val="0"/>
      <w:sz w:val="22"/>
      <w:szCs w:val="22"/>
      <w:lang w:val="zh-CN" w:bidi="zh-CN"/>
    </w:rPr>
  </w:style>
  <w:style w:type="paragraph" w:customStyle="1" w:styleId="59">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0">
    <w:name w:val="Char Char Char Char Char Char Char1 Char"/>
    <w:basedOn w:val="1"/>
    <w:qFormat/>
    <w:uiPriority w:val="0"/>
    <w:rPr>
      <w:rFonts w:ascii="Tahoma" w:hAnsi="Tahoma"/>
      <w:sz w:val="24"/>
      <w:szCs w:val="20"/>
    </w:rPr>
  </w:style>
  <w:style w:type="paragraph" w:styleId="61">
    <w:name w:val="List Paragraph"/>
    <w:basedOn w:val="1"/>
    <w:qFormat/>
    <w:uiPriority w:val="34"/>
    <w:pPr>
      <w:ind w:firstLine="420" w:firstLineChars="200"/>
    </w:pPr>
  </w:style>
  <w:style w:type="paragraph" w:customStyle="1" w:styleId="62">
    <w:name w:val="Char Char Char1 Char"/>
    <w:basedOn w:val="1"/>
    <w:qFormat/>
    <w:uiPriority w:val="0"/>
    <w:pPr>
      <w:spacing w:line="360" w:lineRule="auto"/>
      <w:ind w:firstLine="200" w:firstLineChars="200"/>
    </w:pPr>
    <w:rPr>
      <w:rFonts w:ascii="宋体" w:hAnsi="宋体" w:cs="宋体"/>
      <w:sz w:val="24"/>
    </w:rPr>
  </w:style>
  <w:style w:type="paragraph" w:customStyle="1" w:styleId="63">
    <w:name w:val="默认段落字体 Para Char Char Char Char Char Char Char Char Char Char"/>
    <w:basedOn w:val="1"/>
    <w:qFormat/>
    <w:uiPriority w:val="0"/>
    <w:pPr>
      <w:tabs>
        <w:tab w:val="right" w:pos="-2120"/>
      </w:tabs>
      <w:snapToGrid w:val="0"/>
    </w:pPr>
  </w:style>
  <w:style w:type="character" w:customStyle="1" w:styleId="64">
    <w:name w:val="generalinfo-address-text"/>
    <w:basedOn w:val="30"/>
    <w:qFormat/>
    <w:uiPriority w:val="0"/>
  </w:style>
  <w:style w:type="character" w:customStyle="1" w:styleId="65">
    <w:name w:val="正文文本 2 字符"/>
    <w:link w:val="22"/>
    <w:qFormat/>
    <w:uiPriority w:val="0"/>
    <w:rPr>
      <w:kern w:val="2"/>
      <w:sz w:val="21"/>
      <w:szCs w:val="24"/>
    </w:rPr>
  </w:style>
  <w:style w:type="character" w:customStyle="1" w:styleId="66">
    <w:name w:val="NormalCharacter"/>
    <w:qFormat/>
    <w:uiPriority w:val="0"/>
  </w:style>
  <w:style w:type="character" w:customStyle="1" w:styleId="67">
    <w:name w:val="页眉 字符"/>
    <w:link w:val="18"/>
    <w:qFormat/>
    <w:uiPriority w:val="99"/>
    <w:rPr>
      <w:kern w:val="2"/>
      <w:sz w:val="18"/>
      <w:szCs w:val="18"/>
    </w:rPr>
  </w:style>
  <w:style w:type="character" w:customStyle="1" w:styleId="68">
    <w:name w:val="页脚 字符"/>
    <w:link w:val="17"/>
    <w:qFormat/>
    <w:uiPriority w:val="0"/>
    <w:rPr>
      <w:kern w:val="2"/>
      <w:sz w:val="18"/>
      <w:szCs w:val="18"/>
    </w:rPr>
  </w:style>
  <w:style w:type="paragraph" w:customStyle="1" w:styleId="69">
    <w:name w:val="普通(网站)1"/>
    <w:basedOn w:val="1"/>
    <w:qFormat/>
    <w:uiPriority w:val="0"/>
    <w:pPr>
      <w:widowControl/>
      <w:spacing w:before="100" w:beforeAutospacing="1" w:after="100" w:afterAutospacing="1"/>
      <w:jc w:val="left"/>
    </w:pPr>
    <w:rPr>
      <w:rFonts w:ascii="宋体" w:hAnsi="宋体"/>
      <w:kern w:val="0"/>
      <w:sz w:val="24"/>
    </w:rPr>
  </w:style>
  <w:style w:type="character" w:customStyle="1" w:styleId="70">
    <w:name w:val="contentlabel"/>
    <w:qFormat/>
    <w:uiPriority w:val="0"/>
  </w:style>
  <w:style w:type="paragraph" w:customStyle="1" w:styleId="71">
    <w:name w:val="Body Text First Indent1"/>
    <w:basedOn w:val="8"/>
    <w:qFormat/>
    <w:uiPriority w:val="0"/>
    <w:pPr>
      <w:autoSpaceDE w:val="0"/>
      <w:autoSpaceDN w:val="0"/>
      <w:ind w:firstLine="420" w:firstLineChars="100"/>
      <w:jc w:val="left"/>
    </w:pPr>
    <w:rPr>
      <w:rFonts w:ascii="宋体" w:hAnsi="等线" w:eastAsia="等线" w:cs="宋体"/>
      <w:kern w:val="0"/>
      <w:lang w:val="zh-CN"/>
    </w:rPr>
  </w:style>
  <w:style w:type="paragraph" w:customStyle="1" w:styleId="72">
    <w:name w:val="D&amp;L"/>
    <w:basedOn w:val="18"/>
    <w:qFormat/>
    <w:uiPriority w:val="0"/>
    <w:pPr>
      <w:pBdr>
        <w:bottom w:val="thinThickSmallGap" w:color="auto" w:sz="18" w:space="1"/>
      </w:pBdr>
      <w:adjustRightInd w:val="0"/>
      <w:snapToGrid/>
      <w:spacing w:line="240" w:lineRule="atLeast"/>
      <w:textAlignment w:val="baseline"/>
    </w:pPr>
    <w:rPr>
      <w:kern w:val="0"/>
      <w:sz w:val="24"/>
    </w:rPr>
  </w:style>
  <w:style w:type="character" w:customStyle="1" w:styleId="73">
    <w:name w:val="icon_gys"/>
    <w:basedOn w:val="30"/>
    <w:qFormat/>
    <w:uiPriority w:val="0"/>
    <w:rPr>
      <w:sz w:val="21"/>
      <w:szCs w:val="21"/>
    </w:rPr>
  </w:style>
  <w:style w:type="character" w:customStyle="1" w:styleId="74">
    <w:name w:val="first-child"/>
    <w:basedOn w:val="30"/>
    <w:qFormat/>
    <w:uiPriority w:val="0"/>
    <w:rPr>
      <w:color w:val="1F3149"/>
      <w:sz w:val="24"/>
      <w:szCs w:val="24"/>
    </w:rPr>
  </w:style>
  <w:style w:type="character" w:customStyle="1" w:styleId="75">
    <w:name w:val="first-child1"/>
    <w:basedOn w:val="30"/>
    <w:qFormat/>
    <w:uiPriority w:val="0"/>
    <w:rPr>
      <w:color w:val="1F3149"/>
      <w:sz w:val="24"/>
      <w:szCs w:val="24"/>
    </w:rPr>
  </w:style>
  <w:style w:type="character" w:customStyle="1" w:styleId="76">
    <w:name w:val="xiadan"/>
    <w:basedOn w:val="30"/>
    <w:qFormat/>
    <w:uiPriority w:val="0"/>
    <w:rPr>
      <w:shd w:val="clear" w:color="auto" w:fill="E4393C"/>
    </w:rPr>
  </w:style>
  <w:style w:type="character" w:customStyle="1" w:styleId="77">
    <w:name w:val="fr"/>
    <w:basedOn w:val="30"/>
    <w:qFormat/>
    <w:uiPriority w:val="0"/>
  </w:style>
  <w:style w:type="character" w:customStyle="1" w:styleId="78">
    <w:name w:val="icon_ds"/>
    <w:basedOn w:val="30"/>
    <w:qFormat/>
    <w:uiPriority w:val="0"/>
  </w:style>
  <w:style w:type="paragraph" w:customStyle="1" w:styleId="79">
    <w:name w:val="正文1"/>
    <w:basedOn w:val="1"/>
    <w:qFormat/>
    <w:uiPriority w:val="0"/>
    <w:pPr>
      <w:widowControl/>
      <w:topLinePunct/>
      <w:spacing w:beforeLines="50" w:afterLines="50" w:line="300" w:lineRule="auto"/>
      <w:ind w:left="420"/>
    </w:pPr>
  </w:style>
  <w:style w:type="character" w:customStyle="1" w:styleId="80">
    <w:name w:val="副标题 字符"/>
    <w:basedOn w:val="30"/>
    <w:link w:val="20"/>
    <w:qFormat/>
    <w:uiPriority w:val="11"/>
    <w:rPr>
      <w:rFonts w:asciiTheme="majorHAnsi" w:hAnsiTheme="majorHAnsi" w:cstheme="majorBidi"/>
      <w:b/>
      <w:bCs/>
      <w:kern w:val="28"/>
      <w:sz w:val="32"/>
      <w:szCs w:val="32"/>
      <w:lang w:eastAsia="en-US"/>
    </w:rPr>
  </w:style>
  <w:style w:type="character" w:customStyle="1" w:styleId="81">
    <w:name w:val="样式 金保文档标准正文 Char + 宋体1 Char"/>
    <w:link w:val="82"/>
    <w:qFormat/>
    <w:uiPriority w:val="0"/>
    <w:rPr>
      <w:rFonts w:ascii="宋体" w:hAnsi="宋体"/>
      <w:sz w:val="24"/>
      <w:szCs w:val="24"/>
    </w:rPr>
  </w:style>
  <w:style w:type="paragraph" w:customStyle="1" w:styleId="82">
    <w:name w:val="样式 金保文档标准正文 Char + 宋体1"/>
    <w:basedOn w:val="1"/>
    <w:link w:val="81"/>
    <w:qFormat/>
    <w:uiPriority w:val="0"/>
    <w:pPr>
      <w:spacing w:line="360" w:lineRule="auto"/>
      <w:ind w:firstLine="480" w:firstLineChars="200"/>
      <w:jc w:val="left"/>
    </w:pPr>
    <w:rPr>
      <w:rFonts w:ascii="宋体" w:hAnsi="宋体"/>
      <w:kern w:val="0"/>
      <w:sz w:val="24"/>
    </w:rPr>
  </w:style>
  <w:style w:type="paragraph" w:customStyle="1" w:styleId="83">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84">
    <w:name w:val="批注主题 字符"/>
    <w:basedOn w:val="45"/>
    <w:link w:val="25"/>
    <w:semiHidden/>
    <w:qFormat/>
    <w:uiPriority w:val="0"/>
    <w:rPr>
      <w:b/>
      <w:bCs/>
      <w:kern w:val="2"/>
      <w:sz w:val="21"/>
      <w:szCs w:val="24"/>
    </w:rPr>
  </w:style>
  <w:style w:type="paragraph" w:customStyle="1" w:styleId="85">
    <w:name w:val="列出段落1"/>
    <w:basedOn w:val="1"/>
    <w:qFormat/>
    <w:uiPriority w:val="34"/>
    <w:pPr>
      <w:ind w:firstLine="420" w:firstLineChars="200"/>
    </w:pPr>
    <w:rPr>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480D334-E6F9-470D-B428-2B62558B961C}">
  <ds:schemaRefs/>
</ds:datastoreItem>
</file>

<file path=docProps/app.xml><?xml version="1.0" encoding="utf-8"?>
<Properties xmlns="http://schemas.openxmlformats.org/officeDocument/2006/extended-properties" xmlns:vt="http://schemas.openxmlformats.org/officeDocument/2006/docPropsVTypes">
  <Template>Normal.dotm</Template>
  <Pages>5</Pages>
  <Words>750</Words>
  <Characters>758</Characters>
  <Lines>39</Lines>
  <Paragraphs>11</Paragraphs>
  <TotalTime>4</TotalTime>
  <ScaleCrop>false</ScaleCrop>
  <LinksUpToDate>false</LinksUpToDate>
  <CharactersWithSpaces>762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2022-02-10T06:42:00Z</dcterms:created>
  <dc:creator>gg1</dc:creator>
  <cp:lastModifiedBy>question</cp:lastModifiedBy>
  <cp:lastPrinted>2020-11-18T03:21:00Z</cp:lastPrinted>
  <dcterms:modified xsi:type="dcterms:W3CDTF">2026-10-28T08:14:44Z</dcterms:modified>
  <cp:revision>133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3F3AEF60031F459BB45F1EB8C7A16E06</vt:lpwstr>
  </property>
  <property fmtid="{D5CDD505-2E9C-101B-9397-08002B2CF9AE}" pid="4" name="KSOTemplateDocerSaveRecord">
    <vt:lpwstr>eyJoZGlkIjoiZWVmMTRlM2VlOGVmMzZmMzVjOWQyMTYwOWNlMDUxMjciLCJ1c2VySWQiOiIxMDA5NjU4MDc5In0=</vt:lpwstr>
  </property>
</Properties>
</file>