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6A10E">
      <w:pPr>
        <w:shd w:val="clear"/>
        <w:tabs>
          <w:tab w:val="left" w:pos="420"/>
        </w:tabs>
        <w:spacing w:line="1700" w:lineRule="auto"/>
        <w:jc w:val="center"/>
        <w:rPr>
          <w:rFonts w:ascii="Arial Black" w:hAnsi="Arial Black" w:eastAsia="Arial Black" w:cs="Arial Black"/>
          <w:b/>
          <w:color w:val="auto"/>
          <w:spacing w:val="36"/>
          <w:sz w:val="52"/>
          <w:highlight w:val="none"/>
        </w:rPr>
      </w:pPr>
      <w:r>
        <w:rPr>
          <w:rFonts w:ascii="宋体" w:hAnsi="宋体" w:eastAsia="宋体" w:cs="宋体"/>
          <w:b/>
          <w:color w:val="auto"/>
          <w:spacing w:val="36"/>
          <w:sz w:val="52"/>
          <w:highlight w:val="none"/>
        </w:rPr>
        <w:t>周口市公共资源交易中心</w:t>
      </w:r>
    </w:p>
    <w:p w14:paraId="4C8FADAB">
      <w:pPr>
        <w:spacing w:line="800" w:lineRule="exact"/>
        <w:rPr>
          <w:rFonts w:hint="eastAsia" w:ascii="宋体" w:hAnsi="宋体" w:cs="宋体"/>
          <w:b/>
          <w:color w:val="auto"/>
          <w:sz w:val="32"/>
          <w:szCs w:val="32"/>
        </w:rPr>
      </w:pPr>
    </w:p>
    <w:p w14:paraId="0122F7B2">
      <w:pPr>
        <w:spacing w:line="800" w:lineRule="exact"/>
        <w:rPr>
          <w:rFonts w:hint="eastAsia" w:ascii="宋体" w:hAnsi="宋体" w:cs="宋体"/>
          <w:b/>
          <w:color w:val="auto"/>
          <w:sz w:val="32"/>
          <w:szCs w:val="32"/>
        </w:rPr>
      </w:pPr>
    </w:p>
    <w:p w14:paraId="56B9CF67">
      <w:pPr>
        <w:spacing w:line="800" w:lineRule="exact"/>
        <w:jc w:val="center"/>
        <w:rPr>
          <w:rFonts w:hint="eastAsia" w:ascii="宋体" w:hAnsi="宋体" w:cs="宋体"/>
          <w:b/>
          <w:color w:val="auto"/>
          <w:sz w:val="52"/>
          <w:szCs w:val="52"/>
        </w:rPr>
      </w:pPr>
      <w:r>
        <w:rPr>
          <w:rFonts w:hint="eastAsia" w:ascii="宋体" w:hAnsi="宋体" w:cs="宋体"/>
          <w:b/>
          <w:color w:val="auto"/>
          <w:sz w:val="52"/>
          <w:szCs w:val="52"/>
        </w:rPr>
        <w:t>竞争性磋商文件</w:t>
      </w:r>
    </w:p>
    <w:p w14:paraId="2E6FD667">
      <w:pPr>
        <w:spacing w:line="800" w:lineRule="exact"/>
        <w:rPr>
          <w:rFonts w:hint="eastAsia" w:ascii="宋体" w:hAnsi="宋体" w:cs="宋体"/>
          <w:b/>
          <w:color w:val="auto"/>
          <w:sz w:val="32"/>
          <w:szCs w:val="32"/>
        </w:rPr>
      </w:pPr>
    </w:p>
    <w:p w14:paraId="7906363F">
      <w:pPr>
        <w:spacing w:line="800" w:lineRule="exact"/>
        <w:rPr>
          <w:rFonts w:hint="eastAsia" w:ascii="宋体" w:hAnsi="宋体" w:cs="宋体"/>
          <w:b/>
          <w:color w:val="auto"/>
          <w:sz w:val="32"/>
          <w:szCs w:val="32"/>
        </w:rPr>
      </w:pPr>
    </w:p>
    <w:p w14:paraId="4CD41B32">
      <w:pPr>
        <w:spacing w:line="800" w:lineRule="exact"/>
        <w:rPr>
          <w:rFonts w:hint="eastAsia" w:ascii="宋体" w:hAnsi="宋体" w:cs="宋体"/>
          <w:b/>
          <w:color w:val="auto"/>
          <w:sz w:val="32"/>
          <w:szCs w:val="32"/>
        </w:rPr>
      </w:pPr>
    </w:p>
    <w:p w14:paraId="0C64C465">
      <w:pPr>
        <w:spacing w:line="800" w:lineRule="exact"/>
        <w:rPr>
          <w:rFonts w:hint="eastAsia" w:ascii="宋体" w:hAnsi="宋体" w:cs="宋体"/>
          <w:b/>
          <w:color w:val="auto"/>
          <w:sz w:val="32"/>
          <w:szCs w:val="32"/>
        </w:rPr>
      </w:pPr>
    </w:p>
    <w:p w14:paraId="4B2154A7">
      <w:pPr>
        <w:spacing w:line="800" w:lineRule="exact"/>
        <w:rPr>
          <w:rFonts w:hint="eastAsia" w:ascii="宋体" w:hAnsi="宋体" w:cs="宋体"/>
          <w:b/>
          <w:color w:val="auto"/>
          <w:sz w:val="32"/>
          <w:szCs w:val="32"/>
        </w:rPr>
      </w:pPr>
    </w:p>
    <w:p w14:paraId="0F835C2D">
      <w:pPr>
        <w:spacing w:line="800" w:lineRule="exact"/>
        <w:rPr>
          <w:rFonts w:hint="eastAsia" w:ascii="宋体" w:hAnsi="宋体" w:cs="宋体"/>
          <w:b/>
          <w:color w:val="auto"/>
          <w:sz w:val="32"/>
          <w:szCs w:val="32"/>
        </w:rPr>
      </w:pPr>
    </w:p>
    <w:p w14:paraId="328635D9">
      <w:pPr>
        <w:spacing w:line="800" w:lineRule="exact"/>
        <w:ind w:firstLine="643" w:firstLineChars="200"/>
        <w:rPr>
          <w:rFonts w:hint="eastAsia" w:ascii="宋体" w:hAnsi="宋体" w:cs="宋体"/>
          <w:b/>
          <w:color w:val="auto"/>
          <w:sz w:val="32"/>
          <w:szCs w:val="32"/>
          <w:lang w:val="en-US" w:eastAsia="zh-CN"/>
        </w:rPr>
      </w:pPr>
      <w:r>
        <w:rPr>
          <w:rFonts w:hint="eastAsia" w:ascii="宋体" w:hAnsi="宋体" w:cs="宋体"/>
          <w:b/>
          <w:color w:val="auto"/>
          <w:sz w:val="32"/>
          <w:szCs w:val="32"/>
          <w:lang w:val="en-US" w:eastAsia="zh-CN"/>
        </w:rPr>
        <w:t>项目名称：</w:t>
      </w:r>
      <w:r>
        <w:rPr>
          <w:rFonts w:hint="eastAsia" w:ascii="宋体" w:hAnsi="宋体" w:cs="宋体"/>
          <w:b/>
          <w:bCs/>
          <w:color w:val="auto"/>
          <w:sz w:val="30"/>
          <w:szCs w:val="30"/>
        </w:rPr>
        <w:t>周口市淮阳区气象局区域站迭代升级改造项目</w:t>
      </w:r>
    </w:p>
    <w:p w14:paraId="635B71AF">
      <w:pPr>
        <w:spacing w:line="800" w:lineRule="exact"/>
        <w:ind w:firstLine="643" w:firstLineChars="200"/>
        <w:rPr>
          <w:rFonts w:hint="default" w:ascii="宋体" w:hAnsi="宋体" w:cs="宋体"/>
          <w:b/>
          <w:color w:val="auto"/>
          <w:sz w:val="32"/>
          <w:szCs w:val="32"/>
          <w:lang w:val="en-US" w:eastAsia="zh-CN"/>
        </w:rPr>
      </w:pPr>
      <w:r>
        <w:rPr>
          <w:rFonts w:hint="eastAsia" w:ascii="宋体" w:hAnsi="宋体" w:cs="宋体"/>
          <w:b/>
          <w:color w:val="auto"/>
          <w:sz w:val="32"/>
          <w:szCs w:val="32"/>
          <w:lang w:val="en-US" w:eastAsia="zh-CN"/>
        </w:rPr>
        <w:t>项目编号：淮财磋商采购-2026-18</w:t>
      </w:r>
    </w:p>
    <w:p w14:paraId="2F9285DE">
      <w:pPr>
        <w:spacing w:line="800" w:lineRule="exact"/>
        <w:jc w:val="center"/>
        <w:rPr>
          <w:rFonts w:hint="eastAsia" w:ascii="宋体" w:hAnsi="宋体" w:cs="宋体"/>
          <w:b/>
          <w:color w:val="auto"/>
          <w:sz w:val="32"/>
          <w:szCs w:val="32"/>
          <w:lang w:val="en-US" w:eastAsia="zh-CN"/>
        </w:rPr>
      </w:pPr>
      <w:r>
        <w:rPr>
          <w:rFonts w:hint="eastAsia" w:ascii="宋体" w:hAnsi="宋体" w:cs="宋体"/>
          <w:b/>
          <w:color w:val="auto"/>
          <w:sz w:val="32"/>
          <w:szCs w:val="32"/>
          <w:lang w:val="en-US" w:eastAsia="zh-CN"/>
        </w:rPr>
        <w:t>2026年10月</w:t>
      </w:r>
    </w:p>
    <w:p w14:paraId="31616EB2">
      <w:pPr>
        <w:spacing w:line="800" w:lineRule="exact"/>
        <w:jc w:val="center"/>
        <w:rPr>
          <w:rFonts w:hint="eastAsia"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目     录</w:t>
      </w:r>
    </w:p>
    <w:p w14:paraId="218247A6">
      <w:pPr>
        <w:spacing w:line="800" w:lineRule="exact"/>
        <w:rPr>
          <w:rFonts w:hint="eastAsia" w:ascii="宋体" w:hAnsi="宋体" w:cs="宋体"/>
          <w:b/>
          <w:color w:val="auto"/>
          <w:sz w:val="32"/>
          <w:szCs w:val="32"/>
        </w:rPr>
      </w:pPr>
    </w:p>
    <w:p w14:paraId="3F15AF6E">
      <w:pPr>
        <w:spacing w:line="800" w:lineRule="exact"/>
        <w:rPr>
          <w:rFonts w:hint="eastAsia" w:ascii="宋体" w:hAnsi="宋体" w:cs="宋体"/>
          <w:b/>
          <w:color w:val="auto"/>
          <w:sz w:val="28"/>
          <w:szCs w:val="28"/>
        </w:rPr>
      </w:pPr>
      <w:r>
        <w:rPr>
          <w:rFonts w:hint="eastAsia" w:ascii="宋体" w:hAnsi="宋体" w:cs="宋体"/>
          <w:b/>
          <w:color w:val="auto"/>
          <w:sz w:val="28"/>
          <w:szCs w:val="28"/>
        </w:rPr>
        <w:t>第一章</w:t>
      </w:r>
      <w:r>
        <w:rPr>
          <w:rFonts w:hint="eastAsia" w:ascii="宋体" w:hAnsi="宋体" w:cs="宋体"/>
          <w:b/>
          <w:color w:val="auto"/>
          <w:sz w:val="28"/>
          <w:szCs w:val="28"/>
          <w:lang w:val="en-US" w:eastAsia="zh-CN"/>
        </w:rPr>
        <w:t xml:space="preserve"> </w:t>
      </w:r>
      <w:r>
        <w:rPr>
          <w:rFonts w:hint="eastAsia" w:ascii="宋体" w:hAnsi="宋体" w:cs="宋体"/>
          <w:b/>
          <w:color w:val="auto"/>
          <w:sz w:val="28"/>
          <w:szCs w:val="28"/>
        </w:rPr>
        <w:t xml:space="preserve"> 竞争性磋商邀请函 ..................</w:t>
      </w:r>
      <w:r>
        <w:rPr>
          <w:rFonts w:hint="eastAsia" w:ascii="宋体" w:hAnsi="宋体" w:cs="宋体"/>
          <w:b/>
          <w:color w:val="auto"/>
          <w:sz w:val="28"/>
          <w:szCs w:val="28"/>
          <w:lang w:val="en-US" w:eastAsia="zh-CN"/>
        </w:rPr>
        <w:t>..</w:t>
      </w:r>
      <w:r>
        <w:rPr>
          <w:rFonts w:hint="eastAsia" w:ascii="宋体" w:hAnsi="宋体" w:cs="宋体"/>
          <w:b/>
          <w:color w:val="auto"/>
          <w:sz w:val="28"/>
          <w:szCs w:val="28"/>
        </w:rPr>
        <w:t>....</w:t>
      </w:r>
      <w:r>
        <w:rPr>
          <w:rFonts w:hint="eastAsia" w:ascii="宋体" w:hAnsi="宋体" w:cs="宋体"/>
          <w:b/>
          <w:color w:val="auto"/>
          <w:sz w:val="28"/>
          <w:szCs w:val="28"/>
          <w:lang w:val="en-US" w:eastAsia="zh-CN"/>
        </w:rPr>
        <w:t>...</w:t>
      </w:r>
      <w:r>
        <w:rPr>
          <w:rFonts w:hint="eastAsia" w:ascii="宋体" w:hAnsi="宋体" w:cs="宋体"/>
          <w:b/>
          <w:color w:val="auto"/>
          <w:sz w:val="28"/>
          <w:szCs w:val="28"/>
        </w:rPr>
        <w:t>.</w:t>
      </w:r>
      <w:r>
        <w:rPr>
          <w:rFonts w:hint="eastAsia" w:ascii="宋体" w:hAnsi="宋体" w:cs="宋体"/>
          <w:b/>
          <w:color w:val="auto"/>
          <w:sz w:val="28"/>
          <w:szCs w:val="28"/>
          <w:lang w:val="en-US" w:eastAsia="zh-CN"/>
        </w:rPr>
        <w:t>...</w:t>
      </w:r>
      <w:r>
        <w:rPr>
          <w:rFonts w:hint="eastAsia" w:ascii="宋体" w:hAnsi="宋体" w:cs="宋体"/>
          <w:b/>
          <w:color w:val="auto"/>
          <w:sz w:val="28"/>
          <w:szCs w:val="28"/>
        </w:rPr>
        <w:t>3</w:t>
      </w:r>
    </w:p>
    <w:p w14:paraId="52C34219">
      <w:pPr>
        <w:spacing w:line="800" w:lineRule="exact"/>
        <w:rPr>
          <w:rFonts w:hint="eastAsia" w:ascii="宋体" w:hAnsi="宋体" w:cs="宋体"/>
          <w:b/>
          <w:color w:val="auto"/>
          <w:sz w:val="28"/>
          <w:szCs w:val="28"/>
        </w:rPr>
      </w:pPr>
      <w:r>
        <w:rPr>
          <w:rFonts w:hint="eastAsia" w:ascii="宋体" w:hAnsi="宋体" w:cs="宋体"/>
          <w:b/>
          <w:color w:val="auto"/>
          <w:sz w:val="28"/>
          <w:szCs w:val="28"/>
        </w:rPr>
        <w:t>第二章  供应商须知 .........................</w:t>
      </w:r>
      <w:r>
        <w:rPr>
          <w:rFonts w:hint="eastAsia" w:ascii="宋体" w:hAnsi="宋体" w:cs="宋体"/>
          <w:b/>
          <w:color w:val="auto"/>
          <w:sz w:val="28"/>
          <w:szCs w:val="28"/>
          <w:lang w:val="en-US" w:eastAsia="zh-CN"/>
        </w:rPr>
        <w:t>..</w:t>
      </w:r>
      <w:r>
        <w:rPr>
          <w:rFonts w:hint="eastAsia" w:ascii="宋体" w:hAnsi="宋体" w:cs="宋体"/>
          <w:b/>
          <w:color w:val="auto"/>
          <w:sz w:val="28"/>
          <w:szCs w:val="28"/>
        </w:rPr>
        <w:t>..</w:t>
      </w:r>
      <w:r>
        <w:rPr>
          <w:rFonts w:hint="eastAsia" w:ascii="宋体" w:hAnsi="宋体" w:cs="宋体"/>
          <w:b/>
          <w:color w:val="auto"/>
          <w:sz w:val="28"/>
          <w:szCs w:val="28"/>
          <w:lang w:val="en-US" w:eastAsia="zh-CN"/>
        </w:rPr>
        <w:t>...</w:t>
      </w:r>
      <w:r>
        <w:rPr>
          <w:rFonts w:hint="eastAsia" w:ascii="宋体" w:hAnsi="宋体" w:cs="宋体"/>
          <w:b/>
          <w:color w:val="auto"/>
          <w:sz w:val="28"/>
          <w:szCs w:val="28"/>
        </w:rPr>
        <w:t>.</w:t>
      </w:r>
      <w:r>
        <w:rPr>
          <w:rFonts w:hint="eastAsia" w:ascii="宋体" w:hAnsi="宋体" w:cs="宋体"/>
          <w:b/>
          <w:color w:val="auto"/>
          <w:sz w:val="28"/>
          <w:szCs w:val="28"/>
          <w:lang w:val="en-US" w:eastAsia="zh-CN"/>
        </w:rPr>
        <w:t>...</w:t>
      </w:r>
      <w:r>
        <w:rPr>
          <w:rFonts w:hint="eastAsia" w:ascii="宋体" w:hAnsi="宋体" w:cs="宋体"/>
          <w:b/>
          <w:color w:val="auto"/>
          <w:sz w:val="28"/>
          <w:szCs w:val="28"/>
        </w:rPr>
        <w:t>.6</w:t>
      </w:r>
    </w:p>
    <w:p w14:paraId="03E83707">
      <w:pPr>
        <w:spacing w:line="800" w:lineRule="exact"/>
        <w:rPr>
          <w:rFonts w:hint="eastAsia" w:ascii="宋体" w:hAnsi="宋体" w:cs="宋体" w:eastAsiaTheme="minorEastAsia"/>
          <w:b/>
          <w:color w:val="auto"/>
          <w:sz w:val="28"/>
          <w:szCs w:val="28"/>
          <w:lang w:eastAsia="zh-CN"/>
        </w:rPr>
      </w:pPr>
      <w:r>
        <w:rPr>
          <w:rFonts w:hint="eastAsia" w:ascii="宋体" w:hAnsi="宋体" w:cs="宋体"/>
          <w:b/>
          <w:color w:val="auto"/>
          <w:sz w:val="28"/>
          <w:szCs w:val="28"/>
        </w:rPr>
        <w:t>第三章  采购项目内容及要求..............</w:t>
      </w:r>
      <w:r>
        <w:rPr>
          <w:rFonts w:hint="eastAsia" w:ascii="宋体" w:hAnsi="宋体" w:cs="宋体"/>
          <w:b/>
          <w:color w:val="auto"/>
          <w:sz w:val="28"/>
          <w:szCs w:val="28"/>
          <w:lang w:val="en-US" w:eastAsia="zh-CN"/>
        </w:rPr>
        <w:t>.</w:t>
      </w:r>
      <w:r>
        <w:rPr>
          <w:rFonts w:hint="eastAsia" w:ascii="宋体" w:hAnsi="宋体" w:cs="宋体"/>
          <w:b/>
          <w:color w:val="auto"/>
          <w:sz w:val="28"/>
          <w:szCs w:val="28"/>
        </w:rPr>
        <w:t>.....</w:t>
      </w:r>
      <w:r>
        <w:rPr>
          <w:rFonts w:hint="eastAsia" w:ascii="宋体" w:hAnsi="宋体" w:cs="宋体"/>
          <w:b/>
          <w:color w:val="auto"/>
          <w:sz w:val="28"/>
          <w:szCs w:val="28"/>
          <w:lang w:val="en-US" w:eastAsia="zh-CN"/>
        </w:rPr>
        <w:t>.......</w:t>
      </w:r>
      <w:r>
        <w:rPr>
          <w:rFonts w:hint="eastAsia" w:ascii="宋体" w:hAnsi="宋体" w:cs="宋体"/>
          <w:b/>
          <w:color w:val="auto"/>
          <w:sz w:val="28"/>
          <w:szCs w:val="28"/>
        </w:rPr>
        <w:t>.</w:t>
      </w:r>
      <w:r>
        <w:rPr>
          <w:rFonts w:hint="eastAsia" w:ascii="宋体" w:hAnsi="宋体" w:cs="宋体"/>
          <w:b/>
          <w:color w:val="auto"/>
          <w:sz w:val="28"/>
          <w:szCs w:val="28"/>
          <w:lang w:val="en-US" w:eastAsia="zh-CN"/>
        </w:rPr>
        <w:t>..</w:t>
      </w:r>
      <w:r>
        <w:rPr>
          <w:rFonts w:hint="eastAsia" w:ascii="宋体" w:hAnsi="宋体" w:cs="宋体"/>
          <w:b/>
          <w:color w:val="auto"/>
          <w:sz w:val="28"/>
          <w:szCs w:val="28"/>
        </w:rPr>
        <w:t>2</w:t>
      </w:r>
      <w:r>
        <w:rPr>
          <w:rFonts w:hint="eastAsia" w:ascii="宋体" w:hAnsi="宋体" w:cs="宋体"/>
          <w:b/>
          <w:color w:val="auto"/>
          <w:sz w:val="28"/>
          <w:szCs w:val="28"/>
          <w:lang w:val="en-US" w:eastAsia="zh-CN"/>
        </w:rPr>
        <w:t>7</w:t>
      </w:r>
    </w:p>
    <w:p w14:paraId="05EA87FB">
      <w:pPr>
        <w:spacing w:line="800" w:lineRule="exact"/>
        <w:rPr>
          <w:rFonts w:hint="default" w:ascii="宋体" w:hAnsi="宋体" w:cs="宋体" w:eastAsiaTheme="minorEastAsia"/>
          <w:b/>
          <w:color w:val="auto"/>
          <w:sz w:val="28"/>
          <w:szCs w:val="28"/>
          <w:lang w:val="en-US" w:eastAsia="zh-CN"/>
        </w:rPr>
      </w:pPr>
      <w:r>
        <w:rPr>
          <w:rFonts w:hint="eastAsia" w:ascii="宋体" w:hAnsi="宋体" w:cs="宋体"/>
          <w:b/>
          <w:color w:val="auto"/>
          <w:sz w:val="28"/>
          <w:szCs w:val="28"/>
        </w:rPr>
        <w:t>第四章  响应性文件内容及格式...................</w:t>
      </w:r>
      <w:r>
        <w:rPr>
          <w:rFonts w:hint="eastAsia" w:ascii="宋体" w:hAnsi="宋体" w:cs="宋体"/>
          <w:b/>
          <w:color w:val="auto"/>
          <w:sz w:val="28"/>
          <w:szCs w:val="28"/>
          <w:lang w:val="en-US" w:eastAsia="zh-CN"/>
        </w:rPr>
        <w:t>.....</w:t>
      </w:r>
      <w:r>
        <w:rPr>
          <w:rFonts w:hint="eastAsia" w:ascii="宋体" w:hAnsi="宋体" w:cs="宋体"/>
          <w:b/>
          <w:color w:val="auto"/>
          <w:sz w:val="28"/>
          <w:szCs w:val="28"/>
        </w:rPr>
        <w:t>....</w:t>
      </w:r>
      <w:r>
        <w:rPr>
          <w:rFonts w:hint="eastAsia" w:ascii="宋体" w:hAnsi="宋体" w:cs="宋体"/>
          <w:b/>
          <w:color w:val="auto"/>
          <w:sz w:val="28"/>
          <w:szCs w:val="28"/>
          <w:lang w:val="en-US" w:eastAsia="zh-CN"/>
        </w:rPr>
        <w:t>35</w:t>
      </w:r>
    </w:p>
    <w:p w14:paraId="5C853924">
      <w:pPr>
        <w:spacing w:line="800" w:lineRule="exact"/>
        <w:rPr>
          <w:rFonts w:hint="default" w:ascii="宋体" w:hAnsi="宋体" w:cs="宋体" w:eastAsiaTheme="minorEastAsia"/>
          <w:b/>
          <w:color w:val="auto"/>
          <w:sz w:val="28"/>
          <w:szCs w:val="28"/>
          <w:lang w:val="en-US" w:eastAsia="zh-CN"/>
        </w:rPr>
      </w:pPr>
      <w:r>
        <w:rPr>
          <w:rFonts w:hint="eastAsia" w:ascii="宋体" w:hAnsi="宋体" w:cs="宋体"/>
          <w:b/>
          <w:color w:val="auto"/>
          <w:sz w:val="28"/>
          <w:szCs w:val="28"/>
        </w:rPr>
        <w:t>第五章</w:t>
      </w:r>
      <w:r>
        <w:rPr>
          <w:rFonts w:hint="eastAsia" w:ascii="宋体" w:hAnsi="宋体" w:cs="宋体"/>
          <w:b/>
          <w:color w:val="auto"/>
          <w:sz w:val="28"/>
          <w:szCs w:val="28"/>
          <w:lang w:val="en-US" w:eastAsia="zh-CN"/>
        </w:rPr>
        <w:t xml:space="preserve"> </w:t>
      </w:r>
      <w:r>
        <w:rPr>
          <w:rFonts w:hint="eastAsia" w:ascii="宋体" w:hAnsi="宋体" w:cs="宋体"/>
          <w:b/>
          <w:color w:val="auto"/>
          <w:sz w:val="28"/>
          <w:szCs w:val="28"/>
        </w:rPr>
        <w:t>合同主要条款 合同签订指引、供应商履约验收指引</w:t>
      </w:r>
      <w:r>
        <w:rPr>
          <w:rFonts w:hint="eastAsia" w:ascii="宋体" w:hAnsi="宋体" w:cs="宋体"/>
          <w:b/>
          <w:color w:val="auto"/>
          <w:sz w:val="28"/>
          <w:szCs w:val="28"/>
          <w:lang w:val="en-US" w:eastAsia="zh-CN"/>
        </w:rPr>
        <w:t>....51</w:t>
      </w:r>
    </w:p>
    <w:p w14:paraId="1E0E3F5B">
      <w:pPr>
        <w:pStyle w:val="35"/>
        <w:rPr>
          <w:rFonts w:hint="eastAsia" w:ascii="宋体" w:hAnsi="宋体" w:cs="宋体"/>
          <w:b/>
          <w:color w:val="auto"/>
          <w:sz w:val="32"/>
          <w:szCs w:val="32"/>
        </w:rPr>
      </w:pPr>
    </w:p>
    <w:p w14:paraId="6E47C972">
      <w:pPr>
        <w:rPr>
          <w:rFonts w:hint="eastAsia" w:ascii="宋体" w:hAnsi="宋体" w:cs="宋体"/>
          <w:b/>
          <w:color w:val="auto"/>
          <w:sz w:val="32"/>
          <w:szCs w:val="32"/>
        </w:rPr>
      </w:pPr>
      <w:r>
        <w:rPr>
          <w:rFonts w:hint="eastAsia" w:ascii="宋体" w:hAnsi="宋体" w:cs="宋体"/>
          <w:b/>
          <w:color w:val="auto"/>
          <w:sz w:val="32"/>
          <w:szCs w:val="32"/>
        </w:rPr>
        <w:br w:type="page"/>
      </w:r>
    </w:p>
    <w:p w14:paraId="790E5C26">
      <w:pPr>
        <w:jc w:val="center"/>
        <w:rPr>
          <w:rFonts w:hint="eastAsia" w:eastAsia="宋体"/>
          <w:color w:val="auto"/>
          <w:lang w:eastAsia="zh-CN"/>
        </w:rPr>
      </w:pPr>
      <w:r>
        <w:rPr>
          <w:rFonts w:hint="eastAsia" w:ascii="宋体" w:hAnsi="宋体" w:cs="宋体"/>
          <w:b/>
          <w:color w:val="auto"/>
          <w:sz w:val="32"/>
          <w:szCs w:val="32"/>
        </w:rPr>
        <w:t>第一章    竞争性磋商邀请函</w:t>
      </w:r>
      <w:r>
        <w:rPr>
          <w:rFonts w:hint="eastAsia" w:ascii="宋体" w:hAnsi="宋体" w:cs="宋体"/>
          <w:b/>
          <w:color w:val="auto"/>
          <w:sz w:val="32"/>
          <w:szCs w:val="32"/>
          <w:lang w:val="en-US" w:eastAsia="zh-CN"/>
        </w:rPr>
        <w:t xml:space="preserve"> </w:t>
      </w:r>
    </w:p>
    <w:p w14:paraId="0EDD1D62">
      <w:pPr>
        <w:spacing w:line="360" w:lineRule="auto"/>
        <w:ind w:firstLine="480" w:firstLineChars="200"/>
        <w:jc w:val="left"/>
        <w:rPr>
          <w:rFonts w:ascii="宋体" w:hAnsi="宋体" w:cs="宋体"/>
          <w:color w:val="auto"/>
          <w:sz w:val="24"/>
        </w:rPr>
      </w:pPr>
      <w:r>
        <w:rPr>
          <w:rFonts w:hint="eastAsia" w:ascii="宋体" w:hAnsi="宋体" w:cs="宋体"/>
          <w:color w:val="auto"/>
          <w:sz w:val="24"/>
        </w:rPr>
        <w:t>项目概况</w:t>
      </w:r>
    </w:p>
    <w:p w14:paraId="23C6CF0B">
      <w:pPr>
        <w:spacing w:line="360" w:lineRule="auto"/>
        <w:ind w:firstLine="480" w:firstLineChars="200"/>
        <w:jc w:val="left"/>
        <w:rPr>
          <w:rFonts w:asciiTheme="minorEastAsia" w:hAnsiTheme="minorEastAsia" w:eastAsiaTheme="minorEastAsia" w:cstheme="minorEastAsia"/>
          <w:color w:val="auto"/>
          <w:sz w:val="24"/>
        </w:rPr>
      </w:pPr>
      <w:r>
        <w:rPr>
          <w:rFonts w:hint="eastAsia" w:ascii="宋体" w:hAnsi="宋体" w:cs="宋体"/>
          <w:color w:val="auto"/>
          <w:sz w:val="24"/>
          <w:u w:val="single"/>
          <w:lang w:eastAsia="zh-CN"/>
        </w:rPr>
        <w:t>周口市淮阳区气象局区域站迭代升级改造项目</w:t>
      </w:r>
      <w:r>
        <w:rPr>
          <w:rFonts w:hint="eastAsia" w:ascii="宋体" w:hAnsi="宋体" w:cs="宋体"/>
          <w:color w:val="auto"/>
          <w:sz w:val="24"/>
          <w:u w:val="single"/>
        </w:rPr>
        <w:t xml:space="preserve"> (项目名称)</w:t>
      </w:r>
      <w:r>
        <w:rPr>
          <w:rFonts w:hint="eastAsia" w:ascii="宋体" w:hAnsi="宋体" w:cs="宋体"/>
          <w:color w:val="auto"/>
          <w:sz w:val="24"/>
        </w:rPr>
        <w:t xml:space="preserve"> 项目的潜在投标人应在周口市公共资源交易中心网（http://jyzx.zhoukou.gov.cn）获取</w:t>
      </w:r>
      <w:r>
        <w:rPr>
          <w:rFonts w:hint="eastAsia" w:ascii="宋体" w:hAnsi="宋体" w:cs="宋体"/>
          <w:color w:val="auto"/>
          <w:sz w:val="24"/>
          <w:lang w:eastAsia="zh-CN"/>
        </w:rPr>
        <w:t>采购</w:t>
      </w:r>
      <w:r>
        <w:rPr>
          <w:rFonts w:hint="eastAsia" w:ascii="宋体" w:hAnsi="宋体" w:cs="宋体"/>
          <w:color w:val="auto"/>
          <w:sz w:val="24"/>
        </w:rPr>
        <w:t>文件，并于</w:t>
      </w:r>
      <w:r>
        <w:rPr>
          <w:rFonts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rPr>
        <w:t>年</w:t>
      </w:r>
      <w:r>
        <w:rPr>
          <w:rFonts w:hint="eastAsia" w:ascii="宋体" w:hAnsi="宋体" w:cs="宋体"/>
          <w:color w:val="auto"/>
          <w:sz w:val="24"/>
          <w:highlight w:val="none"/>
          <w:u w:val="single"/>
          <w:lang w:val="en-US" w:eastAsia="zh-CN"/>
        </w:rPr>
        <w:t>11</w:t>
      </w:r>
      <w:r>
        <w:rPr>
          <w:rFonts w:hint="eastAsia" w:ascii="宋体" w:hAnsi="宋体" w:cs="宋体"/>
          <w:color w:val="auto"/>
          <w:sz w:val="24"/>
          <w:highlight w:val="none"/>
          <w:u w:val="single"/>
        </w:rPr>
        <w:t>月</w:t>
      </w:r>
      <w:r>
        <w:rPr>
          <w:rFonts w:hint="eastAsia" w:ascii="宋体" w:hAnsi="宋体" w:cs="宋体"/>
          <w:color w:val="auto"/>
          <w:sz w:val="24"/>
          <w:highlight w:val="none"/>
          <w:u w:val="single"/>
          <w:lang w:val="en-US" w:eastAsia="zh-CN"/>
        </w:rPr>
        <w:t>2</w:t>
      </w:r>
      <w:r>
        <w:rPr>
          <w:rFonts w:hint="eastAsia" w:ascii="宋体" w:hAnsi="宋体" w:cs="宋体"/>
          <w:color w:val="auto"/>
          <w:sz w:val="24"/>
          <w:highlight w:val="none"/>
          <w:u w:val="single"/>
        </w:rPr>
        <w:t>日</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u w:val="single"/>
        </w:rPr>
        <w:t>点</w:t>
      </w:r>
      <w:r>
        <w:rPr>
          <w:rFonts w:hint="eastAsia" w:ascii="宋体" w:hAnsi="宋体" w:cs="宋体"/>
          <w:color w:val="auto"/>
          <w:sz w:val="24"/>
          <w:highlight w:val="none"/>
          <w:u w:val="single"/>
          <w:lang w:val="en-US" w:eastAsia="zh-CN"/>
        </w:rPr>
        <w:t>00</w:t>
      </w:r>
      <w:r>
        <w:rPr>
          <w:rFonts w:hint="eastAsia" w:ascii="宋体" w:hAnsi="宋体" w:cs="宋体"/>
          <w:color w:val="auto"/>
          <w:sz w:val="24"/>
          <w:highlight w:val="none"/>
          <w:u w:val="single"/>
        </w:rPr>
        <w:t>分</w:t>
      </w:r>
      <w:r>
        <w:rPr>
          <w:rFonts w:hint="eastAsia" w:ascii="宋体" w:hAnsi="宋体" w:cs="宋体"/>
          <w:color w:val="auto"/>
          <w:sz w:val="24"/>
        </w:rPr>
        <w:t>（北京时间）前递交</w:t>
      </w:r>
      <w:r>
        <w:rPr>
          <w:rFonts w:hint="eastAsia" w:ascii="宋体" w:hAnsi="宋体" w:cs="宋体"/>
          <w:color w:val="auto"/>
          <w:sz w:val="24"/>
          <w:lang w:eastAsia="zh-CN"/>
        </w:rPr>
        <w:t>响应</w:t>
      </w:r>
      <w:r>
        <w:rPr>
          <w:rFonts w:hint="eastAsia" w:ascii="宋体" w:hAnsi="宋体" w:cs="宋体"/>
          <w:color w:val="auto"/>
          <w:sz w:val="24"/>
        </w:rPr>
        <w:t>文件。</w:t>
      </w:r>
    </w:p>
    <w:p w14:paraId="1BBAC422">
      <w:pPr>
        <w:pStyle w:val="2"/>
        <w:autoSpaceDE w:val="0"/>
        <w:autoSpaceDN w:val="0"/>
        <w:spacing w:line="360" w:lineRule="auto"/>
        <w:jc w:val="left"/>
        <w:rPr>
          <w:rFonts w:asciiTheme="minorEastAsia" w:hAnsiTheme="minorEastAsia" w:eastAsiaTheme="minorEastAsia" w:cstheme="minorEastAsia"/>
          <w:color w:val="auto"/>
          <w:sz w:val="24"/>
        </w:rPr>
      </w:pPr>
      <w:bookmarkStart w:id="0" w:name="_Toc35393629"/>
      <w:bookmarkStart w:id="1" w:name="_Toc28359012"/>
      <w:bookmarkStart w:id="2" w:name="_Toc35393798"/>
      <w:bookmarkStart w:id="3" w:name="_Toc28359089"/>
      <w:r>
        <w:rPr>
          <w:rFonts w:hint="eastAsia" w:asciiTheme="minorEastAsia" w:hAnsiTheme="minorEastAsia" w:eastAsiaTheme="minorEastAsia" w:cstheme="minorEastAsia"/>
          <w:color w:val="auto"/>
          <w:sz w:val="24"/>
        </w:rPr>
        <w:t>一、项目基本情况</w:t>
      </w:r>
      <w:bookmarkEnd w:id="0"/>
      <w:bookmarkEnd w:id="1"/>
      <w:bookmarkEnd w:id="2"/>
      <w:bookmarkEnd w:id="3"/>
    </w:p>
    <w:p w14:paraId="4ED96E27">
      <w:pPr>
        <w:autoSpaceDE w:val="0"/>
        <w:autoSpaceDN w:val="0"/>
        <w:spacing w:line="360" w:lineRule="auto"/>
        <w:ind w:firstLine="480" w:firstLineChars="200"/>
        <w:rPr>
          <w:rFonts w:hint="eastAsia" w:asciiTheme="minorEastAsia" w:hAnsiTheme="minorEastAsia" w:eastAsiaTheme="minorEastAsia" w:cstheme="minorEastAsia"/>
          <w:color w:val="auto"/>
          <w:sz w:val="24"/>
          <w:lang w:eastAsia="zh-CN"/>
        </w:rPr>
      </w:pPr>
      <w:r>
        <w:rPr>
          <w:rFonts w:hint="eastAsia" w:asciiTheme="minorEastAsia" w:hAnsiTheme="minorEastAsia" w:cstheme="minorEastAsia"/>
          <w:color w:val="auto"/>
          <w:sz w:val="24"/>
          <w:lang w:val="en-US" w:eastAsia="zh-CN"/>
        </w:rPr>
        <w:t>1、</w:t>
      </w:r>
      <w:r>
        <w:rPr>
          <w:rFonts w:hint="eastAsia" w:asciiTheme="minorEastAsia" w:hAnsiTheme="minorEastAsia" w:eastAsiaTheme="minorEastAsia" w:cstheme="minorEastAsia"/>
          <w:color w:val="auto"/>
          <w:sz w:val="24"/>
        </w:rPr>
        <w:t>项目编号：</w:t>
      </w:r>
      <w:r>
        <w:rPr>
          <w:rFonts w:hint="eastAsia" w:asciiTheme="minorEastAsia" w:hAnsiTheme="minorEastAsia" w:cstheme="minorEastAsia"/>
          <w:color w:val="auto"/>
          <w:sz w:val="24"/>
          <w:lang w:val="en-US" w:eastAsia="zh-CN"/>
        </w:rPr>
        <w:t>淮财磋商采购-2026-18</w:t>
      </w:r>
    </w:p>
    <w:p w14:paraId="6489EB81">
      <w:pPr>
        <w:autoSpaceDE w:val="0"/>
        <w:autoSpaceDN w:val="0"/>
        <w:spacing w:line="360" w:lineRule="auto"/>
        <w:ind w:firstLine="480" w:firstLineChars="200"/>
        <w:rPr>
          <w:rFonts w:hint="eastAsia" w:asciiTheme="minorEastAsia" w:hAnsiTheme="minorEastAsia" w:eastAsiaTheme="minorEastAsia" w:cstheme="minorEastAsia"/>
          <w:color w:val="auto"/>
          <w:sz w:val="24"/>
          <w:u w:val="single"/>
          <w:lang w:eastAsia="zh-CN"/>
        </w:rPr>
      </w:pPr>
      <w:r>
        <w:rPr>
          <w:rFonts w:hint="eastAsia" w:asciiTheme="minorEastAsia" w:hAnsiTheme="minorEastAsia" w:cstheme="minorEastAsia"/>
          <w:color w:val="auto"/>
          <w:sz w:val="24"/>
          <w:lang w:val="en-US" w:eastAsia="zh-CN"/>
        </w:rPr>
        <w:t>2、</w:t>
      </w:r>
      <w:r>
        <w:rPr>
          <w:rFonts w:hint="eastAsia" w:asciiTheme="minorEastAsia" w:hAnsiTheme="minorEastAsia" w:eastAsiaTheme="minorEastAsia" w:cstheme="minorEastAsia"/>
          <w:color w:val="auto"/>
          <w:sz w:val="24"/>
        </w:rPr>
        <w:t>项目名称：</w:t>
      </w:r>
      <w:r>
        <w:rPr>
          <w:rFonts w:hint="eastAsia" w:asciiTheme="minorEastAsia" w:hAnsiTheme="minorEastAsia" w:cstheme="minorEastAsia"/>
          <w:color w:val="auto"/>
          <w:sz w:val="24"/>
          <w:lang w:eastAsia="zh-CN"/>
        </w:rPr>
        <w:t>周口市淮阳区气象局区域站迭代升级改造项目</w:t>
      </w:r>
    </w:p>
    <w:p w14:paraId="5A8F8E6A">
      <w:pPr>
        <w:autoSpaceDE w:val="0"/>
        <w:autoSpaceDN w:val="0"/>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3、</w:t>
      </w:r>
      <w:r>
        <w:rPr>
          <w:rFonts w:hint="eastAsia" w:asciiTheme="minorEastAsia" w:hAnsiTheme="minorEastAsia" w:eastAsiaTheme="minorEastAsia" w:cstheme="minorEastAsia"/>
          <w:color w:val="auto"/>
          <w:sz w:val="24"/>
        </w:rPr>
        <w:t>采购方式：竞争性磋商</w:t>
      </w:r>
    </w:p>
    <w:p w14:paraId="38266FC4">
      <w:pPr>
        <w:autoSpaceDE w:val="0"/>
        <w:autoSpaceDN w:val="0"/>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4、</w:t>
      </w:r>
      <w:r>
        <w:rPr>
          <w:rFonts w:hint="eastAsia" w:asciiTheme="minorEastAsia" w:hAnsiTheme="minorEastAsia" w:eastAsiaTheme="minorEastAsia" w:cstheme="minorEastAsia"/>
          <w:color w:val="auto"/>
          <w:sz w:val="24"/>
        </w:rPr>
        <w:t>预算金额：</w:t>
      </w:r>
      <w:r>
        <w:rPr>
          <w:rFonts w:hint="eastAsia" w:asciiTheme="minorEastAsia" w:hAnsiTheme="minorEastAsia" w:cstheme="minorEastAsia"/>
          <w:color w:val="auto"/>
          <w:sz w:val="24"/>
          <w:lang w:val="en-US" w:eastAsia="zh-CN"/>
        </w:rPr>
        <w:t>900000.00</w:t>
      </w:r>
      <w:r>
        <w:rPr>
          <w:rFonts w:hint="eastAsia" w:asciiTheme="minorEastAsia" w:hAnsiTheme="minorEastAsia" w:eastAsiaTheme="minorEastAsia" w:cstheme="minorEastAsia"/>
          <w:color w:val="auto"/>
          <w:sz w:val="24"/>
        </w:rPr>
        <w:t>元</w:t>
      </w:r>
    </w:p>
    <w:p w14:paraId="51D8C252">
      <w:pPr>
        <w:autoSpaceDE w:val="0"/>
        <w:autoSpaceDN w:val="0"/>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最高限价：</w:t>
      </w:r>
      <w:r>
        <w:rPr>
          <w:rFonts w:hint="eastAsia" w:asciiTheme="minorEastAsia" w:hAnsiTheme="minorEastAsia" w:cstheme="minorEastAsia"/>
          <w:color w:val="auto"/>
          <w:sz w:val="24"/>
          <w:lang w:val="en-US" w:eastAsia="zh-CN"/>
        </w:rPr>
        <w:t>900000.00</w:t>
      </w:r>
      <w:r>
        <w:rPr>
          <w:rFonts w:hint="eastAsia" w:asciiTheme="minorEastAsia" w:hAnsiTheme="minorEastAsia" w:eastAsiaTheme="minorEastAsia" w:cstheme="minorEastAsia"/>
          <w:color w:val="auto"/>
          <w:sz w:val="24"/>
        </w:rPr>
        <w:t>元</w:t>
      </w:r>
    </w:p>
    <w:p w14:paraId="785C112B">
      <w:pPr>
        <w:pStyle w:val="17"/>
        <w:snapToGrid w:val="0"/>
        <w:spacing w:before="0" w:beforeAutospacing="0" w:after="0" w:afterAutospacing="0" w:line="360" w:lineRule="auto"/>
        <w:ind w:firstLine="480"/>
        <w:jc w:val="both"/>
        <w:rPr>
          <w:rFonts w:cs="宋体"/>
          <w:color w:val="auto"/>
        </w:rPr>
      </w:pPr>
      <w:r>
        <w:rPr>
          <w:rFonts w:hint="eastAsia" w:cs="宋体"/>
          <w:color w:val="auto"/>
        </w:rPr>
        <w:t>包划分：1个包</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26"/>
        <w:gridCol w:w="4961"/>
        <w:gridCol w:w="2191"/>
      </w:tblGrid>
      <w:tr w14:paraId="5706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454" w:hRule="atLeast"/>
        </w:trPr>
        <w:tc>
          <w:tcPr>
            <w:tcW w:w="1526" w:type="dxa"/>
            <w:shd w:val="clear" w:color="auto" w:fill="auto"/>
            <w:vAlign w:val="center"/>
          </w:tcPr>
          <w:p w14:paraId="76BD5A65">
            <w:pPr>
              <w:adjustRightInd w:val="0"/>
              <w:snapToGrid w:val="0"/>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包号</w:t>
            </w:r>
          </w:p>
        </w:tc>
        <w:tc>
          <w:tcPr>
            <w:tcW w:w="4961" w:type="dxa"/>
            <w:shd w:val="clear" w:color="auto" w:fill="auto"/>
            <w:vAlign w:val="center"/>
          </w:tcPr>
          <w:p w14:paraId="477D89EF">
            <w:pPr>
              <w:adjustRightInd w:val="0"/>
              <w:snapToGrid w:val="0"/>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包名称</w:t>
            </w:r>
          </w:p>
        </w:tc>
        <w:tc>
          <w:tcPr>
            <w:tcW w:w="2191" w:type="dxa"/>
            <w:shd w:val="clear" w:color="auto" w:fill="auto"/>
            <w:vAlign w:val="center"/>
          </w:tcPr>
          <w:p w14:paraId="5A570CC0">
            <w:pPr>
              <w:adjustRightInd w:val="0"/>
              <w:snapToGrid w:val="0"/>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包最高限价(元)</w:t>
            </w:r>
          </w:p>
        </w:tc>
      </w:tr>
      <w:tr w14:paraId="23CE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79" w:hRule="atLeast"/>
        </w:trPr>
        <w:tc>
          <w:tcPr>
            <w:tcW w:w="1526" w:type="dxa"/>
            <w:shd w:val="clear" w:color="auto" w:fill="auto"/>
            <w:vAlign w:val="center"/>
          </w:tcPr>
          <w:p w14:paraId="1B90E518">
            <w:pPr>
              <w:adjustRightInd w:val="0"/>
              <w:snapToGrid w:val="0"/>
              <w:spacing w:line="360" w:lineRule="auto"/>
              <w:jc w:val="center"/>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w:t>
            </w:r>
          </w:p>
        </w:tc>
        <w:tc>
          <w:tcPr>
            <w:tcW w:w="4961" w:type="dxa"/>
            <w:shd w:val="clear" w:color="auto" w:fill="auto"/>
            <w:vAlign w:val="center"/>
          </w:tcPr>
          <w:p w14:paraId="23447A8C">
            <w:pPr>
              <w:adjustRightInd w:val="0"/>
              <w:snapToGrid w:val="0"/>
              <w:spacing w:line="360" w:lineRule="auto"/>
              <w:jc w:val="center"/>
              <w:rPr>
                <w:rFonts w:hint="eastAsia" w:asciiTheme="minorEastAsia" w:hAnsiTheme="minorEastAsia" w:eastAsiaTheme="minorEastAsia" w:cstheme="minorEastAsia"/>
                <w:color w:val="auto"/>
                <w:sz w:val="24"/>
                <w:szCs w:val="24"/>
                <w:lang w:eastAsia="zh-CN"/>
              </w:rPr>
            </w:pPr>
            <w:r>
              <w:rPr>
                <w:rFonts w:hint="eastAsia" w:asciiTheme="minorEastAsia" w:hAnsiTheme="minorEastAsia" w:cstheme="minorEastAsia"/>
                <w:color w:val="auto"/>
                <w:sz w:val="24"/>
                <w:szCs w:val="24"/>
                <w:lang w:eastAsia="zh-CN"/>
              </w:rPr>
              <w:t>周口市淮阳区气象局区域站迭代升级改造项目</w:t>
            </w:r>
          </w:p>
        </w:tc>
        <w:tc>
          <w:tcPr>
            <w:tcW w:w="2191" w:type="dxa"/>
            <w:shd w:val="clear" w:color="auto" w:fill="auto"/>
            <w:vAlign w:val="center"/>
          </w:tcPr>
          <w:p w14:paraId="1644E951">
            <w:pPr>
              <w:adjustRightInd w:val="0"/>
              <w:snapToGrid w:val="0"/>
              <w:spacing w:line="360" w:lineRule="auto"/>
              <w:jc w:val="center"/>
              <w:rPr>
                <w:rFonts w:hint="eastAsia" w:asciiTheme="minorEastAsia" w:hAnsiTheme="minorEastAsia" w:eastAsiaTheme="minorEastAsia" w:cstheme="minorEastAsia"/>
                <w:color w:val="auto"/>
                <w:sz w:val="24"/>
                <w:szCs w:val="24"/>
                <w:lang w:val="en-US"/>
              </w:rPr>
            </w:pPr>
            <w:r>
              <w:rPr>
                <w:rFonts w:hint="eastAsia" w:asciiTheme="minorEastAsia" w:hAnsiTheme="minorEastAsia" w:cstheme="minorEastAsia"/>
                <w:color w:val="auto"/>
                <w:sz w:val="24"/>
                <w:lang w:val="en-US" w:eastAsia="zh-CN"/>
              </w:rPr>
              <w:t>900000.00</w:t>
            </w:r>
          </w:p>
        </w:tc>
      </w:tr>
    </w:tbl>
    <w:p w14:paraId="777036D8">
      <w:pPr>
        <w:autoSpaceDE w:val="0"/>
        <w:autoSpaceDN w:val="0"/>
        <w:spacing w:line="360" w:lineRule="auto"/>
        <w:ind w:firstLine="480" w:firstLineChars="200"/>
        <w:rPr>
          <w:rFonts w:hint="eastAsia" w:asciiTheme="minorEastAsia" w:hAnsiTheme="minorEastAsia" w:eastAsiaTheme="minorEastAsia" w:cstheme="minorEastAsia"/>
          <w:color w:val="auto"/>
          <w:sz w:val="24"/>
          <w:lang w:eastAsia="zh-CN"/>
        </w:rPr>
      </w:pPr>
      <w:r>
        <w:rPr>
          <w:rFonts w:hint="eastAsia" w:asciiTheme="minorEastAsia" w:hAnsiTheme="minorEastAsia" w:cstheme="minorEastAsia"/>
          <w:color w:val="auto"/>
          <w:sz w:val="24"/>
          <w:lang w:val="en-US" w:eastAsia="zh-CN"/>
        </w:rPr>
        <w:t>5、</w:t>
      </w:r>
      <w:r>
        <w:rPr>
          <w:rFonts w:hint="eastAsia" w:asciiTheme="minorEastAsia" w:hAnsiTheme="minorEastAsia" w:eastAsiaTheme="minorEastAsia" w:cstheme="minorEastAsia"/>
          <w:color w:val="auto"/>
          <w:sz w:val="24"/>
        </w:rPr>
        <w:t>采购需求：</w:t>
      </w:r>
      <w:r>
        <w:rPr>
          <w:rFonts w:hint="eastAsia" w:asciiTheme="minorEastAsia" w:hAnsiTheme="minorEastAsia" w:cstheme="minorEastAsia"/>
          <w:color w:val="auto"/>
          <w:sz w:val="24"/>
          <w:lang w:eastAsia="zh-CN"/>
        </w:rPr>
        <w:t>周口市淮阳区气象局区域站迭代升级改造项目</w:t>
      </w:r>
      <w:r>
        <w:rPr>
          <w:rFonts w:hint="eastAsia" w:asciiTheme="minorEastAsia" w:hAnsiTheme="minorEastAsia" w:eastAsiaTheme="minorEastAsia" w:cstheme="minorEastAsia"/>
          <w:color w:val="auto"/>
          <w:sz w:val="24"/>
        </w:rPr>
        <w:t>（包括但不限于标的的名称、数量、简要技术需求或服务要求等）</w:t>
      </w:r>
      <w:r>
        <w:rPr>
          <w:rFonts w:hint="eastAsia" w:asciiTheme="minorEastAsia" w:hAnsiTheme="minorEastAsia" w:eastAsiaTheme="minorEastAsia" w:cstheme="minorEastAsia"/>
          <w:color w:val="auto"/>
          <w:sz w:val="24"/>
          <w:lang w:eastAsia="zh-CN"/>
        </w:rPr>
        <w:t>。</w:t>
      </w:r>
      <w:r>
        <w:rPr>
          <w:rFonts w:hint="eastAsia" w:ascii="宋体" w:hAnsi="宋体" w:cs="宋体"/>
          <w:color w:val="auto"/>
          <w:sz w:val="24"/>
          <w:shd w:val="clear" w:color="auto" w:fill="FFFFFF"/>
        </w:rPr>
        <w:t>“供应商对其提供的产品请出具《关于符合本国产品标准的声明函》或财政部会同有关部门规定的有关证明文件”。</w:t>
      </w:r>
    </w:p>
    <w:p w14:paraId="7B8B1A14">
      <w:pPr>
        <w:autoSpaceDE w:val="0"/>
        <w:autoSpaceDN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5.</w:t>
      </w:r>
      <w:r>
        <w:rPr>
          <w:rFonts w:hint="eastAsia" w:asciiTheme="minorEastAsia" w:hAnsi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lang w:eastAsia="zh-CN"/>
        </w:rPr>
        <w:t>供货</w:t>
      </w:r>
      <w:r>
        <w:rPr>
          <w:rFonts w:hint="eastAsia" w:asciiTheme="minorEastAsia" w:hAnsiTheme="minorEastAsia" w:eastAsiaTheme="minorEastAsia" w:cstheme="minorEastAsia"/>
          <w:color w:val="auto"/>
          <w:sz w:val="24"/>
          <w:highlight w:val="none"/>
        </w:rPr>
        <w:t>期限：</w:t>
      </w:r>
      <w:r>
        <w:rPr>
          <w:rFonts w:hint="eastAsia" w:asciiTheme="minorEastAsia" w:hAnsiTheme="minorEastAsia" w:eastAsiaTheme="minorEastAsia" w:cstheme="minorEastAsia"/>
          <w:color w:val="auto"/>
          <w:sz w:val="24"/>
          <w:highlight w:val="none"/>
          <w:lang w:val="en-US" w:eastAsia="zh-CN"/>
        </w:rPr>
        <w:t>合同签订后</w:t>
      </w:r>
      <w:r>
        <w:rPr>
          <w:rFonts w:hint="eastAsia" w:asciiTheme="minorEastAsia" w:hAnsi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lang w:val="en-US" w:eastAsia="zh-CN"/>
        </w:rPr>
        <w:t>0个日历</w:t>
      </w:r>
      <w:r>
        <w:rPr>
          <w:rFonts w:hint="eastAsia" w:asciiTheme="minorEastAsia" w:hAnsiTheme="minorEastAsia" w:cstheme="minorEastAsia"/>
          <w:color w:val="auto"/>
          <w:sz w:val="24"/>
          <w:highlight w:val="none"/>
          <w:lang w:val="en-US" w:eastAsia="zh-CN"/>
        </w:rPr>
        <w:t>天</w:t>
      </w:r>
      <w:r>
        <w:rPr>
          <w:rFonts w:hint="eastAsia" w:asciiTheme="minorEastAsia" w:hAnsiTheme="minorEastAsia" w:eastAsiaTheme="minorEastAsia" w:cstheme="minorEastAsia"/>
          <w:color w:val="auto"/>
          <w:sz w:val="24"/>
          <w:highlight w:val="none"/>
          <w:lang w:val="en-US" w:eastAsia="zh-CN"/>
        </w:rPr>
        <w:t>内完成供货、安装、调试并具备验收条件</w:t>
      </w:r>
      <w:r>
        <w:rPr>
          <w:rFonts w:hint="eastAsia" w:asciiTheme="minorEastAsia" w:hAnsiTheme="minorEastAsia" w:eastAsiaTheme="minorEastAsia" w:cstheme="minorEastAsia"/>
          <w:color w:val="auto"/>
          <w:sz w:val="24"/>
          <w:highlight w:val="none"/>
        </w:rPr>
        <w:t>。</w:t>
      </w:r>
    </w:p>
    <w:p w14:paraId="5A9A2B9F">
      <w:pPr>
        <w:autoSpaceDE w:val="0"/>
        <w:autoSpaceDN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6、</w:t>
      </w:r>
      <w:r>
        <w:rPr>
          <w:rFonts w:hint="eastAsia" w:asciiTheme="minorEastAsia" w:hAnsiTheme="minorEastAsia" w:eastAsiaTheme="minorEastAsia" w:cstheme="minorEastAsia"/>
          <w:color w:val="auto"/>
          <w:sz w:val="24"/>
        </w:rPr>
        <w:t>本项目</w:t>
      </w:r>
      <w:r>
        <w:rPr>
          <w:rFonts w:hint="eastAsia" w:asciiTheme="minorEastAsia" w:hAnsiTheme="minorEastAsia" w:eastAsiaTheme="minorEastAsia" w:cstheme="minorEastAsia"/>
          <w:color w:val="auto"/>
          <w:sz w:val="24"/>
          <w:lang w:eastAsia="zh-CN"/>
        </w:rPr>
        <w:t>是否</w:t>
      </w:r>
      <w:r>
        <w:rPr>
          <w:rFonts w:hint="eastAsia" w:asciiTheme="minorEastAsia" w:hAnsiTheme="minorEastAsia" w:eastAsiaTheme="minorEastAsia" w:cstheme="minorEastAsia"/>
          <w:color w:val="auto"/>
          <w:sz w:val="24"/>
        </w:rPr>
        <w:t>接受联合体</w:t>
      </w:r>
      <w:r>
        <w:rPr>
          <w:rFonts w:hint="eastAsia" w:asciiTheme="minorEastAsia" w:hAnsiTheme="minorEastAsia" w:eastAsiaTheme="minorEastAsia" w:cstheme="minorEastAsia"/>
          <w:color w:val="auto"/>
          <w:sz w:val="24"/>
          <w:lang w:eastAsia="zh-CN"/>
        </w:rPr>
        <w:t>投标</w:t>
      </w:r>
      <w:r>
        <w:rPr>
          <w:rFonts w:hint="eastAsia" w:asciiTheme="minorEastAsia" w:hAnsiTheme="minorEastAsia" w:eastAsiaTheme="minorEastAsia" w:cstheme="minorEastAsia"/>
          <w:color w:val="auto"/>
          <w:sz w:val="24"/>
          <w:lang w:val="en-US" w:eastAsia="zh-CN"/>
        </w:rPr>
        <w:t>: 否</w:t>
      </w:r>
      <w:r>
        <w:rPr>
          <w:rFonts w:hint="eastAsia" w:asciiTheme="minorEastAsia" w:hAnsiTheme="minorEastAsia" w:eastAsiaTheme="minorEastAsia" w:cstheme="minorEastAsia"/>
          <w:color w:val="auto"/>
          <w:sz w:val="24"/>
        </w:rPr>
        <w:t>。</w:t>
      </w:r>
    </w:p>
    <w:p w14:paraId="39BCE49B">
      <w:pPr>
        <w:autoSpaceDE w:val="0"/>
        <w:autoSpaceDN w:val="0"/>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cstheme="minorEastAsia"/>
          <w:color w:val="auto"/>
          <w:sz w:val="24"/>
          <w:lang w:val="en-US" w:eastAsia="zh-CN"/>
        </w:rPr>
        <w:t>7、</w:t>
      </w:r>
      <w:r>
        <w:rPr>
          <w:rFonts w:hint="eastAsia" w:asciiTheme="minorEastAsia" w:hAnsiTheme="minorEastAsia" w:eastAsiaTheme="minorEastAsia" w:cstheme="minorEastAsia"/>
          <w:color w:val="auto"/>
          <w:sz w:val="24"/>
        </w:rPr>
        <w:t>是否接受进口产品：</w:t>
      </w:r>
      <w:r>
        <w:rPr>
          <w:rFonts w:hint="eastAsia" w:asciiTheme="minorEastAsia" w:hAnsiTheme="minorEastAsia" w:eastAsiaTheme="minorEastAsia" w:cstheme="minorEastAsia"/>
          <w:color w:val="auto"/>
          <w:sz w:val="24"/>
          <w:lang w:val="en-US" w:eastAsia="zh-CN"/>
        </w:rPr>
        <w:t>否</w:t>
      </w:r>
      <w:r>
        <w:rPr>
          <w:rFonts w:hint="eastAsia" w:asciiTheme="minorEastAsia" w:hAnsiTheme="minorEastAsia" w:eastAsiaTheme="minorEastAsia" w:cstheme="minorEastAsia"/>
          <w:color w:val="auto"/>
          <w:sz w:val="24"/>
        </w:rPr>
        <w:t>。</w:t>
      </w:r>
    </w:p>
    <w:p w14:paraId="05704ABC">
      <w:pPr>
        <w:spacing w:line="360" w:lineRule="auto"/>
        <w:ind w:firstLine="480" w:firstLineChars="200"/>
        <w:jc w:val="left"/>
        <w:rPr>
          <w:rFonts w:hint="eastAsia" w:asciiTheme="minorEastAsia" w:hAnsiTheme="minorEastAsia" w:eastAsiaTheme="minorEastAsia" w:cstheme="minorEastAsia"/>
          <w:color w:val="auto"/>
          <w:sz w:val="24"/>
          <w:highlight w:val="none"/>
        </w:rPr>
      </w:pPr>
      <w:r>
        <w:rPr>
          <w:rFonts w:hint="eastAsia" w:ascii="宋体" w:hAnsi="宋体" w:cs="宋体"/>
          <w:color w:val="auto"/>
          <w:sz w:val="24"/>
          <w:lang w:val="en-US" w:eastAsia="zh-CN"/>
        </w:rPr>
        <w:t>8、</w:t>
      </w:r>
      <w:bookmarkStart w:id="4" w:name="_Toc28359090"/>
      <w:bookmarkStart w:id="5" w:name="_Toc28359013"/>
      <w:bookmarkStart w:id="6" w:name="_Toc35393630"/>
      <w:bookmarkStart w:id="7" w:name="_Toc35393799"/>
      <w:r>
        <w:rPr>
          <w:rFonts w:hint="eastAsia" w:asciiTheme="minorEastAsia" w:hAnsiTheme="minorEastAsia" w:eastAsiaTheme="minorEastAsia" w:cstheme="minorEastAsia"/>
          <w:color w:val="auto"/>
          <w:sz w:val="24"/>
        </w:rPr>
        <w:t>本项目是否为只面向中小企业采</w:t>
      </w:r>
      <w:r>
        <w:rPr>
          <w:rFonts w:hint="eastAsia" w:asciiTheme="minorEastAsia" w:hAnsiTheme="minorEastAsia" w:eastAsiaTheme="minorEastAsia" w:cstheme="minorEastAsia"/>
          <w:color w:val="auto"/>
          <w:sz w:val="24"/>
          <w:highlight w:val="none"/>
        </w:rPr>
        <w:t>购：</w:t>
      </w:r>
      <w:r>
        <w:rPr>
          <w:rFonts w:hint="eastAsia" w:asciiTheme="minorEastAsia" w:hAnsiTheme="minorEastAsia" w:cstheme="minorEastAsia"/>
          <w:color w:val="auto"/>
          <w:sz w:val="24"/>
          <w:highlight w:val="none"/>
          <w:lang w:eastAsia="zh-CN"/>
        </w:rPr>
        <w:t>是</w:t>
      </w:r>
      <w:r>
        <w:rPr>
          <w:rFonts w:hint="eastAsia" w:asciiTheme="minorEastAsia" w:hAnsiTheme="minorEastAsia" w:eastAsiaTheme="minorEastAsia" w:cstheme="minorEastAsia"/>
          <w:color w:val="auto"/>
          <w:sz w:val="24"/>
          <w:highlight w:val="none"/>
        </w:rPr>
        <w:t>。</w:t>
      </w:r>
    </w:p>
    <w:p w14:paraId="1A2A15CC">
      <w:pPr>
        <w:spacing w:line="360" w:lineRule="auto"/>
        <w:ind w:firstLine="480" w:firstLineChars="200"/>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二、申请人的资格要求：</w:t>
      </w:r>
      <w:bookmarkEnd w:id="4"/>
      <w:bookmarkEnd w:id="5"/>
      <w:bookmarkEnd w:id="6"/>
      <w:bookmarkEnd w:id="7"/>
    </w:p>
    <w:p w14:paraId="7371C638">
      <w:pPr>
        <w:autoSpaceDE w:val="0"/>
        <w:autoSpaceDN w:val="0"/>
        <w:spacing w:line="360" w:lineRule="auto"/>
        <w:ind w:firstLine="54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rPr>
        <w:t>1.满足《中华人民共和国政府采购法》第二十二条规定；</w:t>
      </w:r>
    </w:p>
    <w:p w14:paraId="3ED1CB31">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（1）具有独立承担民事责任的能力； </w:t>
      </w:r>
    </w:p>
    <w:p w14:paraId="11DC81AE">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（2）具有良好的商业信誉和健全的财务会计制度； </w:t>
      </w:r>
    </w:p>
    <w:p w14:paraId="5A26A0A9">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（3）具有履行合同所必需的设备和专业技术能力； </w:t>
      </w:r>
    </w:p>
    <w:p w14:paraId="07261ADC">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（4）有依法缴纳税收和社会保障资金的良好记录； </w:t>
      </w:r>
    </w:p>
    <w:p w14:paraId="05F485FA">
      <w:pPr>
        <w:adjustRightInd w:val="0"/>
        <w:snapToGrid w:val="0"/>
        <w:spacing w:line="360" w:lineRule="auto"/>
        <w:ind w:firstLine="480" w:firstLineChars="200"/>
        <w:rPr>
          <w:rFonts w:hint="eastAsia"/>
          <w:color w:val="auto"/>
          <w:sz w:val="24"/>
          <w:highlight w:val="none"/>
        </w:rPr>
      </w:pPr>
      <w:r>
        <w:rPr>
          <w:rFonts w:hint="eastAsia"/>
          <w:color w:val="auto"/>
          <w:sz w:val="24"/>
          <w:highlight w:val="none"/>
        </w:rPr>
        <w:t xml:space="preserve">（5）参加政府采购活动前三年内，在经营活动中没有重大违法记录； </w:t>
      </w:r>
    </w:p>
    <w:p w14:paraId="55F58BF9">
      <w:pPr>
        <w:adjustRightInd w:val="0"/>
        <w:snapToGrid w:val="0"/>
        <w:spacing w:line="360" w:lineRule="auto"/>
        <w:ind w:firstLine="480" w:firstLineChars="200"/>
        <w:rPr>
          <w:color w:val="auto"/>
          <w:highlight w:val="none"/>
        </w:rPr>
      </w:pPr>
      <w:r>
        <w:rPr>
          <w:rFonts w:hint="eastAsia"/>
          <w:color w:val="auto"/>
          <w:sz w:val="24"/>
          <w:highlight w:val="none"/>
        </w:rPr>
        <w:t xml:space="preserve">（6）法律、行政法规规定的其他条件。  </w:t>
      </w:r>
    </w:p>
    <w:p w14:paraId="74666A22">
      <w:pPr>
        <w:numPr>
          <w:ilvl w:val="0"/>
          <w:numId w:val="0"/>
        </w:numPr>
        <w:spacing w:line="360" w:lineRule="auto"/>
        <w:ind w:firstLine="480" w:firstLineChars="200"/>
        <w:jc w:val="left"/>
        <w:rPr>
          <w:rFonts w:hint="eastAsia" w:ascii="宋体" w:hAnsi="宋体" w:eastAsia="宋体" w:cs="宋体"/>
          <w:bCs/>
          <w:color w:val="auto"/>
          <w:kern w:val="0"/>
          <w:sz w:val="24"/>
          <w:szCs w:val="24"/>
          <w:lang w:val="en-US" w:eastAsia="zh-CN"/>
        </w:rPr>
      </w:pPr>
      <w:bookmarkStart w:id="8" w:name="_Toc28359014"/>
      <w:bookmarkStart w:id="9" w:name="_Toc28359091"/>
      <w:r>
        <w:rPr>
          <w:rFonts w:hint="eastAsia" w:asciiTheme="minorEastAsia" w:hAnsiTheme="minorEastAsia" w:eastAsiaTheme="minorEastAsia" w:cstheme="minorEastAsia"/>
          <w:color w:val="auto"/>
          <w:sz w:val="24"/>
          <w:highlight w:val="none"/>
        </w:rPr>
        <w:t>2.落实政府采购政策需满足的资格要求：</w:t>
      </w:r>
      <w:r>
        <w:rPr>
          <w:rFonts w:hint="eastAsia" w:ascii="宋体" w:hAnsi="宋体" w:eastAsia="宋体" w:cs="宋体"/>
          <w:bCs/>
          <w:color w:val="auto"/>
          <w:kern w:val="0"/>
          <w:sz w:val="24"/>
          <w:szCs w:val="24"/>
          <w:lang w:val="en-US" w:eastAsia="zh-CN"/>
        </w:rPr>
        <w:t>本项目落实节能环保、中小微型企业、监狱企业、残疾人福利性单位扶持等相关政府采购政策。</w:t>
      </w:r>
    </w:p>
    <w:p w14:paraId="65A61D6B">
      <w:pPr>
        <w:adjustRightInd w:val="0"/>
        <w:snapToGrid w:val="0"/>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3.本项目的特定资格要求：</w:t>
      </w:r>
    </w:p>
    <w:p w14:paraId="08349B32">
      <w:pPr>
        <w:adjustRightInd w:val="0"/>
        <w:snapToGrid w:val="0"/>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根据《关于在政府采购活动中查询及使用信用记录有关问题的通知》(财库[2016]125号)和豫财购【2016】15号的规定，对列入“信用中国”网站（</w:t>
      </w:r>
      <w:r>
        <w:rPr>
          <w:rFonts w:hint="eastAsia"/>
          <w:color w:val="auto"/>
          <w:sz w:val="24"/>
          <w:highlight w:val="none"/>
          <w:lang w:val="en-US" w:eastAsia="zh-CN"/>
        </w:rPr>
        <w:fldChar w:fldCharType="begin"/>
      </w:r>
      <w:r>
        <w:rPr>
          <w:rFonts w:hint="eastAsia"/>
          <w:color w:val="auto"/>
          <w:sz w:val="24"/>
          <w:highlight w:val="none"/>
          <w:lang w:val="en-US" w:eastAsia="zh-CN"/>
        </w:rPr>
        <w:instrText xml:space="preserve"> HYPERLINK "http://www.creditchina.gov.cn/" </w:instrText>
      </w:r>
      <w:r>
        <w:rPr>
          <w:rFonts w:hint="eastAsia"/>
          <w:color w:val="auto"/>
          <w:sz w:val="24"/>
          <w:highlight w:val="none"/>
          <w:lang w:val="en-US" w:eastAsia="zh-CN"/>
        </w:rPr>
        <w:fldChar w:fldCharType="separate"/>
      </w:r>
      <w:r>
        <w:rPr>
          <w:rFonts w:hint="eastAsia"/>
          <w:color w:val="auto"/>
          <w:sz w:val="24"/>
          <w:highlight w:val="none"/>
          <w:lang w:val="en-US" w:eastAsia="zh-CN"/>
        </w:rPr>
        <w:t>www.creditchina.gov.cn</w:t>
      </w:r>
      <w:r>
        <w:rPr>
          <w:rFonts w:hint="eastAsia"/>
          <w:color w:val="auto"/>
          <w:sz w:val="24"/>
          <w:highlight w:val="none"/>
          <w:lang w:val="en-US" w:eastAsia="zh-CN"/>
        </w:rPr>
        <w:fldChar w:fldCharType="end"/>
      </w:r>
      <w:r>
        <w:rPr>
          <w:rFonts w:hint="eastAsia"/>
          <w:color w:val="auto"/>
          <w:sz w:val="24"/>
          <w:highlight w:val="none"/>
          <w:lang w:val="en-US" w:eastAsia="zh-CN"/>
        </w:rPr>
        <w:t>）的“重大税收违法失信主体”、“失信被执行人”和“中国政府采购”网站(</w:t>
      </w:r>
      <w:r>
        <w:rPr>
          <w:rFonts w:hint="eastAsia"/>
          <w:color w:val="auto"/>
          <w:sz w:val="24"/>
          <w:highlight w:val="none"/>
          <w:lang w:val="en-US" w:eastAsia="zh-CN"/>
        </w:rPr>
        <w:fldChar w:fldCharType="begin"/>
      </w:r>
      <w:r>
        <w:rPr>
          <w:rFonts w:hint="eastAsia"/>
          <w:color w:val="auto"/>
          <w:sz w:val="24"/>
          <w:highlight w:val="none"/>
          <w:lang w:val="en-US" w:eastAsia="zh-CN"/>
        </w:rPr>
        <w:instrText xml:space="preserve"> HYPERLINK "http://www.ccgp.gov.cn/" </w:instrText>
      </w:r>
      <w:r>
        <w:rPr>
          <w:rFonts w:hint="eastAsia"/>
          <w:color w:val="auto"/>
          <w:sz w:val="24"/>
          <w:highlight w:val="none"/>
          <w:lang w:val="en-US" w:eastAsia="zh-CN"/>
        </w:rPr>
        <w:fldChar w:fldCharType="separate"/>
      </w:r>
      <w:r>
        <w:rPr>
          <w:rFonts w:hint="eastAsia"/>
          <w:color w:val="auto"/>
          <w:sz w:val="24"/>
          <w:highlight w:val="none"/>
          <w:lang w:val="en-US" w:eastAsia="zh-CN"/>
        </w:rPr>
        <w:t>www.ccgp.gov.cn</w:t>
      </w:r>
      <w:r>
        <w:rPr>
          <w:rFonts w:hint="eastAsia"/>
          <w:color w:val="auto"/>
          <w:sz w:val="24"/>
          <w:highlight w:val="none"/>
          <w:lang w:val="en-US" w:eastAsia="zh-CN"/>
        </w:rPr>
        <w:fldChar w:fldCharType="end"/>
      </w:r>
      <w:r>
        <w:rPr>
          <w:rFonts w:hint="eastAsia"/>
          <w:color w:val="auto"/>
          <w:sz w:val="24"/>
          <w:highlight w:val="none"/>
          <w:lang w:val="en-US" w:eastAsia="zh-CN"/>
        </w:rPr>
        <w:t>)的“政府采购严重违法失信行为记录名单”的供应商和法定代表人，将拒绝其参加政府采购活动；在标书中附加盖公章的网页查询扫描件，查询日期为公告发布之日至投标截止之日。</w:t>
      </w:r>
    </w:p>
    <w:p w14:paraId="63E8B21E">
      <w:pPr>
        <w:adjustRightInd w:val="0"/>
        <w:snapToGrid w:val="0"/>
        <w:spacing w:line="360" w:lineRule="auto"/>
        <w:ind w:firstLine="480" w:firstLineChars="200"/>
        <w:rPr>
          <w:rFonts w:hint="eastAsia"/>
          <w:color w:val="auto"/>
          <w:sz w:val="24"/>
          <w:highlight w:val="none"/>
          <w:lang w:val="en-US" w:eastAsia="zh-CN"/>
        </w:rPr>
      </w:pPr>
      <w:r>
        <w:rPr>
          <w:rFonts w:hint="eastAsia"/>
          <w:color w:val="auto"/>
          <w:sz w:val="24"/>
          <w:highlight w:val="none"/>
          <w:lang w:val="en-US" w:eastAsia="zh-CN"/>
        </w:rPr>
        <w:t>★供应商所投的多要素自动气象观测站（六要素）必须取得自动气象站《气象专用技术装备使用许可证》。响应文件中须提供该许可证扫描件，或提供中国气象局一体化政务服务平台“气象专用技术装备使用许可证名录”查询截图，以证明其有效性。</w:t>
      </w:r>
    </w:p>
    <w:p w14:paraId="732932C5">
      <w:pPr>
        <w:pStyle w:val="2"/>
        <w:autoSpaceDE w:val="0"/>
        <w:autoSpaceDN w:val="0"/>
        <w:spacing w:line="360" w:lineRule="auto"/>
        <w:jc w:val="left"/>
        <w:rPr>
          <w:rFonts w:asciiTheme="minorEastAsia" w:hAnsiTheme="minorEastAsia" w:eastAsiaTheme="minorEastAsia" w:cstheme="minorEastAsia"/>
          <w:color w:val="auto"/>
          <w:sz w:val="24"/>
          <w:highlight w:val="none"/>
        </w:rPr>
      </w:pPr>
      <w:bookmarkStart w:id="10" w:name="_Toc35393631"/>
      <w:bookmarkStart w:id="11" w:name="_Toc35393800"/>
      <w:r>
        <w:rPr>
          <w:rFonts w:hint="eastAsia" w:asciiTheme="minorEastAsia" w:hAnsiTheme="minorEastAsia" w:eastAsiaTheme="minorEastAsia" w:cstheme="minorEastAsia"/>
          <w:color w:val="auto"/>
          <w:sz w:val="24"/>
          <w:highlight w:val="none"/>
        </w:rPr>
        <w:t>三、获取采购文件</w:t>
      </w:r>
      <w:bookmarkEnd w:id="8"/>
      <w:bookmarkEnd w:id="9"/>
      <w:bookmarkEnd w:id="10"/>
      <w:bookmarkEnd w:id="11"/>
    </w:p>
    <w:p w14:paraId="6C95899C">
      <w:pPr>
        <w:autoSpaceDE w:val="0"/>
        <w:autoSpaceDN w:val="0"/>
        <w:spacing w:line="360" w:lineRule="auto"/>
        <w:ind w:firstLine="540"/>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时间：</w:t>
      </w:r>
      <w:r>
        <w:rPr>
          <w:rFonts w:hint="eastAsia" w:asciiTheme="minorEastAsia" w:hAnsiTheme="minorEastAsia" w:eastAsiaTheme="minorEastAsia" w:cstheme="minorEastAsia"/>
          <w:color w:val="auto"/>
          <w:sz w:val="24"/>
          <w:highlight w:val="none"/>
          <w:u w:val="single"/>
        </w:rPr>
        <w:t>2</w:t>
      </w:r>
      <w:r>
        <w:rPr>
          <w:rFonts w:asciiTheme="minorEastAsia" w:hAnsiTheme="minorEastAsia" w:eastAsiaTheme="minorEastAsia" w:cstheme="minorEastAsia"/>
          <w:color w:val="auto"/>
          <w:sz w:val="24"/>
          <w:highlight w:val="none"/>
          <w:u w:val="single"/>
        </w:rPr>
        <w:t>02</w:t>
      </w:r>
      <w:r>
        <w:rPr>
          <w:rFonts w:hint="eastAsia" w:asciiTheme="minorEastAsia" w:hAnsiTheme="minorEastAsia" w:cstheme="minorEastAsia"/>
          <w:color w:val="auto"/>
          <w:sz w:val="24"/>
          <w:highlight w:val="none"/>
          <w:u w:val="single"/>
          <w:lang w:val="en-US" w:eastAsia="zh-CN"/>
        </w:rPr>
        <w:t>6</w:t>
      </w:r>
      <w:r>
        <w:rPr>
          <w:rFonts w:hint="eastAsia" w:asciiTheme="minorEastAsia" w:hAnsiTheme="minorEastAsia" w:eastAsiaTheme="minorEastAsia" w:cstheme="minorEastAsia"/>
          <w:color w:val="auto"/>
          <w:sz w:val="24"/>
          <w:highlight w:val="none"/>
          <w:u w:val="single"/>
        </w:rPr>
        <w:t>年</w:t>
      </w:r>
      <w:r>
        <w:rPr>
          <w:rFonts w:hint="eastAsia" w:asciiTheme="minorEastAsia" w:hAnsiTheme="minorEastAsia" w:cstheme="minorEastAsia"/>
          <w:color w:val="auto"/>
          <w:sz w:val="24"/>
          <w:highlight w:val="none"/>
          <w:u w:val="single"/>
          <w:lang w:val="en-US" w:eastAsia="zh-CN"/>
        </w:rPr>
        <w:t>10</w:t>
      </w:r>
      <w:r>
        <w:rPr>
          <w:rFonts w:hint="eastAsia" w:asciiTheme="minorEastAsia" w:hAnsiTheme="minorEastAsia" w:eastAsiaTheme="minorEastAsia" w:cstheme="minorEastAsia"/>
          <w:color w:val="auto"/>
          <w:sz w:val="24"/>
          <w:highlight w:val="none"/>
          <w:u w:val="single"/>
        </w:rPr>
        <w:t>月</w:t>
      </w:r>
      <w:r>
        <w:rPr>
          <w:rFonts w:hint="eastAsia" w:asciiTheme="minorEastAsia" w:hAnsiTheme="minorEastAsia" w:cstheme="minorEastAsia"/>
          <w:color w:val="auto"/>
          <w:sz w:val="24"/>
          <w:highlight w:val="none"/>
          <w:u w:val="single"/>
          <w:lang w:val="en-US" w:eastAsia="zh-CN"/>
        </w:rPr>
        <w:t>22</w:t>
      </w:r>
      <w:r>
        <w:rPr>
          <w:rFonts w:hint="eastAsia" w:asciiTheme="minorEastAsia" w:hAnsiTheme="minorEastAsia" w:eastAsiaTheme="minorEastAsia" w:cstheme="minorEastAsia"/>
          <w:color w:val="auto"/>
          <w:sz w:val="24"/>
          <w:highlight w:val="none"/>
          <w:u w:val="single"/>
        </w:rPr>
        <w:t>日</w:t>
      </w:r>
      <w:r>
        <w:rPr>
          <w:rFonts w:hint="eastAsia" w:asciiTheme="minorEastAsia" w:hAnsiTheme="minorEastAsia" w:eastAsiaTheme="minorEastAsia" w:cstheme="minorEastAsia"/>
          <w:color w:val="auto"/>
          <w:sz w:val="24"/>
          <w:highlight w:val="none"/>
        </w:rPr>
        <w:t>至</w:t>
      </w:r>
      <w:r>
        <w:rPr>
          <w:rFonts w:hint="eastAsia" w:asciiTheme="minorEastAsia" w:hAnsiTheme="minorEastAsia" w:eastAsiaTheme="minorEastAsia" w:cstheme="minorEastAsia"/>
          <w:color w:val="auto"/>
          <w:sz w:val="24"/>
          <w:highlight w:val="none"/>
          <w:u w:val="single"/>
        </w:rPr>
        <w:t>2</w:t>
      </w:r>
      <w:r>
        <w:rPr>
          <w:rFonts w:asciiTheme="minorEastAsia" w:hAnsiTheme="minorEastAsia" w:eastAsiaTheme="minorEastAsia" w:cstheme="minorEastAsia"/>
          <w:color w:val="auto"/>
          <w:sz w:val="24"/>
          <w:highlight w:val="none"/>
          <w:u w:val="single"/>
        </w:rPr>
        <w:t>02</w:t>
      </w:r>
      <w:r>
        <w:rPr>
          <w:rFonts w:hint="eastAsia" w:asciiTheme="minorEastAsia" w:hAnsiTheme="minorEastAsia" w:cstheme="minorEastAsia"/>
          <w:color w:val="auto"/>
          <w:sz w:val="24"/>
          <w:highlight w:val="none"/>
          <w:u w:val="single"/>
          <w:lang w:val="en-US" w:eastAsia="zh-CN"/>
        </w:rPr>
        <w:t>6</w:t>
      </w:r>
      <w:r>
        <w:rPr>
          <w:rFonts w:hint="eastAsia" w:asciiTheme="minorEastAsia" w:hAnsiTheme="minorEastAsia" w:eastAsiaTheme="minorEastAsia" w:cstheme="minorEastAsia"/>
          <w:color w:val="auto"/>
          <w:sz w:val="24"/>
          <w:highlight w:val="none"/>
          <w:u w:val="single"/>
        </w:rPr>
        <w:t>年</w:t>
      </w:r>
      <w:r>
        <w:rPr>
          <w:rFonts w:hint="eastAsia" w:asciiTheme="minorEastAsia" w:hAnsiTheme="minorEastAsia" w:cstheme="minorEastAsia"/>
          <w:color w:val="auto"/>
          <w:sz w:val="24"/>
          <w:highlight w:val="none"/>
          <w:u w:val="single"/>
          <w:lang w:val="en-US" w:eastAsia="zh-CN"/>
        </w:rPr>
        <w:t>10</w:t>
      </w:r>
      <w:r>
        <w:rPr>
          <w:rFonts w:hint="eastAsia" w:asciiTheme="minorEastAsia" w:hAnsiTheme="minorEastAsia" w:eastAsiaTheme="minorEastAsia" w:cstheme="minorEastAsia"/>
          <w:color w:val="auto"/>
          <w:sz w:val="24"/>
          <w:highlight w:val="none"/>
          <w:u w:val="single"/>
        </w:rPr>
        <w:t>月</w:t>
      </w:r>
      <w:r>
        <w:rPr>
          <w:rFonts w:hint="eastAsia" w:asciiTheme="minorEastAsia" w:hAnsiTheme="minorEastAsia" w:cstheme="minorEastAsia"/>
          <w:color w:val="auto"/>
          <w:sz w:val="24"/>
          <w:highlight w:val="none"/>
          <w:u w:val="single"/>
          <w:lang w:val="en-US" w:eastAsia="zh-CN"/>
        </w:rPr>
        <w:t>29</w:t>
      </w:r>
      <w:bookmarkStart w:id="37" w:name="_GoBack"/>
      <w:bookmarkEnd w:id="37"/>
      <w:r>
        <w:rPr>
          <w:rFonts w:hint="eastAsia" w:asciiTheme="minorEastAsia" w:hAnsiTheme="minorEastAsia" w:eastAsiaTheme="minorEastAsia" w:cstheme="minorEastAsia"/>
          <w:color w:val="auto"/>
          <w:sz w:val="24"/>
          <w:highlight w:val="none"/>
          <w:u w:val="single"/>
        </w:rPr>
        <w:t>日</w:t>
      </w:r>
      <w:r>
        <w:rPr>
          <w:rFonts w:hint="eastAsia" w:asciiTheme="minorEastAsia" w:hAnsiTheme="minorEastAsia" w:eastAsiaTheme="minorEastAsia" w:cstheme="minorEastAsia"/>
          <w:color w:val="auto"/>
          <w:sz w:val="24"/>
          <w:highlight w:val="none"/>
        </w:rPr>
        <w:t>（北京时间，法定节假日除外 ）</w:t>
      </w:r>
    </w:p>
    <w:p w14:paraId="67E9745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地点：周口市公共资源交易中心网（http://jyzx.zhoukou.gov.cn）</w:t>
      </w:r>
    </w:p>
    <w:p w14:paraId="59E326B4">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方式：供应商请在网站自主注册后下载采购文件（zkzf格式）及资料，需办理CA数字证书后方可提交响应文件，具体办理事宜请查阅周口市公共资源交易中心网站。</w:t>
      </w:r>
    </w:p>
    <w:p w14:paraId="1AF01F3C">
      <w:pPr>
        <w:autoSpaceDE w:val="0"/>
        <w:autoSpaceDN w:val="0"/>
        <w:spacing w:line="360" w:lineRule="auto"/>
        <w:ind w:firstLine="540"/>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售价：0</w:t>
      </w:r>
      <w:r>
        <w:rPr>
          <w:rFonts w:hint="eastAsia" w:asciiTheme="minorEastAsia" w:hAnsiTheme="minorEastAsia" w:cstheme="minorEastAsia"/>
          <w:color w:val="auto"/>
          <w:sz w:val="24"/>
          <w:highlight w:val="none"/>
          <w:lang w:eastAsia="zh-CN"/>
        </w:rPr>
        <w:t>元</w:t>
      </w:r>
    </w:p>
    <w:p w14:paraId="35CB8804">
      <w:pPr>
        <w:pStyle w:val="2"/>
        <w:autoSpaceDE w:val="0"/>
        <w:autoSpaceDN w:val="0"/>
        <w:spacing w:line="360" w:lineRule="auto"/>
        <w:jc w:val="left"/>
        <w:rPr>
          <w:rFonts w:asciiTheme="minorEastAsia" w:hAnsiTheme="minorEastAsia" w:eastAsiaTheme="minorEastAsia" w:cstheme="minorEastAsia"/>
          <w:color w:val="auto"/>
          <w:sz w:val="24"/>
          <w:highlight w:val="none"/>
        </w:rPr>
      </w:pPr>
      <w:bookmarkStart w:id="12" w:name="_Toc28359092"/>
      <w:bookmarkStart w:id="13" w:name="_Toc35393801"/>
      <w:bookmarkStart w:id="14" w:name="_Toc35393632"/>
      <w:bookmarkStart w:id="15" w:name="_Toc28359015"/>
      <w:r>
        <w:rPr>
          <w:rFonts w:hint="eastAsia" w:asciiTheme="minorEastAsia" w:hAnsiTheme="minorEastAsia" w:eastAsiaTheme="minorEastAsia" w:cstheme="minorEastAsia"/>
          <w:color w:val="auto"/>
          <w:sz w:val="24"/>
          <w:highlight w:val="none"/>
        </w:rPr>
        <w:t>四、响应文件提交</w:t>
      </w:r>
      <w:bookmarkEnd w:id="12"/>
      <w:bookmarkEnd w:id="13"/>
      <w:bookmarkEnd w:id="14"/>
      <w:bookmarkEnd w:id="15"/>
    </w:p>
    <w:p w14:paraId="201F2E48">
      <w:pPr>
        <w:autoSpaceDE w:val="0"/>
        <w:autoSpaceDN w:val="0"/>
        <w:spacing w:line="360" w:lineRule="auto"/>
        <w:ind w:firstLine="480" w:firstLineChars="200"/>
        <w:rPr>
          <w:rFonts w:asciiTheme="minorEastAsia" w:hAnsiTheme="minorEastAsia" w:eastAsiaTheme="minorEastAsia" w:cstheme="minorEastAsia"/>
          <w:bCs/>
          <w:color w:val="auto"/>
          <w:sz w:val="24"/>
          <w:highlight w:val="none"/>
          <w:u w:val="single"/>
        </w:rPr>
      </w:pPr>
      <w:r>
        <w:rPr>
          <w:rFonts w:hint="eastAsia" w:asciiTheme="minorEastAsia" w:hAnsiTheme="minorEastAsia" w:eastAsiaTheme="minorEastAsia" w:cstheme="minorEastAsia"/>
          <w:color w:val="auto"/>
          <w:sz w:val="24"/>
          <w:highlight w:val="none"/>
        </w:rPr>
        <w:t>截止时间：</w:t>
      </w:r>
      <w:r>
        <w:rPr>
          <w:rFonts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11月2</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点</w:t>
      </w:r>
      <w:r>
        <w:rPr>
          <w:rFonts w:hint="eastAsia" w:ascii="宋体" w:hAnsi="宋体" w:cs="宋体"/>
          <w:color w:val="auto"/>
          <w:sz w:val="24"/>
          <w:highlight w:val="none"/>
          <w:lang w:val="en-US" w:eastAsia="zh-CN"/>
        </w:rPr>
        <w:t>00</w:t>
      </w:r>
      <w:r>
        <w:rPr>
          <w:rFonts w:hint="eastAsia" w:ascii="宋体" w:hAnsi="宋体" w:cs="宋体"/>
          <w:color w:val="auto"/>
          <w:sz w:val="24"/>
          <w:highlight w:val="none"/>
        </w:rPr>
        <w:t>分</w:t>
      </w:r>
      <w:r>
        <w:rPr>
          <w:rFonts w:hint="eastAsia" w:asciiTheme="minorEastAsia" w:hAnsiTheme="minorEastAsia" w:eastAsiaTheme="minorEastAsia" w:cstheme="minorEastAsia"/>
          <w:bCs/>
          <w:color w:val="auto"/>
          <w:sz w:val="24"/>
          <w:highlight w:val="none"/>
        </w:rPr>
        <w:t>（北京时间）</w:t>
      </w:r>
    </w:p>
    <w:p w14:paraId="13CA0591">
      <w:pPr>
        <w:autoSpaceDE w:val="0"/>
        <w:autoSpaceDN w:val="0"/>
        <w:spacing w:line="360" w:lineRule="auto"/>
        <w:ind w:firstLine="480" w:firstLineChars="200"/>
        <w:rPr>
          <w:rFonts w:asciiTheme="minorEastAsia" w:hAnsiTheme="minorEastAsia" w:eastAsiaTheme="minorEastAsia" w:cstheme="minorEastAsia"/>
          <w:bCs/>
          <w:color w:val="auto"/>
          <w:sz w:val="24"/>
          <w:highlight w:val="none"/>
          <w:u w:val="single"/>
        </w:rPr>
      </w:pPr>
      <w:r>
        <w:rPr>
          <w:rFonts w:hint="eastAsia" w:asciiTheme="minorEastAsia" w:hAnsiTheme="minorEastAsia" w:eastAsiaTheme="minorEastAsia" w:cstheme="minorEastAsia"/>
          <w:color w:val="auto"/>
          <w:sz w:val="24"/>
          <w:highlight w:val="none"/>
        </w:rPr>
        <w:t>地点：加密电子响应文件须在投标截止时间前通过</w:t>
      </w:r>
      <w:r>
        <w:rPr>
          <w:rFonts w:hint="eastAsia" w:asciiTheme="minorEastAsia" w:hAnsiTheme="minorEastAsia" w:eastAsiaTheme="minorEastAsia" w:cstheme="minorEastAsia"/>
          <w:color w:val="auto"/>
          <w:spacing w:val="-6"/>
          <w:sz w:val="24"/>
          <w:highlight w:val="none"/>
        </w:rPr>
        <w:t>周口市公共资源交易中心网</w:t>
      </w:r>
      <w:r>
        <w:rPr>
          <w:rFonts w:hint="eastAsia" w:asciiTheme="minorEastAsia" w:hAnsiTheme="minorEastAsia" w:eastAsiaTheme="minorEastAsia" w:cstheme="minorEastAsia"/>
          <w:color w:val="auto"/>
          <w:sz w:val="24"/>
          <w:highlight w:val="none"/>
        </w:rPr>
        <w:t>（网址http://jyzx.zhoukou.gov.cn）。</w:t>
      </w:r>
    </w:p>
    <w:p w14:paraId="34CC6772">
      <w:pPr>
        <w:pStyle w:val="2"/>
        <w:autoSpaceDE w:val="0"/>
        <w:autoSpaceDN w:val="0"/>
        <w:spacing w:line="360" w:lineRule="auto"/>
        <w:jc w:val="left"/>
        <w:rPr>
          <w:rFonts w:asciiTheme="minorEastAsia" w:hAnsiTheme="minorEastAsia" w:eastAsiaTheme="minorEastAsia" w:cstheme="minorEastAsia"/>
          <w:color w:val="auto"/>
          <w:sz w:val="24"/>
          <w:highlight w:val="none"/>
        </w:rPr>
      </w:pPr>
      <w:bookmarkStart w:id="16" w:name="_Toc35393802"/>
      <w:bookmarkStart w:id="17" w:name="_Toc28359016"/>
      <w:bookmarkStart w:id="18" w:name="_Toc28359093"/>
      <w:bookmarkStart w:id="19" w:name="_Toc35393633"/>
      <w:r>
        <w:rPr>
          <w:rFonts w:hint="eastAsia" w:asciiTheme="minorEastAsia" w:hAnsiTheme="minorEastAsia" w:eastAsiaTheme="minorEastAsia" w:cstheme="minorEastAsia"/>
          <w:color w:val="auto"/>
          <w:sz w:val="24"/>
          <w:highlight w:val="none"/>
        </w:rPr>
        <w:t>五、开启（竞争性磋商方式必须填写）</w:t>
      </w:r>
      <w:bookmarkEnd w:id="16"/>
      <w:bookmarkEnd w:id="17"/>
      <w:bookmarkEnd w:id="18"/>
      <w:bookmarkEnd w:id="19"/>
    </w:p>
    <w:p w14:paraId="37607B0A">
      <w:pPr>
        <w:autoSpaceDE w:val="0"/>
        <w:autoSpaceDN w:val="0"/>
        <w:spacing w:line="360" w:lineRule="auto"/>
        <w:ind w:firstLine="480" w:firstLineChars="200"/>
        <w:rPr>
          <w:rFonts w:asciiTheme="minorEastAsia" w:hAnsiTheme="minorEastAsia" w:eastAsiaTheme="minorEastAsia" w:cstheme="minorEastAsia"/>
          <w:bCs/>
          <w:color w:val="auto"/>
          <w:sz w:val="24"/>
          <w:highlight w:val="none"/>
          <w:u w:val="single"/>
        </w:rPr>
      </w:pPr>
      <w:r>
        <w:rPr>
          <w:rFonts w:hint="eastAsia" w:asciiTheme="minorEastAsia" w:hAnsiTheme="minorEastAsia" w:eastAsiaTheme="minorEastAsia" w:cstheme="minorEastAsia"/>
          <w:color w:val="auto"/>
          <w:sz w:val="24"/>
          <w:highlight w:val="none"/>
        </w:rPr>
        <w:t>时间：</w:t>
      </w:r>
      <w:r>
        <w:rPr>
          <w:rFonts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11月2</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10</w:t>
      </w:r>
      <w:r>
        <w:rPr>
          <w:rFonts w:hint="eastAsia" w:ascii="宋体" w:hAnsi="宋体" w:cs="宋体"/>
          <w:color w:val="auto"/>
          <w:sz w:val="24"/>
          <w:highlight w:val="none"/>
        </w:rPr>
        <w:t>点</w:t>
      </w:r>
      <w:r>
        <w:rPr>
          <w:rFonts w:hint="eastAsia" w:ascii="宋体" w:hAnsi="宋体" w:cs="宋体"/>
          <w:color w:val="auto"/>
          <w:sz w:val="24"/>
          <w:highlight w:val="none"/>
          <w:lang w:val="en-US" w:eastAsia="zh-CN"/>
        </w:rPr>
        <w:t>00</w:t>
      </w:r>
      <w:r>
        <w:rPr>
          <w:rFonts w:hint="eastAsia" w:ascii="宋体" w:hAnsi="宋体" w:cs="宋体"/>
          <w:color w:val="auto"/>
          <w:sz w:val="24"/>
          <w:highlight w:val="none"/>
        </w:rPr>
        <w:t>分</w:t>
      </w:r>
      <w:r>
        <w:rPr>
          <w:rFonts w:hint="eastAsia" w:asciiTheme="minorEastAsia" w:hAnsiTheme="minorEastAsia" w:eastAsiaTheme="minorEastAsia" w:cstheme="minorEastAsia"/>
          <w:bCs/>
          <w:color w:val="auto"/>
          <w:sz w:val="24"/>
          <w:highlight w:val="none"/>
        </w:rPr>
        <w:t>（北京时间）</w:t>
      </w:r>
    </w:p>
    <w:p w14:paraId="1D62F567">
      <w:pPr>
        <w:autoSpaceDE w:val="0"/>
        <w:autoSpaceDN w:val="0"/>
        <w:spacing w:line="360" w:lineRule="auto"/>
        <w:ind w:firstLine="480" w:firstLineChars="200"/>
        <w:jc w:val="left"/>
        <w:rPr>
          <w:rFonts w:asciiTheme="minorEastAsia" w:hAnsiTheme="minorEastAsia" w:eastAsiaTheme="minorEastAsia" w:cstheme="minorEastAsia"/>
          <w:bCs/>
          <w:color w:val="auto"/>
          <w:sz w:val="24"/>
          <w:highlight w:val="none"/>
          <w:u w:val="single"/>
        </w:rPr>
      </w:pPr>
      <w:r>
        <w:rPr>
          <w:rFonts w:hint="eastAsia" w:asciiTheme="minorEastAsia" w:hAnsiTheme="minorEastAsia" w:eastAsiaTheme="minorEastAsia" w:cstheme="minorEastAsia"/>
          <w:color w:val="auto"/>
          <w:sz w:val="24"/>
          <w:highlight w:val="none"/>
        </w:rPr>
        <w:t>地点：</w:t>
      </w:r>
      <w:r>
        <w:rPr>
          <w:rFonts w:hint="eastAsia" w:ascii="宋体" w:hAnsi="宋体" w:cs="宋体"/>
          <w:color w:val="auto"/>
          <w:sz w:val="24"/>
          <w:highlight w:val="none"/>
        </w:rPr>
        <w:t>周口市公共资源交易中心开标室</w:t>
      </w:r>
    </w:p>
    <w:p w14:paraId="6A93B909">
      <w:pPr>
        <w:pStyle w:val="2"/>
        <w:autoSpaceDE w:val="0"/>
        <w:autoSpaceDN w:val="0"/>
        <w:spacing w:line="360" w:lineRule="auto"/>
        <w:jc w:val="left"/>
        <w:rPr>
          <w:rFonts w:asciiTheme="minorEastAsia" w:hAnsiTheme="minorEastAsia" w:eastAsiaTheme="minorEastAsia" w:cstheme="minorEastAsia"/>
          <w:color w:val="auto"/>
          <w:sz w:val="24"/>
          <w:highlight w:val="none"/>
        </w:rPr>
      </w:pPr>
      <w:bookmarkStart w:id="20" w:name="_Toc35393634"/>
      <w:bookmarkStart w:id="21" w:name="_Toc28359017"/>
      <w:bookmarkStart w:id="22" w:name="_Toc35393803"/>
      <w:bookmarkStart w:id="23" w:name="_Toc28359094"/>
      <w:r>
        <w:rPr>
          <w:rFonts w:hint="eastAsia" w:asciiTheme="minorEastAsia" w:hAnsiTheme="minorEastAsia" w:eastAsiaTheme="minorEastAsia" w:cstheme="minorEastAsia"/>
          <w:color w:val="auto"/>
          <w:sz w:val="24"/>
          <w:highlight w:val="none"/>
        </w:rPr>
        <w:t>六、公告期限</w:t>
      </w:r>
      <w:bookmarkEnd w:id="20"/>
      <w:bookmarkEnd w:id="21"/>
      <w:bookmarkEnd w:id="22"/>
      <w:bookmarkEnd w:id="23"/>
    </w:p>
    <w:p w14:paraId="55032AC2">
      <w:pPr>
        <w:autoSpaceDE w:val="0"/>
        <w:autoSpaceDN w:val="0"/>
        <w:spacing w:line="360" w:lineRule="auto"/>
        <w:ind w:firstLine="480" w:firstLineChars="200"/>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自本公告发布之日起</w:t>
      </w:r>
      <w:r>
        <w:rPr>
          <w:rFonts w:hint="eastAsia" w:asciiTheme="minorEastAsia" w:hAnsiTheme="minorEastAsia" w:cstheme="minorEastAsia"/>
          <w:color w:val="auto"/>
          <w:kern w:val="0"/>
          <w:sz w:val="24"/>
          <w:highlight w:val="none"/>
          <w:lang w:val="en-US" w:eastAsia="zh-CN"/>
        </w:rPr>
        <w:t>5</w:t>
      </w:r>
      <w:r>
        <w:rPr>
          <w:rFonts w:hint="eastAsia" w:asciiTheme="minorEastAsia" w:hAnsiTheme="minorEastAsia" w:eastAsiaTheme="minorEastAsia" w:cstheme="minorEastAsia"/>
          <w:color w:val="auto"/>
          <w:kern w:val="0"/>
          <w:sz w:val="24"/>
          <w:highlight w:val="none"/>
        </w:rPr>
        <w:t>个工作日。</w:t>
      </w:r>
    </w:p>
    <w:p w14:paraId="7A2DB8DE">
      <w:pPr>
        <w:pStyle w:val="2"/>
        <w:autoSpaceDE w:val="0"/>
        <w:autoSpaceDN w:val="0"/>
        <w:spacing w:line="360" w:lineRule="auto"/>
        <w:jc w:val="left"/>
        <w:rPr>
          <w:rFonts w:asciiTheme="minorEastAsia" w:hAnsiTheme="minorEastAsia" w:eastAsiaTheme="minorEastAsia" w:cstheme="minorEastAsia"/>
          <w:color w:val="auto"/>
          <w:sz w:val="24"/>
          <w:highlight w:val="none"/>
        </w:rPr>
      </w:pPr>
      <w:bookmarkStart w:id="24" w:name="_Toc35393804"/>
      <w:bookmarkStart w:id="25" w:name="_Toc35393635"/>
      <w:r>
        <w:rPr>
          <w:rFonts w:hint="eastAsia" w:asciiTheme="minorEastAsia" w:hAnsiTheme="minorEastAsia" w:eastAsiaTheme="minorEastAsia" w:cstheme="minorEastAsia"/>
          <w:color w:val="auto"/>
          <w:sz w:val="24"/>
          <w:highlight w:val="none"/>
        </w:rPr>
        <w:t>七、其他补充事宜</w:t>
      </w:r>
      <w:bookmarkEnd w:id="24"/>
      <w:bookmarkEnd w:id="25"/>
    </w:p>
    <w:p w14:paraId="069AE29C">
      <w:pPr>
        <w:pStyle w:val="2"/>
        <w:autoSpaceDE w:val="0"/>
        <w:autoSpaceDN w:val="0"/>
        <w:spacing w:line="360" w:lineRule="auto"/>
        <w:jc w:val="left"/>
        <w:rPr>
          <w:rFonts w:asciiTheme="minorEastAsia" w:hAnsiTheme="minorEastAsia" w:eastAsiaTheme="minorEastAsia" w:cstheme="minorEastAsia"/>
          <w:color w:val="auto"/>
          <w:sz w:val="24"/>
          <w:highlight w:val="none"/>
        </w:rPr>
      </w:pPr>
      <w:bookmarkStart w:id="26" w:name="_Toc28359018"/>
      <w:bookmarkStart w:id="27" w:name="_Toc35393636"/>
      <w:bookmarkStart w:id="28" w:name="_Toc35393805"/>
      <w:bookmarkStart w:id="29" w:name="_Toc28359095"/>
      <w:r>
        <w:rPr>
          <w:rFonts w:hint="eastAsia" w:asciiTheme="minorEastAsia" w:hAnsiTheme="minorEastAsia" w:eastAsiaTheme="minorEastAsia" w:cstheme="minorEastAsia"/>
          <w:color w:val="auto"/>
          <w:sz w:val="24"/>
          <w:highlight w:val="none"/>
        </w:rPr>
        <w:t>八、凡对本次采购提出询问，请按以下方式联系。</w:t>
      </w:r>
      <w:bookmarkEnd w:id="26"/>
      <w:bookmarkEnd w:id="27"/>
      <w:bookmarkEnd w:id="28"/>
      <w:bookmarkEnd w:id="29"/>
    </w:p>
    <w:p w14:paraId="4E41948F">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1.采购人信息</w:t>
      </w:r>
    </w:p>
    <w:p w14:paraId="1A5F046F">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名 称：</w:t>
      </w:r>
      <w:r>
        <w:rPr>
          <w:rFonts w:hint="eastAsia" w:ascii="宋体" w:hAnsi="宋体" w:cs="宋体"/>
          <w:color w:val="auto"/>
          <w:sz w:val="24"/>
          <w:highlight w:val="none"/>
          <w:lang w:eastAsia="zh-CN"/>
        </w:rPr>
        <w:t>周口市淮阳区气象局</w:t>
      </w:r>
      <w:r>
        <w:rPr>
          <w:rFonts w:hint="eastAsia" w:ascii="宋体" w:hAnsi="宋体" w:cs="宋体"/>
          <w:color w:val="auto"/>
          <w:sz w:val="24"/>
          <w:highlight w:val="none"/>
        </w:rPr>
        <w:t>　　　　　　　　　　　　</w:t>
      </w:r>
    </w:p>
    <w:p w14:paraId="110E35B9">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地</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址：周口市淮阳区王店乡吴楼村南环路南侧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w:t>
      </w:r>
    </w:p>
    <w:p w14:paraId="537F2D4E">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项目联系人：</w:t>
      </w:r>
      <w:r>
        <w:rPr>
          <w:rFonts w:hint="eastAsia" w:ascii="宋体" w:hAnsi="宋体" w:cs="宋体"/>
          <w:color w:val="auto"/>
          <w:sz w:val="24"/>
          <w:highlight w:val="none"/>
          <w:lang w:eastAsia="zh-CN"/>
        </w:rPr>
        <w:t>曾</w:t>
      </w:r>
      <w:r>
        <w:rPr>
          <w:rFonts w:hint="eastAsia" w:ascii="宋体" w:hAnsi="宋体" w:cs="宋体"/>
          <w:color w:val="auto"/>
          <w:sz w:val="24"/>
          <w:highlight w:val="none"/>
          <w:lang w:val="en-US" w:eastAsia="zh-CN"/>
        </w:rPr>
        <w:t xml:space="preserve">子君    </w:t>
      </w:r>
      <w:r>
        <w:rPr>
          <w:rFonts w:hint="eastAsia" w:ascii="宋体" w:hAnsi="宋体" w:cs="宋体"/>
          <w:color w:val="auto"/>
          <w:sz w:val="24"/>
          <w:highlight w:val="none"/>
        </w:rPr>
        <w:t xml:space="preserve">    联系方式：13073767097　　　　　　　 </w:t>
      </w:r>
      <w:bookmarkStart w:id="30" w:name="_Toc28359086"/>
      <w:bookmarkStart w:id="31" w:name="_Toc28359009"/>
    </w:p>
    <w:p w14:paraId="78EE7786">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2.采购代理机构信息</w:t>
      </w:r>
      <w:bookmarkEnd w:id="30"/>
      <w:bookmarkEnd w:id="31"/>
    </w:p>
    <w:p w14:paraId="6041C55C">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名 称：周口市公共资源交易中心政府采购中心　　　　　　　　　　　　</w:t>
      </w:r>
    </w:p>
    <w:p w14:paraId="0B17B9EB">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地　址：周口市光明路与政通路交叉口向北100米路东</w:t>
      </w:r>
    </w:p>
    <w:p w14:paraId="657CA2D2">
      <w:pPr>
        <w:spacing w:line="360" w:lineRule="auto"/>
        <w:ind w:firstLine="480" w:firstLineChars="200"/>
        <w:jc w:val="left"/>
        <w:rPr>
          <w:rFonts w:hint="default" w:ascii="宋体" w:hAnsi="宋体" w:cs="宋体" w:eastAsiaTheme="minorEastAsia"/>
          <w:color w:val="auto"/>
          <w:sz w:val="24"/>
          <w:highlight w:val="none"/>
          <w:lang w:val="en-US" w:eastAsia="zh-CN"/>
        </w:rPr>
      </w:pPr>
      <w:r>
        <w:rPr>
          <w:rFonts w:hint="eastAsia" w:ascii="宋体" w:hAnsi="宋体" w:cs="宋体"/>
          <w:color w:val="auto"/>
          <w:sz w:val="24"/>
          <w:highlight w:val="none"/>
        </w:rPr>
        <w:t>项目联系人：</w:t>
      </w:r>
      <w:r>
        <w:rPr>
          <w:rFonts w:hint="eastAsia" w:ascii="宋体" w:hAnsi="宋体" w:cs="宋体"/>
          <w:color w:val="auto"/>
          <w:sz w:val="24"/>
          <w:highlight w:val="none"/>
          <w:lang w:val="en-US" w:eastAsia="zh-CN"/>
        </w:rPr>
        <w:t xml:space="preserve">郝冰 </w:t>
      </w:r>
      <w:r>
        <w:rPr>
          <w:rFonts w:hint="eastAsia" w:ascii="宋体" w:hAnsi="宋体" w:cs="宋体"/>
          <w:color w:val="auto"/>
          <w:sz w:val="24"/>
          <w:highlight w:val="none"/>
        </w:rPr>
        <w:t xml:space="preserve"> 联系方式：</w:t>
      </w:r>
      <w:r>
        <w:rPr>
          <w:rFonts w:hint="eastAsia" w:ascii="宋体" w:hAnsi="宋体" w:cs="宋体"/>
          <w:color w:val="auto"/>
          <w:sz w:val="24"/>
          <w:highlight w:val="none"/>
          <w:lang w:val="en-US" w:eastAsia="zh-CN"/>
        </w:rPr>
        <w:t xml:space="preserve">0394-8106517、13513878800 </w:t>
      </w:r>
    </w:p>
    <w:p w14:paraId="4EEECAA1">
      <w:pPr>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 xml:space="preserve">3.监督单位：周口市淮阳区财政局 </w:t>
      </w:r>
    </w:p>
    <w:p w14:paraId="16B701CD">
      <w:pPr>
        <w:pStyle w:val="35"/>
        <w:ind w:firstLine="720" w:firstLineChars="300"/>
        <w:rPr>
          <w:rFonts w:hint="default" w:eastAsia="宋体"/>
          <w:color w:val="auto"/>
          <w:highlight w:val="none"/>
          <w:lang w:val="en-US" w:eastAsia="zh-CN"/>
        </w:rPr>
      </w:pPr>
      <w:r>
        <w:rPr>
          <w:rFonts w:hint="eastAsia" w:ascii="宋体" w:hAnsi="宋体" w:cs="宋体"/>
          <w:color w:val="auto"/>
          <w:sz w:val="24"/>
          <w:highlight w:val="none"/>
        </w:rPr>
        <w:t>联系方式：0394-2667059 </w:t>
      </w:r>
      <w:r>
        <w:rPr>
          <w:rFonts w:ascii="宋体" w:hAnsi="宋体" w:eastAsia="宋体" w:cs="宋体"/>
          <w:color w:val="auto"/>
          <w:spacing w:val="0"/>
          <w:position w:val="0"/>
          <w:sz w:val="24"/>
          <w:highlight w:val="none"/>
          <w:shd w:val="clear" w:fill="auto"/>
        </w:rPr>
        <w:t xml:space="preserve"> </w:t>
      </w:r>
    </w:p>
    <w:p w14:paraId="77431704">
      <w:pPr>
        <w:pStyle w:val="7"/>
        <w:adjustRightInd w:val="0"/>
        <w:snapToGrid w:val="0"/>
        <w:spacing w:line="360" w:lineRule="auto"/>
        <w:ind w:firstLine="2040" w:firstLineChars="850"/>
        <w:rPr>
          <w:rFonts w:hint="eastAsia" w:ascii="宋体" w:hAnsi="宋体" w:cs="宋体"/>
          <w:color w:val="auto"/>
          <w:sz w:val="24"/>
          <w:highlight w:val="none"/>
        </w:rPr>
      </w:pPr>
    </w:p>
    <w:p w14:paraId="1DAFE3EB">
      <w:pPr>
        <w:pStyle w:val="7"/>
        <w:adjustRightInd w:val="0"/>
        <w:snapToGrid w:val="0"/>
        <w:spacing w:line="360" w:lineRule="auto"/>
        <w:ind w:firstLine="2040" w:firstLineChars="850"/>
        <w:rPr>
          <w:rFonts w:ascii="宋体" w:hAnsi="宋体" w:cs="宋体"/>
          <w:color w:val="auto"/>
          <w:sz w:val="24"/>
          <w:highlight w:val="none"/>
        </w:rPr>
      </w:pPr>
      <w:r>
        <w:rPr>
          <w:rFonts w:hint="eastAsia" w:ascii="宋体" w:hAnsi="宋体" w:cs="宋体"/>
          <w:color w:val="auto"/>
          <w:sz w:val="24"/>
          <w:highlight w:val="none"/>
        </w:rPr>
        <w:t>周口市公共资源交易中心政府采购中心</w:t>
      </w:r>
    </w:p>
    <w:p w14:paraId="4CF51950">
      <w:pPr>
        <w:pStyle w:val="16"/>
        <w:adjustRightInd w:val="0"/>
        <w:spacing w:line="360" w:lineRule="auto"/>
        <w:ind w:firstLine="3360" w:firstLineChars="1400"/>
        <w:rPr>
          <w:rFonts w:ascii="宋体" w:hAnsi="宋体" w:cs="宋体"/>
          <w:color w:val="auto"/>
          <w:highlight w:val="none"/>
        </w:rPr>
      </w:pPr>
      <w:r>
        <w:rPr>
          <w:rFonts w:hint="eastAsia" w:ascii="宋体" w:hAnsi="宋体" w:cs="宋体"/>
          <w:color w:val="auto"/>
          <w:sz w:val="24"/>
          <w:szCs w:val="24"/>
          <w:highlight w:val="none"/>
        </w:rPr>
        <w:t>2</w:t>
      </w:r>
      <w:r>
        <w:rPr>
          <w:rFonts w:ascii="宋体" w:hAnsi="宋体" w:cs="宋体"/>
          <w:color w:val="auto"/>
          <w:sz w:val="24"/>
          <w:szCs w:val="24"/>
          <w:highlight w:val="none"/>
        </w:rPr>
        <w:t>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10月21</w:t>
      </w:r>
      <w:r>
        <w:rPr>
          <w:rFonts w:hint="eastAsia" w:ascii="宋体" w:hAnsi="宋体" w:cs="宋体"/>
          <w:color w:val="auto"/>
          <w:sz w:val="24"/>
          <w:szCs w:val="24"/>
          <w:highlight w:val="none"/>
        </w:rPr>
        <w:t>日　　</w:t>
      </w:r>
    </w:p>
    <w:p w14:paraId="363D3C21">
      <w:pPr>
        <w:pStyle w:val="19"/>
        <w:adjustRightInd w:val="0"/>
        <w:snapToGrid w:val="0"/>
        <w:spacing w:line="360" w:lineRule="auto"/>
        <w:ind w:firstLine="0" w:firstLineChars="0"/>
        <w:rPr>
          <w:color w:val="auto"/>
          <w:highlight w:val="none"/>
        </w:rPr>
      </w:pPr>
    </w:p>
    <w:p w14:paraId="1A288FE0">
      <w:pPr>
        <w:jc w:val="center"/>
        <w:rPr>
          <w:rFonts w:ascii="宋体" w:hAnsi="宋体" w:cs="宋体"/>
          <w:b/>
          <w:color w:val="auto"/>
          <w:sz w:val="32"/>
          <w:szCs w:val="32"/>
          <w:highlight w:val="none"/>
        </w:rPr>
      </w:pPr>
      <w:r>
        <w:rPr>
          <w:rFonts w:ascii="宋体" w:hAnsi="宋体" w:cs="宋体"/>
          <w:b/>
          <w:color w:val="auto"/>
          <w:sz w:val="32"/>
          <w:szCs w:val="32"/>
          <w:highlight w:val="none"/>
        </w:rPr>
        <w:br w:type="page"/>
      </w:r>
      <w:r>
        <w:rPr>
          <w:rFonts w:hint="eastAsia" w:ascii="宋体" w:hAnsi="宋体" w:cs="宋体"/>
          <w:b/>
          <w:color w:val="auto"/>
          <w:sz w:val="32"/>
          <w:szCs w:val="32"/>
          <w:highlight w:val="none"/>
        </w:rPr>
        <w:t>第二章    供应商须知</w:t>
      </w:r>
    </w:p>
    <w:tbl>
      <w:tblPr>
        <w:tblStyle w:val="20"/>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14:paraId="594E03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14:paraId="6EF36803">
            <w:pPr>
              <w:jc w:val="center"/>
              <w:rPr>
                <w:rFonts w:ascii="宋体" w:hAnsi="宋体"/>
                <w:color w:val="auto"/>
                <w:szCs w:val="21"/>
                <w:highlight w:val="none"/>
              </w:rPr>
            </w:pPr>
            <w:r>
              <w:rPr>
                <w:rFonts w:hint="eastAsia" w:ascii="宋体" w:hAnsi="宋体" w:cs="楷体_GB2312"/>
                <w:color w:val="auto"/>
                <w:sz w:val="32"/>
                <w:szCs w:val="32"/>
                <w:highlight w:val="none"/>
              </w:rPr>
              <w:t>供应商须知前附表</w:t>
            </w:r>
          </w:p>
        </w:tc>
      </w:tr>
      <w:tr w14:paraId="45D800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14:paraId="36C04B2E">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序号</w:t>
            </w:r>
          </w:p>
        </w:tc>
        <w:tc>
          <w:tcPr>
            <w:tcW w:w="1995" w:type="dxa"/>
            <w:vAlign w:val="center"/>
          </w:tcPr>
          <w:p w14:paraId="73776ADD">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条款</w:t>
            </w:r>
          </w:p>
        </w:tc>
        <w:tc>
          <w:tcPr>
            <w:tcW w:w="6615" w:type="dxa"/>
            <w:vAlign w:val="center"/>
          </w:tcPr>
          <w:p w14:paraId="313C440F">
            <w:pPr>
              <w:rPr>
                <w:rFonts w:ascii="宋体" w:hAnsi="宋体" w:cs="宋体"/>
                <w:color w:val="auto"/>
                <w:sz w:val="24"/>
                <w:highlight w:val="none"/>
              </w:rPr>
            </w:pPr>
            <w:r>
              <w:rPr>
                <w:rFonts w:hint="eastAsia" w:ascii="宋体" w:hAnsi="宋体" w:cs="宋体"/>
                <w:color w:val="auto"/>
                <w:sz w:val="24"/>
                <w:highlight w:val="none"/>
              </w:rPr>
              <w:t>内  容</w:t>
            </w:r>
          </w:p>
        </w:tc>
      </w:tr>
      <w:tr w14:paraId="51C6B1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14:paraId="4413B6FE">
            <w:pPr>
              <w:numPr>
                <w:ilvl w:val="0"/>
                <w:numId w:val="1"/>
              </w:numPr>
              <w:spacing w:before="156" w:beforeLines="50"/>
              <w:jc w:val="center"/>
              <w:rPr>
                <w:rFonts w:ascii="宋体" w:hAnsi="宋体" w:cs="宋体"/>
                <w:color w:val="auto"/>
                <w:sz w:val="24"/>
                <w:highlight w:val="none"/>
              </w:rPr>
            </w:pPr>
          </w:p>
        </w:tc>
        <w:tc>
          <w:tcPr>
            <w:tcW w:w="1995" w:type="dxa"/>
            <w:vAlign w:val="center"/>
          </w:tcPr>
          <w:p w14:paraId="4AEC8546">
            <w:pPr>
              <w:jc w:val="center"/>
              <w:rPr>
                <w:rFonts w:ascii="宋体" w:hAnsi="宋体" w:cs="宋体"/>
                <w:color w:val="auto"/>
                <w:sz w:val="24"/>
                <w:highlight w:val="none"/>
              </w:rPr>
            </w:pPr>
            <w:r>
              <w:rPr>
                <w:rFonts w:hint="eastAsia" w:ascii="宋体" w:hAnsi="宋体" w:cs="宋体"/>
                <w:color w:val="auto"/>
                <w:sz w:val="24"/>
                <w:highlight w:val="none"/>
              </w:rPr>
              <w:t>项目概况</w:t>
            </w:r>
          </w:p>
        </w:tc>
        <w:tc>
          <w:tcPr>
            <w:tcW w:w="6615" w:type="dxa"/>
            <w:vAlign w:val="center"/>
          </w:tcPr>
          <w:p w14:paraId="5A1CD5E8">
            <w:pPr>
              <w:rPr>
                <w:rFonts w:hint="eastAsia" w:ascii="宋体" w:hAnsi="宋体" w:cs="宋体" w:eastAsiaTheme="minorEastAsia"/>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周口市淮阳区气象局区域站迭代升级改造项目</w:t>
            </w:r>
          </w:p>
          <w:p w14:paraId="1F342D49">
            <w:pPr>
              <w:rPr>
                <w:rFonts w:ascii="宋体" w:hAnsi="宋体" w:cs="宋体"/>
                <w:color w:val="auto"/>
                <w:sz w:val="24"/>
                <w:highlight w:val="none"/>
              </w:rPr>
            </w:pPr>
            <w:r>
              <w:rPr>
                <w:rFonts w:hint="eastAsia" w:ascii="宋体" w:hAnsi="宋体" w:cs="宋体"/>
                <w:color w:val="auto"/>
                <w:sz w:val="24"/>
                <w:highlight w:val="none"/>
              </w:rPr>
              <w:t>采购内容：</w:t>
            </w:r>
            <w:r>
              <w:rPr>
                <w:rFonts w:hint="eastAsia" w:ascii="宋体" w:hAnsi="宋体" w:cs="宋体"/>
                <w:color w:val="auto"/>
                <w:sz w:val="24"/>
                <w:highlight w:val="none"/>
                <w:lang w:eastAsia="zh-CN"/>
              </w:rPr>
              <w:t>周口市淮阳区气象局区域站迭代升级改造项目</w:t>
            </w:r>
            <w:r>
              <w:rPr>
                <w:rFonts w:hint="eastAsia" w:ascii="宋体" w:hAnsi="宋体" w:cs="宋体"/>
                <w:color w:val="auto"/>
                <w:sz w:val="24"/>
                <w:highlight w:val="none"/>
                <w:lang w:val="en-US" w:eastAsia="zh-CN"/>
              </w:rPr>
              <w:t>设备采购、安装及调试等。</w:t>
            </w:r>
          </w:p>
          <w:p w14:paraId="23989454">
            <w:pPr>
              <w:rPr>
                <w:rFonts w:ascii="宋体" w:hAnsi="宋体" w:cs="宋体"/>
                <w:color w:val="auto"/>
                <w:sz w:val="24"/>
                <w:highlight w:val="none"/>
              </w:rPr>
            </w:pPr>
            <w:r>
              <w:rPr>
                <w:rFonts w:hint="eastAsia" w:ascii="宋体" w:hAnsi="宋体" w:cs="宋体"/>
                <w:color w:val="auto"/>
                <w:sz w:val="24"/>
                <w:highlight w:val="none"/>
              </w:rPr>
              <w:t>采购人：</w:t>
            </w:r>
            <w:r>
              <w:rPr>
                <w:rFonts w:hint="eastAsia" w:ascii="宋体" w:hAnsi="宋体" w:cs="宋体"/>
                <w:color w:val="auto"/>
                <w:sz w:val="24"/>
                <w:highlight w:val="none"/>
                <w:lang w:eastAsia="zh-CN"/>
              </w:rPr>
              <w:t>周口市淮阳区气象局</w:t>
            </w:r>
            <w:r>
              <w:rPr>
                <w:rFonts w:hint="eastAsia" w:ascii="宋体" w:hAnsi="宋体" w:cs="宋体"/>
                <w:color w:val="auto"/>
                <w:sz w:val="24"/>
                <w:highlight w:val="none"/>
              </w:rPr>
              <w:t>　</w:t>
            </w:r>
          </w:p>
          <w:p w14:paraId="1A28B8A6">
            <w:pPr>
              <w:rPr>
                <w:rFonts w:ascii="宋体" w:hAnsi="宋体" w:cs="宋体"/>
                <w:color w:val="auto"/>
                <w:sz w:val="24"/>
                <w:highlight w:val="none"/>
              </w:rPr>
            </w:pPr>
            <w:r>
              <w:rPr>
                <w:rFonts w:hint="eastAsia" w:ascii="宋体" w:hAnsi="宋体" w:cs="宋体"/>
                <w:color w:val="auto"/>
                <w:sz w:val="24"/>
                <w:highlight w:val="none"/>
              </w:rPr>
              <w:t>采购代理机构：周口市公共资源交易中心政府采购中心</w:t>
            </w:r>
          </w:p>
        </w:tc>
      </w:tr>
      <w:tr w14:paraId="1A24ABF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14:paraId="47A55E8F">
            <w:pPr>
              <w:numPr>
                <w:ilvl w:val="0"/>
                <w:numId w:val="1"/>
              </w:numPr>
              <w:spacing w:before="156" w:beforeLines="50"/>
              <w:jc w:val="center"/>
              <w:rPr>
                <w:rFonts w:ascii="宋体" w:hAnsi="宋体" w:cs="宋体"/>
                <w:color w:val="auto"/>
                <w:sz w:val="24"/>
                <w:highlight w:val="none"/>
              </w:rPr>
            </w:pPr>
          </w:p>
        </w:tc>
        <w:tc>
          <w:tcPr>
            <w:tcW w:w="1995" w:type="dxa"/>
            <w:vAlign w:val="center"/>
          </w:tcPr>
          <w:p w14:paraId="155BA141">
            <w:pPr>
              <w:spacing w:before="156" w:beforeLines="50"/>
              <w:ind w:left="-4" w:leftChars="-4" w:hanging="4" w:hangingChars="2"/>
              <w:jc w:val="center"/>
              <w:rPr>
                <w:rFonts w:ascii="宋体" w:hAnsi="宋体" w:cs="宋体"/>
                <w:color w:val="auto"/>
                <w:sz w:val="24"/>
                <w:highlight w:val="none"/>
              </w:rPr>
            </w:pPr>
            <w:r>
              <w:rPr>
                <w:rFonts w:hint="eastAsia" w:ascii="宋体" w:hAnsi="宋体" w:cs="宋体"/>
                <w:color w:val="auto"/>
                <w:sz w:val="24"/>
                <w:highlight w:val="none"/>
              </w:rPr>
              <w:t>对供应商的资格要求</w:t>
            </w:r>
          </w:p>
        </w:tc>
        <w:tc>
          <w:tcPr>
            <w:tcW w:w="6615" w:type="dxa"/>
            <w:vAlign w:val="center"/>
          </w:tcPr>
          <w:p w14:paraId="04A637BC">
            <w:pPr>
              <w:spacing w:before="156" w:beforeLines="50"/>
              <w:ind w:left="-4" w:leftChars="-4" w:hanging="4" w:hangingChars="2"/>
              <w:rPr>
                <w:rFonts w:ascii="宋体" w:hAnsi="宋体" w:cs="宋体"/>
                <w:color w:val="auto"/>
                <w:sz w:val="24"/>
                <w:highlight w:val="none"/>
              </w:rPr>
            </w:pPr>
            <w:r>
              <w:rPr>
                <w:rFonts w:hint="eastAsia" w:ascii="宋体" w:hAnsi="宋体" w:cs="宋体"/>
                <w:color w:val="auto"/>
                <w:sz w:val="24"/>
                <w:highlight w:val="none"/>
              </w:rPr>
              <w:t>见竞争性磋商邀请函</w:t>
            </w:r>
          </w:p>
        </w:tc>
      </w:tr>
      <w:tr w14:paraId="25B458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3E02357C">
            <w:pPr>
              <w:numPr>
                <w:ilvl w:val="0"/>
                <w:numId w:val="1"/>
              </w:numPr>
              <w:spacing w:before="156" w:beforeLines="50"/>
              <w:jc w:val="center"/>
              <w:rPr>
                <w:rFonts w:ascii="宋体" w:hAnsi="宋体" w:cs="宋体"/>
                <w:color w:val="auto"/>
                <w:sz w:val="24"/>
                <w:highlight w:val="none"/>
              </w:rPr>
            </w:pPr>
          </w:p>
        </w:tc>
        <w:tc>
          <w:tcPr>
            <w:tcW w:w="1995" w:type="dxa"/>
            <w:vAlign w:val="center"/>
          </w:tcPr>
          <w:p w14:paraId="4D7F37A3">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报价费用</w:t>
            </w:r>
          </w:p>
        </w:tc>
        <w:tc>
          <w:tcPr>
            <w:tcW w:w="6615" w:type="dxa"/>
            <w:vAlign w:val="center"/>
          </w:tcPr>
          <w:p w14:paraId="0AEA9645">
            <w:pPr>
              <w:rPr>
                <w:rFonts w:ascii="宋体" w:hAnsi="宋体" w:cs="宋体"/>
                <w:color w:val="auto"/>
                <w:sz w:val="24"/>
                <w:highlight w:val="none"/>
              </w:rPr>
            </w:pPr>
            <w:r>
              <w:rPr>
                <w:rFonts w:hint="eastAsia" w:ascii="宋体" w:hAnsi="宋体" w:cs="宋体"/>
                <w:color w:val="auto"/>
                <w:sz w:val="24"/>
                <w:highlight w:val="none"/>
              </w:rPr>
              <w:t>无论报价和磋商的过程和结果如何，供应商自行承担所有与参加报价及磋商有关活动的全部费用。</w:t>
            </w:r>
          </w:p>
        </w:tc>
      </w:tr>
      <w:tr w14:paraId="377563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14:paraId="17533F4A">
            <w:pPr>
              <w:numPr>
                <w:ilvl w:val="0"/>
                <w:numId w:val="1"/>
              </w:numPr>
              <w:spacing w:before="156" w:beforeLines="50"/>
              <w:rPr>
                <w:rFonts w:ascii="宋体" w:hAnsi="宋体" w:cs="宋体"/>
                <w:color w:val="auto"/>
                <w:sz w:val="24"/>
                <w:highlight w:val="none"/>
              </w:rPr>
            </w:pPr>
          </w:p>
        </w:tc>
        <w:tc>
          <w:tcPr>
            <w:tcW w:w="1995" w:type="dxa"/>
            <w:vAlign w:val="center"/>
          </w:tcPr>
          <w:p w14:paraId="6CB8592A">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响应文件语言</w:t>
            </w:r>
          </w:p>
        </w:tc>
        <w:tc>
          <w:tcPr>
            <w:tcW w:w="6615" w:type="dxa"/>
            <w:vAlign w:val="center"/>
          </w:tcPr>
          <w:p w14:paraId="569D9F5B">
            <w:pPr>
              <w:snapToGrid w:val="0"/>
              <w:rPr>
                <w:rFonts w:ascii="宋体" w:hAnsi="宋体" w:cs="宋体"/>
                <w:color w:val="auto"/>
                <w:sz w:val="24"/>
                <w:highlight w:val="none"/>
              </w:rPr>
            </w:pPr>
            <w:r>
              <w:rPr>
                <w:rFonts w:hint="eastAsia" w:ascii="宋体" w:hAnsi="宋体" w:cs="宋体"/>
                <w:color w:val="auto"/>
                <w:sz w:val="24"/>
                <w:highlight w:val="none"/>
              </w:rPr>
              <w:t>中文</w:t>
            </w:r>
          </w:p>
        </w:tc>
      </w:tr>
      <w:tr w14:paraId="42D99E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36815CBA">
            <w:pPr>
              <w:numPr>
                <w:ilvl w:val="0"/>
                <w:numId w:val="1"/>
              </w:numPr>
              <w:spacing w:before="156" w:beforeLines="50"/>
              <w:rPr>
                <w:rFonts w:ascii="宋体" w:hAnsi="宋体" w:cs="宋体"/>
                <w:color w:val="auto"/>
                <w:sz w:val="24"/>
                <w:highlight w:val="none"/>
              </w:rPr>
            </w:pPr>
          </w:p>
        </w:tc>
        <w:tc>
          <w:tcPr>
            <w:tcW w:w="1995" w:type="dxa"/>
            <w:vAlign w:val="center"/>
          </w:tcPr>
          <w:p w14:paraId="66C0B7A6">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报价货币</w:t>
            </w:r>
          </w:p>
        </w:tc>
        <w:tc>
          <w:tcPr>
            <w:tcW w:w="6615" w:type="dxa"/>
            <w:vAlign w:val="center"/>
          </w:tcPr>
          <w:p w14:paraId="310E8B31">
            <w:pPr>
              <w:rPr>
                <w:rFonts w:ascii="宋体" w:hAnsi="宋体" w:cs="宋体"/>
                <w:color w:val="auto"/>
                <w:sz w:val="24"/>
                <w:highlight w:val="none"/>
              </w:rPr>
            </w:pPr>
            <w:r>
              <w:rPr>
                <w:rFonts w:hint="eastAsia" w:ascii="宋体" w:hAnsi="宋体" w:cs="宋体"/>
                <w:color w:val="auto"/>
                <w:sz w:val="24"/>
                <w:highlight w:val="none"/>
              </w:rPr>
              <w:t>人民币</w:t>
            </w:r>
          </w:p>
        </w:tc>
      </w:tr>
      <w:tr w14:paraId="7BB499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14:paraId="6C856EBE">
            <w:pPr>
              <w:numPr>
                <w:ilvl w:val="0"/>
                <w:numId w:val="1"/>
              </w:numPr>
              <w:spacing w:before="156" w:beforeLines="50"/>
              <w:jc w:val="center"/>
              <w:rPr>
                <w:rFonts w:ascii="宋体" w:hAnsi="宋体" w:cs="宋体"/>
                <w:color w:val="auto"/>
                <w:sz w:val="24"/>
                <w:highlight w:val="none"/>
              </w:rPr>
            </w:pPr>
          </w:p>
        </w:tc>
        <w:tc>
          <w:tcPr>
            <w:tcW w:w="1995" w:type="dxa"/>
            <w:vAlign w:val="center"/>
          </w:tcPr>
          <w:p w14:paraId="0D411686">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报价范围及说明</w:t>
            </w:r>
          </w:p>
        </w:tc>
        <w:tc>
          <w:tcPr>
            <w:tcW w:w="6615" w:type="dxa"/>
            <w:vAlign w:val="center"/>
          </w:tcPr>
          <w:p w14:paraId="5B46FB82">
            <w:pPr>
              <w:rPr>
                <w:rFonts w:ascii="宋体" w:hAnsi="宋体" w:cs="宋体"/>
                <w:color w:val="auto"/>
                <w:sz w:val="24"/>
                <w:highlight w:val="none"/>
              </w:rPr>
            </w:pPr>
            <w:r>
              <w:rPr>
                <w:rFonts w:hint="eastAsia" w:ascii="宋体" w:hAnsi="宋体" w:cs="宋体"/>
                <w:color w:val="auto"/>
                <w:sz w:val="24"/>
                <w:highlight w:val="none"/>
              </w:rPr>
              <w:t>报价包括本项目所</w:t>
            </w:r>
            <w:r>
              <w:rPr>
                <w:rFonts w:hint="eastAsia" w:ascii="宋体" w:hAnsi="宋体" w:cs="宋体"/>
                <w:color w:val="auto"/>
                <w:sz w:val="24"/>
                <w:highlight w:val="none"/>
                <w:lang w:eastAsia="zh-CN"/>
              </w:rPr>
              <w:t>采购</w:t>
            </w:r>
            <w:r>
              <w:rPr>
                <w:rFonts w:hint="eastAsia" w:ascii="宋体" w:hAnsi="宋体" w:cs="宋体"/>
                <w:color w:val="auto"/>
                <w:sz w:val="24"/>
                <w:highlight w:val="none"/>
              </w:rPr>
              <w:t>的</w:t>
            </w:r>
            <w:r>
              <w:rPr>
                <w:rFonts w:hint="eastAsia" w:ascii="宋体" w:hAnsi="宋体" w:cs="宋体"/>
                <w:color w:val="auto"/>
                <w:sz w:val="24"/>
                <w:highlight w:val="none"/>
                <w:lang w:eastAsia="zh-CN"/>
              </w:rPr>
              <w:t>货物及</w:t>
            </w:r>
            <w:r>
              <w:rPr>
                <w:rFonts w:hint="eastAsia" w:ascii="宋体" w:hAnsi="宋体" w:cs="宋体"/>
                <w:color w:val="auto"/>
                <w:sz w:val="24"/>
                <w:highlight w:val="none"/>
              </w:rPr>
              <w:t>服务、保险、税费、</w:t>
            </w:r>
            <w:r>
              <w:rPr>
                <w:rFonts w:hint="eastAsia" w:ascii="宋体" w:hAnsi="宋体" w:cs="宋体"/>
                <w:color w:val="auto"/>
                <w:sz w:val="24"/>
                <w:highlight w:val="none"/>
                <w:lang w:eastAsia="zh-CN"/>
              </w:rPr>
              <w:t>包装</w:t>
            </w:r>
            <w:r>
              <w:rPr>
                <w:rFonts w:hint="eastAsia" w:ascii="宋体" w:hAnsi="宋体" w:cs="宋体"/>
                <w:color w:val="auto"/>
                <w:sz w:val="24"/>
                <w:highlight w:val="none"/>
              </w:rPr>
              <w:t>、运输</w:t>
            </w:r>
            <w:r>
              <w:rPr>
                <w:rFonts w:hint="eastAsia" w:ascii="宋体" w:hAnsi="宋体" w:cs="宋体"/>
                <w:color w:val="auto"/>
                <w:sz w:val="24"/>
                <w:highlight w:val="none"/>
                <w:lang w:eastAsia="zh-CN"/>
              </w:rPr>
              <w:t>、</w:t>
            </w:r>
            <w:r>
              <w:rPr>
                <w:rFonts w:hint="eastAsia" w:ascii="宋体" w:hAnsi="宋体" w:cs="宋体"/>
                <w:color w:val="auto"/>
                <w:sz w:val="24"/>
                <w:highlight w:val="none"/>
              </w:rPr>
              <w:t>安装调试</w:t>
            </w:r>
            <w:r>
              <w:rPr>
                <w:rFonts w:hint="eastAsia" w:ascii="宋体" w:hAnsi="宋体" w:cs="宋体"/>
                <w:color w:val="auto"/>
                <w:sz w:val="24"/>
                <w:highlight w:val="none"/>
                <w:lang w:eastAsia="zh-CN"/>
              </w:rPr>
              <w:t>、检测、</w:t>
            </w:r>
            <w:r>
              <w:rPr>
                <w:rFonts w:hint="eastAsia" w:ascii="宋体" w:hAnsi="宋体" w:cs="宋体"/>
                <w:color w:val="auto"/>
                <w:sz w:val="24"/>
                <w:highlight w:val="none"/>
              </w:rPr>
              <w:t>验收</w:t>
            </w:r>
            <w:r>
              <w:rPr>
                <w:rFonts w:hint="eastAsia" w:ascii="宋体" w:hAnsi="宋体" w:cs="宋体"/>
                <w:color w:val="auto"/>
                <w:sz w:val="24"/>
                <w:highlight w:val="none"/>
                <w:lang w:eastAsia="zh-CN"/>
              </w:rPr>
              <w:t>和交付后约定期限内免费维保</w:t>
            </w:r>
            <w:r>
              <w:rPr>
                <w:rFonts w:hint="eastAsia" w:ascii="宋体" w:hAnsi="宋体" w:cs="宋体"/>
                <w:color w:val="auto"/>
                <w:sz w:val="24"/>
                <w:highlight w:val="none"/>
              </w:rPr>
              <w:t>等（采购项目技术规格、参数及要求）</w:t>
            </w:r>
          </w:p>
        </w:tc>
      </w:tr>
      <w:tr w14:paraId="74E259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14:paraId="69926099">
            <w:pPr>
              <w:numPr>
                <w:ilvl w:val="0"/>
                <w:numId w:val="1"/>
              </w:numPr>
              <w:spacing w:before="156" w:beforeLines="50"/>
              <w:jc w:val="center"/>
              <w:rPr>
                <w:rFonts w:ascii="宋体" w:hAnsi="宋体" w:cs="宋体"/>
                <w:color w:val="auto"/>
                <w:sz w:val="24"/>
                <w:highlight w:val="none"/>
              </w:rPr>
            </w:pPr>
          </w:p>
        </w:tc>
        <w:tc>
          <w:tcPr>
            <w:tcW w:w="1995" w:type="dxa"/>
            <w:vAlign w:val="center"/>
          </w:tcPr>
          <w:p w14:paraId="089588A6">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响应文件有效期</w:t>
            </w:r>
          </w:p>
        </w:tc>
        <w:tc>
          <w:tcPr>
            <w:tcW w:w="6615" w:type="dxa"/>
            <w:vAlign w:val="center"/>
          </w:tcPr>
          <w:p w14:paraId="0CD6D467">
            <w:pPr>
              <w:rPr>
                <w:rFonts w:ascii="宋体" w:hAnsi="宋体" w:cs="宋体"/>
                <w:color w:val="auto"/>
                <w:sz w:val="24"/>
                <w:highlight w:val="none"/>
              </w:rPr>
            </w:pPr>
            <w:r>
              <w:rPr>
                <w:rFonts w:hint="eastAsia" w:ascii="宋体" w:hAnsi="宋体" w:cs="宋体"/>
                <w:color w:val="auto"/>
                <w:sz w:val="24"/>
                <w:highlight w:val="none"/>
              </w:rPr>
              <w:t>响应文件递交截止期后60日内有效</w:t>
            </w:r>
          </w:p>
        </w:tc>
      </w:tr>
      <w:tr w14:paraId="4DFC55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735" w:type="dxa"/>
            <w:vAlign w:val="center"/>
          </w:tcPr>
          <w:p w14:paraId="768C9010">
            <w:pPr>
              <w:numPr>
                <w:ilvl w:val="0"/>
                <w:numId w:val="1"/>
              </w:numPr>
              <w:spacing w:before="156" w:beforeLines="50"/>
              <w:jc w:val="center"/>
              <w:rPr>
                <w:rFonts w:ascii="宋体" w:hAnsi="宋体" w:cs="宋体"/>
                <w:color w:val="auto"/>
                <w:sz w:val="24"/>
                <w:highlight w:val="none"/>
              </w:rPr>
            </w:pPr>
          </w:p>
        </w:tc>
        <w:tc>
          <w:tcPr>
            <w:tcW w:w="1995" w:type="dxa"/>
            <w:vAlign w:val="center"/>
          </w:tcPr>
          <w:p w14:paraId="52B318EB">
            <w:pPr>
              <w:tabs>
                <w:tab w:val="left" w:pos="8640"/>
              </w:tabs>
              <w:spacing w:before="156" w:beforeLines="50"/>
              <w:ind w:left="-2" w:leftChars="-1"/>
              <w:jc w:val="center"/>
              <w:rPr>
                <w:rFonts w:ascii="宋体" w:hAnsi="宋体" w:cs="宋体"/>
                <w:color w:val="auto"/>
                <w:sz w:val="24"/>
                <w:highlight w:val="none"/>
              </w:rPr>
            </w:pPr>
            <w:r>
              <w:rPr>
                <w:rFonts w:hint="eastAsia" w:ascii="宋体" w:hAnsi="宋体" w:cs="宋体"/>
                <w:color w:val="auto"/>
                <w:sz w:val="24"/>
                <w:highlight w:val="none"/>
              </w:rPr>
              <w:t>响应文件的组成</w:t>
            </w:r>
          </w:p>
        </w:tc>
        <w:tc>
          <w:tcPr>
            <w:tcW w:w="6615" w:type="dxa"/>
            <w:vAlign w:val="center"/>
          </w:tcPr>
          <w:p w14:paraId="4634DDA5">
            <w:pPr>
              <w:rPr>
                <w:rFonts w:ascii="宋体" w:hAnsi="宋体" w:cs="宋体"/>
                <w:color w:val="auto"/>
                <w:sz w:val="24"/>
                <w:highlight w:val="none"/>
              </w:rPr>
            </w:pPr>
            <w:r>
              <w:rPr>
                <w:rFonts w:hint="eastAsia" w:ascii="宋体" w:hAnsi="宋体" w:cs="宋体"/>
                <w:color w:val="auto"/>
                <w:sz w:val="24"/>
                <w:highlight w:val="none"/>
              </w:rPr>
              <w:t>供应商应按本磋商文件规定的格式，填写并提供相关文件或资料，本磋商文件第三部分要求的文件和资料也须一并提供。供应商还可根据自己的理解，提供其他必要的技术响应、样本资料及附件；</w:t>
            </w:r>
          </w:p>
        </w:tc>
      </w:tr>
      <w:tr w14:paraId="48C9E0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14:paraId="43972245">
            <w:pPr>
              <w:numPr>
                <w:ilvl w:val="0"/>
                <w:numId w:val="1"/>
              </w:numPr>
              <w:spacing w:before="156" w:beforeLines="50"/>
              <w:jc w:val="center"/>
              <w:rPr>
                <w:rFonts w:ascii="宋体" w:hAnsi="宋体" w:cs="宋体"/>
                <w:color w:val="auto"/>
                <w:sz w:val="24"/>
                <w:highlight w:val="none"/>
              </w:rPr>
            </w:pPr>
          </w:p>
        </w:tc>
        <w:tc>
          <w:tcPr>
            <w:tcW w:w="1995" w:type="dxa"/>
            <w:vAlign w:val="center"/>
          </w:tcPr>
          <w:p w14:paraId="30365F2A">
            <w:pPr>
              <w:tabs>
                <w:tab w:val="left" w:pos="8640"/>
              </w:tabs>
              <w:spacing w:before="156" w:beforeLines="50"/>
              <w:ind w:left="-2" w:leftChars="-1"/>
              <w:jc w:val="center"/>
              <w:rPr>
                <w:rFonts w:ascii="宋体" w:hAnsi="宋体" w:cs="宋体"/>
                <w:color w:val="auto"/>
                <w:sz w:val="24"/>
                <w:highlight w:val="none"/>
              </w:rPr>
            </w:pPr>
            <w:r>
              <w:rPr>
                <w:rFonts w:hint="eastAsia" w:ascii="宋体" w:hAnsi="宋体" w:cs="宋体"/>
                <w:color w:val="auto"/>
                <w:sz w:val="24"/>
                <w:highlight w:val="none"/>
              </w:rPr>
              <w:t>响应文件封面要求</w:t>
            </w:r>
          </w:p>
        </w:tc>
        <w:tc>
          <w:tcPr>
            <w:tcW w:w="6615" w:type="dxa"/>
            <w:vAlign w:val="center"/>
          </w:tcPr>
          <w:p w14:paraId="10B72C16">
            <w:pPr>
              <w:tabs>
                <w:tab w:val="left" w:pos="8640"/>
              </w:tabs>
              <w:rPr>
                <w:rFonts w:ascii="宋体" w:hAnsi="宋体" w:cs="宋体"/>
                <w:color w:val="auto"/>
                <w:sz w:val="24"/>
                <w:highlight w:val="none"/>
              </w:rPr>
            </w:pPr>
            <w:r>
              <w:rPr>
                <w:rFonts w:hint="eastAsia" w:ascii="宋体" w:hAnsi="宋体" w:cs="宋体"/>
                <w:color w:val="auto"/>
                <w:sz w:val="24"/>
                <w:highlight w:val="none"/>
              </w:rPr>
              <w:t>无</w:t>
            </w:r>
          </w:p>
        </w:tc>
      </w:tr>
      <w:tr w14:paraId="0ADA6D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4B8CDC01">
            <w:pPr>
              <w:numPr>
                <w:ilvl w:val="0"/>
                <w:numId w:val="1"/>
              </w:numPr>
              <w:spacing w:before="156" w:beforeLines="50"/>
              <w:jc w:val="center"/>
              <w:rPr>
                <w:rFonts w:ascii="宋体" w:hAnsi="宋体" w:cs="宋体"/>
                <w:color w:val="auto"/>
                <w:sz w:val="24"/>
                <w:highlight w:val="none"/>
              </w:rPr>
            </w:pPr>
          </w:p>
        </w:tc>
        <w:tc>
          <w:tcPr>
            <w:tcW w:w="1995" w:type="dxa"/>
            <w:vAlign w:val="center"/>
          </w:tcPr>
          <w:p w14:paraId="5D5C520B">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响应文件份数要求</w:t>
            </w:r>
          </w:p>
        </w:tc>
        <w:tc>
          <w:tcPr>
            <w:tcW w:w="6615" w:type="dxa"/>
            <w:vAlign w:val="center"/>
          </w:tcPr>
          <w:p w14:paraId="4BDFA3E3">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rPr>
              <w:t>加密的电子投标文件须在投标截止时间前成功上传</w:t>
            </w:r>
          </w:p>
        </w:tc>
      </w:tr>
      <w:tr w14:paraId="2D2C037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6E0FBD6F">
            <w:pPr>
              <w:numPr>
                <w:ilvl w:val="0"/>
                <w:numId w:val="1"/>
              </w:numPr>
              <w:spacing w:before="156" w:beforeLines="50"/>
              <w:jc w:val="center"/>
              <w:rPr>
                <w:rFonts w:ascii="宋体" w:hAnsi="宋体" w:cs="宋体"/>
                <w:color w:val="auto"/>
                <w:sz w:val="24"/>
                <w:highlight w:val="none"/>
              </w:rPr>
            </w:pPr>
          </w:p>
        </w:tc>
        <w:tc>
          <w:tcPr>
            <w:tcW w:w="1995" w:type="dxa"/>
            <w:vAlign w:val="center"/>
          </w:tcPr>
          <w:p w14:paraId="647D5AED">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响应文件装订和密封要求</w:t>
            </w:r>
          </w:p>
        </w:tc>
        <w:tc>
          <w:tcPr>
            <w:tcW w:w="6615" w:type="dxa"/>
            <w:vAlign w:val="center"/>
          </w:tcPr>
          <w:p w14:paraId="2675BC73">
            <w:pPr>
              <w:rPr>
                <w:rFonts w:ascii="宋体" w:hAnsi="宋体" w:cs="宋体"/>
                <w:color w:val="auto"/>
                <w:sz w:val="24"/>
                <w:highlight w:val="none"/>
              </w:rPr>
            </w:pPr>
            <w:r>
              <w:rPr>
                <w:rFonts w:hint="eastAsia" w:ascii="宋体" w:hAnsi="宋体" w:cs="宋体"/>
                <w:color w:val="auto"/>
                <w:sz w:val="24"/>
                <w:highlight w:val="none"/>
              </w:rPr>
              <w:t>无</w:t>
            </w:r>
          </w:p>
        </w:tc>
      </w:tr>
      <w:tr w14:paraId="1A53C8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4948092A">
            <w:pPr>
              <w:numPr>
                <w:ilvl w:val="0"/>
                <w:numId w:val="1"/>
              </w:numPr>
              <w:spacing w:before="156" w:beforeLines="50"/>
              <w:jc w:val="center"/>
              <w:rPr>
                <w:rFonts w:ascii="宋体" w:hAnsi="宋体" w:cs="宋体"/>
                <w:color w:val="auto"/>
                <w:sz w:val="24"/>
                <w:highlight w:val="none"/>
              </w:rPr>
            </w:pPr>
          </w:p>
        </w:tc>
        <w:tc>
          <w:tcPr>
            <w:tcW w:w="1995" w:type="dxa"/>
            <w:vAlign w:val="center"/>
          </w:tcPr>
          <w:p w14:paraId="76512210">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竞争性磋商文件的澄清</w:t>
            </w:r>
          </w:p>
        </w:tc>
        <w:tc>
          <w:tcPr>
            <w:tcW w:w="6615" w:type="dxa"/>
            <w:vAlign w:val="center"/>
          </w:tcPr>
          <w:p w14:paraId="05E04345">
            <w:pPr>
              <w:rPr>
                <w:rFonts w:ascii="宋体" w:hAnsi="宋体" w:cs="宋体"/>
                <w:color w:val="auto"/>
                <w:sz w:val="24"/>
                <w:highlight w:val="none"/>
              </w:rPr>
            </w:pPr>
            <w:r>
              <w:rPr>
                <w:rFonts w:hint="eastAsia" w:ascii="宋体" w:hAnsi="宋体" w:cs="宋体"/>
                <w:color w:val="auto"/>
                <w:sz w:val="24"/>
                <w:highlight w:val="none"/>
              </w:rPr>
              <w:t>对竞争性磋商文件进行的澄清，以网上公告的方式通知供应商。澄清或修改的内容可能影响响应文件编制的，采购人、采购代理机构应当在提交响应文件截止时间至少5日前。</w:t>
            </w:r>
          </w:p>
        </w:tc>
      </w:tr>
      <w:tr w14:paraId="1B86FFF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39F942AA">
            <w:pPr>
              <w:numPr>
                <w:ilvl w:val="0"/>
                <w:numId w:val="1"/>
              </w:numPr>
              <w:spacing w:before="156" w:beforeLines="50"/>
              <w:jc w:val="center"/>
              <w:rPr>
                <w:rFonts w:ascii="宋体" w:hAnsi="宋体" w:cs="宋体"/>
                <w:color w:val="auto"/>
                <w:sz w:val="24"/>
                <w:highlight w:val="none"/>
              </w:rPr>
            </w:pPr>
          </w:p>
        </w:tc>
        <w:tc>
          <w:tcPr>
            <w:tcW w:w="1995" w:type="dxa"/>
            <w:vAlign w:val="center"/>
          </w:tcPr>
          <w:p w14:paraId="30528EF7">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响应文件递交截止时间</w:t>
            </w:r>
          </w:p>
        </w:tc>
        <w:tc>
          <w:tcPr>
            <w:tcW w:w="6615" w:type="dxa"/>
            <w:vAlign w:val="center"/>
          </w:tcPr>
          <w:p w14:paraId="18759325">
            <w:pPr>
              <w:ind w:firstLine="240" w:firstLineChars="100"/>
              <w:rPr>
                <w:rFonts w:ascii="宋体" w:hAnsi="宋体" w:cs="宋体"/>
                <w:color w:val="auto"/>
                <w:sz w:val="24"/>
                <w:highlight w:val="none"/>
              </w:rPr>
            </w:pPr>
            <w:r>
              <w:rPr>
                <w:rFonts w:hint="eastAsia" w:ascii="宋体" w:hAnsi="宋体" w:cs="宋体"/>
                <w:color w:val="auto"/>
                <w:sz w:val="24"/>
                <w:lang w:val="en-US" w:eastAsia="zh-CN"/>
              </w:rPr>
              <w:t>**</w:t>
            </w:r>
            <w:r>
              <w:rPr>
                <w:rFonts w:hint="eastAsia" w:ascii="宋体" w:hAnsi="宋体" w:cs="宋体"/>
                <w:color w:val="auto"/>
                <w:sz w:val="24"/>
              </w:rPr>
              <w:t>年</w:t>
            </w:r>
            <w:r>
              <w:rPr>
                <w:rFonts w:hint="eastAsia" w:ascii="宋体" w:hAnsi="宋体" w:cs="宋体"/>
                <w:color w:val="auto"/>
                <w:sz w:val="24"/>
                <w:lang w:val="en-US" w:eastAsia="zh-CN"/>
              </w:rPr>
              <w:t>**</w:t>
            </w:r>
            <w:r>
              <w:rPr>
                <w:rFonts w:hint="eastAsia" w:ascii="宋体" w:hAnsi="宋体" w:cs="宋体"/>
                <w:color w:val="auto"/>
                <w:sz w:val="24"/>
              </w:rPr>
              <w:t>月</w:t>
            </w:r>
            <w:r>
              <w:rPr>
                <w:rFonts w:hint="eastAsia" w:ascii="宋体" w:hAnsi="宋体" w:cs="宋体"/>
                <w:color w:val="auto"/>
                <w:sz w:val="24"/>
                <w:lang w:val="en-US" w:eastAsia="zh-CN"/>
              </w:rPr>
              <w:t>**</w:t>
            </w:r>
            <w:r>
              <w:rPr>
                <w:rFonts w:hint="eastAsia" w:ascii="宋体" w:hAnsi="宋体" w:cs="宋体"/>
                <w:color w:val="auto"/>
                <w:sz w:val="24"/>
              </w:rPr>
              <w:t>日</w:t>
            </w:r>
            <w:r>
              <w:rPr>
                <w:rFonts w:hint="eastAsia" w:ascii="宋体" w:hAnsi="宋体" w:cs="宋体"/>
                <w:color w:val="auto"/>
                <w:sz w:val="24"/>
                <w:lang w:val="en-US" w:eastAsia="zh-CN"/>
              </w:rPr>
              <w:t>**</w:t>
            </w:r>
            <w:r>
              <w:rPr>
                <w:rFonts w:hint="eastAsia" w:ascii="宋体" w:hAnsi="宋体" w:cs="宋体"/>
                <w:color w:val="auto"/>
                <w:sz w:val="24"/>
              </w:rPr>
              <w:t>点</w:t>
            </w:r>
            <w:r>
              <w:rPr>
                <w:rFonts w:hint="eastAsia" w:ascii="宋体" w:hAnsi="宋体" w:cs="宋体"/>
                <w:color w:val="auto"/>
                <w:sz w:val="24"/>
                <w:lang w:val="en-US" w:eastAsia="zh-CN"/>
              </w:rPr>
              <w:t>**</w:t>
            </w:r>
            <w:r>
              <w:rPr>
                <w:rFonts w:hint="eastAsia" w:ascii="宋体" w:hAnsi="宋体" w:cs="宋体"/>
                <w:color w:val="auto"/>
                <w:sz w:val="24"/>
              </w:rPr>
              <w:t>分</w:t>
            </w:r>
            <w:r>
              <w:rPr>
                <w:rFonts w:hint="eastAsia" w:ascii="宋体" w:hAnsi="宋体" w:cs="宋体"/>
                <w:color w:val="auto"/>
                <w:sz w:val="24"/>
                <w:highlight w:val="none"/>
              </w:rPr>
              <w:t xml:space="preserve">（见磋商公告） </w:t>
            </w:r>
          </w:p>
        </w:tc>
      </w:tr>
      <w:tr w14:paraId="685030C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735" w:type="dxa"/>
            <w:vAlign w:val="center"/>
          </w:tcPr>
          <w:p w14:paraId="08409EC4">
            <w:pPr>
              <w:numPr>
                <w:ilvl w:val="0"/>
                <w:numId w:val="1"/>
              </w:numPr>
              <w:spacing w:before="156" w:beforeLines="50"/>
              <w:jc w:val="center"/>
              <w:rPr>
                <w:rFonts w:ascii="宋体" w:hAnsi="宋体" w:cs="宋体"/>
                <w:color w:val="auto"/>
                <w:sz w:val="24"/>
                <w:highlight w:val="none"/>
              </w:rPr>
            </w:pPr>
          </w:p>
        </w:tc>
        <w:tc>
          <w:tcPr>
            <w:tcW w:w="1995" w:type="dxa"/>
            <w:vAlign w:val="center"/>
          </w:tcPr>
          <w:p w14:paraId="1C0E49CB">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响应文件递交地点</w:t>
            </w:r>
          </w:p>
        </w:tc>
        <w:tc>
          <w:tcPr>
            <w:tcW w:w="6615" w:type="dxa"/>
            <w:vAlign w:val="center"/>
          </w:tcPr>
          <w:p w14:paraId="203589D9">
            <w:pPr>
              <w:rPr>
                <w:rFonts w:ascii="宋体" w:hAnsi="宋体"/>
                <w:color w:val="auto"/>
                <w:sz w:val="24"/>
                <w:highlight w:val="none"/>
              </w:rPr>
            </w:pPr>
            <w:r>
              <w:rPr>
                <w:rFonts w:hint="eastAsia" w:ascii="宋体" w:hAnsi="宋体"/>
                <w:color w:val="auto"/>
                <w:sz w:val="24"/>
                <w:highlight w:val="none"/>
              </w:rPr>
              <w:t>周口市公共资源交易中心网</w:t>
            </w:r>
          </w:p>
          <w:p w14:paraId="3D066011">
            <w:pPr>
              <w:rPr>
                <w:rFonts w:ascii="宋体" w:hAnsi="宋体" w:cs="宋体" w:eastAsiaTheme="minorEastAsia"/>
                <w:color w:val="auto"/>
                <w:sz w:val="24"/>
                <w:highlight w:val="none"/>
              </w:rPr>
            </w:pPr>
            <w:r>
              <w:rPr>
                <w:rFonts w:hint="eastAsia" w:ascii="宋体" w:hAnsi="宋体"/>
                <w:color w:val="auto"/>
                <w:sz w:val="24"/>
                <w:highlight w:val="none"/>
              </w:rPr>
              <w:t>网址：周口市公共资源电子交易服务平台会员系统（网址</w:t>
            </w:r>
            <w:r>
              <w:rPr>
                <w:rFonts w:hint="eastAsia" w:asciiTheme="minorEastAsia" w:hAnsiTheme="minorEastAsia" w:eastAsiaTheme="minorEastAsia"/>
                <w:color w:val="auto"/>
                <w:highlight w:val="none"/>
              </w:rPr>
              <w:t>http://jyzx.zhoukou.gov.cn）</w:t>
            </w:r>
          </w:p>
          <w:p w14:paraId="70C7E4A5">
            <w:pPr>
              <w:spacing w:line="560" w:lineRule="exact"/>
              <w:rPr>
                <w:rFonts w:ascii="宋体" w:hAnsi="宋体" w:cs="宋体"/>
                <w:color w:val="auto"/>
                <w:sz w:val="24"/>
                <w:highlight w:val="none"/>
              </w:rPr>
            </w:pPr>
            <w:r>
              <w:rPr>
                <w:rFonts w:hint="eastAsia" w:ascii="宋体" w:hAnsi="宋体" w:cs="宋体"/>
                <w:color w:val="auto"/>
                <w:sz w:val="24"/>
                <w:highlight w:val="none"/>
              </w:rPr>
              <w:t>（本项目实行网上远程开标无须到现场提交响应文件）</w:t>
            </w:r>
          </w:p>
        </w:tc>
      </w:tr>
      <w:tr w14:paraId="168FCF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2660787A">
            <w:pPr>
              <w:numPr>
                <w:ilvl w:val="0"/>
                <w:numId w:val="1"/>
              </w:numPr>
              <w:spacing w:before="156" w:beforeLines="50"/>
              <w:jc w:val="center"/>
              <w:rPr>
                <w:rFonts w:ascii="宋体" w:hAnsi="宋体" w:cs="宋体"/>
                <w:color w:val="auto"/>
                <w:sz w:val="24"/>
                <w:highlight w:val="none"/>
              </w:rPr>
            </w:pPr>
          </w:p>
        </w:tc>
        <w:tc>
          <w:tcPr>
            <w:tcW w:w="1995" w:type="dxa"/>
            <w:vAlign w:val="center"/>
          </w:tcPr>
          <w:p w14:paraId="01A29FF6">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磋商时间</w:t>
            </w:r>
          </w:p>
        </w:tc>
        <w:tc>
          <w:tcPr>
            <w:tcW w:w="6615" w:type="dxa"/>
            <w:vAlign w:val="center"/>
          </w:tcPr>
          <w:p w14:paraId="0EA77978">
            <w:pPr>
              <w:tabs>
                <w:tab w:val="left" w:pos="8640"/>
              </w:tabs>
              <w:rPr>
                <w:rFonts w:ascii="宋体" w:hAnsi="宋体" w:cs="宋体"/>
                <w:color w:val="auto"/>
                <w:sz w:val="24"/>
                <w:highlight w:val="none"/>
              </w:rPr>
            </w:pPr>
            <w:r>
              <w:rPr>
                <w:rFonts w:hint="eastAsia" w:ascii="宋体" w:hAnsi="宋体" w:cs="宋体"/>
                <w:color w:val="auto"/>
                <w:sz w:val="24"/>
                <w:lang w:val="en-US" w:eastAsia="zh-CN"/>
              </w:rPr>
              <w:t>**</w:t>
            </w:r>
            <w:r>
              <w:rPr>
                <w:rFonts w:hint="eastAsia" w:ascii="宋体" w:hAnsi="宋体" w:cs="宋体"/>
                <w:color w:val="auto"/>
                <w:sz w:val="24"/>
              </w:rPr>
              <w:t>年</w:t>
            </w:r>
            <w:r>
              <w:rPr>
                <w:rFonts w:hint="eastAsia" w:ascii="宋体" w:hAnsi="宋体" w:cs="宋体"/>
                <w:color w:val="auto"/>
                <w:sz w:val="24"/>
                <w:lang w:val="en-US" w:eastAsia="zh-CN"/>
              </w:rPr>
              <w:t>**</w:t>
            </w:r>
            <w:r>
              <w:rPr>
                <w:rFonts w:hint="eastAsia" w:ascii="宋体" w:hAnsi="宋体" w:cs="宋体"/>
                <w:color w:val="auto"/>
                <w:sz w:val="24"/>
              </w:rPr>
              <w:t>月</w:t>
            </w:r>
            <w:r>
              <w:rPr>
                <w:rFonts w:hint="eastAsia" w:ascii="宋体" w:hAnsi="宋体" w:cs="宋体"/>
                <w:color w:val="auto"/>
                <w:sz w:val="24"/>
                <w:lang w:val="en-US" w:eastAsia="zh-CN"/>
              </w:rPr>
              <w:t>**</w:t>
            </w:r>
            <w:r>
              <w:rPr>
                <w:rFonts w:hint="eastAsia" w:ascii="宋体" w:hAnsi="宋体" w:cs="宋体"/>
                <w:color w:val="auto"/>
                <w:sz w:val="24"/>
              </w:rPr>
              <w:t>日</w:t>
            </w:r>
            <w:r>
              <w:rPr>
                <w:rFonts w:hint="eastAsia" w:ascii="宋体" w:hAnsi="宋体" w:cs="宋体"/>
                <w:color w:val="auto"/>
                <w:sz w:val="24"/>
                <w:lang w:val="en-US" w:eastAsia="zh-CN"/>
              </w:rPr>
              <w:t>**</w:t>
            </w:r>
            <w:r>
              <w:rPr>
                <w:rFonts w:hint="eastAsia" w:ascii="宋体" w:hAnsi="宋体" w:cs="宋体"/>
                <w:color w:val="auto"/>
                <w:sz w:val="24"/>
              </w:rPr>
              <w:t>点</w:t>
            </w:r>
            <w:r>
              <w:rPr>
                <w:rFonts w:hint="eastAsia" w:ascii="宋体" w:hAnsi="宋体" w:cs="宋体"/>
                <w:color w:val="auto"/>
                <w:sz w:val="24"/>
                <w:lang w:val="en-US" w:eastAsia="zh-CN"/>
              </w:rPr>
              <w:t>**</w:t>
            </w:r>
            <w:r>
              <w:rPr>
                <w:rFonts w:hint="eastAsia" w:ascii="宋体" w:hAnsi="宋体" w:cs="宋体"/>
                <w:color w:val="auto"/>
                <w:sz w:val="24"/>
              </w:rPr>
              <w:t>分</w:t>
            </w:r>
            <w:r>
              <w:rPr>
                <w:rFonts w:hint="eastAsia" w:ascii="宋体" w:hAnsi="宋体" w:cs="宋体"/>
                <w:color w:val="auto"/>
                <w:sz w:val="24"/>
                <w:highlight w:val="none"/>
                <w:lang w:eastAsia="zh-CN"/>
              </w:rPr>
              <w:t>（</w:t>
            </w:r>
            <w:r>
              <w:rPr>
                <w:rFonts w:hint="eastAsia" w:ascii="宋体" w:hAnsi="宋体" w:cs="宋体"/>
                <w:color w:val="auto"/>
                <w:sz w:val="24"/>
                <w:highlight w:val="none"/>
              </w:rPr>
              <w:t>见磋商公告</w:t>
            </w:r>
            <w:r>
              <w:rPr>
                <w:rFonts w:hint="eastAsia" w:ascii="宋体" w:hAnsi="宋体" w:cs="宋体"/>
                <w:color w:val="auto"/>
                <w:sz w:val="24"/>
                <w:highlight w:val="none"/>
                <w:lang w:eastAsia="zh-CN"/>
              </w:rPr>
              <w:t>）</w:t>
            </w:r>
          </w:p>
        </w:tc>
      </w:tr>
      <w:tr w14:paraId="2D2A1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14:paraId="096BDAC5">
            <w:pPr>
              <w:numPr>
                <w:ilvl w:val="0"/>
                <w:numId w:val="1"/>
              </w:numPr>
              <w:spacing w:before="156" w:beforeLines="50"/>
              <w:jc w:val="center"/>
              <w:rPr>
                <w:rFonts w:ascii="宋体" w:hAnsi="宋体" w:cs="宋体"/>
                <w:color w:val="auto"/>
                <w:sz w:val="24"/>
                <w:highlight w:val="none"/>
              </w:rPr>
            </w:pPr>
          </w:p>
        </w:tc>
        <w:tc>
          <w:tcPr>
            <w:tcW w:w="1995" w:type="dxa"/>
            <w:vAlign w:val="center"/>
          </w:tcPr>
          <w:p w14:paraId="61DABE5B">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磋商程序和内容</w:t>
            </w:r>
          </w:p>
        </w:tc>
        <w:tc>
          <w:tcPr>
            <w:tcW w:w="6615" w:type="dxa"/>
            <w:vAlign w:val="center"/>
          </w:tcPr>
          <w:p w14:paraId="35CAF214">
            <w:pPr>
              <w:tabs>
                <w:tab w:val="left" w:pos="8640"/>
              </w:tabs>
              <w:rPr>
                <w:rFonts w:ascii="宋体" w:hAnsi="宋体" w:cs="宋体"/>
                <w:color w:val="auto"/>
                <w:sz w:val="24"/>
                <w:highlight w:val="none"/>
              </w:rPr>
            </w:pPr>
            <w:r>
              <w:rPr>
                <w:rFonts w:hint="eastAsia" w:ascii="宋体" w:hAnsi="宋体" w:cs="宋体"/>
                <w:color w:val="auto"/>
                <w:sz w:val="24"/>
                <w:highlight w:val="none"/>
              </w:rPr>
              <w:t>详见磋商文件第二章</w:t>
            </w:r>
          </w:p>
        </w:tc>
      </w:tr>
      <w:tr w14:paraId="1A2BC8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3ADD0D2D">
            <w:pPr>
              <w:numPr>
                <w:ilvl w:val="0"/>
                <w:numId w:val="1"/>
              </w:numPr>
              <w:spacing w:before="156" w:beforeLines="50"/>
              <w:jc w:val="center"/>
              <w:rPr>
                <w:rFonts w:ascii="宋体" w:hAnsi="宋体" w:cs="宋体"/>
                <w:color w:val="auto"/>
                <w:sz w:val="24"/>
                <w:highlight w:val="none"/>
              </w:rPr>
            </w:pPr>
          </w:p>
        </w:tc>
        <w:tc>
          <w:tcPr>
            <w:tcW w:w="1995" w:type="dxa"/>
            <w:vAlign w:val="center"/>
          </w:tcPr>
          <w:p w14:paraId="05856AEB">
            <w:pPr>
              <w:spacing w:before="156" w:beforeLines="50"/>
              <w:jc w:val="center"/>
              <w:rPr>
                <w:rFonts w:ascii="宋体" w:hAnsi="宋体" w:cs="宋体"/>
                <w:color w:val="auto"/>
                <w:sz w:val="24"/>
                <w:highlight w:val="none"/>
              </w:rPr>
            </w:pPr>
            <w:r>
              <w:rPr>
                <w:rFonts w:hint="eastAsia" w:ascii="宋体" w:hAnsi="宋体" w:cs="宋体"/>
                <w:color w:val="auto"/>
                <w:sz w:val="24"/>
                <w:highlight w:val="none"/>
              </w:rPr>
              <w:t>授予合同</w:t>
            </w:r>
          </w:p>
        </w:tc>
        <w:tc>
          <w:tcPr>
            <w:tcW w:w="6615" w:type="dxa"/>
            <w:vAlign w:val="center"/>
          </w:tcPr>
          <w:p w14:paraId="178B7298">
            <w:pPr>
              <w:tabs>
                <w:tab w:val="left" w:pos="8640"/>
              </w:tabs>
              <w:jc w:val="left"/>
              <w:rPr>
                <w:rFonts w:ascii="宋体" w:hAnsi="宋体" w:cs="宋体"/>
                <w:color w:val="auto"/>
                <w:sz w:val="24"/>
                <w:highlight w:val="none"/>
              </w:rPr>
            </w:pPr>
            <w:r>
              <w:rPr>
                <w:rFonts w:hint="eastAsia" w:ascii="宋体" w:hAnsi="宋体" w:cs="宋体"/>
                <w:color w:val="auto"/>
                <w:sz w:val="24"/>
                <w:highlight w:val="none"/>
              </w:rPr>
              <w:t>采购人根据磋商小组的推荐意见，</w:t>
            </w:r>
            <w:r>
              <w:rPr>
                <w:rFonts w:hint="eastAsia" w:ascii="宋体" w:hAnsi="宋体" w:cs="宋体"/>
                <w:color w:val="auto"/>
                <w:sz w:val="24"/>
                <w:highlight w:val="none"/>
                <w:lang w:eastAsia="zh-CN"/>
              </w:rPr>
              <w:t>由采购人</w:t>
            </w:r>
            <w:r>
              <w:rPr>
                <w:rFonts w:hint="eastAsia" w:ascii="宋体" w:hAnsi="宋体" w:cs="宋体"/>
                <w:color w:val="auto"/>
                <w:sz w:val="24"/>
                <w:highlight w:val="none"/>
              </w:rPr>
              <w:t>确定成交供应商。采购代理机构向成交供应商发出成交通知书。</w:t>
            </w:r>
          </w:p>
        </w:tc>
      </w:tr>
      <w:tr w14:paraId="410E83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61E7FDD8">
            <w:pPr>
              <w:numPr>
                <w:ilvl w:val="0"/>
                <w:numId w:val="1"/>
              </w:numPr>
              <w:spacing w:before="156" w:beforeLines="50"/>
              <w:jc w:val="center"/>
              <w:rPr>
                <w:rFonts w:ascii="宋体" w:hAnsi="宋体" w:cs="宋体"/>
                <w:color w:val="auto"/>
                <w:sz w:val="24"/>
                <w:highlight w:val="none"/>
              </w:rPr>
            </w:pPr>
          </w:p>
        </w:tc>
        <w:tc>
          <w:tcPr>
            <w:tcW w:w="1995" w:type="dxa"/>
            <w:vAlign w:val="center"/>
          </w:tcPr>
          <w:p w14:paraId="4CBC217F">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签订合同</w:t>
            </w:r>
          </w:p>
        </w:tc>
        <w:tc>
          <w:tcPr>
            <w:tcW w:w="6615" w:type="dxa"/>
            <w:vAlign w:val="center"/>
          </w:tcPr>
          <w:p w14:paraId="5B81C2A9">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rPr>
              <w:t>1）接到成交通知书30天内，成交供应商应与采购人签订采购合同。</w:t>
            </w:r>
          </w:p>
          <w:p w14:paraId="0CA31CDB">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rPr>
              <w:t>2）本磋商文件、响应文件及磋商、评审过程中有关澄清、承诺文件的内容，将作为签订合同的主要内容。</w:t>
            </w:r>
          </w:p>
        </w:tc>
      </w:tr>
      <w:tr w14:paraId="7094FE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12DB76D8">
            <w:pPr>
              <w:numPr>
                <w:ilvl w:val="0"/>
                <w:numId w:val="1"/>
              </w:numPr>
              <w:spacing w:before="156" w:beforeLines="50"/>
              <w:jc w:val="center"/>
              <w:rPr>
                <w:rFonts w:ascii="宋体" w:hAnsi="宋体" w:cs="宋体"/>
                <w:color w:val="auto"/>
                <w:sz w:val="24"/>
                <w:highlight w:val="none"/>
              </w:rPr>
            </w:pPr>
          </w:p>
        </w:tc>
        <w:tc>
          <w:tcPr>
            <w:tcW w:w="1995" w:type="dxa"/>
            <w:vAlign w:val="center"/>
          </w:tcPr>
          <w:p w14:paraId="494EEDE9">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投标保证金</w:t>
            </w:r>
          </w:p>
        </w:tc>
        <w:tc>
          <w:tcPr>
            <w:tcW w:w="6615" w:type="dxa"/>
            <w:vAlign w:val="center"/>
          </w:tcPr>
          <w:p w14:paraId="12E396AD">
            <w:pPr>
              <w:tabs>
                <w:tab w:val="left" w:pos="8640"/>
              </w:tabs>
              <w:ind w:left="-2" w:leftChars="-1"/>
              <w:rPr>
                <w:rFonts w:ascii="宋体" w:hAnsi="宋体" w:cs="宋体"/>
                <w:color w:val="auto"/>
                <w:sz w:val="24"/>
                <w:highlight w:val="none"/>
              </w:rPr>
            </w:pPr>
            <w:r>
              <w:rPr>
                <w:rFonts w:hint="eastAsia" w:ascii="宋体" w:hAnsi="宋体" w:cs="宋体"/>
                <w:color w:val="auto"/>
                <w:sz w:val="24"/>
                <w:highlight w:val="none"/>
              </w:rPr>
              <w:t>不需要缴纳投标保证金（按照相关文件要求货物、服务类政府采购活动不收取投标保证金、履约、质量保证金、合同中预留资金作为质量保证金等无法律依据的保证金。政府采购工程推广以承诺书替代保证金）。</w:t>
            </w:r>
          </w:p>
        </w:tc>
      </w:tr>
      <w:tr w14:paraId="3FB396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5" w:type="dxa"/>
            <w:vAlign w:val="center"/>
          </w:tcPr>
          <w:p w14:paraId="75DCD5B2">
            <w:pPr>
              <w:numPr>
                <w:ilvl w:val="0"/>
                <w:numId w:val="1"/>
              </w:numPr>
              <w:spacing w:before="156" w:beforeLines="50"/>
              <w:jc w:val="center"/>
              <w:rPr>
                <w:rFonts w:ascii="宋体" w:hAnsi="宋体" w:cs="宋体"/>
                <w:color w:val="auto"/>
                <w:sz w:val="24"/>
                <w:highlight w:val="none"/>
              </w:rPr>
            </w:pPr>
          </w:p>
        </w:tc>
        <w:tc>
          <w:tcPr>
            <w:tcW w:w="1995" w:type="dxa"/>
            <w:vAlign w:val="center"/>
          </w:tcPr>
          <w:p w14:paraId="58CE5943">
            <w:pPr>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供货周期</w:t>
            </w:r>
          </w:p>
        </w:tc>
        <w:tc>
          <w:tcPr>
            <w:tcW w:w="6615" w:type="dxa"/>
            <w:vAlign w:val="center"/>
          </w:tcPr>
          <w:p w14:paraId="486C65E9">
            <w:pPr>
              <w:jc w:val="left"/>
              <w:rPr>
                <w:rFonts w:ascii="宋体" w:hAnsi="宋体" w:cs="宋体"/>
                <w:color w:val="auto"/>
                <w:sz w:val="24"/>
                <w:highlight w:val="none"/>
              </w:rPr>
            </w:pPr>
            <w:r>
              <w:rPr>
                <w:rFonts w:hint="eastAsia" w:asciiTheme="minorEastAsia" w:hAnsiTheme="minorEastAsia" w:eastAsiaTheme="minorEastAsia" w:cstheme="minorEastAsia"/>
                <w:color w:val="auto"/>
                <w:sz w:val="24"/>
                <w:highlight w:val="none"/>
                <w:lang w:val="en-US" w:eastAsia="zh-CN"/>
              </w:rPr>
              <w:t>合同签订后</w:t>
            </w:r>
            <w:r>
              <w:rPr>
                <w:rFonts w:hint="eastAsia" w:asciiTheme="minorEastAsia" w:hAnsiTheme="minorEastAsia" w:cstheme="minorEastAsia"/>
                <w:color w:val="auto"/>
                <w:sz w:val="24"/>
                <w:highlight w:val="none"/>
                <w:lang w:val="en-US" w:eastAsia="zh-CN"/>
              </w:rPr>
              <w:t>20</w:t>
            </w:r>
            <w:r>
              <w:rPr>
                <w:rFonts w:hint="eastAsia" w:asciiTheme="minorEastAsia" w:hAnsiTheme="minorEastAsia" w:eastAsiaTheme="minorEastAsia" w:cstheme="minorEastAsia"/>
                <w:color w:val="auto"/>
                <w:sz w:val="24"/>
                <w:highlight w:val="none"/>
                <w:lang w:val="en-US" w:eastAsia="zh-CN"/>
              </w:rPr>
              <w:t>个日历</w:t>
            </w:r>
            <w:r>
              <w:rPr>
                <w:rFonts w:hint="eastAsia" w:asciiTheme="minorEastAsia" w:hAnsiTheme="minorEastAsia" w:cstheme="minorEastAsia"/>
                <w:color w:val="auto"/>
                <w:sz w:val="24"/>
                <w:highlight w:val="none"/>
                <w:lang w:val="en-US" w:eastAsia="zh-CN"/>
              </w:rPr>
              <w:t>天</w:t>
            </w:r>
            <w:r>
              <w:rPr>
                <w:rFonts w:hint="eastAsia" w:asciiTheme="minorEastAsia" w:hAnsiTheme="minorEastAsia" w:eastAsiaTheme="minorEastAsia" w:cstheme="minorEastAsia"/>
                <w:color w:val="auto"/>
                <w:sz w:val="24"/>
                <w:highlight w:val="none"/>
                <w:lang w:val="en-US" w:eastAsia="zh-CN"/>
              </w:rPr>
              <w:t>内完成供货、安装、调试并具备验收条件</w:t>
            </w:r>
            <w:r>
              <w:rPr>
                <w:rFonts w:hint="eastAsia" w:asciiTheme="minorEastAsia" w:hAnsiTheme="minorEastAsia" w:eastAsiaTheme="minorEastAsia" w:cstheme="minorEastAsia"/>
                <w:color w:val="auto"/>
                <w:sz w:val="24"/>
                <w:highlight w:val="none"/>
              </w:rPr>
              <w:t>。</w:t>
            </w:r>
          </w:p>
        </w:tc>
      </w:tr>
      <w:tr w14:paraId="7E2A47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14:paraId="786E82D9">
            <w:pPr>
              <w:numPr>
                <w:ilvl w:val="0"/>
                <w:numId w:val="1"/>
              </w:numPr>
              <w:spacing w:before="156" w:beforeLines="50"/>
              <w:jc w:val="center"/>
              <w:rPr>
                <w:rFonts w:ascii="宋体" w:hAnsi="宋体" w:cs="宋体"/>
                <w:color w:val="auto"/>
                <w:sz w:val="24"/>
                <w:highlight w:val="none"/>
              </w:rPr>
            </w:pPr>
          </w:p>
        </w:tc>
        <w:tc>
          <w:tcPr>
            <w:tcW w:w="1995" w:type="dxa"/>
            <w:vAlign w:val="center"/>
          </w:tcPr>
          <w:p w14:paraId="7487FB7D">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付款方式（要求详细填写）</w:t>
            </w:r>
          </w:p>
        </w:tc>
        <w:tc>
          <w:tcPr>
            <w:tcW w:w="6615" w:type="dxa"/>
            <w:vAlign w:val="center"/>
          </w:tcPr>
          <w:p w14:paraId="3C099E6A">
            <w:pPr>
              <w:tabs>
                <w:tab w:val="left" w:pos="8640"/>
              </w:tabs>
              <w:jc w:val="left"/>
              <w:rPr>
                <w:rFonts w:hint="default" w:ascii="宋体" w:hAnsi="宋体" w:cs="宋体" w:eastAsiaTheme="minorEastAsia"/>
                <w:color w:val="auto"/>
                <w:sz w:val="24"/>
                <w:highlight w:val="none"/>
                <w:lang w:val="en-US" w:eastAsia="zh-CN"/>
              </w:rPr>
            </w:pPr>
            <w:r>
              <w:rPr>
                <w:rFonts w:hint="default" w:ascii="宋体" w:hAnsi="宋体" w:cs="宋体" w:eastAsiaTheme="minorEastAsia"/>
                <w:color w:val="auto"/>
                <w:sz w:val="24"/>
                <w:highlight w:val="none"/>
                <w:lang w:val="en-US" w:eastAsia="zh-CN"/>
              </w:rPr>
              <w:t>项目合同签订后10日内，采购方首付给中标方合同款</w:t>
            </w:r>
            <w:r>
              <w:rPr>
                <w:rFonts w:hint="eastAsia" w:ascii="宋体" w:hAnsi="宋体" w:cs="宋体"/>
                <w:color w:val="auto"/>
                <w:sz w:val="24"/>
                <w:highlight w:val="none"/>
                <w:lang w:val="en-US" w:eastAsia="zh-CN"/>
              </w:rPr>
              <w:t>5</w:t>
            </w:r>
            <w:r>
              <w:rPr>
                <w:rFonts w:hint="default" w:ascii="宋体" w:hAnsi="宋体" w:cs="宋体" w:eastAsiaTheme="minorEastAsia"/>
                <w:color w:val="auto"/>
                <w:sz w:val="24"/>
                <w:highlight w:val="none"/>
                <w:lang w:val="en-US" w:eastAsia="zh-CN"/>
              </w:rPr>
              <w:t>0%，中标方在</w:t>
            </w:r>
            <w:r>
              <w:rPr>
                <w:rFonts w:hint="eastAsia" w:ascii="宋体" w:hAnsi="宋体" w:cs="宋体"/>
                <w:color w:val="auto"/>
                <w:sz w:val="24"/>
                <w:highlight w:val="none"/>
                <w:lang w:val="en-US" w:eastAsia="zh-CN"/>
              </w:rPr>
              <w:t>20</w:t>
            </w:r>
            <w:r>
              <w:rPr>
                <w:rFonts w:hint="default" w:ascii="宋体" w:hAnsi="宋体" w:cs="宋体" w:eastAsiaTheme="minorEastAsia"/>
                <w:color w:val="auto"/>
                <w:sz w:val="24"/>
                <w:highlight w:val="none"/>
                <w:lang w:val="en-US" w:eastAsia="zh-CN"/>
              </w:rPr>
              <w:t>天内完成所有实施内容并经采购方验收合格。采购方一次性支付中标方剩余</w:t>
            </w:r>
            <w:r>
              <w:rPr>
                <w:rFonts w:hint="eastAsia" w:ascii="宋体" w:hAnsi="宋体" w:cs="宋体"/>
                <w:color w:val="auto"/>
                <w:sz w:val="24"/>
                <w:highlight w:val="none"/>
                <w:lang w:val="en-US" w:eastAsia="zh-CN"/>
              </w:rPr>
              <w:t>5</w:t>
            </w:r>
            <w:r>
              <w:rPr>
                <w:rFonts w:hint="default" w:ascii="宋体" w:hAnsi="宋体" w:cs="宋体" w:eastAsiaTheme="minorEastAsia"/>
                <w:color w:val="auto"/>
                <w:sz w:val="24"/>
                <w:highlight w:val="none"/>
                <w:lang w:val="en-US" w:eastAsia="zh-CN"/>
              </w:rPr>
              <w:t>0%合同款。</w:t>
            </w:r>
          </w:p>
        </w:tc>
      </w:tr>
      <w:tr w14:paraId="65586E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14:paraId="49C13703">
            <w:pPr>
              <w:numPr>
                <w:ilvl w:val="0"/>
                <w:numId w:val="1"/>
              </w:numPr>
              <w:spacing w:before="156" w:beforeLines="50"/>
              <w:jc w:val="center"/>
              <w:rPr>
                <w:rFonts w:ascii="宋体" w:hAnsi="宋体" w:cs="宋体"/>
                <w:color w:val="auto"/>
                <w:sz w:val="24"/>
                <w:highlight w:val="none"/>
              </w:rPr>
            </w:pPr>
          </w:p>
        </w:tc>
        <w:tc>
          <w:tcPr>
            <w:tcW w:w="1995" w:type="dxa"/>
            <w:vAlign w:val="center"/>
          </w:tcPr>
          <w:p w14:paraId="48DE974E">
            <w:pPr>
              <w:spacing w:before="156" w:beforeLines="50"/>
              <w:ind w:firstLine="14" w:firstLineChars="6"/>
              <w:jc w:val="center"/>
              <w:rPr>
                <w:rFonts w:ascii="宋体" w:hAnsi="宋体" w:cs="宋体"/>
                <w:color w:val="auto"/>
                <w:sz w:val="24"/>
                <w:highlight w:val="none"/>
              </w:rPr>
            </w:pPr>
            <w:r>
              <w:rPr>
                <w:rFonts w:hint="eastAsia" w:ascii="宋体" w:hAnsi="宋体" w:cs="宋体"/>
                <w:color w:val="auto"/>
                <w:sz w:val="24"/>
                <w:highlight w:val="none"/>
              </w:rPr>
              <w:t>勘察现场</w:t>
            </w:r>
          </w:p>
        </w:tc>
        <w:tc>
          <w:tcPr>
            <w:tcW w:w="6615" w:type="dxa"/>
            <w:vAlign w:val="center"/>
          </w:tcPr>
          <w:p w14:paraId="2794E439">
            <w:pPr>
              <w:tabs>
                <w:tab w:val="left" w:pos="8640"/>
              </w:tabs>
              <w:jc w:val="left"/>
              <w:rPr>
                <w:rFonts w:ascii="宋体" w:hAnsi="宋体" w:cs="宋体"/>
                <w:color w:val="auto"/>
                <w:sz w:val="24"/>
                <w:highlight w:val="none"/>
              </w:rPr>
            </w:pPr>
            <w:r>
              <w:rPr>
                <w:rFonts w:hint="eastAsia" w:ascii="宋体" w:hAnsi="宋体" w:cs="宋体"/>
                <w:color w:val="auto"/>
                <w:sz w:val="24"/>
                <w:highlight w:val="none"/>
              </w:rPr>
              <w:t>不组织</w:t>
            </w:r>
          </w:p>
        </w:tc>
      </w:tr>
      <w:tr w14:paraId="58FC685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14:paraId="4A63113F">
            <w:pPr>
              <w:numPr>
                <w:ilvl w:val="0"/>
                <w:numId w:val="1"/>
              </w:numPr>
              <w:spacing w:before="156" w:beforeLines="50"/>
              <w:jc w:val="center"/>
              <w:rPr>
                <w:rFonts w:ascii="宋体" w:hAnsi="宋体" w:cs="宋体"/>
                <w:color w:val="auto"/>
                <w:sz w:val="24"/>
                <w:highlight w:val="none"/>
              </w:rPr>
            </w:pPr>
          </w:p>
        </w:tc>
        <w:tc>
          <w:tcPr>
            <w:tcW w:w="1995" w:type="dxa"/>
            <w:vAlign w:val="center"/>
          </w:tcPr>
          <w:p w14:paraId="407B2760">
            <w:pPr>
              <w:spacing w:before="156" w:beforeLines="50"/>
              <w:ind w:firstLine="14" w:firstLineChars="6"/>
              <w:jc w:val="center"/>
              <w:rPr>
                <w:rFonts w:hint="eastAsia" w:ascii="宋体" w:hAnsi="宋体" w:cs="宋体"/>
                <w:color w:val="auto"/>
                <w:sz w:val="24"/>
                <w:highlight w:val="none"/>
              </w:rPr>
            </w:pPr>
            <w:r>
              <w:rPr>
                <w:rFonts w:hint="eastAsia" w:ascii="宋体" w:hAnsi="宋体" w:cs="宋体"/>
                <w:color w:val="auto"/>
                <w:sz w:val="24"/>
                <w:highlight w:val="none"/>
                <w:lang w:val="en-US" w:eastAsia="zh-CN"/>
              </w:rPr>
              <w:t>报价</w:t>
            </w:r>
          </w:p>
        </w:tc>
        <w:tc>
          <w:tcPr>
            <w:tcW w:w="6615" w:type="dxa"/>
            <w:vAlign w:val="center"/>
          </w:tcPr>
          <w:p w14:paraId="6B86E3B6">
            <w:pPr>
              <w:tabs>
                <w:tab w:val="left" w:pos="8640"/>
              </w:tabs>
              <w:jc w:val="left"/>
              <w:rPr>
                <w:rFonts w:hint="eastAsia" w:ascii="宋体" w:hAnsi="宋体" w:cs="宋体"/>
                <w:b w:val="0"/>
                <w:bCs/>
                <w:color w:val="auto"/>
                <w:sz w:val="24"/>
                <w:highlight w:val="none"/>
              </w:rPr>
            </w:pPr>
            <w:r>
              <w:rPr>
                <w:rFonts w:hint="eastAsia" w:ascii="宋体" w:hAnsi="宋体" w:cs="宋体"/>
                <w:b w:val="0"/>
                <w:bCs/>
                <w:color w:val="auto"/>
                <w:sz w:val="24"/>
              </w:rPr>
              <w:t>一次报价。</w:t>
            </w:r>
          </w:p>
        </w:tc>
      </w:tr>
      <w:tr w14:paraId="4297CD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68" w:hRule="atLeast"/>
        </w:trPr>
        <w:tc>
          <w:tcPr>
            <w:tcW w:w="735" w:type="dxa"/>
            <w:vAlign w:val="center"/>
          </w:tcPr>
          <w:p w14:paraId="2DB25277">
            <w:pPr>
              <w:numPr>
                <w:ilvl w:val="0"/>
                <w:numId w:val="1"/>
              </w:numPr>
              <w:spacing w:before="156" w:beforeLines="50"/>
              <w:jc w:val="center"/>
              <w:rPr>
                <w:rFonts w:ascii="宋体" w:hAnsi="宋体" w:cs="宋体"/>
                <w:color w:val="auto"/>
                <w:sz w:val="24"/>
                <w:highlight w:val="none"/>
              </w:rPr>
            </w:pPr>
          </w:p>
        </w:tc>
        <w:tc>
          <w:tcPr>
            <w:tcW w:w="1995" w:type="dxa"/>
            <w:vAlign w:val="center"/>
          </w:tcPr>
          <w:p w14:paraId="5A34525F">
            <w:pPr>
              <w:spacing w:before="156" w:beforeLines="50"/>
              <w:ind w:firstLine="14" w:firstLineChars="6"/>
              <w:jc w:val="center"/>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行业</w:t>
            </w:r>
          </w:p>
        </w:tc>
        <w:tc>
          <w:tcPr>
            <w:tcW w:w="6615" w:type="dxa"/>
            <w:vAlign w:val="center"/>
          </w:tcPr>
          <w:p w14:paraId="344AA0DB">
            <w:pPr>
              <w:tabs>
                <w:tab w:val="left" w:pos="8640"/>
              </w:tabs>
              <w:jc w:val="left"/>
              <w:rPr>
                <w:rFonts w:hint="eastAsia" w:ascii="宋体" w:hAnsi="宋体" w:cs="宋体"/>
                <w:b w:val="0"/>
                <w:bCs/>
                <w:color w:val="auto"/>
                <w:sz w:val="24"/>
                <w:highlight w:val="none"/>
                <w:lang w:val="en-US" w:eastAsia="zh-CN"/>
              </w:rPr>
            </w:pPr>
            <w:r>
              <w:rPr>
                <w:rFonts w:hint="eastAsia" w:ascii="宋体" w:hAnsi="宋体" w:cs="宋体"/>
                <w:b w:val="0"/>
                <w:bCs/>
                <w:color w:val="auto"/>
                <w:sz w:val="24"/>
                <w:highlight w:val="none"/>
                <w:lang w:val="en-US" w:eastAsia="zh-CN"/>
              </w:rPr>
              <w:t>其他未列明行业</w:t>
            </w:r>
          </w:p>
        </w:tc>
      </w:tr>
    </w:tbl>
    <w:p w14:paraId="1A54BA92">
      <w:pPr>
        <w:pStyle w:val="19"/>
        <w:ind w:firstLine="0" w:firstLineChars="0"/>
        <w:rPr>
          <w:rFonts w:ascii="宋体" w:hAnsi="宋体" w:cs="宋体"/>
          <w:b/>
          <w:color w:val="auto"/>
          <w:sz w:val="30"/>
          <w:szCs w:val="30"/>
          <w:highlight w:val="none"/>
        </w:rPr>
      </w:pPr>
    </w:p>
    <w:p w14:paraId="08AFB7AC">
      <w:pPr>
        <w:rPr>
          <w:rFonts w:hint="eastAsia" w:ascii="宋体" w:hAnsi="宋体" w:cs="宋体"/>
          <w:b/>
          <w:color w:val="auto"/>
          <w:sz w:val="30"/>
          <w:szCs w:val="30"/>
          <w:highlight w:val="none"/>
        </w:rPr>
      </w:pPr>
      <w:r>
        <w:rPr>
          <w:rFonts w:hint="eastAsia" w:ascii="宋体" w:hAnsi="宋体" w:cs="宋体"/>
          <w:b/>
          <w:color w:val="auto"/>
          <w:sz w:val="30"/>
          <w:szCs w:val="30"/>
          <w:highlight w:val="none"/>
        </w:rPr>
        <w:br w:type="page"/>
      </w:r>
    </w:p>
    <w:p w14:paraId="06A79C36">
      <w:pPr>
        <w:spacing w:line="720" w:lineRule="auto"/>
        <w:jc w:val="center"/>
        <w:rPr>
          <w:rFonts w:ascii="宋体" w:hAnsi="宋体" w:cs="宋体"/>
          <w:b/>
          <w:color w:val="auto"/>
          <w:sz w:val="30"/>
          <w:szCs w:val="30"/>
          <w:highlight w:val="none"/>
        </w:rPr>
      </w:pPr>
      <w:r>
        <w:rPr>
          <w:rFonts w:hint="eastAsia" w:ascii="宋体" w:hAnsi="宋体" w:cs="宋体"/>
          <w:b/>
          <w:color w:val="auto"/>
          <w:sz w:val="30"/>
          <w:szCs w:val="30"/>
          <w:highlight w:val="none"/>
        </w:rPr>
        <w:t>一、总则</w:t>
      </w:r>
    </w:p>
    <w:p w14:paraId="20AE1812">
      <w:pPr>
        <w:spacing w:line="560" w:lineRule="exact"/>
        <w:ind w:firstLine="482" w:firstLineChars="200"/>
        <w:rPr>
          <w:rFonts w:ascii="宋体" w:hAnsi="宋体" w:cs="宋体"/>
          <w:color w:val="auto"/>
          <w:sz w:val="24"/>
          <w:highlight w:val="none"/>
        </w:rPr>
      </w:pPr>
      <w:r>
        <w:rPr>
          <w:rFonts w:hint="eastAsia" w:ascii="宋体" w:hAnsi="宋体" w:cs="宋体"/>
          <w:b/>
          <w:color w:val="auto"/>
          <w:sz w:val="24"/>
          <w:highlight w:val="none"/>
        </w:rPr>
        <w:t>1．适用范围</w:t>
      </w:r>
    </w:p>
    <w:p w14:paraId="1B23D2DA">
      <w:pPr>
        <w:spacing w:line="560" w:lineRule="exact"/>
        <w:ind w:firstLine="480" w:firstLineChars="200"/>
        <w:rPr>
          <w:rFonts w:ascii="宋体" w:hAnsi="宋体" w:cs="宋体"/>
          <w:bCs/>
          <w:color w:val="auto"/>
          <w:sz w:val="24"/>
          <w:highlight w:val="none"/>
        </w:rPr>
      </w:pPr>
      <w:r>
        <w:rPr>
          <w:rFonts w:hint="eastAsia" w:ascii="宋体" w:hAnsi="宋体" w:cs="宋体"/>
          <w:color w:val="auto"/>
          <w:sz w:val="24"/>
          <w:highlight w:val="none"/>
        </w:rPr>
        <w:t>1.1本竞争性磋商文件仅适用于本次竞争性磋商邀请函中所述</w:t>
      </w:r>
      <w:r>
        <w:rPr>
          <w:rFonts w:hint="eastAsia" w:ascii="宋体" w:hAnsi="宋体" w:cs="宋体"/>
          <w:bCs/>
          <w:color w:val="auto"/>
          <w:sz w:val="24"/>
          <w:highlight w:val="none"/>
        </w:rPr>
        <w:t>项目。</w:t>
      </w:r>
    </w:p>
    <w:p w14:paraId="27781C2A">
      <w:pPr>
        <w:spacing w:line="560" w:lineRule="exact"/>
        <w:ind w:firstLine="482" w:firstLineChars="200"/>
        <w:rPr>
          <w:rFonts w:ascii="宋体" w:hAnsi="宋体" w:cs="宋体"/>
          <w:b/>
          <w:color w:val="auto"/>
          <w:sz w:val="24"/>
          <w:highlight w:val="none"/>
        </w:rPr>
      </w:pPr>
      <w:r>
        <w:rPr>
          <w:rFonts w:hint="eastAsia" w:ascii="宋体" w:hAnsi="宋体" w:cs="宋体"/>
          <w:b/>
          <w:color w:val="auto"/>
          <w:sz w:val="24"/>
          <w:highlight w:val="none"/>
        </w:rPr>
        <w:t>2．定义</w:t>
      </w:r>
    </w:p>
    <w:p w14:paraId="61826810">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2.1“采购代理机构”：周口市公共资源交易中心政府采购中心</w:t>
      </w:r>
      <w:r>
        <w:rPr>
          <w:rFonts w:hint="eastAsia" w:ascii="宋体" w:hAnsi="宋体" w:cs="宋体"/>
          <w:color w:val="auto"/>
          <w:sz w:val="24"/>
          <w:highlight w:val="none"/>
          <w:lang w:eastAsia="zh-CN"/>
        </w:rPr>
        <w:t>，</w:t>
      </w:r>
      <w:r>
        <w:rPr>
          <w:rFonts w:hint="eastAsia" w:ascii="宋体" w:hAnsi="宋体" w:cs="宋体"/>
          <w:color w:val="auto"/>
          <w:sz w:val="24"/>
          <w:highlight w:val="none"/>
        </w:rPr>
        <w:t>以下简称“采购中心”。</w:t>
      </w:r>
    </w:p>
    <w:p w14:paraId="74F80F9B">
      <w:pPr>
        <w:tabs>
          <w:tab w:val="left" w:pos="0"/>
        </w:tabs>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2.2“采购人”：</w:t>
      </w:r>
      <w:r>
        <w:rPr>
          <w:rFonts w:hint="eastAsia" w:ascii="宋体" w:hAnsi="宋体" w:cs="宋体"/>
          <w:color w:val="auto"/>
          <w:sz w:val="24"/>
          <w:highlight w:val="none"/>
          <w:lang w:eastAsia="zh-CN"/>
        </w:rPr>
        <w:t>周口市淮阳区气象局。</w:t>
      </w:r>
      <w:r>
        <w:rPr>
          <w:rFonts w:hint="eastAsia" w:ascii="宋体" w:hAnsi="宋体" w:cs="宋体"/>
          <w:color w:val="auto"/>
          <w:sz w:val="24"/>
          <w:highlight w:val="none"/>
        </w:rPr>
        <w:t>　</w:t>
      </w:r>
    </w:p>
    <w:p w14:paraId="6CE0785B">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2.3“供应商”系指按竞争性磋商文件规定取得竞争性磋商文件并参加竞争性磋商活动的法人、其他组织或者自然人。</w:t>
      </w:r>
    </w:p>
    <w:p w14:paraId="7DD7C147">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2.4“供应商代表”：系指代表供应商参加本次竞争性磋商活动的供应商的法定代表人或其委托代理人。</w:t>
      </w:r>
    </w:p>
    <w:p w14:paraId="3A66D188">
      <w:pPr>
        <w:spacing w:line="5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2.5“</w:t>
      </w:r>
      <w:r>
        <w:rPr>
          <w:rFonts w:hint="eastAsia" w:ascii="宋体" w:hAnsi="宋体" w:cs="宋体"/>
          <w:color w:val="auto"/>
          <w:sz w:val="24"/>
          <w:highlight w:val="none"/>
          <w:lang w:eastAsia="zh-CN"/>
        </w:rPr>
        <w:t>货物</w:t>
      </w:r>
      <w:r>
        <w:rPr>
          <w:rFonts w:hint="eastAsia" w:ascii="宋体" w:hAnsi="宋体" w:cs="宋体"/>
          <w:color w:val="auto"/>
          <w:sz w:val="24"/>
          <w:highlight w:val="none"/>
        </w:rPr>
        <w:t>”：系指</w:t>
      </w:r>
      <w:r>
        <w:rPr>
          <w:rFonts w:hint="eastAsia" w:ascii="宋体" w:hAnsi="宋体" w:cs="宋体"/>
          <w:color w:val="auto"/>
          <w:sz w:val="24"/>
          <w:highlight w:val="none"/>
          <w:lang w:eastAsia="zh-CN"/>
        </w:rPr>
        <w:t>各种形态和种类的物品</w:t>
      </w:r>
      <w:r>
        <w:rPr>
          <w:rFonts w:hint="eastAsia" w:ascii="宋体" w:hAnsi="宋体" w:cs="宋体"/>
          <w:color w:val="auto"/>
          <w:sz w:val="24"/>
          <w:highlight w:val="none"/>
          <w:lang w:val="en-US" w:eastAsia="zh-CN"/>
        </w:rPr>
        <w:t>,包括原材料、燃料、设备、产品等,包括与之相关的备品备件、工具、手册及安装、调试、技术协助、校准、培训、验收、售后服务等</w:t>
      </w:r>
      <w:r>
        <w:rPr>
          <w:rFonts w:hint="eastAsia" w:ascii="宋体" w:hAnsi="宋体" w:cs="宋体"/>
          <w:color w:val="auto"/>
          <w:sz w:val="24"/>
          <w:highlight w:val="none"/>
        </w:rPr>
        <w:t>。</w:t>
      </w:r>
    </w:p>
    <w:p w14:paraId="193DB118">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2.6“法定代表人”系指法人单位（企业）法人营业执照（或事业法人登记证书上）上注明的法定代表人；如为其他组织或个体经营者参加竞争性磋商会的，指营业执照上注明的负责人或经营者。“委托代理人”系指法定代表人签署的委托人，系本企业员工。委托代理人参加本项目投标需提供身份证、所在企业缴纳的社保证明。</w:t>
      </w:r>
    </w:p>
    <w:p w14:paraId="618FC272">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2.7“重大违法记录”系指供应商因违法经营受到刑事处罚或者责令停产停业、吊销许可证或者执照、较大数额罚款等行政处罚。</w:t>
      </w:r>
    </w:p>
    <w:p w14:paraId="732AEEA3">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2.8“不具备良好的商业信誉”是指：</w:t>
      </w:r>
    </w:p>
    <w:p w14:paraId="404F91B9">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（1）有重大违法记录的（满三年的除外）；</w:t>
      </w:r>
    </w:p>
    <w:p w14:paraId="55507F73">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（2）被各级财政部门列入政府采购严重违法失信行为信息记录的（期限已满的除外）；</w:t>
      </w:r>
    </w:p>
    <w:p w14:paraId="1802B15C">
      <w:pPr>
        <w:spacing w:line="560" w:lineRule="exact"/>
        <w:ind w:firstLine="480" w:firstLineChars="200"/>
        <w:rPr>
          <w:rFonts w:ascii="宋体" w:hAnsi="宋体" w:cs="宋体"/>
          <w:color w:val="auto"/>
          <w:sz w:val="24"/>
        </w:rPr>
      </w:pPr>
      <w:r>
        <w:rPr>
          <w:rFonts w:hint="eastAsia" w:ascii="宋体" w:hAnsi="宋体" w:cs="宋体"/>
          <w:color w:val="auto"/>
          <w:sz w:val="24"/>
        </w:rPr>
        <w:t>（3）被各级政府采购监督管理部门禁止在一定期限内参加政府采购活动等处罚的（期限已满的除外）；</w:t>
      </w:r>
    </w:p>
    <w:p w14:paraId="256E6813">
      <w:pPr>
        <w:spacing w:line="560" w:lineRule="exact"/>
        <w:ind w:firstLine="480" w:firstLineChars="200"/>
        <w:rPr>
          <w:rFonts w:ascii="宋体" w:hAnsi="宋体" w:cs="宋体"/>
          <w:color w:val="auto"/>
          <w:sz w:val="24"/>
        </w:rPr>
      </w:pPr>
      <w:r>
        <w:rPr>
          <w:rFonts w:hint="eastAsia" w:ascii="宋体" w:hAnsi="宋体" w:cs="宋体"/>
          <w:color w:val="auto"/>
          <w:sz w:val="24"/>
        </w:rPr>
        <w:t>（4）被各级法院列入失信名单的（已依法解除的除外）；</w:t>
      </w:r>
    </w:p>
    <w:p w14:paraId="4DB7B867">
      <w:pPr>
        <w:spacing w:line="560" w:lineRule="exact"/>
        <w:ind w:firstLine="480" w:firstLineChars="200"/>
        <w:rPr>
          <w:rFonts w:hint="eastAsia" w:ascii="宋体" w:hAnsi="宋体" w:cs="宋体"/>
          <w:color w:val="auto"/>
          <w:sz w:val="24"/>
        </w:rPr>
      </w:pPr>
      <w:r>
        <w:rPr>
          <w:rFonts w:hint="eastAsia" w:ascii="宋体" w:hAnsi="宋体" w:cs="宋体"/>
          <w:color w:val="auto"/>
          <w:sz w:val="24"/>
        </w:rPr>
        <w:t>（5）法律法规规定的其他情形。</w:t>
      </w:r>
    </w:p>
    <w:p w14:paraId="7E2C5D83">
      <w:pPr>
        <w:spacing w:line="560" w:lineRule="exact"/>
        <w:ind w:firstLine="480" w:firstLineChars="200"/>
        <w:rPr>
          <w:rFonts w:hint="default" w:ascii="宋体" w:hAnsi="宋体" w:eastAsia="宋体" w:cs="宋体"/>
          <w:color w:val="auto"/>
          <w:sz w:val="24"/>
          <w:lang w:val="en-US" w:eastAsia="zh-CN"/>
        </w:rPr>
      </w:pPr>
      <w:r>
        <w:rPr>
          <w:rFonts w:hint="eastAsia" w:ascii="宋体" w:hAnsi="宋体" w:cs="宋体"/>
          <w:color w:val="auto"/>
          <w:sz w:val="24"/>
          <w:lang w:val="en-US" w:eastAsia="zh-CN"/>
        </w:rPr>
        <w:t>2.9</w:t>
      </w:r>
      <w:r>
        <w:rPr>
          <w:rFonts w:hint="eastAsia" w:ascii="宋体" w:hAnsi="宋体" w:cs="宋体"/>
          <w:color w:val="auto"/>
          <w:sz w:val="24"/>
          <w:highlight w:val="none"/>
        </w:rPr>
        <w:t>供应商</w:t>
      </w:r>
      <w:r>
        <w:rPr>
          <w:rFonts w:hint="eastAsia" w:ascii="宋体" w:hAnsi="宋体" w:cs="宋体"/>
          <w:color w:val="auto"/>
          <w:sz w:val="24"/>
          <w:lang w:val="en-US" w:eastAsia="zh-CN"/>
        </w:rPr>
        <w:t>应在投标文件中承诺未被纳入重大税收违法失信主体名单且未存在不诚信记录,如若实际情况与投标人承诺内容不一致,一经查实取消其中标资格,此内容为招标人实质性要求,</w:t>
      </w:r>
      <w:r>
        <w:rPr>
          <w:rFonts w:hint="eastAsia" w:ascii="宋体" w:hAnsi="宋体" w:cs="宋体"/>
          <w:color w:val="auto"/>
          <w:sz w:val="24"/>
          <w:highlight w:val="none"/>
        </w:rPr>
        <w:t>供应商</w:t>
      </w:r>
      <w:r>
        <w:rPr>
          <w:rFonts w:hint="eastAsia" w:ascii="宋体" w:hAnsi="宋体" w:cs="宋体"/>
          <w:color w:val="auto"/>
          <w:sz w:val="24"/>
          <w:lang w:val="en-US" w:eastAsia="zh-CN"/>
        </w:rPr>
        <w:t>需在响应文件中出具承诺书,否则按无效标处理。</w:t>
      </w:r>
    </w:p>
    <w:p w14:paraId="5D68F6BA">
      <w:pPr>
        <w:spacing w:line="560" w:lineRule="exact"/>
        <w:ind w:firstLine="482" w:firstLineChars="200"/>
        <w:rPr>
          <w:rFonts w:ascii="宋体" w:hAnsi="宋体" w:cs="宋体"/>
          <w:b/>
          <w:color w:val="auto"/>
          <w:sz w:val="24"/>
        </w:rPr>
      </w:pPr>
      <w:r>
        <w:rPr>
          <w:rFonts w:hint="eastAsia" w:ascii="宋体" w:hAnsi="宋体" w:cs="宋体"/>
          <w:b/>
          <w:color w:val="auto"/>
          <w:sz w:val="24"/>
        </w:rPr>
        <w:t>3.采购预算</w:t>
      </w:r>
    </w:p>
    <w:p w14:paraId="4DAE292D">
      <w:pPr>
        <w:spacing w:line="560" w:lineRule="exact"/>
        <w:ind w:firstLine="480" w:firstLineChars="200"/>
        <w:rPr>
          <w:rFonts w:ascii="宋体" w:hAnsi="宋体" w:cs="宋体"/>
          <w:color w:val="auto"/>
          <w:sz w:val="24"/>
        </w:rPr>
      </w:pPr>
      <w:r>
        <w:rPr>
          <w:rFonts w:hint="eastAsia" w:ascii="宋体" w:hAnsi="宋体" w:cs="宋体"/>
          <w:color w:val="auto"/>
          <w:sz w:val="24"/>
        </w:rPr>
        <w:t>3.1本次采购预算：见公告。</w:t>
      </w:r>
    </w:p>
    <w:p w14:paraId="1AF56455">
      <w:pPr>
        <w:spacing w:line="560" w:lineRule="exact"/>
        <w:ind w:firstLine="482" w:firstLineChars="200"/>
        <w:rPr>
          <w:rFonts w:ascii="宋体" w:hAnsi="宋体" w:cs="宋体"/>
          <w:b/>
          <w:color w:val="auto"/>
          <w:sz w:val="24"/>
        </w:rPr>
      </w:pPr>
      <w:r>
        <w:rPr>
          <w:rFonts w:hint="eastAsia" w:ascii="宋体" w:hAnsi="宋体" w:cs="宋体"/>
          <w:b/>
          <w:color w:val="auto"/>
          <w:sz w:val="24"/>
        </w:rPr>
        <w:t>4.合格的供应商</w:t>
      </w:r>
    </w:p>
    <w:p w14:paraId="4FBE361C">
      <w:pPr>
        <w:spacing w:line="560" w:lineRule="exact"/>
        <w:ind w:firstLine="480" w:firstLineChars="200"/>
        <w:rPr>
          <w:rFonts w:ascii="宋体" w:hAnsi="宋体" w:cs="宋体"/>
          <w:color w:val="auto"/>
          <w:sz w:val="24"/>
        </w:rPr>
      </w:pPr>
      <w:r>
        <w:rPr>
          <w:rFonts w:hint="eastAsia" w:ascii="宋体" w:hAnsi="宋体" w:cs="宋体"/>
          <w:color w:val="auto"/>
          <w:sz w:val="24"/>
        </w:rPr>
        <w:t>4.1.1符合供应商资格条件（详见第一部分供应商资格条件）</w:t>
      </w:r>
    </w:p>
    <w:p w14:paraId="5A453E1A">
      <w:pPr>
        <w:widowControl/>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4.1.2参加政府采购活动前三年内，在经营活动中没有重大违法记录的声明函；</w:t>
      </w:r>
    </w:p>
    <w:p w14:paraId="60053D6C">
      <w:pPr>
        <w:widowControl/>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4.1.3 政府采购供应商诚信承诺书；</w:t>
      </w:r>
    </w:p>
    <w:p w14:paraId="6BCF8611">
      <w:pPr>
        <w:spacing w:line="560" w:lineRule="exact"/>
        <w:ind w:firstLine="480" w:firstLineChars="200"/>
        <w:rPr>
          <w:rFonts w:hint="eastAsia" w:ascii="宋体" w:hAnsi="宋体" w:cs="宋体"/>
          <w:color w:val="auto"/>
          <w:sz w:val="24"/>
        </w:rPr>
      </w:pPr>
      <w:r>
        <w:rPr>
          <w:rFonts w:hint="eastAsia" w:ascii="宋体" w:hAnsi="宋体" w:cs="宋体"/>
          <w:color w:val="auto"/>
          <w:sz w:val="24"/>
        </w:rPr>
        <w:t>4.</w:t>
      </w:r>
      <w:r>
        <w:rPr>
          <w:rFonts w:hint="eastAsia" w:ascii="宋体" w:hAnsi="宋体" w:cs="宋体"/>
          <w:color w:val="auto"/>
          <w:sz w:val="24"/>
          <w:lang w:val="en-US"/>
        </w:rPr>
        <w:t>1.4 供应商</w:t>
      </w:r>
      <w:r>
        <w:rPr>
          <w:rFonts w:hint="eastAsia" w:ascii="宋体" w:hAnsi="宋体" w:cs="宋体"/>
          <w:color w:val="auto"/>
          <w:sz w:val="24"/>
        </w:rPr>
        <w:t>自觉抵制政府采购领域商业贿赂行为承诺书；</w:t>
      </w:r>
    </w:p>
    <w:p w14:paraId="4ADACF50">
      <w:pPr>
        <w:spacing w:line="560" w:lineRule="exact"/>
        <w:ind w:firstLine="480" w:firstLineChars="200"/>
        <w:rPr>
          <w:rFonts w:hint="eastAsia" w:ascii="宋体" w:hAnsi="宋体" w:cs="宋体"/>
          <w:color w:val="auto"/>
          <w:sz w:val="24"/>
          <w:lang w:val="zh-CN"/>
        </w:rPr>
      </w:pPr>
      <w:r>
        <w:rPr>
          <w:rFonts w:hint="eastAsia" w:ascii="宋体" w:hAnsi="宋体" w:cs="宋体"/>
          <w:color w:val="auto"/>
          <w:sz w:val="24"/>
          <w:lang w:val="zh-CN"/>
        </w:rPr>
        <w:t xml:space="preserve">4.2 </w:t>
      </w:r>
      <w:r>
        <w:rPr>
          <w:rFonts w:hint="eastAsia" w:ascii="宋体" w:hAnsi="宋体" w:cs="宋体"/>
          <w:color w:val="auto"/>
          <w:sz w:val="24"/>
        </w:rPr>
        <w:t>供应商需提供售后服务体系与承诺</w:t>
      </w:r>
      <w:r>
        <w:rPr>
          <w:rFonts w:hint="eastAsia" w:ascii="宋体" w:hAnsi="宋体" w:cs="宋体"/>
          <w:color w:val="auto"/>
          <w:sz w:val="24"/>
          <w:lang w:val="zh-CN"/>
        </w:rPr>
        <w:t>。</w:t>
      </w:r>
    </w:p>
    <w:p w14:paraId="7E92BD66">
      <w:pPr>
        <w:spacing w:line="560" w:lineRule="exact"/>
        <w:ind w:firstLine="480" w:firstLineChars="200"/>
        <w:rPr>
          <w:rFonts w:hint="eastAsia" w:ascii="宋体" w:hAnsi="宋体" w:cs="宋体"/>
          <w:color w:val="auto"/>
          <w:sz w:val="24"/>
        </w:rPr>
      </w:pPr>
      <w:r>
        <w:rPr>
          <w:rFonts w:hint="eastAsia" w:ascii="宋体" w:hAnsi="宋体" w:cs="宋体"/>
          <w:color w:val="auto"/>
          <w:sz w:val="24"/>
        </w:rPr>
        <w:t>4.</w:t>
      </w:r>
      <w:r>
        <w:rPr>
          <w:rFonts w:hint="eastAsia" w:ascii="宋体" w:hAnsi="宋体" w:cs="宋体"/>
          <w:color w:val="auto"/>
          <w:sz w:val="24"/>
          <w:lang w:val="en-US"/>
        </w:rPr>
        <w:t>3</w:t>
      </w:r>
      <w:r>
        <w:rPr>
          <w:rFonts w:hint="eastAsia" w:ascii="宋体" w:hAnsi="宋体" w:cs="宋体"/>
          <w:color w:val="auto"/>
          <w:sz w:val="24"/>
        </w:rPr>
        <w:t>符合本竞争性磋商文件规定的供应商资格要求及项目要求的其它条件，并按照要求提供相关证明材料。</w:t>
      </w:r>
    </w:p>
    <w:p w14:paraId="0F7F4CCC">
      <w:pPr>
        <w:spacing w:line="560" w:lineRule="exact"/>
        <w:ind w:firstLine="480" w:firstLineChars="200"/>
        <w:rPr>
          <w:rFonts w:hint="eastAsia" w:ascii="宋体" w:hAnsi="宋体" w:cs="宋体"/>
          <w:color w:val="auto"/>
          <w:sz w:val="24"/>
          <w:lang w:val="zh-CN"/>
        </w:rPr>
      </w:pPr>
      <w:r>
        <w:rPr>
          <w:rFonts w:hint="eastAsia" w:ascii="宋体" w:hAnsi="宋体" w:cs="宋体"/>
          <w:color w:val="auto"/>
          <w:sz w:val="24"/>
          <w:lang w:val="zh-CN"/>
        </w:rPr>
        <w:t>4.4供应商应遵守国家法律、法规有关竞争性磋商的规定。</w:t>
      </w:r>
    </w:p>
    <w:p w14:paraId="32D31ECA">
      <w:pPr>
        <w:spacing w:line="560" w:lineRule="exact"/>
        <w:ind w:firstLine="480" w:firstLineChars="200"/>
        <w:rPr>
          <w:rFonts w:hint="eastAsia" w:ascii="宋体" w:hAnsi="宋体" w:cs="宋体"/>
          <w:color w:val="auto"/>
          <w:sz w:val="24"/>
          <w:lang w:val="zh-CN"/>
        </w:rPr>
      </w:pPr>
      <w:r>
        <w:rPr>
          <w:rFonts w:hint="eastAsia" w:ascii="宋体" w:hAnsi="宋体" w:cs="宋体"/>
          <w:color w:val="auto"/>
          <w:sz w:val="24"/>
          <w:lang w:val="zh-CN"/>
        </w:rPr>
        <w:t>4.5 凡通过磋商小组符合性审查的供应商均为合格供应商。未通过符合性审查的供应商将视为不响应本项目的竞争性磋商文件被否决。</w:t>
      </w:r>
    </w:p>
    <w:p w14:paraId="70F7535D">
      <w:pPr>
        <w:keepNext w:val="0"/>
        <w:keepLines w:val="0"/>
        <w:pageBreakBefore w:val="0"/>
        <w:widowControl w:val="0"/>
        <w:kinsoku/>
        <w:wordWrap/>
        <w:overflowPunct/>
        <w:topLinePunct w:val="0"/>
        <w:autoSpaceDE/>
        <w:autoSpaceDN/>
        <w:bidi w:val="0"/>
        <w:adjustRightInd/>
        <w:snapToGrid/>
        <w:spacing w:line="490" w:lineRule="exact"/>
        <w:ind w:firstLine="480" w:firstLineChars="200"/>
        <w:jc w:val="both"/>
        <w:textAlignment w:val="auto"/>
        <w:rPr>
          <w:rFonts w:hint="eastAsia" w:ascii="宋体" w:hAnsi="宋体" w:cs="宋体"/>
          <w:color w:val="auto"/>
          <w:sz w:val="24"/>
        </w:rPr>
      </w:pPr>
      <w:r>
        <w:rPr>
          <w:rFonts w:hint="eastAsia" w:ascii="宋体" w:hAnsi="宋体" w:cs="宋体"/>
          <w:color w:val="auto"/>
          <w:sz w:val="24"/>
          <w:lang w:val="zh-CN"/>
        </w:rPr>
        <w:t>注：</w:t>
      </w:r>
      <w:r>
        <w:rPr>
          <w:rFonts w:hint="eastAsia" w:ascii="宋体" w:hAnsi="宋体" w:cs="宋体"/>
          <w:color w:val="auto"/>
          <w:sz w:val="24"/>
        </w:rPr>
        <w:t>单位负责人为同一人或者存在直接控股、管理关系的不同供应商，不得参加同一合同项下的政府采购活动并承诺。</w:t>
      </w:r>
    </w:p>
    <w:p w14:paraId="094FE316">
      <w:pPr>
        <w:spacing w:line="560" w:lineRule="exact"/>
        <w:ind w:firstLine="482" w:firstLineChars="200"/>
        <w:rPr>
          <w:rFonts w:ascii="宋体" w:hAnsi="宋体" w:cs="宋体"/>
          <w:b/>
          <w:color w:val="auto"/>
          <w:sz w:val="24"/>
        </w:rPr>
      </w:pPr>
      <w:r>
        <w:rPr>
          <w:rFonts w:hint="eastAsia" w:ascii="宋体" w:hAnsi="宋体" w:cs="宋体"/>
          <w:b/>
          <w:color w:val="auto"/>
          <w:sz w:val="24"/>
        </w:rPr>
        <w:t xml:space="preserve">5.竞争性磋商文件的约束力 </w:t>
      </w:r>
    </w:p>
    <w:p w14:paraId="291BCC8B">
      <w:pPr>
        <w:spacing w:line="560" w:lineRule="exact"/>
        <w:ind w:firstLine="480" w:firstLineChars="200"/>
        <w:rPr>
          <w:rFonts w:ascii="宋体" w:hAnsi="宋体" w:cs="宋体"/>
          <w:color w:val="auto"/>
          <w:sz w:val="24"/>
        </w:rPr>
      </w:pPr>
      <w:r>
        <w:rPr>
          <w:rFonts w:hint="eastAsia" w:ascii="宋体" w:hAnsi="宋体" w:cs="宋体"/>
          <w:color w:val="auto"/>
          <w:sz w:val="24"/>
        </w:rPr>
        <w:t>5.l供应商一旦参加竞争性磋商，即被认为接受了本竞争性磋商文件中的所有条款和规定。</w:t>
      </w:r>
    </w:p>
    <w:p w14:paraId="4E8DD027">
      <w:pPr>
        <w:spacing w:line="560" w:lineRule="exact"/>
        <w:ind w:firstLine="480" w:firstLineChars="200"/>
        <w:rPr>
          <w:rFonts w:ascii="宋体" w:hAnsi="宋体" w:cs="宋体"/>
          <w:color w:val="auto"/>
          <w:sz w:val="24"/>
        </w:rPr>
      </w:pPr>
      <w:r>
        <w:rPr>
          <w:rFonts w:hint="eastAsia" w:ascii="宋体" w:hAnsi="宋体" w:cs="宋体"/>
          <w:color w:val="auto"/>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供应商须做出对磋商文件无异议的书面承诺，否则视为无效投标。</w:t>
      </w:r>
    </w:p>
    <w:p w14:paraId="0BBE2F16">
      <w:pPr>
        <w:spacing w:line="560" w:lineRule="exact"/>
        <w:ind w:firstLine="480" w:firstLineChars="200"/>
        <w:rPr>
          <w:rFonts w:ascii="宋体" w:hAnsi="宋体" w:cs="宋体"/>
          <w:color w:val="auto"/>
          <w:sz w:val="24"/>
        </w:rPr>
      </w:pPr>
      <w:r>
        <w:rPr>
          <w:rFonts w:hint="eastAsia" w:ascii="宋体" w:hAnsi="宋体" w:cs="宋体"/>
          <w:color w:val="auto"/>
          <w:sz w:val="24"/>
        </w:rPr>
        <w:t>5.3本磋商文件由采购人负责解释。</w:t>
      </w:r>
    </w:p>
    <w:p w14:paraId="07B37E0D">
      <w:pPr>
        <w:pStyle w:val="19"/>
        <w:ind w:firstLine="480"/>
        <w:rPr>
          <w:rFonts w:ascii="宋体" w:hAnsi="宋体" w:eastAsia="宋体" w:cs="宋体"/>
          <w:color w:val="auto"/>
          <w:sz w:val="24"/>
        </w:rPr>
      </w:pPr>
    </w:p>
    <w:p w14:paraId="6DE425E6">
      <w:pPr>
        <w:spacing w:line="720" w:lineRule="auto"/>
        <w:jc w:val="center"/>
        <w:rPr>
          <w:rFonts w:ascii="宋体" w:hAnsi="宋体" w:cs="宋体"/>
          <w:b/>
          <w:color w:val="auto"/>
          <w:sz w:val="24"/>
        </w:rPr>
      </w:pPr>
      <w:r>
        <w:rPr>
          <w:rFonts w:hint="eastAsia" w:ascii="宋体" w:hAnsi="宋体" w:cs="宋体"/>
          <w:b/>
          <w:color w:val="auto"/>
          <w:sz w:val="24"/>
        </w:rPr>
        <w:t>二、竞争性磋商文件</w:t>
      </w:r>
    </w:p>
    <w:p w14:paraId="3675838E">
      <w:pPr>
        <w:tabs>
          <w:tab w:val="left" w:pos="632"/>
          <w:tab w:val="left" w:pos="790"/>
        </w:tabs>
        <w:spacing w:line="560" w:lineRule="exact"/>
        <w:ind w:firstLine="482" w:firstLineChars="200"/>
        <w:rPr>
          <w:rFonts w:ascii="宋体" w:hAnsi="宋体" w:cs="宋体"/>
          <w:b/>
          <w:color w:val="auto"/>
          <w:sz w:val="24"/>
        </w:rPr>
      </w:pPr>
      <w:r>
        <w:rPr>
          <w:rFonts w:hint="eastAsia" w:ascii="宋体" w:hAnsi="宋体" w:cs="宋体"/>
          <w:b/>
          <w:color w:val="auto"/>
          <w:sz w:val="24"/>
        </w:rPr>
        <w:t>6．竞争性磋商文件的组成</w:t>
      </w:r>
    </w:p>
    <w:p w14:paraId="38CF2D40">
      <w:pPr>
        <w:autoSpaceDE w:val="0"/>
        <w:autoSpaceDN w:val="0"/>
        <w:adjustRightInd w:val="0"/>
        <w:spacing w:line="560" w:lineRule="exact"/>
        <w:ind w:firstLine="480" w:firstLineChars="200"/>
        <w:rPr>
          <w:rFonts w:ascii="宋体" w:hAnsi="宋体" w:cs="宋体"/>
          <w:color w:val="auto"/>
          <w:sz w:val="24"/>
        </w:rPr>
      </w:pPr>
      <w:r>
        <w:rPr>
          <w:rFonts w:hint="eastAsia" w:ascii="宋体" w:hAnsi="宋体" w:cs="宋体"/>
          <w:color w:val="auto"/>
          <w:sz w:val="24"/>
        </w:rPr>
        <w:t>6.1竞争性磋商</w:t>
      </w:r>
      <w:r>
        <w:rPr>
          <w:rFonts w:hint="eastAsia" w:ascii="宋体" w:hAnsi="宋体" w:cs="宋体"/>
          <w:color w:val="auto"/>
          <w:sz w:val="24"/>
          <w:lang w:val="zh-CN"/>
        </w:rPr>
        <w:t>文件是用以阐明的采购需求、采购程序和合同格式等的规范性文件。竞争性磋商文件主要由以下部分组成：</w:t>
      </w:r>
    </w:p>
    <w:p w14:paraId="0CF720E0">
      <w:pPr>
        <w:spacing w:line="560" w:lineRule="exact"/>
        <w:ind w:firstLine="480" w:firstLineChars="200"/>
        <w:rPr>
          <w:rFonts w:ascii="宋体" w:hAnsi="宋体" w:cs="宋体"/>
          <w:color w:val="auto"/>
          <w:sz w:val="24"/>
        </w:rPr>
      </w:pPr>
      <w:r>
        <w:rPr>
          <w:rFonts w:hint="eastAsia" w:ascii="宋体" w:hAnsi="宋体" w:cs="宋体"/>
          <w:color w:val="auto"/>
          <w:sz w:val="24"/>
        </w:rPr>
        <w:t>（1）竞争性磋商邀请函；</w:t>
      </w:r>
    </w:p>
    <w:p w14:paraId="3585BEDE">
      <w:pPr>
        <w:spacing w:line="560" w:lineRule="exact"/>
        <w:ind w:firstLine="480" w:firstLineChars="200"/>
        <w:rPr>
          <w:rFonts w:ascii="宋体" w:hAnsi="宋体" w:cs="宋体"/>
          <w:color w:val="auto"/>
          <w:sz w:val="24"/>
        </w:rPr>
      </w:pPr>
      <w:r>
        <w:rPr>
          <w:rFonts w:hint="eastAsia" w:ascii="宋体" w:hAnsi="宋体" w:cs="宋体"/>
          <w:color w:val="auto"/>
          <w:sz w:val="24"/>
        </w:rPr>
        <w:t>（2）供应商须知；</w:t>
      </w:r>
    </w:p>
    <w:p w14:paraId="284B9CC1">
      <w:pPr>
        <w:spacing w:line="560" w:lineRule="exact"/>
        <w:ind w:firstLine="480" w:firstLineChars="200"/>
        <w:rPr>
          <w:rFonts w:ascii="宋体" w:hAnsi="宋体" w:cs="宋体"/>
          <w:color w:val="auto"/>
          <w:sz w:val="24"/>
        </w:rPr>
      </w:pPr>
      <w:r>
        <w:rPr>
          <w:rFonts w:hint="eastAsia" w:ascii="宋体" w:hAnsi="宋体" w:cs="宋体"/>
          <w:color w:val="auto"/>
          <w:sz w:val="24"/>
        </w:rPr>
        <w:t>（3）采购项目内容及要求；</w:t>
      </w:r>
    </w:p>
    <w:p w14:paraId="5CAFB386">
      <w:pPr>
        <w:spacing w:line="560" w:lineRule="exact"/>
        <w:ind w:firstLine="480" w:firstLineChars="200"/>
        <w:rPr>
          <w:rFonts w:ascii="宋体" w:hAnsi="宋体" w:cs="宋体"/>
          <w:color w:val="auto"/>
          <w:sz w:val="24"/>
        </w:rPr>
      </w:pPr>
      <w:r>
        <w:rPr>
          <w:rFonts w:hint="eastAsia" w:ascii="宋体" w:hAnsi="宋体" w:cs="宋体"/>
          <w:color w:val="auto"/>
          <w:sz w:val="24"/>
        </w:rPr>
        <w:t>（4）响应性文件内容及格式；</w:t>
      </w:r>
    </w:p>
    <w:p w14:paraId="675E4334">
      <w:pPr>
        <w:spacing w:line="560" w:lineRule="exact"/>
        <w:ind w:firstLine="480" w:firstLineChars="200"/>
        <w:rPr>
          <w:rFonts w:ascii="宋体" w:hAnsi="宋体" w:cs="宋体"/>
          <w:color w:val="auto"/>
          <w:sz w:val="24"/>
        </w:rPr>
      </w:pPr>
      <w:r>
        <w:rPr>
          <w:rFonts w:hint="eastAsia" w:ascii="宋体" w:hAnsi="宋体" w:cs="宋体"/>
          <w:color w:val="auto"/>
          <w:sz w:val="24"/>
        </w:rPr>
        <w:t>（5）合同主要条款。</w:t>
      </w:r>
    </w:p>
    <w:p w14:paraId="7DE428E0">
      <w:pPr>
        <w:spacing w:line="560" w:lineRule="exact"/>
        <w:ind w:firstLine="480" w:firstLineChars="200"/>
        <w:rPr>
          <w:rFonts w:ascii="宋体" w:hAnsi="宋体" w:cs="宋体"/>
          <w:color w:val="auto"/>
          <w:sz w:val="24"/>
        </w:rPr>
      </w:pPr>
      <w:r>
        <w:rPr>
          <w:rFonts w:hint="eastAsia" w:ascii="宋体" w:hAnsi="宋体" w:cs="宋体"/>
          <w:color w:val="auto"/>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r>
        <w:rPr>
          <w:rFonts w:hint="eastAsia" w:ascii="宋体" w:hAnsi="宋体" w:cs="宋体"/>
          <w:color w:val="auto"/>
          <w:sz w:val="24"/>
          <w:lang w:eastAsia="zh-CN"/>
        </w:rPr>
        <w:t>投标</w:t>
      </w:r>
      <w:r>
        <w:rPr>
          <w:rFonts w:hint="eastAsia" w:ascii="宋体" w:hAnsi="宋体" w:cs="宋体"/>
          <w:color w:val="auto"/>
          <w:sz w:val="24"/>
          <w:lang w:val="en-US" w:eastAsia="zh-CN"/>
        </w:rPr>
        <w:t xml:space="preserve">人如对竞争性蹉商文件无异议，出具确认书，确认竞争性蹉商文件清晰无异议。确认书作为资格审查资料。 </w:t>
      </w:r>
    </w:p>
    <w:p w14:paraId="3BC5F3C6">
      <w:pPr>
        <w:spacing w:line="560" w:lineRule="exact"/>
        <w:ind w:firstLine="480" w:firstLineChars="200"/>
        <w:rPr>
          <w:rFonts w:ascii="宋体" w:hAnsi="宋体" w:cs="宋体"/>
          <w:color w:val="auto"/>
          <w:sz w:val="24"/>
        </w:rPr>
      </w:pPr>
      <w:r>
        <w:rPr>
          <w:rFonts w:hint="eastAsia" w:ascii="宋体" w:hAnsi="宋体" w:cs="宋体"/>
          <w:color w:val="auto"/>
          <w:sz w:val="24"/>
        </w:rPr>
        <w:t>6.3</w:t>
      </w:r>
      <w:r>
        <w:rPr>
          <w:rFonts w:hint="eastAsia" w:ascii="宋体" w:hAnsi="宋体" w:eastAsia="宋体" w:cs="宋体"/>
          <w:color w:val="auto"/>
          <w:sz w:val="24"/>
          <w:highlight w:val="none"/>
        </w:rPr>
        <w:t>供应商应自行对现场和周围环境进行勘察，以获取编制投标文件和签署合同所需的资料。勘察现场所发生的费用由供应商自行承担。采购人向供应商提供的有关供货现场的资料和数据，是采购人现有的能使供应商利用的资料。采购人对供应商由此而做出的推论、理解和结论概不负责。供应商未到现场实地踏勘的，中标后签订合同时和履约过程中，不得以不完全了解现场情况为由，提出任何形式的增加合同价款或索赔的要求。供应商被视为充分熟悉本采购项目所在地的与履行合同有关的各种情况，包括自然环境、气候条件、劳动力及公用设施等，本竞争性磋商文件不再对上述情况进行描述。</w:t>
      </w:r>
    </w:p>
    <w:p w14:paraId="72996602">
      <w:pPr>
        <w:spacing w:line="560" w:lineRule="exact"/>
        <w:ind w:firstLine="480" w:firstLineChars="200"/>
        <w:rPr>
          <w:rFonts w:ascii="宋体" w:hAnsi="宋体" w:cs="宋体"/>
          <w:color w:val="auto"/>
          <w:sz w:val="24"/>
        </w:rPr>
      </w:pPr>
      <w:r>
        <w:rPr>
          <w:rFonts w:hint="eastAsia" w:ascii="宋体" w:hAnsi="宋体" w:cs="宋体"/>
          <w:color w:val="auto"/>
          <w:sz w:val="24"/>
        </w:rPr>
        <w:t>6.4供应商必须详阅竞争性磋商文件的所有条款、文件及表格格式等。供应商若未按竞争性磋商文件的要求和规范编制、提交响应性文件，将有可能导致响应性文件被拒绝接受或被视为无效。</w:t>
      </w:r>
    </w:p>
    <w:p w14:paraId="43E40AC6">
      <w:pPr>
        <w:widowControl/>
        <w:spacing w:line="560" w:lineRule="exact"/>
        <w:ind w:firstLine="482" w:firstLineChars="200"/>
        <w:rPr>
          <w:rFonts w:ascii="宋体" w:hAnsi="宋体" w:cs="宋体"/>
          <w:b/>
          <w:color w:val="auto"/>
          <w:sz w:val="24"/>
        </w:rPr>
      </w:pPr>
      <w:r>
        <w:rPr>
          <w:rFonts w:hint="eastAsia" w:ascii="宋体" w:hAnsi="宋体" w:cs="宋体"/>
          <w:b/>
          <w:color w:val="auto"/>
          <w:sz w:val="24"/>
        </w:rPr>
        <w:t>7.竞争性磋商文件的澄清与修改</w:t>
      </w:r>
    </w:p>
    <w:p w14:paraId="01F3AF75">
      <w:pPr>
        <w:autoSpaceDE w:val="0"/>
        <w:autoSpaceDN w:val="0"/>
        <w:adjustRightInd w:val="0"/>
        <w:spacing w:line="560" w:lineRule="exact"/>
        <w:ind w:firstLine="480" w:firstLineChars="200"/>
        <w:rPr>
          <w:rFonts w:ascii="宋体" w:hAnsi="宋体" w:cs="宋体"/>
          <w:color w:val="auto"/>
          <w:sz w:val="24"/>
          <w:lang w:val="zh-CN"/>
        </w:rPr>
      </w:pPr>
      <w:r>
        <w:rPr>
          <w:rFonts w:hint="eastAsia" w:ascii="宋体" w:hAnsi="宋体" w:cs="宋体"/>
          <w:color w:val="auto"/>
          <w:sz w:val="24"/>
        </w:rPr>
        <w:t>7.1提交（接收）响应文件截止之日前，采购人可以对已发出的竞争性磋商文件进行必要的澄清或者修改，澄清或修改的内容作为竞争性磋商文件的组成部分。澄清或者修改的内容可能影响</w:t>
      </w:r>
      <w:r>
        <w:rPr>
          <w:rFonts w:hint="eastAsia" w:ascii="宋体" w:hAnsi="宋体" w:cs="宋体"/>
          <w:color w:val="auto"/>
          <w:sz w:val="24"/>
          <w:lang w:eastAsia="zh-CN"/>
        </w:rPr>
        <w:t>响应</w:t>
      </w:r>
      <w:r>
        <w:rPr>
          <w:rFonts w:hint="eastAsia" w:ascii="宋体" w:hAnsi="宋体" w:cs="宋体"/>
          <w:color w:val="auto"/>
          <w:sz w:val="24"/>
        </w:rPr>
        <w:t>文件编制的，采购人将在提交响应文件截止时间至少5个日前，在政府采购相关网站以变更公告的方式通知所有获取竞争性磋商文件的供应商，不足5日的，采购人顺延提交（接收）响应文件截止时间。</w:t>
      </w:r>
    </w:p>
    <w:p w14:paraId="19083891">
      <w:pPr>
        <w:spacing w:line="720" w:lineRule="auto"/>
        <w:jc w:val="center"/>
        <w:rPr>
          <w:rFonts w:ascii="宋体" w:hAnsi="宋体" w:cs="宋体"/>
          <w:b/>
          <w:color w:val="auto"/>
          <w:sz w:val="24"/>
        </w:rPr>
      </w:pPr>
      <w:r>
        <w:rPr>
          <w:rFonts w:hint="eastAsia" w:ascii="宋体" w:hAnsi="宋体" w:cs="宋体"/>
          <w:b/>
          <w:color w:val="auto"/>
          <w:sz w:val="24"/>
        </w:rPr>
        <w:t>三、响应性文件的编制</w:t>
      </w:r>
    </w:p>
    <w:p w14:paraId="455B20FE">
      <w:pPr>
        <w:spacing w:line="560" w:lineRule="exact"/>
        <w:ind w:firstLine="482" w:firstLineChars="200"/>
        <w:rPr>
          <w:rFonts w:ascii="宋体" w:hAnsi="宋体" w:cs="宋体"/>
          <w:b/>
          <w:bCs/>
          <w:color w:val="auto"/>
          <w:sz w:val="24"/>
        </w:rPr>
      </w:pPr>
      <w:r>
        <w:rPr>
          <w:rFonts w:hint="eastAsia" w:ascii="宋体" w:hAnsi="宋体" w:cs="宋体"/>
          <w:b/>
          <w:bCs/>
          <w:color w:val="auto"/>
          <w:sz w:val="24"/>
        </w:rPr>
        <w:t>8.要求</w:t>
      </w:r>
    </w:p>
    <w:p w14:paraId="787A63AA">
      <w:pPr>
        <w:spacing w:line="560" w:lineRule="auto"/>
        <w:ind w:firstLine="480"/>
        <w:rPr>
          <w:rFonts w:hint="eastAsia" w:ascii="宋体" w:hAnsi="宋体" w:cs="宋体" w:eastAsiaTheme="minorEastAsia"/>
          <w:color w:val="auto"/>
          <w:sz w:val="24"/>
          <w:lang w:val="en-US" w:eastAsia="zh-CN"/>
        </w:rPr>
      </w:pPr>
      <w:r>
        <w:rPr>
          <w:rFonts w:ascii="宋体" w:hAnsi="宋体" w:cs="宋体"/>
          <w:color w:val="auto"/>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14:paraId="0473A4E6">
      <w:pPr>
        <w:spacing w:line="560" w:lineRule="exact"/>
        <w:ind w:firstLine="480" w:firstLineChars="200"/>
        <w:rPr>
          <w:rFonts w:ascii="宋体" w:hAnsi="宋体" w:cs="宋体"/>
          <w:color w:val="auto"/>
          <w:sz w:val="24"/>
        </w:rPr>
      </w:pPr>
      <w:r>
        <w:rPr>
          <w:rFonts w:hint="eastAsia" w:ascii="宋体" w:hAnsi="宋体" w:cs="宋体"/>
          <w:color w:val="auto"/>
          <w:sz w:val="24"/>
        </w:rPr>
        <w:t>8.2任何对竞争性磋商文件的忽略或误解不能作为响应性文件没有完全响应竞争性磋商文件的有效理由。</w:t>
      </w:r>
    </w:p>
    <w:p w14:paraId="6797610B">
      <w:pPr>
        <w:spacing w:line="560" w:lineRule="exact"/>
        <w:ind w:firstLine="480" w:firstLineChars="200"/>
        <w:rPr>
          <w:rFonts w:hint="eastAsia" w:ascii="宋体" w:hAnsi="宋体" w:cs="宋体"/>
          <w:color w:val="auto"/>
          <w:sz w:val="24"/>
        </w:rPr>
      </w:pPr>
      <w:r>
        <w:rPr>
          <w:rFonts w:hint="eastAsia" w:ascii="宋体" w:hAnsi="宋体" w:cs="宋体"/>
          <w:color w:val="auto"/>
          <w:sz w:val="24"/>
        </w:rPr>
        <w:t>8.3供应商没有按照竞争性磋商文件要求提供全部资料，或者供应商没有对竞争性磋商文件在各方面都作出实质性响应是供应商的风险，并可能导致其响应性文件被拒绝。</w:t>
      </w:r>
    </w:p>
    <w:p w14:paraId="5924A1F3">
      <w:pPr>
        <w:spacing w:line="560" w:lineRule="exact"/>
        <w:ind w:firstLine="480" w:firstLineChars="200"/>
        <w:rPr>
          <w:rFonts w:hint="eastAsia" w:ascii="宋体" w:hAnsi="宋体" w:cs="宋体"/>
          <w:color w:val="auto"/>
          <w:sz w:val="24"/>
        </w:rPr>
      </w:pPr>
      <w:r>
        <w:rPr>
          <w:rFonts w:hint="eastAsia" w:ascii="宋体" w:hAnsi="宋体" w:cs="宋体"/>
          <w:color w:val="auto"/>
          <w:sz w:val="24"/>
        </w:rPr>
        <w:t>8.4 参与竞争性磋商活动的各供应商应对竞争性磋商文件和竞争性磋商响应文件中的商业和技术等秘密保密，违者应对由此造成的后果承担法律责任。对上述作出书面承诺并附在响应文件中，否则视为不响应竞争性磋商文件的要求。</w:t>
      </w:r>
    </w:p>
    <w:p w14:paraId="677A2999">
      <w:pPr>
        <w:spacing w:line="560" w:lineRule="exact"/>
        <w:ind w:firstLine="480" w:firstLineChars="200"/>
        <w:rPr>
          <w:rFonts w:hint="default" w:ascii="宋体" w:hAnsi="宋体" w:cs="宋体"/>
          <w:color w:val="auto"/>
          <w:sz w:val="24"/>
          <w:lang w:val="en-US" w:eastAsia="zh-CN"/>
        </w:rPr>
      </w:pPr>
      <w:r>
        <w:rPr>
          <w:rFonts w:hint="eastAsia" w:ascii="宋体" w:hAnsi="宋体" w:cs="宋体"/>
          <w:color w:val="auto"/>
          <w:sz w:val="24"/>
          <w:lang w:val="en-US" w:eastAsia="zh-CN"/>
        </w:rPr>
        <w:t>8.5 响应性文件应当对</w:t>
      </w:r>
      <w:r>
        <w:rPr>
          <w:rFonts w:hint="eastAsia" w:ascii="宋体" w:hAnsi="宋体" w:cs="宋体"/>
          <w:color w:val="auto"/>
          <w:sz w:val="24"/>
        </w:rPr>
        <w:t>竞争性磋商文件</w:t>
      </w:r>
      <w:r>
        <w:rPr>
          <w:rFonts w:hint="eastAsia" w:ascii="宋体" w:hAnsi="宋体" w:cs="宋体"/>
          <w:color w:val="auto"/>
          <w:sz w:val="24"/>
          <w:lang w:val="en-US" w:eastAsia="zh-CN"/>
        </w:rPr>
        <w:t>有关供货期限、响应文件有效期、采购内</w:t>
      </w:r>
      <w:r>
        <w:rPr>
          <w:rFonts w:hint="eastAsia" w:ascii="宋体" w:hAnsi="宋体" w:cs="宋体"/>
          <w:color w:val="auto"/>
          <w:sz w:val="24"/>
          <w:highlight w:val="none"/>
          <w:lang w:val="en-US" w:eastAsia="zh-CN"/>
        </w:rPr>
        <w:t>容、质量要求、</w:t>
      </w:r>
      <w:r>
        <w:rPr>
          <w:rFonts w:hint="eastAsia" w:ascii="宋体" w:hAnsi="宋体" w:cs="宋体" w:eastAsiaTheme="minorEastAsia"/>
          <w:color w:val="auto"/>
          <w:sz w:val="24"/>
          <w:szCs w:val="22"/>
          <w:highlight w:val="none"/>
          <w:lang w:val="en-US" w:eastAsia="zh-CN" w:bidi="ar-SA"/>
        </w:rPr>
        <w:t>技术服务和质保期服务要求</w:t>
      </w:r>
      <w:r>
        <w:rPr>
          <w:rFonts w:hint="eastAsia" w:ascii="宋体" w:hAnsi="宋体" w:cs="宋体"/>
          <w:color w:val="auto"/>
          <w:sz w:val="24"/>
          <w:lang w:val="en-US" w:eastAsia="zh-CN"/>
        </w:rPr>
        <w:t>等实质性内容作出响应。</w:t>
      </w:r>
    </w:p>
    <w:p w14:paraId="36D9CF14">
      <w:pPr>
        <w:widowControl/>
        <w:spacing w:line="560" w:lineRule="exact"/>
        <w:ind w:firstLine="482" w:firstLineChars="200"/>
        <w:rPr>
          <w:rFonts w:ascii="宋体" w:hAnsi="宋体" w:cs="宋体"/>
          <w:b/>
          <w:color w:val="auto"/>
          <w:sz w:val="24"/>
        </w:rPr>
      </w:pPr>
      <w:r>
        <w:rPr>
          <w:rFonts w:hint="eastAsia" w:ascii="宋体" w:hAnsi="宋体" w:cs="宋体"/>
          <w:b/>
          <w:color w:val="auto"/>
          <w:sz w:val="24"/>
        </w:rPr>
        <w:t xml:space="preserve">9.响应性文件的语言及度量衡 </w:t>
      </w:r>
    </w:p>
    <w:p w14:paraId="31A32B2B">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9.1响应性文件以及供应商与采购代理机构之间的所有书面往来都应用简体中文书写。 </w:t>
      </w:r>
    </w:p>
    <w:p w14:paraId="54F689D6">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9.2供应商使用其他语言的，以中文翻译为准。 </w:t>
      </w:r>
    </w:p>
    <w:p w14:paraId="41BC78CB">
      <w:pPr>
        <w:spacing w:line="560" w:lineRule="exact"/>
        <w:ind w:firstLine="480" w:firstLineChars="200"/>
        <w:rPr>
          <w:rFonts w:ascii="宋体" w:hAnsi="宋体" w:cs="宋体"/>
          <w:color w:val="auto"/>
          <w:sz w:val="24"/>
        </w:rPr>
      </w:pPr>
      <w:r>
        <w:rPr>
          <w:rFonts w:hint="eastAsia" w:ascii="宋体" w:hAnsi="宋体" w:cs="宋体"/>
          <w:color w:val="auto"/>
          <w:sz w:val="24"/>
        </w:rPr>
        <w:t>9.3关于计量单位，竞争性磋商文件已有明确规定的，使用竞争性磋商文件规定的计量单位；竞争性磋商文件没有规定的，应采用中华人民共和国法定计量单位。</w:t>
      </w:r>
    </w:p>
    <w:p w14:paraId="67BC089F">
      <w:pPr>
        <w:spacing w:line="560" w:lineRule="exact"/>
        <w:ind w:firstLine="480" w:firstLineChars="200"/>
        <w:rPr>
          <w:rFonts w:ascii="宋体" w:hAnsi="宋体" w:cs="宋体"/>
          <w:color w:val="auto"/>
          <w:sz w:val="24"/>
        </w:rPr>
      </w:pPr>
      <w:r>
        <w:rPr>
          <w:rFonts w:hint="eastAsia" w:ascii="宋体" w:hAnsi="宋体" w:cs="宋体"/>
          <w:color w:val="auto"/>
          <w:sz w:val="24"/>
        </w:rPr>
        <w:t>9.4本竞争性磋商文件所表述的时间均为北京时间。</w:t>
      </w:r>
    </w:p>
    <w:p w14:paraId="3D8D78DE">
      <w:pPr>
        <w:spacing w:line="560" w:lineRule="exact"/>
        <w:ind w:firstLine="482" w:firstLineChars="200"/>
        <w:rPr>
          <w:rFonts w:ascii="宋体" w:hAnsi="宋体" w:cs="宋体"/>
          <w:b/>
          <w:color w:val="auto"/>
          <w:sz w:val="24"/>
        </w:rPr>
      </w:pPr>
      <w:r>
        <w:rPr>
          <w:rFonts w:hint="eastAsia" w:ascii="宋体" w:hAnsi="宋体" w:cs="宋体"/>
          <w:b/>
          <w:color w:val="auto"/>
          <w:sz w:val="24"/>
        </w:rPr>
        <w:t>10.响应性文件的组成</w:t>
      </w:r>
    </w:p>
    <w:p w14:paraId="658729DD">
      <w:pPr>
        <w:spacing w:line="560" w:lineRule="exact"/>
        <w:ind w:firstLine="480" w:firstLineChars="200"/>
        <w:rPr>
          <w:rFonts w:hint="eastAsia" w:ascii="宋体" w:hAnsi="宋体" w:cs="宋体"/>
          <w:color w:val="auto"/>
          <w:sz w:val="24"/>
        </w:rPr>
      </w:pPr>
      <w:r>
        <w:rPr>
          <w:rFonts w:hint="eastAsia" w:ascii="宋体" w:hAnsi="宋体" w:cs="宋体"/>
          <w:color w:val="auto"/>
          <w:sz w:val="24"/>
        </w:rPr>
        <w:t>10.1响应性文件由</w:t>
      </w:r>
      <w:r>
        <w:rPr>
          <w:rFonts w:hint="eastAsia" w:ascii="宋体" w:hAnsi="宋体" w:cs="宋体"/>
          <w:bCs/>
          <w:color w:val="auto"/>
          <w:sz w:val="24"/>
          <w:u w:val="single"/>
        </w:rPr>
        <w:t>资格性证明材料</w:t>
      </w:r>
      <w:r>
        <w:rPr>
          <w:rFonts w:hint="eastAsia" w:ascii="宋体" w:hAnsi="宋体" w:cs="宋体"/>
          <w:bCs/>
          <w:color w:val="auto"/>
          <w:sz w:val="24"/>
        </w:rPr>
        <w:t>、</w:t>
      </w:r>
      <w:r>
        <w:rPr>
          <w:rFonts w:hint="eastAsia" w:ascii="宋体" w:hAnsi="宋体" w:cs="宋体"/>
          <w:bCs/>
          <w:color w:val="auto"/>
          <w:sz w:val="24"/>
          <w:u w:val="single"/>
        </w:rPr>
        <w:t>符合性证明材料</w:t>
      </w:r>
      <w:r>
        <w:rPr>
          <w:rFonts w:hint="eastAsia" w:ascii="宋体" w:hAnsi="宋体" w:cs="宋体"/>
          <w:bCs/>
          <w:color w:val="auto"/>
          <w:sz w:val="24"/>
        </w:rPr>
        <w:t>、</w:t>
      </w:r>
      <w:r>
        <w:rPr>
          <w:rFonts w:hint="eastAsia" w:ascii="宋体" w:hAnsi="宋体" w:cs="宋体"/>
          <w:bCs/>
          <w:color w:val="auto"/>
          <w:sz w:val="24"/>
          <w:u w:val="single"/>
        </w:rPr>
        <w:t>其他材料</w:t>
      </w:r>
      <w:r>
        <w:rPr>
          <w:rFonts w:hint="eastAsia" w:ascii="宋体" w:hAnsi="宋体" w:cs="宋体"/>
          <w:color w:val="auto"/>
          <w:sz w:val="24"/>
        </w:rPr>
        <w:t>三部分组成。具体内容和格式见竞争性磋商文件第四章。</w:t>
      </w:r>
    </w:p>
    <w:p w14:paraId="1B57DE66">
      <w:pPr>
        <w:widowControl/>
        <w:spacing w:line="560" w:lineRule="exact"/>
        <w:ind w:firstLine="480" w:firstLineChars="200"/>
        <w:rPr>
          <w:rFonts w:hint="eastAsia"/>
          <w:color w:val="auto"/>
        </w:rPr>
      </w:pPr>
      <w:r>
        <w:rPr>
          <w:rFonts w:hint="eastAsia" w:ascii="宋体" w:hAnsi="宋体" w:cs="宋体"/>
          <w:color w:val="auto"/>
          <w:sz w:val="24"/>
        </w:rPr>
        <w:t>10.2响应文件封面要求:列明项目名称、采购编号、供应商名称和地址等信息。</w:t>
      </w:r>
    </w:p>
    <w:p w14:paraId="3D388960">
      <w:pPr>
        <w:spacing w:line="560" w:lineRule="exact"/>
        <w:ind w:firstLine="482" w:firstLineChars="200"/>
        <w:rPr>
          <w:rFonts w:hint="eastAsia" w:ascii="宋体" w:hAnsi="宋体" w:cs="宋体"/>
          <w:color w:val="auto"/>
          <w:sz w:val="24"/>
        </w:rPr>
      </w:pPr>
      <w:r>
        <w:rPr>
          <w:rFonts w:hint="eastAsia" w:ascii="宋体" w:hAnsi="宋体" w:cs="宋体"/>
          <w:b/>
          <w:color w:val="auto"/>
          <w:sz w:val="24"/>
        </w:rPr>
        <w:t>11.响应性文件格式</w:t>
      </w:r>
    </w:p>
    <w:p w14:paraId="43FA319B">
      <w:pPr>
        <w:spacing w:line="560" w:lineRule="exact"/>
        <w:ind w:firstLine="480" w:firstLineChars="200"/>
        <w:rPr>
          <w:rFonts w:hint="eastAsia" w:ascii="宋体" w:hAnsi="宋体" w:cs="宋体"/>
          <w:color w:val="auto"/>
          <w:sz w:val="24"/>
        </w:rPr>
      </w:pPr>
      <w:r>
        <w:rPr>
          <w:rFonts w:hint="eastAsia" w:ascii="宋体" w:hAnsi="宋体" w:cs="宋体"/>
          <w:color w:val="auto"/>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51CE3975">
      <w:pPr>
        <w:widowControl/>
        <w:spacing w:line="560" w:lineRule="exact"/>
        <w:ind w:firstLine="482" w:firstLineChars="200"/>
        <w:rPr>
          <w:rFonts w:ascii="宋体" w:hAnsi="宋体" w:cs="宋体"/>
          <w:b/>
          <w:bCs/>
          <w:color w:val="auto"/>
          <w:kern w:val="0"/>
          <w:sz w:val="24"/>
        </w:rPr>
      </w:pPr>
      <w:r>
        <w:rPr>
          <w:rFonts w:hint="eastAsia" w:ascii="宋体" w:hAnsi="宋体" w:cs="宋体"/>
          <w:b/>
          <w:bCs/>
          <w:color w:val="auto"/>
          <w:kern w:val="0"/>
          <w:sz w:val="24"/>
        </w:rPr>
        <w:t>12.竞争性磋商报价</w:t>
      </w:r>
    </w:p>
    <w:p w14:paraId="3B1C901F">
      <w:pPr>
        <w:spacing w:line="560" w:lineRule="exact"/>
        <w:ind w:firstLine="480" w:firstLineChars="200"/>
        <w:rPr>
          <w:rFonts w:hint="default" w:ascii="宋体" w:hAnsi="宋体" w:eastAsia="宋体" w:cs="宋体"/>
          <w:color w:val="auto"/>
          <w:sz w:val="24"/>
          <w:lang w:val="en-US" w:eastAsia="zh-CN"/>
        </w:rPr>
      </w:pPr>
      <w:r>
        <w:rPr>
          <w:rFonts w:hint="eastAsia" w:ascii="宋体" w:hAnsi="宋体" w:cs="宋体"/>
          <w:color w:val="auto"/>
          <w:sz w:val="24"/>
        </w:rPr>
        <w:t>12.1报价包括本项目所</w:t>
      </w:r>
      <w:r>
        <w:rPr>
          <w:rFonts w:hint="eastAsia" w:ascii="宋体" w:hAnsi="宋体" w:cs="宋体"/>
          <w:color w:val="auto"/>
          <w:sz w:val="24"/>
          <w:lang w:eastAsia="zh-CN"/>
        </w:rPr>
        <w:t>采购</w:t>
      </w:r>
      <w:r>
        <w:rPr>
          <w:rFonts w:hint="eastAsia" w:ascii="宋体" w:hAnsi="宋体" w:cs="宋体"/>
          <w:color w:val="auto"/>
          <w:sz w:val="24"/>
        </w:rPr>
        <w:t>的</w:t>
      </w:r>
      <w:r>
        <w:rPr>
          <w:rFonts w:hint="eastAsia" w:ascii="宋体" w:hAnsi="宋体" w:cs="宋体"/>
          <w:color w:val="auto"/>
          <w:sz w:val="24"/>
          <w:lang w:eastAsia="zh-CN"/>
        </w:rPr>
        <w:t>货物及</w:t>
      </w:r>
      <w:r>
        <w:rPr>
          <w:rFonts w:hint="eastAsia" w:ascii="宋体" w:hAnsi="宋体" w:cs="宋体"/>
          <w:color w:val="auto"/>
          <w:sz w:val="24"/>
        </w:rPr>
        <w:t>服务、保险、税费、</w:t>
      </w:r>
      <w:r>
        <w:rPr>
          <w:rFonts w:hint="eastAsia" w:ascii="宋体" w:hAnsi="宋体" w:cs="宋体"/>
          <w:color w:val="auto"/>
          <w:sz w:val="24"/>
          <w:lang w:eastAsia="zh-CN"/>
        </w:rPr>
        <w:t>包装、加工及加工损耗、</w:t>
      </w:r>
      <w:r>
        <w:rPr>
          <w:rFonts w:hint="eastAsia" w:ascii="宋体" w:hAnsi="宋体" w:cs="宋体"/>
          <w:color w:val="auto"/>
          <w:sz w:val="24"/>
        </w:rPr>
        <w:t>运输、</w:t>
      </w:r>
      <w:r>
        <w:rPr>
          <w:rFonts w:hint="eastAsia" w:ascii="宋体" w:hAnsi="宋体" w:cs="宋体"/>
          <w:color w:val="auto"/>
          <w:sz w:val="24"/>
          <w:lang w:eastAsia="zh-CN"/>
        </w:rPr>
        <w:t>现场落地、</w:t>
      </w:r>
      <w:r>
        <w:rPr>
          <w:rFonts w:hint="eastAsia" w:ascii="宋体" w:hAnsi="宋体" w:cs="宋体"/>
          <w:color w:val="auto"/>
          <w:sz w:val="24"/>
        </w:rPr>
        <w:t>安装</w:t>
      </w:r>
      <w:r>
        <w:rPr>
          <w:rFonts w:hint="eastAsia" w:ascii="宋体" w:hAnsi="宋体" w:cs="宋体"/>
          <w:color w:val="auto"/>
          <w:sz w:val="24"/>
          <w:lang w:eastAsia="zh-CN"/>
        </w:rPr>
        <w:t>及安装损耗、</w:t>
      </w:r>
      <w:r>
        <w:rPr>
          <w:rFonts w:hint="eastAsia" w:ascii="宋体" w:hAnsi="宋体" w:cs="宋体"/>
          <w:color w:val="auto"/>
          <w:sz w:val="24"/>
        </w:rPr>
        <w:t>调试</w:t>
      </w:r>
      <w:r>
        <w:rPr>
          <w:rFonts w:hint="eastAsia" w:ascii="宋体" w:hAnsi="宋体" w:cs="宋体"/>
          <w:color w:val="auto"/>
          <w:sz w:val="24"/>
          <w:lang w:eastAsia="zh-CN"/>
        </w:rPr>
        <w:t>、检测、</w:t>
      </w:r>
      <w:r>
        <w:rPr>
          <w:rFonts w:hint="eastAsia" w:ascii="宋体" w:hAnsi="宋体" w:cs="宋体"/>
          <w:color w:val="auto"/>
          <w:sz w:val="24"/>
        </w:rPr>
        <w:t>验收</w:t>
      </w:r>
      <w:r>
        <w:rPr>
          <w:rFonts w:hint="eastAsia" w:ascii="宋体" w:hAnsi="宋体" w:cs="宋体"/>
          <w:color w:val="auto"/>
          <w:sz w:val="24"/>
          <w:lang w:eastAsia="zh-CN"/>
        </w:rPr>
        <w:t>和交付后约定期限内免费维保等工作所发生的一切应有费用。并在报价一览表总报价处加盖公章。以人民币为单位</w:t>
      </w:r>
      <w:r>
        <w:rPr>
          <w:rFonts w:hint="eastAsia"/>
          <w:color w:val="auto"/>
          <w:sz w:val="24"/>
          <w:highlight w:val="none"/>
        </w:rPr>
        <w:t>。</w:t>
      </w:r>
      <w:r>
        <w:rPr>
          <w:rFonts w:hint="eastAsia" w:asciiTheme="minorEastAsia" w:hAnsiTheme="minorEastAsia"/>
          <w:color w:val="auto"/>
          <w:sz w:val="24"/>
          <w:szCs w:val="24"/>
          <w:highlight w:val="none"/>
        </w:rPr>
        <w:t>供应商必须保证确保整体通过用户方及有关主管部门验收，所发生的验收费用由供应商承担；</w:t>
      </w:r>
    </w:p>
    <w:p w14:paraId="66BE8885">
      <w:pPr>
        <w:spacing w:line="560" w:lineRule="auto"/>
        <w:ind w:firstLine="480"/>
        <w:rPr>
          <w:color w:val="auto"/>
          <w:sz w:val="24"/>
          <w:highlight w:val="none"/>
        </w:rPr>
      </w:pPr>
      <w:r>
        <w:rPr>
          <w:color w:val="auto"/>
          <w:sz w:val="24"/>
          <w:highlight w:val="none"/>
        </w:rPr>
        <w:t>12.</w:t>
      </w:r>
      <w:r>
        <w:rPr>
          <w:rFonts w:hint="eastAsia"/>
          <w:color w:val="auto"/>
          <w:sz w:val="24"/>
          <w:highlight w:val="none"/>
        </w:rPr>
        <w:t>2供应商的报价明显低于其他通过符合性审查供应商的报价，有可能影响服务质量或者不能诚信履约的，谈判小组应当要求其在规定的合理的时间内提供书面说明，必要时提交相关证明材料；供应商不能证明其报价合理性的，谈判小组应当将其作为无效投标处理。</w:t>
      </w:r>
    </w:p>
    <w:p w14:paraId="616637D4">
      <w:pPr>
        <w:spacing w:line="560" w:lineRule="auto"/>
        <w:ind w:firstLine="480"/>
        <w:rPr>
          <w:color w:val="auto"/>
          <w:sz w:val="24"/>
          <w:highlight w:val="none"/>
        </w:rPr>
      </w:pPr>
      <w:r>
        <w:rPr>
          <w:color w:val="auto"/>
          <w:sz w:val="24"/>
          <w:highlight w:val="none"/>
        </w:rPr>
        <w:t>12.</w:t>
      </w:r>
      <w:r>
        <w:rPr>
          <w:rFonts w:hint="eastAsia"/>
          <w:color w:val="auto"/>
          <w:sz w:val="24"/>
          <w:highlight w:val="none"/>
        </w:rPr>
        <w:t>3供应商须保证，采购人在中华人民共和国境内使用投标货物、资料、技术、服务或其任何一部分时，享有不受限制的无偿使用权，不会产生因第三方提出侵犯其专利权、商标权或其它知识产权而引起的法律或经济纠纷。如供应商不拥有相应的知识产权，则在投标报价中必须包括合法获取该知识产权的一切相关费用。如因此导致采购人损失的，供应商须承担全部赔偿责任。</w:t>
      </w:r>
    </w:p>
    <w:p w14:paraId="63B48E2E">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rPr>
        <w:t>4</w:t>
      </w:r>
      <w:r>
        <w:rPr>
          <w:rFonts w:ascii="宋体" w:hAnsi="宋体" w:eastAsia="宋体" w:cs="宋体"/>
          <w:color w:val="auto"/>
          <w:sz w:val="24"/>
          <w:highlight w:val="none"/>
        </w:rPr>
        <w:t>经过磋商后进行的报价为供应商的最终报价。</w:t>
      </w:r>
    </w:p>
    <w:p w14:paraId="688C4835">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rPr>
        <w:t>5</w:t>
      </w:r>
      <w:r>
        <w:rPr>
          <w:rFonts w:ascii="宋体" w:hAnsi="宋体" w:eastAsia="宋体" w:cs="宋体"/>
          <w:color w:val="auto"/>
          <w:sz w:val="24"/>
          <w:highlight w:val="none"/>
        </w:rPr>
        <w:t>采购人不接受有选择的报价。</w:t>
      </w:r>
    </w:p>
    <w:p w14:paraId="365212A6">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rPr>
        <w:t>6</w:t>
      </w:r>
      <w:r>
        <w:rPr>
          <w:rFonts w:ascii="宋体" w:hAnsi="宋体" w:eastAsia="宋体" w:cs="宋体"/>
          <w:color w:val="auto"/>
          <w:sz w:val="24"/>
          <w:highlight w:val="none"/>
        </w:rPr>
        <w:t>最终报价不得超过采购预算。</w:t>
      </w:r>
    </w:p>
    <w:p w14:paraId="70A9FC30">
      <w:pPr>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12.</w:t>
      </w:r>
      <w:r>
        <w:rPr>
          <w:rFonts w:hint="eastAsia" w:ascii="宋体" w:hAnsi="宋体" w:eastAsia="宋体" w:cs="宋体"/>
          <w:color w:val="auto"/>
          <w:sz w:val="24"/>
          <w:highlight w:val="none"/>
        </w:rPr>
        <w:t>7</w:t>
      </w:r>
      <w:r>
        <w:rPr>
          <w:rFonts w:ascii="宋体" w:hAnsi="宋体" w:eastAsia="宋体" w:cs="宋体"/>
          <w:color w:val="auto"/>
          <w:sz w:val="24"/>
          <w:highlight w:val="none"/>
        </w:rPr>
        <w:t>报价均须以人民币为计算单位。</w:t>
      </w:r>
    </w:p>
    <w:p w14:paraId="33F33AD7">
      <w:pPr>
        <w:spacing w:line="560" w:lineRule="exact"/>
        <w:ind w:firstLine="482" w:firstLineChars="200"/>
        <w:rPr>
          <w:rFonts w:ascii="宋体" w:hAnsi="宋体" w:cs="宋体"/>
          <w:b/>
          <w:bCs/>
          <w:color w:val="auto"/>
          <w:sz w:val="24"/>
        </w:rPr>
      </w:pPr>
      <w:r>
        <w:rPr>
          <w:rFonts w:hint="eastAsia" w:ascii="宋体" w:hAnsi="宋体" w:cs="宋体"/>
          <w:b/>
          <w:bCs/>
          <w:color w:val="auto"/>
          <w:sz w:val="24"/>
        </w:rPr>
        <w:t xml:space="preserve">13．响应性文件有效期 </w:t>
      </w:r>
    </w:p>
    <w:p w14:paraId="62FC9C2E">
      <w:pPr>
        <w:spacing w:line="560" w:lineRule="exact"/>
        <w:ind w:firstLine="480" w:firstLineChars="200"/>
        <w:rPr>
          <w:rFonts w:ascii="宋体" w:hAnsi="宋体" w:cs="宋体"/>
          <w:color w:val="auto"/>
          <w:sz w:val="24"/>
        </w:rPr>
      </w:pPr>
      <w:r>
        <w:rPr>
          <w:rFonts w:hint="eastAsia" w:ascii="宋体" w:hAnsi="宋体" w:cs="宋体"/>
          <w:color w:val="auto"/>
          <w:sz w:val="24"/>
        </w:rPr>
        <w:t>13.l响应性文件有效期为自竞争性磋商开始之日起60天，有效期短于此规定的响应性文件将被视为无效。</w:t>
      </w:r>
    </w:p>
    <w:p w14:paraId="1D774698">
      <w:pPr>
        <w:spacing w:line="560" w:lineRule="exact"/>
        <w:ind w:firstLine="480" w:firstLineChars="200"/>
        <w:rPr>
          <w:rFonts w:ascii="宋体" w:hAnsi="宋体" w:cs="宋体"/>
          <w:color w:val="auto"/>
          <w:sz w:val="24"/>
        </w:rPr>
      </w:pPr>
      <w:r>
        <w:rPr>
          <w:rFonts w:hint="eastAsia" w:ascii="宋体" w:hAnsi="宋体" w:cs="宋体"/>
          <w:color w:val="auto"/>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14:paraId="2A2460E2">
      <w:pPr>
        <w:spacing w:line="560" w:lineRule="exact"/>
        <w:ind w:firstLine="482" w:firstLineChars="200"/>
        <w:rPr>
          <w:rFonts w:ascii="宋体" w:hAnsi="宋体" w:cs="宋体"/>
          <w:b/>
          <w:bCs/>
          <w:color w:val="auto"/>
          <w:sz w:val="24"/>
        </w:rPr>
      </w:pPr>
      <w:r>
        <w:rPr>
          <w:rFonts w:hint="eastAsia" w:ascii="宋体" w:hAnsi="宋体" w:cs="宋体"/>
          <w:b/>
          <w:bCs/>
          <w:color w:val="auto"/>
          <w:sz w:val="24"/>
        </w:rPr>
        <w:t>14.响应性文件的签署、盖章</w:t>
      </w:r>
    </w:p>
    <w:p w14:paraId="560F4C28">
      <w:pPr>
        <w:spacing w:line="560" w:lineRule="exact"/>
        <w:ind w:firstLine="480" w:firstLineChars="200"/>
        <w:rPr>
          <w:rFonts w:ascii="宋体" w:hAnsi="宋体" w:cs="宋体"/>
          <w:color w:val="auto"/>
          <w:sz w:val="24"/>
          <w:lang w:val="zh-CN"/>
        </w:rPr>
      </w:pPr>
      <w:r>
        <w:rPr>
          <w:rFonts w:hint="eastAsia" w:ascii="宋体" w:hAnsi="宋体" w:cs="宋体"/>
          <w:color w:val="auto"/>
          <w:sz w:val="24"/>
        </w:rPr>
        <w:t>14.1</w:t>
      </w:r>
      <w:r>
        <w:rPr>
          <w:rFonts w:hint="eastAsia" w:ascii="宋体" w:hAnsi="宋体" w:cs="宋体"/>
          <w:color w:val="auto"/>
          <w:sz w:val="24"/>
          <w:lang w:val="zh-CN"/>
        </w:rPr>
        <w:t>响应性文件中凡是要求签署和加盖公章处均须由供应商的法定代表人或其委托代理人签字并加盖供应商公章。本竞争性磋商文件所表述（指定）的公章是指法人（供应商）行政公章，不包括专用章。</w:t>
      </w:r>
    </w:p>
    <w:p w14:paraId="4D26A5E2">
      <w:pPr>
        <w:spacing w:line="560" w:lineRule="exact"/>
        <w:ind w:firstLine="480" w:firstLineChars="200"/>
        <w:rPr>
          <w:rFonts w:ascii="宋体" w:hAnsi="宋体" w:cs="宋体"/>
          <w:color w:val="auto"/>
          <w:sz w:val="24"/>
        </w:rPr>
      </w:pPr>
      <w:r>
        <w:rPr>
          <w:rFonts w:hint="eastAsia" w:ascii="宋体" w:hAnsi="宋体" w:cs="宋体"/>
          <w:color w:val="auto"/>
          <w:sz w:val="24"/>
        </w:rPr>
        <w:t>14.2响应性文件应无涂改和行间插字，除非这些改动是为改正供应商造成的必须修改的错误进行的。有改动时，修改处应由供应商代表签署证明或加盖公章，但非供应商出具的材料，供应商改动无效。</w:t>
      </w:r>
    </w:p>
    <w:p w14:paraId="7D207247">
      <w:pPr>
        <w:spacing w:line="560" w:lineRule="exact"/>
        <w:ind w:firstLine="480" w:firstLineChars="200"/>
        <w:rPr>
          <w:rFonts w:ascii="宋体" w:hAnsi="宋体" w:cs="宋体"/>
          <w:color w:val="auto"/>
          <w:sz w:val="24"/>
        </w:rPr>
      </w:pPr>
      <w:r>
        <w:rPr>
          <w:rFonts w:hint="eastAsia" w:ascii="宋体" w:hAnsi="宋体" w:cs="宋体"/>
          <w:color w:val="auto"/>
          <w:sz w:val="24"/>
        </w:rPr>
        <w:t>14.3供应商提交的资料应证明其满足竞争性磋商文件要求，该文件可以是文字资料、图纸和数据等详细描述的资料。</w:t>
      </w:r>
    </w:p>
    <w:p w14:paraId="412F76DF">
      <w:pPr>
        <w:spacing w:line="560" w:lineRule="exact"/>
        <w:ind w:firstLine="480" w:firstLineChars="200"/>
        <w:rPr>
          <w:rFonts w:ascii="宋体" w:hAnsi="宋体" w:cs="宋体"/>
          <w:color w:val="auto"/>
          <w:sz w:val="24"/>
        </w:rPr>
      </w:pPr>
      <w:r>
        <w:rPr>
          <w:rFonts w:hint="eastAsia" w:ascii="宋体" w:hAnsi="宋体" w:cs="宋体"/>
          <w:color w:val="auto"/>
          <w:sz w:val="24"/>
        </w:rPr>
        <w:t>15电子投标文件制作，见周口市公共资源交易中心网站下载中心版块《投标单位-电子投标文件视频制作手册》的相关规定。</w:t>
      </w:r>
    </w:p>
    <w:p w14:paraId="3ECB6C39">
      <w:pPr>
        <w:numPr>
          <w:ilvl w:val="0"/>
          <w:numId w:val="2"/>
        </w:numPr>
        <w:spacing w:line="720" w:lineRule="auto"/>
        <w:jc w:val="center"/>
        <w:rPr>
          <w:rFonts w:ascii="宋体" w:hAnsi="宋体" w:cs="宋体"/>
          <w:b/>
          <w:color w:val="auto"/>
          <w:sz w:val="24"/>
        </w:rPr>
      </w:pPr>
      <w:r>
        <w:rPr>
          <w:rFonts w:hint="eastAsia" w:ascii="宋体" w:hAnsi="宋体" w:cs="宋体"/>
          <w:b/>
          <w:color w:val="auto"/>
          <w:sz w:val="24"/>
        </w:rPr>
        <w:t>响应性文件的递交</w:t>
      </w:r>
    </w:p>
    <w:p w14:paraId="05D226B0">
      <w:pPr>
        <w:spacing w:line="560" w:lineRule="exact"/>
        <w:ind w:firstLine="480" w:firstLineChars="200"/>
        <w:rPr>
          <w:rFonts w:hint="eastAsia" w:ascii="宋体" w:hAnsi="宋体" w:cs="宋体"/>
          <w:color w:val="auto"/>
          <w:sz w:val="24"/>
        </w:rPr>
      </w:pPr>
      <w:r>
        <w:rPr>
          <w:rFonts w:hint="eastAsia" w:ascii="宋体" w:hAnsi="宋体" w:cs="宋体"/>
          <w:color w:val="auto"/>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14:paraId="1EEAE525">
      <w:pPr>
        <w:spacing w:line="560" w:lineRule="exact"/>
        <w:ind w:firstLine="480" w:firstLineChars="200"/>
        <w:rPr>
          <w:rFonts w:hint="eastAsia" w:ascii="宋体" w:hAnsi="宋体" w:cs="宋体"/>
          <w:color w:val="auto"/>
          <w:sz w:val="24"/>
        </w:rPr>
      </w:pPr>
      <w:r>
        <w:rPr>
          <w:rFonts w:hint="eastAsia" w:ascii="宋体" w:hAnsi="宋体" w:cs="宋体"/>
          <w:color w:val="auto"/>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14:paraId="2B156F7B">
      <w:pPr>
        <w:spacing w:line="560" w:lineRule="exact"/>
        <w:ind w:firstLine="480" w:firstLineChars="200"/>
        <w:rPr>
          <w:rFonts w:hint="eastAsia" w:ascii="宋体" w:hAnsi="宋体" w:cs="宋体"/>
          <w:color w:val="auto"/>
          <w:sz w:val="24"/>
        </w:rPr>
      </w:pPr>
      <w:r>
        <w:rPr>
          <w:rFonts w:hint="eastAsia" w:ascii="宋体" w:hAnsi="宋体" w:cs="宋体"/>
          <w:color w:val="auto"/>
          <w:sz w:val="24"/>
        </w:rPr>
        <w:t>供应商须使用单位CA证书进行电子响应文件远程解密，详见周口市公共资源电子交易中心网站（网址：http://jyzx.zhoukou.gov.cn）办事指南《不见面开标远程在线解密会员端操作手册操作指南》。</w:t>
      </w:r>
    </w:p>
    <w:p w14:paraId="5CE7E091">
      <w:pPr>
        <w:spacing w:line="560" w:lineRule="exact"/>
        <w:rPr>
          <w:rFonts w:ascii="宋体" w:hAnsi="宋体" w:cs="宋体"/>
          <w:b/>
          <w:color w:val="auto"/>
          <w:sz w:val="24"/>
        </w:rPr>
      </w:pPr>
      <w:r>
        <w:rPr>
          <w:rFonts w:hint="eastAsia" w:ascii="宋体" w:hAnsi="宋体" w:cs="宋体"/>
          <w:b/>
          <w:color w:val="auto"/>
          <w:sz w:val="24"/>
        </w:rPr>
        <w:t>16.响应性文件的递交</w:t>
      </w:r>
    </w:p>
    <w:p w14:paraId="0086A15C">
      <w:pPr>
        <w:spacing w:line="560" w:lineRule="exact"/>
        <w:ind w:firstLine="480" w:firstLineChars="200"/>
        <w:rPr>
          <w:rFonts w:ascii="宋体" w:hAnsi="宋体" w:cs="宋体"/>
          <w:color w:val="auto"/>
          <w:sz w:val="24"/>
        </w:rPr>
      </w:pPr>
      <w:r>
        <w:rPr>
          <w:rFonts w:hint="eastAsia" w:ascii="宋体" w:hAnsi="宋体" w:cs="宋体"/>
          <w:color w:val="auto"/>
          <w:sz w:val="24"/>
        </w:rPr>
        <w:t>16.1供应商应在竞争性磋商邀请函中规定的截止日期和时间前，将响应性文件在会员系统成功上传，递交（接收）地点为竞争性磋商邀请函中规定的地址。</w:t>
      </w:r>
    </w:p>
    <w:p w14:paraId="79122B35">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16.2若采购人推迟了响应性文件接收截止时间，采购人和供应商受响应性文件接收截止时间制约的所有权利和义务均应以新的截止时间为准。 </w:t>
      </w:r>
    </w:p>
    <w:p w14:paraId="41547730">
      <w:pPr>
        <w:pStyle w:val="38"/>
        <w:spacing w:line="560" w:lineRule="exact"/>
        <w:ind w:firstLine="482" w:firstLineChars="200"/>
        <w:rPr>
          <w:rFonts w:ascii="宋体" w:hAnsi="宋体"/>
          <w:b/>
          <w:color w:val="auto"/>
          <w:sz w:val="24"/>
          <w:szCs w:val="24"/>
        </w:rPr>
      </w:pPr>
      <w:r>
        <w:rPr>
          <w:rFonts w:hint="eastAsia" w:ascii="宋体" w:hAnsi="宋体"/>
          <w:b/>
          <w:bCs/>
          <w:color w:val="auto"/>
          <w:sz w:val="24"/>
          <w:szCs w:val="24"/>
        </w:rPr>
        <w:t>17</w:t>
      </w:r>
      <w:r>
        <w:rPr>
          <w:rFonts w:hint="eastAsia" w:ascii="宋体" w:hAnsi="宋体"/>
          <w:b/>
          <w:color w:val="auto"/>
          <w:sz w:val="24"/>
          <w:szCs w:val="24"/>
        </w:rPr>
        <w:t>.响应性文件的修改和撤回</w:t>
      </w:r>
    </w:p>
    <w:p w14:paraId="56A4387A">
      <w:pPr>
        <w:spacing w:line="560" w:lineRule="exact"/>
        <w:ind w:firstLine="480" w:firstLineChars="200"/>
        <w:rPr>
          <w:rFonts w:hint="eastAsia" w:ascii="宋体" w:hAnsi="宋体" w:cs="宋体"/>
          <w:color w:val="auto"/>
          <w:sz w:val="24"/>
        </w:rPr>
      </w:pPr>
      <w:r>
        <w:rPr>
          <w:rFonts w:hint="eastAsia" w:ascii="宋体" w:hAnsi="宋体" w:cs="宋体"/>
          <w:color w:val="auto"/>
          <w:sz w:val="24"/>
        </w:rPr>
        <w:t>17.1供应商在提交响应性文件截止时间前，可以对已上传的响应文件进行撤回补充、修改或撤回，补充、修改之后进行再次上传，再次上传内容作为响应性文件的组成部分。</w:t>
      </w:r>
    </w:p>
    <w:p w14:paraId="28F503D7">
      <w:pPr>
        <w:pStyle w:val="38"/>
        <w:spacing w:line="560" w:lineRule="exact"/>
        <w:ind w:firstLine="480" w:firstLineChars="200"/>
        <w:rPr>
          <w:rFonts w:ascii="宋体" w:hAnsi="宋体"/>
          <w:color w:val="auto"/>
          <w:sz w:val="24"/>
          <w:szCs w:val="24"/>
        </w:rPr>
      </w:pPr>
      <w:r>
        <w:rPr>
          <w:rFonts w:hint="eastAsia" w:ascii="宋体" w:hAnsi="宋体"/>
          <w:color w:val="auto"/>
          <w:sz w:val="24"/>
          <w:szCs w:val="24"/>
        </w:rPr>
        <w:t xml:space="preserve">17.2响应性文件的补充、修改文件应按照本竞争性磋商文件有关规定进行密封、签署，修改后的加密的电子投标文件须在投标截止时间前成功上传。 </w:t>
      </w:r>
    </w:p>
    <w:p w14:paraId="0C0CE3D7">
      <w:pPr>
        <w:pStyle w:val="38"/>
        <w:spacing w:line="560" w:lineRule="exact"/>
        <w:ind w:firstLine="480" w:firstLineChars="200"/>
        <w:rPr>
          <w:rFonts w:ascii="宋体" w:hAnsi="宋体"/>
          <w:color w:val="auto"/>
          <w:sz w:val="24"/>
          <w:szCs w:val="24"/>
        </w:rPr>
      </w:pPr>
      <w:r>
        <w:rPr>
          <w:rFonts w:hint="eastAsia" w:ascii="宋体" w:hAnsi="宋体"/>
          <w:color w:val="auto"/>
          <w:sz w:val="24"/>
          <w:szCs w:val="24"/>
        </w:rPr>
        <w:t>17.3供应商在响应性文件接收截止时间后不得修改、撤回响应性文件。供应商在响应性文件接收截止时间后修改响应性文件的，将被拒绝接受。</w:t>
      </w:r>
    </w:p>
    <w:p w14:paraId="40F1D5E6">
      <w:pPr>
        <w:pStyle w:val="38"/>
        <w:spacing w:line="560" w:lineRule="exact"/>
        <w:ind w:firstLine="480" w:firstLineChars="200"/>
        <w:rPr>
          <w:rFonts w:ascii="宋体" w:hAnsi="宋体"/>
          <w:color w:val="auto"/>
          <w:sz w:val="24"/>
          <w:szCs w:val="24"/>
        </w:rPr>
      </w:pPr>
      <w:r>
        <w:rPr>
          <w:rFonts w:hint="eastAsia" w:ascii="宋体" w:hAnsi="宋体"/>
          <w:color w:val="auto"/>
          <w:sz w:val="24"/>
          <w:szCs w:val="24"/>
        </w:rPr>
        <w:t>17.4供应商有下列情形之一的，采购人将拒绝接受其响应性文件：</w:t>
      </w:r>
    </w:p>
    <w:p w14:paraId="48A34A9F">
      <w:pPr>
        <w:pStyle w:val="38"/>
        <w:spacing w:line="560" w:lineRule="exact"/>
        <w:ind w:firstLine="480" w:firstLineChars="200"/>
        <w:rPr>
          <w:rFonts w:ascii="宋体" w:hAnsi="宋体"/>
          <w:color w:val="auto"/>
          <w:sz w:val="24"/>
          <w:szCs w:val="24"/>
        </w:rPr>
      </w:pPr>
      <w:r>
        <w:rPr>
          <w:rFonts w:hint="eastAsia" w:ascii="宋体" w:hAnsi="宋体"/>
          <w:color w:val="auto"/>
          <w:sz w:val="24"/>
          <w:szCs w:val="24"/>
        </w:rPr>
        <w:t>17.4.1在竞争性磋商文件规定的响应性文件接收截止时间之后递交响应性文件的；</w:t>
      </w:r>
    </w:p>
    <w:p w14:paraId="19CB09ED">
      <w:pPr>
        <w:pStyle w:val="38"/>
        <w:spacing w:line="560" w:lineRule="exact"/>
        <w:ind w:firstLine="480" w:firstLineChars="200"/>
        <w:rPr>
          <w:rFonts w:ascii="宋体" w:hAnsi="宋体"/>
          <w:color w:val="auto"/>
          <w:sz w:val="24"/>
          <w:szCs w:val="24"/>
        </w:rPr>
      </w:pPr>
      <w:r>
        <w:rPr>
          <w:rFonts w:hint="eastAsia" w:ascii="宋体" w:hAnsi="宋体"/>
          <w:color w:val="auto"/>
          <w:sz w:val="24"/>
          <w:szCs w:val="24"/>
        </w:rPr>
        <w:t>17.4.2响应性文件未按竞争性磋商文件规定密封、签署、盖章的；</w:t>
      </w:r>
    </w:p>
    <w:p w14:paraId="56DD8FCE">
      <w:pPr>
        <w:pStyle w:val="38"/>
        <w:spacing w:line="560" w:lineRule="exact"/>
        <w:ind w:firstLine="480" w:firstLineChars="200"/>
        <w:rPr>
          <w:rFonts w:ascii="宋体" w:hAnsi="宋体"/>
          <w:b/>
          <w:color w:val="auto"/>
          <w:sz w:val="24"/>
          <w:szCs w:val="24"/>
        </w:rPr>
      </w:pPr>
      <w:r>
        <w:rPr>
          <w:rFonts w:hint="eastAsia" w:ascii="宋体" w:hAnsi="宋体"/>
          <w:color w:val="auto"/>
          <w:sz w:val="24"/>
          <w:szCs w:val="24"/>
        </w:rPr>
        <w:t>17.4.3一个供应商不止递交一套响应性文件的。</w:t>
      </w:r>
    </w:p>
    <w:p w14:paraId="48AE29E9">
      <w:pPr>
        <w:spacing w:line="720" w:lineRule="auto"/>
        <w:jc w:val="center"/>
        <w:rPr>
          <w:rFonts w:ascii="宋体" w:hAnsi="宋体" w:cs="宋体"/>
          <w:b/>
          <w:color w:val="auto"/>
          <w:sz w:val="24"/>
        </w:rPr>
      </w:pPr>
      <w:r>
        <w:rPr>
          <w:rFonts w:hint="eastAsia" w:ascii="宋体" w:hAnsi="宋体" w:cs="宋体"/>
          <w:b/>
          <w:color w:val="auto"/>
          <w:sz w:val="24"/>
        </w:rPr>
        <w:t>五、竞争性磋商</w:t>
      </w:r>
    </w:p>
    <w:p w14:paraId="495C642D">
      <w:pPr>
        <w:spacing w:line="560" w:lineRule="exact"/>
        <w:ind w:firstLine="482" w:firstLineChars="200"/>
        <w:rPr>
          <w:rFonts w:ascii="宋体" w:hAnsi="宋体" w:cs="宋体"/>
          <w:b/>
          <w:color w:val="auto"/>
          <w:sz w:val="24"/>
          <w:lang w:val="zh-CN"/>
        </w:rPr>
      </w:pPr>
      <w:r>
        <w:rPr>
          <w:rFonts w:hint="eastAsia" w:ascii="宋体" w:hAnsi="宋体" w:cs="宋体"/>
          <w:b/>
          <w:color w:val="auto"/>
          <w:sz w:val="24"/>
        </w:rPr>
        <w:t>18.组建</w:t>
      </w:r>
      <w:r>
        <w:rPr>
          <w:rFonts w:hint="eastAsia" w:ascii="宋体" w:hAnsi="宋体" w:cs="宋体"/>
          <w:b/>
          <w:color w:val="auto"/>
          <w:sz w:val="24"/>
          <w:lang w:val="zh-CN"/>
        </w:rPr>
        <w:t>竞争性磋商小组</w:t>
      </w:r>
    </w:p>
    <w:p w14:paraId="59F879A4">
      <w:pPr>
        <w:spacing w:line="560" w:lineRule="exact"/>
        <w:ind w:firstLine="480" w:firstLineChars="200"/>
        <w:rPr>
          <w:rFonts w:ascii="宋体" w:hAnsi="宋体" w:cs="宋体"/>
          <w:color w:val="auto"/>
          <w:kern w:val="0"/>
          <w:sz w:val="24"/>
        </w:rPr>
      </w:pPr>
      <w:r>
        <w:rPr>
          <w:rFonts w:hint="eastAsia" w:ascii="宋体" w:hAnsi="宋体" w:cs="宋体"/>
          <w:color w:val="auto"/>
          <w:kern w:val="0"/>
          <w:sz w:val="24"/>
        </w:rPr>
        <w:t>18.1采购人根据采购项目的特点依法组建竞争性磋商小组。</w:t>
      </w:r>
    </w:p>
    <w:p w14:paraId="16FE6C9B">
      <w:pPr>
        <w:spacing w:line="560" w:lineRule="exact"/>
        <w:ind w:firstLine="480" w:firstLineChars="200"/>
        <w:rPr>
          <w:rFonts w:ascii="宋体" w:hAnsi="宋体" w:cs="宋体"/>
          <w:color w:val="auto"/>
          <w:kern w:val="0"/>
          <w:sz w:val="24"/>
        </w:rPr>
      </w:pPr>
      <w:r>
        <w:rPr>
          <w:rFonts w:hint="eastAsia" w:ascii="宋体" w:hAnsi="宋体" w:cs="宋体"/>
          <w:color w:val="auto"/>
          <w:kern w:val="0"/>
          <w:sz w:val="24"/>
        </w:rPr>
        <w:t>18.2竞争性磋商小组</w:t>
      </w:r>
      <w:r>
        <w:rPr>
          <w:rFonts w:hint="eastAsia" w:ascii="宋体" w:hAnsi="宋体" w:cs="宋体"/>
          <w:bCs/>
          <w:color w:val="auto"/>
          <w:kern w:val="0"/>
          <w:sz w:val="24"/>
        </w:rPr>
        <w:t>确认竞争性磋商文件，并</w:t>
      </w:r>
      <w:r>
        <w:rPr>
          <w:rFonts w:hint="eastAsia" w:ascii="宋体" w:hAnsi="宋体" w:cs="宋体"/>
          <w:color w:val="auto"/>
          <w:kern w:val="0"/>
          <w:sz w:val="24"/>
        </w:rPr>
        <w:t>负责具体评审事务，根据有关法律法规和竞争性磋商文件规定的评审程序，按照评审方法及评审标准独立履行竞争性磋商小组职责。</w:t>
      </w:r>
    </w:p>
    <w:p w14:paraId="5156EA86">
      <w:pPr>
        <w:spacing w:line="560" w:lineRule="exact"/>
        <w:ind w:firstLine="482" w:firstLineChars="200"/>
        <w:rPr>
          <w:rFonts w:ascii="宋体" w:hAnsi="宋体" w:cs="宋体"/>
          <w:b/>
          <w:color w:val="auto"/>
          <w:sz w:val="24"/>
        </w:rPr>
      </w:pPr>
      <w:r>
        <w:rPr>
          <w:rFonts w:hint="eastAsia" w:ascii="宋体" w:hAnsi="宋体" w:cs="宋体"/>
          <w:b/>
          <w:color w:val="auto"/>
          <w:sz w:val="24"/>
        </w:rPr>
        <w:t>19.资格性和符合性审查</w:t>
      </w:r>
    </w:p>
    <w:p w14:paraId="758A3006">
      <w:pPr>
        <w:spacing w:line="560" w:lineRule="exact"/>
        <w:ind w:firstLine="480" w:firstLineChars="200"/>
        <w:rPr>
          <w:rFonts w:ascii="宋体" w:hAnsi="宋体" w:cs="宋体"/>
          <w:color w:val="auto"/>
          <w:sz w:val="24"/>
        </w:rPr>
      </w:pPr>
      <w:r>
        <w:rPr>
          <w:rFonts w:hint="eastAsia" w:ascii="宋体" w:hAnsi="宋体" w:cs="宋体"/>
          <w:color w:val="auto"/>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5037E90A">
      <w:pPr>
        <w:spacing w:line="560" w:lineRule="exact"/>
        <w:ind w:firstLine="480" w:firstLineChars="200"/>
        <w:rPr>
          <w:rFonts w:ascii="宋体" w:hAnsi="宋体" w:cs="宋体"/>
          <w:b/>
          <w:bCs/>
          <w:color w:val="auto"/>
          <w:sz w:val="24"/>
        </w:rPr>
      </w:pPr>
      <w:r>
        <w:rPr>
          <w:rFonts w:hint="eastAsia" w:ascii="宋体" w:hAnsi="宋体" w:cs="宋体"/>
          <w:color w:val="auto"/>
          <w:sz w:val="24"/>
        </w:rPr>
        <w:t>19.1.1资格性审查的内容包括：竞争性磋商文件规定的供应商资格条件；</w:t>
      </w:r>
    </w:p>
    <w:p w14:paraId="728B073D">
      <w:pPr>
        <w:spacing w:line="560" w:lineRule="exact"/>
        <w:ind w:firstLine="480" w:firstLineChars="200"/>
        <w:rPr>
          <w:rFonts w:ascii="宋体" w:hAnsi="宋体" w:cs="宋体"/>
          <w:color w:val="auto"/>
          <w:sz w:val="24"/>
        </w:rPr>
      </w:pPr>
      <w:r>
        <w:rPr>
          <w:rFonts w:hint="eastAsia" w:ascii="宋体" w:hAnsi="宋体" w:cs="宋体"/>
          <w:color w:val="auto"/>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37A98BB4">
      <w:pPr>
        <w:spacing w:line="560" w:lineRule="exact"/>
        <w:ind w:firstLine="480" w:firstLineChars="200"/>
        <w:rPr>
          <w:rFonts w:ascii="宋体" w:hAnsi="宋体" w:cs="宋体"/>
          <w:color w:val="auto"/>
          <w:sz w:val="24"/>
        </w:rPr>
      </w:pPr>
      <w:r>
        <w:rPr>
          <w:rFonts w:hint="eastAsia" w:ascii="宋体" w:hAnsi="宋体" w:cs="宋体"/>
          <w:color w:val="auto"/>
          <w:sz w:val="24"/>
        </w:rPr>
        <w:t>19.2.1符合性审查的内容包括：</w:t>
      </w:r>
    </w:p>
    <w:p w14:paraId="631E3923">
      <w:pPr>
        <w:spacing w:line="560" w:lineRule="exact"/>
        <w:ind w:firstLine="480" w:firstLineChars="200"/>
        <w:rPr>
          <w:rFonts w:ascii="宋体" w:hAnsi="宋体" w:cs="宋体"/>
          <w:color w:val="auto"/>
          <w:sz w:val="24"/>
        </w:rPr>
      </w:pPr>
      <w:r>
        <w:rPr>
          <w:rFonts w:hint="eastAsia" w:ascii="宋体" w:hAnsi="宋体" w:cs="宋体"/>
          <w:color w:val="auto"/>
          <w:sz w:val="24"/>
        </w:rPr>
        <w:t>（1）响应性文件的有效性(签署情况等)；</w:t>
      </w:r>
    </w:p>
    <w:p w14:paraId="78FFDC56">
      <w:pPr>
        <w:spacing w:line="560" w:lineRule="exact"/>
        <w:ind w:firstLine="480" w:firstLineChars="200"/>
        <w:rPr>
          <w:rFonts w:ascii="宋体" w:hAnsi="宋体" w:cs="宋体"/>
          <w:color w:val="auto"/>
          <w:sz w:val="24"/>
        </w:rPr>
      </w:pPr>
      <w:r>
        <w:rPr>
          <w:rFonts w:hint="eastAsia" w:ascii="宋体" w:hAnsi="宋体" w:cs="宋体"/>
          <w:color w:val="auto"/>
          <w:sz w:val="24"/>
        </w:rPr>
        <w:t>（2）响应性文件的完整性；</w:t>
      </w:r>
    </w:p>
    <w:p w14:paraId="6C860A5B">
      <w:pPr>
        <w:spacing w:line="560" w:lineRule="exact"/>
        <w:ind w:firstLine="480" w:firstLineChars="200"/>
        <w:rPr>
          <w:rFonts w:hint="eastAsia" w:ascii="宋体" w:hAnsi="宋体" w:cs="宋体"/>
          <w:color w:val="auto"/>
          <w:sz w:val="24"/>
        </w:rPr>
      </w:pPr>
      <w:r>
        <w:rPr>
          <w:rFonts w:hint="eastAsia" w:ascii="宋体" w:hAnsi="宋体" w:eastAsia="宋体" w:cs="宋体"/>
          <w:color w:val="auto"/>
          <w:sz w:val="24"/>
          <w:lang w:val="en-US" w:eastAsia="zh-CN"/>
        </w:rPr>
        <w:t>19.2.2</w:t>
      </w:r>
      <w:r>
        <w:rPr>
          <w:rFonts w:hint="eastAsia" w:ascii="宋体" w:hAnsi="宋体" w:cs="宋体"/>
          <w:color w:val="auto"/>
          <w:sz w:val="24"/>
        </w:rPr>
        <w:t>对竞争性磋商文件</w:t>
      </w:r>
      <w:r>
        <w:rPr>
          <w:rFonts w:hint="eastAsia" w:ascii="宋体" w:hAnsi="宋体" w:cs="宋体"/>
          <w:color w:val="auto"/>
          <w:sz w:val="24"/>
          <w:highlight w:val="none"/>
        </w:rPr>
        <w:t xml:space="preserve">的响应程度（是否存在重大负偏离等）。 </w:t>
      </w:r>
    </w:p>
    <w:p w14:paraId="1B867630">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（1）对项目的描述准确、思路清晰及货物主要性能（内容）的详细描述；</w:t>
      </w:r>
    </w:p>
    <w:p w14:paraId="1C785AD9">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 xml:space="preserve">（2）提供的证明文件齐全：响应人按照竞争性磋商文件要求提供的证明文件齐全有效； </w:t>
      </w:r>
    </w:p>
    <w:p w14:paraId="504208E1">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（3）保证所投货物正常、安全、连续运行期间所需的所有备品、备件及专用工具的详细清单。</w:t>
      </w:r>
    </w:p>
    <w:p w14:paraId="268CDE6C">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以上资格性审查和符合性审查的内容只要有一条不满足，则响应性文件无效，将不进入竞争性磋商程序。</w:t>
      </w:r>
    </w:p>
    <w:p w14:paraId="0EB61509">
      <w:pPr>
        <w:spacing w:line="560" w:lineRule="exact"/>
        <w:ind w:firstLine="480" w:firstLineChars="200"/>
        <w:rPr>
          <w:rFonts w:ascii="宋体" w:hAnsi="宋体" w:cs="宋体"/>
          <w:color w:val="auto"/>
          <w:sz w:val="24"/>
        </w:rPr>
      </w:pPr>
      <w:r>
        <w:rPr>
          <w:rFonts w:hint="eastAsia" w:ascii="宋体" w:hAnsi="宋体" w:cs="宋体"/>
          <w:color w:val="auto"/>
          <w:sz w:val="24"/>
        </w:rPr>
        <w:t>注意事项：资格性、符合性证明材料见竞争性磋商文件第四章规定。</w:t>
      </w:r>
    </w:p>
    <w:p w14:paraId="7C51DFFC">
      <w:pPr>
        <w:spacing w:line="560" w:lineRule="exact"/>
        <w:ind w:firstLine="480" w:firstLineChars="200"/>
        <w:rPr>
          <w:rFonts w:ascii="宋体" w:hAnsi="宋体" w:cs="宋体"/>
          <w:color w:val="auto"/>
          <w:sz w:val="24"/>
        </w:rPr>
      </w:pPr>
      <w:r>
        <w:rPr>
          <w:rFonts w:hint="eastAsia" w:ascii="宋体" w:hAnsi="宋体" w:cs="宋体"/>
          <w:color w:val="auto"/>
          <w:sz w:val="24"/>
        </w:rPr>
        <w:t>19.3实质性响应的响应性文件是指与竞争性磋商文件的全部条款、条件和规格相符，没有重大偏离；重大负偏离的认定须经竞争性磋商小组三分之二以上同意。</w:t>
      </w:r>
    </w:p>
    <w:p w14:paraId="62F13B57">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5A3ABB76">
      <w:pPr>
        <w:spacing w:line="560" w:lineRule="exact"/>
        <w:ind w:firstLine="480" w:firstLineChars="200"/>
        <w:rPr>
          <w:rFonts w:ascii="宋体" w:hAnsi="宋体" w:cs="宋体"/>
          <w:color w:val="auto"/>
          <w:sz w:val="24"/>
        </w:rPr>
      </w:pPr>
      <w:r>
        <w:rPr>
          <w:rFonts w:hint="eastAsia" w:ascii="宋体" w:hAnsi="宋体" w:cs="宋体"/>
          <w:color w:val="auto"/>
          <w:sz w:val="24"/>
        </w:rPr>
        <w:t>19.5如果响应性文件实质上没有响应竞争性磋商文件的要求，将作为无效处理，供应商不得再对响应性文件进行任何修正从而使其响应性文件成为实质上响应的文件；</w:t>
      </w:r>
    </w:p>
    <w:p w14:paraId="7EB05116">
      <w:pPr>
        <w:spacing w:line="560" w:lineRule="exact"/>
        <w:ind w:firstLine="480" w:firstLineChars="200"/>
        <w:rPr>
          <w:rFonts w:ascii="宋体" w:hAnsi="宋体" w:cs="宋体"/>
          <w:color w:val="auto"/>
          <w:sz w:val="24"/>
          <w:highlight w:val="none"/>
        </w:rPr>
      </w:pPr>
      <w:r>
        <w:rPr>
          <w:rFonts w:hint="eastAsia" w:ascii="宋体" w:hAnsi="宋体" w:cs="宋体"/>
          <w:color w:val="auto"/>
          <w:sz w:val="24"/>
        </w:rPr>
        <w:t>19.6竞争性磋商</w:t>
      </w:r>
      <w:r>
        <w:rPr>
          <w:rFonts w:hint="eastAsia" w:ascii="宋体" w:hAnsi="宋体" w:cs="宋体"/>
          <w:color w:val="auto"/>
          <w:sz w:val="24"/>
          <w:highlight w:val="none"/>
        </w:rPr>
        <w:t>小组审定响应性文件的响应性只根据响应性文件本身的内容而不寻求外部证据。</w:t>
      </w:r>
    </w:p>
    <w:p w14:paraId="1A441875">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19.7凡有下列情况之一的，其响应性文件也被视为未实质性响应竞争性磋商文件，按照无效处理（不再参加竞争性磋商）：</w:t>
      </w:r>
    </w:p>
    <w:p w14:paraId="732E0AFD">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19.7.1未按竞争性磋商文件规定要求</w:t>
      </w:r>
      <w:r>
        <w:rPr>
          <w:rFonts w:hint="eastAsia" w:ascii="宋体" w:hAnsi="宋体" w:cs="宋体"/>
          <w:color w:val="auto"/>
          <w:sz w:val="24"/>
          <w:highlight w:val="none"/>
          <w:lang w:val="zh-CN"/>
        </w:rPr>
        <w:t>签署、盖章的；</w:t>
      </w:r>
    </w:p>
    <w:p w14:paraId="3C73C3EA">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19.7.2资格证明文件不全的，或不符合竞争性磋商文件中规定的资格要求的；</w:t>
      </w:r>
    </w:p>
    <w:p w14:paraId="5EAF96FE">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19.7.3</w:t>
      </w:r>
      <w:r>
        <w:rPr>
          <w:rFonts w:hint="eastAsia" w:ascii="宋体" w:hAnsi="宋体" w:eastAsia="宋体" w:cs="宋体"/>
          <w:color w:val="auto"/>
          <w:sz w:val="24"/>
          <w:highlight w:val="none"/>
        </w:rPr>
        <w:t>供应商代表未能出具身份证两个面上经其签字确认的身份证明的</w:t>
      </w:r>
      <w:r>
        <w:rPr>
          <w:rFonts w:hint="eastAsia" w:ascii="宋体" w:hAnsi="宋体" w:cs="宋体"/>
          <w:color w:val="auto"/>
          <w:sz w:val="24"/>
          <w:highlight w:val="none"/>
        </w:rPr>
        <w:t>；</w:t>
      </w:r>
    </w:p>
    <w:p w14:paraId="3A971916">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19.7.4不符合竞争性磋商文件规定的实质性要求的；</w:t>
      </w:r>
    </w:p>
    <w:p w14:paraId="07141CF4">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19.7.5响应性文件内容不齐全或内容虚假的；</w:t>
      </w:r>
    </w:p>
    <w:p w14:paraId="4A97A6A0">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19.7.6响应性文件的实质性内容未使用中文表述；</w:t>
      </w:r>
    </w:p>
    <w:p w14:paraId="27D19DA7">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19.7.7响应性文件的内容修改处未按规定签名或盖章的；</w:t>
      </w:r>
    </w:p>
    <w:p w14:paraId="1DEC7068">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19.7.8违反法律、行政法规、竞争性磋商文件规定的其他情形的。</w:t>
      </w:r>
    </w:p>
    <w:p w14:paraId="0B738F14">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19.7.9不同供应商的电子投标（响应）文件上传计算机的网卡 MAC 地址、CPU 序列号和硬盘序列号等硬件信息相同的;</w:t>
      </w:r>
    </w:p>
    <w:p w14:paraId="3CC05693">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19.7.10不同供应商的投标（响应）文件由同一电子设备编制，打印、复印、加密或者上传的；</w:t>
      </w:r>
    </w:p>
    <w:p w14:paraId="11B91B28">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19.7.11不同供应商的投标（响应）文件由同一人送达或者分发，或者不同供应商联系人为同一人或不同联系人的联系电话一致的；</w:t>
      </w:r>
    </w:p>
    <w:p w14:paraId="2CF4C1D7">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19.7.12不同供应商的投标（响应）文件的内容存在两处以上细节错误一致；</w:t>
      </w:r>
    </w:p>
    <w:p w14:paraId="425637EA">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19.7.13不同供应商的法定代表人、委托代理人、项目经理、</w:t>
      </w:r>
      <w:r>
        <w:rPr>
          <w:rFonts w:hint="eastAsia" w:ascii="宋体" w:hAnsi="宋体" w:cs="宋体"/>
          <w:color w:val="auto"/>
          <w:sz w:val="24"/>
          <w:highlight w:val="none"/>
          <w:lang w:eastAsia="zh-CN"/>
        </w:rPr>
        <w:t>技术</w:t>
      </w:r>
      <w:r>
        <w:rPr>
          <w:rFonts w:hint="eastAsia" w:ascii="宋体" w:hAnsi="宋体" w:cs="宋体"/>
          <w:color w:val="auto"/>
          <w:sz w:val="24"/>
          <w:highlight w:val="none"/>
        </w:rPr>
        <w:t>负责人等由同一个单位缴纳社会保险或者领取报酬的；</w:t>
      </w:r>
    </w:p>
    <w:p w14:paraId="57F7697F">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19.7.14不同供应商投标（响应）文件中法定代表人或者负责人签字出自同一人之手。</w:t>
      </w:r>
    </w:p>
    <w:p w14:paraId="7D11BED9">
      <w:pPr>
        <w:spacing w:line="560" w:lineRule="auto"/>
        <w:ind w:firstLine="480"/>
        <w:rPr>
          <w:rFonts w:ascii="宋体" w:hAnsi="宋体" w:eastAsia="宋体" w:cs="宋体"/>
          <w:color w:val="auto"/>
          <w:sz w:val="24"/>
          <w:highlight w:val="none"/>
        </w:rPr>
      </w:pPr>
      <w:r>
        <w:rPr>
          <w:rFonts w:hint="eastAsia" w:ascii="宋体" w:hAnsi="宋体" w:eastAsia="宋体" w:cs="宋体"/>
          <w:color w:val="auto"/>
          <w:sz w:val="24"/>
          <w:highlight w:val="none"/>
        </w:rPr>
        <w:t>19.7.1</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未提供近</w:t>
      </w:r>
      <w:r>
        <w:rPr>
          <w:rFonts w:hint="eastAsia" w:ascii="宋体" w:hAnsi="宋体" w:eastAsia="宋体" w:cs="宋体"/>
          <w:color w:val="auto"/>
          <w:sz w:val="24"/>
          <w:highlight w:val="none"/>
          <w:lang w:val="en-US" w:eastAsia="zh-CN"/>
        </w:rPr>
        <w:t>半年内任意一个月</w:t>
      </w:r>
      <w:r>
        <w:rPr>
          <w:rFonts w:hint="eastAsia" w:ascii="宋体" w:hAnsi="宋体" w:eastAsia="宋体" w:cs="宋体"/>
          <w:color w:val="auto"/>
          <w:sz w:val="24"/>
          <w:highlight w:val="none"/>
        </w:rPr>
        <w:t>的已依法缴纳税收和社会保障资金的凭证（依法免税或不需要缴纳社会保障资金的供应商应提供相应证明文件</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新成立的单位时间从成立日期算起</w:t>
      </w:r>
      <w:r>
        <w:rPr>
          <w:rFonts w:hint="eastAsia" w:ascii="宋体" w:hAnsi="宋体" w:eastAsia="宋体" w:cs="宋体"/>
          <w:color w:val="auto"/>
          <w:sz w:val="24"/>
          <w:highlight w:val="none"/>
        </w:rPr>
        <w:t>）；</w:t>
      </w:r>
    </w:p>
    <w:p w14:paraId="20295297">
      <w:pPr>
        <w:spacing w:line="560" w:lineRule="auto"/>
        <w:ind w:firstLine="48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2"/>
          <w:highlight w:val="none"/>
          <w:lang w:val="en-US" w:eastAsia="zh-CN" w:bidi="ar-SA"/>
        </w:rPr>
        <w:t>19.7.16未提供经会计师事务所或审计机构审计的2024年度或者</w:t>
      </w:r>
      <w:r>
        <w:rPr>
          <w:rFonts w:hint="eastAsia"/>
          <w:color w:val="auto"/>
          <w:sz w:val="24"/>
          <w:szCs w:val="24"/>
          <w:highlight w:val="none"/>
          <w:u w:val="none"/>
          <w:lang w:val="en-US" w:eastAsia="zh-CN"/>
        </w:rPr>
        <w:t>2025年度财务审计报告复印件（包括资产负债表、现金流量表、利润表、所有者权益变动表、财务报表附注）或基本户银行出具的资信证明（新成立的公司，提供自成立之日起的财务报表）</w:t>
      </w:r>
      <w:r>
        <w:rPr>
          <w:rFonts w:hint="eastAsia" w:ascii="宋体" w:hAnsi="宋体" w:eastAsia="宋体" w:cs="宋体"/>
          <w:color w:val="auto"/>
          <w:sz w:val="24"/>
          <w:szCs w:val="24"/>
          <w:highlight w:val="none"/>
          <w:u w:val="none"/>
        </w:rPr>
        <w:t>；</w:t>
      </w:r>
    </w:p>
    <w:p w14:paraId="562523D3">
      <w:pPr>
        <w:pStyle w:val="19"/>
        <w:rPr>
          <w:rFonts w:hint="eastAsia" w:ascii="宋体" w:hAnsi="宋体" w:eastAsia="宋体" w:cs="宋体"/>
          <w:color w:val="auto"/>
          <w:sz w:val="24"/>
          <w:szCs w:val="22"/>
          <w:highlight w:val="none"/>
          <w:lang w:val="en-US" w:eastAsia="zh-CN" w:bidi="ar-SA"/>
        </w:rPr>
      </w:pPr>
      <w:r>
        <w:rPr>
          <w:rFonts w:hint="eastAsia" w:ascii="宋体" w:hAnsi="宋体" w:eastAsia="宋体" w:cs="宋体"/>
          <w:color w:val="auto"/>
          <w:sz w:val="24"/>
          <w:szCs w:val="22"/>
          <w:highlight w:val="none"/>
          <w:lang w:val="en-US" w:eastAsia="zh-CN" w:bidi="ar-SA"/>
        </w:rPr>
        <w:t>19.7.17 投标人无廉洁自律承诺。</w:t>
      </w:r>
    </w:p>
    <w:p w14:paraId="36BF34F4">
      <w:pPr>
        <w:spacing w:line="5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szCs w:val="22"/>
          <w:highlight w:val="none"/>
          <w:lang w:val="en-US" w:eastAsia="zh-CN" w:bidi="ar-SA"/>
        </w:rPr>
        <w:t>19.8在评审过程中，竞争性磋商小组</w:t>
      </w:r>
      <w:r>
        <w:rPr>
          <w:rFonts w:hint="eastAsia" w:ascii="宋体" w:hAnsi="宋体" w:eastAsia="宋体" w:cs="宋体"/>
          <w:color w:val="auto"/>
          <w:sz w:val="24"/>
          <w:highlight w:val="none"/>
        </w:rPr>
        <w:t>发现供应商有下列情形之一的，视为供应商相互串通，按照无效处理并依据法律、法规追究其相关责任。具体表现形式如下：</w:t>
      </w:r>
    </w:p>
    <w:p w14:paraId="2EAA63F8">
      <w:pPr>
        <w:spacing w:line="560" w:lineRule="exact"/>
        <w:ind w:firstLine="480" w:firstLineChars="200"/>
        <w:rPr>
          <w:rFonts w:hint="eastAsia" w:ascii="宋体" w:hAnsi="宋体" w:cs="宋体"/>
          <w:color w:val="auto"/>
          <w:sz w:val="24"/>
        </w:rPr>
      </w:pPr>
      <w:r>
        <w:rPr>
          <w:rFonts w:hint="eastAsia" w:ascii="宋体" w:hAnsi="宋体" w:cs="宋体"/>
          <w:color w:val="auto"/>
          <w:sz w:val="24"/>
        </w:rPr>
        <w:t>19.8.1不同供应商的响应性文件互相混装的；</w:t>
      </w:r>
    </w:p>
    <w:p w14:paraId="560004B6">
      <w:pPr>
        <w:spacing w:line="560" w:lineRule="exact"/>
        <w:ind w:firstLine="480" w:firstLineChars="200"/>
        <w:rPr>
          <w:rFonts w:hint="eastAsia" w:ascii="宋体" w:hAnsi="宋体" w:cs="宋体"/>
          <w:color w:val="auto"/>
          <w:sz w:val="24"/>
        </w:rPr>
      </w:pPr>
      <w:r>
        <w:rPr>
          <w:rFonts w:hint="eastAsia" w:ascii="宋体" w:hAnsi="宋体" w:cs="宋体"/>
          <w:color w:val="auto"/>
          <w:sz w:val="24"/>
        </w:rPr>
        <w:t>19.8.2不同供应商授权同一人作为供应商委托代理人的；</w:t>
      </w:r>
    </w:p>
    <w:p w14:paraId="38DF01D5">
      <w:pPr>
        <w:spacing w:line="560" w:lineRule="exact"/>
        <w:ind w:firstLine="480" w:firstLineChars="200"/>
        <w:rPr>
          <w:rFonts w:hint="eastAsia" w:ascii="宋体" w:hAnsi="宋体" w:cs="宋体"/>
          <w:color w:val="auto"/>
          <w:sz w:val="24"/>
        </w:rPr>
      </w:pPr>
      <w:r>
        <w:rPr>
          <w:rFonts w:hint="eastAsia" w:ascii="宋体" w:hAnsi="宋体" w:cs="宋体"/>
          <w:color w:val="auto"/>
          <w:sz w:val="24"/>
        </w:rPr>
        <w:t>19.8.3不同供应商的响应性文件载明的项目管理成员为同一人的；</w:t>
      </w:r>
    </w:p>
    <w:p w14:paraId="5F99145A">
      <w:pPr>
        <w:spacing w:line="560" w:lineRule="exact"/>
        <w:ind w:firstLine="480" w:firstLineChars="200"/>
        <w:rPr>
          <w:rFonts w:hint="eastAsia" w:ascii="宋体" w:hAnsi="宋体" w:cs="宋体"/>
          <w:color w:val="auto"/>
          <w:sz w:val="24"/>
        </w:rPr>
      </w:pPr>
      <w:r>
        <w:rPr>
          <w:rFonts w:hint="eastAsia" w:ascii="宋体" w:hAnsi="宋体" w:cs="宋体"/>
          <w:color w:val="auto"/>
          <w:sz w:val="24"/>
        </w:rPr>
        <w:t>19.8.4有证据证明供应商与采购人、采购代理机构或者其他供应商串通的其他情形；</w:t>
      </w:r>
    </w:p>
    <w:p w14:paraId="3CF24B92">
      <w:pPr>
        <w:spacing w:line="560" w:lineRule="exact"/>
        <w:ind w:firstLine="480" w:firstLineChars="200"/>
        <w:rPr>
          <w:rFonts w:ascii="宋体" w:hAnsi="宋体" w:cs="宋体"/>
          <w:color w:val="auto"/>
          <w:sz w:val="24"/>
        </w:rPr>
      </w:pPr>
      <w:r>
        <w:rPr>
          <w:rFonts w:hint="eastAsia" w:ascii="宋体" w:hAnsi="宋体" w:cs="宋体"/>
          <w:color w:val="auto"/>
          <w:sz w:val="24"/>
        </w:rPr>
        <w:t>19.8.5竞争性磋商小组认定的其他串通情形。</w:t>
      </w:r>
    </w:p>
    <w:p w14:paraId="7126FF7E">
      <w:pPr>
        <w:pStyle w:val="39"/>
        <w:rPr>
          <w:rFonts w:ascii="宋体" w:hAnsi="宋体" w:cs="宋体"/>
          <w:color w:val="auto"/>
          <w:sz w:val="24"/>
          <w:szCs w:val="24"/>
        </w:rPr>
      </w:pPr>
    </w:p>
    <w:tbl>
      <w:tblPr>
        <w:tblStyle w:val="20"/>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14:paraId="53D6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14:paraId="3BF008CB">
            <w:pPr>
              <w:pStyle w:val="40"/>
              <w:pBdr>
                <w:bottom w:val="none" w:color="auto" w:sz="0" w:space="0"/>
              </w:pBdr>
              <w:tabs>
                <w:tab w:val="clear" w:pos="4153"/>
                <w:tab w:val="clear" w:pos="8306"/>
              </w:tabs>
              <w:snapToGrid w:val="0"/>
              <w:spacing w:line="360" w:lineRule="auto"/>
              <w:ind w:right="-10"/>
              <w:textAlignment w:val="auto"/>
              <w:rPr>
                <w:rFonts w:ascii="宋体" w:hAnsi="宋体" w:cs="宋体"/>
                <w:b/>
                <w:color w:val="auto"/>
                <w:kern w:val="2"/>
                <w:szCs w:val="24"/>
              </w:rPr>
            </w:pPr>
            <w:r>
              <w:rPr>
                <w:rFonts w:hint="eastAsia" w:ascii="宋体" w:hAnsi="宋体" w:cs="宋体"/>
                <w:b/>
                <w:color w:val="auto"/>
                <w:kern w:val="2"/>
                <w:szCs w:val="24"/>
              </w:rPr>
              <w:t>项目符合性审查表</w:t>
            </w:r>
          </w:p>
        </w:tc>
      </w:tr>
      <w:tr w14:paraId="2E16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14:paraId="6E5C9F8C">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序号</w:t>
            </w:r>
          </w:p>
        </w:tc>
        <w:tc>
          <w:tcPr>
            <w:tcW w:w="2665" w:type="dxa"/>
            <w:tcBorders>
              <w:bottom w:val="single" w:color="auto" w:sz="4" w:space="0"/>
            </w:tcBorders>
            <w:vAlign w:val="center"/>
          </w:tcPr>
          <w:p w14:paraId="1391B763">
            <w:pPr>
              <w:pStyle w:val="40"/>
              <w:pBdr>
                <w:bottom w:val="none" w:color="auto" w:sz="0" w:space="0"/>
              </w:pBdr>
              <w:tabs>
                <w:tab w:val="clear" w:pos="4153"/>
                <w:tab w:val="clear" w:pos="8306"/>
              </w:tabs>
              <w:snapToGrid w:val="0"/>
              <w:spacing w:line="360" w:lineRule="auto"/>
              <w:ind w:right="-10"/>
              <w:textAlignment w:val="auto"/>
              <w:rPr>
                <w:rFonts w:ascii="宋体" w:hAnsi="宋体" w:cs="宋体"/>
                <w:color w:val="auto"/>
                <w:kern w:val="2"/>
                <w:szCs w:val="24"/>
              </w:rPr>
            </w:pPr>
            <w:r>
              <w:rPr>
                <w:rFonts w:hint="eastAsia" w:ascii="宋体" w:hAnsi="宋体" w:cs="宋体"/>
                <w:color w:val="auto"/>
                <w:kern w:val="2"/>
                <w:szCs w:val="24"/>
              </w:rPr>
              <w:t>指标名称</w:t>
            </w:r>
          </w:p>
        </w:tc>
        <w:tc>
          <w:tcPr>
            <w:tcW w:w="1937" w:type="dxa"/>
            <w:tcBorders>
              <w:bottom w:val="single" w:color="auto" w:sz="4" w:space="0"/>
            </w:tcBorders>
            <w:vAlign w:val="center"/>
          </w:tcPr>
          <w:p w14:paraId="68877E40">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指标要求</w:t>
            </w:r>
          </w:p>
        </w:tc>
        <w:tc>
          <w:tcPr>
            <w:tcW w:w="825" w:type="dxa"/>
            <w:tcBorders>
              <w:bottom w:val="single" w:color="auto" w:sz="4" w:space="0"/>
            </w:tcBorders>
            <w:vAlign w:val="center"/>
          </w:tcPr>
          <w:p w14:paraId="07D86CC8">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是否</w:t>
            </w:r>
          </w:p>
          <w:p w14:paraId="65AAA6B0">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通过</w:t>
            </w:r>
          </w:p>
        </w:tc>
        <w:tc>
          <w:tcPr>
            <w:tcW w:w="2371" w:type="dxa"/>
            <w:tcBorders>
              <w:bottom w:val="single" w:color="auto" w:sz="4" w:space="0"/>
            </w:tcBorders>
            <w:vAlign w:val="center"/>
          </w:tcPr>
          <w:p w14:paraId="08605923">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投标文件格式及</w:t>
            </w:r>
          </w:p>
          <w:p w14:paraId="2C676F2E">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提交资料要求</w:t>
            </w:r>
          </w:p>
        </w:tc>
      </w:tr>
      <w:tr w14:paraId="3BB94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67451BB0">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w:t>
            </w:r>
          </w:p>
        </w:tc>
        <w:tc>
          <w:tcPr>
            <w:tcW w:w="2665" w:type="dxa"/>
            <w:vAlign w:val="center"/>
          </w:tcPr>
          <w:p w14:paraId="3614BE40">
            <w:pPr>
              <w:spacing w:after="50" w:line="360" w:lineRule="auto"/>
              <w:ind w:right="-10"/>
              <w:jc w:val="center"/>
              <w:rPr>
                <w:rFonts w:ascii="宋体" w:hAnsi="宋体" w:cs="宋体"/>
                <w:color w:val="auto"/>
                <w:sz w:val="24"/>
              </w:rPr>
            </w:pPr>
            <w:r>
              <w:rPr>
                <w:rFonts w:hint="eastAsia" w:ascii="宋体" w:hAnsi="宋体" w:cs="宋体"/>
                <w:bCs/>
                <w:color w:val="auto"/>
                <w:sz w:val="24"/>
              </w:rPr>
              <w:t>营业执照</w:t>
            </w:r>
          </w:p>
        </w:tc>
        <w:tc>
          <w:tcPr>
            <w:tcW w:w="1937" w:type="dxa"/>
            <w:vAlign w:val="center"/>
          </w:tcPr>
          <w:p w14:paraId="7DFEB664">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4CF0B9AE">
            <w:pPr>
              <w:adjustRightInd w:val="0"/>
              <w:snapToGrid w:val="0"/>
              <w:spacing w:line="360" w:lineRule="auto"/>
              <w:ind w:right="-10"/>
              <w:rPr>
                <w:rFonts w:ascii="宋体" w:hAnsi="宋体" w:cs="宋体"/>
                <w:color w:val="auto"/>
                <w:sz w:val="24"/>
              </w:rPr>
            </w:pPr>
          </w:p>
        </w:tc>
        <w:tc>
          <w:tcPr>
            <w:tcW w:w="2371" w:type="dxa"/>
            <w:vAlign w:val="center"/>
          </w:tcPr>
          <w:p w14:paraId="6ADE6AF1">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7D0DE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3651A212">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2</w:t>
            </w:r>
          </w:p>
        </w:tc>
        <w:tc>
          <w:tcPr>
            <w:tcW w:w="2665" w:type="dxa"/>
            <w:vAlign w:val="center"/>
          </w:tcPr>
          <w:p w14:paraId="29271AD9">
            <w:pPr>
              <w:spacing w:after="50" w:line="360" w:lineRule="auto"/>
              <w:ind w:right="-10"/>
              <w:jc w:val="center"/>
              <w:rPr>
                <w:rFonts w:ascii="宋体" w:hAnsi="宋体" w:cs="宋体"/>
                <w:bCs/>
                <w:color w:val="auto"/>
                <w:sz w:val="24"/>
              </w:rPr>
            </w:pPr>
            <w:r>
              <w:rPr>
                <w:rFonts w:hint="eastAsia" w:ascii="宋体" w:hAnsi="宋体" w:cs="宋体"/>
                <w:bCs/>
                <w:color w:val="auto"/>
                <w:sz w:val="24"/>
              </w:rPr>
              <w:t>法定代表人及身份证</w:t>
            </w:r>
          </w:p>
        </w:tc>
        <w:tc>
          <w:tcPr>
            <w:tcW w:w="1937" w:type="dxa"/>
            <w:vAlign w:val="center"/>
          </w:tcPr>
          <w:p w14:paraId="13FEF101">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05218E27">
            <w:pPr>
              <w:adjustRightInd w:val="0"/>
              <w:snapToGrid w:val="0"/>
              <w:spacing w:line="360" w:lineRule="auto"/>
              <w:ind w:right="-10"/>
              <w:rPr>
                <w:rFonts w:ascii="宋体" w:hAnsi="宋体" w:cs="宋体"/>
                <w:color w:val="auto"/>
                <w:sz w:val="24"/>
              </w:rPr>
            </w:pPr>
          </w:p>
        </w:tc>
        <w:tc>
          <w:tcPr>
            <w:tcW w:w="2371" w:type="dxa"/>
            <w:vAlign w:val="center"/>
          </w:tcPr>
          <w:p w14:paraId="1B5DBDD9">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4211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0A6B4989">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3</w:t>
            </w:r>
          </w:p>
        </w:tc>
        <w:tc>
          <w:tcPr>
            <w:tcW w:w="2665" w:type="dxa"/>
            <w:vAlign w:val="center"/>
          </w:tcPr>
          <w:p w14:paraId="745B9AEC">
            <w:pPr>
              <w:spacing w:after="50" w:line="360" w:lineRule="auto"/>
              <w:ind w:right="-10"/>
              <w:jc w:val="center"/>
              <w:rPr>
                <w:rFonts w:ascii="宋体" w:hAnsi="宋体" w:cs="宋体"/>
                <w:bCs/>
                <w:color w:val="auto"/>
                <w:sz w:val="24"/>
              </w:rPr>
            </w:pPr>
            <w:r>
              <w:rPr>
                <w:rFonts w:hint="eastAsia" w:ascii="宋体" w:hAnsi="宋体" w:cs="宋体"/>
                <w:bCs/>
                <w:color w:val="auto"/>
                <w:sz w:val="24"/>
              </w:rPr>
              <w:t>纳税凭证和社保证明</w:t>
            </w:r>
          </w:p>
        </w:tc>
        <w:tc>
          <w:tcPr>
            <w:tcW w:w="1937" w:type="dxa"/>
            <w:vAlign w:val="center"/>
          </w:tcPr>
          <w:p w14:paraId="404F4AB5">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3CE5DFC4">
            <w:pPr>
              <w:adjustRightInd w:val="0"/>
              <w:snapToGrid w:val="0"/>
              <w:spacing w:line="360" w:lineRule="auto"/>
              <w:ind w:right="-10"/>
              <w:rPr>
                <w:rFonts w:ascii="宋体" w:hAnsi="宋体" w:cs="宋体"/>
                <w:color w:val="auto"/>
                <w:sz w:val="24"/>
              </w:rPr>
            </w:pPr>
          </w:p>
        </w:tc>
        <w:tc>
          <w:tcPr>
            <w:tcW w:w="2371" w:type="dxa"/>
            <w:vAlign w:val="center"/>
          </w:tcPr>
          <w:p w14:paraId="03C1D804">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6B3F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14:paraId="7E203C3E">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4</w:t>
            </w:r>
          </w:p>
        </w:tc>
        <w:tc>
          <w:tcPr>
            <w:tcW w:w="2665" w:type="dxa"/>
            <w:vAlign w:val="center"/>
          </w:tcPr>
          <w:p w14:paraId="46087CC6">
            <w:pPr>
              <w:spacing w:after="50" w:line="360" w:lineRule="auto"/>
              <w:ind w:right="-10"/>
              <w:jc w:val="center"/>
              <w:rPr>
                <w:rFonts w:ascii="宋体" w:hAnsi="宋体" w:cs="宋体"/>
                <w:color w:val="auto"/>
                <w:sz w:val="24"/>
              </w:rPr>
            </w:pPr>
            <w:r>
              <w:rPr>
                <w:rFonts w:hint="eastAsia" w:ascii="宋体" w:hAnsi="宋体" w:cs="宋体"/>
                <w:bCs/>
                <w:color w:val="auto"/>
                <w:sz w:val="24"/>
              </w:rPr>
              <w:t>财务审计报告</w:t>
            </w:r>
          </w:p>
        </w:tc>
        <w:tc>
          <w:tcPr>
            <w:tcW w:w="1937" w:type="dxa"/>
            <w:vAlign w:val="center"/>
          </w:tcPr>
          <w:p w14:paraId="32B9B8E3">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625D57EE">
            <w:pPr>
              <w:adjustRightInd w:val="0"/>
              <w:snapToGrid w:val="0"/>
              <w:spacing w:line="360" w:lineRule="auto"/>
              <w:ind w:right="-10"/>
              <w:rPr>
                <w:rFonts w:ascii="宋体" w:hAnsi="宋体" w:cs="宋体"/>
                <w:color w:val="auto"/>
                <w:sz w:val="24"/>
              </w:rPr>
            </w:pPr>
          </w:p>
        </w:tc>
        <w:tc>
          <w:tcPr>
            <w:tcW w:w="2371" w:type="dxa"/>
            <w:vAlign w:val="center"/>
          </w:tcPr>
          <w:p w14:paraId="0AFD63DB">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6041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14:paraId="36CF5534">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5</w:t>
            </w:r>
          </w:p>
        </w:tc>
        <w:tc>
          <w:tcPr>
            <w:tcW w:w="2665" w:type="dxa"/>
            <w:vAlign w:val="center"/>
          </w:tcPr>
          <w:p w14:paraId="459F0A5F">
            <w:pPr>
              <w:spacing w:after="50" w:line="360" w:lineRule="auto"/>
              <w:ind w:right="-10"/>
              <w:jc w:val="center"/>
              <w:rPr>
                <w:rFonts w:ascii="宋体" w:hAnsi="宋体" w:cs="宋体"/>
                <w:color w:val="auto"/>
                <w:sz w:val="24"/>
              </w:rPr>
            </w:pPr>
            <w:r>
              <w:rPr>
                <w:rFonts w:hint="eastAsia" w:ascii="宋体" w:hAnsi="宋体" w:cs="宋体"/>
                <w:bCs/>
                <w:color w:val="auto"/>
                <w:sz w:val="24"/>
              </w:rPr>
              <w:t>“信用中国”“中国政府采购网”查询</w:t>
            </w:r>
          </w:p>
        </w:tc>
        <w:tc>
          <w:tcPr>
            <w:tcW w:w="1937" w:type="dxa"/>
            <w:vAlign w:val="center"/>
          </w:tcPr>
          <w:p w14:paraId="5B465540">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7E358AFF">
            <w:pPr>
              <w:adjustRightInd w:val="0"/>
              <w:snapToGrid w:val="0"/>
              <w:spacing w:line="360" w:lineRule="auto"/>
              <w:ind w:right="-10"/>
              <w:rPr>
                <w:rFonts w:ascii="宋体" w:hAnsi="宋体" w:cs="宋体"/>
                <w:color w:val="auto"/>
                <w:sz w:val="24"/>
              </w:rPr>
            </w:pPr>
          </w:p>
        </w:tc>
        <w:tc>
          <w:tcPr>
            <w:tcW w:w="2371" w:type="dxa"/>
            <w:vAlign w:val="center"/>
          </w:tcPr>
          <w:p w14:paraId="420D85B5">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456B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14:paraId="274C48C0">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6</w:t>
            </w:r>
          </w:p>
        </w:tc>
        <w:tc>
          <w:tcPr>
            <w:tcW w:w="2665" w:type="dxa"/>
            <w:vAlign w:val="center"/>
          </w:tcPr>
          <w:p w14:paraId="7A1D5E96">
            <w:pPr>
              <w:spacing w:after="50" w:line="360" w:lineRule="auto"/>
              <w:ind w:right="-10"/>
              <w:jc w:val="center"/>
              <w:rPr>
                <w:rFonts w:ascii="宋体" w:hAnsi="宋体" w:cs="宋体"/>
                <w:color w:val="auto"/>
                <w:sz w:val="24"/>
              </w:rPr>
            </w:pPr>
            <w:r>
              <w:rPr>
                <w:rFonts w:hint="eastAsia" w:ascii="宋体" w:hAnsi="宋体" w:cs="宋体"/>
                <w:bCs/>
                <w:color w:val="auto"/>
                <w:sz w:val="24"/>
              </w:rPr>
              <w:t>投标文件签字盖章格式</w:t>
            </w:r>
          </w:p>
        </w:tc>
        <w:tc>
          <w:tcPr>
            <w:tcW w:w="1937" w:type="dxa"/>
            <w:vAlign w:val="center"/>
          </w:tcPr>
          <w:p w14:paraId="4FB5FDAC">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01433A0B">
            <w:pPr>
              <w:adjustRightInd w:val="0"/>
              <w:snapToGrid w:val="0"/>
              <w:spacing w:line="360" w:lineRule="auto"/>
              <w:ind w:right="-10"/>
              <w:rPr>
                <w:rFonts w:ascii="宋体" w:hAnsi="宋体" w:cs="宋体"/>
                <w:color w:val="auto"/>
                <w:sz w:val="24"/>
              </w:rPr>
            </w:pPr>
          </w:p>
        </w:tc>
        <w:tc>
          <w:tcPr>
            <w:tcW w:w="2371" w:type="dxa"/>
            <w:vAlign w:val="center"/>
          </w:tcPr>
          <w:p w14:paraId="4BB103AD">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643E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14:paraId="487E8B59">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7</w:t>
            </w:r>
          </w:p>
        </w:tc>
        <w:tc>
          <w:tcPr>
            <w:tcW w:w="2665" w:type="dxa"/>
            <w:vAlign w:val="center"/>
          </w:tcPr>
          <w:p w14:paraId="3C893EC9">
            <w:pPr>
              <w:spacing w:after="50" w:line="360" w:lineRule="auto"/>
              <w:ind w:right="-10"/>
              <w:jc w:val="center"/>
              <w:rPr>
                <w:rFonts w:ascii="宋体" w:hAnsi="宋体" w:cs="宋体"/>
                <w:color w:val="auto"/>
                <w:sz w:val="24"/>
              </w:rPr>
            </w:pPr>
            <w:r>
              <w:rPr>
                <w:rFonts w:hint="eastAsia" w:ascii="宋体" w:hAnsi="宋体" w:cs="宋体"/>
                <w:bCs/>
                <w:color w:val="auto"/>
                <w:sz w:val="24"/>
              </w:rPr>
              <w:t>合格供应商的声明函和承诺书</w:t>
            </w:r>
          </w:p>
        </w:tc>
        <w:tc>
          <w:tcPr>
            <w:tcW w:w="1937" w:type="dxa"/>
            <w:vAlign w:val="center"/>
          </w:tcPr>
          <w:p w14:paraId="4B0A649A">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60A72BEF">
            <w:pPr>
              <w:adjustRightInd w:val="0"/>
              <w:snapToGrid w:val="0"/>
              <w:spacing w:line="360" w:lineRule="auto"/>
              <w:ind w:right="-10"/>
              <w:rPr>
                <w:rFonts w:ascii="宋体" w:hAnsi="宋体" w:cs="宋体"/>
                <w:color w:val="auto"/>
                <w:sz w:val="24"/>
              </w:rPr>
            </w:pPr>
          </w:p>
        </w:tc>
        <w:tc>
          <w:tcPr>
            <w:tcW w:w="2371" w:type="dxa"/>
            <w:vAlign w:val="center"/>
          </w:tcPr>
          <w:p w14:paraId="6A4C5B51">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02345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14:paraId="7DB0165A">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8</w:t>
            </w:r>
          </w:p>
        </w:tc>
        <w:tc>
          <w:tcPr>
            <w:tcW w:w="2665" w:type="dxa"/>
            <w:vAlign w:val="center"/>
          </w:tcPr>
          <w:p w14:paraId="79F66CDC">
            <w:pPr>
              <w:spacing w:after="50" w:line="360" w:lineRule="auto"/>
              <w:ind w:right="-10"/>
              <w:jc w:val="center"/>
              <w:rPr>
                <w:rFonts w:ascii="宋体" w:hAnsi="宋体" w:cs="宋体"/>
                <w:color w:val="auto"/>
                <w:sz w:val="24"/>
              </w:rPr>
            </w:pPr>
            <w:r>
              <w:rPr>
                <w:rFonts w:hint="eastAsia" w:ascii="宋体" w:hAnsi="宋体" w:cs="宋体"/>
                <w:bCs/>
                <w:color w:val="auto"/>
                <w:sz w:val="24"/>
                <w:lang w:eastAsia="zh-CN"/>
              </w:rPr>
              <w:t>供货期限</w:t>
            </w:r>
          </w:p>
        </w:tc>
        <w:tc>
          <w:tcPr>
            <w:tcW w:w="1937" w:type="dxa"/>
            <w:vAlign w:val="center"/>
          </w:tcPr>
          <w:p w14:paraId="5B729260">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66918066">
            <w:pPr>
              <w:adjustRightInd w:val="0"/>
              <w:snapToGrid w:val="0"/>
              <w:spacing w:line="360" w:lineRule="auto"/>
              <w:ind w:right="-10"/>
              <w:rPr>
                <w:rFonts w:ascii="宋体" w:hAnsi="宋体" w:cs="宋体"/>
                <w:color w:val="auto"/>
                <w:sz w:val="24"/>
              </w:rPr>
            </w:pPr>
          </w:p>
        </w:tc>
        <w:tc>
          <w:tcPr>
            <w:tcW w:w="2371" w:type="dxa"/>
            <w:vAlign w:val="center"/>
          </w:tcPr>
          <w:p w14:paraId="1DFB625B">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119B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14:paraId="57674F17">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9</w:t>
            </w:r>
          </w:p>
        </w:tc>
        <w:tc>
          <w:tcPr>
            <w:tcW w:w="2665" w:type="dxa"/>
            <w:vAlign w:val="center"/>
          </w:tcPr>
          <w:p w14:paraId="2E25F026">
            <w:pPr>
              <w:spacing w:after="50" w:line="360" w:lineRule="auto"/>
              <w:ind w:right="-10"/>
              <w:jc w:val="center"/>
              <w:rPr>
                <w:rFonts w:hint="eastAsia" w:ascii="宋体" w:hAnsi="宋体" w:cs="宋体" w:eastAsiaTheme="minorEastAsia"/>
                <w:color w:val="auto"/>
                <w:sz w:val="24"/>
                <w:lang w:val="en-US" w:eastAsia="zh-CN"/>
              </w:rPr>
            </w:pPr>
            <w:r>
              <w:rPr>
                <w:rFonts w:hint="eastAsia" w:ascii="宋体" w:hAnsi="宋体" w:cs="宋体"/>
                <w:color w:val="auto"/>
                <w:sz w:val="24"/>
                <w:lang w:val="en-US" w:eastAsia="zh-CN"/>
              </w:rPr>
              <w:t>质保期</w:t>
            </w:r>
          </w:p>
        </w:tc>
        <w:tc>
          <w:tcPr>
            <w:tcW w:w="1937" w:type="dxa"/>
            <w:shd w:val="clear" w:color="auto" w:fill="auto"/>
            <w:vAlign w:val="center"/>
          </w:tcPr>
          <w:p w14:paraId="043FB5C4">
            <w:pPr>
              <w:spacing w:after="50" w:line="360" w:lineRule="auto"/>
              <w:ind w:right="-10" w:rightChars="0"/>
              <w:jc w:val="center"/>
              <w:rPr>
                <w:rFonts w:ascii="宋体" w:hAnsi="宋体" w:cs="宋体" w:eastAsiaTheme="minorEastAsia"/>
                <w:color w:val="auto"/>
                <w:sz w:val="24"/>
                <w:szCs w:val="22"/>
                <w:lang w:val="en-US" w:eastAsia="zh-CN" w:bidi="ar-SA"/>
              </w:rPr>
            </w:pPr>
            <w:r>
              <w:rPr>
                <w:rFonts w:hint="eastAsia" w:ascii="宋体" w:hAnsi="宋体" w:cs="宋体"/>
                <w:color w:val="auto"/>
                <w:sz w:val="24"/>
              </w:rPr>
              <w:t>见招标文件</w:t>
            </w:r>
          </w:p>
        </w:tc>
        <w:tc>
          <w:tcPr>
            <w:tcW w:w="825" w:type="dxa"/>
            <w:shd w:val="clear" w:color="auto" w:fill="auto"/>
            <w:vAlign w:val="center"/>
          </w:tcPr>
          <w:p w14:paraId="35FB354E">
            <w:pPr>
              <w:adjustRightInd w:val="0"/>
              <w:snapToGrid w:val="0"/>
              <w:spacing w:line="360" w:lineRule="auto"/>
              <w:ind w:right="-10" w:rightChars="0"/>
              <w:rPr>
                <w:rFonts w:ascii="宋体" w:hAnsi="宋体" w:cs="宋体" w:eastAsiaTheme="minorEastAsia"/>
                <w:color w:val="auto"/>
                <w:sz w:val="24"/>
                <w:szCs w:val="22"/>
                <w:lang w:val="en-US" w:eastAsia="zh-CN" w:bidi="ar-SA"/>
              </w:rPr>
            </w:pPr>
          </w:p>
        </w:tc>
        <w:tc>
          <w:tcPr>
            <w:tcW w:w="2371" w:type="dxa"/>
            <w:shd w:val="clear" w:color="auto" w:fill="auto"/>
            <w:vAlign w:val="center"/>
          </w:tcPr>
          <w:p w14:paraId="4E41271F">
            <w:pPr>
              <w:adjustRightInd w:val="0"/>
              <w:snapToGrid w:val="0"/>
              <w:spacing w:line="360" w:lineRule="auto"/>
              <w:ind w:right="-10" w:rightChars="0"/>
              <w:jc w:val="center"/>
              <w:rPr>
                <w:rFonts w:ascii="宋体" w:hAnsi="宋体" w:cs="宋体" w:eastAsiaTheme="minorEastAsia"/>
                <w:color w:val="auto"/>
                <w:sz w:val="24"/>
                <w:szCs w:val="22"/>
                <w:lang w:val="en-US" w:eastAsia="zh-CN" w:bidi="ar-SA"/>
              </w:rPr>
            </w:pPr>
            <w:r>
              <w:rPr>
                <w:rFonts w:hint="eastAsia" w:ascii="宋体" w:hAnsi="宋体" w:cs="宋体"/>
                <w:color w:val="auto"/>
                <w:sz w:val="24"/>
              </w:rPr>
              <w:t>见投标文件</w:t>
            </w:r>
          </w:p>
        </w:tc>
      </w:tr>
      <w:tr w14:paraId="6CC1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14:paraId="5F6A768B">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10</w:t>
            </w:r>
          </w:p>
        </w:tc>
        <w:tc>
          <w:tcPr>
            <w:tcW w:w="2665" w:type="dxa"/>
            <w:shd w:val="clear" w:color="auto" w:fill="auto"/>
            <w:vAlign w:val="center"/>
          </w:tcPr>
          <w:p w14:paraId="67D00057">
            <w:pPr>
              <w:spacing w:after="50" w:line="360" w:lineRule="auto"/>
              <w:ind w:right="-10" w:rightChars="0"/>
              <w:jc w:val="center"/>
              <w:rPr>
                <w:rFonts w:hint="eastAsia" w:ascii="宋体" w:hAnsi="宋体" w:cs="宋体" w:eastAsiaTheme="minorEastAsia"/>
                <w:color w:val="auto"/>
                <w:sz w:val="24"/>
                <w:szCs w:val="22"/>
                <w:lang w:val="en-US" w:eastAsia="zh-CN" w:bidi="ar-SA"/>
              </w:rPr>
            </w:pPr>
            <w:r>
              <w:rPr>
                <w:rFonts w:hint="eastAsia" w:ascii="宋体" w:hAnsi="宋体" w:cs="宋体"/>
                <w:bCs/>
                <w:color w:val="auto"/>
                <w:sz w:val="24"/>
              </w:rPr>
              <w:t>投标有效期</w:t>
            </w:r>
          </w:p>
        </w:tc>
        <w:tc>
          <w:tcPr>
            <w:tcW w:w="1937" w:type="dxa"/>
            <w:shd w:val="clear" w:color="auto" w:fill="auto"/>
            <w:vAlign w:val="center"/>
          </w:tcPr>
          <w:p w14:paraId="046F3E6B">
            <w:pPr>
              <w:spacing w:after="50" w:line="360" w:lineRule="auto"/>
              <w:ind w:right="-10" w:rightChars="0"/>
              <w:jc w:val="center"/>
              <w:rPr>
                <w:rFonts w:ascii="宋体" w:hAnsi="宋体" w:cs="宋体" w:eastAsiaTheme="minorEastAsia"/>
                <w:color w:val="auto"/>
                <w:sz w:val="24"/>
                <w:szCs w:val="22"/>
                <w:lang w:val="en-US" w:eastAsia="zh-CN" w:bidi="ar-SA"/>
              </w:rPr>
            </w:pPr>
            <w:r>
              <w:rPr>
                <w:rFonts w:hint="eastAsia" w:ascii="宋体" w:hAnsi="宋体" w:cs="宋体"/>
                <w:color w:val="auto"/>
                <w:sz w:val="24"/>
              </w:rPr>
              <w:t>见招标文件</w:t>
            </w:r>
          </w:p>
        </w:tc>
        <w:tc>
          <w:tcPr>
            <w:tcW w:w="825" w:type="dxa"/>
            <w:shd w:val="clear" w:color="auto" w:fill="auto"/>
            <w:vAlign w:val="center"/>
          </w:tcPr>
          <w:p w14:paraId="33B8630F">
            <w:pPr>
              <w:adjustRightInd w:val="0"/>
              <w:snapToGrid w:val="0"/>
              <w:spacing w:line="360" w:lineRule="auto"/>
              <w:ind w:right="-10" w:rightChars="0"/>
              <w:rPr>
                <w:rFonts w:ascii="宋体" w:hAnsi="宋体" w:cs="宋体" w:eastAsiaTheme="minorEastAsia"/>
                <w:color w:val="auto"/>
                <w:sz w:val="24"/>
                <w:szCs w:val="22"/>
                <w:lang w:val="en-US" w:eastAsia="zh-CN" w:bidi="ar-SA"/>
              </w:rPr>
            </w:pPr>
          </w:p>
        </w:tc>
        <w:tc>
          <w:tcPr>
            <w:tcW w:w="2371" w:type="dxa"/>
            <w:shd w:val="clear" w:color="auto" w:fill="auto"/>
            <w:vAlign w:val="center"/>
          </w:tcPr>
          <w:p w14:paraId="20D7B49E">
            <w:pPr>
              <w:adjustRightInd w:val="0"/>
              <w:snapToGrid w:val="0"/>
              <w:spacing w:line="360" w:lineRule="auto"/>
              <w:ind w:right="-10" w:rightChars="0"/>
              <w:jc w:val="center"/>
              <w:rPr>
                <w:rFonts w:ascii="宋体" w:hAnsi="宋体" w:cs="宋体" w:eastAsiaTheme="minorEastAsia"/>
                <w:color w:val="auto"/>
                <w:sz w:val="24"/>
                <w:szCs w:val="22"/>
                <w:lang w:val="en-US" w:eastAsia="zh-CN" w:bidi="ar-SA"/>
              </w:rPr>
            </w:pPr>
            <w:r>
              <w:rPr>
                <w:rFonts w:hint="eastAsia" w:ascii="宋体" w:hAnsi="宋体" w:cs="宋体"/>
                <w:color w:val="auto"/>
                <w:sz w:val="24"/>
              </w:rPr>
              <w:t>见投标文件</w:t>
            </w:r>
          </w:p>
        </w:tc>
      </w:tr>
      <w:tr w14:paraId="537A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14:paraId="6B69941D">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11</w:t>
            </w:r>
          </w:p>
        </w:tc>
        <w:tc>
          <w:tcPr>
            <w:tcW w:w="2665" w:type="dxa"/>
            <w:shd w:val="clear" w:color="auto" w:fill="auto"/>
            <w:vAlign w:val="center"/>
          </w:tcPr>
          <w:p w14:paraId="05F76E46">
            <w:pPr>
              <w:spacing w:after="50" w:line="360" w:lineRule="auto"/>
              <w:ind w:right="-10" w:rightChars="0"/>
              <w:jc w:val="center"/>
              <w:rPr>
                <w:rFonts w:hint="eastAsia" w:ascii="宋体" w:hAnsi="宋体" w:cs="宋体" w:eastAsiaTheme="minorEastAsia"/>
                <w:bCs/>
                <w:color w:val="auto"/>
                <w:sz w:val="24"/>
                <w:szCs w:val="22"/>
                <w:lang w:val="en-US" w:eastAsia="zh-CN" w:bidi="ar-SA"/>
              </w:rPr>
            </w:pPr>
            <w:r>
              <w:rPr>
                <w:rFonts w:hint="eastAsia" w:ascii="宋体" w:hAnsi="宋体" w:cs="宋体"/>
                <w:bCs/>
                <w:color w:val="auto"/>
                <w:sz w:val="24"/>
                <w:lang w:eastAsia="zh-CN"/>
              </w:rPr>
              <w:t>货物</w:t>
            </w:r>
            <w:r>
              <w:rPr>
                <w:rFonts w:hint="eastAsia" w:ascii="宋体" w:hAnsi="宋体" w:cs="宋体"/>
                <w:bCs/>
                <w:color w:val="auto"/>
                <w:sz w:val="24"/>
              </w:rPr>
              <w:t>技术要求</w:t>
            </w:r>
          </w:p>
        </w:tc>
        <w:tc>
          <w:tcPr>
            <w:tcW w:w="1937" w:type="dxa"/>
            <w:shd w:val="clear" w:color="auto" w:fill="auto"/>
            <w:vAlign w:val="center"/>
          </w:tcPr>
          <w:p w14:paraId="5D271C24">
            <w:pPr>
              <w:spacing w:after="50" w:line="360" w:lineRule="auto"/>
              <w:ind w:right="-10" w:rightChars="0"/>
              <w:jc w:val="center"/>
              <w:rPr>
                <w:rFonts w:ascii="宋体" w:hAnsi="宋体" w:cs="宋体" w:eastAsiaTheme="minorEastAsia"/>
                <w:color w:val="auto"/>
                <w:sz w:val="24"/>
                <w:szCs w:val="22"/>
                <w:lang w:val="en-US" w:eastAsia="zh-CN" w:bidi="ar-SA"/>
              </w:rPr>
            </w:pPr>
            <w:r>
              <w:rPr>
                <w:rFonts w:hint="eastAsia" w:ascii="宋体" w:hAnsi="宋体" w:cs="宋体"/>
                <w:color w:val="auto"/>
                <w:sz w:val="24"/>
              </w:rPr>
              <w:t>见招标文件</w:t>
            </w:r>
          </w:p>
        </w:tc>
        <w:tc>
          <w:tcPr>
            <w:tcW w:w="825" w:type="dxa"/>
            <w:shd w:val="clear" w:color="auto" w:fill="auto"/>
            <w:vAlign w:val="center"/>
          </w:tcPr>
          <w:p w14:paraId="13CBE8BF">
            <w:pPr>
              <w:adjustRightInd w:val="0"/>
              <w:snapToGrid w:val="0"/>
              <w:spacing w:line="360" w:lineRule="auto"/>
              <w:ind w:right="-10" w:rightChars="0"/>
              <w:rPr>
                <w:rFonts w:ascii="宋体" w:hAnsi="宋体" w:cs="宋体" w:eastAsiaTheme="minorEastAsia"/>
                <w:color w:val="auto"/>
                <w:sz w:val="24"/>
                <w:szCs w:val="22"/>
                <w:lang w:val="en-US" w:eastAsia="zh-CN" w:bidi="ar-SA"/>
              </w:rPr>
            </w:pPr>
          </w:p>
        </w:tc>
        <w:tc>
          <w:tcPr>
            <w:tcW w:w="2371" w:type="dxa"/>
            <w:shd w:val="clear" w:color="auto" w:fill="auto"/>
            <w:vAlign w:val="center"/>
          </w:tcPr>
          <w:p w14:paraId="7BAB189E">
            <w:pPr>
              <w:adjustRightInd w:val="0"/>
              <w:snapToGrid w:val="0"/>
              <w:spacing w:line="360" w:lineRule="auto"/>
              <w:ind w:right="-10" w:rightChars="0"/>
              <w:jc w:val="center"/>
              <w:rPr>
                <w:rFonts w:ascii="宋体" w:hAnsi="宋体" w:cs="宋体" w:eastAsiaTheme="minorEastAsia"/>
                <w:color w:val="auto"/>
                <w:sz w:val="24"/>
                <w:szCs w:val="22"/>
                <w:lang w:val="en-US" w:eastAsia="zh-CN" w:bidi="ar-SA"/>
              </w:rPr>
            </w:pPr>
            <w:r>
              <w:rPr>
                <w:rFonts w:hint="eastAsia" w:ascii="宋体" w:hAnsi="宋体" w:cs="宋体"/>
                <w:color w:val="auto"/>
                <w:sz w:val="24"/>
              </w:rPr>
              <w:t>见投标文件</w:t>
            </w:r>
          </w:p>
        </w:tc>
      </w:tr>
      <w:tr w14:paraId="1B38A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47648CF2">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12</w:t>
            </w:r>
          </w:p>
        </w:tc>
        <w:tc>
          <w:tcPr>
            <w:tcW w:w="2665" w:type="dxa"/>
            <w:shd w:val="clear" w:color="auto" w:fill="auto"/>
            <w:vAlign w:val="center"/>
          </w:tcPr>
          <w:p w14:paraId="788953C1">
            <w:pPr>
              <w:spacing w:after="50" w:line="360" w:lineRule="auto"/>
              <w:ind w:right="-10" w:rightChars="0"/>
              <w:jc w:val="center"/>
              <w:rPr>
                <w:rFonts w:hint="eastAsia" w:ascii="宋体" w:hAnsi="宋体" w:cs="宋体" w:eastAsiaTheme="minorEastAsia"/>
                <w:bCs/>
                <w:color w:val="auto"/>
                <w:sz w:val="24"/>
                <w:szCs w:val="22"/>
                <w:lang w:val="en-US" w:eastAsia="zh-CN" w:bidi="ar-SA"/>
              </w:rPr>
            </w:pPr>
            <w:r>
              <w:rPr>
                <w:rFonts w:hint="eastAsia" w:ascii="宋体" w:hAnsi="宋体" w:cs="宋体"/>
                <w:bCs/>
                <w:color w:val="auto"/>
                <w:sz w:val="24"/>
              </w:rPr>
              <w:t>其他实质性要求</w:t>
            </w:r>
          </w:p>
        </w:tc>
        <w:tc>
          <w:tcPr>
            <w:tcW w:w="1937" w:type="dxa"/>
            <w:shd w:val="clear" w:color="auto" w:fill="auto"/>
            <w:vAlign w:val="center"/>
          </w:tcPr>
          <w:p w14:paraId="202B6592">
            <w:pPr>
              <w:spacing w:after="50" w:line="360" w:lineRule="auto"/>
              <w:ind w:right="-10" w:rightChars="0"/>
              <w:jc w:val="center"/>
              <w:rPr>
                <w:rFonts w:ascii="宋体" w:hAnsi="宋体" w:cs="宋体" w:eastAsiaTheme="minorEastAsia"/>
                <w:color w:val="auto"/>
                <w:sz w:val="24"/>
                <w:szCs w:val="22"/>
                <w:lang w:val="en-US" w:eastAsia="zh-CN" w:bidi="ar-SA"/>
              </w:rPr>
            </w:pPr>
            <w:r>
              <w:rPr>
                <w:rFonts w:hint="eastAsia" w:ascii="宋体" w:hAnsi="宋体" w:cs="宋体"/>
                <w:color w:val="auto"/>
                <w:sz w:val="24"/>
              </w:rPr>
              <w:t>见招标文件</w:t>
            </w:r>
          </w:p>
        </w:tc>
        <w:tc>
          <w:tcPr>
            <w:tcW w:w="825" w:type="dxa"/>
            <w:shd w:val="clear" w:color="auto" w:fill="auto"/>
            <w:vAlign w:val="center"/>
          </w:tcPr>
          <w:p w14:paraId="4C3BD12E">
            <w:pPr>
              <w:adjustRightInd w:val="0"/>
              <w:snapToGrid w:val="0"/>
              <w:spacing w:line="360" w:lineRule="auto"/>
              <w:ind w:right="-10" w:rightChars="0"/>
              <w:rPr>
                <w:rFonts w:ascii="宋体" w:hAnsi="宋体" w:cs="宋体" w:eastAsiaTheme="minorEastAsia"/>
                <w:color w:val="auto"/>
                <w:sz w:val="24"/>
                <w:szCs w:val="22"/>
                <w:lang w:val="en-US" w:eastAsia="zh-CN" w:bidi="ar-SA"/>
              </w:rPr>
            </w:pPr>
          </w:p>
        </w:tc>
        <w:tc>
          <w:tcPr>
            <w:tcW w:w="2371" w:type="dxa"/>
            <w:shd w:val="clear" w:color="auto" w:fill="auto"/>
            <w:vAlign w:val="center"/>
          </w:tcPr>
          <w:p w14:paraId="02AD9903">
            <w:pPr>
              <w:adjustRightInd w:val="0"/>
              <w:snapToGrid w:val="0"/>
              <w:spacing w:line="360" w:lineRule="auto"/>
              <w:ind w:right="-10" w:rightChars="0"/>
              <w:jc w:val="center"/>
              <w:rPr>
                <w:rFonts w:ascii="宋体" w:hAnsi="宋体" w:cs="宋体" w:eastAsiaTheme="minorEastAsia"/>
                <w:color w:val="auto"/>
                <w:sz w:val="24"/>
                <w:szCs w:val="22"/>
                <w:lang w:val="en-US" w:eastAsia="zh-CN" w:bidi="ar-SA"/>
              </w:rPr>
            </w:pPr>
            <w:r>
              <w:rPr>
                <w:rFonts w:hint="eastAsia" w:ascii="宋体" w:hAnsi="宋体" w:cs="宋体"/>
                <w:color w:val="auto"/>
                <w:sz w:val="24"/>
              </w:rPr>
              <w:t>见投标文件</w:t>
            </w:r>
          </w:p>
        </w:tc>
      </w:tr>
      <w:tr w14:paraId="6C227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74592296">
            <w:pPr>
              <w:adjustRightInd w:val="0"/>
              <w:snapToGrid w:val="0"/>
              <w:spacing w:line="360" w:lineRule="auto"/>
              <w:ind w:right="-10"/>
              <w:jc w:val="center"/>
              <w:rPr>
                <w:rFonts w:hint="eastAsia" w:ascii="宋体" w:hAnsi="宋体" w:cs="宋体" w:eastAsiaTheme="minorEastAsia"/>
                <w:color w:val="auto"/>
                <w:sz w:val="24"/>
                <w:lang w:eastAsia="zh-CN"/>
              </w:rPr>
            </w:pPr>
            <w:r>
              <w:rPr>
                <w:rFonts w:hint="eastAsia" w:ascii="宋体" w:hAnsi="宋体" w:cs="宋体"/>
                <w:color w:val="auto"/>
                <w:sz w:val="24"/>
              </w:rPr>
              <w:t>1</w:t>
            </w:r>
            <w:r>
              <w:rPr>
                <w:rFonts w:hint="eastAsia" w:ascii="宋体" w:hAnsi="宋体" w:cs="宋体"/>
                <w:color w:val="auto"/>
                <w:sz w:val="24"/>
                <w:lang w:val="en-US" w:eastAsia="zh-CN"/>
              </w:rPr>
              <w:t>3</w:t>
            </w:r>
          </w:p>
        </w:tc>
        <w:tc>
          <w:tcPr>
            <w:tcW w:w="2665" w:type="dxa"/>
            <w:vAlign w:val="center"/>
          </w:tcPr>
          <w:p w14:paraId="6166302D">
            <w:pPr>
              <w:spacing w:after="50" w:line="360" w:lineRule="auto"/>
              <w:ind w:right="-10"/>
              <w:jc w:val="center"/>
              <w:rPr>
                <w:rFonts w:ascii="宋体" w:hAnsi="宋体" w:cs="宋体"/>
                <w:bCs/>
                <w:color w:val="auto"/>
                <w:sz w:val="24"/>
              </w:rPr>
            </w:pPr>
            <w:r>
              <w:rPr>
                <w:rFonts w:hint="eastAsia" w:ascii="宋体" w:hAnsi="宋体" w:cs="宋体"/>
                <w:bCs/>
                <w:color w:val="auto"/>
                <w:sz w:val="24"/>
              </w:rPr>
              <w:t>结论</w:t>
            </w:r>
          </w:p>
        </w:tc>
        <w:tc>
          <w:tcPr>
            <w:tcW w:w="5133" w:type="dxa"/>
            <w:gridSpan w:val="3"/>
            <w:vAlign w:val="center"/>
          </w:tcPr>
          <w:p w14:paraId="55C059D1">
            <w:pPr>
              <w:adjustRightInd w:val="0"/>
              <w:snapToGrid w:val="0"/>
              <w:spacing w:line="360" w:lineRule="auto"/>
              <w:ind w:right="-10"/>
              <w:jc w:val="center"/>
              <w:rPr>
                <w:rFonts w:ascii="宋体" w:hAnsi="宋体" w:cs="宋体"/>
                <w:color w:val="auto"/>
                <w:sz w:val="24"/>
              </w:rPr>
            </w:pPr>
            <w:r>
              <w:rPr>
                <w:rFonts w:hint="eastAsia" w:ascii="宋体" w:hAnsi="宋体" w:cs="宋体"/>
                <w:bCs/>
                <w:color w:val="auto"/>
                <w:sz w:val="24"/>
              </w:rPr>
              <w:t>是否通过审查</w:t>
            </w:r>
          </w:p>
        </w:tc>
      </w:tr>
    </w:tbl>
    <w:p w14:paraId="4E5ED90D">
      <w:pPr>
        <w:spacing w:line="560" w:lineRule="exact"/>
        <w:ind w:firstLine="482" w:firstLineChars="200"/>
        <w:rPr>
          <w:rFonts w:ascii="宋体" w:hAnsi="宋体" w:cs="宋体"/>
          <w:b/>
          <w:color w:val="auto"/>
          <w:sz w:val="24"/>
        </w:rPr>
      </w:pPr>
      <w:r>
        <w:rPr>
          <w:rFonts w:hint="eastAsia" w:ascii="宋体" w:hAnsi="宋体" w:cs="宋体"/>
          <w:b/>
          <w:color w:val="auto"/>
          <w:sz w:val="24"/>
        </w:rPr>
        <w:t>20.响应性文件的澄清</w:t>
      </w:r>
    </w:p>
    <w:p w14:paraId="4D4CE108">
      <w:pPr>
        <w:spacing w:line="560" w:lineRule="exact"/>
        <w:ind w:firstLine="480" w:firstLineChars="200"/>
        <w:rPr>
          <w:rFonts w:ascii="宋体" w:hAnsi="宋体" w:cs="宋体"/>
          <w:color w:val="auto"/>
          <w:sz w:val="24"/>
        </w:rPr>
      </w:pPr>
      <w:r>
        <w:rPr>
          <w:rFonts w:hint="eastAsia" w:ascii="宋体" w:hAnsi="宋体" w:cs="宋体"/>
          <w:color w:val="auto"/>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6286EA3D">
      <w:pPr>
        <w:spacing w:line="560" w:lineRule="exact"/>
        <w:ind w:firstLine="480" w:firstLineChars="200"/>
        <w:rPr>
          <w:rFonts w:ascii="宋体" w:hAnsi="宋体" w:cs="宋体"/>
          <w:color w:val="auto"/>
          <w:sz w:val="24"/>
        </w:rPr>
      </w:pPr>
      <w:r>
        <w:rPr>
          <w:rFonts w:hint="eastAsia" w:ascii="宋体" w:hAnsi="宋体" w:cs="宋体"/>
          <w:color w:val="auto"/>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0C39E90F">
      <w:pPr>
        <w:spacing w:line="560" w:lineRule="exact"/>
        <w:ind w:firstLine="480" w:firstLineChars="200"/>
        <w:rPr>
          <w:rFonts w:ascii="宋体" w:hAnsi="宋体" w:cs="宋体"/>
          <w:color w:val="auto"/>
          <w:sz w:val="24"/>
        </w:rPr>
      </w:pPr>
      <w:r>
        <w:rPr>
          <w:rFonts w:hint="eastAsia" w:ascii="宋体" w:hAnsi="宋体" w:cs="宋体"/>
          <w:color w:val="auto"/>
          <w:sz w:val="24"/>
        </w:rPr>
        <w:t>20.3供应商拒不进行澄清、说明、补正的，或者不能在竞争性磋商小组规定时间内作出书面澄清、说明、补正的，其响应性文件将被作为无效处理。</w:t>
      </w:r>
    </w:p>
    <w:p w14:paraId="31AAE0E5">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20.4供应商的书面澄清材料作为响应性文件的补充。 </w:t>
      </w:r>
    </w:p>
    <w:p w14:paraId="6FA80001">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20.5竞争性磋商小组不得接受供应商主动提出的澄清和解释。 </w:t>
      </w:r>
    </w:p>
    <w:p w14:paraId="7CB2B47F">
      <w:pPr>
        <w:spacing w:line="560" w:lineRule="exact"/>
        <w:ind w:firstLine="480" w:firstLineChars="200"/>
        <w:rPr>
          <w:rFonts w:ascii="宋体" w:hAnsi="宋体" w:cs="宋体"/>
          <w:color w:val="auto"/>
          <w:sz w:val="24"/>
        </w:rPr>
      </w:pPr>
      <w:r>
        <w:rPr>
          <w:rFonts w:hint="eastAsia" w:ascii="宋体" w:hAnsi="宋体" w:cs="宋体"/>
          <w:color w:val="auto"/>
          <w:sz w:val="24"/>
        </w:rPr>
        <w:t>20.6并非每个供应商都将被询问、澄清。</w:t>
      </w:r>
    </w:p>
    <w:p w14:paraId="641CB693">
      <w:pPr>
        <w:spacing w:line="560" w:lineRule="exact"/>
        <w:ind w:firstLine="482" w:firstLineChars="200"/>
        <w:rPr>
          <w:rFonts w:ascii="宋体" w:hAnsi="宋体" w:cs="宋体"/>
          <w:b/>
          <w:color w:val="auto"/>
          <w:sz w:val="24"/>
        </w:rPr>
      </w:pPr>
      <w:r>
        <w:rPr>
          <w:rFonts w:hint="eastAsia" w:ascii="宋体" w:hAnsi="宋体" w:cs="宋体"/>
          <w:b/>
          <w:color w:val="auto"/>
          <w:sz w:val="24"/>
        </w:rPr>
        <w:t>21.竞争性磋商</w:t>
      </w:r>
    </w:p>
    <w:p w14:paraId="44BB1E78">
      <w:pPr>
        <w:spacing w:line="560" w:lineRule="exact"/>
        <w:ind w:firstLine="480" w:firstLineChars="200"/>
        <w:rPr>
          <w:rFonts w:ascii="宋体" w:hAnsi="宋体" w:cs="宋体"/>
          <w:color w:val="auto"/>
          <w:sz w:val="24"/>
        </w:rPr>
      </w:pPr>
      <w:r>
        <w:rPr>
          <w:rFonts w:hint="eastAsia" w:ascii="宋体" w:hAnsi="宋体" w:cs="宋体"/>
          <w:color w:val="auto"/>
          <w:sz w:val="24"/>
        </w:rPr>
        <w:t>21.1资格性审查和符合性审查合格的供应商，将进入本次竞争性磋商程序。</w:t>
      </w:r>
    </w:p>
    <w:p w14:paraId="327820D1">
      <w:pPr>
        <w:spacing w:line="560" w:lineRule="exact"/>
        <w:ind w:firstLine="480" w:firstLineChars="200"/>
        <w:rPr>
          <w:rFonts w:ascii="宋体" w:hAnsi="宋体" w:cs="宋体"/>
          <w:color w:val="auto"/>
          <w:sz w:val="24"/>
        </w:rPr>
      </w:pPr>
      <w:r>
        <w:rPr>
          <w:rFonts w:hint="eastAsia" w:ascii="宋体" w:hAnsi="宋体" w:cs="宋体"/>
          <w:color w:val="auto"/>
          <w:sz w:val="24"/>
        </w:rPr>
        <w:t>21.2竞争性磋商将按照供应商的签到顺序进行。</w:t>
      </w:r>
    </w:p>
    <w:p w14:paraId="67F70F8D">
      <w:pPr>
        <w:spacing w:line="560" w:lineRule="exact"/>
        <w:ind w:firstLine="480" w:firstLineChars="200"/>
        <w:rPr>
          <w:rFonts w:ascii="宋体" w:hAnsi="宋体" w:cs="宋体"/>
          <w:color w:val="auto"/>
          <w:sz w:val="24"/>
        </w:rPr>
      </w:pPr>
      <w:r>
        <w:rPr>
          <w:rFonts w:hint="eastAsia" w:ascii="宋体" w:hAnsi="宋体" w:cs="宋体"/>
          <w:color w:val="auto"/>
          <w:sz w:val="24"/>
        </w:rPr>
        <w:t>21.3磋商内容包括：</w:t>
      </w:r>
    </w:p>
    <w:p w14:paraId="4E2BB3F5">
      <w:pPr>
        <w:spacing w:line="560" w:lineRule="exact"/>
        <w:ind w:firstLine="480" w:firstLineChars="200"/>
        <w:rPr>
          <w:rFonts w:ascii="宋体" w:hAnsi="宋体" w:cs="宋体"/>
          <w:color w:val="auto"/>
          <w:sz w:val="24"/>
        </w:rPr>
      </w:pPr>
      <w:r>
        <w:rPr>
          <w:rFonts w:hint="eastAsia" w:ascii="宋体" w:hAnsi="宋体" w:cs="宋体"/>
          <w:color w:val="auto"/>
          <w:sz w:val="24"/>
        </w:rPr>
        <w:t>21.3.1按照竞争性磋商文件中商务部分的内容，对照供应商提交的响应文件逐一进行比较各项指标和要求。</w:t>
      </w:r>
    </w:p>
    <w:p w14:paraId="504D25CA">
      <w:pPr>
        <w:spacing w:line="560" w:lineRule="exact"/>
        <w:ind w:firstLine="480" w:firstLineChars="200"/>
        <w:rPr>
          <w:rFonts w:ascii="宋体" w:hAnsi="宋体" w:cs="宋体"/>
          <w:color w:val="auto"/>
          <w:sz w:val="24"/>
        </w:rPr>
      </w:pPr>
      <w:r>
        <w:rPr>
          <w:rFonts w:hint="eastAsia" w:ascii="宋体" w:hAnsi="宋体" w:cs="宋体"/>
          <w:color w:val="auto"/>
          <w:sz w:val="24"/>
        </w:rPr>
        <w:t>21.3.2按照竞争性磋商文件中技术部分的内容，对照供应商提交的响应文件逐一进行比较各项指标和要求。</w:t>
      </w:r>
    </w:p>
    <w:p w14:paraId="52E6CADF">
      <w:pPr>
        <w:spacing w:line="560" w:lineRule="exact"/>
        <w:ind w:firstLine="480" w:firstLineChars="200"/>
        <w:rPr>
          <w:rFonts w:ascii="宋体" w:hAnsi="宋体" w:cs="宋体"/>
          <w:color w:val="auto"/>
          <w:sz w:val="24"/>
        </w:rPr>
      </w:pPr>
      <w:r>
        <w:rPr>
          <w:rFonts w:hint="eastAsia" w:ascii="宋体" w:hAnsi="宋体" w:cs="宋体"/>
          <w:color w:val="auto"/>
          <w:sz w:val="24"/>
        </w:rPr>
        <w:t>21.3.3按照竞争性磋商文件中合同条款部分的内容，对照供应商提交的响应文件逐一进行比较各项指标和要求。</w:t>
      </w:r>
    </w:p>
    <w:p w14:paraId="2BA6F8ED">
      <w:pPr>
        <w:spacing w:line="560" w:lineRule="exact"/>
        <w:ind w:firstLine="480" w:firstLineChars="200"/>
        <w:rPr>
          <w:rFonts w:ascii="宋体" w:hAnsi="宋体" w:cs="宋体"/>
          <w:color w:val="auto"/>
          <w:sz w:val="24"/>
        </w:rPr>
      </w:pPr>
      <w:r>
        <w:rPr>
          <w:rFonts w:hint="eastAsia" w:ascii="宋体" w:hAnsi="宋体" w:cs="宋体"/>
          <w:color w:val="auto"/>
          <w:sz w:val="24"/>
        </w:rPr>
        <w:t>21.3.4在磋商中，磋商的任何一方不得透露与磋商有关的其他供应商的技术资料及其他信息。</w:t>
      </w:r>
    </w:p>
    <w:p w14:paraId="63817C90">
      <w:pPr>
        <w:spacing w:line="560" w:lineRule="exact"/>
        <w:ind w:firstLine="480" w:firstLineChars="200"/>
        <w:rPr>
          <w:rFonts w:ascii="宋体" w:hAnsi="宋体" w:cs="宋体"/>
          <w:color w:val="auto"/>
          <w:sz w:val="24"/>
          <w:lang w:val="zh-CN"/>
        </w:rPr>
      </w:pPr>
      <w:r>
        <w:rPr>
          <w:rFonts w:hint="eastAsia" w:ascii="宋体" w:hAnsi="宋体" w:cs="宋体"/>
          <w:color w:val="auto"/>
          <w:sz w:val="24"/>
        </w:rPr>
        <w:t>21.4</w:t>
      </w:r>
      <w:r>
        <w:rPr>
          <w:rFonts w:hint="eastAsia" w:ascii="宋体" w:hAnsi="宋体" w:cs="宋体"/>
          <w:color w:val="auto"/>
          <w:sz w:val="24"/>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0C772CE7">
      <w:pPr>
        <w:spacing w:line="560" w:lineRule="exact"/>
        <w:ind w:firstLine="480" w:firstLineChars="200"/>
        <w:rPr>
          <w:rFonts w:ascii="宋体" w:hAnsi="宋体" w:cs="宋体"/>
          <w:color w:val="auto"/>
          <w:sz w:val="24"/>
          <w:lang w:val="zh-CN"/>
        </w:rPr>
      </w:pPr>
      <w:r>
        <w:rPr>
          <w:rFonts w:hint="eastAsia" w:ascii="宋体" w:hAnsi="宋体" w:cs="宋体"/>
          <w:color w:val="auto"/>
          <w:sz w:val="24"/>
        </w:rPr>
        <w:t>21.4.1</w:t>
      </w:r>
      <w:r>
        <w:rPr>
          <w:rFonts w:hint="eastAsia" w:ascii="宋体" w:hAnsi="宋体" w:cs="宋体"/>
          <w:color w:val="auto"/>
          <w:sz w:val="24"/>
          <w:lang w:val="zh-CN"/>
        </w:rPr>
        <w:t>对竞争性磋商文件作出实质性变动是竞争性磋商文件的有效组成部分，竞争性磋商小组应当及时以书面形式同时通知所有参加竞争性磋商的供应商。</w:t>
      </w:r>
    </w:p>
    <w:p w14:paraId="55CBC280">
      <w:pPr>
        <w:spacing w:line="560" w:lineRule="exact"/>
        <w:ind w:firstLine="480" w:firstLineChars="200"/>
        <w:rPr>
          <w:rFonts w:ascii="宋体" w:hAnsi="宋体" w:cs="宋体"/>
          <w:color w:val="auto"/>
          <w:sz w:val="24"/>
        </w:rPr>
      </w:pPr>
      <w:r>
        <w:rPr>
          <w:rFonts w:hint="eastAsia" w:ascii="宋体" w:hAnsi="宋体" w:cs="宋体"/>
          <w:color w:val="auto"/>
          <w:sz w:val="24"/>
        </w:rPr>
        <w:t>21.4.2</w:t>
      </w:r>
      <w:r>
        <w:rPr>
          <w:rFonts w:hint="eastAsia" w:ascii="宋体" w:hAnsi="宋体" w:cs="宋体"/>
          <w:color w:val="auto"/>
          <w:sz w:val="24"/>
          <w:lang w:val="zh-CN"/>
        </w:rPr>
        <w:t>供应商应当按照竞争性磋商文件的变动情况和竞争性磋商小组的要求重新提交响应性文件，并由其法定代表人或授权代表签字或者加盖公章。</w:t>
      </w:r>
    </w:p>
    <w:p w14:paraId="02809CE6">
      <w:pPr>
        <w:shd w:val="clear"/>
        <w:spacing w:line="56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21.5报价</w:t>
      </w:r>
    </w:p>
    <w:p w14:paraId="75435FD6">
      <w:pPr>
        <w:shd w:val="clear"/>
        <w:spacing w:line="560" w:lineRule="exact"/>
        <w:ind w:firstLine="480" w:firstLineChars="200"/>
        <w:rPr>
          <w:rFonts w:ascii="宋体" w:hAnsi="宋体" w:eastAsia="宋体" w:cs="宋体"/>
          <w:color w:val="auto"/>
          <w:sz w:val="24"/>
          <w:highlight w:val="none"/>
        </w:rPr>
      </w:pPr>
      <w:r>
        <w:rPr>
          <w:rFonts w:hint="eastAsia" w:ascii="宋体" w:hAnsi="宋体" w:eastAsia="宋体" w:cs="宋体"/>
          <w:color w:val="auto"/>
          <w:sz w:val="24"/>
          <w:highlight w:val="none"/>
        </w:rPr>
        <w:t>21.5.1一次报价，依据是供应商的投标函和开标记录表。</w:t>
      </w:r>
    </w:p>
    <w:p w14:paraId="77837845">
      <w:pPr>
        <w:pStyle w:val="41"/>
        <w:tabs>
          <w:tab w:val="left" w:pos="941"/>
        </w:tabs>
        <w:adjustRightInd w:val="0"/>
        <w:snapToGrid w:val="0"/>
        <w:spacing w:line="560" w:lineRule="exact"/>
        <w:ind w:firstLine="480"/>
        <w:rPr>
          <w:color w:val="auto"/>
          <w:sz w:val="24"/>
        </w:rPr>
      </w:pPr>
    </w:p>
    <w:p w14:paraId="507B2856">
      <w:pPr>
        <w:spacing w:line="720" w:lineRule="auto"/>
        <w:jc w:val="center"/>
        <w:rPr>
          <w:rFonts w:ascii="宋体" w:hAnsi="宋体" w:cs="宋体"/>
          <w:b/>
          <w:color w:val="auto"/>
          <w:sz w:val="24"/>
        </w:rPr>
      </w:pPr>
      <w:r>
        <w:rPr>
          <w:rFonts w:hint="eastAsia" w:ascii="宋体" w:hAnsi="宋体" w:cs="宋体"/>
          <w:b/>
          <w:color w:val="auto"/>
          <w:sz w:val="24"/>
        </w:rPr>
        <w:t>六、评定标准</w:t>
      </w:r>
    </w:p>
    <w:p w14:paraId="32A06EE1">
      <w:pPr>
        <w:spacing w:line="560" w:lineRule="exact"/>
        <w:ind w:firstLine="482" w:firstLineChars="200"/>
        <w:rPr>
          <w:rFonts w:ascii="宋体" w:hAnsi="宋体" w:cs="宋体"/>
          <w:b/>
          <w:color w:val="auto"/>
          <w:sz w:val="24"/>
        </w:rPr>
      </w:pPr>
      <w:r>
        <w:rPr>
          <w:rFonts w:hint="eastAsia" w:ascii="宋体" w:hAnsi="宋体" w:cs="宋体"/>
          <w:b/>
          <w:color w:val="auto"/>
          <w:sz w:val="24"/>
        </w:rPr>
        <w:t>22.竞争性磋商过程及保密原则</w:t>
      </w:r>
    </w:p>
    <w:p w14:paraId="4FB879DB">
      <w:pPr>
        <w:spacing w:line="460" w:lineRule="exact"/>
        <w:ind w:firstLine="480" w:firstLineChars="200"/>
        <w:rPr>
          <w:rFonts w:ascii="宋体" w:hAnsi="宋体" w:cs="宋体"/>
          <w:bCs/>
          <w:color w:val="auto"/>
          <w:sz w:val="24"/>
          <w:highlight w:val="none"/>
        </w:rPr>
      </w:pPr>
      <w:r>
        <w:rPr>
          <w:rFonts w:hint="eastAsia" w:ascii="宋体" w:hAnsi="宋体" w:cs="宋体"/>
          <w:bCs/>
          <w:color w:val="auto"/>
          <w:sz w:val="24"/>
        </w:rPr>
        <w:t>22.1磋商小组采用综合评分法对有效供应商的响应文件和报价进行评审。磋商委员会按照投标人综合得分由高到低推荐中标候选人，采购人将从评委会推荐的中标候选人中依次选取成交供</w:t>
      </w:r>
      <w:r>
        <w:rPr>
          <w:rFonts w:hint="eastAsia" w:ascii="宋体" w:hAnsi="宋体" w:cs="宋体"/>
          <w:bCs/>
          <w:color w:val="auto"/>
          <w:sz w:val="24"/>
          <w:highlight w:val="none"/>
        </w:rPr>
        <w:t>应商。</w:t>
      </w:r>
    </w:p>
    <w:p w14:paraId="2CC39CD1">
      <w:pPr>
        <w:spacing w:line="460" w:lineRule="exact"/>
        <w:ind w:firstLine="480" w:firstLineChars="200"/>
        <w:rPr>
          <w:rFonts w:hint="eastAsia" w:ascii="宋体" w:hAnsi="宋体" w:cs="宋体"/>
          <w:bCs/>
          <w:color w:val="auto"/>
          <w:sz w:val="24"/>
          <w:highlight w:val="none"/>
        </w:rPr>
      </w:pPr>
      <w:r>
        <w:rPr>
          <w:rFonts w:hint="eastAsia" w:ascii="宋体" w:hAnsi="宋体" w:cs="宋体"/>
          <w:bCs/>
          <w:color w:val="auto"/>
          <w:sz w:val="24"/>
          <w:highlight w:val="none"/>
        </w:rPr>
        <w:t>采购代理机构在评标结束后</w:t>
      </w:r>
      <w:r>
        <w:rPr>
          <w:rFonts w:hint="eastAsia" w:ascii="宋体" w:hAnsi="宋体" w:cs="宋体"/>
          <w:bCs/>
          <w:color w:val="auto"/>
          <w:sz w:val="24"/>
          <w:highlight w:val="none"/>
          <w:lang w:val="en-US" w:eastAsia="zh-CN"/>
        </w:rPr>
        <w:t>1</w:t>
      </w:r>
      <w:r>
        <w:rPr>
          <w:rFonts w:hint="eastAsia" w:ascii="宋体" w:hAnsi="宋体" w:cs="宋体"/>
          <w:bCs/>
          <w:color w:val="auto"/>
          <w:sz w:val="24"/>
          <w:highlight w:val="none"/>
        </w:rPr>
        <w:t>个工作日内将评标报告送采购人。采购人自收到评标报告之日起５个工作日内，在评标报告确定的中标候选人名单中确定中标人。</w:t>
      </w:r>
    </w:p>
    <w:p w14:paraId="45748587">
      <w:pPr>
        <w:pStyle w:val="11"/>
        <w:spacing w:after="0" w:line="560" w:lineRule="exact"/>
        <w:ind w:left="0" w:leftChars="0" w:firstLine="480" w:firstLineChars="200"/>
        <w:rPr>
          <w:rFonts w:ascii="宋体" w:hAnsi="宋体" w:cs="宋体"/>
          <w:bCs/>
          <w:color w:val="auto"/>
          <w:sz w:val="24"/>
          <w:highlight w:val="none"/>
        </w:rPr>
      </w:pPr>
      <w:r>
        <w:rPr>
          <w:rFonts w:hint="eastAsia" w:ascii="宋体" w:hAnsi="宋体" w:cs="宋体"/>
          <w:bCs/>
          <w:color w:val="auto"/>
          <w:sz w:val="24"/>
          <w:highlight w:val="none"/>
        </w:rPr>
        <w:t>22.2对通过初步审查的响应文件，采用百分制综合评分法进行评价。</w:t>
      </w:r>
    </w:p>
    <w:p w14:paraId="7C2A1FD7">
      <w:pPr>
        <w:pStyle w:val="19"/>
        <w:ind w:left="0" w:leftChars="0" w:firstLine="0" w:firstLineChars="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评标方法</w:t>
      </w:r>
    </w:p>
    <w:tbl>
      <w:tblPr>
        <w:tblStyle w:val="20"/>
        <w:tblW w:w="10022" w:type="dxa"/>
        <w:jc w:val="center"/>
        <w:tblLayout w:type="fixed"/>
        <w:tblCellMar>
          <w:top w:w="0" w:type="dxa"/>
          <w:left w:w="108" w:type="dxa"/>
          <w:bottom w:w="0" w:type="dxa"/>
          <w:right w:w="108" w:type="dxa"/>
        </w:tblCellMar>
      </w:tblPr>
      <w:tblGrid>
        <w:gridCol w:w="1334"/>
        <w:gridCol w:w="1523"/>
        <w:gridCol w:w="4599"/>
        <w:gridCol w:w="2566"/>
      </w:tblGrid>
      <w:tr w14:paraId="0AAE028E">
        <w:tblPrEx>
          <w:tblCellMar>
            <w:top w:w="0" w:type="dxa"/>
            <w:left w:w="108" w:type="dxa"/>
            <w:bottom w:w="0" w:type="dxa"/>
            <w:right w:w="108" w:type="dxa"/>
          </w:tblCellMar>
        </w:tblPrEx>
        <w:trPr>
          <w:trHeight w:val="252" w:hRule="atLeast"/>
          <w:jc w:val="center"/>
        </w:trPr>
        <w:tc>
          <w:tcPr>
            <w:tcW w:w="1334" w:type="dxa"/>
            <w:tcBorders>
              <w:top w:val="single" w:color="auto" w:sz="4" w:space="0"/>
              <w:left w:val="single" w:color="auto" w:sz="4" w:space="0"/>
              <w:bottom w:val="single" w:color="auto" w:sz="4" w:space="0"/>
              <w:right w:val="single" w:color="auto" w:sz="4" w:space="0"/>
            </w:tcBorders>
            <w:vAlign w:val="center"/>
          </w:tcPr>
          <w:p w14:paraId="730D4776">
            <w:pPr>
              <w:widowControl/>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评分指标</w:t>
            </w:r>
          </w:p>
        </w:tc>
        <w:tc>
          <w:tcPr>
            <w:tcW w:w="1523" w:type="dxa"/>
            <w:tcBorders>
              <w:top w:val="single" w:color="auto" w:sz="4" w:space="0"/>
              <w:left w:val="single" w:color="auto" w:sz="4" w:space="0"/>
              <w:bottom w:val="single" w:color="auto" w:sz="4" w:space="0"/>
              <w:right w:val="single" w:color="auto" w:sz="4" w:space="0"/>
            </w:tcBorders>
            <w:vAlign w:val="center"/>
          </w:tcPr>
          <w:p w14:paraId="590426CD">
            <w:pPr>
              <w:widowControl/>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分值</w:t>
            </w:r>
          </w:p>
        </w:tc>
        <w:tc>
          <w:tcPr>
            <w:tcW w:w="4599" w:type="dxa"/>
            <w:tcBorders>
              <w:top w:val="single" w:color="auto" w:sz="4" w:space="0"/>
              <w:left w:val="single" w:color="auto" w:sz="4" w:space="0"/>
              <w:bottom w:val="single" w:color="auto" w:sz="4" w:space="0"/>
              <w:right w:val="single" w:color="auto" w:sz="4" w:space="0"/>
            </w:tcBorders>
            <w:vAlign w:val="center"/>
          </w:tcPr>
          <w:p w14:paraId="71C39537">
            <w:pPr>
              <w:widowControl/>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指标说明及评分标准</w:t>
            </w:r>
          </w:p>
        </w:tc>
        <w:tc>
          <w:tcPr>
            <w:tcW w:w="2566" w:type="dxa"/>
            <w:tcBorders>
              <w:top w:val="single" w:color="auto" w:sz="4" w:space="0"/>
              <w:left w:val="single" w:color="auto" w:sz="4" w:space="0"/>
              <w:bottom w:val="single" w:color="auto" w:sz="4" w:space="0"/>
              <w:right w:val="single" w:color="auto" w:sz="4" w:space="0"/>
            </w:tcBorders>
            <w:vAlign w:val="center"/>
          </w:tcPr>
          <w:p w14:paraId="06F294CB">
            <w:pPr>
              <w:widowControl/>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评分依据</w:t>
            </w:r>
          </w:p>
        </w:tc>
      </w:tr>
      <w:tr w14:paraId="00B73835">
        <w:tblPrEx>
          <w:tblCellMar>
            <w:top w:w="0" w:type="dxa"/>
            <w:left w:w="108" w:type="dxa"/>
            <w:bottom w:w="0" w:type="dxa"/>
            <w:right w:w="108" w:type="dxa"/>
          </w:tblCellMar>
        </w:tblPrEx>
        <w:trPr>
          <w:trHeight w:val="700" w:hRule="atLeast"/>
          <w:jc w:val="center"/>
        </w:trPr>
        <w:tc>
          <w:tcPr>
            <w:tcW w:w="1334" w:type="dxa"/>
            <w:tcBorders>
              <w:top w:val="single" w:color="auto" w:sz="4" w:space="0"/>
              <w:left w:val="single" w:color="auto" w:sz="4" w:space="0"/>
              <w:bottom w:val="single" w:color="auto" w:sz="4" w:space="0"/>
              <w:right w:val="single" w:color="auto" w:sz="4" w:space="0"/>
            </w:tcBorders>
            <w:vAlign w:val="center"/>
          </w:tcPr>
          <w:p w14:paraId="3835EDE3">
            <w:pPr>
              <w:adjustRightInd w:val="0"/>
              <w:snapToGrid w:val="0"/>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color w:val="auto"/>
                <w:sz w:val="22"/>
                <w:szCs w:val="22"/>
                <w:highlight w:val="none"/>
              </w:rPr>
              <w:t>报价</w:t>
            </w:r>
            <w:r>
              <w:rPr>
                <w:rFonts w:hint="eastAsia" w:ascii="宋体" w:hAnsi="宋体" w:eastAsia="宋体" w:cs="宋体"/>
                <w:b/>
                <w:color w:val="auto"/>
                <w:sz w:val="22"/>
                <w:szCs w:val="22"/>
                <w:highlight w:val="none"/>
                <w:lang w:eastAsia="zh-CN"/>
              </w:rPr>
              <w:t>部分</w:t>
            </w:r>
            <w:r>
              <w:rPr>
                <w:rFonts w:hint="eastAsia" w:ascii="宋体" w:hAnsi="宋体" w:eastAsia="宋体" w:cs="宋体"/>
                <w:b/>
                <w:color w:val="auto"/>
                <w:sz w:val="22"/>
                <w:szCs w:val="22"/>
                <w:highlight w:val="none"/>
              </w:rPr>
              <w:t xml:space="preserve">  （30分）</w:t>
            </w:r>
          </w:p>
        </w:tc>
        <w:tc>
          <w:tcPr>
            <w:tcW w:w="1523" w:type="dxa"/>
            <w:tcBorders>
              <w:top w:val="single" w:color="auto" w:sz="4" w:space="0"/>
              <w:left w:val="single" w:color="auto" w:sz="4" w:space="0"/>
              <w:bottom w:val="single" w:color="auto" w:sz="4" w:space="0"/>
              <w:right w:val="single" w:color="auto" w:sz="4" w:space="0"/>
            </w:tcBorders>
            <w:vAlign w:val="center"/>
          </w:tcPr>
          <w:p w14:paraId="6C364390">
            <w:pPr>
              <w:adjustRightInd w:val="0"/>
              <w:snapToGrid w:val="0"/>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lang w:eastAsia="zh-CN"/>
              </w:rPr>
              <w:t>投标</w:t>
            </w:r>
            <w:r>
              <w:rPr>
                <w:rFonts w:hint="eastAsia" w:ascii="宋体" w:hAnsi="宋体" w:eastAsia="宋体" w:cs="宋体"/>
                <w:b/>
                <w:color w:val="auto"/>
                <w:sz w:val="22"/>
                <w:szCs w:val="22"/>
                <w:highlight w:val="none"/>
              </w:rPr>
              <w:t>报价</w:t>
            </w:r>
          </w:p>
          <w:p w14:paraId="4C0E873C">
            <w:pPr>
              <w:adjustRightInd w:val="0"/>
              <w:snapToGrid w:val="0"/>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（30分）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692BCA55">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满足磋商文件要求且最后报价最低的供应商的价格为磋商基准价，其价格分为满分。其他供应商的价格分统一按照下列公式计算：</w:t>
            </w:r>
          </w:p>
          <w:p w14:paraId="29A147D6">
            <w:pPr>
              <w:adjustRightInd w:val="0"/>
              <w:snapToGrid w:val="0"/>
              <w:spacing w:line="360" w:lineRule="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磋商报价得分=（磋商基准价/最后磋商报价）×价格权值×100</w:t>
            </w:r>
          </w:p>
          <w:p w14:paraId="342CFADD">
            <w:pPr>
              <w:adjustRightInd w:val="0"/>
              <w:snapToGrid w:val="0"/>
              <w:spacing w:line="36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备注：价格分计算保留小数点后二位。</w:t>
            </w:r>
          </w:p>
          <w:p w14:paraId="77A3977C">
            <w:pPr>
              <w:adjustRightInd w:val="0"/>
              <w:snapToGrid w:val="0"/>
              <w:spacing w:line="360" w:lineRule="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注：</w:t>
            </w:r>
          </w:p>
          <w:p w14:paraId="21716739">
            <w:pPr>
              <w:pStyle w:val="18"/>
              <w:snapToGrid w:val="0"/>
              <w:spacing w:after="0" w:line="360" w:lineRule="auto"/>
              <w:ind w:right="-21" w:firstLine="218" w:firstLineChars="91"/>
              <w:rPr>
                <w:rFonts w:hint="eastAsia" w:ascii="宋体" w:hAnsi="宋体" w:cs="宋体"/>
                <w:bCs/>
                <w:color w:val="auto"/>
                <w:sz w:val="24"/>
              </w:rPr>
            </w:pPr>
            <w:r>
              <w:rPr>
                <w:rFonts w:hint="eastAsia" w:ascii="宋体" w:hAnsi="宋体" w:cs="宋体"/>
                <w:bCs/>
                <w:color w:val="auto"/>
                <w:sz w:val="24"/>
              </w:rPr>
              <w:t>根据财政部、工信部关于印发《政府采购促进中小企业发展管理办法》的通知（财库〔2022〕19号 ）文件规定：</w:t>
            </w:r>
          </w:p>
          <w:p w14:paraId="1A38E51A">
            <w:pPr>
              <w:pStyle w:val="18"/>
              <w:snapToGrid w:val="0"/>
              <w:spacing w:after="0" w:line="360" w:lineRule="auto"/>
              <w:ind w:right="-21" w:firstLine="218" w:firstLineChars="91"/>
              <w:rPr>
                <w:rFonts w:hint="eastAsia" w:ascii="宋体" w:hAnsi="宋体" w:cs="宋体"/>
                <w:bCs/>
                <w:color w:val="auto"/>
                <w:sz w:val="24"/>
              </w:rPr>
            </w:pPr>
            <w:r>
              <w:rPr>
                <w:rFonts w:hint="eastAsia" w:ascii="宋体" w:hAnsi="宋体" w:cs="宋体"/>
                <w:bCs/>
                <w:color w:val="auto"/>
                <w:sz w:val="24"/>
              </w:rPr>
              <w:t>（1）对小微企业报价给予20%扣除，请按照《政府采购促进中小企业发展管理办法》要求提供中小企业声明函。</w:t>
            </w:r>
          </w:p>
          <w:p w14:paraId="3AD94C02">
            <w:pPr>
              <w:pStyle w:val="18"/>
              <w:snapToGrid w:val="0"/>
              <w:spacing w:after="0" w:line="360" w:lineRule="auto"/>
              <w:ind w:right="-21" w:firstLine="218" w:firstLineChars="91"/>
              <w:rPr>
                <w:rFonts w:hint="eastAsia" w:ascii="宋体" w:hAnsi="宋体" w:cs="宋体"/>
                <w:bCs/>
                <w:color w:val="auto"/>
                <w:sz w:val="24"/>
              </w:rPr>
            </w:pPr>
            <w:r>
              <w:rPr>
                <w:rFonts w:hint="eastAsia" w:ascii="宋体" w:hAnsi="宋体" w:cs="宋体"/>
                <w:bCs/>
                <w:color w:val="auto"/>
                <w:sz w:val="24"/>
              </w:rPr>
              <w:t>（2）关于监狱企业：视同小微企业。须提供由省级以上监狱管理局、戒毒管理局（含新疆生产建设兵团）出具的属于监狱企业的证明文件，否则不考虑价格扣除。</w:t>
            </w:r>
          </w:p>
          <w:p w14:paraId="032979AC">
            <w:pPr>
              <w:pStyle w:val="18"/>
              <w:snapToGrid w:val="0"/>
              <w:spacing w:after="0" w:line="360" w:lineRule="auto"/>
              <w:ind w:right="-21" w:firstLine="218" w:firstLineChars="91"/>
              <w:rPr>
                <w:rFonts w:hint="eastAsia" w:ascii="宋体" w:hAnsi="宋体" w:cs="宋体"/>
                <w:bCs/>
                <w:color w:val="auto"/>
                <w:sz w:val="24"/>
              </w:rPr>
            </w:pPr>
            <w:r>
              <w:rPr>
                <w:rFonts w:hint="eastAsia" w:ascii="宋体" w:hAnsi="宋体" w:cs="宋体"/>
                <w:bCs/>
                <w:color w:val="auto"/>
                <w:sz w:val="24"/>
              </w:rPr>
              <w:t>（3）关于残疾人福利性单位：视同小微企业。须提供完整的“残疾人福利性单位声明函”，否则在价格评审时不予考虑价格扣除。残疾人福利性单位属于小型、微型企业的，不重复享受政策。</w:t>
            </w:r>
          </w:p>
          <w:p w14:paraId="4FF16302">
            <w:pPr>
              <w:adjustRightInd w:val="0"/>
              <w:snapToGrid w:val="0"/>
              <w:spacing w:line="360" w:lineRule="auto"/>
              <w:ind w:firstLine="480" w:firstLineChars="200"/>
              <w:jc w:val="left"/>
              <w:rPr>
                <w:rFonts w:hint="eastAsia" w:ascii="宋体" w:hAnsi="宋体" w:eastAsia="宋体" w:cs="宋体"/>
                <w:color w:val="auto"/>
                <w:sz w:val="22"/>
                <w:szCs w:val="22"/>
                <w:highlight w:val="none"/>
              </w:rPr>
            </w:pPr>
            <w:r>
              <w:rPr>
                <w:rFonts w:hint="eastAsia" w:ascii="宋体" w:hAnsi="宋体" w:cs="宋体"/>
                <w:bCs/>
                <w:color w:val="auto"/>
                <w:sz w:val="24"/>
              </w:rPr>
              <w:t>（4）没有提供有效证明材料的供应商将被视为不接受投标总价的扣除，用原投标总价参与评审。</w:t>
            </w:r>
          </w:p>
        </w:tc>
      </w:tr>
      <w:tr w14:paraId="49A0C0ED">
        <w:tblPrEx>
          <w:tblCellMar>
            <w:top w:w="0" w:type="dxa"/>
            <w:left w:w="108" w:type="dxa"/>
            <w:bottom w:w="0" w:type="dxa"/>
            <w:right w:w="108" w:type="dxa"/>
          </w:tblCellMar>
        </w:tblPrEx>
        <w:trPr>
          <w:trHeight w:val="547" w:hRule="atLeast"/>
          <w:jc w:val="center"/>
        </w:trPr>
        <w:tc>
          <w:tcPr>
            <w:tcW w:w="1334" w:type="dxa"/>
            <w:vMerge w:val="restart"/>
            <w:tcBorders>
              <w:top w:val="single" w:color="auto" w:sz="4" w:space="0"/>
              <w:left w:val="single" w:color="auto" w:sz="4" w:space="0"/>
              <w:bottom w:val="single" w:color="auto" w:sz="4" w:space="0"/>
              <w:right w:val="single" w:color="auto" w:sz="4" w:space="0"/>
            </w:tcBorders>
            <w:vAlign w:val="center"/>
          </w:tcPr>
          <w:p w14:paraId="5A842479">
            <w:pPr>
              <w:widowControl/>
              <w:spacing w:line="360" w:lineRule="auto"/>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商务部分</w:t>
            </w:r>
          </w:p>
          <w:p w14:paraId="5A86D90D">
            <w:pPr>
              <w:widowControl/>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 xml:space="preserve"> 20</w:t>
            </w:r>
            <w:r>
              <w:rPr>
                <w:rFonts w:hint="eastAsia" w:ascii="宋体" w:hAnsi="宋体" w:eastAsia="宋体" w:cs="宋体"/>
                <w:b/>
                <w:bCs/>
                <w:color w:val="auto"/>
                <w:sz w:val="22"/>
                <w:szCs w:val="22"/>
                <w:highlight w:val="none"/>
              </w:rPr>
              <w:t>分)</w:t>
            </w:r>
          </w:p>
          <w:p w14:paraId="39B5A14D">
            <w:pPr>
              <w:spacing w:line="360" w:lineRule="auto"/>
              <w:jc w:val="center"/>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72E04036">
            <w:pPr>
              <w:pStyle w:val="39"/>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业绩证明</w:t>
            </w:r>
          </w:p>
          <w:p w14:paraId="12D95100">
            <w:pPr>
              <w:pStyle w:val="39"/>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cs="宋体"/>
                <w:color w:val="auto"/>
                <w:sz w:val="22"/>
                <w:szCs w:val="22"/>
                <w:highlight w:val="none"/>
                <w:lang w:val="en-US" w:eastAsia="zh-CN"/>
              </w:rPr>
              <w:t>4</w:t>
            </w:r>
            <w:r>
              <w:rPr>
                <w:rFonts w:hint="eastAsia" w:ascii="宋体" w:hAnsi="宋体" w:eastAsia="宋体" w:cs="宋体"/>
                <w:color w:val="auto"/>
                <w:sz w:val="22"/>
                <w:szCs w:val="22"/>
                <w:highlight w:val="none"/>
                <w:lang w:val="en-US" w:eastAsia="zh-CN"/>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65ABAF45">
            <w:pPr>
              <w:pStyle w:val="18"/>
              <w:snapToGrid w:val="0"/>
              <w:spacing w:after="0" w:line="360" w:lineRule="auto"/>
              <w:ind w:right="-21" w:firstLine="200" w:firstLineChars="91"/>
              <w:rPr>
                <w:rFonts w:hint="eastAsia" w:ascii="宋体" w:hAnsi="宋体" w:cs="宋体"/>
                <w:bCs/>
                <w:color w:val="auto"/>
                <w:sz w:val="24"/>
                <w:lang w:val="en-US" w:eastAsia="zh-CN"/>
              </w:rPr>
            </w:pPr>
            <w:r>
              <w:rPr>
                <w:rFonts w:hint="eastAsia" w:ascii="宋体" w:hAnsi="宋体" w:eastAsia="宋体" w:cs="宋体"/>
                <w:color w:val="auto"/>
                <w:sz w:val="22"/>
                <w:szCs w:val="22"/>
                <w:highlight w:val="none"/>
                <w:lang w:val="en-US" w:eastAsia="zh-CN"/>
              </w:rPr>
              <w:t>1、供应商</w:t>
            </w:r>
            <w:r>
              <w:rPr>
                <w:rFonts w:hint="eastAsia" w:ascii="宋体" w:hAnsi="宋体" w:cs="宋体"/>
                <w:color w:val="auto"/>
                <w:sz w:val="22"/>
                <w:szCs w:val="22"/>
                <w:highlight w:val="none"/>
                <w:lang w:val="en-US" w:eastAsia="zh-CN"/>
              </w:rPr>
              <w:t>提供自</w:t>
            </w:r>
            <w:r>
              <w:rPr>
                <w:rFonts w:hint="eastAsia" w:ascii="宋体" w:hAnsi="宋体" w:eastAsia="宋体" w:cs="宋体"/>
                <w:color w:val="auto"/>
                <w:sz w:val="22"/>
                <w:szCs w:val="22"/>
                <w:highlight w:val="none"/>
                <w:lang w:val="en-US" w:eastAsia="zh-CN"/>
              </w:rPr>
              <w:t>202</w:t>
            </w:r>
            <w:r>
              <w:rPr>
                <w:rFonts w:hint="eastAsia" w:ascii="宋体" w:hAnsi="宋体" w:cs="宋体"/>
                <w:color w:val="auto"/>
                <w:sz w:val="22"/>
                <w:szCs w:val="22"/>
                <w:highlight w:val="none"/>
                <w:lang w:val="en-US" w:eastAsia="zh-CN"/>
              </w:rPr>
              <w:t>3</w:t>
            </w:r>
            <w:r>
              <w:rPr>
                <w:rFonts w:hint="eastAsia" w:ascii="宋体" w:hAnsi="宋体" w:eastAsia="宋体" w:cs="宋体"/>
                <w:color w:val="auto"/>
                <w:sz w:val="22"/>
                <w:szCs w:val="22"/>
                <w:highlight w:val="none"/>
                <w:lang w:val="en-US" w:eastAsia="zh-CN"/>
              </w:rPr>
              <w:t>年</w:t>
            </w:r>
            <w:r>
              <w:rPr>
                <w:rFonts w:hint="eastAsia" w:ascii="宋体" w:hAnsi="宋体" w:cs="宋体"/>
                <w:color w:val="auto"/>
                <w:sz w:val="22"/>
                <w:szCs w:val="22"/>
                <w:highlight w:val="none"/>
                <w:lang w:val="en-US" w:eastAsia="zh-CN"/>
              </w:rPr>
              <w:t>1</w:t>
            </w:r>
            <w:r>
              <w:rPr>
                <w:rFonts w:hint="eastAsia" w:ascii="宋体" w:hAnsi="宋体" w:eastAsia="宋体" w:cs="宋体"/>
                <w:color w:val="auto"/>
                <w:sz w:val="22"/>
                <w:szCs w:val="22"/>
                <w:highlight w:val="none"/>
                <w:lang w:val="en-US" w:eastAsia="zh-CN"/>
              </w:rPr>
              <w:t>月1日</w:t>
            </w:r>
            <w:r>
              <w:rPr>
                <w:rFonts w:hint="eastAsia" w:ascii="宋体" w:hAnsi="宋体" w:eastAsia="宋体" w:cs="宋体"/>
                <w:color w:val="auto"/>
                <w:sz w:val="22"/>
                <w:szCs w:val="22"/>
                <w:highlight w:val="none"/>
              </w:rPr>
              <w:t>（以合同签订日期为准）</w:t>
            </w:r>
            <w:r>
              <w:rPr>
                <w:rFonts w:hint="eastAsia" w:ascii="宋体" w:hAnsi="宋体" w:eastAsia="宋体" w:cs="宋体"/>
                <w:color w:val="auto"/>
                <w:sz w:val="22"/>
                <w:szCs w:val="22"/>
                <w:highlight w:val="none"/>
                <w:lang w:val="en-US" w:eastAsia="zh-CN"/>
              </w:rPr>
              <w:t>以来类似项目的业绩，</w:t>
            </w:r>
            <w:r>
              <w:rPr>
                <w:rFonts w:hint="eastAsia" w:ascii="宋体" w:hAnsi="宋体" w:cs="宋体"/>
                <w:bCs/>
                <w:color w:val="auto"/>
                <w:sz w:val="24"/>
                <w:lang w:val="en-US" w:eastAsia="zh-CN"/>
              </w:rPr>
              <w:t>每提供一个得2分，最多得4分。</w:t>
            </w:r>
          </w:p>
          <w:p w14:paraId="5B7C5AEE">
            <w:pPr>
              <w:pStyle w:val="18"/>
              <w:snapToGrid w:val="0"/>
              <w:spacing w:after="0" w:line="360" w:lineRule="auto"/>
              <w:ind w:right="-21" w:firstLine="218" w:firstLineChars="91"/>
              <w:rPr>
                <w:rFonts w:hint="eastAsia" w:ascii="宋体" w:hAnsi="宋体" w:eastAsia="宋体" w:cs="宋体"/>
                <w:color w:val="auto"/>
                <w:sz w:val="22"/>
                <w:szCs w:val="22"/>
                <w:highlight w:val="none"/>
                <w:lang w:val="en-US" w:eastAsia="zh-CN"/>
              </w:rPr>
            </w:pPr>
            <w:r>
              <w:rPr>
                <w:rFonts w:hint="eastAsia" w:ascii="宋体" w:hAnsi="宋体" w:cs="宋体"/>
                <w:bCs/>
                <w:color w:val="auto"/>
                <w:sz w:val="24"/>
                <w:lang w:val="en-US" w:eastAsia="zh-CN"/>
              </w:rPr>
              <w:t>（响应文件中需同时提供项目合同、中标通知书扫描件或复印件并加盖公章,未提供或缺项不得分）。</w:t>
            </w:r>
          </w:p>
        </w:tc>
      </w:tr>
      <w:tr w14:paraId="4EAA9514">
        <w:tblPrEx>
          <w:tblCellMar>
            <w:top w:w="0" w:type="dxa"/>
            <w:left w:w="108" w:type="dxa"/>
            <w:bottom w:w="0" w:type="dxa"/>
            <w:right w:w="108" w:type="dxa"/>
          </w:tblCellMar>
        </w:tblPrEx>
        <w:trPr>
          <w:trHeight w:val="2451" w:hRule="atLeast"/>
          <w:jc w:val="center"/>
        </w:trPr>
        <w:tc>
          <w:tcPr>
            <w:tcW w:w="1334" w:type="dxa"/>
            <w:vMerge w:val="continue"/>
            <w:tcBorders>
              <w:top w:val="single" w:color="auto" w:sz="4" w:space="0"/>
              <w:left w:val="single" w:color="auto" w:sz="4" w:space="0"/>
              <w:bottom w:val="single" w:color="auto" w:sz="4" w:space="0"/>
              <w:right w:val="single" w:color="auto" w:sz="4" w:space="0"/>
            </w:tcBorders>
            <w:vAlign w:val="center"/>
          </w:tcPr>
          <w:p w14:paraId="2D7FBC40">
            <w:pPr>
              <w:spacing w:line="360" w:lineRule="auto"/>
              <w:jc w:val="center"/>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03219DEB">
            <w:pPr>
              <w:pStyle w:val="39"/>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综合实力</w:t>
            </w:r>
          </w:p>
          <w:p w14:paraId="2DA9041B">
            <w:pPr>
              <w:pStyle w:val="39"/>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highlight w:val="none"/>
                <w:lang w:val="en-US" w:eastAsia="zh-CN"/>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011FD83E">
            <w:pPr>
              <w:snapToGrid w:val="0"/>
              <w:spacing w:line="360" w:lineRule="auto"/>
              <w:ind w:firstLine="440" w:firstLineChars="200"/>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供应商拟投入项目成员中具备系统集成项目管理工程师、通信工程师、机电BIM工程师、网络工程师、特种作业操作证（高处作业类）等与本项目相关的职业资格（含特种作业操作证）、职称或技能等级证书，每提供一个证书得2分，最高得6分。</w:t>
            </w:r>
          </w:p>
          <w:p w14:paraId="5496EC52">
            <w:pPr>
              <w:snapToGrid w:val="0"/>
              <w:spacing w:line="360" w:lineRule="auto"/>
              <w:ind w:firstLine="440" w:firstLineChars="200"/>
              <w:jc w:val="left"/>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2"/>
                <w:sz w:val="22"/>
                <w:szCs w:val="22"/>
                <w:highlight w:val="none"/>
                <w:lang w:val="en-US" w:eastAsia="zh-CN" w:bidi="ar-SA"/>
              </w:rPr>
              <w:t>（响应文件中需提供项目团队成员证书、社保缴纳证明或劳动合同，同一人具有多个证书的只计分一次，未提供不得分）</w:t>
            </w:r>
          </w:p>
        </w:tc>
      </w:tr>
      <w:tr w14:paraId="3A16DA93">
        <w:tblPrEx>
          <w:tblCellMar>
            <w:top w:w="0" w:type="dxa"/>
            <w:left w:w="108" w:type="dxa"/>
            <w:bottom w:w="0" w:type="dxa"/>
            <w:right w:w="108" w:type="dxa"/>
          </w:tblCellMar>
        </w:tblPrEx>
        <w:trPr>
          <w:trHeight w:val="1083" w:hRule="atLeast"/>
          <w:jc w:val="center"/>
        </w:trPr>
        <w:tc>
          <w:tcPr>
            <w:tcW w:w="1334" w:type="dxa"/>
            <w:vMerge w:val="continue"/>
            <w:tcBorders>
              <w:top w:val="single" w:color="auto" w:sz="4" w:space="0"/>
              <w:left w:val="single" w:color="auto" w:sz="4" w:space="0"/>
              <w:bottom w:val="single" w:color="auto" w:sz="4" w:space="0"/>
              <w:right w:val="single" w:color="auto" w:sz="4" w:space="0"/>
            </w:tcBorders>
            <w:vAlign w:val="center"/>
          </w:tcPr>
          <w:p w14:paraId="45DCC890">
            <w:pPr>
              <w:spacing w:line="360" w:lineRule="auto"/>
              <w:jc w:val="center"/>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71FB804A">
            <w:pPr>
              <w:widowControl/>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知识产权</w:t>
            </w:r>
          </w:p>
          <w:p w14:paraId="7DE6AA81">
            <w:pPr>
              <w:widowControl/>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131E51FD">
            <w:pPr>
              <w:spacing w:line="360" w:lineRule="auto"/>
              <w:ind w:firstLine="440" w:firstLineChars="20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供应商具有数据监控系统、检测系统类或开关控制系统类计算机软件著作权登记证书,提供证书复印件以及“中国版权保护中心”官方网站网页查询截图（查询日期为公告发布之日至投标截止之日）,每提供一个得2分，本项最多得6分,未提供不得分。</w:t>
            </w:r>
          </w:p>
        </w:tc>
      </w:tr>
      <w:tr w14:paraId="052FCC33">
        <w:tblPrEx>
          <w:tblCellMar>
            <w:top w:w="0" w:type="dxa"/>
            <w:left w:w="108" w:type="dxa"/>
            <w:bottom w:w="0" w:type="dxa"/>
            <w:right w:w="108" w:type="dxa"/>
          </w:tblCellMar>
        </w:tblPrEx>
        <w:trPr>
          <w:trHeight w:val="1092" w:hRule="atLeast"/>
          <w:jc w:val="center"/>
        </w:trPr>
        <w:tc>
          <w:tcPr>
            <w:tcW w:w="1334" w:type="dxa"/>
            <w:vMerge w:val="continue"/>
            <w:tcBorders>
              <w:top w:val="single" w:color="auto" w:sz="4" w:space="0"/>
              <w:left w:val="single" w:color="auto" w:sz="4" w:space="0"/>
              <w:bottom w:val="single" w:color="auto" w:sz="4" w:space="0"/>
              <w:right w:val="single" w:color="auto" w:sz="4" w:space="0"/>
            </w:tcBorders>
            <w:vAlign w:val="center"/>
          </w:tcPr>
          <w:p w14:paraId="403EBBA0">
            <w:pPr>
              <w:spacing w:line="360" w:lineRule="auto"/>
              <w:jc w:val="center"/>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6BD9D663">
            <w:pPr>
              <w:widowControl/>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优惠承诺(4分)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0F5D0912">
            <w:pPr>
              <w:spacing w:line="360" w:lineRule="auto"/>
              <w:ind w:firstLine="440" w:firstLineChars="20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 xml:space="preserve"> 供应商具有供满足使用需求相关的其他实质性优惠条件的每提供一个的得 2 分，最高得 4分，缺项或不提供不得分。</w:t>
            </w:r>
          </w:p>
        </w:tc>
      </w:tr>
      <w:tr w14:paraId="72B3FF0C">
        <w:tblPrEx>
          <w:tblCellMar>
            <w:top w:w="0" w:type="dxa"/>
            <w:left w:w="108" w:type="dxa"/>
            <w:bottom w:w="0" w:type="dxa"/>
            <w:right w:w="108" w:type="dxa"/>
          </w:tblCellMar>
        </w:tblPrEx>
        <w:trPr>
          <w:trHeight w:val="1206" w:hRule="atLeast"/>
          <w:jc w:val="center"/>
        </w:trPr>
        <w:tc>
          <w:tcPr>
            <w:tcW w:w="1334" w:type="dxa"/>
            <w:vMerge w:val="restart"/>
            <w:tcBorders>
              <w:top w:val="single" w:color="auto" w:sz="4" w:space="0"/>
              <w:left w:val="single" w:color="auto" w:sz="4" w:space="0"/>
              <w:bottom w:val="single" w:color="auto" w:sz="4" w:space="0"/>
              <w:right w:val="single" w:color="auto" w:sz="4" w:space="0"/>
            </w:tcBorders>
            <w:vAlign w:val="center"/>
          </w:tcPr>
          <w:p w14:paraId="3D120BA7">
            <w:pPr>
              <w:spacing w:line="360" w:lineRule="auto"/>
              <w:jc w:val="center"/>
              <w:rPr>
                <w:rFonts w:hint="eastAsia" w:ascii="宋体" w:hAnsi="宋体" w:eastAsia="宋体" w:cs="宋体"/>
                <w:b/>
                <w:bCs/>
                <w:color w:val="auto"/>
                <w:sz w:val="22"/>
                <w:szCs w:val="22"/>
                <w:highlight w:val="none"/>
                <w:lang w:eastAsia="zh-CN"/>
              </w:rPr>
            </w:pPr>
            <w:r>
              <w:rPr>
                <w:rFonts w:hint="eastAsia" w:ascii="宋体" w:hAnsi="宋体" w:eastAsia="宋体" w:cs="宋体"/>
                <w:b/>
                <w:bCs/>
                <w:color w:val="auto"/>
                <w:sz w:val="22"/>
                <w:szCs w:val="22"/>
                <w:highlight w:val="none"/>
                <w:lang w:eastAsia="zh-CN"/>
              </w:rPr>
              <w:t>技术部分</w:t>
            </w:r>
          </w:p>
          <w:p w14:paraId="29D47912">
            <w:pPr>
              <w:spacing w:line="360" w:lineRule="auto"/>
              <w:jc w:val="center"/>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w:t>
            </w:r>
            <w:r>
              <w:rPr>
                <w:rFonts w:hint="eastAsia" w:ascii="宋体" w:hAnsi="宋体" w:eastAsia="宋体" w:cs="宋体"/>
                <w:b/>
                <w:bCs/>
                <w:color w:val="auto"/>
                <w:sz w:val="22"/>
                <w:szCs w:val="22"/>
                <w:highlight w:val="none"/>
                <w:lang w:val="en-US" w:eastAsia="zh-CN"/>
              </w:rPr>
              <w:t>50</w:t>
            </w:r>
            <w:r>
              <w:rPr>
                <w:rFonts w:hint="eastAsia" w:ascii="宋体" w:hAnsi="宋体" w:eastAsia="宋体" w:cs="宋体"/>
                <w:b/>
                <w:bCs/>
                <w:color w:val="auto"/>
                <w:sz w:val="22"/>
                <w:szCs w:val="22"/>
                <w:highlight w:val="none"/>
              </w:rPr>
              <w:t>分）</w:t>
            </w:r>
          </w:p>
          <w:p w14:paraId="5AF8A800">
            <w:pPr>
              <w:spacing w:line="360" w:lineRule="auto"/>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2D0B95D0">
            <w:pPr>
              <w:spacing w:line="360" w:lineRule="auto"/>
              <w:jc w:val="center"/>
              <w:rPr>
                <w:rFonts w:hint="eastAsia" w:ascii="宋体" w:hAnsi="宋体" w:eastAsia="宋体" w:cs="宋体"/>
                <w:color w:val="auto"/>
                <w:sz w:val="22"/>
                <w:szCs w:val="22"/>
                <w:highlight w:val="none"/>
              </w:rPr>
            </w:pPr>
            <w:r>
              <w:rPr>
                <w:rFonts w:hint="eastAsia" w:ascii="宋体" w:hAnsi="宋体" w:cs="宋体" w:eastAsiaTheme="minorEastAsia"/>
                <w:b w:val="0"/>
                <w:bCs/>
                <w:color w:val="auto"/>
                <w:kern w:val="0"/>
                <w:sz w:val="24"/>
                <w:szCs w:val="22"/>
                <w:lang w:val="en-US" w:eastAsia="zh-CN" w:bidi="ar-SA"/>
              </w:rPr>
              <w:t>技术参</w:t>
            </w:r>
            <w:r>
              <w:rPr>
                <w:rFonts w:hint="eastAsia" w:ascii="宋体" w:hAnsi="宋体" w:cs="宋体"/>
                <w:b w:val="0"/>
                <w:bCs/>
                <w:color w:val="auto"/>
                <w:kern w:val="0"/>
                <w:sz w:val="24"/>
                <w:szCs w:val="22"/>
                <w:lang w:val="en-US" w:eastAsia="zh-CN" w:bidi="ar-SA"/>
              </w:rPr>
              <w:t>数（</w:t>
            </w:r>
            <w:r>
              <w:rPr>
                <w:rFonts w:hint="eastAsia" w:ascii="宋体" w:hAnsi="宋体"/>
                <w:color w:val="auto"/>
                <w:sz w:val="24"/>
                <w:highlight w:val="none"/>
                <w:lang w:val="en-US" w:eastAsia="zh-CN"/>
              </w:rPr>
              <w:t>17</w:t>
            </w:r>
            <w:r>
              <w:rPr>
                <w:rFonts w:hint="eastAsia" w:ascii="宋体" w:hAnsi="宋体"/>
                <w:color w:val="auto"/>
                <w:sz w:val="24"/>
                <w:highlight w:val="none"/>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680F2BCB">
            <w:pPr>
              <w:spacing w:line="360" w:lineRule="auto"/>
              <w:ind w:firstLine="440" w:firstLineChars="20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供应商所投产品的技术参数完全满足招标文件技术参数要求的得17分；加“▲”项，每有一项不满足的扣2分，其他参数，每有一小项不满足的扣0.5分，扣完为止。</w:t>
            </w:r>
          </w:p>
        </w:tc>
      </w:tr>
      <w:tr w14:paraId="3A81D666">
        <w:tblPrEx>
          <w:tblCellMar>
            <w:top w:w="0" w:type="dxa"/>
            <w:left w:w="108" w:type="dxa"/>
            <w:bottom w:w="0" w:type="dxa"/>
            <w:right w:w="108" w:type="dxa"/>
          </w:tblCellMar>
        </w:tblPrEx>
        <w:trPr>
          <w:trHeight w:val="608" w:hRule="atLeast"/>
          <w:jc w:val="center"/>
        </w:trPr>
        <w:tc>
          <w:tcPr>
            <w:tcW w:w="1334" w:type="dxa"/>
            <w:vMerge w:val="continue"/>
            <w:tcBorders>
              <w:top w:val="single" w:color="auto" w:sz="4" w:space="0"/>
              <w:left w:val="single" w:color="auto" w:sz="4" w:space="0"/>
              <w:bottom w:val="single" w:color="auto" w:sz="4" w:space="0"/>
              <w:right w:val="single" w:color="auto" w:sz="4" w:space="0"/>
            </w:tcBorders>
            <w:vAlign w:val="center"/>
          </w:tcPr>
          <w:p w14:paraId="175B842D">
            <w:pPr>
              <w:spacing w:line="360" w:lineRule="auto"/>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304DD2C0">
            <w:pPr>
              <w:widowControl/>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实施方案</w:t>
            </w:r>
          </w:p>
          <w:p w14:paraId="1B29F597">
            <w:pPr>
              <w:widowControl/>
              <w:spacing w:line="360" w:lineRule="auto"/>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15</w:t>
            </w:r>
            <w:r>
              <w:rPr>
                <w:rFonts w:hint="eastAsia" w:ascii="宋体" w:hAnsi="宋体" w:eastAsia="宋体" w:cs="宋体"/>
                <w:color w:val="auto"/>
                <w:sz w:val="22"/>
                <w:szCs w:val="22"/>
                <w:highlight w:val="none"/>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3ADDFC1C">
            <w:pPr>
              <w:spacing w:line="360" w:lineRule="auto"/>
              <w:ind w:firstLine="440" w:firstLineChars="20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提供</w:t>
            </w:r>
            <w:r>
              <w:rPr>
                <w:rFonts w:hint="eastAsia" w:ascii="宋体" w:hAnsi="宋体" w:eastAsia="宋体" w:cs="宋体"/>
                <w:color w:val="auto"/>
                <w:sz w:val="22"/>
                <w:szCs w:val="22"/>
                <w:highlight w:val="none"/>
                <w:lang w:val="en-US" w:eastAsia="zh-CN"/>
              </w:rPr>
              <w:t>实施</w:t>
            </w:r>
            <w:r>
              <w:rPr>
                <w:rFonts w:hint="eastAsia" w:ascii="宋体" w:hAnsi="宋体" w:eastAsia="宋体" w:cs="宋体"/>
                <w:color w:val="auto"/>
                <w:kern w:val="2"/>
                <w:sz w:val="22"/>
                <w:szCs w:val="22"/>
                <w:highlight w:val="none"/>
                <w:lang w:val="en-US" w:eastAsia="zh-CN" w:bidi="ar-SA"/>
              </w:rPr>
              <w:t>方案，包含：①供货方案、②安装调试方案、③质量保证措施、④应急处理措施、⑤验收方案；提供完整得15分，每缺少一项扣3分，扣完为止，不提供不得分。</w:t>
            </w:r>
          </w:p>
        </w:tc>
      </w:tr>
      <w:tr w14:paraId="62059A81">
        <w:tblPrEx>
          <w:tblCellMar>
            <w:top w:w="0" w:type="dxa"/>
            <w:left w:w="108" w:type="dxa"/>
            <w:bottom w:w="0" w:type="dxa"/>
            <w:right w:w="108" w:type="dxa"/>
          </w:tblCellMar>
        </w:tblPrEx>
        <w:trPr>
          <w:trHeight w:val="1075" w:hRule="atLeast"/>
          <w:jc w:val="center"/>
        </w:trPr>
        <w:tc>
          <w:tcPr>
            <w:tcW w:w="1334" w:type="dxa"/>
            <w:vMerge w:val="continue"/>
            <w:tcBorders>
              <w:top w:val="single" w:color="auto" w:sz="4" w:space="0"/>
              <w:left w:val="single" w:color="auto" w:sz="4" w:space="0"/>
              <w:bottom w:val="single" w:color="auto" w:sz="4" w:space="0"/>
              <w:right w:val="single" w:color="auto" w:sz="4" w:space="0"/>
            </w:tcBorders>
            <w:vAlign w:val="center"/>
          </w:tcPr>
          <w:p w14:paraId="544D715B">
            <w:pPr>
              <w:spacing w:line="360" w:lineRule="auto"/>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04D26FE5">
            <w:pPr>
              <w:spacing w:line="360" w:lineRule="auto"/>
              <w:jc w:val="center"/>
              <w:rPr>
                <w:rFonts w:hint="eastAsia" w:ascii="宋体" w:hAnsi="宋体" w:eastAsia="宋体" w:cs="Times New Roman"/>
                <w:color w:val="auto"/>
                <w:kern w:val="0"/>
                <w:sz w:val="24"/>
                <w:highlight w:val="none"/>
                <w:lang w:val="en-US" w:eastAsia="zh-CN"/>
              </w:rPr>
            </w:pPr>
            <w:r>
              <w:rPr>
                <w:rFonts w:hint="eastAsia" w:ascii="宋体" w:hAnsi="宋体" w:eastAsia="宋体" w:cs="Times New Roman"/>
                <w:color w:val="auto"/>
                <w:kern w:val="0"/>
                <w:sz w:val="24"/>
                <w:highlight w:val="none"/>
                <w:lang w:val="en-US" w:eastAsia="zh-CN"/>
              </w:rPr>
              <w:t>进度计划安排及措施</w:t>
            </w:r>
          </w:p>
          <w:p w14:paraId="7194D02A">
            <w:pPr>
              <w:spacing w:line="360" w:lineRule="auto"/>
              <w:jc w:val="center"/>
              <w:rPr>
                <w:rFonts w:hint="eastAsia" w:ascii="宋体" w:hAnsi="宋体" w:eastAsia="宋体" w:cs="宋体"/>
                <w:bCs/>
                <w:color w:val="auto"/>
                <w:sz w:val="22"/>
                <w:szCs w:val="22"/>
                <w:highlight w:val="none"/>
                <w:lang w:eastAsia="zh-CN"/>
              </w:rPr>
            </w:pPr>
            <w:r>
              <w:rPr>
                <w:rFonts w:hint="eastAsia" w:ascii="宋体" w:hAnsi="宋体" w:eastAsia="宋体" w:cs="Times New Roman"/>
                <w:color w:val="auto"/>
                <w:kern w:val="0"/>
                <w:sz w:val="24"/>
                <w:highlight w:val="none"/>
                <w:lang w:val="en-US" w:eastAsia="zh-CN"/>
              </w:rPr>
              <w:t>（6分）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79121705">
            <w:pPr>
              <w:widowControl/>
              <w:spacing w:line="360" w:lineRule="auto"/>
              <w:ind w:firstLine="440" w:firstLineChars="200"/>
              <w:jc w:val="both"/>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提供进度计划安排及措施；包含：①总体计划安排、②进度保证措施；提供完整得6分；每缺少一项扣3分，扣完为止，不提供不得分。</w:t>
            </w:r>
          </w:p>
        </w:tc>
      </w:tr>
      <w:tr w14:paraId="46CA5ECD">
        <w:tblPrEx>
          <w:tblCellMar>
            <w:top w:w="0" w:type="dxa"/>
            <w:left w:w="108" w:type="dxa"/>
            <w:bottom w:w="0" w:type="dxa"/>
            <w:right w:w="108" w:type="dxa"/>
          </w:tblCellMar>
        </w:tblPrEx>
        <w:trPr>
          <w:trHeight w:val="1025" w:hRule="atLeast"/>
          <w:jc w:val="center"/>
        </w:trPr>
        <w:tc>
          <w:tcPr>
            <w:tcW w:w="1334" w:type="dxa"/>
            <w:vMerge w:val="continue"/>
            <w:tcBorders>
              <w:top w:val="single" w:color="auto" w:sz="4" w:space="0"/>
              <w:left w:val="single" w:color="auto" w:sz="4" w:space="0"/>
              <w:bottom w:val="single" w:color="auto" w:sz="4" w:space="0"/>
              <w:right w:val="single" w:color="auto" w:sz="4" w:space="0"/>
            </w:tcBorders>
            <w:vAlign w:val="center"/>
          </w:tcPr>
          <w:p w14:paraId="27D5DDA9">
            <w:pPr>
              <w:spacing w:line="360" w:lineRule="auto"/>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6989262A">
            <w:pPr>
              <w:spacing w:line="360" w:lineRule="auto"/>
              <w:jc w:val="center"/>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培训方案</w:t>
            </w:r>
          </w:p>
          <w:p w14:paraId="3F849A1D">
            <w:pPr>
              <w:spacing w:line="360" w:lineRule="auto"/>
              <w:jc w:val="center"/>
              <w:rPr>
                <w:rFonts w:hint="eastAsia" w:ascii="宋体" w:hAnsi="宋体" w:eastAsia="宋体" w:cs="Times New Roman"/>
                <w:color w:val="auto"/>
                <w:kern w:val="0"/>
                <w:sz w:val="24"/>
                <w:highlight w:val="none"/>
                <w:lang w:val="en-US" w:eastAsia="zh-CN"/>
              </w:rPr>
            </w:pPr>
            <w:r>
              <w:rPr>
                <w:rFonts w:hint="eastAsia" w:ascii="宋体" w:hAnsi="宋体"/>
                <w:color w:val="auto"/>
                <w:sz w:val="24"/>
                <w:highlight w:val="none"/>
                <w:lang w:val="en-US" w:eastAsia="zh-CN"/>
              </w:rPr>
              <w:t>(5分)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4151FF27">
            <w:pPr>
              <w:spacing w:line="360" w:lineRule="auto"/>
              <w:ind w:firstLine="440" w:firstLineChars="20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1、技术培训：提供完善的技术培训方案（包括设备使用、调试、备品备件使用）;完全满足得3分,缺一项扣1分扣完为止，未提供不得分。</w:t>
            </w:r>
          </w:p>
          <w:p w14:paraId="2E973825">
            <w:pPr>
              <w:spacing w:line="360" w:lineRule="auto"/>
              <w:ind w:firstLine="440" w:firstLineChars="200"/>
              <w:rPr>
                <w:rFonts w:hint="eastAsia" w:ascii="宋体" w:hAnsi="宋体" w:eastAsia="宋体" w:cs="Times New Roman"/>
                <w:color w:val="auto"/>
                <w:kern w:val="0"/>
                <w:sz w:val="24"/>
                <w:highlight w:val="none"/>
                <w:lang w:val="en-US" w:eastAsia="zh-CN"/>
              </w:rPr>
            </w:pPr>
            <w:r>
              <w:rPr>
                <w:rFonts w:hint="eastAsia" w:ascii="宋体" w:hAnsi="宋体" w:eastAsia="宋体" w:cs="宋体"/>
                <w:color w:val="auto"/>
                <w:kern w:val="2"/>
                <w:sz w:val="22"/>
                <w:szCs w:val="22"/>
                <w:highlight w:val="none"/>
                <w:lang w:val="en-US" w:eastAsia="zh-CN" w:bidi="ar-SA"/>
              </w:rPr>
              <w:t>2、技术支持：免费提供7×24小时技术支持；能提供免费热线服务电话、电子邮件地址、技术服务人员具体姓名及联系方式。提供完整的得2分，未提供或提供不全的不得分。</w:t>
            </w:r>
          </w:p>
        </w:tc>
      </w:tr>
      <w:tr w14:paraId="789744A1">
        <w:tblPrEx>
          <w:tblCellMar>
            <w:top w:w="0" w:type="dxa"/>
            <w:left w:w="108" w:type="dxa"/>
            <w:bottom w:w="0" w:type="dxa"/>
            <w:right w:w="108" w:type="dxa"/>
          </w:tblCellMar>
        </w:tblPrEx>
        <w:trPr>
          <w:trHeight w:val="1022" w:hRule="atLeast"/>
          <w:jc w:val="center"/>
        </w:trPr>
        <w:tc>
          <w:tcPr>
            <w:tcW w:w="1334" w:type="dxa"/>
            <w:vMerge w:val="continue"/>
            <w:tcBorders>
              <w:top w:val="single" w:color="auto" w:sz="4" w:space="0"/>
              <w:left w:val="single" w:color="auto" w:sz="4" w:space="0"/>
              <w:bottom w:val="single" w:color="auto" w:sz="4" w:space="0"/>
              <w:right w:val="single" w:color="auto" w:sz="4" w:space="0"/>
            </w:tcBorders>
            <w:vAlign w:val="center"/>
          </w:tcPr>
          <w:p w14:paraId="3C5E792B">
            <w:pPr>
              <w:spacing w:line="360" w:lineRule="auto"/>
              <w:rPr>
                <w:rFonts w:hint="eastAsia" w:ascii="宋体" w:hAnsi="宋体" w:eastAsia="宋体" w:cs="宋体"/>
                <w:color w:val="auto"/>
                <w:sz w:val="22"/>
                <w:szCs w:val="22"/>
                <w:highlight w:val="none"/>
              </w:rPr>
            </w:pPr>
          </w:p>
        </w:tc>
        <w:tc>
          <w:tcPr>
            <w:tcW w:w="1523" w:type="dxa"/>
            <w:tcBorders>
              <w:top w:val="single" w:color="auto" w:sz="4" w:space="0"/>
              <w:left w:val="single" w:color="auto" w:sz="4" w:space="0"/>
              <w:bottom w:val="single" w:color="auto" w:sz="4" w:space="0"/>
              <w:right w:val="single" w:color="auto" w:sz="4" w:space="0"/>
            </w:tcBorders>
            <w:vAlign w:val="center"/>
          </w:tcPr>
          <w:p w14:paraId="37ECD88C">
            <w:pPr>
              <w:spacing w:line="360" w:lineRule="auto"/>
              <w:jc w:val="center"/>
              <w:rPr>
                <w:rFonts w:hint="eastAsia" w:ascii="宋体" w:hAnsi="宋体" w:eastAsia="宋体" w:cs="宋体"/>
                <w:color w:val="auto"/>
                <w:sz w:val="22"/>
                <w:szCs w:val="22"/>
                <w:highlight w:val="none"/>
                <w:lang w:eastAsia="zh-CN"/>
              </w:rPr>
            </w:pPr>
            <w:r>
              <w:rPr>
                <w:rFonts w:hint="eastAsia" w:ascii="宋体" w:hAnsi="宋体" w:eastAsia="宋体" w:cs="Times New Roman"/>
                <w:color w:val="auto"/>
                <w:kern w:val="0"/>
                <w:sz w:val="24"/>
                <w:highlight w:val="none"/>
                <w:lang w:val="en-US" w:eastAsia="zh-CN"/>
              </w:rPr>
              <w:t>售后服务方案</w:t>
            </w:r>
            <w:r>
              <w:rPr>
                <w:rFonts w:hint="default" w:ascii="宋体" w:hAnsi="宋体" w:eastAsia="宋体" w:cs="Times New Roman"/>
                <w:color w:val="auto"/>
                <w:kern w:val="0"/>
                <w:sz w:val="24"/>
                <w:highlight w:val="none"/>
                <w:lang w:val="en-US" w:eastAsia="zh-CN"/>
              </w:rPr>
              <w:t>（</w:t>
            </w:r>
            <w:r>
              <w:rPr>
                <w:rFonts w:hint="eastAsia" w:ascii="宋体" w:hAnsi="宋体" w:eastAsia="宋体" w:cs="Times New Roman"/>
                <w:color w:val="auto"/>
                <w:kern w:val="0"/>
                <w:sz w:val="24"/>
                <w:highlight w:val="none"/>
                <w:lang w:val="en-US" w:eastAsia="zh-CN"/>
              </w:rPr>
              <w:t>7</w:t>
            </w:r>
            <w:r>
              <w:rPr>
                <w:rFonts w:hint="default" w:ascii="宋体" w:hAnsi="宋体" w:eastAsia="宋体" w:cs="Times New Roman"/>
                <w:color w:val="auto"/>
                <w:kern w:val="0"/>
                <w:sz w:val="24"/>
                <w:highlight w:val="none"/>
                <w:lang w:val="en-US" w:eastAsia="zh-CN"/>
              </w:rPr>
              <w:t>分）</w:t>
            </w:r>
          </w:p>
        </w:tc>
        <w:tc>
          <w:tcPr>
            <w:tcW w:w="7165" w:type="dxa"/>
            <w:gridSpan w:val="2"/>
            <w:tcBorders>
              <w:top w:val="single" w:color="auto" w:sz="4" w:space="0"/>
              <w:left w:val="single" w:color="auto" w:sz="4" w:space="0"/>
              <w:bottom w:val="single" w:color="auto" w:sz="4" w:space="0"/>
              <w:right w:val="single" w:color="auto" w:sz="4" w:space="0"/>
            </w:tcBorders>
            <w:vAlign w:val="center"/>
          </w:tcPr>
          <w:p w14:paraId="1A6756F2">
            <w:pPr>
              <w:snapToGrid w:val="0"/>
              <w:spacing w:line="360" w:lineRule="auto"/>
              <w:ind w:firstLine="240" w:firstLineChars="100"/>
              <w:jc w:val="left"/>
              <w:rPr>
                <w:rFonts w:hint="eastAsia" w:ascii="宋体" w:hAnsi="宋体" w:eastAsia="宋体" w:cs="宋体"/>
                <w:color w:val="auto"/>
                <w:sz w:val="22"/>
                <w:szCs w:val="22"/>
                <w:highlight w:val="none"/>
                <w:lang w:val="en-US" w:eastAsia="zh-CN"/>
              </w:rPr>
            </w:pPr>
            <w:r>
              <w:rPr>
                <w:rFonts w:hint="eastAsia" w:ascii="宋体" w:hAnsi="宋体"/>
                <w:color w:val="auto"/>
                <w:sz w:val="24"/>
                <w:highlight w:val="none"/>
                <w:lang w:val="en-US" w:eastAsia="zh-CN"/>
              </w:rPr>
              <w:t>提供售后服务方案，包括：售后服务内容及标准、设备免费维修时间、解决问题的时间、维修响应时间、维修单位名称及地点、维修人员具体姓名及联系方式、质保期内外的售后服务措施；提供完整的得7分，缺一项扣1分扣完为止，未提供不得分。</w:t>
            </w:r>
          </w:p>
        </w:tc>
      </w:tr>
    </w:tbl>
    <w:p w14:paraId="3F8871B8">
      <w:pPr>
        <w:spacing w:line="560" w:lineRule="exact"/>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最终得分为磋商小组所有成员计分的算术平均值，计算保留小数点两位，小数点后第三位四舍五入。</w:t>
      </w:r>
    </w:p>
    <w:p w14:paraId="35C000E1">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22.3磋商小组根据综合评分情况，按照评审得分由高到低顺序推荐成交候选供应商，并编写评审报告。综合得分相同的供应商，报价较低者优先；报价也相同的，由采购人自行确定。</w:t>
      </w:r>
    </w:p>
    <w:p w14:paraId="4CBBD2E3">
      <w:pPr>
        <w:spacing w:line="5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799D433">
      <w:pPr>
        <w:spacing w:line="560" w:lineRule="exact"/>
        <w:ind w:firstLine="480" w:firstLineChars="200"/>
        <w:rPr>
          <w:rFonts w:ascii="宋体" w:hAnsi="宋体" w:cs="宋体"/>
          <w:b/>
          <w:color w:val="auto"/>
          <w:sz w:val="24"/>
          <w:highlight w:val="none"/>
        </w:rPr>
      </w:pPr>
      <w:r>
        <w:rPr>
          <w:rFonts w:hint="eastAsia" w:ascii="宋体" w:hAnsi="宋体" w:cs="宋体"/>
          <w:color w:val="auto"/>
          <w:sz w:val="24"/>
          <w:highlight w:val="none"/>
        </w:rPr>
        <w:t>22.5若供应商的报价高于项目预算，磋商小组有权根据采购人意见及其实际情况，拒绝该报价。</w:t>
      </w:r>
    </w:p>
    <w:p w14:paraId="676BB7D8">
      <w:pPr>
        <w:spacing w:line="560" w:lineRule="exact"/>
        <w:ind w:firstLine="480" w:firstLineChars="200"/>
        <w:rPr>
          <w:rFonts w:ascii="宋体" w:hAnsi="宋体" w:cs="宋体"/>
          <w:color w:val="auto"/>
          <w:sz w:val="24"/>
        </w:rPr>
      </w:pPr>
      <w:r>
        <w:rPr>
          <w:rFonts w:hint="eastAsia" w:ascii="宋体" w:hAnsi="宋体" w:cs="宋体"/>
          <w:color w:val="auto"/>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34651902">
      <w:pPr>
        <w:spacing w:line="560" w:lineRule="exact"/>
        <w:ind w:firstLine="480" w:firstLineChars="200"/>
        <w:rPr>
          <w:rFonts w:ascii="宋体" w:hAnsi="宋体" w:cs="宋体"/>
          <w:color w:val="auto"/>
          <w:sz w:val="24"/>
        </w:rPr>
      </w:pPr>
      <w:r>
        <w:rPr>
          <w:rFonts w:hint="eastAsia" w:ascii="宋体" w:hAnsi="宋体" w:cs="宋体"/>
          <w:color w:val="auto"/>
          <w:sz w:val="24"/>
        </w:rPr>
        <w:t>22.7在竞争性磋商期间，供应商不得向竞争性磋商小组成员询问其它供应商竞争性磋商情况，不得进行旨在影响成交结果的活动。</w:t>
      </w:r>
    </w:p>
    <w:p w14:paraId="13A19F9C">
      <w:pPr>
        <w:spacing w:line="560" w:lineRule="exact"/>
        <w:ind w:firstLine="480" w:firstLineChars="200"/>
        <w:rPr>
          <w:rFonts w:ascii="宋体" w:hAnsi="宋体" w:cs="宋体"/>
          <w:color w:val="auto"/>
          <w:sz w:val="24"/>
        </w:rPr>
      </w:pPr>
      <w:r>
        <w:rPr>
          <w:rFonts w:hint="eastAsia" w:ascii="宋体" w:hAnsi="宋体" w:cs="宋体"/>
          <w:color w:val="auto"/>
          <w:sz w:val="24"/>
        </w:rPr>
        <w:t>22.8在竞争性磋商期间，采购人将有专门人员与供应商进行联络。</w:t>
      </w:r>
    </w:p>
    <w:p w14:paraId="6ECEEB74">
      <w:pPr>
        <w:spacing w:line="560" w:lineRule="exact"/>
        <w:ind w:firstLine="482" w:firstLineChars="200"/>
        <w:rPr>
          <w:rFonts w:ascii="宋体" w:hAnsi="宋体" w:cs="宋体"/>
          <w:b/>
          <w:color w:val="auto"/>
          <w:sz w:val="24"/>
        </w:rPr>
      </w:pPr>
      <w:r>
        <w:rPr>
          <w:rFonts w:hint="eastAsia" w:ascii="宋体" w:hAnsi="宋体" w:cs="宋体"/>
          <w:b/>
          <w:color w:val="auto"/>
          <w:sz w:val="24"/>
        </w:rPr>
        <w:t>23.竞争性磋商终止</w:t>
      </w:r>
    </w:p>
    <w:p w14:paraId="0CF6F7B1">
      <w:pPr>
        <w:spacing w:line="560" w:lineRule="exact"/>
        <w:ind w:firstLine="480" w:firstLineChars="200"/>
        <w:rPr>
          <w:rFonts w:ascii="宋体" w:hAnsi="宋体" w:cs="宋体"/>
          <w:b/>
          <w:color w:val="auto"/>
          <w:sz w:val="24"/>
        </w:rPr>
      </w:pPr>
      <w:r>
        <w:rPr>
          <w:rFonts w:hint="eastAsia" w:ascii="宋体" w:hAnsi="宋体" w:cs="宋体"/>
          <w:bCs/>
          <w:color w:val="auto"/>
          <w:sz w:val="24"/>
        </w:rPr>
        <w:t>23.1出现下列情形之一时，采购人有权宣布竞争性磋商终止，并将理由通知所有供应商：</w:t>
      </w:r>
    </w:p>
    <w:p w14:paraId="2AC5200E">
      <w:pPr>
        <w:spacing w:line="560" w:lineRule="exact"/>
        <w:ind w:firstLine="480" w:firstLineChars="200"/>
        <w:rPr>
          <w:rFonts w:ascii="宋体" w:hAnsi="宋体" w:cs="宋体"/>
          <w:color w:val="auto"/>
          <w:sz w:val="24"/>
        </w:rPr>
      </w:pPr>
      <w:r>
        <w:rPr>
          <w:rFonts w:hint="eastAsia" w:ascii="宋体" w:hAnsi="宋体" w:cs="宋体"/>
          <w:color w:val="auto"/>
          <w:sz w:val="24"/>
        </w:rPr>
        <w:t>（1）因情况变化，不再符合竞争性磋商适用情形的；</w:t>
      </w:r>
    </w:p>
    <w:p w14:paraId="654771E6">
      <w:pPr>
        <w:spacing w:line="560" w:lineRule="exact"/>
        <w:ind w:firstLine="480" w:firstLineChars="200"/>
        <w:rPr>
          <w:rFonts w:ascii="宋体" w:hAnsi="宋体" w:cs="宋体"/>
          <w:color w:val="auto"/>
          <w:sz w:val="24"/>
        </w:rPr>
      </w:pPr>
      <w:r>
        <w:rPr>
          <w:rFonts w:hint="eastAsia" w:ascii="宋体" w:hAnsi="宋体" w:cs="宋体"/>
          <w:color w:val="auto"/>
          <w:sz w:val="24"/>
        </w:rPr>
        <w:t>（2）出现影响采购公正的违法、违规行为的；</w:t>
      </w:r>
    </w:p>
    <w:p w14:paraId="0B37828B">
      <w:pPr>
        <w:spacing w:line="560" w:lineRule="exact"/>
        <w:ind w:firstLine="480" w:firstLineChars="200"/>
        <w:rPr>
          <w:rFonts w:ascii="宋体" w:hAnsi="宋体" w:cs="宋体"/>
          <w:color w:val="auto"/>
          <w:sz w:val="24"/>
        </w:rPr>
      </w:pPr>
      <w:r>
        <w:rPr>
          <w:rFonts w:hint="eastAsia" w:ascii="宋体" w:hAnsi="宋体" w:cs="宋体"/>
          <w:color w:val="auto"/>
          <w:sz w:val="24"/>
        </w:rPr>
        <w:t>（3）在采购过程中符合磋商文件要求的供应商不足3家的；</w:t>
      </w:r>
    </w:p>
    <w:p w14:paraId="453E0E14">
      <w:pPr>
        <w:spacing w:line="560" w:lineRule="exact"/>
        <w:ind w:firstLine="480" w:firstLineChars="200"/>
        <w:rPr>
          <w:rFonts w:ascii="宋体" w:hAnsi="宋体" w:cs="宋体"/>
          <w:b/>
          <w:color w:val="auto"/>
          <w:sz w:val="24"/>
        </w:rPr>
      </w:pPr>
      <w:r>
        <w:rPr>
          <w:rFonts w:hint="eastAsia" w:ascii="宋体" w:hAnsi="宋体" w:cs="宋体"/>
          <w:color w:val="auto"/>
          <w:sz w:val="24"/>
        </w:rPr>
        <w:t>（4）在采购活动中因重大变故，采购任务取消的；</w:t>
      </w:r>
    </w:p>
    <w:p w14:paraId="2AAFCB22">
      <w:pPr>
        <w:spacing w:line="720" w:lineRule="auto"/>
        <w:jc w:val="center"/>
        <w:rPr>
          <w:rFonts w:ascii="宋体" w:hAnsi="宋体" w:cs="宋体"/>
          <w:b/>
          <w:color w:val="auto"/>
          <w:sz w:val="24"/>
        </w:rPr>
      </w:pPr>
      <w:r>
        <w:rPr>
          <w:rFonts w:hint="eastAsia" w:ascii="宋体" w:hAnsi="宋体" w:cs="宋体"/>
          <w:b/>
          <w:color w:val="auto"/>
          <w:sz w:val="24"/>
        </w:rPr>
        <w:t>七、成交通知</w:t>
      </w:r>
    </w:p>
    <w:p w14:paraId="7102C9BC">
      <w:pPr>
        <w:spacing w:line="560" w:lineRule="exact"/>
        <w:ind w:firstLine="482" w:firstLineChars="200"/>
        <w:rPr>
          <w:rFonts w:ascii="宋体" w:hAnsi="宋体" w:cs="宋体"/>
          <w:b/>
          <w:color w:val="auto"/>
          <w:sz w:val="24"/>
        </w:rPr>
      </w:pPr>
      <w:r>
        <w:rPr>
          <w:rFonts w:hint="eastAsia" w:ascii="宋体" w:hAnsi="宋体" w:cs="宋体"/>
          <w:b/>
          <w:color w:val="auto"/>
          <w:sz w:val="24"/>
        </w:rPr>
        <w:t>24.成交通知</w:t>
      </w:r>
    </w:p>
    <w:p w14:paraId="4E68563E">
      <w:pPr>
        <w:shd w:val="clear"/>
        <w:tabs>
          <w:tab w:val="left" w:pos="1800"/>
        </w:tabs>
        <w:spacing w:line="560" w:lineRule="auto"/>
        <w:ind w:firstLine="480"/>
        <w:rPr>
          <w:rFonts w:ascii="宋体" w:hAnsi="宋体" w:eastAsia="宋体" w:cs="宋体"/>
          <w:color w:val="auto"/>
          <w:sz w:val="24"/>
          <w:highlight w:val="none"/>
        </w:rPr>
      </w:pPr>
      <w:r>
        <w:rPr>
          <w:rFonts w:ascii="宋体" w:hAnsi="宋体" w:eastAsia="宋体" w:cs="宋体"/>
          <w:color w:val="auto"/>
          <w:sz w:val="24"/>
          <w:highlight w:val="none"/>
        </w:rPr>
        <w:t>24.1在发出成交公告后请采购人、中标人登录周口市公共资源交易中心网（http://jyzx.zhoukou.gov.cn）自行下载成交通知书，成交通知书将作为签订合同的依据。</w:t>
      </w:r>
    </w:p>
    <w:p w14:paraId="562098A1">
      <w:pPr>
        <w:tabs>
          <w:tab w:val="left" w:pos="1800"/>
        </w:tabs>
        <w:spacing w:line="560" w:lineRule="exact"/>
        <w:ind w:firstLine="480" w:firstLineChars="200"/>
        <w:rPr>
          <w:rFonts w:ascii="宋体" w:hAnsi="宋体" w:cs="宋体"/>
          <w:color w:val="auto"/>
          <w:sz w:val="24"/>
        </w:rPr>
      </w:pPr>
      <w:r>
        <w:rPr>
          <w:rFonts w:hint="eastAsia" w:ascii="宋体" w:hAnsi="宋体" w:cs="宋体"/>
          <w:color w:val="auto"/>
          <w:sz w:val="24"/>
        </w:rPr>
        <w:t>24.</w:t>
      </w:r>
      <w:r>
        <w:rPr>
          <w:rFonts w:hint="eastAsia" w:ascii="宋体" w:hAnsi="宋体" w:cs="宋体"/>
          <w:color w:val="auto"/>
          <w:sz w:val="24"/>
          <w:lang w:val="en-US" w:eastAsia="zh-CN"/>
        </w:rPr>
        <w:t>2</w:t>
      </w:r>
      <w:r>
        <w:rPr>
          <w:rFonts w:hint="eastAsia" w:ascii="宋体" w:hAnsi="宋体" w:cs="宋体"/>
          <w:color w:val="auto"/>
          <w:sz w:val="24"/>
        </w:rPr>
        <w:t>成交通知书对采购人和成交供应商具有同等法律效力。成交通知书发出后，采购人改变成交结果，或者成交供应商放弃成交，应当承担相应的法律责任。</w:t>
      </w:r>
    </w:p>
    <w:p w14:paraId="37D99E2B">
      <w:pPr>
        <w:spacing w:line="720" w:lineRule="auto"/>
        <w:jc w:val="center"/>
        <w:rPr>
          <w:rFonts w:ascii="宋体" w:hAnsi="宋体" w:cs="宋体"/>
          <w:color w:val="auto"/>
          <w:sz w:val="24"/>
        </w:rPr>
      </w:pPr>
      <w:r>
        <w:rPr>
          <w:rFonts w:hint="eastAsia" w:ascii="宋体" w:hAnsi="宋体" w:cs="宋体"/>
          <w:b/>
          <w:color w:val="auto"/>
          <w:sz w:val="24"/>
        </w:rPr>
        <w:t>八、合同授予</w:t>
      </w:r>
    </w:p>
    <w:p w14:paraId="4B3C6662">
      <w:pPr>
        <w:tabs>
          <w:tab w:val="left" w:pos="1620"/>
        </w:tabs>
        <w:spacing w:line="560" w:lineRule="exact"/>
        <w:ind w:firstLine="482" w:firstLineChars="200"/>
        <w:rPr>
          <w:rFonts w:ascii="宋体" w:hAnsi="宋体" w:cs="宋体"/>
          <w:b/>
          <w:color w:val="auto"/>
          <w:sz w:val="24"/>
        </w:rPr>
      </w:pPr>
      <w:r>
        <w:rPr>
          <w:rFonts w:hint="eastAsia" w:ascii="宋体" w:hAnsi="宋体" w:cs="宋体"/>
          <w:b/>
          <w:color w:val="auto"/>
          <w:sz w:val="24"/>
        </w:rPr>
        <w:t>25.签订合同及合同的执行</w:t>
      </w:r>
    </w:p>
    <w:p w14:paraId="6A758811">
      <w:pPr>
        <w:spacing w:line="560" w:lineRule="exact"/>
        <w:ind w:firstLine="480" w:firstLineChars="200"/>
        <w:rPr>
          <w:rFonts w:ascii="宋体" w:hAnsi="宋体" w:cs="宋体"/>
          <w:color w:val="auto"/>
          <w:sz w:val="24"/>
        </w:rPr>
      </w:pPr>
      <w:r>
        <w:rPr>
          <w:rFonts w:hint="eastAsia" w:ascii="宋体" w:hAnsi="宋体" w:cs="宋体"/>
          <w:color w:val="auto"/>
          <w:sz w:val="24"/>
        </w:rPr>
        <w:t>25.1采购人、成交供应商按照竞争性磋商文件确定的合同文本签订政府采购合同。签订合同后，成交供应商不得将本项目及其他相关服务进行转包。未经采购人同意，成交供应商不得采用分包的形式履行合同。否则采购人有权终止合同。转包或分包造成采购人损失的，成交供应商还应承担相应赔偿责任，本项供应商需提供书面承诺，未提供承诺的供应商将拒绝其参与本次政府采购活动。</w:t>
      </w:r>
    </w:p>
    <w:p w14:paraId="1D7DAF5E">
      <w:pPr>
        <w:spacing w:line="560" w:lineRule="exact"/>
        <w:ind w:firstLine="480" w:firstLineChars="200"/>
        <w:rPr>
          <w:rFonts w:ascii="宋体" w:hAnsi="宋体" w:cs="宋体"/>
          <w:color w:val="auto"/>
          <w:sz w:val="24"/>
        </w:rPr>
      </w:pPr>
      <w:r>
        <w:rPr>
          <w:rFonts w:hint="eastAsia" w:ascii="宋体" w:hAnsi="宋体" w:cs="宋体"/>
          <w:color w:val="auto"/>
          <w:sz w:val="24"/>
        </w:rPr>
        <w:t>25.2采购人不得向成交供应商提出超过竞争性磋商文件以外的任何要求作为签订合同的条件，不得与成交供应商订立背离竞争性磋商文件确定的合同文本协议。</w:t>
      </w:r>
    </w:p>
    <w:p w14:paraId="6EF0F147">
      <w:pPr>
        <w:spacing w:line="560" w:lineRule="exact"/>
        <w:ind w:firstLine="480" w:firstLineChars="200"/>
        <w:rPr>
          <w:rFonts w:ascii="宋体" w:hAnsi="宋体" w:cs="宋体"/>
          <w:color w:val="auto"/>
          <w:sz w:val="24"/>
        </w:rPr>
      </w:pPr>
      <w:r>
        <w:rPr>
          <w:rFonts w:hint="eastAsia" w:ascii="宋体" w:hAnsi="宋体" w:cs="宋体"/>
          <w:color w:val="auto"/>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3982CA0C">
      <w:pPr>
        <w:spacing w:line="720" w:lineRule="auto"/>
        <w:jc w:val="center"/>
        <w:rPr>
          <w:rFonts w:ascii="宋体" w:hAnsi="宋体" w:cs="宋体"/>
          <w:b/>
          <w:color w:val="auto"/>
          <w:sz w:val="24"/>
        </w:rPr>
      </w:pPr>
      <w:r>
        <w:rPr>
          <w:rFonts w:hint="eastAsia" w:ascii="宋体" w:hAnsi="宋体" w:cs="宋体"/>
          <w:b/>
          <w:color w:val="auto"/>
          <w:sz w:val="24"/>
        </w:rPr>
        <w:t>九、质疑处理</w:t>
      </w:r>
    </w:p>
    <w:p w14:paraId="2B716EDA">
      <w:pPr>
        <w:pStyle w:val="2"/>
        <w:spacing w:line="560" w:lineRule="exact"/>
        <w:ind w:firstLine="482" w:firstLineChars="200"/>
        <w:jc w:val="both"/>
        <w:rPr>
          <w:rFonts w:ascii="宋体" w:hAnsi="宋体" w:cs="宋体"/>
          <w:b/>
          <w:color w:val="auto"/>
          <w:sz w:val="24"/>
        </w:rPr>
      </w:pPr>
      <w:r>
        <w:rPr>
          <w:rFonts w:hint="eastAsia" w:ascii="宋体" w:hAnsi="宋体" w:cs="宋体"/>
          <w:b/>
          <w:color w:val="auto"/>
          <w:sz w:val="24"/>
        </w:rPr>
        <w:t>26.质疑程序及处理</w:t>
      </w:r>
    </w:p>
    <w:p w14:paraId="6B27018F">
      <w:pPr>
        <w:spacing w:line="560" w:lineRule="exact"/>
        <w:ind w:firstLine="480" w:firstLineChars="200"/>
        <w:rPr>
          <w:rFonts w:ascii="宋体" w:hAnsi="宋体" w:cs="宋体"/>
          <w:color w:val="auto"/>
          <w:sz w:val="24"/>
        </w:rPr>
      </w:pPr>
      <w:r>
        <w:rPr>
          <w:rFonts w:hint="eastAsia" w:ascii="宋体" w:hAnsi="宋体" w:cs="宋体"/>
          <w:color w:val="auto"/>
          <w:sz w:val="24"/>
        </w:rPr>
        <w:t>26.1</w:t>
      </w:r>
      <w:r>
        <w:rPr>
          <w:rFonts w:hint="eastAsia" w:ascii="宋体" w:hAnsi="宋体" w:cs="宋体"/>
          <w:bCs/>
          <w:color w:val="auto"/>
          <w:sz w:val="24"/>
        </w:rPr>
        <w:t>投标人认为采购过程、成交结果使自己的合法权益受到损害的，可以在知道或应当知道自己的权益受到损害之日起7个工作日内，由投标人授权代表（或法人代表）按照相关规定，向采购人提出质疑，逾期不予受理。</w:t>
      </w:r>
    </w:p>
    <w:p w14:paraId="4E7D9AD8">
      <w:pPr>
        <w:spacing w:line="560" w:lineRule="exact"/>
        <w:ind w:firstLine="480" w:firstLineChars="200"/>
        <w:rPr>
          <w:rFonts w:ascii="宋体" w:hAnsi="宋体" w:cs="宋体"/>
          <w:color w:val="auto"/>
          <w:sz w:val="24"/>
        </w:rPr>
      </w:pPr>
      <w:r>
        <w:rPr>
          <w:rFonts w:hint="eastAsia" w:ascii="宋体" w:hAnsi="宋体" w:cs="宋体"/>
          <w:color w:val="auto"/>
          <w:sz w:val="24"/>
        </w:rPr>
        <w:t>26.2采购人在收到供应商的书面质疑后七个工作日内做出答复，并以书面形式通知质疑供应商和其他供应商，但答复内容不得涉及商业秘密。</w:t>
      </w:r>
    </w:p>
    <w:p w14:paraId="12FFD8EF">
      <w:pPr>
        <w:spacing w:line="560" w:lineRule="exact"/>
        <w:ind w:firstLine="480" w:firstLineChars="200"/>
        <w:rPr>
          <w:rFonts w:ascii="宋体" w:hAnsi="宋体" w:cs="宋体"/>
          <w:bCs/>
          <w:color w:val="auto"/>
          <w:sz w:val="24"/>
        </w:rPr>
      </w:pPr>
      <w:r>
        <w:rPr>
          <w:rFonts w:hint="eastAsia" w:ascii="宋体" w:hAnsi="宋体" w:cs="宋体"/>
          <w:color w:val="auto"/>
          <w:sz w:val="24"/>
        </w:rPr>
        <w:t>26.3</w:t>
      </w:r>
      <w:r>
        <w:rPr>
          <w:rFonts w:hint="eastAsia" w:ascii="宋体" w:hAnsi="宋体" w:cs="宋体"/>
          <w:bCs/>
          <w:color w:val="auto"/>
          <w:sz w:val="24"/>
        </w:rPr>
        <w:t>质疑供应商行使质疑权时，必须遵守“实事求是”和“谨慎性”原则，承担使用虚假材料或恶意方式质疑的法律责任，</w:t>
      </w:r>
      <w:r>
        <w:rPr>
          <w:rFonts w:hint="eastAsia" w:ascii="宋体" w:hAnsi="宋体" w:cs="宋体"/>
          <w:color w:val="auto"/>
          <w:sz w:val="24"/>
        </w:rPr>
        <w:t>采购人</w:t>
      </w:r>
      <w:r>
        <w:rPr>
          <w:rFonts w:hint="eastAsia" w:ascii="宋体" w:hAnsi="宋体" w:cs="宋体"/>
          <w:bCs/>
          <w:color w:val="auto"/>
          <w:sz w:val="24"/>
        </w:rPr>
        <w:t>将遵循“谁过错谁负担”的原则，由过错方提交相关的调查论证费用。</w:t>
      </w:r>
    </w:p>
    <w:p w14:paraId="67E552D8">
      <w:pPr>
        <w:spacing w:line="560" w:lineRule="exact"/>
        <w:ind w:firstLine="480" w:firstLineChars="200"/>
        <w:rPr>
          <w:rFonts w:ascii="宋体" w:hAnsi="宋体" w:cs="宋体"/>
          <w:color w:val="auto"/>
          <w:sz w:val="24"/>
        </w:rPr>
      </w:pPr>
      <w:r>
        <w:rPr>
          <w:rFonts w:hint="eastAsia" w:ascii="宋体" w:hAnsi="宋体" w:cs="宋体"/>
          <w:color w:val="auto"/>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1668A966">
      <w:pPr>
        <w:spacing w:line="560" w:lineRule="exact"/>
        <w:rPr>
          <w:rFonts w:ascii="宋体" w:hAnsi="宋体" w:cs="宋体"/>
          <w:color w:val="auto"/>
          <w:sz w:val="24"/>
        </w:rPr>
        <w:sectPr>
          <w:headerReference r:id="rId3" w:type="default"/>
          <w:footerReference r:id="rId4" w:type="default"/>
          <w:pgSz w:w="11907" w:h="16840"/>
          <w:pgMar w:top="1701" w:right="1701" w:bottom="1701" w:left="1701" w:header="851" w:footer="992" w:gutter="0"/>
          <w:pgNumType w:fmt="decimal" w:start="1"/>
          <w:cols w:space="720" w:num="1"/>
          <w:docGrid w:type="lines" w:linePitch="312" w:charSpace="0"/>
        </w:sectPr>
      </w:pPr>
    </w:p>
    <w:p w14:paraId="6431D16B">
      <w:pPr>
        <w:jc w:val="center"/>
        <w:rPr>
          <w:rFonts w:ascii="宋体" w:hAnsi="宋体" w:cs="宋体"/>
          <w:b/>
          <w:color w:val="auto"/>
          <w:sz w:val="28"/>
          <w:szCs w:val="28"/>
        </w:rPr>
      </w:pPr>
      <w:r>
        <w:rPr>
          <w:rFonts w:hint="eastAsia" w:ascii="宋体" w:hAnsi="宋体" w:cs="宋体"/>
          <w:b/>
          <w:color w:val="auto"/>
          <w:sz w:val="28"/>
          <w:szCs w:val="28"/>
        </w:rPr>
        <w:t>第三章 采购项目内容及要求</w:t>
      </w:r>
    </w:p>
    <w:p w14:paraId="1BBADA47">
      <w:pPr>
        <w:keepNext w:val="0"/>
        <w:keepLines w:val="0"/>
        <w:pageBreakBefore w:val="0"/>
        <w:widowControl w:val="0"/>
        <w:kinsoku/>
        <w:wordWrap/>
        <w:overflowPunct/>
        <w:topLinePunct w:val="0"/>
        <w:autoSpaceDE/>
        <w:autoSpaceDN/>
        <w:bidi w:val="0"/>
        <w:adjustRightInd/>
        <w:snapToGrid/>
        <w:spacing w:line="408" w:lineRule="auto"/>
        <w:ind w:firstLine="480" w:firstLineChars="200"/>
        <w:textAlignment w:val="auto"/>
        <w:rPr>
          <w:rFonts w:hint="eastAsia" w:ascii="宋体" w:hAnsi="宋体" w:cs="宋体"/>
          <w:color w:val="auto"/>
          <w:sz w:val="24"/>
          <w:lang w:val="zh-CN"/>
        </w:rPr>
      </w:pPr>
    </w:p>
    <w:p w14:paraId="7B951FBF">
      <w:pPr>
        <w:ind w:firstLine="241" w:firstLineChars="100"/>
        <w:jc w:val="left"/>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周口市淮阳区气象局区域站迭代升级改造项目</w:t>
      </w:r>
      <w:r>
        <w:rPr>
          <w:rFonts w:hint="eastAsia" w:ascii="宋体" w:hAnsi="宋体" w:eastAsia="宋体" w:cs="宋体"/>
          <w:b/>
          <w:color w:val="auto"/>
          <w:sz w:val="24"/>
          <w:szCs w:val="24"/>
        </w:rPr>
        <w:t>采购需求</w:t>
      </w:r>
    </w:p>
    <w:p w14:paraId="539A1496">
      <w:pPr>
        <w:spacing w:line="560" w:lineRule="exact"/>
        <w:rPr>
          <w:rFonts w:hint="eastAsia" w:ascii="宋体" w:hAnsi="宋体" w:cs="宋体"/>
          <w:b/>
          <w:bCs/>
          <w:color w:val="auto"/>
          <w:sz w:val="24"/>
          <w:szCs w:val="24"/>
        </w:rPr>
      </w:pPr>
      <w:r>
        <w:rPr>
          <w:rFonts w:hint="eastAsia" w:ascii="宋体" w:hAnsi="宋体" w:cs="宋体"/>
          <w:b/>
          <w:bCs/>
          <w:color w:val="auto"/>
          <w:sz w:val="24"/>
          <w:szCs w:val="24"/>
        </w:rPr>
        <w:t>一、采购标的需实现的功能或者目标</w:t>
      </w:r>
    </w:p>
    <w:p w14:paraId="69964D13">
      <w:pPr>
        <w:spacing w:line="560" w:lineRule="exact"/>
        <w:ind w:firstLine="480" w:firstLineChars="200"/>
        <w:rPr>
          <w:rFonts w:hint="eastAsia" w:ascii="宋体" w:hAnsi="宋体" w:cs="宋体"/>
          <w:color w:val="auto"/>
          <w:sz w:val="24"/>
        </w:rPr>
      </w:pPr>
      <w:r>
        <w:rPr>
          <w:rFonts w:hint="eastAsia" w:ascii="宋体" w:hAnsi="宋体" w:cs="宋体"/>
          <w:color w:val="auto"/>
          <w:sz w:val="24"/>
        </w:rPr>
        <w:t>该项目需对淮阳区内的区域</w:t>
      </w:r>
      <w:r>
        <w:rPr>
          <w:rFonts w:hint="eastAsia" w:ascii="宋体" w:hAnsi="宋体" w:cs="宋体"/>
          <w:color w:val="auto"/>
          <w:sz w:val="24"/>
          <w:lang w:eastAsia="zh-CN"/>
        </w:rPr>
        <w:t>站</w:t>
      </w:r>
      <w:r>
        <w:rPr>
          <w:rFonts w:hint="eastAsia" w:ascii="宋体" w:hAnsi="宋体" w:cs="宋体"/>
          <w:color w:val="auto"/>
          <w:sz w:val="24"/>
        </w:rPr>
        <w:t>网9个站点</w:t>
      </w:r>
      <w:r>
        <w:rPr>
          <w:rFonts w:hint="eastAsia" w:ascii="宋体" w:hAnsi="宋体" w:cs="宋体"/>
          <w:color w:val="auto"/>
          <w:sz w:val="24"/>
          <w:lang w:eastAsia="zh-CN"/>
        </w:rPr>
        <w:t>老化设备</w:t>
      </w:r>
      <w:r>
        <w:rPr>
          <w:rFonts w:hint="eastAsia" w:ascii="宋体" w:hAnsi="宋体" w:cs="宋体"/>
          <w:color w:val="auto"/>
          <w:sz w:val="24"/>
        </w:rPr>
        <w:t>全面更换，更换后保障气象数据采集需求</w:t>
      </w:r>
      <w:r>
        <w:rPr>
          <w:rFonts w:hint="eastAsia" w:ascii="宋体" w:hAnsi="宋体" w:cs="宋体"/>
          <w:color w:val="auto"/>
          <w:sz w:val="24"/>
          <w:lang w:eastAsia="zh-CN"/>
        </w:rPr>
        <w:t>；</w:t>
      </w:r>
      <w:r>
        <w:rPr>
          <w:rFonts w:hint="eastAsia" w:ascii="宋体" w:hAnsi="宋体" w:cs="宋体"/>
          <w:color w:val="auto"/>
          <w:sz w:val="24"/>
        </w:rPr>
        <w:t>通过对</w:t>
      </w:r>
      <w:r>
        <w:rPr>
          <w:rFonts w:hint="eastAsia" w:ascii="宋体" w:hAnsi="宋体" w:cs="宋体"/>
          <w:color w:val="auto"/>
          <w:sz w:val="24"/>
          <w:lang w:val="en-US" w:eastAsia="zh-CN"/>
        </w:rPr>
        <w:t>淮阳区</w:t>
      </w:r>
      <w:r>
        <w:rPr>
          <w:rFonts w:hint="eastAsia" w:ascii="宋体" w:hAnsi="宋体" w:cs="宋体"/>
          <w:color w:val="auto"/>
          <w:sz w:val="24"/>
        </w:rPr>
        <w:t>气象站</w:t>
      </w:r>
      <w:r>
        <w:rPr>
          <w:rFonts w:hint="eastAsia" w:ascii="宋体" w:hAnsi="宋体" w:cs="宋体"/>
          <w:color w:val="auto"/>
          <w:sz w:val="24"/>
          <w:lang w:eastAsia="zh-CN"/>
        </w:rPr>
        <w:t>区域站</w:t>
      </w:r>
      <w:r>
        <w:rPr>
          <w:rFonts w:hint="eastAsia" w:ascii="宋体" w:hAnsi="宋体" w:cs="宋体"/>
          <w:color w:val="auto"/>
          <w:sz w:val="24"/>
        </w:rPr>
        <w:t>的升级改造，实现天气预报、防汛抗旱、</w:t>
      </w:r>
      <w:r>
        <w:rPr>
          <w:rFonts w:hint="eastAsia" w:ascii="宋体" w:hAnsi="宋体" w:cs="宋体"/>
          <w:color w:val="auto"/>
          <w:sz w:val="24"/>
          <w:lang w:val="en-US" w:eastAsia="zh-CN"/>
        </w:rPr>
        <w:t>防灾减灾</w:t>
      </w:r>
      <w:r>
        <w:rPr>
          <w:rFonts w:hint="eastAsia" w:ascii="宋体" w:hAnsi="宋体" w:cs="宋体"/>
          <w:color w:val="auto"/>
          <w:sz w:val="24"/>
        </w:rPr>
        <w:t>、公众气象等业务高效运行，更好地为本地经济发展和社会和谐发展提供气象服务。</w:t>
      </w:r>
    </w:p>
    <w:p w14:paraId="6E9D52D0">
      <w:pPr>
        <w:spacing w:line="560" w:lineRule="exact"/>
        <w:rPr>
          <w:rFonts w:hint="eastAsia" w:ascii="宋体" w:hAnsi="宋体" w:cs="宋体"/>
          <w:b/>
          <w:bCs/>
          <w:color w:val="auto"/>
          <w:sz w:val="24"/>
          <w:szCs w:val="24"/>
        </w:rPr>
      </w:pPr>
      <w:r>
        <w:rPr>
          <w:rFonts w:hint="eastAsia" w:ascii="宋体" w:hAnsi="宋体" w:cs="宋体"/>
          <w:b/>
          <w:bCs/>
          <w:color w:val="auto"/>
          <w:sz w:val="24"/>
          <w:szCs w:val="24"/>
          <w:lang w:eastAsia="zh-CN"/>
        </w:rPr>
        <w:t>二</w:t>
      </w:r>
      <w:r>
        <w:rPr>
          <w:rFonts w:hint="eastAsia" w:ascii="宋体" w:hAnsi="宋体" w:cs="宋体"/>
          <w:b/>
          <w:bCs/>
          <w:color w:val="auto"/>
          <w:sz w:val="24"/>
          <w:szCs w:val="24"/>
        </w:rPr>
        <w:t>、采购标的</w:t>
      </w:r>
      <w:r>
        <w:rPr>
          <w:rFonts w:hint="eastAsia" w:ascii="宋体" w:hAnsi="宋体" w:cs="宋体"/>
          <w:b/>
          <w:bCs/>
          <w:color w:val="auto"/>
          <w:sz w:val="24"/>
          <w:szCs w:val="24"/>
          <w:lang w:val="en-US" w:eastAsia="zh-CN"/>
        </w:rPr>
        <w:t>技术参数和数量</w:t>
      </w:r>
    </w:p>
    <w:p w14:paraId="1E702156">
      <w:pPr>
        <w:spacing w:line="560" w:lineRule="exact"/>
        <w:ind w:firstLine="480" w:firstLineChars="200"/>
        <w:rPr>
          <w:rFonts w:hint="eastAsia" w:ascii="宋体" w:hAnsi="宋体" w:cs="宋体" w:eastAsiaTheme="minorEastAsia"/>
          <w:color w:val="auto"/>
          <w:sz w:val="24"/>
          <w:lang w:val="en-US" w:eastAsia="zh-CN"/>
        </w:rPr>
      </w:pPr>
      <w:r>
        <w:rPr>
          <w:rFonts w:hint="eastAsia" w:ascii="宋体" w:hAnsi="宋体" w:cs="宋体"/>
          <w:color w:val="auto"/>
          <w:sz w:val="24"/>
        </w:rPr>
        <w:t>1、</w:t>
      </w:r>
      <w:r>
        <w:rPr>
          <w:rFonts w:hint="eastAsia" w:ascii="宋体" w:hAnsi="宋体" w:cs="宋体"/>
          <w:color w:val="auto"/>
          <w:sz w:val="24"/>
          <w:lang w:eastAsia="zh-CN"/>
        </w:rPr>
        <w:t>采购需求</w:t>
      </w:r>
    </w:p>
    <w:tbl>
      <w:tblPr>
        <w:tblStyle w:val="21"/>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238"/>
        <w:gridCol w:w="4931"/>
        <w:gridCol w:w="675"/>
        <w:gridCol w:w="693"/>
        <w:gridCol w:w="675"/>
      </w:tblGrid>
      <w:tr w14:paraId="59C1D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67501E60">
            <w:pPr>
              <w:adjustRightInd w:val="0"/>
              <w:snapToGrid w:val="0"/>
              <w:spacing w:line="360" w:lineRule="auto"/>
              <w:jc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2"/>
                <w:szCs w:val="22"/>
              </w:rPr>
              <w:t>序号</w:t>
            </w:r>
          </w:p>
        </w:tc>
        <w:tc>
          <w:tcPr>
            <w:tcW w:w="1238" w:type="dxa"/>
            <w:vAlign w:val="center"/>
          </w:tcPr>
          <w:p w14:paraId="1165F227">
            <w:pPr>
              <w:adjustRightInd w:val="0"/>
              <w:snapToGrid w:val="0"/>
              <w:spacing w:line="360" w:lineRule="auto"/>
              <w:jc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2"/>
                <w:szCs w:val="22"/>
              </w:rPr>
              <w:t>设备名称</w:t>
            </w:r>
          </w:p>
        </w:tc>
        <w:tc>
          <w:tcPr>
            <w:tcW w:w="4931" w:type="dxa"/>
            <w:tcBorders>
              <w:right w:val="single" w:color="auto" w:sz="4" w:space="0"/>
            </w:tcBorders>
            <w:vAlign w:val="center"/>
          </w:tcPr>
          <w:p w14:paraId="2CD5DCED">
            <w:pPr>
              <w:adjustRightInd w:val="0"/>
              <w:snapToGrid w:val="0"/>
              <w:spacing w:line="360" w:lineRule="auto"/>
              <w:jc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2"/>
                <w:szCs w:val="22"/>
                <w:lang w:val="en-US" w:eastAsia="zh-CN"/>
              </w:rPr>
              <w:t>技术参数</w:t>
            </w:r>
          </w:p>
        </w:tc>
        <w:tc>
          <w:tcPr>
            <w:tcW w:w="675" w:type="dxa"/>
            <w:tcBorders>
              <w:top w:val="single" w:color="auto" w:sz="4" w:space="0"/>
              <w:left w:val="single" w:color="auto" w:sz="4" w:space="0"/>
              <w:bottom w:val="single" w:color="auto" w:sz="4" w:space="0"/>
              <w:right w:val="single" w:color="auto" w:sz="4" w:space="0"/>
            </w:tcBorders>
            <w:vAlign w:val="center"/>
          </w:tcPr>
          <w:p w14:paraId="51DBAA48">
            <w:pPr>
              <w:adjustRightInd w:val="0"/>
              <w:snapToGrid w:val="0"/>
              <w:spacing w:line="360" w:lineRule="auto"/>
              <w:jc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2"/>
                <w:szCs w:val="22"/>
                <w:vertAlign w:val="baseline"/>
                <w:lang w:val="en-US" w:eastAsia="zh-CN"/>
              </w:rPr>
              <w:t>单位</w:t>
            </w:r>
          </w:p>
        </w:tc>
        <w:tc>
          <w:tcPr>
            <w:tcW w:w="693" w:type="dxa"/>
            <w:tcBorders>
              <w:top w:val="single" w:color="auto" w:sz="4" w:space="0"/>
              <w:left w:val="single" w:color="auto" w:sz="4" w:space="0"/>
              <w:bottom w:val="single" w:color="auto" w:sz="4" w:space="0"/>
              <w:right w:val="single" w:color="auto" w:sz="4" w:space="0"/>
            </w:tcBorders>
            <w:vAlign w:val="center"/>
          </w:tcPr>
          <w:p w14:paraId="5A73F324">
            <w:pPr>
              <w:adjustRightInd w:val="0"/>
              <w:snapToGrid w:val="0"/>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数量</w:t>
            </w:r>
          </w:p>
        </w:tc>
        <w:tc>
          <w:tcPr>
            <w:tcW w:w="675" w:type="dxa"/>
            <w:tcBorders>
              <w:top w:val="single" w:color="auto" w:sz="4" w:space="0"/>
              <w:left w:val="single" w:color="auto" w:sz="4" w:space="0"/>
              <w:bottom w:val="single" w:color="auto" w:sz="4" w:space="0"/>
              <w:right w:val="single" w:color="auto" w:sz="4" w:space="0"/>
            </w:tcBorders>
            <w:vAlign w:val="center"/>
          </w:tcPr>
          <w:p w14:paraId="543390EA">
            <w:pPr>
              <w:adjustRightInd w:val="0"/>
              <w:snapToGrid w:val="0"/>
              <w:spacing w:line="360" w:lineRule="auto"/>
              <w:jc w:val="center"/>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备注</w:t>
            </w:r>
          </w:p>
        </w:tc>
      </w:tr>
      <w:tr w14:paraId="7C65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9347418">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1</w:t>
            </w:r>
          </w:p>
        </w:tc>
        <w:tc>
          <w:tcPr>
            <w:tcW w:w="1238" w:type="dxa"/>
            <w:vAlign w:val="center"/>
          </w:tcPr>
          <w:p w14:paraId="44B63B0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多要素自动气象观测站（六要素）</w:t>
            </w:r>
          </w:p>
        </w:tc>
        <w:tc>
          <w:tcPr>
            <w:tcW w:w="4931" w:type="dxa"/>
            <w:tcBorders>
              <w:right w:val="single" w:color="auto" w:sz="4" w:space="0"/>
            </w:tcBorders>
            <w:vAlign w:val="bottom"/>
          </w:tcPr>
          <w:p w14:paraId="20412F46">
            <w:pPr>
              <w:keepNext w:val="0"/>
              <w:keepLines w:val="0"/>
              <w:widowControl/>
              <w:numPr>
                <w:ilvl w:val="0"/>
                <w:numId w:val="3"/>
              </w:numPr>
              <w:suppressLineNumbers w:val="0"/>
              <w:spacing w:line="240" w:lineRule="auto"/>
              <w:jc w:val="left"/>
              <w:textAlignment w:val="bottom"/>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rPr>
              <w:t>气压</w:t>
            </w:r>
            <w:r>
              <w:rPr>
                <w:rFonts w:hint="eastAsia" w:ascii="宋体" w:hAnsi="宋体" w:eastAsia="宋体" w:cs="宋体"/>
                <w:color w:val="auto"/>
                <w:sz w:val="24"/>
                <w:szCs w:val="24"/>
                <w:vertAlign w:val="baseline"/>
                <w:lang w:eastAsia="zh-CN"/>
              </w:rPr>
              <w:t>：</w:t>
            </w:r>
          </w:p>
          <w:p w14:paraId="0DFFE7AD">
            <w:pPr>
              <w:keepNext w:val="0"/>
              <w:keepLines w:val="0"/>
              <w:widowControl/>
              <w:numPr>
                <w:ilvl w:val="0"/>
                <w:numId w:val="0"/>
              </w:numPr>
              <w:suppressLineNumbers w:val="0"/>
              <w:spacing w:line="240" w:lineRule="auto"/>
              <w:jc w:val="left"/>
              <w:textAlignment w:val="bottom"/>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w:t>
            </w:r>
            <w:r>
              <w:rPr>
                <w:rFonts w:hint="eastAsia" w:ascii="宋体" w:hAnsi="宋体" w:eastAsia="宋体" w:cs="宋体"/>
                <w:color w:val="auto"/>
                <w:sz w:val="24"/>
                <w:szCs w:val="24"/>
                <w:vertAlign w:val="baseline"/>
              </w:rPr>
              <w:t>范围</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lang w:val="en-US" w:eastAsia="zh-CN"/>
              </w:rPr>
              <w:t>50</w:t>
            </w:r>
            <w:r>
              <w:rPr>
                <w:rFonts w:hint="eastAsia" w:ascii="宋体" w:hAnsi="宋体" w:eastAsia="宋体" w:cs="宋体"/>
                <w:color w:val="auto"/>
                <w:sz w:val="24"/>
                <w:szCs w:val="24"/>
                <w:vertAlign w:val="baseline"/>
              </w:rPr>
              <w:t>0hPa~1100hPa</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分辨力</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0.1hPa</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最大允许误差</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±0.</w:t>
            </w:r>
            <w:r>
              <w:rPr>
                <w:rFonts w:hint="eastAsia" w:ascii="宋体" w:hAnsi="宋体" w:eastAsia="宋体" w:cs="宋体"/>
                <w:color w:val="auto"/>
                <w:sz w:val="24"/>
                <w:szCs w:val="24"/>
                <w:vertAlign w:val="baseline"/>
                <w:lang w:val="en-US" w:eastAsia="zh-CN"/>
              </w:rPr>
              <w:t>3</w:t>
            </w:r>
            <w:r>
              <w:rPr>
                <w:rFonts w:hint="eastAsia" w:ascii="宋体" w:hAnsi="宋体" w:eastAsia="宋体" w:cs="宋体"/>
                <w:color w:val="auto"/>
                <w:sz w:val="24"/>
                <w:szCs w:val="24"/>
                <w:vertAlign w:val="baseline"/>
              </w:rPr>
              <w:t>hPa</w:t>
            </w:r>
            <w:r>
              <w:rPr>
                <w:rFonts w:hint="eastAsia" w:ascii="宋体" w:hAnsi="宋体" w:eastAsia="宋体" w:cs="宋体"/>
                <w:color w:val="auto"/>
                <w:sz w:val="24"/>
                <w:szCs w:val="24"/>
                <w:vertAlign w:val="baseline"/>
                <w:lang w:val="en-US" w:eastAsia="zh-CN"/>
              </w:rPr>
              <w:t>；</w:t>
            </w:r>
          </w:p>
          <w:p w14:paraId="54A39F98">
            <w:pPr>
              <w:keepNext w:val="0"/>
              <w:keepLines w:val="0"/>
              <w:widowControl/>
              <w:numPr>
                <w:ilvl w:val="0"/>
                <w:numId w:val="3"/>
              </w:numPr>
              <w:suppressLineNumbers w:val="0"/>
              <w:spacing w:line="240" w:lineRule="auto"/>
              <w:ind w:left="0" w:leftChars="0" w:firstLine="0" w:firstLineChars="0"/>
              <w:jc w:val="left"/>
              <w:textAlignment w:val="bottom"/>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rPr>
              <w:t>气温</w:t>
            </w:r>
            <w:r>
              <w:rPr>
                <w:rFonts w:hint="eastAsia" w:ascii="宋体" w:hAnsi="宋体" w:eastAsia="宋体" w:cs="宋体"/>
                <w:color w:val="auto"/>
                <w:sz w:val="24"/>
                <w:szCs w:val="24"/>
                <w:vertAlign w:val="baseline"/>
                <w:lang w:eastAsia="zh-CN"/>
              </w:rPr>
              <w:t>：</w:t>
            </w:r>
          </w:p>
          <w:p w14:paraId="1CAAA3EA">
            <w:pPr>
              <w:keepNext w:val="0"/>
              <w:keepLines w:val="0"/>
              <w:widowControl/>
              <w:numPr>
                <w:ilvl w:val="0"/>
                <w:numId w:val="0"/>
              </w:numPr>
              <w:suppressLineNumbers w:val="0"/>
              <w:spacing w:line="240" w:lineRule="auto"/>
              <w:ind w:leftChars="0"/>
              <w:jc w:val="left"/>
              <w:textAlignment w:val="bottom"/>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rPr>
              <w:t>范围</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-50℃~50℃</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分辨力</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 xml:space="preserve"> 0.1℃</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最大允许误差</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0.</w:t>
            </w:r>
            <w:r>
              <w:rPr>
                <w:rFonts w:hint="eastAsia" w:ascii="宋体" w:hAnsi="宋体" w:eastAsia="宋体" w:cs="宋体"/>
                <w:color w:val="auto"/>
                <w:sz w:val="24"/>
                <w:szCs w:val="24"/>
                <w:vertAlign w:val="baseline"/>
                <w:lang w:val="en-US" w:eastAsia="zh-CN"/>
              </w:rPr>
              <w:t>2</w:t>
            </w:r>
            <w:r>
              <w:rPr>
                <w:rFonts w:hint="eastAsia" w:ascii="宋体" w:hAnsi="宋体" w:eastAsia="宋体" w:cs="宋体"/>
                <w:color w:val="auto"/>
                <w:sz w:val="24"/>
                <w:szCs w:val="24"/>
                <w:vertAlign w:val="baseline"/>
              </w:rPr>
              <w:t>℃</w:t>
            </w:r>
            <w:r>
              <w:rPr>
                <w:rFonts w:hint="eastAsia" w:ascii="宋体" w:hAnsi="宋体" w:eastAsia="宋体" w:cs="宋体"/>
                <w:color w:val="auto"/>
                <w:sz w:val="24"/>
                <w:szCs w:val="24"/>
                <w:vertAlign w:val="baseline"/>
                <w:lang w:val="en-US" w:eastAsia="zh-CN"/>
              </w:rPr>
              <w:t>；</w:t>
            </w:r>
          </w:p>
          <w:p w14:paraId="2E8FE50E">
            <w:pPr>
              <w:keepNext w:val="0"/>
              <w:keepLines w:val="0"/>
              <w:widowControl/>
              <w:numPr>
                <w:ilvl w:val="0"/>
                <w:numId w:val="3"/>
              </w:numPr>
              <w:suppressLineNumbers w:val="0"/>
              <w:spacing w:line="240" w:lineRule="auto"/>
              <w:ind w:left="0" w:leftChars="0" w:firstLine="0" w:firstLineChars="0"/>
              <w:jc w:val="left"/>
              <w:textAlignment w:val="bottom"/>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rPr>
              <w:t>湿度</w:t>
            </w:r>
            <w:r>
              <w:rPr>
                <w:rFonts w:hint="eastAsia" w:ascii="宋体" w:hAnsi="宋体" w:eastAsia="宋体" w:cs="宋体"/>
                <w:color w:val="auto"/>
                <w:sz w:val="24"/>
                <w:szCs w:val="24"/>
                <w:vertAlign w:val="baseline"/>
                <w:lang w:eastAsia="zh-CN"/>
              </w:rPr>
              <w:t>：</w:t>
            </w:r>
          </w:p>
          <w:p w14:paraId="60CB32CC">
            <w:pPr>
              <w:keepNext w:val="0"/>
              <w:keepLines w:val="0"/>
              <w:widowControl/>
              <w:numPr>
                <w:ilvl w:val="0"/>
                <w:numId w:val="0"/>
              </w:numPr>
              <w:suppressLineNumbers w:val="0"/>
              <w:spacing w:line="240" w:lineRule="auto"/>
              <w:ind w:leftChars="0"/>
              <w:jc w:val="left"/>
              <w:textAlignment w:val="bottom"/>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w:t>
            </w:r>
            <w:r>
              <w:rPr>
                <w:rFonts w:hint="eastAsia" w:ascii="宋体" w:hAnsi="宋体" w:eastAsia="宋体" w:cs="宋体"/>
                <w:color w:val="auto"/>
                <w:sz w:val="24"/>
                <w:szCs w:val="24"/>
                <w:vertAlign w:val="baseline"/>
              </w:rPr>
              <w:t>范围</w:t>
            </w:r>
            <w:r>
              <w:rPr>
                <w:rFonts w:hint="eastAsia" w:ascii="宋体" w:hAnsi="宋体" w:eastAsia="宋体" w:cs="宋体"/>
                <w:color w:val="auto"/>
                <w:sz w:val="24"/>
                <w:szCs w:val="24"/>
                <w:vertAlign w:val="baseline"/>
                <w:lang w:eastAsia="zh-CN"/>
              </w:rPr>
              <w:t>：5%～100%；</w:t>
            </w:r>
            <w:r>
              <w:rPr>
                <w:rFonts w:hint="eastAsia" w:ascii="宋体" w:hAnsi="宋体" w:eastAsia="宋体" w:cs="宋体"/>
                <w:color w:val="auto"/>
                <w:sz w:val="24"/>
                <w:szCs w:val="24"/>
                <w:vertAlign w:val="baseline"/>
              </w:rPr>
              <w:t>分辨力</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1%</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最大允许误差</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±4%（≤80%），±8%（＞80%）</w:t>
            </w:r>
            <w:r>
              <w:rPr>
                <w:rFonts w:hint="eastAsia" w:ascii="宋体" w:hAnsi="宋体" w:eastAsia="宋体" w:cs="宋体"/>
                <w:color w:val="auto"/>
                <w:sz w:val="24"/>
                <w:szCs w:val="24"/>
                <w:vertAlign w:val="baseline"/>
                <w:lang w:val="en-US" w:eastAsia="zh-CN"/>
              </w:rPr>
              <w:t>；</w:t>
            </w:r>
          </w:p>
          <w:p w14:paraId="1D5D44EE">
            <w:pPr>
              <w:keepNext w:val="0"/>
              <w:keepLines w:val="0"/>
              <w:widowControl/>
              <w:numPr>
                <w:ilvl w:val="0"/>
                <w:numId w:val="3"/>
              </w:numPr>
              <w:suppressLineNumbers w:val="0"/>
              <w:spacing w:line="240" w:lineRule="auto"/>
              <w:ind w:left="0" w:leftChars="0" w:firstLine="0" w:firstLineChars="0"/>
              <w:jc w:val="left"/>
              <w:textAlignment w:val="bottom"/>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rPr>
              <w:t>风向</w:t>
            </w:r>
            <w:r>
              <w:rPr>
                <w:rFonts w:hint="eastAsia" w:ascii="宋体" w:hAnsi="宋体" w:eastAsia="宋体" w:cs="宋体"/>
                <w:color w:val="auto"/>
                <w:sz w:val="24"/>
                <w:szCs w:val="24"/>
                <w:vertAlign w:val="baseline"/>
                <w:lang w:eastAsia="zh-CN"/>
              </w:rPr>
              <w:t>：</w:t>
            </w:r>
          </w:p>
          <w:p w14:paraId="70040C5E">
            <w:pPr>
              <w:keepNext w:val="0"/>
              <w:keepLines w:val="0"/>
              <w:widowControl/>
              <w:numPr>
                <w:ilvl w:val="0"/>
                <w:numId w:val="0"/>
              </w:numPr>
              <w:suppressLineNumbers w:val="0"/>
              <w:spacing w:line="240" w:lineRule="auto"/>
              <w:ind w:leftChars="0"/>
              <w:jc w:val="left"/>
              <w:textAlignment w:val="bottom"/>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rPr>
              <w:t>范围</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lang w:val="en-US" w:eastAsia="zh-CN"/>
              </w:rPr>
              <w:t>(</w:t>
            </w:r>
            <w:r>
              <w:rPr>
                <w:rFonts w:hint="eastAsia" w:ascii="宋体" w:hAnsi="宋体" w:eastAsia="宋体" w:cs="宋体"/>
                <w:color w:val="auto"/>
                <w:sz w:val="24"/>
                <w:szCs w:val="24"/>
                <w:vertAlign w:val="baseline"/>
              </w:rPr>
              <w:t>0~360</w:t>
            </w:r>
            <w:r>
              <w:rPr>
                <w:rFonts w:hint="eastAsia" w:ascii="宋体" w:hAnsi="宋体" w:eastAsia="宋体" w:cs="宋体"/>
                <w:color w:val="auto"/>
                <w:sz w:val="24"/>
                <w:szCs w:val="24"/>
                <w:vertAlign w:val="baseline"/>
                <w:lang w:val="en-US" w:eastAsia="zh-CN"/>
              </w:rPr>
              <w:t>)</w:t>
            </w:r>
            <w:r>
              <w:rPr>
                <w:rFonts w:hint="eastAsia" w:ascii="宋体" w:hAnsi="宋体" w:eastAsia="宋体" w:cs="宋体"/>
                <w:color w:val="auto"/>
                <w:sz w:val="24"/>
                <w:szCs w:val="24"/>
                <w:vertAlign w:val="baseline"/>
              </w:rPr>
              <w:t>°</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分辨力</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3°</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最大允许误差</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lang w:val="en-US" w:eastAsia="zh-CN"/>
              </w:rPr>
              <w:t>5</w:t>
            </w:r>
            <w:r>
              <w:rPr>
                <w:rFonts w:hint="eastAsia" w:ascii="宋体" w:hAnsi="宋体" w:eastAsia="宋体" w:cs="宋体"/>
                <w:color w:val="auto"/>
                <w:sz w:val="24"/>
                <w:szCs w:val="24"/>
                <w:vertAlign w:val="baseline"/>
              </w:rPr>
              <w:t>°</w:t>
            </w:r>
            <w:r>
              <w:rPr>
                <w:rFonts w:hint="eastAsia" w:ascii="宋体" w:hAnsi="宋体" w:eastAsia="宋体" w:cs="宋体"/>
                <w:color w:val="auto"/>
                <w:sz w:val="24"/>
                <w:szCs w:val="24"/>
                <w:vertAlign w:val="baseline"/>
                <w:lang w:val="en-US" w:eastAsia="zh-CN"/>
              </w:rPr>
              <w:t>；</w:t>
            </w:r>
          </w:p>
          <w:p w14:paraId="189E5920">
            <w:pPr>
              <w:widowControl/>
              <w:numPr>
                <w:ilvl w:val="0"/>
                <w:numId w:val="3"/>
              </w:numPr>
              <w:spacing w:line="240" w:lineRule="auto"/>
              <w:ind w:left="0" w:leftChars="0" w:firstLine="0" w:firstLineChars="0"/>
              <w:jc w:val="left"/>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rPr>
              <w:t>风速</w:t>
            </w:r>
            <w:r>
              <w:rPr>
                <w:rFonts w:hint="eastAsia" w:ascii="宋体" w:hAnsi="宋体" w:eastAsia="宋体" w:cs="宋体"/>
                <w:color w:val="auto"/>
                <w:sz w:val="24"/>
                <w:szCs w:val="24"/>
                <w:vertAlign w:val="baseline"/>
                <w:lang w:eastAsia="zh-CN"/>
              </w:rPr>
              <w:t>：</w:t>
            </w:r>
          </w:p>
          <w:p w14:paraId="00956EF5">
            <w:pPr>
              <w:widowControl/>
              <w:numPr>
                <w:ilvl w:val="0"/>
                <w:numId w:val="0"/>
              </w:numPr>
              <w:spacing w:line="240" w:lineRule="auto"/>
              <w:ind w:leftChars="0"/>
              <w:jc w:val="left"/>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w:t>
            </w:r>
            <w:r>
              <w:rPr>
                <w:rFonts w:hint="eastAsia" w:ascii="宋体" w:hAnsi="宋体" w:eastAsia="宋体" w:cs="宋体"/>
                <w:color w:val="auto"/>
                <w:sz w:val="24"/>
                <w:szCs w:val="24"/>
                <w:vertAlign w:val="baseline"/>
              </w:rPr>
              <w:t>范围</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(0~60)m/s</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分辨力</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0.1m/s</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最大允许误差</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±0.3m/s（≤10m/s）</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±（0.3+0.03V）m/s（＞10 m/s)</w:t>
            </w:r>
            <w:r>
              <w:rPr>
                <w:rFonts w:hint="eastAsia" w:ascii="宋体" w:hAnsi="宋体" w:eastAsia="宋体" w:cs="宋体"/>
                <w:color w:val="auto"/>
                <w:sz w:val="24"/>
                <w:szCs w:val="24"/>
                <w:vertAlign w:val="baseline"/>
                <w:lang w:val="en-US" w:eastAsia="zh-CN"/>
              </w:rPr>
              <w:t>；</w:t>
            </w:r>
          </w:p>
          <w:p w14:paraId="78A99895">
            <w:pPr>
              <w:widowControl/>
              <w:spacing w:line="240" w:lineRule="auto"/>
              <w:jc w:val="left"/>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rPr>
              <w:t>6、降水量</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翻斗</w:t>
            </w:r>
            <w:r>
              <w:rPr>
                <w:rFonts w:hint="eastAsia" w:ascii="宋体" w:hAnsi="宋体" w:eastAsia="宋体" w:cs="宋体"/>
                <w:color w:val="auto"/>
                <w:sz w:val="24"/>
                <w:szCs w:val="24"/>
                <w:vertAlign w:val="baseline"/>
                <w:lang w:eastAsia="zh-CN"/>
              </w:rPr>
              <w:t>）：</w:t>
            </w:r>
          </w:p>
          <w:p w14:paraId="011BAEA2">
            <w:pPr>
              <w:widowControl/>
              <w:spacing w:line="24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szCs w:val="24"/>
                <w:vertAlign w:val="baseline"/>
              </w:rPr>
              <w:t>范围</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雨强(0~4</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mm/min</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分辨力</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0.1mm</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最大允许误差</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 xml:space="preserve"> ±0.4mm（≤10mm）</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±4%（＞10mm）</w:t>
            </w:r>
            <w:r>
              <w:rPr>
                <w:rFonts w:hint="eastAsia" w:ascii="宋体" w:hAnsi="宋体" w:eastAsia="宋体" w:cs="宋体"/>
                <w:color w:val="auto"/>
                <w:sz w:val="24"/>
                <w:szCs w:val="24"/>
                <w:vertAlign w:val="baseline"/>
                <w:lang w:val="en-US" w:eastAsia="zh-CN"/>
              </w:rPr>
              <w:t>；</w:t>
            </w:r>
          </w:p>
          <w:p w14:paraId="31FD6BCD">
            <w:pPr>
              <w:widowControl/>
              <w:spacing w:line="24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rPr>
              <w:t>7、百叶箱</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符合中国气象局观测技术要求</w:t>
            </w:r>
            <w:r>
              <w:rPr>
                <w:rFonts w:hint="eastAsia" w:ascii="宋体" w:hAnsi="宋体" w:eastAsia="宋体" w:cs="宋体"/>
                <w:color w:val="auto"/>
                <w:sz w:val="24"/>
                <w:szCs w:val="24"/>
                <w:vertAlign w:val="baseline"/>
                <w:lang w:val="en-US" w:eastAsia="zh-CN"/>
              </w:rPr>
              <w:t>；</w:t>
            </w:r>
          </w:p>
          <w:p w14:paraId="6FC9FCEF">
            <w:pPr>
              <w:widowControl/>
              <w:spacing w:line="240" w:lineRule="auto"/>
              <w:jc w:val="left"/>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rPr>
              <w:t>8、4G通讯模块</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支持 RS-232/485 接口；支持 2G、3G、4G 网络自动识别并切换。支持无缝接入到河南省气象局中心站平台</w:t>
            </w:r>
            <w:r>
              <w:rPr>
                <w:rFonts w:hint="eastAsia" w:ascii="宋体" w:hAnsi="宋体" w:eastAsia="宋体" w:cs="宋体"/>
                <w:color w:val="auto"/>
                <w:sz w:val="24"/>
                <w:szCs w:val="24"/>
                <w:vertAlign w:val="baseline"/>
                <w:lang w:val="en-US" w:eastAsia="zh-CN"/>
              </w:rPr>
              <w:t>；</w:t>
            </w:r>
          </w:p>
          <w:p w14:paraId="6922FE6C">
            <w:pPr>
              <w:widowControl/>
              <w:numPr>
                <w:ilvl w:val="0"/>
                <w:numId w:val="4"/>
              </w:numPr>
              <w:spacing w:line="240" w:lineRule="auto"/>
              <w:jc w:val="left"/>
              <w:textAlignment w:val="center"/>
              <w:rPr>
                <w:rFonts w:hint="eastAsia" w:ascii="宋体" w:hAnsi="宋体" w:eastAsia="宋体" w:cs="宋体"/>
                <w:color w:val="auto"/>
                <w:sz w:val="24"/>
                <w:szCs w:val="24"/>
                <w:vertAlign w:val="baseline"/>
                <w:lang w:eastAsia="zh-CN"/>
              </w:rPr>
            </w:pPr>
            <w:r>
              <w:rPr>
                <w:rFonts w:hint="eastAsia" w:ascii="宋体" w:hAnsi="宋体" w:eastAsia="宋体" w:cs="宋体"/>
                <w:color w:val="auto"/>
                <w:sz w:val="24"/>
                <w:szCs w:val="24"/>
                <w:vertAlign w:val="baseline"/>
              </w:rPr>
              <w:t>太阳能供电系统</w:t>
            </w:r>
            <w:r>
              <w:rPr>
                <w:rFonts w:hint="eastAsia" w:ascii="宋体" w:hAnsi="宋体" w:eastAsia="宋体" w:cs="宋体"/>
                <w:color w:val="auto"/>
                <w:sz w:val="24"/>
                <w:szCs w:val="24"/>
                <w:vertAlign w:val="baseline"/>
                <w:lang w:eastAsia="zh-CN"/>
              </w:rPr>
              <w:t>：</w:t>
            </w:r>
          </w:p>
          <w:p w14:paraId="7EE972E8">
            <w:pPr>
              <w:widowControl/>
              <w:numPr>
                <w:ilvl w:val="0"/>
                <w:numId w:val="5"/>
              </w:numPr>
              <w:spacing w:line="240" w:lineRule="auto"/>
              <w:jc w:val="left"/>
              <w:textAlignment w:val="center"/>
              <w:rPr>
                <w:rFonts w:hint="eastAsia" w:ascii="宋体" w:hAnsi="宋体" w:eastAsia="宋体" w:cs="宋体"/>
                <w:color w:val="auto"/>
                <w:sz w:val="24"/>
                <w:szCs w:val="24"/>
                <w:vertAlign w:val="baseline"/>
              </w:rPr>
            </w:pPr>
            <w:r>
              <w:rPr>
                <w:rFonts w:hint="eastAsia" w:ascii="宋体" w:hAnsi="宋体" w:eastAsia="宋体" w:cs="宋体"/>
                <w:color w:val="auto"/>
                <w:sz w:val="24"/>
                <w:szCs w:val="24"/>
                <w:vertAlign w:val="baseline"/>
                <w:lang w:val="en-US" w:eastAsia="zh-CN"/>
              </w:rPr>
              <w:t>太阳能板：</w:t>
            </w:r>
            <w:r>
              <w:rPr>
                <w:rFonts w:hint="eastAsia" w:ascii="宋体" w:hAnsi="宋体" w:eastAsia="宋体" w:cs="宋体"/>
                <w:color w:val="auto"/>
                <w:sz w:val="24"/>
                <w:szCs w:val="24"/>
                <w:vertAlign w:val="baseline"/>
              </w:rPr>
              <w:t>表层以3mm厚高透射率(92%)的强化玻璃所覆盖，可抵御砂石、冰雹等异物的撞击；阳极处理铅合金框架，框架以矽塑料密封，防止盐雾、潮湿等腐蚀，全天候接线盒。功率：≥30W；配件含连接线、转换器等。</w:t>
            </w:r>
          </w:p>
          <w:p w14:paraId="1D629CDE">
            <w:pPr>
              <w:widowControl/>
              <w:numPr>
                <w:ilvl w:val="0"/>
                <w:numId w:val="5"/>
              </w:numPr>
              <w:spacing w:line="240" w:lineRule="auto"/>
              <w:ind w:left="0" w:leftChars="0" w:firstLine="0" w:firstLineChars="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rPr>
              <w:t>在连续阴雨无日照情况下</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蓄电池能保证采集系统正常工作至少</w:t>
            </w:r>
            <w:r>
              <w:rPr>
                <w:rFonts w:hint="eastAsia" w:ascii="宋体" w:hAnsi="宋体" w:eastAsia="宋体" w:cs="宋体"/>
                <w:color w:val="auto"/>
                <w:sz w:val="24"/>
                <w:szCs w:val="24"/>
                <w:vertAlign w:val="baseline"/>
                <w:lang w:val="en-US" w:eastAsia="zh-CN"/>
              </w:rPr>
              <w:t>7</w:t>
            </w:r>
            <w:r>
              <w:rPr>
                <w:rFonts w:hint="eastAsia" w:ascii="宋体" w:hAnsi="宋体" w:eastAsia="宋体" w:cs="宋体"/>
                <w:color w:val="auto"/>
                <w:sz w:val="24"/>
                <w:szCs w:val="24"/>
                <w:vertAlign w:val="baseline"/>
              </w:rPr>
              <w:t>天</w:t>
            </w:r>
            <w:r>
              <w:rPr>
                <w:rFonts w:hint="eastAsia" w:ascii="宋体" w:hAnsi="宋体" w:eastAsia="宋体" w:cs="宋体"/>
                <w:color w:val="auto"/>
                <w:sz w:val="24"/>
                <w:szCs w:val="24"/>
                <w:vertAlign w:val="baseline"/>
                <w:lang w:val="en-US" w:eastAsia="zh-CN"/>
              </w:rPr>
              <w:t>；</w:t>
            </w:r>
          </w:p>
          <w:p w14:paraId="5B9C05AA">
            <w:pPr>
              <w:widowControl/>
              <w:numPr>
                <w:ilvl w:val="0"/>
                <w:numId w:val="5"/>
              </w:numPr>
              <w:spacing w:line="240" w:lineRule="auto"/>
              <w:ind w:left="0" w:leftChars="0" w:firstLine="0" w:firstLineChars="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▲蓄电池：</w:t>
            </w:r>
            <w:r>
              <w:rPr>
                <w:rFonts w:hint="eastAsia" w:ascii="宋体" w:hAnsi="宋体" w:eastAsia="宋体" w:cs="宋体"/>
                <w:b w:val="0"/>
                <w:bCs w:val="0"/>
                <w:color w:val="auto"/>
                <w:sz w:val="24"/>
                <w:szCs w:val="24"/>
                <w:vertAlign w:val="baseline"/>
              </w:rPr>
              <w:t>阀控密封铅晶蓄电池，直流12v输出，额定容量≥98AH。</w:t>
            </w:r>
          </w:p>
          <w:p w14:paraId="60DDD534">
            <w:pPr>
              <w:keepNext w:val="0"/>
              <w:keepLines w:val="0"/>
              <w:widowControl/>
              <w:suppressLineNumbers w:val="0"/>
              <w:spacing w:line="240" w:lineRule="auto"/>
              <w:jc w:val="left"/>
              <w:textAlignment w:val="bottom"/>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rPr>
              <w:t>10、</w:t>
            </w:r>
            <w:r>
              <w:rPr>
                <w:rFonts w:hint="eastAsia" w:ascii="宋体" w:hAnsi="宋体" w:eastAsia="宋体" w:cs="宋体"/>
                <w:b w:val="0"/>
                <w:bCs w:val="0"/>
                <w:color w:val="auto"/>
                <w:sz w:val="24"/>
                <w:szCs w:val="24"/>
                <w:vertAlign w:val="baseline"/>
              </w:rPr>
              <w:t>风杆</w:t>
            </w:r>
            <w:r>
              <w:rPr>
                <w:rFonts w:hint="eastAsia" w:ascii="宋体" w:hAnsi="宋体" w:eastAsia="宋体" w:cs="宋体"/>
                <w:b w:val="0"/>
                <w:bCs w:val="0"/>
                <w:color w:val="auto"/>
                <w:sz w:val="24"/>
                <w:szCs w:val="24"/>
                <w:vertAlign w:val="baseline"/>
                <w:lang w:eastAsia="zh-CN"/>
              </w:rPr>
              <w:t>：</w:t>
            </w:r>
            <w:r>
              <w:rPr>
                <w:rFonts w:hint="eastAsia" w:ascii="宋体" w:hAnsi="宋体" w:eastAsia="宋体" w:cs="宋体"/>
                <w:b w:val="0"/>
                <w:bCs w:val="0"/>
                <w:color w:val="auto"/>
                <w:sz w:val="24"/>
                <w:szCs w:val="24"/>
                <w:vertAlign w:val="baseline"/>
              </w:rPr>
              <w:t>10米无拉索</w:t>
            </w:r>
            <w:r>
              <w:rPr>
                <w:rFonts w:hint="eastAsia" w:ascii="宋体" w:hAnsi="宋体" w:eastAsia="宋体" w:cs="宋体"/>
                <w:b w:val="0"/>
                <w:bCs w:val="0"/>
                <w:color w:val="auto"/>
                <w:sz w:val="24"/>
                <w:szCs w:val="24"/>
                <w:vertAlign w:val="baseline"/>
                <w:lang w:eastAsia="zh-CN"/>
              </w:rPr>
              <w:t>，</w:t>
            </w:r>
            <w:r>
              <w:rPr>
                <w:rFonts w:hint="eastAsia" w:ascii="宋体" w:hAnsi="宋体" w:eastAsia="宋体" w:cs="宋体"/>
                <w:b w:val="0"/>
                <w:bCs w:val="0"/>
                <w:color w:val="auto"/>
                <w:sz w:val="24"/>
                <w:szCs w:val="24"/>
                <w:vertAlign w:val="baseline"/>
                <w:lang w:val="en-US" w:eastAsia="zh-CN"/>
              </w:rPr>
              <w:t>防腐蚀能力强、抗风强度大的铝钛合金材料制成，具备防腐、防锈性能，产品能在不同自然环境中具有较强的耐候性。</w:t>
            </w:r>
          </w:p>
          <w:p w14:paraId="2B709D96">
            <w:pPr>
              <w:keepNext w:val="0"/>
              <w:keepLines w:val="0"/>
              <w:widowControl/>
              <w:suppressLineNumbers w:val="0"/>
              <w:spacing w:line="240" w:lineRule="auto"/>
              <w:jc w:val="left"/>
              <w:textAlignment w:val="bottom"/>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rPr>
              <w:t>11、信号配套电缆及防雷接地线</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rPr>
              <w:t>安装信号线缆及防雷接地线等其他安装附件符合气象相关技术要求</w:t>
            </w:r>
            <w:r>
              <w:rPr>
                <w:rFonts w:hint="eastAsia" w:ascii="宋体" w:hAnsi="宋体" w:eastAsia="宋体" w:cs="宋体"/>
                <w:color w:val="auto"/>
                <w:sz w:val="24"/>
                <w:szCs w:val="24"/>
                <w:vertAlign w:val="baseline"/>
                <w:lang w:val="en-US" w:eastAsia="zh-CN"/>
              </w:rPr>
              <w:t>；</w:t>
            </w:r>
          </w:p>
          <w:p w14:paraId="3647A6ED">
            <w:pPr>
              <w:keepNext w:val="0"/>
              <w:keepLines w:val="0"/>
              <w:widowControl/>
              <w:suppressLineNumbers w:val="0"/>
              <w:spacing w:line="240" w:lineRule="auto"/>
              <w:jc w:val="left"/>
              <w:textAlignment w:val="bottom"/>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rPr>
              <w:t>12、★观测数据支持接入中国气象局统一版中心站软件</w:t>
            </w:r>
            <w:r>
              <w:rPr>
                <w:rFonts w:hint="eastAsia" w:ascii="宋体" w:hAnsi="宋体" w:cs="宋体"/>
                <w:color w:val="auto"/>
                <w:sz w:val="24"/>
                <w:szCs w:val="24"/>
                <w:vertAlign w:val="baseline"/>
                <w:lang w:val="en-US" w:eastAsia="zh-CN"/>
              </w:rPr>
              <w:t>。</w:t>
            </w:r>
          </w:p>
          <w:p w14:paraId="3DD488B2">
            <w:pPr>
              <w:widowControl/>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13、六要素主控器</w:t>
            </w:r>
            <w:r>
              <w:rPr>
                <w:rFonts w:hint="eastAsia" w:ascii="宋体" w:hAnsi="宋体" w:eastAsia="宋体" w:cs="宋体"/>
                <w:color w:val="auto"/>
                <w:sz w:val="24"/>
                <w:szCs w:val="24"/>
                <w:vertAlign w:val="baseline"/>
              </w:rPr>
              <w:t>：室外型，含</w:t>
            </w:r>
            <w:r>
              <w:rPr>
                <w:rFonts w:hint="eastAsia" w:ascii="宋体" w:hAnsi="宋体" w:eastAsia="宋体" w:cs="宋体"/>
                <w:color w:val="auto"/>
                <w:sz w:val="24"/>
                <w:szCs w:val="24"/>
                <w:vertAlign w:val="baseline"/>
                <w:lang w:val="en-US" w:eastAsia="zh-CN"/>
              </w:rPr>
              <w:t>采集器、</w:t>
            </w:r>
            <w:r>
              <w:rPr>
                <w:rFonts w:hint="eastAsia" w:ascii="宋体" w:hAnsi="宋体" w:eastAsia="宋体" w:cs="宋体"/>
                <w:color w:val="auto"/>
                <w:sz w:val="24"/>
                <w:szCs w:val="24"/>
                <w:vertAlign w:val="baseline"/>
              </w:rPr>
              <w:t>机箱</w:t>
            </w:r>
            <w:r>
              <w:rPr>
                <w:rFonts w:hint="eastAsia" w:ascii="宋体" w:hAnsi="宋体" w:eastAsia="宋体" w:cs="宋体"/>
                <w:color w:val="auto"/>
                <w:sz w:val="24"/>
                <w:szCs w:val="24"/>
                <w:vertAlign w:val="baseline"/>
                <w:lang w:eastAsia="zh-CN"/>
              </w:rPr>
              <w:t>、</w:t>
            </w:r>
            <w:r>
              <w:rPr>
                <w:rFonts w:hint="eastAsia" w:ascii="宋体" w:hAnsi="宋体" w:eastAsia="宋体" w:cs="宋体"/>
                <w:color w:val="auto"/>
                <w:sz w:val="24"/>
                <w:szCs w:val="24"/>
                <w:vertAlign w:val="baseline"/>
                <w:lang w:val="en-US" w:eastAsia="zh-CN"/>
              </w:rPr>
              <w:t>防雷部件</w:t>
            </w:r>
            <w:r>
              <w:rPr>
                <w:rFonts w:hint="eastAsia" w:ascii="宋体" w:hAnsi="宋体" w:eastAsia="宋体" w:cs="宋体"/>
                <w:color w:val="auto"/>
                <w:sz w:val="24"/>
                <w:szCs w:val="24"/>
                <w:vertAlign w:val="baseline"/>
              </w:rPr>
              <w:t>及安装附件。</w:t>
            </w:r>
            <w:r>
              <w:rPr>
                <w:rFonts w:hint="eastAsia" w:ascii="宋体" w:hAnsi="宋体" w:eastAsia="宋体" w:cs="宋体"/>
                <w:color w:val="auto"/>
                <w:sz w:val="24"/>
                <w:szCs w:val="24"/>
                <w:vertAlign w:val="baseline"/>
                <w:lang w:val="en-US" w:eastAsia="zh-CN"/>
              </w:rPr>
              <w:t>数据采样速率及算法必须符合中国气象局颁发的《地面气象观测规范》的有关规定；数据存储至少能保存6个月全要素分钟数据。</w:t>
            </w:r>
          </w:p>
          <w:p w14:paraId="16FB7664">
            <w:pPr>
              <w:keepNext w:val="0"/>
              <w:keepLines w:val="0"/>
              <w:widowControl/>
              <w:suppressLineNumbers w:val="0"/>
              <w:spacing w:line="240" w:lineRule="auto"/>
              <w:jc w:val="left"/>
              <w:textAlignment w:val="bottom"/>
              <w:rPr>
                <w:rFonts w:hint="eastAsia"/>
                <w:color w:val="auto"/>
                <w:sz w:val="22"/>
                <w:szCs w:val="28"/>
                <w:lang w:val="en-US" w:eastAsia="zh-CN"/>
              </w:rPr>
            </w:pPr>
            <w:r>
              <w:rPr>
                <w:rFonts w:hint="eastAsia" w:ascii="宋体" w:hAnsi="宋体" w:eastAsia="宋体" w:cs="宋体"/>
                <w:color w:val="auto"/>
                <w:sz w:val="24"/>
                <w:szCs w:val="24"/>
                <w:vertAlign w:val="baseline"/>
                <w:lang w:val="en-US" w:eastAsia="zh-CN"/>
              </w:rPr>
              <w:t>14、</w:t>
            </w:r>
            <w:r>
              <w:rPr>
                <w:rFonts w:hint="eastAsia" w:ascii="宋体" w:hAnsi="宋体" w:eastAsia="宋体" w:cs="宋体"/>
                <w:color w:val="auto"/>
                <w:sz w:val="24"/>
                <w:szCs w:val="24"/>
                <w:vertAlign w:val="baseline"/>
              </w:rPr>
              <w:t>围栏：尺寸 4m*8m，外部采用 PVC 材质，横梁立柱内部增加镀锌方钢。竖条多孔管的厚度 1mm，横梁管的厚度 1mm，立柱管和立柱镀锌钢管的厚度 1.2mm。</w:t>
            </w:r>
          </w:p>
        </w:tc>
        <w:tc>
          <w:tcPr>
            <w:tcW w:w="675" w:type="dxa"/>
            <w:tcBorders>
              <w:top w:val="single" w:color="auto" w:sz="4" w:space="0"/>
              <w:left w:val="single" w:color="auto" w:sz="4" w:space="0"/>
              <w:bottom w:val="single" w:color="auto" w:sz="4" w:space="0"/>
              <w:right w:val="single" w:color="auto" w:sz="4" w:space="0"/>
            </w:tcBorders>
            <w:vAlign w:val="center"/>
          </w:tcPr>
          <w:p w14:paraId="114D4C70">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套</w:t>
            </w:r>
          </w:p>
        </w:tc>
        <w:tc>
          <w:tcPr>
            <w:tcW w:w="693" w:type="dxa"/>
            <w:tcBorders>
              <w:top w:val="single" w:color="auto" w:sz="4" w:space="0"/>
              <w:left w:val="single" w:color="auto" w:sz="4" w:space="0"/>
              <w:bottom w:val="single" w:color="auto" w:sz="4" w:space="0"/>
              <w:right w:val="single" w:color="auto" w:sz="4" w:space="0"/>
            </w:tcBorders>
            <w:vAlign w:val="center"/>
          </w:tcPr>
          <w:p w14:paraId="4DDF7A57">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highlight w:val="none"/>
                <w:vertAlign w:val="baseline"/>
                <w:lang w:val="en-US" w:eastAsia="zh-CN"/>
              </w:rPr>
              <w:t>4</w:t>
            </w:r>
          </w:p>
        </w:tc>
        <w:tc>
          <w:tcPr>
            <w:tcW w:w="675" w:type="dxa"/>
            <w:tcBorders>
              <w:top w:val="single" w:color="auto" w:sz="4" w:space="0"/>
              <w:left w:val="single" w:color="auto" w:sz="4" w:space="0"/>
              <w:bottom w:val="single" w:color="auto" w:sz="4" w:space="0"/>
              <w:right w:val="single" w:color="auto" w:sz="4" w:space="0"/>
            </w:tcBorders>
            <w:vAlign w:val="center"/>
          </w:tcPr>
          <w:p w14:paraId="1BCDF517">
            <w:pPr>
              <w:pStyle w:val="15"/>
              <w:spacing w:line="360" w:lineRule="auto"/>
              <w:rPr>
                <w:rFonts w:hint="eastAsia" w:ascii="宋体" w:hAnsi="宋体" w:eastAsia="宋体" w:cs="宋体"/>
                <w:color w:val="auto"/>
                <w:sz w:val="22"/>
                <w:szCs w:val="22"/>
                <w:vertAlign w:val="baseline"/>
                <w:lang w:val="en-US" w:eastAsia="zh-CN"/>
              </w:rPr>
            </w:pPr>
          </w:p>
        </w:tc>
      </w:tr>
      <w:tr w14:paraId="1BE8E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1B09E830">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2</w:t>
            </w:r>
          </w:p>
        </w:tc>
        <w:tc>
          <w:tcPr>
            <w:tcW w:w="1238" w:type="dxa"/>
            <w:vAlign w:val="center"/>
          </w:tcPr>
          <w:p w14:paraId="3A46B8CF">
            <w:pPr>
              <w:keepNext w:val="0"/>
              <w:keepLines w:val="0"/>
              <w:widowControl/>
              <w:suppressLineNumbers w:val="0"/>
              <w:spacing w:line="240" w:lineRule="auto"/>
              <w:jc w:val="center"/>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多要素自动气象观测站（四要素）</w:t>
            </w:r>
          </w:p>
        </w:tc>
        <w:tc>
          <w:tcPr>
            <w:tcW w:w="4931" w:type="dxa"/>
            <w:tcBorders>
              <w:right w:val="single" w:color="auto" w:sz="4" w:space="0"/>
            </w:tcBorders>
            <w:vAlign w:val="bottom"/>
          </w:tcPr>
          <w:p w14:paraId="5B1E0E67">
            <w:pPr>
              <w:widowControl/>
              <w:numPr>
                <w:ilvl w:val="0"/>
                <w:numId w:val="6"/>
              </w:numPr>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雨量传感器：</w:t>
            </w:r>
          </w:p>
          <w:p w14:paraId="082BA802">
            <w:pPr>
              <w:widowControl/>
              <w:numPr>
                <w:ilvl w:val="0"/>
                <w:numId w:val="0"/>
              </w:numPr>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雨强0～4mm/min；分辨率：0.1mm；最大允许误差：±0.4mm（≤10mm），±4%（＞10mm）。</w:t>
            </w:r>
          </w:p>
          <w:p w14:paraId="64000955">
            <w:pPr>
              <w:widowControl/>
              <w:numPr>
                <w:ilvl w:val="0"/>
                <w:numId w:val="6"/>
              </w:numPr>
              <w:spacing w:line="240" w:lineRule="auto"/>
              <w:ind w:left="0" w:leftChars="0" w:firstLine="0" w:firstLineChars="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温度传感器：</w:t>
            </w:r>
          </w:p>
          <w:p w14:paraId="7FF4D811">
            <w:pPr>
              <w:widowControl/>
              <w:numPr>
                <w:ilvl w:val="0"/>
                <w:numId w:val="0"/>
              </w:numPr>
              <w:spacing w:line="240" w:lineRule="auto"/>
              <w:ind w:leftChars="0"/>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测量范围：-50℃～+50℃；分辨力：0.1℃；最大误差：±0.2℃。</w:t>
            </w:r>
          </w:p>
          <w:p w14:paraId="56ED100F">
            <w:pPr>
              <w:widowControl/>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3、风向风速传感器：</w:t>
            </w:r>
          </w:p>
          <w:p w14:paraId="473167A7">
            <w:pPr>
              <w:widowControl/>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（1）风速传感器：范围：0～60m/s ；分辨率：0.1m/s ；最大允差：±（0.4+0.03V）m/s；</w:t>
            </w:r>
          </w:p>
          <w:p w14:paraId="1A249566">
            <w:pPr>
              <w:widowControl/>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（2）风向传感器：范围：0～360° ；分辨率：3°；最大允差：±5°。</w:t>
            </w:r>
          </w:p>
        </w:tc>
        <w:tc>
          <w:tcPr>
            <w:tcW w:w="675" w:type="dxa"/>
            <w:tcBorders>
              <w:top w:val="single" w:color="auto" w:sz="4" w:space="0"/>
              <w:left w:val="single" w:color="auto" w:sz="4" w:space="0"/>
              <w:bottom w:val="single" w:color="auto" w:sz="4" w:space="0"/>
              <w:right w:val="single" w:color="auto" w:sz="4" w:space="0"/>
            </w:tcBorders>
            <w:vAlign w:val="center"/>
          </w:tcPr>
          <w:p w14:paraId="34A0502C">
            <w:pPr>
              <w:keepNext w:val="0"/>
              <w:keepLines w:val="0"/>
              <w:widowControl/>
              <w:suppressLineNumbers w:val="0"/>
              <w:spacing w:line="240" w:lineRule="auto"/>
              <w:jc w:val="center"/>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套</w:t>
            </w:r>
          </w:p>
        </w:tc>
        <w:tc>
          <w:tcPr>
            <w:tcW w:w="693" w:type="dxa"/>
            <w:tcBorders>
              <w:top w:val="single" w:color="auto" w:sz="4" w:space="0"/>
              <w:left w:val="single" w:color="auto" w:sz="4" w:space="0"/>
              <w:bottom w:val="single" w:color="auto" w:sz="4" w:space="0"/>
              <w:right w:val="single" w:color="auto" w:sz="4" w:space="0"/>
            </w:tcBorders>
            <w:vAlign w:val="center"/>
          </w:tcPr>
          <w:p w14:paraId="343B9EA6">
            <w:pPr>
              <w:keepNext w:val="0"/>
              <w:keepLines w:val="0"/>
              <w:widowControl/>
              <w:suppressLineNumbers w:val="0"/>
              <w:spacing w:line="240" w:lineRule="auto"/>
              <w:jc w:val="center"/>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12</w:t>
            </w:r>
          </w:p>
        </w:tc>
        <w:tc>
          <w:tcPr>
            <w:tcW w:w="675" w:type="dxa"/>
            <w:tcBorders>
              <w:top w:val="single" w:color="auto" w:sz="4" w:space="0"/>
              <w:left w:val="single" w:color="auto" w:sz="4" w:space="0"/>
              <w:bottom w:val="single" w:color="auto" w:sz="4" w:space="0"/>
              <w:right w:val="single" w:color="auto" w:sz="4" w:space="0"/>
            </w:tcBorders>
            <w:vAlign w:val="center"/>
          </w:tcPr>
          <w:p w14:paraId="5AAA1B69">
            <w:pPr>
              <w:pStyle w:val="15"/>
              <w:spacing w:line="360" w:lineRule="auto"/>
              <w:rPr>
                <w:rFonts w:hint="eastAsia" w:ascii="宋体" w:hAnsi="宋体" w:eastAsia="宋体" w:cs="宋体"/>
                <w:color w:val="auto"/>
                <w:sz w:val="22"/>
                <w:szCs w:val="22"/>
                <w:vertAlign w:val="baseline"/>
                <w:lang w:val="en-US" w:eastAsia="zh-CN"/>
              </w:rPr>
            </w:pPr>
          </w:p>
        </w:tc>
      </w:tr>
      <w:tr w14:paraId="2C81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4F27A265">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3</w:t>
            </w:r>
          </w:p>
        </w:tc>
        <w:tc>
          <w:tcPr>
            <w:tcW w:w="1238" w:type="dxa"/>
            <w:vAlign w:val="center"/>
          </w:tcPr>
          <w:p w14:paraId="74A7AEF1">
            <w:pPr>
              <w:keepNext w:val="0"/>
              <w:keepLines w:val="0"/>
              <w:widowControl/>
              <w:suppressLineNumbers w:val="0"/>
              <w:spacing w:line="240" w:lineRule="auto"/>
              <w:jc w:val="center"/>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bCs/>
                <w:snapToGrid w:val="0"/>
                <w:color w:val="auto"/>
                <w:sz w:val="24"/>
                <w:szCs w:val="24"/>
                <w:lang w:val="en-US" w:eastAsia="zh-CN"/>
              </w:rPr>
              <w:t>重启模块</w:t>
            </w:r>
          </w:p>
        </w:tc>
        <w:tc>
          <w:tcPr>
            <w:tcW w:w="4931" w:type="dxa"/>
            <w:tcBorders>
              <w:right w:val="single" w:color="auto" w:sz="4" w:space="0"/>
            </w:tcBorders>
            <w:vAlign w:val="bottom"/>
          </w:tcPr>
          <w:p w14:paraId="466D7E13">
            <w:pPr>
              <w:keepNext w:val="0"/>
              <w:keepLines w:val="0"/>
              <w:widowControl/>
              <w:suppressLineNumbers w:val="0"/>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1.适用于设备电源监测，设备远程电源重启；</w:t>
            </w:r>
          </w:p>
          <w:p w14:paraId="29EC158F">
            <w:pPr>
              <w:keepNext w:val="0"/>
              <w:keepLines w:val="0"/>
              <w:widowControl/>
              <w:suppressLineNumbers w:val="0"/>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2.支持每分钟上报工作电压值和4G信号质量；</w:t>
            </w:r>
          </w:p>
          <w:p w14:paraId="3576A320">
            <w:pPr>
              <w:keepNext w:val="0"/>
              <w:keepLines w:val="0"/>
              <w:widowControl/>
              <w:suppressLineNumbers w:val="0"/>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3.内置锂电池，在工作电压掉电后可持续传输数据3到6小时（此时无法控制继电器，继电器为闭合状态）；</w:t>
            </w:r>
          </w:p>
          <w:p w14:paraId="53865C48">
            <w:pPr>
              <w:keepNext w:val="0"/>
              <w:keepLines w:val="0"/>
              <w:widowControl/>
              <w:suppressLineNumbers w:val="0"/>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4.网络类型：4G全网通；</w:t>
            </w:r>
          </w:p>
          <w:p w14:paraId="37C6F8B7">
            <w:pPr>
              <w:keepNext w:val="0"/>
              <w:keepLines w:val="0"/>
              <w:widowControl/>
              <w:suppressLineNumbers w:val="0"/>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5.通讯接口：USB转串口通讯；</w:t>
            </w:r>
          </w:p>
          <w:p w14:paraId="3A4952FD">
            <w:pPr>
              <w:keepNext w:val="0"/>
              <w:keepLines w:val="0"/>
              <w:widowControl/>
              <w:suppressLineNumbers w:val="0"/>
              <w:spacing w:line="240" w:lineRule="auto"/>
              <w:jc w:val="left"/>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6.工作电压：DC 9-24V；</w:t>
            </w:r>
          </w:p>
          <w:p w14:paraId="380FDD68">
            <w:pPr>
              <w:keepNext w:val="0"/>
              <w:keepLines w:val="0"/>
              <w:widowControl/>
              <w:suppressLineNumbers w:val="0"/>
              <w:spacing w:line="240" w:lineRule="auto"/>
              <w:jc w:val="left"/>
              <w:textAlignment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lang w:val="en-US" w:eastAsia="zh-CN"/>
              </w:rPr>
              <w:t>7.电池：内置锂电池，容量≥300mAh；</w:t>
            </w:r>
          </w:p>
        </w:tc>
        <w:tc>
          <w:tcPr>
            <w:tcW w:w="675" w:type="dxa"/>
            <w:tcBorders>
              <w:top w:val="single" w:color="auto" w:sz="4" w:space="0"/>
              <w:left w:val="single" w:color="auto" w:sz="4" w:space="0"/>
              <w:bottom w:val="single" w:color="auto" w:sz="4" w:space="0"/>
              <w:right w:val="single" w:color="auto" w:sz="4" w:space="0"/>
            </w:tcBorders>
            <w:vAlign w:val="center"/>
          </w:tcPr>
          <w:p w14:paraId="4973861E">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套</w:t>
            </w:r>
          </w:p>
        </w:tc>
        <w:tc>
          <w:tcPr>
            <w:tcW w:w="693" w:type="dxa"/>
            <w:tcBorders>
              <w:top w:val="single" w:color="auto" w:sz="4" w:space="0"/>
              <w:left w:val="single" w:color="auto" w:sz="4" w:space="0"/>
              <w:bottom w:val="single" w:color="auto" w:sz="4" w:space="0"/>
              <w:right w:val="single" w:color="auto" w:sz="4" w:space="0"/>
            </w:tcBorders>
            <w:vAlign w:val="center"/>
          </w:tcPr>
          <w:p w14:paraId="648FC3A7">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10</w:t>
            </w:r>
          </w:p>
        </w:tc>
        <w:tc>
          <w:tcPr>
            <w:tcW w:w="675" w:type="dxa"/>
            <w:tcBorders>
              <w:top w:val="single" w:color="auto" w:sz="4" w:space="0"/>
              <w:left w:val="single" w:color="auto" w:sz="4" w:space="0"/>
              <w:bottom w:val="single" w:color="auto" w:sz="4" w:space="0"/>
              <w:right w:val="single" w:color="auto" w:sz="4" w:space="0"/>
            </w:tcBorders>
            <w:vAlign w:val="center"/>
          </w:tcPr>
          <w:p w14:paraId="2CDBC061">
            <w:pPr>
              <w:adjustRightInd w:val="0"/>
              <w:snapToGrid w:val="0"/>
              <w:spacing w:line="360" w:lineRule="auto"/>
              <w:jc w:val="left"/>
              <w:rPr>
                <w:rFonts w:hint="eastAsia" w:ascii="宋体" w:hAnsi="宋体" w:eastAsia="宋体" w:cs="宋体"/>
                <w:color w:val="auto"/>
                <w:sz w:val="22"/>
                <w:szCs w:val="22"/>
                <w:vertAlign w:val="baseline"/>
                <w:lang w:val="en-US" w:eastAsia="zh-CN"/>
              </w:rPr>
            </w:pPr>
          </w:p>
        </w:tc>
      </w:tr>
      <w:tr w14:paraId="14A2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5D6C980C">
            <w:pPr>
              <w:keepNext w:val="0"/>
              <w:keepLines w:val="0"/>
              <w:widowControl/>
              <w:suppressLineNumbers w:val="0"/>
              <w:spacing w:line="240" w:lineRule="auto"/>
              <w:jc w:val="center"/>
              <w:textAlignment w:val="center"/>
              <w:rPr>
                <w:rFonts w:hint="eastAsia" w:ascii="宋体" w:hAnsi="宋体" w:eastAsia="宋体" w:cs="宋体"/>
                <w:color w:val="auto"/>
                <w:sz w:val="22"/>
                <w:szCs w:val="22"/>
                <w:lang w:val="en-US" w:eastAsia="zh-CN"/>
              </w:rPr>
            </w:pPr>
            <w:r>
              <w:rPr>
                <w:rFonts w:hint="eastAsia" w:ascii="宋体" w:hAnsi="宋体" w:eastAsia="宋体" w:cs="宋体"/>
                <w:color w:val="auto"/>
                <w:sz w:val="24"/>
                <w:szCs w:val="24"/>
                <w:vertAlign w:val="baseline"/>
                <w:lang w:val="en-US" w:eastAsia="zh-CN"/>
              </w:rPr>
              <w:t>4</w:t>
            </w:r>
          </w:p>
        </w:tc>
        <w:tc>
          <w:tcPr>
            <w:tcW w:w="1238" w:type="dxa"/>
            <w:vAlign w:val="center"/>
          </w:tcPr>
          <w:p w14:paraId="56A2D26A">
            <w:pPr>
              <w:keepNext w:val="0"/>
              <w:keepLines w:val="0"/>
              <w:widowControl/>
              <w:suppressLineNumbers w:val="0"/>
              <w:spacing w:line="240" w:lineRule="auto"/>
              <w:jc w:val="center"/>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站网通讯流量卡</w:t>
            </w:r>
          </w:p>
        </w:tc>
        <w:tc>
          <w:tcPr>
            <w:tcW w:w="4931" w:type="dxa"/>
            <w:tcBorders>
              <w:right w:val="single" w:color="auto" w:sz="4" w:space="0"/>
            </w:tcBorders>
            <w:vAlign w:val="bottom"/>
          </w:tcPr>
          <w:p w14:paraId="2DDE2F29">
            <w:pPr>
              <w:keepNext w:val="0"/>
              <w:keepLines w:val="0"/>
              <w:widowControl/>
              <w:suppressLineNumbers w:val="0"/>
              <w:spacing w:line="240" w:lineRule="auto"/>
              <w:jc w:val="left"/>
              <w:textAlignment w:val="bottom"/>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rPr>
              <w:t>4</w:t>
            </w:r>
            <w:r>
              <w:rPr>
                <w:rFonts w:hint="eastAsia" w:ascii="宋体" w:hAnsi="宋体" w:eastAsia="宋体" w:cs="宋体"/>
                <w:color w:val="auto"/>
                <w:sz w:val="24"/>
                <w:szCs w:val="24"/>
                <w:vertAlign w:val="baseline"/>
                <w:lang w:val="en-US" w:eastAsia="zh-CN"/>
              </w:rPr>
              <w:t>G</w:t>
            </w:r>
            <w:r>
              <w:rPr>
                <w:rFonts w:hint="eastAsia" w:ascii="宋体" w:hAnsi="宋体" w:eastAsia="宋体" w:cs="宋体"/>
                <w:color w:val="auto"/>
                <w:sz w:val="24"/>
                <w:szCs w:val="24"/>
                <w:vertAlign w:val="baseline"/>
              </w:rPr>
              <w:t>网络、一年≥5</w:t>
            </w:r>
            <w:r>
              <w:rPr>
                <w:rFonts w:hint="eastAsia" w:ascii="宋体" w:hAnsi="宋体" w:eastAsia="宋体" w:cs="宋体"/>
                <w:color w:val="auto"/>
                <w:sz w:val="24"/>
                <w:szCs w:val="24"/>
                <w:vertAlign w:val="baseline"/>
                <w:lang w:val="en-US" w:eastAsia="zh-CN"/>
              </w:rPr>
              <w:t>G</w:t>
            </w:r>
            <w:r>
              <w:rPr>
                <w:rFonts w:hint="eastAsia" w:ascii="宋体" w:hAnsi="宋体" w:eastAsia="宋体" w:cs="宋体"/>
                <w:color w:val="auto"/>
                <w:sz w:val="24"/>
                <w:szCs w:val="24"/>
                <w:vertAlign w:val="baseline"/>
              </w:rPr>
              <w:t xml:space="preserve"> 数据流量</w:t>
            </w:r>
            <w:r>
              <w:rPr>
                <w:rFonts w:hint="eastAsia" w:ascii="宋体" w:hAnsi="宋体" w:eastAsia="宋体" w:cs="宋体"/>
                <w:color w:val="auto"/>
                <w:sz w:val="24"/>
                <w:szCs w:val="24"/>
                <w:vertAlign w:val="baseline"/>
                <w:lang w:eastAsia="zh-CN"/>
              </w:rPr>
              <w:t>。</w:t>
            </w:r>
          </w:p>
        </w:tc>
        <w:tc>
          <w:tcPr>
            <w:tcW w:w="675" w:type="dxa"/>
            <w:tcBorders>
              <w:top w:val="single" w:color="auto" w:sz="4" w:space="0"/>
              <w:left w:val="single" w:color="auto" w:sz="4" w:space="0"/>
              <w:bottom w:val="single" w:color="auto" w:sz="4" w:space="0"/>
              <w:right w:val="single" w:color="auto" w:sz="4" w:space="0"/>
            </w:tcBorders>
            <w:vAlign w:val="center"/>
          </w:tcPr>
          <w:p w14:paraId="504E2548">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张</w:t>
            </w:r>
          </w:p>
        </w:tc>
        <w:tc>
          <w:tcPr>
            <w:tcW w:w="693" w:type="dxa"/>
            <w:tcBorders>
              <w:top w:val="single" w:color="auto" w:sz="4" w:space="0"/>
              <w:left w:val="single" w:color="auto" w:sz="4" w:space="0"/>
              <w:bottom w:val="single" w:color="auto" w:sz="4" w:space="0"/>
              <w:right w:val="single" w:color="auto" w:sz="4" w:space="0"/>
            </w:tcBorders>
            <w:vAlign w:val="center"/>
          </w:tcPr>
          <w:p w14:paraId="055D61CA">
            <w:pPr>
              <w:keepNext w:val="0"/>
              <w:keepLines w:val="0"/>
              <w:widowControl/>
              <w:suppressLineNumbers w:val="0"/>
              <w:spacing w:line="240" w:lineRule="auto"/>
              <w:jc w:val="center"/>
              <w:textAlignment w:val="center"/>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4</w:t>
            </w:r>
          </w:p>
        </w:tc>
        <w:tc>
          <w:tcPr>
            <w:tcW w:w="675" w:type="dxa"/>
            <w:tcBorders>
              <w:top w:val="single" w:color="auto" w:sz="4" w:space="0"/>
              <w:left w:val="single" w:color="auto" w:sz="4" w:space="0"/>
              <w:bottom w:val="single" w:color="auto" w:sz="4" w:space="0"/>
              <w:right w:val="single" w:color="auto" w:sz="4" w:space="0"/>
            </w:tcBorders>
            <w:vAlign w:val="center"/>
          </w:tcPr>
          <w:p w14:paraId="66926AA5">
            <w:pPr>
              <w:adjustRightInd w:val="0"/>
              <w:snapToGrid w:val="0"/>
              <w:spacing w:line="360" w:lineRule="auto"/>
              <w:jc w:val="left"/>
              <w:rPr>
                <w:rFonts w:hint="eastAsia" w:ascii="宋体" w:hAnsi="宋体" w:eastAsia="宋体" w:cs="宋体"/>
                <w:color w:val="auto"/>
                <w:sz w:val="22"/>
                <w:szCs w:val="22"/>
                <w:vertAlign w:val="baseline"/>
                <w:lang w:val="en-US" w:eastAsia="zh-CN"/>
              </w:rPr>
            </w:pPr>
          </w:p>
        </w:tc>
      </w:tr>
      <w:tr w14:paraId="20FB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3B7F0CF8">
            <w:pPr>
              <w:keepNext w:val="0"/>
              <w:keepLines w:val="0"/>
              <w:widowControl/>
              <w:suppressLineNumbers w:val="0"/>
              <w:spacing w:line="240" w:lineRule="auto"/>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4"/>
                <w:szCs w:val="24"/>
                <w:vertAlign w:val="baseline"/>
                <w:lang w:val="en-US" w:eastAsia="zh-CN"/>
              </w:rPr>
              <w:t>5</w:t>
            </w:r>
          </w:p>
        </w:tc>
        <w:tc>
          <w:tcPr>
            <w:tcW w:w="1238" w:type="dxa"/>
            <w:vAlign w:val="center"/>
          </w:tcPr>
          <w:p w14:paraId="084ECF34">
            <w:pPr>
              <w:keepNext w:val="0"/>
              <w:keepLines w:val="0"/>
              <w:widowControl/>
              <w:suppressLineNumbers w:val="0"/>
              <w:spacing w:line="240" w:lineRule="auto"/>
              <w:jc w:val="center"/>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设备运输、安装调试费</w:t>
            </w:r>
          </w:p>
        </w:tc>
        <w:tc>
          <w:tcPr>
            <w:tcW w:w="4931" w:type="dxa"/>
            <w:tcBorders>
              <w:right w:val="single" w:color="auto" w:sz="4" w:space="0"/>
            </w:tcBorders>
            <w:vAlign w:val="bottom"/>
          </w:tcPr>
          <w:p w14:paraId="425011A8">
            <w:pPr>
              <w:keepNext w:val="0"/>
              <w:keepLines w:val="0"/>
              <w:widowControl/>
              <w:numPr>
                <w:ilvl w:val="0"/>
                <w:numId w:val="7"/>
              </w:numPr>
              <w:suppressLineNumbers w:val="0"/>
              <w:spacing w:line="240" w:lineRule="auto"/>
              <w:jc w:val="left"/>
              <w:textAlignment w:val="bottom"/>
              <w:rPr>
                <w:rFonts w:hint="eastAsia" w:ascii="宋体" w:hAnsi="宋体" w:eastAsia="宋体" w:cs="宋体"/>
                <w:color w:val="auto"/>
                <w:sz w:val="24"/>
                <w:szCs w:val="24"/>
                <w:vertAlign w:val="baseline"/>
              </w:rPr>
            </w:pPr>
            <w:r>
              <w:rPr>
                <w:rFonts w:hint="eastAsia" w:ascii="宋体" w:hAnsi="宋体" w:eastAsia="宋体" w:cs="宋体"/>
                <w:color w:val="auto"/>
                <w:sz w:val="24"/>
                <w:szCs w:val="24"/>
                <w:vertAlign w:val="baseline"/>
              </w:rPr>
              <w:t>含设备基础预处理人工及其他费用</w:t>
            </w:r>
          </w:p>
          <w:p w14:paraId="22D14945">
            <w:pPr>
              <w:keepNext w:val="0"/>
              <w:keepLines w:val="0"/>
              <w:widowControl/>
              <w:numPr>
                <w:ilvl w:val="0"/>
                <w:numId w:val="7"/>
              </w:numPr>
              <w:suppressLineNumbers w:val="0"/>
              <w:spacing w:line="240" w:lineRule="auto"/>
              <w:jc w:val="left"/>
              <w:textAlignment w:val="bottom"/>
              <w:rPr>
                <w:rFonts w:hint="eastAsia" w:ascii="宋体" w:hAnsi="宋体" w:eastAsia="宋体" w:cs="宋体"/>
                <w:color w:val="auto"/>
                <w:sz w:val="24"/>
                <w:szCs w:val="24"/>
                <w:vertAlign w:val="baseline"/>
              </w:rPr>
            </w:pPr>
            <w:r>
              <w:rPr>
                <w:rFonts w:hint="eastAsia" w:ascii="宋体" w:hAnsi="宋体" w:eastAsia="宋体" w:cs="宋体"/>
                <w:color w:val="auto"/>
                <w:sz w:val="24"/>
                <w:szCs w:val="24"/>
                <w:vertAlign w:val="baseline"/>
              </w:rPr>
              <w:t>货物运输及本地运输服务费用</w:t>
            </w:r>
          </w:p>
          <w:p w14:paraId="74EA8CDE">
            <w:pPr>
              <w:keepNext w:val="0"/>
              <w:keepLines w:val="0"/>
              <w:widowControl/>
              <w:numPr>
                <w:ilvl w:val="0"/>
                <w:numId w:val="7"/>
              </w:numPr>
              <w:suppressLineNumbers w:val="0"/>
              <w:spacing w:line="240" w:lineRule="auto"/>
              <w:jc w:val="left"/>
              <w:textAlignment w:val="bottom"/>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vertAlign w:val="baseline"/>
              </w:rPr>
              <w:t>设备安装服务费，位置符合观测环境要求，面积要求不少于 100 平</w:t>
            </w:r>
            <w:r>
              <w:rPr>
                <w:rFonts w:hint="eastAsia" w:ascii="宋体" w:hAnsi="宋体" w:eastAsia="宋体" w:cs="宋体"/>
                <w:color w:val="auto"/>
                <w:sz w:val="24"/>
                <w:szCs w:val="24"/>
                <w:vertAlign w:val="baseline"/>
                <w:lang w:val="en-US" w:eastAsia="zh-CN"/>
              </w:rPr>
              <w:t>方</w:t>
            </w:r>
            <w:r>
              <w:rPr>
                <w:rFonts w:hint="eastAsia" w:ascii="宋体" w:hAnsi="宋体" w:eastAsia="宋体" w:cs="宋体"/>
                <w:color w:val="auto"/>
                <w:sz w:val="24"/>
                <w:szCs w:val="24"/>
                <w:vertAlign w:val="baseline"/>
              </w:rPr>
              <w:t>米，便于日常维</w:t>
            </w:r>
            <w:r>
              <w:rPr>
                <w:rFonts w:hint="eastAsia" w:ascii="宋体" w:hAnsi="宋体" w:eastAsia="宋体" w:cs="宋体"/>
                <w:color w:val="auto"/>
                <w:sz w:val="24"/>
                <w:szCs w:val="24"/>
                <w:vertAlign w:val="baseline"/>
                <w:lang w:val="en-US" w:eastAsia="zh-CN"/>
              </w:rPr>
              <w:t>护。</w:t>
            </w:r>
          </w:p>
        </w:tc>
        <w:tc>
          <w:tcPr>
            <w:tcW w:w="675" w:type="dxa"/>
            <w:tcBorders>
              <w:top w:val="single" w:color="auto" w:sz="4" w:space="0"/>
              <w:left w:val="single" w:color="auto" w:sz="4" w:space="0"/>
              <w:bottom w:val="single" w:color="auto" w:sz="4" w:space="0"/>
              <w:right w:val="single" w:color="auto" w:sz="4" w:space="0"/>
            </w:tcBorders>
            <w:vAlign w:val="center"/>
          </w:tcPr>
          <w:p w14:paraId="487A1838">
            <w:pPr>
              <w:keepNext w:val="0"/>
              <w:keepLines w:val="0"/>
              <w:widowControl/>
              <w:suppressLineNumbers w:val="0"/>
              <w:spacing w:line="240" w:lineRule="auto"/>
              <w:jc w:val="center"/>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项</w:t>
            </w:r>
          </w:p>
        </w:tc>
        <w:tc>
          <w:tcPr>
            <w:tcW w:w="693" w:type="dxa"/>
            <w:tcBorders>
              <w:top w:val="single" w:color="auto" w:sz="4" w:space="0"/>
              <w:left w:val="single" w:color="auto" w:sz="4" w:space="0"/>
              <w:bottom w:val="single" w:color="auto" w:sz="4" w:space="0"/>
              <w:right w:val="single" w:color="auto" w:sz="4" w:space="0"/>
            </w:tcBorders>
            <w:vAlign w:val="center"/>
          </w:tcPr>
          <w:p w14:paraId="00E94601">
            <w:pPr>
              <w:keepNext w:val="0"/>
              <w:keepLines w:val="0"/>
              <w:widowControl/>
              <w:suppressLineNumbers w:val="0"/>
              <w:spacing w:line="240" w:lineRule="auto"/>
              <w:jc w:val="center"/>
              <w:textAlignment w:val="center"/>
              <w:rPr>
                <w:rFonts w:hint="eastAsia"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1</w:t>
            </w:r>
          </w:p>
        </w:tc>
        <w:tc>
          <w:tcPr>
            <w:tcW w:w="675" w:type="dxa"/>
            <w:tcBorders>
              <w:top w:val="single" w:color="auto" w:sz="4" w:space="0"/>
              <w:left w:val="single" w:color="auto" w:sz="4" w:space="0"/>
              <w:bottom w:val="single" w:color="auto" w:sz="4" w:space="0"/>
              <w:right w:val="single" w:color="auto" w:sz="4" w:space="0"/>
            </w:tcBorders>
            <w:vAlign w:val="center"/>
          </w:tcPr>
          <w:p w14:paraId="01DD2B3F">
            <w:pPr>
              <w:adjustRightInd w:val="0"/>
              <w:snapToGrid w:val="0"/>
              <w:spacing w:line="360" w:lineRule="auto"/>
              <w:jc w:val="left"/>
              <w:rPr>
                <w:rFonts w:hint="eastAsia" w:ascii="宋体" w:hAnsi="宋体" w:eastAsia="宋体" w:cs="宋体"/>
                <w:color w:val="auto"/>
                <w:sz w:val="22"/>
                <w:szCs w:val="22"/>
                <w:vertAlign w:val="baseline"/>
                <w:lang w:val="en-US" w:eastAsia="zh-CN"/>
              </w:rPr>
            </w:pPr>
          </w:p>
        </w:tc>
      </w:tr>
      <w:tr w14:paraId="7A00B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2004E8E8">
            <w:pPr>
              <w:keepNext w:val="0"/>
              <w:keepLines w:val="0"/>
              <w:widowControl/>
              <w:suppressLineNumbers w:val="0"/>
              <w:spacing w:line="240" w:lineRule="auto"/>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4"/>
                <w:szCs w:val="24"/>
                <w:vertAlign w:val="baseline"/>
                <w:lang w:val="en-US" w:eastAsia="zh-CN"/>
              </w:rPr>
              <w:t>6</w:t>
            </w:r>
          </w:p>
        </w:tc>
        <w:tc>
          <w:tcPr>
            <w:tcW w:w="1238" w:type="dxa"/>
            <w:vAlign w:val="center"/>
          </w:tcPr>
          <w:p w14:paraId="097BE3D4">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多要素自动气象观测站（六要素）设备质保</w:t>
            </w:r>
            <w:r>
              <w:rPr>
                <w:rFonts w:hint="eastAsia" w:ascii="宋体" w:hAnsi="宋体" w:cs="宋体"/>
                <w:color w:val="auto"/>
                <w:sz w:val="24"/>
                <w:szCs w:val="24"/>
                <w:vertAlign w:val="baseline"/>
                <w:lang w:val="en-US" w:eastAsia="zh-CN"/>
              </w:rPr>
              <w:t>服务</w:t>
            </w:r>
          </w:p>
        </w:tc>
        <w:tc>
          <w:tcPr>
            <w:tcW w:w="4931" w:type="dxa"/>
            <w:tcBorders>
              <w:right w:val="single" w:color="auto" w:sz="4" w:space="0"/>
            </w:tcBorders>
            <w:vAlign w:val="center"/>
          </w:tcPr>
          <w:p w14:paraId="23747153">
            <w:pPr>
              <w:keepNext w:val="0"/>
              <w:keepLines w:val="0"/>
              <w:widowControl/>
              <w:numPr>
                <w:ilvl w:val="0"/>
                <w:numId w:val="8"/>
              </w:numPr>
              <w:suppressLineNumbers w:val="0"/>
              <w:spacing w:line="240" w:lineRule="auto"/>
              <w:jc w:val="left"/>
              <w:textAlignment w:val="center"/>
              <w:rPr>
                <w:rFonts w:hint="eastAsia" w:ascii="宋体" w:hAnsi="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质保期限：投标人须对本次采购的4套六要素自动气象观测站（含所有传感器、采集器、供电系统、风杆、通讯模块等配套设备，不含流量卡）提供自最终验收合格之日起 8年 的整机质保服务。投标文件中须提供设备质保承诺函（格式自拟，须明确质保起止时间、覆盖范围、服务内容）。</w:t>
            </w:r>
          </w:p>
          <w:p w14:paraId="5EE2E229">
            <w:pPr>
              <w:keepNext w:val="0"/>
              <w:keepLines w:val="0"/>
              <w:widowControl/>
              <w:suppressLineNumbers w:val="0"/>
              <w:spacing w:line="240" w:lineRule="auto"/>
              <w:jc w:val="left"/>
              <w:textAlignment w:val="center"/>
              <w:rPr>
                <w:rFonts w:hint="eastAsia" w:ascii="宋体" w:hAnsi="宋体" w:cs="宋体"/>
                <w:color w:val="auto"/>
                <w:sz w:val="24"/>
                <w:szCs w:val="24"/>
                <w:vertAlign w:val="baseline"/>
                <w:lang w:val="en-US" w:eastAsia="zh-CN"/>
              </w:rPr>
            </w:pPr>
            <w:r>
              <w:rPr>
                <w:rFonts w:hint="eastAsia" w:ascii="宋体" w:hAnsi="宋体" w:cs="宋体"/>
                <w:color w:val="auto"/>
                <w:sz w:val="24"/>
                <w:szCs w:val="24"/>
                <w:vertAlign w:val="baseline"/>
                <w:lang w:val="en-US" w:eastAsia="zh-CN"/>
              </w:rPr>
              <w:t>2.质保期内服务响应：提供 7×24小时 技术咨询服务；自接到采购人报修通知之时起，4小时内做出响应，并提供解决方案；一般故障48小时内修复；重大故障须在72小时内修复或提供备用设备。</w:t>
            </w:r>
          </w:p>
          <w:p w14:paraId="5511B65E">
            <w:pPr>
              <w:keepNext w:val="0"/>
              <w:keepLines w:val="0"/>
              <w:widowControl/>
              <w:suppressLineNumbers w:val="0"/>
              <w:spacing w:line="240" w:lineRule="auto"/>
              <w:jc w:val="left"/>
              <w:textAlignment w:val="center"/>
              <w:rPr>
                <w:rFonts w:hint="eastAsia" w:ascii="宋体" w:hAnsi="宋体" w:eastAsia="宋体" w:cs="宋体"/>
                <w:color w:val="auto"/>
                <w:sz w:val="22"/>
                <w:szCs w:val="22"/>
                <w:lang w:val="en-US" w:eastAsia="zh-CN"/>
              </w:rPr>
            </w:pPr>
            <w:r>
              <w:rPr>
                <w:rFonts w:hint="eastAsia" w:ascii="宋体" w:hAnsi="宋体" w:cs="宋体"/>
                <w:color w:val="auto"/>
                <w:sz w:val="24"/>
                <w:szCs w:val="24"/>
                <w:vertAlign w:val="baseline"/>
                <w:lang w:val="en-US" w:eastAsia="zh-CN"/>
              </w:rPr>
              <w:t>3.质保范围：质保服务包含所有硬件故障维修、软件调试、部件更换（因不可抗力或人为损坏除外）。</w:t>
            </w:r>
          </w:p>
        </w:tc>
        <w:tc>
          <w:tcPr>
            <w:tcW w:w="675" w:type="dxa"/>
            <w:tcBorders>
              <w:top w:val="single" w:color="auto" w:sz="4" w:space="0"/>
              <w:left w:val="single" w:color="auto" w:sz="4" w:space="0"/>
              <w:bottom w:val="single" w:color="auto" w:sz="4" w:space="0"/>
              <w:right w:val="single" w:color="auto" w:sz="4" w:space="0"/>
            </w:tcBorders>
            <w:vAlign w:val="center"/>
          </w:tcPr>
          <w:p w14:paraId="19498E47">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cs="宋体"/>
                <w:color w:val="auto"/>
                <w:sz w:val="24"/>
                <w:szCs w:val="24"/>
                <w:vertAlign w:val="baseline"/>
                <w:lang w:val="en-US" w:eastAsia="zh-CN"/>
              </w:rPr>
              <w:t>项</w:t>
            </w:r>
          </w:p>
        </w:tc>
        <w:tc>
          <w:tcPr>
            <w:tcW w:w="693" w:type="dxa"/>
            <w:tcBorders>
              <w:top w:val="single" w:color="auto" w:sz="4" w:space="0"/>
              <w:left w:val="single" w:color="auto" w:sz="4" w:space="0"/>
              <w:bottom w:val="single" w:color="auto" w:sz="4" w:space="0"/>
              <w:right w:val="single" w:color="auto" w:sz="4" w:space="0"/>
            </w:tcBorders>
            <w:vAlign w:val="center"/>
          </w:tcPr>
          <w:p w14:paraId="6A3BDA25">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cs="宋体"/>
                <w:color w:val="auto"/>
                <w:sz w:val="24"/>
                <w:szCs w:val="24"/>
                <w:vertAlign w:val="baseline"/>
                <w:lang w:val="en-US" w:eastAsia="zh-CN"/>
              </w:rPr>
              <w:t>1</w:t>
            </w:r>
          </w:p>
        </w:tc>
        <w:tc>
          <w:tcPr>
            <w:tcW w:w="675" w:type="dxa"/>
            <w:tcBorders>
              <w:top w:val="single" w:color="auto" w:sz="4" w:space="0"/>
              <w:left w:val="single" w:color="auto" w:sz="4" w:space="0"/>
              <w:bottom w:val="single" w:color="auto" w:sz="4" w:space="0"/>
              <w:right w:val="single" w:color="auto" w:sz="4" w:space="0"/>
            </w:tcBorders>
            <w:vAlign w:val="center"/>
          </w:tcPr>
          <w:p w14:paraId="6A3A8361">
            <w:pPr>
              <w:adjustRightInd w:val="0"/>
              <w:snapToGrid w:val="0"/>
              <w:spacing w:line="360" w:lineRule="auto"/>
              <w:jc w:val="left"/>
              <w:rPr>
                <w:rFonts w:hint="eastAsia" w:ascii="宋体" w:hAnsi="宋体" w:eastAsia="宋体" w:cs="宋体"/>
                <w:color w:val="auto"/>
                <w:sz w:val="22"/>
                <w:szCs w:val="22"/>
                <w:vertAlign w:val="baseline"/>
                <w:lang w:val="en-US" w:eastAsia="zh-CN"/>
              </w:rPr>
            </w:pPr>
          </w:p>
        </w:tc>
      </w:tr>
      <w:tr w14:paraId="1D39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vAlign w:val="center"/>
          </w:tcPr>
          <w:p w14:paraId="7AA24982">
            <w:pPr>
              <w:keepNext w:val="0"/>
              <w:keepLines w:val="0"/>
              <w:widowControl/>
              <w:suppressLineNumbers w:val="0"/>
              <w:spacing w:line="240" w:lineRule="auto"/>
              <w:jc w:val="center"/>
              <w:textAlignment w:val="center"/>
              <w:rPr>
                <w:rFonts w:hint="eastAsia" w:ascii="宋体" w:hAnsi="宋体" w:eastAsia="宋体" w:cs="宋体"/>
                <w:color w:val="auto"/>
                <w:sz w:val="22"/>
                <w:szCs w:val="22"/>
                <w:lang w:val="en-US" w:eastAsia="zh-CN"/>
              </w:rPr>
            </w:pPr>
            <w:r>
              <w:rPr>
                <w:rFonts w:hint="eastAsia" w:ascii="宋体" w:hAnsi="宋体" w:cs="宋体"/>
                <w:color w:val="auto"/>
                <w:sz w:val="24"/>
                <w:szCs w:val="24"/>
                <w:vertAlign w:val="baseline"/>
                <w:lang w:val="en-US" w:eastAsia="zh-CN"/>
              </w:rPr>
              <w:t>7</w:t>
            </w:r>
          </w:p>
        </w:tc>
        <w:tc>
          <w:tcPr>
            <w:tcW w:w="1238" w:type="dxa"/>
            <w:vAlign w:val="center"/>
          </w:tcPr>
          <w:p w14:paraId="05DCEB2C">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智能运维保障系统</w:t>
            </w:r>
          </w:p>
        </w:tc>
        <w:tc>
          <w:tcPr>
            <w:tcW w:w="4931" w:type="dxa"/>
            <w:tcBorders>
              <w:right w:val="single" w:color="auto" w:sz="4" w:space="0"/>
            </w:tcBorders>
            <w:vAlign w:val="center"/>
          </w:tcPr>
          <w:p w14:paraId="5B7C31F2">
            <w:pPr>
              <w:keepNext w:val="0"/>
              <w:keepLines w:val="0"/>
              <w:widowControl/>
              <w:numPr>
                <w:ilvl w:val="0"/>
                <w:numId w:val="0"/>
              </w:numPr>
              <w:suppressLineNumbers w:val="0"/>
              <w:spacing w:line="24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1.</w:t>
            </w:r>
            <w:r>
              <w:rPr>
                <w:rFonts w:hint="eastAsia" w:ascii="宋体" w:hAnsi="宋体" w:eastAsia="宋体" w:cs="宋体"/>
                <w:i w:val="0"/>
                <w:iCs w:val="0"/>
                <w:color w:val="auto"/>
                <w:kern w:val="0"/>
                <w:sz w:val="24"/>
                <w:szCs w:val="24"/>
                <w:u w:val="none"/>
                <w:lang w:val="en-US" w:eastAsia="zh-CN" w:bidi="ar"/>
              </w:rPr>
              <w:t>首页：系统结合 GIS 地理信息，能够在“一张图”中综合展示气象装备运维保障信息。系统对站点数量、站点故障预警</w:t>
            </w:r>
            <w:r>
              <w:rPr>
                <w:rFonts w:hint="eastAsia" w:ascii="宋体" w:hAnsi="宋体" w:cs="宋体"/>
                <w:i w:val="0"/>
                <w:iCs w:val="0"/>
                <w:color w:val="auto"/>
                <w:kern w:val="0"/>
                <w:sz w:val="24"/>
                <w:szCs w:val="24"/>
                <w:u w:val="none"/>
                <w:lang w:val="en-US" w:eastAsia="zh-CN" w:bidi="ar"/>
              </w:rPr>
              <w:t>进行</w:t>
            </w:r>
            <w:r>
              <w:rPr>
                <w:rFonts w:hint="eastAsia" w:ascii="宋体" w:hAnsi="宋体" w:eastAsia="宋体" w:cs="宋体"/>
                <w:i w:val="0"/>
                <w:iCs w:val="0"/>
                <w:color w:val="auto"/>
                <w:kern w:val="0"/>
                <w:sz w:val="24"/>
                <w:szCs w:val="24"/>
                <w:u w:val="none"/>
                <w:lang w:val="en-US" w:eastAsia="zh-CN" w:bidi="ar"/>
              </w:rPr>
              <w:t>综合性的展示，支持按时间周期对预警次数、预警类型占比、预警处置情况做出统计。</w:t>
            </w:r>
          </w:p>
          <w:p w14:paraId="1461F13F">
            <w:pPr>
              <w:keepNext w:val="0"/>
              <w:keepLines w:val="0"/>
              <w:widowControl/>
              <w:numPr>
                <w:ilvl w:val="0"/>
                <w:numId w:val="0"/>
              </w:numPr>
              <w:suppressLineNumbers w:val="0"/>
              <w:spacing w:line="240" w:lineRule="auto"/>
              <w:jc w:val="left"/>
              <w:textAlignment w:val="center"/>
              <w:rPr>
                <w:rFonts w:hint="eastAsia"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2.</w:t>
            </w:r>
            <w:r>
              <w:rPr>
                <w:rFonts w:hint="eastAsia" w:ascii="宋体" w:hAnsi="宋体" w:eastAsia="宋体" w:cs="宋体"/>
                <w:i w:val="0"/>
                <w:iCs w:val="0"/>
                <w:color w:val="auto"/>
                <w:kern w:val="0"/>
                <w:sz w:val="24"/>
                <w:szCs w:val="24"/>
                <w:u w:val="none"/>
                <w:lang w:val="en-US" w:eastAsia="zh-CN" w:bidi="ar"/>
              </w:rPr>
              <w:t>状态监控：综合全面地监控气象站点各类信息，为及时做出故障处置做基础性服务。</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（1）站点监控，基于 GIS 地理信息能够快速查询各站点基本信息，可在地图中点击查看站点地址、方位、类型</w:t>
            </w:r>
            <w:r>
              <w:rPr>
                <w:rFonts w:hint="eastAsia" w:ascii="宋体" w:hAnsi="宋体" w:cs="宋体"/>
                <w:i w:val="0"/>
                <w:iCs w:val="0"/>
                <w:color w:val="auto"/>
                <w:kern w:val="0"/>
                <w:sz w:val="24"/>
                <w:szCs w:val="24"/>
                <w:u w:val="none"/>
                <w:lang w:val="en-US" w:eastAsia="zh-CN" w:bidi="ar"/>
              </w:rPr>
              <w:t>等</w:t>
            </w:r>
            <w:r>
              <w:rPr>
                <w:rFonts w:hint="eastAsia" w:ascii="宋体" w:hAnsi="宋体" w:eastAsia="宋体" w:cs="宋体"/>
                <w:i w:val="0"/>
                <w:iCs w:val="0"/>
                <w:color w:val="auto"/>
                <w:kern w:val="0"/>
                <w:sz w:val="24"/>
                <w:szCs w:val="24"/>
                <w:u w:val="none"/>
                <w:lang w:val="en-US" w:eastAsia="zh-CN" w:bidi="ar"/>
              </w:rPr>
              <w:t>详情信息，也可以列表形式综合查询站点详情信息</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系统实时监测站点状态（正常、异常）。</w:t>
            </w:r>
          </w:p>
          <w:p w14:paraId="295A382A">
            <w:pPr>
              <w:keepNext w:val="0"/>
              <w:keepLines w:val="0"/>
              <w:widowControl/>
              <w:numPr>
                <w:ilvl w:val="0"/>
                <w:numId w:val="9"/>
              </w:numPr>
              <w:suppressLineNumbers w:val="0"/>
              <w:spacing w:line="240" w:lineRule="auto"/>
              <w:jc w:val="left"/>
              <w:textAlignment w:val="center"/>
              <w:rPr>
                <w:rFonts w:hint="eastAsia"/>
                <w:color w:val="auto"/>
              </w:rPr>
            </w:pPr>
            <w:r>
              <w:rPr>
                <w:rFonts w:hint="eastAsia" w:ascii="宋体" w:hAnsi="宋体" w:eastAsia="宋体" w:cs="宋体"/>
                <w:i w:val="0"/>
                <w:iCs w:val="0"/>
                <w:color w:val="auto"/>
                <w:kern w:val="0"/>
                <w:sz w:val="24"/>
                <w:szCs w:val="24"/>
                <w:u w:val="none"/>
                <w:lang w:val="en-US" w:eastAsia="zh-CN" w:bidi="ar"/>
              </w:rPr>
              <w:t>远程重启：支持对接重启模块，通过重启口令实现设备远程重启，确保数据顺畅传输。</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cs="宋体"/>
                <w:i w:val="0"/>
                <w:iCs w:val="0"/>
                <w:color w:val="auto"/>
                <w:kern w:val="0"/>
                <w:sz w:val="24"/>
                <w:szCs w:val="24"/>
                <w:u w:val="none"/>
                <w:lang w:val="en-US" w:eastAsia="zh-CN" w:bidi="ar"/>
              </w:rPr>
              <w:t>3.</w:t>
            </w:r>
            <w:r>
              <w:rPr>
                <w:rFonts w:hint="eastAsia" w:ascii="宋体" w:hAnsi="宋体" w:eastAsia="宋体" w:cs="宋体"/>
                <w:i w:val="0"/>
                <w:iCs w:val="0"/>
                <w:color w:val="auto"/>
                <w:kern w:val="0"/>
                <w:sz w:val="24"/>
                <w:szCs w:val="24"/>
                <w:u w:val="none"/>
                <w:lang w:val="en-US" w:eastAsia="zh-CN" w:bidi="ar"/>
              </w:rPr>
              <w:t>预警回溯：提供历史预警查询功能，辅助用户综合了解站点历史状况，能够按名称、类型、时间等检索历史预警信息，能够对一个月内的预警信息进行回溯，对历史预警分析结果有一个详细的了解。</w:t>
            </w:r>
          </w:p>
          <w:p w14:paraId="39341B16">
            <w:pPr>
              <w:keepNext w:val="0"/>
              <w:keepLines w:val="0"/>
              <w:widowControl/>
              <w:numPr>
                <w:ilvl w:val="0"/>
                <w:numId w:val="0"/>
              </w:numPr>
              <w:suppressLineNumbers w:val="0"/>
              <w:spacing w:line="240" w:lineRule="auto"/>
              <w:ind w:left="0" w:leftChars="0" w:firstLine="0" w:firstLineChars="0"/>
              <w:jc w:val="left"/>
              <w:textAlignment w:val="center"/>
              <w:rPr>
                <w:rFonts w:hint="eastAsia" w:ascii="宋体" w:hAnsi="宋体" w:eastAsia="宋体" w:cs="宋体"/>
                <w:color w:val="auto"/>
                <w:sz w:val="22"/>
                <w:szCs w:val="22"/>
                <w:lang w:val="en-US" w:eastAsia="zh-CN"/>
              </w:rPr>
            </w:pPr>
            <w:r>
              <w:rPr>
                <w:rFonts w:hint="eastAsia" w:ascii="宋体" w:hAnsi="宋体" w:cs="宋体"/>
                <w:i w:val="0"/>
                <w:iCs w:val="0"/>
                <w:color w:val="auto"/>
                <w:kern w:val="0"/>
                <w:sz w:val="24"/>
                <w:szCs w:val="24"/>
                <w:u w:val="none"/>
                <w:lang w:val="en-US" w:eastAsia="zh-CN" w:bidi="ar"/>
              </w:rPr>
              <w:t>4.</w:t>
            </w:r>
            <w:r>
              <w:rPr>
                <w:rFonts w:hint="eastAsia" w:ascii="宋体" w:hAnsi="宋体" w:eastAsia="宋体" w:cs="宋体"/>
                <w:i w:val="0"/>
                <w:iCs w:val="0"/>
                <w:color w:val="auto"/>
                <w:kern w:val="0"/>
                <w:sz w:val="24"/>
                <w:szCs w:val="24"/>
                <w:u w:val="none"/>
                <w:lang w:val="en-US" w:eastAsia="zh-CN" w:bidi="ar"/>
              </w:rPr>
              <w:t>系统管理：设备管理</w:t>
            </w:r>
            <w:r>
              <w:rPr>
                <w:rFonts w:hint="eastAsia" w:ascii="宋体" w:hAnsi="宋体" w:cs="宋体"/>
                <w:i w:val="0"/>
                <w:iCs w:val="0"/>
                <w:color w:val="auto"/>
                <w:kern w:val="0"/>
                <w:sz w:val="24"/>
                <w:szCs w:val="24"/>
                <w:u w:val="none"/>
                <w:lang w:val="en-US" w:eastAsia="zh-CN" w:bidi="ar"/>
              </w:rPr>
              <w:t>、</w:t>
            </w:r>
            <w:r>
              <w:rPr>
                <w:rFonts w:hint="eastAsia" w:ascii="宋体" w:hAnsi="宋体" w:eastAsia="宋体" w:cs="宋体"/>
                <w:i w:val="0"/>
                <w:iCs w:val="0"/>
                <w:color w:val="auto"/>
                <w:kern w:val="0"/>
                <w:sz w:val="24"/>
                <w:szCs w:val="24"/>
                <w:u w:val="none"/>
                <w:lang w:val="en-US" w:eastAsia="zh-CN" w:bidi="ar"/>
              </w:rPr>
              <w:t>预警设置、站点设置、用户管理、日志管理等功能模块；</w:t>
            </w:r>
            <w:r>
              <w:rPr>
                <w:rFonts w:hint="eastAsia" w:ascii="宋体" w:hAnsi="宋体" w:eastAsia="宋体" w:cs="宋体"/>
                <w:i w:val="0"/>
                <w:iCs w:val="0"/>
                <w:color w:val="auto"/>
                <w:kern w:val="0"/>
                <w:sz w:val="24"/>
                <w:szCs w:val="24"/>
                <w:u w:val="none"/>
                <w:lang w:val="en-US" w:eastAsia="zh-CN" w:bidi="ar"/>
              </w:rPr>
              <w:br w:type="textWrapping"/>
            </w:r>
          </w:p>
        </w:tc>
        <w:tc>
          <w:tcPr>
            <w:tcW w:w="675" w:type="dxa"/>
            <w:tcBorders>
              <w:top w:val="single" w:color="auto" w:sz="4" w:space="0"/>
              <w:left w:val="single" w:color="auto" w:sz="4" w:space="0"/>
              <w:bottom w:val="single" w:color="auto" w:sz="4" w:space="0"/>
              <w:right w:val="single" w:color="auto" w:sz="4" w:space="0"/>
            </w:tcBorders>
            <w:vAlign w:val="center"/>
          </w:tcPr>
          <w:p w14:paraId="50D4D70C">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套</w:t>
            </w:r>
          </w:p>
        </w:tc>
        <w:tc>
          <w:tcPr>
            <w:tcW w:w="693" w:type="dxa"/>
            <w:tcBorders>
              <w:top w:val="single" w:color="auto" w:sz="4" w:space="0"/>
              <w:left w:val="single" w:color="auto" w:sz="4" w:space="0"/>
              <w:bottom w:val="single" w:color="auto" w:sz="4" w:space="0"/>
              <w:right w:val="single" w:color="auto" w:sz="4" w:space="0"/>
            </w:tcBorders>
            <w:vAlign w:val="center"/>
          </w:tcPr>
          <w:p w14:paraId="030150C0">
            <w:pPr>
              <w:keepNext w:val="0"/>
              <w:keepLines w:val="0"/>
              <w:widowControl/>
              <w:suppressLineNumbers w:val="0"/>
              <w:spacing w:line="240" w:lineRule="auto"/>
              <w:jc w:val="center"/>
              <w:textAlignment w:val="center"/>
              <w:rPr>
                <w:rFonts w:hint="eastAsia" w:ascii="宋体" w:hAnsi="宋体" w:eastAsia="宋体" w:cs="宋体"/>
                <w:color w:val="auto"/>
                <w:sz w:val="22"/>
                <w:szCs w:val="22"/>
                <w:vertAlign w:val="baseline"/>
                <w:lang w:val="en-US" w:eastAsia="zh-CN"/>
              </w:rPr>
            </w:pPr>
            <w:r>
              <w:rPr>
                <w:rFonts w:hint="eastAsia" w:ascii="宋体" w:hAnsi="宋体" w:eastAsia="宋体" w:cs="宋体"/>
                <w:color w:val="auto"/>
                <w:sz w:val="24"/>
                <w:szCs w:val="24"/>
                <w:vertAlign w:val="baseline"/>
                <w:lang w:val="en-US" w:eastAsia="zh-CN"/>
              </w:rPr>
              <w:t>1</w:t>
            </w:r>
          </w:p>
        </w:tc>
        <w:tc>
          <w:tcPr>
            <w:tcW w:w="675" w:type="dxa"/>
            <w:tcBorders>
              <w:top w:val="single" w:color="auto" w:sz="4" w:space="0"/>
              <w:left w:val="single" w:color="auto" w:sz="4" w:space="0"/>
              <w:bottom w:val="single" w:color="auto" w:sz="4" w:space="0"/>
              <w:right w:val="single" w:color="auto" w:sz="4" w:space="0"/>
            </w:tcBorders>
            <w:vAlign w:val="center"/>
          </w:tcPr>
          <w:p w14:paraId="7AB8D676">
            <w:pPr>
              <w:adjustRightInd w:val="0"/>
              <w:snapToGrid w:val="0"/>
              <w:spacing w:line="360" w:lineRule="auto"/>
              <w:jc w:val="left"/>
              <w:rPr>
                <w:rFonts w:hint="eastAsia" w:ascii="宋体" w:hAnsi="宋体" w:eastAsia="宋体" w:cs="宋体"/>
                <w:color w:val="auto"/>
                <w:sz w:val="22"/>
                <w:szCs w:val="22"/>
                <w:vertAlign w:val="baseline"/>
                <w:lang w:val="en-US" w:eastAsia="zh-CN"/>
              </w:rPr>
            </w:pPr>
          </w:p>
        </w:tc>
      </w:tr>
    </w:tbl>
    <w:p w14:paraId="7D55AB0E">
      <w:pPr>
        <w:spacing w:line="560" w:lineRule="exact"/>
        <w:ind w:firstLine="480" w:firstLineChars="200"/>
        <w:rPr>
          <w:rFonts w:hint="eastAsia" w:ascii="宋体" w:hAnsi="宋体" w:cs="宋体"/>
          <w:color w:val="auto"/>
          <w:sz w:val="24"/>
        </w:rPr>
      </w:pPr>
      <w:r>
        <w:rPr>
          <w:rFonts w:hint="eastAsia" w:ascii="宋体" w:hAnsi="宋体" w:cs="宋体"/>
          <w:color w:val="auto"/>
          <w:sz w:val="24"/>
        </w:rPr>
        <w:t>2、实施的时间和地点</w:t>
      </w:r>
    </w:p>
    <w:p w14:paraId="247A0C67">
      <w:pPr>
        <w:spacing w:line="560" w:lineRule="exact"/>
        <w:ind w:firstLine="480" w:firstLineChars="200"/>
        <w:rPr>
          <w:rFonts w:hint="eastAsia" w:ascii="宋体" w:hAnsi="宋体" w:cs="宋体"/>
          <w:color w:val="auto"/>
          <w:sz w:val="24"/>
        </w:rPr>
      </w:pPr>
      <w:r>
        <w:rPr>
          <w:rFonts w:hint="eastAsia" w:ascii="宋体" w:hAnsi="宋体" w:cs="宋体"/>
          <w:color w:val="auto"/>
          <w:sz w:val="24"/>
          <w:lang w:eastAsia="zh-CN"/>
        </w:rPr>
        <w:t>成交供应商</w:t>
      </w:r>
      <w:r>
        <w:rPr>
          <w:rFonts w:hint="eastAsia" w:ascii="宋体" w:hAnsi="宋体" w:cs="宋体"/>
          <w:color w:val="auto"/>
          <w:sz w:val="24"/>
        </w:rPr>
        <w:t>于合同签订后</w:t>
      </w:r>
      <w:r>
        <w:rPr>
          <w:rFonts w:hint="eastAsia" w:ascii="宋体" w:hAnsi="宋体" w:cs="宋体"/>
          <w:color w:val="auto"/>
          <w:sz w:val="24"/>
          <w:lang w:val="en-US" w:eastAsia="zh-CN"/>
        </w:rPr>
        <w:t>20</w:t>
      </w:r>
      <w:r>
        <w:rPr>
          <w:rFonts w:hint="eastAsia" w:ascii="宋体" w:hAnsi="宋体" w:cs="宋体"/>
          <w:color w:val="auto"/>
          <w:sz w:val="24"/>
        </w:rPr>
        <w:t>天内在采购方指定地点完成所有项目的实施。</w:t>
      </w:r>
    </w:p>
    <w:p w14:paraId="46CA3C95">
      <w:pPr>
        <w:spacing w:line="560" w:lineRule="exact"/>
        <w:rPr>
          <w:rFonts w:hint="eastAsia" w:ascii="宋体" w:hAnsi="宋体" w:cs="宋体"/>
          <w:b/>
          <w:bCs/>
          <w:color w:val="auto"/>
          <w:sz w:val="24"/>
          <w:szCs w:val="24"/>
        </w:rPr>
      </w:pPr>
      <w:r>
        <w:rPr>
          <w:rFonts w:hint="eastAsia" w:ascii="宋体" w:hAnsi="宋体" w:cs="宋体"/>
          <w:b/>
          <w:bCs/>
          <w:color w:val="auto"/>
          <w:sz w:val="24"/>
          <w:szCs w:val="24"/>
          <w:lang w:val="en-US" w:eastAsia="zh-CN"/>
        </w:rPr>
        <w:t>三</w:t>
      </w:r>
      <w:r>
        <w:rPr>
          <w:rFonts w:hint="eastAsia" w:ascii="宋体" w:hAnsi="宋体" w:cs="宋体"/>
          <w:b/>
          <w:bCs/>
          <w:color w:val="auto"/>
          <w:sz w:val="24"/>
          <w:szCs w:val="24"/>
        </w:rPr>
        <w:t>、</w:t>
      </w:r>
      <w:r>
        <w:rPr>
          <w:rFonts w:hint="eastAsia" w:ascii="宋体" w:hAnsi="宋体" w:cs="宋体"/>
          <w:b/>
          <w:bCs/>
          <w:color w:val="auto"/>
          <w:sz w:val="24"/>
          <w:szCs w:val="24"/>
          <w:lang w:val="en-US" w:eastAsia="zh-CN"/>
        </w:rPr>
        <w:t>多要素自动气象观测站</w:t>
      </w:r>
      <w:r>
        <w:rPr>
          <w:rFonts w:hint="eastAsia" w:ascii="宋体" w:hAnsi="宋体" w:cs="宋体"/>
          <w:b/>
          <w:bCs/>
          <w:color w:val="auto"/>
          <w:sz w:val="24"/>
          <w:szCs w:val="24"/>
        </w:rPr>
        <w:t>设备具体技术</w:t>
      </w:r>
      <w:r>
        <w:rPr>
          <w:rFonts w:hint="eastAsia" w:ascii="宋体" w:hAnsi="宋体" w:cs="宋体"/>
          <w:b/>
          <w:bCs/>
          <w:color w:val="auto"/>
          <w:sz w:val="24"/>
          <w:szCs w:val="24"/>
          <w:lang w:val="en-US" w:eastAsia="zh-CN"/>
        </w:rPr>
        <w:t>要求</w:t>
      </w:r>
      <w:r>
        <w:rPr>
          <w:rFonts w:hint="eastAsia" w:ascii="宋体" w:hAnsi="宋体" w:cs="宋体"/>
          <w:b/>
          <w:bCs/>
          <w:color w:val="auto"/>
          <w:sz w:val="24"/>
          <w:szCs w:val="24"/>
        </w:rPr>
        <w:t>：</w:t>
      </w:r>
    </w:p>
    <w:p w14:paraId="12B498F0">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1、数据采集系统</w:t>
      </w:r>
    </w:p>
    <w:p w14:paraId="48968452">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数据采集器是自动气象站的核心，由硬件和嵌入式软件组成。硬件包含高性能的嵌入式处理器、高精度的A/D 电路、高精度的实时时钟电路、大容量的程序和数据存储器、传感器接口、通信接口、监测电路、指示灯等。</w:t>
      </w:r>
    </w:p>
    <w:p w14:paraId="3C673FB0">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2、自动气象站功能要求</w:t>
      </w:r>
    </w:p>
    <w:p w14:paraId="25CD3215">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（1）数据采集</w:t>
      </w:r>
    </w:p>
    <w:p w14:paraId="3BF9A039">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对传感器按预定的采样频率进行扫描和将获得的电信号转换成微控制器可读信号，得到气象变量测量值序列；对气象变量测量值进行转换，使传感器输出的电信号转换成气象单位量，得到采样瞬时值。</w:t>
      </w:r>
    </w:p>
    <w:p w14:paraId="36134386">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（2）数据处理</w:t>
      </w:r>
    </w:p>
    <w:p w14:paraId="3391F14D">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根据气象要素采样值，计算出气象观测需要的统计量，如一个小时内的极值、滑动平均、算数平均值以及累计量等；由采集器生成气象值（分钟）数据、小时正点数据和监控数据，并写入存储器。</w:t>
      </w:r>
    </w:p>
    <w:p w14:paraId="29BA8F66">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（3）数据存储</w:t>
      </w:r>
    </w:p>
    <w:p w14:paraId="74E0A51A">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数据采集器存储7天的瞬时气象（分钟）值、1月的正点气象要素值等。数据存储可以使用循环式存储器结构，即允许最新的数据覆盖旧数据。采集器内部的数据存储器容量应留有50%的余量。采集器内部的数据存贮器应具备掉电保存功能。</w:t>
      </w:r>
    </w:p>
    <w:p w14:paraId="1D02727F">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（4）数据传输</w:t>
      </w:r>
    </w:p>
    <w:p w14:paraId="2589FEDD">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自动气象站应具备通过无线方式或串口直连方式进行数据传输的功能。通过微机终端实现远程通信传输的功能在业务软件中实现。</w:t>
      </w:r>
    </w:p>
    <w:p w14:paraId="52E6A6B3">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3、太阳能电源系统</w:t>
      </w:r>
    </w:p>
    <w:p w14:paraId="478EA6C4">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自动气象站须采用太阳能供电。</w:t>
      </w:r>
    </w:p>
    <w:p w14:paraId="3630E8B7">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（1）表层以3mm厚高透射率(92%)的强化玻璃所覆盖，可抵受每小时225公里(62.5m/s)的风速吹袭，及沙石、雹或其他异物的撞太阳能击；</w:t>
      </w:r>
    </w:p>
    <w:p w14:paraId="34B4C658">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（2）阳极处理铅合金框架，框架以矽塑料密封，防止盐雾、潮湿等腐蚀，全天候接线盒。</w:t>
      </w:r>
    </w:p>
    <w:p w14:paraId="6610615D">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（3）功率：≥30W；</w:t>
      </w:r>
    </w:p>
    <w:p w14:paraId="245CE093">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（4）配件含连接线、转换器等。</w:t>
      </w:r>
    </w:p>
    <w:p w14:paraId="72BDF5A1">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（5）蓄电池的容量必须保证自动气象站能在脱离辅助电源的条件下连续工作7天。并在蓄电池电压低到不足以维持符合质量要求的观测工作前两天发出报警信息。</w:t>
      </w:r>
    </w:p>
    <w:p w14:paraId="12DD35CF">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5、通讯系统</w:t>
      </w:r>
    </w:p>
    <w:p w14:paraId="37189F5D">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支持 RS-232/485 接口；支持 2G、3G、4G 网络自动识别并切换，能无缝兼容到客户指定的数据库中。</w:t>
      </w:r>
    </w:p>
    <w:p w14:paraId="3F5C93BF">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6、10米风杆技术要求</w:t>
      </w:r>
    </w:p>
    <w:p w14:paraId="1CC76A0C">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自动站</w:t>
      </w:r>
      <w:r>
        <w:rPr>
          <w:rFonts w:hint="eastAsia" w:ascii="宋体" w:hAnsi="宋体" w:cs="宋体"/>
          <w:color w:val="auto"/>
          <w:sz w:val="24"/>
          <w:lang w:val="zh-CN" w:eastAsia="zh-CN"/>
        </w:rPr>
        <w:t>要求</w:t>
      </w:r>
      <w:r>
        <w:rPr>
          <w:rFonts w:hint="eastAsia" w:ascii="宋体" w:hAnsi="宋体" w:cs="宋体"/>
          <w:color w:val="auto"/>
          <w:sz w:val="24"/>
          <w:lang w:val="en-US" w:eastAsia="zh-CN"/>
        </w:rPr>
        <w:t>采用无拉线式</w:t>
      </w:r>
      <w:r>
        <w:rPr>
          <w:rFonts w:hint="eastAsia" w:ascii="宋体" w:hAnsi="宋体" w:cs="宋体"/>
          <w:color w:val="auto"/>
          <w:sz w:val="24"/>
          <w:lang w:val="zh-CN" w:eastAsia="zh-CN"/>
        </w:rPr>
        <w:t>风杆，防腐蚀能力强、抗风强度大的铝钛合金材料制成，具备防腐、防锈性能，产品能在不同自然环境中具有较强的耐候性。产品能够用于机械风和三维超声风的固定和安装。产品性能要求：较强的耐风沙性、防腐蚀、防腐锈、较强的耐候性、整体安装性高、稳定性强、成熟的防雷保护系统、结构简单、美观大方。</w:t>
      </w:r>
    </w:p>
    <w:p w14:paraId="6D7F6919">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7、百叶箱</w:t>
      </w:r>
    </w:p>
    <w:p w14:paraId="3709D31D">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百叶箱：玻璃钢百叶箱符合中国气象局发布的百叶箱专业标准“ZBA4700-85”中提的技术要求。</w:t>
      </w:r>
    </w:p>
    <w:p w14:paraId="7D6E0F24">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8、设备防雷</w:t>
      </w:r>
    </w:p>
    <w:p w14:paraId="3F72C262">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zh-CN" w:eastAsia="zh-CN"/>
        </w:rPr>
        <w:t>电源系统防雷、传感器</w:t>
      </w:r>
      <w:r>
        <w:rPr>
          <w:rFonts w:hint="eastAsia" w:ascii="宋体" w:hAnsi="宋体" w:cs="宋体"/>
          <w:color w:val="auto"/>
          <w:sz w:val="24"/>
          <w:lang w:val="en-US" w:eastAsia="zh-CN"/>
        </w:rPr>
        <w:t>通道防雷、通讯系统防雷、设备整体防雷，符合中国气象局自动站防雷标准。</w:t>
      </w:r>
    </w:p>
    <w:p w14:paraId="7E2BCA1A">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9、可靠性与可维护性</w:t>
      </w:r>
    </w:p>
    <w:p w14:paraId="4DA22A15">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平均无故障工作时间（MTBF）大于3000h。</w:t>
      </w:r>
    </w:p>
    <w:p w14:paraId="7691DD1E">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平均维修时间（MTTR）小于40min。</w:t>
      </w:r>
    </w:p>
    <w:p w14:paraId="67F9B9E8">
      <w:pPr>
        <w:spacing w:line="560" w:lineRule="exact"/>
        <w:rPr>
          <w:rFonts w:hint="eastAsia" w:ascii="宋体" w:hAnsi="宋体" w:cs="宋体"/>
          <w:b/>
          <w:bCs/>
          <w:color w:val="auto"/>
          <w:sz w:val="24"/>
          <w:szCs w:val="24"/>
          <w:lang w:val="en-US" w:eastAsia="zh-CN"/>
        </w:rPr>
      </w:pPr>
      <w:r>
        <w:rPr>
          <w:rFonts w:hint="eastAsia" w:ascii="宋体" w:hAnsi="宋体" w:cs="宋体"/>
          <w:b/>
          <w:bCs/>
          <w:color w:val="auto"/>
          <w:sz w:val="24"/>
          <w:szCs w:val="24"/>
          <w:lang w:val="en-US" w:eastAsia="zh-CN"/>
        </w:rPr>
        <w:t>四、供货及验收要求：</w:t>
      </w:r>
    </w:p>
    <w:p w14:paraId="0A0285EB">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1.</w:t>
      </w:r>
      <w:r>
        <w:rPr>
          <w:rFonts w:hint="eastAsia" w:ascii="宋体" w:hAnsi="宋体" w:cs="宋体"/>
          <w:color w:val="auto"/>
          <w:sz w:val="24"/>
          <w:lang w:val="en-US" w:eastAsia="zh-CN"/>
        </w:rPr>
        <w:t>供货期限：合同签订后20个日历天内完成供货、安装、调试并具备验收条件</w:t>
      </w:r>
      <w:r>
        <w:rPr>
          <w:rFonts w:hint="eastAsia" w:ascii="宋体" w:hAnsi="宋体" w:cs="宋体"/>
          <w:color w:val="auto"/>
          <w:sz w:val="24"/>
          <w:lang w:val="zh-CN" w:eastAsia="zh-CN"/>
        </w:rPr>
        <w:t>。</w:t>
      </w:r>
    </w:p>
    <w:p w14:paraId="61B1D636">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2.合同设备是设备生产厂商生产的，全新、未使用过的，是用符合要求的工艺和材料制造而成的，并完全满足规定的质量和规格的要求。</w:t>
      </w:r>
    </w:p>
    <w:p w14:paraId="31B361B3">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3.合同设备的技术规范应与本项目招标文件中货物清单、质量要求和供货部分中的规定及响应文件中投标货物技术规范偏离表相一致，同时应符合中华人民共和国相关标准及相应的技术规范、本次采购相关文件中的全部相关要求。</w:t>
      </w:r>
    </w:p>
    <w:p w14:paraId="26BF0CFC">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4.设备出厂前，采购人有权派人到工厂进行检验，中标人应在设备出厂前提供出厂检验项目指标测试程序和检验方法，供采购人参考，采购人可根据需要进行补充和修改。</w:t>
      </w:r>
    </w:p>
    <w:p w14:paraId="6620E172">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5.设备包装箱内应附带设备制造厂商的出厂检验合格证书或第三方测试证书。同时提供清晰、正确、完整的中文版本技术资料。</w:t>
      </w:r>
    </w:p>
    <w:p w14:paraId="4C0AC72B">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6.设备运抵安装现场后，采购人将与中标人共同开箱验收，如中标人届时不派人到场，则验收结果应以采购人的验收报告为最终验收结果。验收时发现设备短缺、破损，中标人应立即补发进行更换。</w:t>
      </w:r>
    </w:p>
    <w:p w14:paraId="240A4AC4">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7.合同设备经正确安装后，可以连续、正常、稳定运行，气象观测系统设备需要正常接入观测数据传输网络，数据上传格式符合相关业务规范并能被相应业务平台正常解析。</w:t>
      </w:r>
    </w:p>
    <w:p w14:paraId="431A4037">
      <w:pPr>
        <w:spacing w:line="560" w:lineRule="exact"/>
        <w:ind w:firstLine="720" w:firstLineChars="300"/>
        <w:rPr>
          <w:rFonts w:hint="eastAsia" w:ascii="宋体" w:hAnsi="宋体" w:cs="宋体"/>
          <w:color w:val="auto"/>
          <w:sz w:val="24"/>
          <w:lang w:val="zh-CN" w:eastAsia="zh-CN"/>
        </w:rPr>
      </w:pPr>
      <w:r>
        <w:rPr>
          <w:rFonts w:hint="eastAsia" w:ascii="宋体" w:hAnsi="宋体" w:cs="宋体"/>
          <w:color w:val="auto"/>
          <w:sz w:val="24"/>
          <w:lang w:val="zh-CN" w:eastAsia="zh-CN"/>
        </w:rPr>
        <w:t>当满足以下条件时，采购人确认验收合格：</w:t>
      </w:r>
    </w:p>
    <w:p w14:paraId="38D54C84">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 xml:space="preserve">① 中标人已提供合同中签署的全部货物及完整技术资料；  </w:t>
      </w:r>
    </w:p>
    <w:p w14:paraId="4701A749">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② 货物符合技术规格，性能满足要求。</w:t>
      </w:r>
    </w:p>
    <w:p w14:paraId="4EABA00E">
      <w:pPr>
        <w:spacing w:line="560" w:lineRule="exact"/>
        <w:ind w:firstLine="482" w:firstLineChars="200"/>
        <w:rPr>
          <w:rFonts w:hint="eastAsia" w:ascii="宋体" w:hAnsi="宋体" w:cs="宋体"/>
          <w:b/>
          <w:bCs/>
          <w:color w:val="auto"/>
          <w:sz w:val="24"/>
          <w:szCs w:val="24"/>
          <w:lang w:val="en-US" w:eastAsia="zh-CN"/>
        </w:rPr>
      </w:pPr>
      <w:bookmarkStart w:id="32" w:name="_Toc367700027"/>
      <w:r>
        <w:rPr>
          <w:rFonts w:hint="eastAsia" w:ascii="宋体" w:hAnsi="宋体" w:cs="宋体"/>
          <w:b/>
          <w:bCs/>
          <w:color w:val="auto"/>
          <w:sz w:val="24"/>
          <w:szCs w:val="24"/>
          <w:lang w:val="en-US" w:eastAsia="zh-CN"/>
        </w:rPr>
        <w:t>五、</w:t>
      </w:r>
      <w:bookmarkEnd w:id="32"/>
      <w:r>
        <w:rPr>
          <w:rFonts w:hint="eastAsia" w:ascii="宋体" w:hAnsi="宋体" w:cs="宋体"/>
          <w:b/>
          <w:bCs/>
          <w:color w:val="auto"/>
          <w:sz w:val="24"/>
          <w:szCs w:val="24"/>
          <w:lang w:val="en-US" w:eastAsia="zh-CN"/>
        </w:rPr>
        <w:t>技术服务和质保期服务要求</w:t>
      </w:r>
    </w:p>
    <w:p w14:paraId="1BB28551">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1.本采购项目包含设备供应、设备运输、培训及售后服务。</w:t>
      </w:r>
    </w:p>
    <w:p w14:paraId="29616F05">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2.技术培训</w:t>
      </w:r>
    </w:p>
    <w:p w14:paraId="5FBE148B">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 xml:space="preserve">免费向用户提供设备安装、调试，以及软件技术培训。技术培训内容包括：设备工作原理、使用方法、日常维护及一般常见故障的诊断及排除，以及实际操作练习等。并在培训时免费提供完整的培训资料，其中包括使用说明、工作原理、技术图纸、注意事项、安装调试方法和维修指南等。 </w:t>
      </w:r>
    </w:p>
    <w:p w14:paraId="52E2C37D">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3.技术文件</w:t>
      </w:r>
    </w:p>
    <w:p w14:paraId="32C475DE">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 xml:space="preserve">为确保系统正常运行、管理及维护，投标方应提供全套的书面技术材料，至少应包括：技术资料详细清单；系统说明文件；技术手册(安装、操作、维护、故障排除等)；设备电路原理图；详细的工程日志；基于业务运行和日常维护的规范操作说明等。 </w:t>
      </w:r>
    </w:p>
    <w:p w14:paraId="2E1CE8D4">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 xml:space="preserve">4.保修及售后服务 </w:t>
      </w:r>
    </w:p>
    <w:p w14:paraId="2DC832FE">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（1）</w:t>
      </w:r>
      <w:r>
        <w:rPr>
          <w:rFonts w:hint="eastAsia" w:ascii="宋体" w:hAnsi="宋体" w:cs="宋体"/>
          <w:color w:val="auto"/>
          <w:sz w:val="24"/>
          <w:lang w:val="en-US" w:eastAsia="zh-CN"/>
        </w:rPr>
        <w:t>质保期：</w:t>
      </w:r>
      <w:r>
        <w:rPr>
          <w:rFonts w:hint="eastAsia" w:ascii="宋体" w:hAnsi="宋体" w:cs="宋体"/>
          <w:color w:val="auto"/>
          <w:sz w:val="24"/>
          <w:lang w:val="zh-CN" w:eastAsia="zh-CN"/>
        </w:rPr>
        <w:t>多要素自动气象观测站（六要素） 设备提供自验收合格后8年质保服务（已在“采购需求”第</w:t>
      </w:r>
      <w:r>
        <w:rPr>
          <w:rFonts w:hint="eastAsia" w:ascii="宋体" w:hAnsi="宋体" w:cs="宋体"/>
          <w:color w:val="auto"/>
          <w:sz w:val="24"/>
          <w:lang w:val="en-US" w:eastAsia="zh-CN"/>
        </w:rPr>
        <w:t>6</w:t>
      </w:r>
      <w:r>
        <w:rPr>
          <w:rFonts w:hint="eastAsia" w:ascii="宋体" w:hAnsi="宋体" w:cs="宋体"/>
          <w:color w:val="auto"/>
          <w:sz w:val="24"/>
          <w:lang w:val="zh-CN" w:eastAsia="zh-CN"/>
        </w:rPr>
        <w:t>项中单独列明）；多要素自动气象观测站（四要素） 及其他</w:t>
      </w:r>
      <w:r>
        <w:rPr>
          <w:rFonts w:hint="eastAsia" w:ascii="宋体" w:hAnsi="宋体" w:cs="宋体"/>
          <w:color w:val="auto"/>
          <w:sz w:val="24"/>
          <w:lang w:val="en-US" w:eastAsia="zh-CN"/>
        </w:rPr>
        <w:t>货物</w:t>
      </w:r>
      <w:r>
        <w:rPr>
          <w:rFonts w:hint="eastAsia" w:ascii="宋体" w:hAnsi="宋体" w:cs="宋体"/>
          <w:color w:val="auto"/>
          <w:sz w:val="24"/>
          <w:lang w:val="zh-CN" w:eastAsia="zh-CN"/>
        </w:rPr>
        <w:t>（含重启模块、流量卡等）提供自验收合格后 1年 质保服务。</w:t>
      </w:r>
    </w:p>
    <w:p w14:paraId="5474276C">
      <w:pPr>
        <w:spacing w:line="560" w:lineRule="exact"/>
        <w:ind w:firstLine="480" w:firstLineChars="200"/>
        <w:rPr>
          <w:rFonts w:hint="eastAsia" w:ascii="宋体" w:hAnsi="宋体" w:cs="宋体"/>
          <w:color w:val="auto"/>
          <w:sz w:val="24"/>
          <w:lang w:val="zh-CN" w:eastAsia="zh-CN"/>
        </w:rPr>
      </w:pPr>
      <w:r>
        <w:rPr>
          <w:rFonts w:hint="eastAsia" w:ascii="宋体" w:hAnsi="宋体" w:cs="宋体"/>
          <w:color w:val="auto"/>
          <w:sz w:val="24"/>
          <w:lang w:val="zh-CN" w:eastAsia="zh-CN"/>
        </w:rPr>
        <w:t>（2）在质保期内，因设备设计、制造质量出现问题，均由中标人无偿维修或更换（包括更换器件）。设备供应商服务时间应为7×24小时，当投标产品或软件遭到损坏或出现故障时，要在用户报修之时起4小时内做出响应，开展维修维护工作，视情况双方协商设备恢复正常运行时限。</w:t>
      </w:r>
    </w:p>
    <w:p w14:paraId="42F21A25">
      <w:pPr>
        <w:spacing w:line="560" w:lineRule="exact"/>
        <w:ind w:firstLine="480" w:firstLineChars="200"/>
        <w:rPr>
          <w:rFonts w:hint="eastAsia" w:ascii="宋体" w:hAnsi="宋体" w:cs="宋体"/>
          <w:color w:val="auto"/>
          <w:sz w:val="24"/>
          <w:highlight w:val="yellow"/>
          <w:lang w:val="zh-CN" w:eastAsia="zh-CN"/>
        </w:rPr>
      </w:pPr>
      <w:r>
        <w:rPr>
          <w:rFonts w:hint="eastAsia" w:ascii="宋体" w:hAnsi="宋体" w:cs="宋体"/>
          <w:color w:val="auto"/>
          <w:sz w:val="24"/>
          <w:highlight w:val="yellow"/>
          <w:lang w:val="zh-CN" w:eastAsia="zh-CN"/>
        </w:rPr>
        <w:t>（3）质保期过后，设备供应商仍有义务提供技术服务（包括提供设备维护、备件等）。质保期外的收费按相关行业规则或由双方协商收取。</w:t>
      </w:r>
    </w:p>
    <w:p w14:paraId="2E5B0D99">
      <w:pPr>
        <w:spacing w:line="560" w:lineRule="exact"/>
        <w:ind w:firstLine="480" w:firstLineChars="200"/>
        <w:rPr>
          <w:rFonts w:hint="default" w:ascii="宋体" w:hAnsi="宋体" w:cs="宋体"/>
          <w:color w:val="auto"/>
          <w:sz w:val="24"/>
          <w:lang w:val="en-US" w:eastAsia="zh-CN"/>
        </w:rPr>
      </w:pPr>
      <w:r>
        <w:rPr>
          <w:rFonts w:hint="eastAsia" w:ascii="宋体" w:hAnsi="宋体" w:cs="宋体"/>
          <w:color w:val="auto"/>
          <w:sz w:val="24"/>
          <w:lang w:val="en-US" w:eastAsia="zh-CN"/>
        </w:rPr>
        <w:t>5.专业要求</w:t>
      </w:r>
    </w:p>
    <w:p w14:paraId="1B0021F5">
      <w:pPr>
        <w:spacing w:line="560" w:lineRule="exact"/>
        <w:ind w:firstLine="480" w:firstLineChars="200"/>
        <w:rPr>
          <w:rFonts w:hint="eastAsia" w:ascii="宋体" w:hAnsi="宋体" w:cs="宋体"/>
          <w:color w:val="auto"/>
          <w:sz w:val="24"/>
        </w:rPr>
      </w:pPr>
      <w:r>
        <w:rPr>
          <w:rFonts w:hint="eastAsia" w:ascii="宋体" w:hAnsi="宋体" w:cs="宋体"/>
          <w:color w:val="auto"/>
          <w:sz w:val="24"/>
          <w:lang w:val="zh-CN" w:eastAsia="zh-CN"/>
        </w:rPr>
        <w:t>★</w:t>
      </w:r>
      <w:r>
        <w:rPr>
          <w:rFonts w:hint="eastAsia" w:ascii="宋体" w:hAnsi="宋体" w:cs="宋体"/>
          <w:color w:val="auto"/>
          <w:sz w:val="24"/>
          <w:lang w:val="en-US" w:eastAsia="zh-CN"/>
        </w:rPr>
        <w:t>供应商所投的多要素自动气象观测站（六要素）必须取得自动气象站《气象专用技术装备使用许可证》。响应文件中须提供该许可证扫描件，或提供中国气象局一体化政务服务平台“气象专用技术装备使用许可证名录”查询截图，以证明其有效性。</w:t>
      </w:r>
    </w:p>
    <w:p w14:paraId="5F5B0B5B">
      <w:pPr>
        <w:spacing w:line="360" w:lineRule="auto"/>
        <w:ind w:firstLine="442" w:firstLineChars="200"/>
        <w:rPr>
          <w:rFonts w:hint="eastAsia" w:asciiTheme="minorEastAsia" w:hAnsiTheme="minorEastAsia" w:eastAsiaTheme="minorEastAsia" w:cstheme="minorEastAsia"/>
          <w:b/>
          <w:color w:val="auto"/>
          <w:sz w:val="24"/>
          <w:szCs w:val="24"/>
        </w:rPr>
      </w:pPr>
      <w:r>
        <w:rPr>
          <w:rFonts w:hint="eastAsia" w:ascii="宋体" w:hAnsi="宋体" w:cs="宋体"/>
          <w:b/>
          <w:bCs/>
          <w:color w:val="auto"/>
          <w:sz w:val="22"/>
          <w:szCs w:val="22"/>
          <w:lang w:val="en-US" w:eastAsia="zh-CN"/>
        </w:rPr>
        <w:t>六、</w:t>
      </w:r>
      <w:r>
        <w:rPr>
          <w:rFonts w:hint="eastAsia" w:asciiTheme="minorEastAsia" w:hAnsiTheme="minorEastAsia" w:eastAsiaTheme="minorEastAsia" w:cstheme="minorEastAsia"/>
          <w:b/>
          <w:color w:val="auto"/>
          <w:sz w:val="24"/>
          <w:szCs w:val="24"/>
        </w:rPr>
        <w:t>商务要求</w:t>
      </w:r>
    </w:p>
    <w:p w14:paraId="5349150B">
      <w:pPr>
        <w:spacing w:line="560" w:lineRule="exact"/>
        <w:ind w:firstLine="480" w:firstLineChars="200"/>
        <w:rPr>
          <w:rFonts w:hint="eastAsia" w:ascii="宋体" w:hAnsi="宋体" w:cs="宋体"/>
          <w:color w:val="auto"/>
          <w:sz w:val="24"/>
        </w:rPr>
      </w:pPr>
      <w:r>
        <w:rPr>
          <w:rFonts w:hint="eastAsia" w:ascii="宋体" w:hAnsi="宋体" w:cs="宋体"/>
          <w:color w:val="auto"/>
          <w:sz w:val="24"/>
        </w:rPr>
        <w:t>1、支付方式：项目合同签订后</w:t>
      </w:r>
      <w:r>
        <w:rPr>
          <w:rFonts w:hint="eastAsia" w:ascii="宋体" w:hAnsi="宋体" w:cs="宋体"/>
          <w:color w:val="auto"/>
          <w:sz w:val="24"/>
          <w:lang w:val="en-US" w:eastAsia="zh-CN"/>
        </w:rPr>
        <w:t>10日内，采购方首付给中标方合同款50%，中标方在20</w:t>
      </w:r>
      <w:r>
        <w:rPr>
          <w:rFonts w:hint="eastAsia" w:ascii="宋体" w:hAnsi="宋体" w:cs="宋体"/>
          <w:color w:val="auto"/>
          <w:sz w:val="24"/>
          <w:lang w:eastAsia="zh-CN"/>
        </w:rPr>
        <w:t>天</w:t>
      </w:r>
      <w:r>
        <w:rPr>
          <w:rFonts w:hint="eastAsia" w:ascii="宋体" w:hAnsi="宋体" w:cs="宋体"/>
          <w:color w:val="auto"/>
          <w:sz w:val="24"/>
          <w:lang w:val="en-US" w:eastAsia="zh-CN"/>
        </w:rPr>
        <w:t>内</w:t>
      </w:r>
      <w:r>
        <w:rPr>
          <w:rFonts w:hint="eastAsia" w:ascii="宋体" w:hAnsi="宋体" w:cs="宋体"/>
          <w:color w:val="auto"/>
          <w:sz w:val="24"/>
        </w:rPr>
        <w:t>完成所有实施内容并经采购方验收合格。采购方一次性支付中标方</w:t>
      </w:r>
      <w:r>
        <w:rPr>
          <w:rFonts w:hint="eastAsia" w:ascii="宋体" w:hAnsi="宋体" w:cs="宋体"/>
          <w:color w:val="auto"/>
          <w:sz w:val="24"/>
          <w:lang w:val="en-US" w:eastAsia="zh-CN"/>
        </w:rPr>
        <w:t>剩余5</w:t>
      </w:r>
      <w:r>
        <w:rPr>
          <w:rFonts w:hint="eastAsia" w:ascii="宋体" w:hAnsi="宋体" w:cs="宋体"/>
          <w:color w:val="auto"/>
          <w:sz w:val="24"/>
        </w:rPr>
        <w:t>0%</w:t>
      </w:r>
      <w:r>
        <w:rPr>
          <w:rFonts w:hint="eastAsia" w:ascii="宋体" w:hAnsi="宋体" w:cs="宋体"/>
          <w:color w:val="auto"/>
          <w:sz w:val="24"/>
          <w:lang w:val="en-US" w:eastAsia="zh-CN"/>
        </w:rPr>
        <w:t>合同款</w:t>
      </w:r>
      <w:r>
        <w:rPr>
          <w:rFonts w:hint="eastAsia" w:ascii="宋体" w:hAnsi="宋体" w:cs="宋体"/>
          <w:color w:val="auto"/>
          <w:sz w:val="24"/>
        </w:rPr>
        <w:t>。</w:t>
      </w:r>
    </w:p>
    <w:p w14:paraId="4577853F">
      <w:pPr>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2、服务地点：</w:t>
      </w:r>
      <w:r>
        <w:rPr>
          <w:rFonts w:hint="eastAsia" w:asciiTheme="minorEastAsia" w:hAnsiTheme="minorEastAsia" w:cstheme="minorEastAsia"/>
          <w:color w:val="auto"/>
          <w:sz w:val="24"/>
          <w:lang w:eastAsia="zh-CN"/>
        </w:rPr>
        <w:t>采购人</w:t>
      </w:r>
      <w:r>
        <w:rPr>
          <w:rFonts w:hint="eastAsia" w:asciiTheme="minorEastAsia" w:hAnsiTheme="minorEastAsia" w:eastAsiaTheme="minorEastAsia" w:cstheme="minorEastAsia"/>
          <w:color w:val="auto"/>
          <w:sz w:val="24"/>
        </w:rPr>
        <w:t>指定地点</w:t>
      </w:r>
    </w:p>
    <w:p w14:paraId="2664D4E5">
      <w:pPr>
        <w:autoSpaceDE w:val="0"/>
        <w:autoSpaceDN w:val="0"/>
        <w:spacing w:line="360" w:lineRule="auto"/>
        <w:ind w:firstLine="480" w:firstLineChars="200"/>
        <w:rPr>
          <w:rFonts w:hint="eastAsia"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3、</w:t>
      </w:r>
      <w:r>
        <w:rPr>
          <w:rFonts w:hint="eastAsia" w:asciiTheme="minorEastAsia" w:hAnsiTheme="minorEastAsia" w:eastAsiaTheme="minorEastAsia" w:cstheme="minorEastAsia"/>
          <w:color w:val="auto"/>
          <w:sz w:val="24"/>
          <w:lang w:eastAsia="zh-CN"/>
        </w:rPr>
        <w:t>供货</w:t>
      </w:r>
      <w:r>
        <w:rPr>
          <w:rFonts w:hint="eastAsia" w:asciiTheme="minorEastAsia" w:hAnsiTheme="minorEastAsia" w:eastAsiaTheme="minorEastAsia" w:cstheme="minorEastAsia"/>
          <w:color w:val="auto"/>
          <w:sz w:val="24"/>
        </w:rPr>
        <w:t>期限：</w:t>
      </w:r>
      <w:r>
        <w:rPr>
          <w:rFonts w:hint="eastAsia" w:asciiTheme="minorEastAsia" w:hAnsiTheme="minorEastAsia" w:eastAsiaTheme="minorEastAsia" w:cstheme="minorEastAsia"/>
          <w:color w:val="auto"/>
          <w:sz w:val="24"/>
          <w:lang w:val="en-US" w:eastAsia="zh-CN"/>
        </w:rPr>
        <w:t>合同签订后</w:t>
      </w:r>
      <w:r>
        <w:rPr>
          <w:rFonts w:hint="eastAsia" w:asciiTheme="minorEastAsia" w:hAnsiTheme="minorEastAsia" w:cstheme="minorEastAsia"/>
          <w:color w:val="auto"/>
          <w:sz w:val="24"/>
          <w:lang w:val="en-US" w:eastAsia="zh-CN"/>
        </w:rPr>
        <w:t>20</w:t>
      </w:r>
      <w:r>
        <w:rPr>
          <w:rFonts w:hint="eastAsia" w:asciiTheme="minorEastAsia" w:hAnsiTheme="minorEastAsia" w:eastAsiaTheme="minorEastAsia" w:cstheme="minorEastAsia"/>
          <w:color w:val="auto"/>
          <w:sz w:val="24"/>
          <w:lang w:val="en-US" w:eastAsia="zh-CN"/>
        </w:rPr>
        <w:t>个日历</w:t>
      </w:r>
      <w:r>
        <w:rPr>
          <w:rFonts w:hint="eastAsia" w:asciiTheme="minorEastAsia" w:hAnsiTheme="minorEastAsia" w:cstheme="minorEastAsia"/>
          <w:color w:val="auto"/>
          <w:sz w:val="24"/>
          <w:lang w:val="en-US" w:eastAsia="zh-CN"/>
        </w:rPr>
        <w:t>天</w:t>
      </w:r>
      <w:r>
        <w:rPr>
          <w:rFonts w:hint="eastAsia" w:asciiTheme="minorEastAsia" w:hAnsiTheme="minorEastAsia" w:eastAsiaTheme="minorEastAsia" w:cstheme="minorEastAsia"/>
          <w:color w:val="auto"/>
          <w:sz w:val="24"/>
          <w:lang w:val="en-US" w:eastAsia="zh-CN"/>
        </w:rPr>
        <w:t>内完成供货、安装、调试并具备验收条件</w:t>
      </w:r>
      <w:r>
        <w:rPr>
          <w:rFonts w:hint="eastAsia" w:asciiTheme="minorEastAsia" w:hAnsiTheme="minorEastAsia" w:eastAsiaTheme="minorEastAsia" w:cstheme="minorEastAsia"/>
          <w:color w:val="auto"/>
          <w:sz w:val="24"/>
        </w:rPr>
        <w:t>。</w:t>
      </w:r>
    </w:p>
    <w:p w14:paraId="66DF5CB6">
      <w:pPr>
        <w:spacing w:line="560" w:lineRule="exact"/>
        <w:ind w:firstLine="480" w:firstLineChars="200"/>
        <w:rPr>
          <w:rFonts w:hint="eastAsia" w:ascii="宋体" w:hAnsi="宋体" w:cs="宋体"/>
          <w:color w:val="auto"/>
          <w:sz w:val="24"/>
          <w:lang w:eastAsia="zh-CN"/>
        </w:rPr>
      </w:pPr>
      <w:r>
        <w:rPr>
          <w:rFonts w:hint="eastAsia" w:asciiTheme="minorEastAsia" w:hAnsiTheme="minorEastAsia" w:cstheme="minorEastAsia"/>
          <w:color w:val="auto"/>
          <w:sz w:val="24"/>
          <w:lang w:val="en-US" w:eastAsia="zh-CN"/>
        </w:rPr>
        <w:t>4、</w:t>
      </w:r>
      <w:r>
        <w:rPr>
          <w:rFonts w:hint="eastAsia" w:asciiTheme="minorEastAsia" w:hAnsiTheme="minorEastAsia" w:eastAsiaTheme="minorEastAsia" w:cstheme="minorEastAsia"/>
          <w:color w:val="auto"/>
          <w:sz w:val="24"/>
        </w:rPr>
        <w:t>质量</w:t>
      </w:r>
      <w:r>
        <w:rPr>
          <w:rFonts w:hint="eastAsia" w:asciiTheme="minorEastAsia" w:hAnsiTheme="minorEastAsia" w:cstheme="minorEastAsia"/>
          <w:color w:val="auto"/>
          <w:sz w:val="24"/>
          <w:lang w:eastAsia="zh-CN"/>
        </w:rPr>
        <w:t>要求</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zh-CN"/>
        </w:rPr>
        <w:t>合格。</w:t>
      </w:r>
      <w:r>
        <w:rPr>
          <w:rFonts w:hint="eastAsia" w:asciiTheme="minorEastAsia" w:hAnsiTheme="minorEastAsia" w:eastAsiaTheme="minorEastAsia" w:cstheme="minorEastAsia"/>
          <w:color w:val="auto"/>
          <w:sz w:val="24"/>
        </w:rPr>
        <w:t>符合相关技</w:t>
      </w:r>
      <w:r>
        <w:rPr>
          <w:rFonts w:hint="eastAsia" w:ascii="宋体" w:hAnsi="宋体" w:cs="宋体"/>
          <w:color w:val="auto"/>
          <w:sz w:val="24"/>
        </w:rPr>
        <w:t>术规范,满足</w:t>
      </w:r>
      <w:r>
        <w:rPr>
          <w:rFonts w:hint="eastAsia" w:ascii="宋体" w:hAnsi="宋体" w:cs="宋体"/>
          <w:color w:val="auto"/>
          <w:sz w:val="24"/>
          <w:lang w:eastAsia="zh-CN"/>
        </w:rPr>
        <w:t>国家相关技术标准</w:t>
      </w:r>
      <w:r>
        <w:rPr>
          <w:rFonts w:hint="eastAsia" w:ascii="宋体" w:hAnsi="宋体" w:cs="宋体"/>
          <w:color w:val="auto"/>
          <w:sz w:val="24"/>
        </w:rPr>
        <w:t>要求。</w:t>
      </w:r>
    </w:p>
    <w:p w14:paraId="1EF5F935">
      <w:pPr>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5、★观测数据支持接入中国气象局统一版中心站软件，供应商需提供承诺函。</w:t>
      </w:r>
    </w:p>
    <w:p w14:paraId="2245086B">
      <w:pPr>
        <w:pStyle w:val="19"/>
        <w:rPr>
          <w:rFonts w:hint="default"/>
          <w:color w:val="auto"/>
          <w:lang w:val="en-US" w:eastAsia="zh-CN"/>
        </w:rPr>
      </w:pPr>
    </w:p>
    <w:p w14:paraId="31ABE2FA">
      <w:pPr>
        <w:spacing w:line="360" w:lineRule="auto"/>
        <w:ind w:firstLine="480" w:firstLineChars="200"/>
        <w:rPr>
          <w:rFonts w:hint="eastAsia" w:asciiTheme="minorEastAsia" w:hAnsiTheme="minorEastAsia" w:eastAsiaTheme="minorEastAsia" w:cstheme="minorEastAsia"/>
          <w:color w:val="auto"/>
          <w:sz w:val="24"/>
          <w:lang w:eastAsia="zh-CN"/>
        </w:rPr>
      </w:pPr>
    </w:p>
    <w:p w14:paraId="2954DF9F">
      <w:pPr>
        <w:rPr>
          <w:rFonts w:hint="eastAsia"/>
          <w:color w:val="auto"/>
          <w:lang w:val="en-US" w:eastAsia="zh-CN"/>
        </w:rPr>
      </w:pPr>
    </w:p>
    <w:p w14:paraId="728E8538">
      <w:pPr>
        <w:spacing w:line="360" w:lineRule="auto"/>
        <w:rPr>
          <w:rFonts w:hint="eastAsia" w:ascii="宋体" w:hAnsi="宋体" w:cs="宋体"/>
          <w:b/>
          <w:bCs/>
          <w:color w:val="auto"/>
          <w:sz w:val="24"/>
        </w:rPr>
      </w:pPr>
      <w:r>
        <w:rPr>
          <w:rFonts w:hint="eastAsia" w:ascii="宋体" w:hAnsi="宋体" w:cs="宋体"/>
          <w:b/>
          <w:bCs/>
          <w:color w:val="auto"/>
          <w:sz w:val="24"/>
        </w:rPr>
        <w:br w:type="page"/>
      </w:r>
    </w:p>
    <w:p w14:paraId="06B0C919">
      <w:pPr>
        <w:spacing w:line="480" w:lineRule="auto"/>
        <w:jc w:val="center"/>
        <w:rPr>
          <w:rFonts w:ascii="宋体" w:hAnsi="宋体" w:cs="宋体"/>
          <w:color w:val="auto"/>
          <w:sz w:val="24"/>
        </w:rPr>
      </w:pPr>
      <w:r>
        <w:rPr>
          <w:rFonts w:hint="eastAsia" w:ascii="宋体" w:hAnsi="宋体" w:cs="宋体"/>
          <w:b/>
          <w:bCs/>
          <w:color w:val="auto"/>
          <w:sz w:val="24"/>
        </w:rPr>
        <w:t>第四章  响应性文件内容及格式</w:t>
      </w:r>
    </w:p>
    <w:p w14:paraId="719968C0">
      <w:pPr>
        <w:widowControl/>
        <w:spacing w:line="520" w:lineRule="exact"/>
        <w:ind w:firstLine="480" w:firstLineChars="200"/>
        <w:jc w:val="center"/>
        <w:rPr>
          <w:rFonts w:ascii="宋体" w:hAnsi="宋体" w:cs="宋体"/>
          <w:color w:val="auto"/>
          <w:sz w:val="24"/>
        </w:rPr>
      </w:pPr>
    </w:p>
    <w:p w14:paraId="4F0EB74E">
      <w:pPr>
        <w:spacing w:line="560" w:lineRule="exact"/>
        <w:ind w:firstLine="480" w:firstLineChars="200"/>
        <w:rPr>
          <w:rFonts w:ascii="宋体" w:hAnsi="宋体" w:cs="宋体"/>
          <w:color w:val="auto"/>
          <w:sz w:val="28"/>
          <w:szCs w:val="28"/>
        </w:rPr>
      </w:pPr>
      <w:r>
        <w:rPr>
          <w:rFonts w:hint="eastAsia" w:ascii="宋体" w:hAnsi="宋体" w:cs="宋体"/>
          <w:color w:val="auto"/>
          <w:sz w:val="24"/>
          <w:szCs w:val="24"/>
        </w:rPr>
        <w:t>注：请供应商按照以下文件的要求格式、内容，顺序制作响应性文件，并编制目录及页码，否则可能将影响对响应性文件的评价。</w:t>
      </w:r>
      <w:r>
        <w:rPr>
          <w:rFonts w:hint="eastAsia" w:ascii="宋体" w:hAnsi="宋体" w:cs="宋体"/>
          <w:color w:val="auto"/>
          <w:sz w:val="28"/>
          <w:szCs w:val="28"/>
        </w:rPr>
        <w:t xml:space="preserve"> </w:t>
      </w:r>
    </w:p>
    <w:p w14:paraId="786A4FC7">
      <w:pPr>
        <w:spacing w:line="560" w:lineRule="exact"/>
        <w:ind w:firstLine="562" w:firstLineChars="200"/>
        <w:rPr>
          <w:rFonts w:hint="eastAsia" w:ascii="宋体" w:hAnsi="宋体" w:cs="宋体"/>
          <w:b/>
          <w:color w:val="auto"/>
          <w:sz w:val="28"/>
          <w:szCs w:val="28"/>
        </w:rPr>
      </w:pPr>
    </w:p>
    <w:p w14:paraId="6F927E43">
      <w:pPr>
        <w:spacing w:line="560" w:lineRule="exact"/>
        <w:ind w:firstLine="562" w:firstLineChars="200"/>
        <w:rPr>
          <w:rFonts w:ascii="宋体" w:hAnsi="宋体" w:cs="宋体"/>
          <w:b/>
          <w:color w:val="auto"/>
          <w:sz w:val="28"/>
          <w:szCs w:val="28"/>
        </w:rPr>
      </w:pPr>
      <w:r>
        <w:rPr>
          <w:rFonts w:hint="eastAsia" w:ascii="宋体" w:hAnsi="宋体" w:cs="宋体"/>
          <w:b/>
          <w:color w:val="auto"/>
          <w:sz w:val="28"/>
          <w:szCs w:val="28"/>
        </w:rPr>
        <w:t>重要提示：</w:t>
      </w:r>
    </w:p>
    <w:p w14:paraId="7FE9880E">
      <w:pPr>
        <w:snapToGrid w:val="0"/>
        <w:spacing w:line="560" w:lineRule="exact"/>
        <w:ind w:firstLine="480" w:firstLineChars="200"/>
        <w:rPr>
          <w:rFonts w:ascii="宋体" w:hAnsi="宋体" w:cs="宋体"/>
          <w:color w:val="auto"/>
          <w:sz w:val="24"/>
          <w:szCs w:val="24"/>
        </w:rPr>
      </w:pPr>
      <w:r>
        <w:rPr>
          <w:rFonts w:hint="eastAsia" w:ascii="宋体" w:hAnsi="宋体" w:cs="宋体"/>
          <w:color w:val="auto"/>
          <w:sz w:val="24"/>
          <w:szCs w:val="24"/>
        </w:rPr>
        <w:t>1．供应商在编制响应性文件时，对于给定格式的文件内容，必须按照给定的标准格式进行填报；对于没有给定标准格式的文件内容，可以由供应商自行设计。</w:t>
      </w:r>
    </w:p>
    <w:p w14:paraId="1723E915">
      <w:pPr>
        <w:snapToGrid w:val="0"/>
        <w:spacing w:line="560" w:lineRule="exact"/>
        <w:ind w:firstLine="480" w:firstLineChars="200"/>
        <w:rPr>
          <w:rFonts w:ascii="宋体" w:hAnsi="宋体" w:cs="宋体"/>
          <w:color w:val="auto"/>
          <w:sz w:val="24"/>
          <w:szCs w:val="24"/>
        </w:rPr>
      </w:pPr>
      <w:r>
        <w:rPr>
          <w:rFonts w:hint="eastAsia" w:ascii="宋体" w:hAnsi="宋体" w:cs="宋体"/>
          <w:color w:val="auto"/>
          <w:sz w:val="24"/>
          <w:szCs w:val="24"/>
        </w:rPr>
        <w:t>2.法定代表人本人参加竞争性磋商的，不需提供授权委托书。</w:t>
      </w:r>
    </w:p>
    <w:p w14:paraId="7275DED0">
      <w:pPr>
        <w:snapToGrid w:val="0"/>
        <w:jc w:val="left"/>
        <w:rPr>
          <w:rFonts w:ascii="宋体" w:hAnsi="宋体" w:cs="宋体"/>
          <w:color w:val="auto"/>
          <w:sz w:val="24"/>
        </w:rPr>
      </w:pPr>
    </w:p>
    <w:p w14:paraId="4012E899">
      <w:pPr>
        <w:snapToGrid w:val="0"/>
        <w:jc w:val="left"/>
        <w:rPr>
          <w:rFonts w:ascii="宋体" w:hAnsi="宋体" w:cs="宋体"/>
          <w:color w:val="auto"/>
          <w:sz w:val="24"/>
        </w:rPr>
      </w:pPr>
    </w:p>
    <w:p w14:paraId="1AB2D3CB">
      <w:pPr>
        <w:snapToGrid w:val="0"/>
        <w:jc w:val="left"/>
        <w:rPr>
          <w:rFonts w:ascii="宋体" w:hAnsi="宋体" w:cs="宋体"/>
          <w:color w:val="auto"/>
          <w:sz w:val="24"/>
        </w:rPr>
      </w:pPr>
    </w:p>
    <w:p w14:paraId="6A34BDCE">
      <w:pPr>
        <w:snapToGrid w:val="0"/>
        <w:jc w:val="left"/>
        <w:rPr>
          <w:rFonts w:ascii="宋体" w:hAnsi="宋体" w:cs="宋体"/>
          <w:color w:val="auto"/>
          <w:sz w:val="24"/>
        </w:rPr>
      </w:pPr>
    </w:p>
    <w:p w14:paraId="1A017D51">
      <w:pPr>
        <w:snapToGrid w:val="0"/>
        <w:jc w:val="left"/>
        <w:rPr>
          <w:rFonts w:ascii="宋体" w:hAnsi="宋体" w:cs="宋体"/>
          <w:color w:val="auto"/>
          <w:sz w:val="24"/>
        </w:rPr>
      </w:pPr>
    </w:p>
    <w:p w14:paraId="0E889FF9">
      <w:pPr>
        <w:snapToGrid w:val="0"/>
        <w:jc w:val="left"/>
        <w:rPr>
          <w:rFonts w:ascii="宋体" w:hAnsi="宋体" w:cs="宋体"/>
          <w:color w:val="auto"/>
          <w:sz w:val="24"/>
        </w:rPr>
      </w:pPr>
    </w:p>
    <w:p w14:paraId="7B53AF87">
      <w:pPr>
        <w:snapToGrid w:val="0"/>
        <w:jc w:val="left"/>
        <w:rPr>
          <w:rFonts w:ascii="宋体" w:hAnsi="宋体" w:cs="宋体"/>
          <w:color w:val="auto"/>
          <w:sz w:val="24"/>
        </w:rPr>
      </w:pPr>
    </w:p>
    <w:p w14:paraId="4A1D0EEB">
      <w:pPr>
        <w:snapToGrid w:val="0"/>
        <w:jc w:val="left"/>
        <w:rPr>
          <w:rFonts w:ascii="宋体" w:hAnsi="宋体" w:cs="宋体"/>
          <w:color w:val="auto"/>
          <w:sz w:val="24"/>
        </w:rPr>
      </w:pPr>
    </w:p>
    <w:p w14:paraId="630BC3C7">
      <w:pPr>
        <w:snapToGrid w:val="0"/>
        <w:jc w:val="left"/>
        <w:rPr>
          <w:rFonts w:ascii="宋体" w:hAnsi="宋体" w:cs="宋体"/>
          <w:color w:val="auto"/>
          <w:sz w:val="24"/>
        </w:rPr>
      </w:pPr>
    </w:p>
    <w:p w14:paraId="0BC3E430">
      <w:pPr>
        <w:snapToGrid w:val="0"/>
        <w:jc w:val="left"/>
        <w:rPr>
          <w:rFonts w:ascii="宋体" w:hAnsi="宋体" w:cs="宋体"/>
          <w:color w:val="auto"/>
          <w:sz w:val="24"/>
        </w:rPr>
      </w:pPr>
    </w:p>
    <w:p w14:paraId="54CA65FD">
      <w:pPr>
        <w:snapToGrid w:val="0"/>
        <w:jc w:val="left"/>
        <w:rPr>
          <w:rFonts w:ascii="宋体" w:hAnsi="宋体" w:cs="宋体"/>
          <w:color w:val="auto"/>
          <w:sz w:val="24"/>
        </w:rPr>
      </w:pPr>
    </w:p>
    <w:p w14:paraId="47E1FAC6">
      <w:pPr>
        <w:snapToGrid w:val="0"/>
        <w:jc w:val="left"/>
        <w:rPr>
          <w:rFonts w:ascii="宋体" w:hAnsi="宋体" w:cs="宋体"/>
          <w:color w:val="auto"/>
          <w:sz w:val="24"/>
        </w:rPr>
      </w:pPr>
    </w:p>
    <w:p w14:paraId="5A0FC8D2">
      <w:pPr>
        <w:snapToGrid w:val="0"/>
        <w:jc w:val="left"/>
        <w:rPr>
          <w:rFonts w:ascii="宋体" w:hAnsi="宋体" w:cs="宋体"/>
          <w:color w:val="auto"/>
          <w:sz w:val="24"/>
        </w:rPr>
      </w:pPr>
    </w:p>
    <w:p w14:paraId="42D28610">
      <w:pPr>
        <w:snapToGrid w:val="0"/>
        <w:jc w:val="left"/>
        <w:rPr>
          <w:rFonts w:ascii="宋体" w:hAnsi="宋体" w:cs="宋体"/>
          <w:color w:val="auto"/>
          <w:sz w:val="24"/>
        </w:rPr>
      </w:pPr>
    </w:p>
    <w:p w14:paraId="6F0F2D9C">
      <w:pPr>
        <w:pStyle w:val="19"/>
        <w:ind w:firstLine="480"/>
        <w:rPr>
          <w:rFonts w:ascii="宋体" w:hAnsi="宋体" w:eastAsia="宋体" w:cs="宋体"/>
          <w:color w:val="auto"/>
          <w:sz w:val="24"/>
        </w:rPr>
      </w:pPr>
    </w:p>
    <w:p w14:paraId="575F512B">
      <w:pPr>
        <w:pStyle w:val="19"/>
        <w:ind w:firstLine="480"/>
        <w:rPr>
          <w:rFonts w:ascii="宋体" w:hAnsi="宋体" w:eastAsia="宋体" w:cs="宋体"/>
          <w:color w:val="auto"/>
          <w:sz w:val="24"/>
        </w:rPr>
      </w:pPr>
    </w:p>
    <w:p w14:paraId="5D957D3C">
      <w:pPr>
        <w:pStyle w:val="19"/>
        <w:ind w:firstLine="480"/>
        <w:rPr>
          <w:rFonts w:ascii="宋体" w:hAnsi="宋体" w:eastAsia="宋体" w:cs="宋体"/>
          <w:color w:val="auto"/>
          <w:sz w:val="24"/>
        </w:rPr>
      </w:pPr>
    </w:p>
    <w:p w14:paraId="7D5E61ED">
      <w:pPr>
        <w:pStyle w:val="19"/>
        <w:ind w:firstLine="480"/>
        <w:rPr>
          <w:rFonts w:ascii="宋体" w:hAnsi="宋体" w:eastAsia="宋体" w:cs="宋体"/>
          <w:color w:val="auto"/>
          <w:sz w:val="24"/>
        </w:rPr>
      </w:pPr>
    </w:p>
    <w:p w14:paraId="16CAF66C">
      <w:pPr>
        <w:snapToGrid w:val="0"/>
        <w:jc w:val="left"/>
        <w:rPr>
          <w:rFonts w:ascii="宋体" w:hAnsi="宋体" w:cs="宋体"/>
          <w:color w:val="auto"/>
          <w:sz w:val="24"/>
        </w:rPr>
      </w:pPr>
    </w:p>
    <w:p w14:paraId="1D615865">
      <w:pPr>
        <w:snapToGrid w:val="0"/>
        <w:jc w:val="left"/>
        <w:rPr>
          <w:rFonts w:ascii="宋体" w:hAnsi="宋体" w:cs="宋体"/>
          <w:color w:val="auto"/>
          <w:sz w:val="24"/>
        </w:rPr>
      </w:pPr>
    </w:p>
    <w:p w14:paraId="467C6325">
      <w:pPr>
        <w:snapToGrid w:val="0"/>
        <w:jc w:val="left"/>
        <w:rPr>
          <w:rFonts w:ascii="宋体" w:hAnsi="宋体" w:cs="宋体"/>
          <w:color w:val="auto"/>
          <w:sz w:val="24"/>
        </w:rPr>
      </w:pPr>
    </w:p>
    <w:p w14:paraId="5FCC061F">
      <w:pPr>
        <w:snapToGrid w:val="0"/>
        <w:jc w:val="left"/>
        <w:rPr>
          <w:rFonts w:ascii="宋体" w:hAnsi="宋体" w:cs="宋体"/>
          <w:color w:val="auto"/>
          <w:sz w:val="24"/>
        </w:rPr>
      </w:pPr>
    </w:p>
    <w:p w14:paraId="1281F9EB">
      <w:pPr>
        <w:snapToGrid w:val="0"/>
        <w:jc w:val="left"/>
        <w:rPr>
          <w:rFonts w:ascii="宋体" w:hAnsi="宋体" w:cs="宋体"/>
          <w:color w:val="auto"/>
          <w:sz w:val="24"/>
        </w:rPr>
      </w:pPr>
    </w:p>
    <w:p w14:paraId="0344831F">
      <w:pPr>
        <w:snapToGrid w:val="0"/>
        <w:jc w:val="left"/>
        <w:rPr>
          <w:rFonts w:ascii="宋体" w:hAnsi="宋体" w:cs="宋体"/>
          <w:color w:val="auto"/>
          <w:sz w:val="24"/>
        </w:rPr>
      </w:pPr>
    </w:p>
    <w:p w14:paraId="4AF6CB67">
      <w:pPr>
        <w:snapToGrid w:val="0"/>
        <w:jc w:val="left"/>
        <w:rPr>
          <w:rFonts w:ascii="宋体" w:hAnsi="宋体" w:cs="宋体"/>
          <w:color w:val="auto"/>
          <w:sz w:val="24"/>
        </w:rPr>
      </w:pPr>
    </w:p>
    <w:p w14:paraId="1EBFE5B1">
      <w:pPr>
        <w:snapToGrid w:val="0"/>
        <w:jc w:val="left"/>
        <w:rPr>
          <w:rFonts w:ascii="宋体" w:hAnsi="宋体" w:cs="宋体"/>
          <w:color w:val="auto"/>
          <w:sz w:val="24"/>
        </w:rPr>
      </w:pPr>
    </w:p>
    <w:p w14:paraId="3253101C">
      <w:pPr>
        <w:pStyle w:val="19"/>
        <w:ind w:firstLine="480"/>
        <w:rPr>
          <w:rFonts w:ascii="宋体" w:hAnsi="宋体" w:eastAsia="宋体" w:cs="宋体"/>
          <w:color w:val="auto"/>
          <w:sz w:val="24"/>
        </w:rPr>
      </w:pPr>
    </w:p>
    <w:p w14:paraId="29CB6EF0">
      <w:pPr>
        <w:pStyle w:val="35"/>
        <w:ind w:firstLine="210"/>
        <w:rPr>
          <w:color w:val="auto"/>
        </w:rPr>
      </w:pPr>
    </w:p>
    <w:p w14:paraId="4428642F">
      <w:pPr>
        <w:spacing w:line="360" w:lineRule="auto"/>
        <w:jc w:val="left"/>
        <w:rPr>
          <w:rFonts w:hint="eastAsia" w:ascii="宋体" w:hAnsi="宋体" w:cs="宋体" w:eastAsiaTheme="minorEastAsia"/>
          <w:color w:val="auto"/>
          <w:sz w:val="24"/>
          <w:lang w:val="en-US" w:eastAsia="zh-CN"/>
        </w:rPr>
      </w:pPr>
      <w:r>
        <w:rPr>
          <w:rFonts w:hint="eastAsia" w:ascii="宋体" w:hAnsi="宋体" w:cs="宋体"/>
          <w:color w:val="auto"/>
          <w:sz w:val="24"/>
        </w:rPr>
        <w:t>格式</w:t>
      </w:r>
      <w:r>
        <w:rPr>
          <w:rFonts w:hint="eastAsia" w:ascii="宋体" w:hAnsi="宋体" w:cs="宋体"/>
          <w:color w:val="auto"/>
          <w:sz w:val="24"/>
          <w:lang w:val="en-US" w:eastAsia="zh-CN"/>
        </w:rPr>
        <w:t>1</w:t>
      </w:r>
    </w:p>
    <w:p w14:paraId="5CEB96FC">
      <w:pPr>
        <w:spacing w:line="360" w:lineRule="auto"/>
        <w:jc w:val="center"/>
        <w:rPr>
          <w:rFonts w:ascii="宋体" w:hAnsi="宋体" w:cs="宋体"/>
          <w:b/>
          <w:bCs/>
          <w:color w:val="auto"/>
          <w:sz w:val="24"/>
          <w:u w:val="none"/>
        </w:rPr>
      </w:pPr>
      <w:r>
        <w:rPr>
          <w:rFonts w:hint="eastAsia" w:ascii="宋体" w:hAnsi="宋体" w:cs="宋体"/>
          <w:b/>
          <w:bCs/>
          <w:color w:val="auto"/>
          <w:sz w:val="24"/>
          <w:u w:val="none"/>
        </w:rPr>
        <w:t>法定代表人身份证明书</w:t>
      </w:r>
    </w:p>
    <w:p w14:paraId="1D8FCEE0">
      <w:pPr>
        <w:spacing w:line="360" w:lineRule="auto"/>
        <w:jc w:val="center"/>
        <w:rPr>
          <w:rFonts w:ascii="宋体" w:hAnsi="宋体" w:cs="宋体"/>
          <w:color w:val="auto"/>
          <w:sz w:val="24"/>
          <w:u w:val="none"/>
        </w:rPr>
      </w:pPr>
      <w:r>
        <w:rPr>
          <w:rFonts w:hint="eastAsia" w:ascii="宋体" w:hAnsi="宋体" w:cs="宋体"/>
          <w:color w:val="auto"/>
          <w:sz w:val="24"/>
          <w:u w:val="none"/>
        </w:rPr>
        <w:t>（法定代表人参加竞争性磋商的，出具此证明书）</w:t>
      </w:r>
    </w:p>
    <w:p w14:paraId="7E5209A7">
      <w:pPr>
        <w:spacing w:line="360" w:lineRule="auto"/>
        <w:rPr>
          <w:rFonts w:hint="eastAsia" w:ascii="宋体" w:hAnsi="宋体" w:cs="宋体"/>
          <w:color w:val="auto"/>
          <w:sz w:val="24"/>
          <w:u w:val="none"/>
        </w:rPr>
      </w:pPr>
    </w:p>
    <w:p w14:paraId="3FA18A2F">
      <w:pPr>
        <w:spacing w:line="360" w:lineRule="auto"/>
        <w:ind w:firstLine="720" w:firstLineChars="300"/>
        <w:rPr>
          <w:rFonts w:ascii="宋体" w:hAnsi="宋体" w:cs="宋体"/>
          <w:color w:val="auto"/>
          <w:sz w:val="24"/>
        </w:rPr>
      </w:pPr>
      <w:r>
        <w:rPr>
          <w:rFonts w:hint="eastAsia" w:ascii="宋体" w:hAnsi="宋体" w:cs="宋体"/>
          <w:color w:val="auto"/>
          <w:sz w:val="24"/>
          <w:u w:val="single"/>
          <w:lang w:val="en-US" w:eastAsia="zh-CN"/>
        </w:rPr>
        <w:t xml:space="preserve">        </w:t>
      </w:r>
      <w:r>
        <w:rPr>
          <w:rFonts w:hint="eastAsia" w:ascii="宋体" w:hAnsi="宋体" w:cs="宋体"/>
          <w:color w:val="auto"/>
          <w:sz w:val="24"/>
        </w:rPr>
        <w:t>同志，系我单位法定代表人，任</w:t>
      </w:r>
      <w:r>
        <w:rPr>
          <w:rFonts w:hint="eastAsia" w:ascii="宋体" w:hAnsi="宋体" w:cs="宋体"/>
          <w:color w:val="auto"/>
          <w:sz w:val="24"/>
          <w:u w:val="single"/>
          <w:lang w:val="en-US" w:eastAsia="zh-CN"/>
        </w:rPr>
        <w:t xml:space="preserve">        </w:t>
      </w:r>
      <w:r>
        <w:rPr>
          <w:rFonts w:hint="eastAsia" w:ascii="宋体" w:hAnsi="宋体" w:cs="宋体"/>
          <w:color w:val="auto"/>
          <w:sz w:val="24"/>
        </w:rPr>
        <w:t>职务。</w:t>
      </w:r>
    </w:p>
    <w:p w14:paraId="6B1687D1">
      <w:pPr>
        <w:spacing w:line="360" w:lineRule="auto"/>
        <w:ind w:firstLine="480" w:firstLineChars="200"/>
        <w:rPr>
          <w:rFonts w:hint="eastAsia" w:ascii="宋体" w:hAnsi="宋体" w:cs="宋体"/>
          <w:color w:val="auto"/>
          <w:sz w:val="24"/>
        </w:rPr>
      </w:pPr>
    </w:p>
    <w:p w14:paraId="4B1E8DB0">
      <w:pPr>
        <w:spacing w:line="360" w:lineRule="auto"/>
        <w:ind w:firstLine="480" w:firstLineChars="200"/>
        <w:rPr>
          <w:rFonts w:ascii="宋体" w:hAnsi="宋体" w:cs="宋体"/>
          <w:color w:val="auto"/>
          <w:sz w:val="24"/>
        </w:rPr>
      </w:pPr>
      <w:r>
        <w:rPr>
          <w:rFonts w:hint="eastAsia" w:ascii="宋体" w:hAnsi="宋体" w:cs="宋体"/>
          <w:color w:val="auto"/>
          <w:sz w:val="24"/>
        </w:rPr>
        <w:t>特此证明。</w:t>
      </w:r>
    </w:p>
    <w:p w14:paraId="7BB9CD70">
      <w:pPr>
        <w:spacing w:line="360" w:lineRule="auto"/>
        <w:ind w:firstLine="480" w:firstLineChars="200"/>
        <w:rPr>
          <w:rFonts w:hint="eastAsia" w:ascii="宋体" w:hAnsi="宋体" w:cs="宋体"/>
          <w:color w:val="auto"/>
          <w:sz w:val="24"/>
        </w:rPr>
      </w:pPr>
    </w:p>
    <w:p w14:paraId="6B6516E0">
      <w:pPr>
        <w:spacing w:line="360" w:lineRule="auto"/>
        <w:ind w:firstLine="480" w:firstLineChars="200"/>
        <w:rPr>
          <w:rFonts w:ascii="宋体" w:hAnsi="宋体" w:cs="宋体"/>
          <w:color w:val="auto"/>
          <w:sz w:val="24"/>
        </w:rPr>
      </w:pPr>
      <w:r>
        <w:rPr>
          <w:rFonts w:hint="eastAsia" w:ascii="宋体" w:hAnsi="宋体" w:cs="宋体"/>
          <w:color w:val="auto"/>
          <w:sz w:val="24"/>
        </w:rPr>
        <w:t xml:space="preserve">附：联系地址：               </w:t>
      </w:r>
    </w:p>
    <w:p w14:paraId="0CB3E677">
      <w:pPr>
        <w:spacing w:line="360" w:lineRule="auto"/>
        <w:ind w:firstLine="960" w:firstLineChars="400"/>
        <w:rPr>
          <w:rFonts w:ascii="宋体" w:hAnsi="宋体" w:cs="宋体"/>
          <w:b/>
          <w:color w:val="auto"/>
          <w:sz w:val="24"/>
        </w:rPr>
      </w:pPr>
      <w:r>
        <w:rPr>
          <w:rFonts w:hint="eastAsia" w:ascii="宋体" w:hAnsi="宋体" w:cs="宋体"/>
          <w:color w:val="auto"/>
          <w:sz w:val="24"/>
        </w:rPr>
        <w:t>联系电话：</w:t>
      </w:r>
    </w:p>
    <w:tbl>
      <w:tblPr>
        <w:tblStyle w:val="20"/>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5554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14:paraId="58BE079E">
            <w:pPr>
              <w:spacing w:line="480" w:lineRule="exact"/>
              <w:rPr>
                <w:rFonts w:ascii="宋体" w:hAnsi="宋体" w:cs="宋体"/>
                <w:b/>
                <w:bCs/>
                <w:color w:val="auto"/>
                <w:sz w:val="24"/>
              </w:rPr>
            </w:pPr>
          </w:p>
          <w:p w14:paraId="573CA8C6">
            <w:pPr>
              <w:spacing w:line="480" w:lineRule="exact"/>
              <w:rPr>
                <w:rFonts w:ascii="宋体" w:hAnsi="宋体" w:cs="宋体"/>
                <w:b/>
                <w:bCs/>
                <w:color w:val="auto"/>
                <w:sz w:val="24"/>
              </w:rPr>
            </w:pPr>
          </w:p>
          <w:p w14:paraId="6A5732B3">
            <w:pPr>
              <w:spacing w:line="480" w:lineRule="exact"/>
              <w:jc w:val="center"/>
              <w:rPr>
                <w:rFonts w:ascii="宋体" w:hAnsi="宋体" w:cs="宋体"/>
                <w:b/>
                <w:bCs/>
                <w:color w:val="auto"/>
                <w:sz w:val="24"/>
              </w:rPr>
            </w:pPr>
            <w:r>
              <w:rPr>
                <w:rFonts w:hint="eastAsia" w:ascii="宋体" w:hAnsi="宋体" w:cs="宋体"/>
                <w:b/>
                <w:bCs/>
                <w:color w:val="auto"/>
                <w:sz w:val="24"/>
              </w:rPr>
              <w:t>（※附：法定代表人身份证复印件※）</w:t>
            </w:r>
          </w:p>
          <w:p w14:paraId="793587B8">
            <w:pPr>
              <w:spacing w:line="480" w:lineRule="exact"/>
              <w:rPr>
                <w:rFonts w:ascii="宋体" w:hAnsi="宋体" w:cs="宋体"/>
                <w:color w:val="auto"/>
                <w:sz w:val="24"/>
              </w:rPr>
            </w:pPr>
          </w:p>
          <w:p w14:paraId="443DA07C">
            <w:pPr>
              <w:spacing w:line="480" w:lineRule="exact"/>
              <w:rPr>
                <w:rFonts w:ascii="宋体" w:hAnsi="宋体" w:cs="宋体"/>
                <w:color w:val="auto"/>
                <w:sz w:val="24"/>
              </w:rPr>
            </w:pPr>
          </w:p>
        </w:tc>
      </w:tr>
    </w:tbl>
    <w:p w14:paraId="3641C7B8">
      <w:pPr>
        <w:spacing w:line="360" w:lineRule="auto"/>
        <w:ind w:firstLine="960" w:firstLineChars="400"/>
        <w:rPr>
          <w:rFonts w:ascii="宋体" w:hAnsi="宋体" w:cs="宋体"/>
          <w:color w:val="auto"/>
          <w:sz w:val="24"/>
        </w:rPr>
      </w:pPr>
    </w:p>
    <w:p w14:paraId="159DFC67">
      <w:pPr>
        <w:spacing w:line="360" w:lineRule="auto"/>
        <w:ind w:firstLine="3840" w:firstLineChars="1600"/>
        <w:rPr>
          <w:rFonts w:ascii="宋体" w:hAnsi="宋体" w:cs="宋体"/>
          <w:color w:val="auto"/>
          <w:sz w:val="24"/>
        </w:rPr>
      </w:pPr>
    </w:p>
    <w:p w14:paraId="24462586">
      <w:pPr>
        <w:spacing w:line="360" w:lineRule="auto"/>
        <w:ind w:firstLine="3840" w:firstLineChars="1600"/>
        <w:rPr>
          <w:rFonts w:ascii="宋体" w:hAnsi="宋体" w:cs="宋体"/>
          <w:color w:val="auto"/>
          <w:sz w:val="24"/>
        </w:rPr>
      </w:pPr>
    </w:p>
    <w:p w14:paraId="54B4A52D">
      <w:pPr>
        <w:spacing w:line="360" w:lineRule="auto"/>
        <w:ind w:firstLine="3840" w:firstLineChars="1600"/>
        <w:rPr>
          <w:rFonts w:ascii="宋体" w:hAnsi="宋体" w:cs="宋体"/>
          <w:color w:val="auto"/>
          <w:sz w:val="24"/>
        </w:rPr>
      </w:pPr>
    </w:p>
    <w:p w14:paraId="2C505FD2">
      <w:pPr>
        <w:spacing w:line="360" w:lineRule="auto"/>
        <w:jc w:val="center"/>
        <w:rPr>
          <w:rFonts w:ascii="宋体" w:hAnsi="宋体" w:cs="宋体"/>
          <w:color w:val="auto"/>
          <w:sz w:val="24"/>
        </w:rPr>
      </w:pPr>
    </w:p>
    <w:p w14:paraId="363AE5B8">
      <w:pPr>
        <w:spacing w:line="360" w:lineRule="auto"/>
        <w:jc w:val="center"/>
        <w:rPr>
          <w:rFonts w:ascii="宋体" w:hAnsi="宋体" w:cs="宋体"/>
          <w:color w:val="auto"/>
          <w:sz w:val="24"/>
        </w:rPr>
      </w:pPr>
    </w:p>
    <w:p w14:paraId="7A167AE2">
      <w:pPr>
        <w:spacing w:line="360" w:lineRule="auto"/>
        <w:jc w:val="center"/>
        <w:rPr>
          <w:rFonts w:ascii="宋体" w:hAnsi="宋体" w:cs="宋体"/>
          <w:color w:val="auto"/>
          <w:sz w:val="24"/>
        </w:rPr>
      </w:pPr>
    </w:p>
    <w:p w14:paraId="48E3058F">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2A283D08">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3672CC55">
      <w:pPr>
        <w:spacing w:line="360" w:lineRule="auto"/>
        <w:jc w:val="center"/>
        <w:rPr>
          <w:rFonts w:ascii="宋体" w:hAnsi="宋体" w:cs="宋体"/>
          <w:color w:val="auto"/>
          <w:sz w:val="24"/>
        </w:rPr>
      </w:pPr>
    </w:p>
    <w:p w14:paraId="535D4FA2">
      <w:pPr>
        <w:spacing w:line="360" w:lineRule="auto"/>
        <w:jc w:val="center"/>
        <w:rPr>
          <w:rFonts w:ascii="宋体" w:hAnsi="宋体" w:cs="宋体"/>
          <w:color w:val="auto"/>
          <w:sz w:val="24"/>
        </w:rPr>
      </w:pPr>
    </w:p>
    <w:p w14:paraId="665DAC20">
      <w:pPr>
        <w:spacing w:line="360" w:lineRule="auto"/>
        <w:jc w:val="center"/>
        <w:rPr>
          <w:rFonts w:ascii="宋体" w:hAnsi="宋体" w:cs="宋体"/>
          <w:color w:val="auto"/>
          <w:sz w:val="24"/>
        </w:rPr>
      </w:pPr>
    </w:p>
    <w:p w14:paraId="1C438F12">
      <w:pPr>
        <w:spacing w:line="360" w:lineRule="auto"/>
        <w:jc w:val="both"/>
        <w:rPr>
          <w:rFonts w:ascii="宋体" w:hAnsi="宋体" w:cs="宋体"/>
          <w:color w:val="auto"/>
          <w:sz w:val="24"/>
        </w:rPr>
      </w:pPr>
    </w:p>
    <w:p w14:paraId="2C6AC1AD">
      <w:pPr>
        <w:rPr>
          <w:rFonts w:hint="eastAsia" w:ascii="宋体" w:hAnsi="宋体" w:cs="宋体"/>
          <w:color w:val="auto"/>
          <w:sz w:val="24"/>
        </w:rPr>
      </w:pPr>
      <w:r>
        <w:rPr>
          <w:rFonts w:hint="eastAsia" w:ascii="宋体" w:hAnsi="宋体" w:cs="宋体"/>
          <w:color w:val="auto"/>
          <w:sz w:val="24"/>
        </w:rPr>
        <w:br w:type="page"/>
      </w:r>
    </w:p>
    <w:p w14:paraId="6A80A3E9">
      <w:pPr>
        <w:spacing w:line="360" w:lineRule="auto"/>
        <w:jc w:val="left"/>
        <w:rPr>
          <w:rFonts w:hint="eastAsia" w:ascii="宋体" w:hAnsi="宋体" w:cs="宋体" w:eastAsiaTheme="minorEastAsia"/>
          <w:color w:val="auto"/>
          <w:sz w:val="24"/>
          <w:lang w:eastAsia="zh-CN"/>
        </w:rPr>
      </w:pPr>
      <w:r>
        <w:rPr>
          <w:rFonts w:hint="eastAsia" w:ascii="宋体" w:hAnsi="宋体" w:cs="宋体"/>
          <w:color w:val="auto"/>
          <w:sz w:val="24"/>
        </w:rPr>
        <w:t>格式2</w:t>
      </w:r>
    </w:p>
    <w:p w14:paraId="089042F1">
      <w:pPr>
        <w:spacing w:line="360" w:lineRule="auto"/>
        <w:ind w:firstLine="482" w:firstLineChars="200"/>
        <w:jc w:val="center"/>
        <w:rPr>
          <w:rFonts w:ascii="宋体" w:hAnsi="宋体" w:cs="宋体"/>
          <w:b/>
          <w:bCs/>
          <w:color w:val="auto"/>
          <w:sz w:val="24"/>
        </w:rPr>
      </w:pPr>
      <w:r>
        <w:rPr>
          <w:rFonts w:hint="eastAsia" w:ascii="宋体" w:hAnsi="宋体" w:cs="宋体"/>
          <w:b/>
          <w:bCs/>
          <w:color w:val="auto"/>
          <w:sz w:val="24"/>
        </w:rPr>
        <w:t>授权委托书</w:t>
      </w:r>
    </w:p>
    <w:p w14:paraId="59414453">
      <w:pPr>
        <w:spacing w:line="360" w:lineRule="auto"/>
        <w:jc w:val="center"/>
        <w:rPr>
          <w:rFonts w:ascii="宋体" w:hAnsi="宋体" w:cs="宋体"/>
          <w:color w:val="auto"/>
          <w:sz w:val="24"/>
        </w:rPr>
      </w:pPr>
      <w:r>
        <w:rPr>
          <w:rFonts w:hint="eastAsia" w:ascii="宋体" w:hAnsi="宋体" w:cs="宋体"/>
          <w:color w:val="auto"/>
          <w:sz w:val="24"/>
        </w:rPr>
        <w:t>（委托代理人参加竞争性磋商的，出具此证明书）</w:t>
      </w:r>
    </w:p>
    <w:p w14:paraId="2040CF49">
      <w:pPr>
        <w:spacing w:line="360" w:lineRule="auto"/>
        <w:ind w:firstLine="480" w:firstLineChars="200"/>
        <w:rPr>
          <w:rFonts w:ascii="宋体" w:hAnsi="宋体" w:cs="宋体"/>
          <w:color w:val="auto"/>
          <w:sz w:val="24"/>
        </w:rPr>
      </w:pPr>
    </w:p>
    <w:p w14:paraId="1B87F479">
      <w:pPr>
        <w:spacing w:line="360" w:lineRule="auto"/>
        <w:ind w:firstLine="480" w:firstLineChars="200"/>
        <w:rPr>
          <w:rFonts w:ascii="宋体" w:hAnsi="宋体" w:cs="宋体"/>
          <w:color w:val="auto"/>
          <w:sz w:val="24"/>
        </w:rPr>
      </w:pPr>
      <w:r>
        <w:rPr>
          <w:rFonts w:hint="eastAsia" w:ascii="宋体" w:hAnsi="宋体" w:cs="宋体"/>
          <w:color w:val="auto"/>
          <w:sz w:val="24"/>
        </w:rPr>
        <w:t>委托人授权（被委托人的姓名、职务）为委托人的委托代理人，就项目编号为的项目及合同的执行，以本单位名义处理一切与之有关的事务。</w:t>
      </w:r>
    </w:p>
    <w:p w14:paraId="11CF80AB">
      <w:pPr>
        <w:spacing w:line="360" w:lineRule="auto"/>
        <w:ind w:firstLine="480" w:firstLineChars="200"/>
        <w:rPr>
          <w:rFonts w:ascii="宋体" w:hAnsi="宋体" w:cs="宋体"/>
          <w:color w:val="auto"/>
          <w:sz w:val="24"/>
        </w:rPr>
      </w:pPr>
      <w:r>
        <w:rPr>
          <w:rFonts w:hint="eastAsia" w:ascii="宋体" w:hAnsi="宋体" w:cs="宋体"/>
          <w:color w:val="auto"/>
          <w:sz w:val="24"/>
        </w:rPr>
        <w:t>本授权书于年月日签字生效，特此声明。</w:t>
      </w:r>
    </w:p>
    <w:p w14:paraId="01E5A557">
      <w:pPr>
        <w:spacing w:line="360" w:lineRule="auto"/>
        <w:rPr>
          <w:rFonts w:ascii="宋体" w:hAnsi="宋体" w:cs="宋体"/>
          <w:color w:val="auto"/>
          <w:sz w:val="24"/>
        </w:rPr>
      </w:pPr>
    </w:p>
    <w:p w14:paraId="2D4A9F13">
      <w:pPr>
        <w:spacing w:line="360" w:lineRule="auto"/>
        <w:ind w:firstLine="480" w:firstLineChars="200"/>
        <w:rPr>
          <w:rFonts w:ascii="宋体" w:hAnsi="宋体" w:cs="宋体"/>
          <w:color w:val="auto"/>
          <w:sz w:val="24"/>
        </w:rPr>
      </w:pPr>
      <w:r>
        <w:rPr>
          <w:rFonts w:hint="eastAsia" w:ascii="宋体" w:hAnsi="宋体" w:cs="宋体"/>
          <w:color w:val="auto"/>
          <w:sz w:val="24"/>
        </w:rPr>
        <w:t>委托人：</w:t>
      </w:r>
    </w:p>
    <w:p w14:paraId="5BF65BD2">
      <w:pPr>
        <w:spacing w:line="360" w:lineRule="auto"/>
        <w:ind w:firstLine="480" w:firstLineChars="200"/>
        <w:rPr>
          <w:rFonts w:ascii="宋体" w:hAnsi="宋体" w:cs="宋体"/>
          <w:color w:val="auto"/>
          <w:sz w:val="24"/>
        </w:rPr>
      </w:pPr>
      <w:r>
        <w:rPr>
          <w:rFonts w:hint="eastAsia" w:ascii="宋体" w:hAnsi="宋体" w:cs="宋体"/>
          <w:color w:val="auto"/>
          <w:sz w:val="24"/>
        </w:rPr>
        <w:t xml:space="preserve">供应商电子签章：       </w:t>
      </w:r>
    </w:p>
    <w:p w14:paraId="23E4E11F">
      <w:pPr>
        <w:spacing w:line="360" w:lineRule="auto"/>
        <w:ind w:firstLine="480" w:firstLineChars="200"/>
        <w:rPr>
          <w:rFonts w:ascii="宋体" w:hAnsi="宋体" w:cs="宋体"/>
          <w:color w:val="auto"/>
          <w:sz w:val="24"/>
        </w:rPr>
      </w:pPr>
      <w:r>
        <w:rPr>
          <w:rFonts w:hint="eastAsia" w:ascii="宋体" w:hAnsi="宋体" w:cs="宋体"/>
          <w:color w:val="auto"/>
          <w:sz w:val="24"/>
        </w:rPr>
        <w:t>被委托人：</w:t>
      </w:r>
    </w:p>
    <w:p w14:paraId="1CE3137A">
      <w:pPr>
        <w:spacing w:line="360" w:lineRule="auto"/>
        <w:ind w:firstLine="480" w:firstLineChars="200"/>
        <w:rPr>
          <w:rFonts w:ascii="宋体" w:hAnsi="宋体" w:cs="宋体"/>
          <w:color w:val="auto"/>
          <w:sz w:val="24"/>
        </w:rPr>
      </w:pPr>
      <w:r>
        <w:rPr>
          <w:rFonts w:hint="eastAsia" w:ascii="宋体" w:hAnsi="宋体" w:cs="宋体"/>
          <w:color w:val="auto"/>
          <w:sz w:val="24"/>
        </w:rPr>
        <w:t>法定代表人：</w:t>
      </w:r>
    </w:p>
    <w:tbl>
      <w:tblPr>
        <w:tblStyle w:val="20"/>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214C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14:paraId="628D72CF">
            <w:pPr>
              <w:spacing w:line="480" w:lineRule="exact"/>
              <w:rPr>
                <w:rFonts w:ascii="宋体" w:hAnsi="宋体" w:cs="宋体"/>
                <w:b/>
                <w:bCs/>
                <w:color w:val="auto"/>
                <w:sz w:val="24"/>
              </w:rPr>
            </w:pPr>
          </w:p>
          <w:p w14:paraId="4A72A8CA">
            <w:pPr>
              <w:spacing w:line="480" w:lineRule="exact"/>
              <w:rPr>
                <w:rFonts w:ascii="宋体" w:hAnsi="宋体" w:cs="宋体"/>
                <w:b/>
                <w:bCs/>
                <w:color w:val="auto"/>
                <w:sz w:val="24"/>
              </w:rPr>
            </w:pPr>
          </w:p>
          <w:p w14:paraId="05D4C4CA">
            <w:pPr>
              <w:spacing w:line="480" w:lineRule="exact"/>
              <w:jc w:val="center"/>
              <w:rPr>
                <w:rFonts w:ascii="宋体" w:hAnsi="宋体" w:cs="宋体"/>
                <w:color w:val="auto"/>
                <w:sz w:val="24"/>
              </w:rPr>
            </w:pPr>
            <w:r>
              <w:rPr>
                <w:rFonts w:hint="eastAsia" w:ascii="宋体" w:hAnsi="宋体" w:cs="宋体"/>
                <w:b/>
                <w:bCs/>
                <w:color w:val="auto"/>
                <w:sz w:val="24"/>
              </w:rPr>
              <w:t>（※附：被委托人身份证复印件※）</w:t>
            </w:r>
          </w:p>
        </w:tc>
      </w:tr>
    </w:tbl>
    <w:p w14:paraId="2A5B464E">
      <w:pPr>
        <w:spacing w:line="360" w:lineRule="auto"/>
        <w:ind w:firstLine="480" w:firstLineChars="200"/>
        <w:rPr>
          <w:rFonts w:ascii="宋体" w:hAnsi="宋体" w:cs="宋体"/>
          <w:color w:val="auto"/>
          <w:sz w:val="24"/>
        </w:rPr>
      </w:pPr>
    </w:p>
    <w:p w14:paraId="6AF400F0">
      <w:pPr>
        <w:spacing w:line="360" w:lineRule="auto"/>
        <w:ind w:firstLine="480" w:firstLineChars="200"/>
        <w:rPr>
          <w:rFonts w:ascii="宋体" w:hAnsi="宋体" w:cs="宋体"/>
          <w:color w:val="auto"/>
          <w:sz w:val="24"/>
        </w:rPr>
      </w:pPr>
    </w:p>
    <w:p w14:paraId="467F2403">
      <w:pPr>
        <w:spacing w:line="360" w:lineRule="auto"/>
        <w:ind w:firstLine="480" w:firstLineChars="200"/>
        <w:rPr>
          <w:rFonts w:ascii="宋体" w:hAnsi="宋体" w:cs="宋体"/>
          <w:color w:val="auto"/>
          <w:sz w:val="24"/>
        </w:rPr>
      </w:pPr>
    </w:p>
    <w:p w14:paraId="35EF19F6">
      <w:pPr>
        <w:spacing w:line="360" w:lineRule="auto"/>
        <w:ind w:firstLine="4920" w:firstLineChars="2050"/>
        <w:rPr>
          <w:rFonts w:ascii="宋体" w:hAnsi="宋体" w:cs="宋体"/>
          <w:color w:val="auto"/>
          <w:sz w:val="24"/>
        </w:rPr>
      </w:pPr>
    </w:p>
    <w:p w14:paraId="562645A2">
      <w:pPr>
        <w:spacing w:line="360" w:lineRule="auto"/>
        <w:jc w:val="center"/>
        <w:rPr>
          <w:rFonts w:ascii="宋体" w:hAnsi="宋体" w:cs="宋体"/>
          <w:color w:val="auto"/>
          <w:sz w:val="24"/>
        </w:rPr>
      </w:pPr>
    </w:p>
    <w:p w14:paraId="1D209A44">
      <w:pPr>
        <w:spacing w:line="360" w:lineRule="auto"/>
        <w:jc w:val="center"/>
        <w:rPr>
          <w:rFonts w:ascii="宋体" w:hAnsi="宋体" w:cs="宋体"/>
          <w:color w:val="auto"/>
          <w:sz w:val="24"/>
        </w:rPr>
      </w:pPr>
    </w:p>
    <w:p w14:paraId="4B9F3BA1">
      <w:pPr>
        <w:spacing w:line="360" w:lineRule="auto"/>
        <w:jc w:val="center"/>
        <w:rPr>
          <w:rFonts w:ascii="宋体" w:hAnsi="宋体" w:cs="宋体"/>
          <w:color w:val="auto"/>
          <w:sz w:val="24"/>
        </w:rPr>
      </w:pPr>
    </w:p>
    <w:p w14:paraId="023375AE">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0C6E26B8">
      <w:pPr>
        <w:spacing w:line="360" w:lineRule="auto"/>
        <w:jc w:val="center"/>
        <w:rPr>
          <w:rFonts w:ascii="宋体" w:hAnsi="宋体" w:cs="宋体"/>
          <w:color w:val="auto"/>
          <w:sz w:val="24"/>
        </w:rPr>
      </w:pPr>
      <w:r>
        <w:rPr>
          <w:rFonts w:hint="eastAsia" w:ascii="宋体" w:hAnsi="宋体" w:cs="宋体"/>
          <w:color w:val="auto"/>
          <w:sz w:val="24"/>
        </w:rPr>
        <w:t xml:space="preserve">                                      </w:t>
      </w:r>
    </w:p>
    <w:p w14:paraId="1992AB58">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2B818735">
      <w:pPr>
        <w:pStyle w:val="35"/>
        <w:ind w:firstLine="210"/>
        <w:rPr>
          <w:color w:val="auto"/>
        </w:rPr>
      </w:pPr>
    </w:p>
    <w:p w14:paraId="13002553">
      <w:pPr>
        <w:pStyle w:val="35"/>
        <w:ind w:firstLine="210"/>
        <w:rPr>
          <w:color w:val="auto"/>
        </w:rPr>
      </w:pPr>
    </w:p>
    <w:p w14:paraId="443269E8">
      <w:pPr>
        <w:pStyle w:val="35"/>
        <w:ind w:firstLine="210"/>
        <w:rPr>
          <w:color w:val="auto"/>
        </w:rPr>
      </w:pPr>
    </w:p>
    <w:p w14:paraId="4AF2017B">
      <w:pPr>
        <w:pStyle w:val="35"/>
        <w:ind w:firstLine="210"/>
        <w:rPr>
          <w:color w:val="auto"/>
        </w:rPr>
      </w:pPr>
    </w:p>
    <w:p w14:paraId="76BECF80">
      <w:pPr>
        <w:pStyle w:val="35"/>
        <w:ind w:firstLine="210"/>
        <w:rPr>
          <w:color w:val="auto"/>
        </w:rPr>
      </w:pPr>
    </w:p>
    <w:p w14:paraId="75230EBE">
      <w:pPr>
        <w:spacing w:line="360" w:lineRule="auto"/>
        <w:jc w:val="left"/>
        <w:rPr>
          <w:rFonts w:ascii="宋体" w:hAnsi="宋体" w:cs="宋体"/>
          <w:color w:val="auto"/>
          <w:sz w:val="24"/>
        </w:rPr>
      </w:pPr>
    </w:p>
    <w:p w14:paraId="0A66DD3B">
      <w:pPr>
        <w:spacing w:line="360" w:lineRule="auto"/>
        <w:jc w:val="left"/>
        <w:rPr>
          <w:rFonts w:ascii="宋体" w:hAnsi="宋体" w:cs="宋体"/>
          <w:color w:val="auto"/>
          <w:sz w:val="24"/>
        </w:rPr>
      </w:pPr>
    </w:p>
    <w:p w14:paraId="7E19FC73">
      <w:pPr>
        <w:spacing w:line="360" w:lineRule="auto"/>
        <w:jc w:val="left"/>
        <w:rPr>
          <w:rFonts w:ascii="宋体" w:hAnsi="宋体" w:cs="宋体"/>
          <w:color w:val="auto"/>
          <w:sz w:val="24"/>
        </w:rPr>
      </w:pPr>
    </w:p>
    <w:p w14:paraId="451783AE">
      <w:pPr>
        <w:spacing w:line="360" w:lineRule="auto"/>
        <w:jc w:val="left"/>
        <w:rPr>
          <w:rFonts w:hint="eastAsia" w:ascii="宋体" w:hAnsi="宋体" w:cs="宋体" w:eastAsiaTheme="minorEastAsia"/>
          <w:b/>
          <w:bCs/>
          <w:color w:val="auto"/>
          <w:sz w:val="24"/>
          <w:lang w:eastAsia="zh-CN"/>
        </w:rPr>
      </w:pPr>
      <w:r>
        <w:rPr>
          <w:rFonts w:hint="eastAsia" w:ascii="宋体" w:hAnsi="宋体" w:cs="宋体"/>
          <w:color w:val="auto"/>
          <w:sz w:val="24"/>
        </w:rPr>
        <w:t>格式</w:t>
      </w:r>
      <w:r>
        <w:rPr>
          <w:rFonts w:hint="eastAsia" w:ascii="宋体" w:hAnsi="宋体" w:cs="宋体"/>
          <w:color w:val="auto"/>
          <w:sz w:val="24"/>
          <w:lang w:val="en-US" w:eastAsia="zh-CN"/>
        </w:rPr>
        <w:t>3</w:t>
      </w:r>
    </w:p>
    <w:p w14:paraId="2FB4D37A">
      <w:pPr>
        <w:widowControl/>
        <w:jc w:val="center"/>
        <w:rPr>
          <w:rFonts w:ascii="宋体" w:hAnsi="宋体" w:cs="宋体"/>
          <w:b/>
          <w:bCs/>
          <w:color w:val="auto"/>
          <w:kern w:val="0"/>
          <w:sz w:val="24"/>
        </w:rPr>
      </w:pPr>
      <w:r>
        <w:rPr>
          <w:rFonts w:hint="eastAsia" w:ascii="宋体" w:hAnsi="宋体" w:cs="宋体"/>
          <w:b/>
          <w:bCs/>
          <w:color w:val="auto"/>
          <w:sz w:val="24"/>
        </w:rPr>
        <w:t>企业营业执照副本及</w:t>
      </w:r>
      <w:r>
        <w:rPr>
          <w:rFonts w:hint="eastAsia" w:ascii="宋体" w:hAnsi="宋体" w:cs="宋体"/>
          <w:b/>
          <w:bCs/>
          <w:color w:val="auto"/>
          <w:kern w:val="0"/>
          <w:sz w:val="24"/>
        </w:rPr>
        <w:t>资格性证明材料</w:t>
      </w:r>
    </w:p>
    <w:p w14:paraId="3001EEE5">
      <w:pPr>
        <w:rPr>
          <w:rFonts w:hint="eastAsia" w:ascii="宋体" w:hAnsi="宋体" w:cs="宋体"/>
          <w:color w:val="auto"/>
          <w:sz w:val="24"/>
        </w:rPr>
      </w:pPr>
      <w:r>
        <w:rPr>
          <w:rFonts w:hint="eastAsia" w:ascii="宋体" w:hAnsi="宋体" w:cs="宋体"/>
          <w:color w:val="auto"/>
          <w:sz w:val="24"/>
        </w:rPr>
        <w:br w:type="page"/>
      </w:r>
    </w:p>
    <w:p w14:paraId="3568E7B9">
      <w:pPr>
        <w:spacing w:line="360" w:lineRule="auto"/>
        <w:jc w:val="left"/>
        <w:rPr>
          <w:rFonts w:hint="eastAsia" w:ascii="宋体" w:hAnsi="宋体" w:cs="宋体"/>
          <w:color w:val="auto"/>
          <w:sz w:val="24"/>
          <w:lang w:val="en-US" w:eastAsia="zh-CN"/>
        </w:rPr>
      </w:pPr>
      <w:r>
        <w:rPr>
          <w:rFonts w:hint="eastAsia" w:ascii="宋体" w:hAnsi="宋体" w:cs="宋体"/>
          <w:color w:val="auto"/>
          <w:sz w:val="24"/>
        </w:rPr>
        <w:t>格式</w:t>
      </w:r>
      <w:r>
        <w:rPr>
          <w:rFonts w:hint="eastAsia" w:ascii="宋体" w:hAnsi="宋体" w:cs="宋体"/>
          <w:color w:val="auto"/>
          <w:sz w:val="24"/>
          <w:lang w:val="en-US" w:eastAsia="zh-CN"/>
        </w:rPr>
        <w:t>4</w:t>
      </w:r>
    </w:p>
    <w:p w14:paraId="0228F2BB">
      <w:pPr>
        <w:spacing w:line="360" w:lineRule="auto"/>
        <w:jc w:val="center"/>
        <w:rPr>
          <w:rFonts w:ascii="宋体" w:hAnsi="宋体" w:cs="宋体"/>
          <w:b/>
          <w:bCs/>
          <w:color w:val="auto"/>
          <w:sz w:val="24"/>
        </w:rPr>
      </w:pPr>
      <w:r>
        <w:rPr>
          <w:rFonts w:hint="eastAsia" w:ascii="宋体" w:hAnsi="宋体" w:cs="宋体"/>
          <w:b/>
          <w:bCs/>
          <w:color w:val="auto"/>
          <w:sz w:val="24"/>
        </w:rPr>
        <w:t>政府采购法第二十二条及参加政府采购活动前三年内无重大违法记录的书面声明</w:t>
      </w:r>
    </w:p>
    <w:p w14:paraId="44DE0E0E">
      <w:pPr>
        <w:spacing w:line="360" w:lineRule="auto"/>
        <w:jc w:val="left"/>
        <w:rPr>
          <w:rFonts w:ascii="宋体" w:hAnsi="宋体" w:cs="宋体"/>
          <w:color w:val="auto"/>
          <w:sz w:val="24"/>
        </w:rPr>
      </w:pPr>
    </w:p>
    <w:p w14:paraId="717B15ED">
      <w:pPr>
        <w:spacing w:line="360" w:lineRule="auto"/>
        <w:jc w:val="left"/>
        <w:rPr>
          <w:rFonts w:ascii="宋体" w:hAnsi="宋体" w:cs="宋体"/>
          <w:color w:val="auto"/>
          <w:sz w:val="24"/>
        </w:rPr>
      </w:pPr>
    </w:p>
    <w:p w14:paraId="4EC7CF86">
      <w:pPr>
        <w:spacing w:line="360" w:lineRule="auto"/>
        <w:jc w:val="left"/>
        <w:rPr>
          <w:rFonts w:ascii="宋体" w:hAnsi="宋体" w:cs="宋体"/>
          <w:color w:val="auto"/>
          <w:sz w:val="24"/>
        </w:rPr>
      </w:pPr>
    </w:p>
    <w:p w14:paraId="050CC29D">
      <w:pPr>
        <w:spacing w:line="360" w:lineRule="auto"/>
        <w:jc w:val="left"/>
        <w:rPr>
          <w:rFonts w:ascii="宋体" w:hAnsi="宋体" w:cs="宋体"/>
          <w:color w:val="auto"/>
          <w:sz w:val="24"/>
        </w:rPr>
      </w:pPr>
    </w:p>
    <w:p w14:paraId="2BF9AA85">
      <w:pPr>
        <w:spacing w:line="360" w:lineRule="auto"/>
        <w:jc w:val="left"/>
        <w:rPr>
          <w:rFonts w:ascii="宋体" w:hAnsi="宋体" w:cs="宋体"/>
          <w:color w:val="auto"/>
          <w:sz w:val="24"/>
        </w:rPr>
      </w:pPr>
    </w:p>
    <w:p w14:paraId="77B97254">
      <w:pPr>
        <w:spacing w:line="360" w:lineRule="auto"/>
        <w:jc w:val="left"/>
        <w:rPr>
          <w:rFonts w:ascii="宋体" w:hAnsi="宋体" w:cs="宋体"/>
          <w:color w:val="auto"/>
          <w:sz w:val="24"/>
        </w:rPr>
      </w:pPr>
    </w:p>
    <w:p w14:paraId="18B59EB1">
      <w:pPr>
        <w:spacing w:line="360" w:lineRule="auto"/>
        <w:jc w:val="left"/>
        <w:rPr>
          <w:rFonts w:ascii="宋体" w:hAnsi="宋体" w:cs="宋体"/>
          <w:color w:val="auto"/>
          <w:sz w:val="24"/>
        </w:rPr>
      </w:pPr>
    </w:p>
    <w:p w14:paraId="296ED188">
      <w:pPr>
        <w:spacing w:line="360" w:lineRule="auto"/>
        <w:jc w:val="left"/>
        <w:rPr>
          <w:rFonts w:ascii="宋体" w:hAnsi="宋体" w:cs="宋体"/>
          <w:color w:val="auto"/>
          <w:sz w:val="24"/>
        </w:rPr>
      </w:pPr>
    </w:p>
    <w:p w14:paraId="426A6DBC">
      <w:pPr>
        <w:spacing w:line="360" w:lineRule="auto"/>
        <w:jc w:val="left"/>
        <w:rPr>
          <w:rFonts w:ascii="宋体" w:hAnsi="宋体" w:cs="宋体"/>
          <w:color w:val="auto"/>
          <w:sz w:val="24"/>
        </w:rPr>
      </w:pPr>
    </w:p>
    <w:p w14:paraId="5970ACF9">
      <w:pPr>
        <w:spacing w:line="360" w:lineRule="auto"/>
        <w:jc w:val="left"/>
        <w:rPr>
          <w:rFonts w:ascii="宋体" w:hAnsi="宋体" w:cs="宋体"/>
          <w:color w:val="auto"/>
          <w:sz w:val="24"/>
        </w:rPr>
      </w:pPr>
    </w:p>
    <w:p w14:paraId="75FFA642">
      <w:pPr>
        <w:spacing w:line="360" w:lineRule="auto"/>
        <w:jc w:val="left"/>
        <w:rPr>
          <w:rFonts w:ascii="宋体" w:hAnsi="宋体" w:cs="宋体"/>
          <w:color w:val="auto"/>
          <w:sz w:val="24"/>
        </w:rPr>
      </w:pPr>
    </w:p>
    <w:p w14:paraId="4DBEDE1D">
      <w:pPr>
        <w:spacing w:line="360" w:lineRule="auto"/>
        <w:jc w:val="left"/>
        <w:rPr>
          <w:rFonts w:ascii="宋体" w:hAnsi="宋体" w:cs="宋体"/>
          <w:color w:val="auto"/>
          <w:sz w:val="24"/>
        </w:rPr>
      </w:pPr>
    </w:p>
    <w:p w14:paraId="1654A282">
      <w:pPr>
        <w:rPr>
          <w:rFonts w:hint="eastAsia" w:ascii="宋体" w:hAnsi="宋体" w:cs="宋体"/>
          <w:color w:val="auto"/>
          <w:sz w:val="24"/>
        </w:rPr>
      </w:pPr>
      <w:r>
        <w:rPr>
          <w:rFonts w:hint="eastAsia" w:ascii="宋体" w:hAnsi="宋体" w:cs="宋体"/>
          <w:color w:val="auto"/>
          <w:sz w:val="24"/>
        </w:rPr>
        <w:br w:type="page"/>
      </w:r>
    </w:p>
    <w:p w14:paraId="62609CE2">
      <w:pPr>
        <w:spacing w:line="360" w:lineRule="auto"/>
        <w:jc w:val="left"/>
        <w:rPr>
          <w:rFonts w:hint="eastAsia" w:ascii="宋体" w:hAnsi="宋体" w:cs="宋体" w:eastAsiaTheme="minorEastAsia"/>
          <w:color w:val="auto"/>
          <w:sz w:val="24"/>
          <w:lang w:eastAsia="zh-CN"/>
        </w:rPr>
      </w:pPr>
      <w:r>
        <w:rPr>
          <w:rFonts w:hint="eastAsia" w:ascii="宋体" w:hAnsi="宋体" w:cs="宋体"/>
          <w:color w:val="auto"/>
          <w:sz w:val="24"/>
        </w:rPr>
        <w:t>格式</w:t>
      </w:r>
      <w:r>
        <w:rPr>
          <w:rFonts w:hint="eastAsia" w:ascii="宋体" w:hAnsi="宋体" w:cs="宋体"/>
          <w:color w:val="auto"/>
          <w:sz w:val="24"/>
          <w:lang w:val="en-US" w:eastAsia="zh-CN"/>
        </w:rPr>
        <w:t>5</w:t>
      </w:r>
    </w:p>
    <w:p w14:paraId="025F3B38">
      <w:pPr>
        <w:spacing w:line="560" w:lineRule="exact"/>
        <w:jc w:val="center"/>
        <w:rPr>
          <w:rFonts w:ascii="宋体" w:hAnsi="宋体" w:cs="宋体"/>
          <w:b/>
          <w:bCs/>
          <w:color w:val="auto"/>
          <w:sz w:val="24"/>
        </w:rPr>
      </w:pPr>
      <w:r>
        <w:rPr>
          <w:rFonts w:hint="eastAsia" w:ascii="宋体" w:hAnsi="宋体" w:cs="宋体"/>
          <w:b/>
          <w:bCs/>
          <w:color w:val="auto"/>
          <w:sz w:val="24"/>
        </w:rPr>
        <w:t>投标函</w:t>
      </w:r>
    </w:p>
    <w:p w14:paraId="0EF7DE95">
      <w:pPr>
        <w:pStyle w:val="17"/>
        <w:shd w:val="clear" w:color="auto"/>
        <w:adjustRightInd w:val="0"/>
        <w:snapToGrid w:val="0"/>
        <w:spacing w:before="0" w:beforeAutospacing="0" w:after="0" w:afterAutospacing="0" w:line="360" w:lineRule="auto"/>
        <w:rPr>
          <w:rFonts w:hint="eastAsia" w:cs="宋体"/>
          <w:color w:val="auto"/>
          <w:szCs w:val="24"/>
        </w:rPr>
      </w:pPr>
    </w:p>
    <w:p w14:paraId="0893E00C">
      <w:pPr>
        <w:pStyle w:val="17"/>
        <w:keepNext w:val="0"/>
        <w:keepLines w:val="0"/>
        <w:pageBreakBefore w:val="0"/>
        <w:shd w:val="clear" w:color="auto"/>
        <w:kinsoku/>
        <w:wordWrap/>
        <w:overflowPunct/>
        <w:topLinePunct w:val="0"/>
        <w:autoSpaceDE/>
        <w:autoSpaceDN/>
        <w:bidi w:val="0"/>
        <w:adjustRightInd w:val="0"/>
        <w:snapToGrid w:val="0"/>
        <w:spacing w:before="0" w:beforeAutospacing="0" w:after="0" w:afterAutospacing="0" w:line="288" w:lineRule="auto"/>
        <w:textAlignment w:val="auto"/>
        <w:rPr>
          <w:rFonts w:cs="宋体"/>
          <w:color w:val="auto"/>
        </w:rPr>
      </w:pPr>
      <w:r>
        <w:rPr>
          <w:rFonts w:hint="eastAsia" w:cs="宋体"/>
          <w:color w:val="auto"/>
          <w:szCs w:val="24"/>
        </w:rPr>
        <w:t>致：</w:t>
      </w:r>
      <w:r>
        <w:rPr>
          <w:rFonts w:hint="eastAsia" w:cs="宋体"/>
          <w:color w:val="auto"/>
          <w:szCs w:val="24"/>
          <w:lang w:eastAsia="zh-CN"/>
        </w:rPr>
        <w:t>周口市公共资源交易中心</w:t>
      </w:r>
      <w:r>
        <w:rPr>
          <w:rFonts w:hint="eastAsia" w:cs="宋体"/>
          <w:color w:val="auto"/>
          <w:kern w:val="2"/>
        </w:rPr>
        <w:t>（</w:t>
      </w:r>
      <w:r>
        <w:rPr>
          <w:rFonts w:hint="eastAsia" w:cs="宋体"/>
          <w:color w:val="auto"/>
          <w:kern w:val="2"/>
          <w:lang w:eastAsia="zh-CN"/>
        </w:rPr>
        <w:t>政府</w:t>
      </w:r>
      <w:r>
        <w:rPr>
          <w:rFonts w:hint="eastAsia" w:cs="宋体"/>
          <w:color w:val="auto"/>
          <w:kern w:val="2"/>
        </w:rPr>
        <w:t>采购</w:t>
      </w:r>
      <w:r>
        <w:rPr>
          <w:rFonts w:hint="eastAsia" w:cs="宋体"/>
          <w:color w:val="auto"/>
          <w:kern w:val="2"/>
          <w:lang w:eastAsia="zh-CN"/>
        </w:rPr>
        <w:t>中心</w:t>
      </w:r>
      <w:r>
        <w:rPr>
          <w:rFonts w:hint="eastAsia" w:cs="宋体"/>
          <w:color w:val="auto"/>
          <w:kern w:val="2"/>
        </w:rPr>
        <w:t>）</w:t>
      </w:r>
    </w:p>
    <w:p w14:paraId="795A5C8D">
      <w:pPr>
        <w:pStyle w:val="38"/>
        <w:keepNext w:val="0"/>
        <w:keepLines w:val="0"/>
        <w:pageBreakBefore w:val="0"/>
        <w:kinsoku/>
        <w:wordWrap/>
        <w:overflowPunct/>
        <w:topLinePunct w:val="0"/>
        <w:autoSpaceDE/>
        <w:autoSpaceDN/>
        <w:bidi w:val="0"/>
        <w:spacing w:line="288" w:lineRule="auto"/>
        <w:ind w:firstLine="600" w:firstLineChars="250"/>
        <w:textAlignment w:val="auto"/>
        <w:rPr>
          <w:rFonts w:hint="eastAsia" w:ascii="宋体" w:hAnsi="宋体"/>
          <w:color w:val="auto"/>
          <w:sz w:val="24"/>
          <w:szCs w:val="24"/>
        </w:rPr>
      </w:pPr>
    </w:p>
    <w:p w14:paraId="24F0991A">
      <w:pPr>
        <w:pStyle w:val="38"/>
        <w:keepNext w:val="0"/>
        <w:keepLines w:val="0"/>
        <w:pageBreakBefore w:val="0"/>
        <w:kinsoku/>
        <w:wordWrap/>
        <w:overflowPunct/>
        <w:topLinePunct w:val="0"/>
        <w:autoSpaceDE/>
        <w:autoSpaceDN/>
        <w:bidi w:val="0"/>
        <w:spacing w:line="288" w:lineRule="auto"/>
        <w:ind w:firstLine="600" w:firstLineChars="250"/>
        <w:textAlignment w:val="auto"/>
        <w:rPr>
          <w:rFonts w:ascii="宋体" w:hAnsi="宋体"/>
          <w:color w:val="auto"/>
          <w:sz w:val="24"/>
          <w:szCs w:val="24"/>
        </w:rPr>
      </w:pPr>
      <w:r>
        <w:rPr>
          <w:rFonts w:hint="eastAsia" w:ascii="宋体" w:hAnsi="宋体"/>
          <w:color w:val="auto"/>
          <w:sz w:val="24"/>
          <w:szCs w:val="24"/>
        </w:rPr>
        <w:t>根据贵方</w:t>
      </w:r>
      <w:r>
        <w:rPr>
          <w:rFonts w:hint="eastAsia" w:ascii="宋体" w:hAnsi="宋体"/>
          <w:color w:val="auto"/>
          <w:sz w:val="24"/>
          <w:szCs w:val="24"/>
          <w:u w:val="single"/>
        </w:rPr>
        <w:t>（本项目名称）</w:t>
      </w:r>
      <w:r>
        <w:rPr>
          <w:rFonts w:hint="eastAsia" w:ascii="宋体" w:hAnsi="宋体"/>
          <w:color w:val="auto"/>
          <w:sz w:val="24"/>
          <w:szCs w:val="24"/>
        </w:rPr>
        <w:t>项目的竞争性磋商邀请（项目编号</w:t>
      </w:r>
      <w:r>
        <w:rPr>
          <w:rFonts w:hint="eastAsia" w:ascii="宋体" w:hAnsi="宋体"/>
          <w:color w:val="auto"/>
          <w:sz w:val="24"/>
          <w:szCs w:val="24"/>
          <w:u w:val="single"/>
        </w:rPr>
        <w:t xml:space="preserve">：          </w:t>
      </w:r>
      <w:r>
        <w:rPr>
          <w:rFonts w:hint="eastAsia" w:ascii="宋体" w:hAnsi="宋体"/>
          <w:color w:val="auto"/>
          <w:sz w:val="24"/>
          <w:szCs w:val="24"/>
        </w:rPr>
        <w:t>），委托代理人</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rPr>
        <w:t>(全名、职务)代表</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 xml:space="preserve"> 供应商名称、地址</w:t>
      </w:r>
      <w:r>
        <w:rPr>
          <w:rFonts w:hint="eastAsia" w:ascii="宋体" w:hAnsi="宋体"/>
          <w:color w:val="auto"/>
          <w:sz w:val="24"/>
          <w:szCs w:val="24"/>
        </w:rPr>
        <w:t>)提交投标文件，报价为</w:t>
      </w:r>
      <w:r>
        <w:rPr>
          <w:rFonts w:hint="eastAsia" w:ascii="宋体" w:hAnsi="宋体"/>
          <w:color w:val="auto"/>
          <w:sz w:val="24"/>
          <w:szCs w:val="24"/>
          <w:u w:val="single"/>
        </w:rPr>
        <w:t>：    元，</w:t>
      </w:r>
      <w:r>
        <w:rPr>
          <w:rFonts w:hint="eastAsia" w:ascii="宋体" w:hAnsi="宋体"/>
          <w:color w:val="auto"/>
          <w:sz w:val="24"/>
          <w:szCs w:val="24"/>
        </w:rPr>
        <w:t>并对之负法律责任。</w:t>
      </w:r>
    </w:p>
    <w:p w14:paraId="6B5B6835">
      <w:pPr>
        <w:keepNext w:val="0"/>
        <w:keepLines w:val="0"/>
        <w:pageBreakBefore w:val="0"/>
        <w:kinsoku/>
        <w:wordWrap/>
        <w:overflowPunct/>
        <w:topLinePunct w:val="0"/>
        <w:autoSpaceDE/>
        <w:autoSpaceDN/>
        <w:bidi w:val="0"/>
        <w:spacing w:line="288" w:lineRule="auto"/>
        <w:ind w:firstLine="568" w:firstLineChars="237"/>
        <w:textAlignment w:val="auto"/>
        <w:rPr>
          <w:rFonts w:ascii="宋体" w:hAnsi="宋体" w:cs="宋体"/>
          <w:color w:val="auto"/>
          <w:sz w:val="24"/>
        </w:rPr>
      </w:pPr>
      <w:r>
        <w:rPr>
          <w:rFonts w:hint="eastAsia" w:ascii="宋体" w:hAnsi="宋体" w:cs="宋体"/>
          <w:color w:val="auto"/>
          <w:sz w:val="24"/>
        </w:rPr>
        <w:t>据此函，宣布同意如下：</w:t>
      </w:r>
    </w:p>
    <w:p w14:paraId="67A2306B">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(1)我们完全理解贵方不一定要接受最低报价，并同意本文件规定的响应性文件有效期。</w:t>
      </w:r>
    </w:p>
    <w:p w14:paraId="5019A2A9">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(2)我们已详细审核全部竞争性磋商文件，我们知道必须放弃提出含糊不清或误解的问题的权利。</w:t>
      </w:r>
    </w:p>
    <w:p w14:paraId="5625120E">
      <w:pPr>
        <w:keepNext w:val="0"/>
        <w:keepLines w:val="0"/>
        <w:pageBreakBefore w:val="0"/>
        <w:numPr>
          <w:ilvl w:val="0"/>
          <w:numId w:val="10"/>
        </w:numPr>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同意向贵方提供贵方可能另外要求的与其竞争性磋商有关的任何证据和资料。</w:t>
      </w:r>
    </w:p>
    <w:p w14:paraId="7858F7EC">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(4)一旦我们成交，我们将严格履行合同责任和义务。</w:t>
      </w:r>
    </w:p>
    <w:p w14:paraId="1BEF54FC">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(5)我们完全理解不向未成交人解释未成交理由的义务。</w:t>
      </w:r>
    </w:p>
    <w:p w14:paraId="03CF86A7">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lang w:val="zh-CN"/>
        </w:rPr>
      </w:pPr>
      <w:r>
        <w:rPr>
          <w:rFonts w:hint="eastAsia" w:ascii="宋体" w:hAnsi="宋体" w:cs="宋体"/>
          <w:color w:val="auto"/>
          <w:sz w:val="24"/>
        </w:rPr>
        <w:t>(6)</w:t>
      </w:r>
      <w:r>
        <w:rPr>
          <w:rFonts w:hint="eastAsia" w:ascii="宋体" w:hAnsi="宋体" w:cs="宋体"/>
          <w:color w:val="auto"/>
          <w:sz w:val="24"/>
          <w:lang w:val="zh-CN"/>
        </w:rPr>
        <w:t>如果我们的谈判响应文件被接受，我们将履行谈判文件中规定的每一项要求，按期、按质、按量履行合同。</w:t>
      </w:r>
    </w:p>
    <w:p w14:paraId="512BB433">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(7)</w:t>
      </w:r>
      <w:r>
        <w:rPr>
          <w:rFonts w:hint="eastAsia" w:ascii="宋体" w:hAnsi="宋体" w:cs="宋体"/>
          <w:color w:val="auto"/>
          <w:sz w:val="24"/>
          <w:lang w:val="zh-CN"/>
        </w:rPr>
        <w:t>我方愿按《中华人民共和国合同法》履行我方的全部责任。</w:t>
      </w:r>
    </w:p>
    <w:p w14:paraId="4FEA10C3">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(8)与本次竞争性磋商有关的正式通讯地址为：</w:t>
      </w:r>
    </w:p>
    <w:p w14:paraId="2275AC97">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地 址：                  邮 编：</w:t>
      </w:r>
    </w:p>
    <w:p w14:paraId="4C8A3C4F">
      <w:pPr>
        <w:keepNext w:val="0"/>
        <w:keepLines w:val="0"/>
        <w:pageBreakBefore w:val="0"/>
        <w:kinsoku/>
        <w:wordWrap/>
        <w:overflowPunct/>
        <w:topLinePunct w:val="0"/>
        <w:autoSpaceDE/>
        <w:autoSpaceDN/>
        <w:bidi w:val="0"/>
        <w:spacing w:line="288" w:lineRule="auto"/>
        <w:ind w:firstLine="480" w:firstLineChars="200"/>
        <w:textAlignment w:val="auto"/>
        <w:rPr>
          <w:rFonts w:ascii="宋体" w:hAnsi="宋体" w:cs="宋体"/>
          <w:color w:val="auto"/>
          <w:sz w:val="24"/>
        </w:rPr>
      </w:pPr>
      <w:r>
        <w:rPr>
          <w:rFonts w:hint="eastAsia" w:ascii="宋体" w:hAnsi="宋体" w:cs="宋体"/>
          <w:color w:val="auto"/>
          <w:sz w:val="24"/>
        </w:rPr>
        <w:t>电 话：                  电子信箱：</w:t>
      </w:r>
    </w:p>
    <w:p w14:paraId="52A7C0B5">
      <w:pPr>
        <w:keepNext w:val="0"/>
        <w:keepLines w:val="0"/>
        <w:pageBreakBefore w:val="0"/>
        <w:kinsoku/>
        <w:wordWrap/>
        <w:overflowPunct/>
        <w:topLinePunct w:val="0"/>
        <w:autoSpaceDE/>
        <w:autoSpaceDN/>
        <w:bidi w:val="0"/>
        <w:spacing w:line="288" w:lineRule="auto"/>
        <w:ind w:firstLine="480" w:firstLineChars="200"/>
        <w:jc w:val="left"/>
        <w:textAlignment w:val="auto"/>
        <w:rPr>
          <w:rFonts w:ascii="宋体" w:hAnsi="宋体" w:cs="宋体"/>
          <w:color w:val="auto"/>
          <w:sz w:val="24"/>
        </w:rPr>
      </w:pPr>
      <w:r>
        <w:rPr>
          <w:rFonts w:hint="eastAsia" w:ascii="宋体" w:hAnsi="宋体" w:cs="宋体"/>
          <w:color w:val="auto"/>
          <w:sz w:val="24"/>
        </w:rPr>
        <w:t>我们保证：</w:t>
      </w:r>
    </w:p>
    <w:p w14:paraId="0CCD7914">
      <w:pPr>
        <w:keepNext w:val="0"/>
        <w:keepLines w:val="0"/>
        <w:pageBreakBefore w:val="0"/>
        <w:kinsoku/>
        <w:wordWrap/>
        <w:overflowPunct/>
        <w:topLinePunct w:val="0"/>
        <w:autoSpaceDE/>
        <w:autoSpaceDN/>
        <w:bidi w:val="0"/>
        <w:spacing w:line="288" w:lineRule="auto"/>
        <w:ind w:firstLine="480" w:firstLineChars="200"/>
        <w:jc w:val="left"/>
        <w:textAlignment w:val="auto"/>
        <w:rPr>
          <w:rFonts w:ascii="宋体" w:hAnsi="宋体" w:cs="宋体"/>
          <w:color w:val="auto"/>
          <w:sz w:val="24"/>
        </w:rPr>
      </w:pPr>
      <w:r>
        <w:rPr>
          <w:rFonts w:hint="eastAsia" w:ascii="宋体" w:hAnsi="宋体" w:cs="宋体"/>
          <w:color w:val="auto"/>
          <w:sz w:val="24"/>
        </w:rPr>
        <w:t>(1)不提供虚假材料谋取成交；</w:t>
      </w:r>
    </w:p>
    <w:p w14:paraId="5F5955BA">
      <w:pPr>
        <w:keepNext w:val="0"/>
        <w:keepLines w:val="0"/>
        <w:pageBreakBefore w:val="0"/>
        <w:kinsoku/>
        <w:wordWrap/>
        <w:overflowPunct/>
        <w:topLinePunct w:val="0"/>
        <w:autoSpaceDE/>
        <w:autoSpaceDN/>
        <w:bidi w:val="0"/>
        <w:spacing w:line="288" w:lineRule="auto"/>
        <w:ind w:firstLine="480" w:firstLineChars="200"/>
        <w:jc w:val="left"/>
        <w:textAlignment w:val="auto"/>
        <w:rPr>
          <w:rFonts w:ascii="宋体" w:hAnsi="宋体" w:cs="宋体"/>
          <w:color w:val="auto"/>
          <w:sz w:val="24"/>
        </w:rPr>
      </w:pPr>
      <w:r>
        <w:rPr>
          <w:rFonts w:hint="eastAsia" w:ascii="宋体" w:hAnsi="宋体" w:cs="宋体"/>
          <w:color w:val="auto"/>
          <w:sz w:val="24"/>
        </w:rPr>
        <w:t>(2)不以不正当手段抵毁、排挤其他供应商；</w:t>
      </w:r>
    </w:p>
    <w:p w14:paraId="79E00F46">
      <w:pPr>
        <w:keepNext w:val="0"/>
        <w:keepLines w:val="0"/>
        <w:pageBreakBefore w:val="0"/>
        <w:kinsoku/>
        <w:wordWrap/>
        <w:overflowPunct/>
        <w:topLinePunct w:val="0"/>
        <w:autoSpaceDE/>
        <w:autoSpaceDN/>
        <w:bidi w:val="0"/>
        <w:spacing w:line="288" w:lineRule="auto"/>
        <w:ind w:firstLine="480" w:firstLineChars="200"/>
        <w:jc w:val="left"/>
        <w:textAlignment w:val="auto"/>
        <w:rPr>
          <w:rFonts w:ascii="宋体" w:hAnsi="宋体" w:cs="宋体"/>
          <w:color w:val="auto"/>
          <w:sz w:val="24"/>
        </w:rPr>
      </w:pPr>
      <w:r>
        <w:rPr>
          <w:rFonts w:hint="eastAsia" w:ascii="宋体" w:hAnsi="宋体" w:cs="宋体"/>
          <w:color w:val="auto"/>
          <w:sz w:val="24"/>
        </w:rPr>
        <w:t>(3)不与采购人和其它供应商恶意串通；</w:t>
      </w:r>
    </w:p>
    <w:p w14:paraId="201E4E15">
      <w:pPr>
        <w:keepNext w:val="0"/>
        <w:keepLines w:val="0"/>
        <w:pageBreakBefore w:val="0"/>
        <w:kinsoku/>
        <w:wordWrap/>
        <w:overflowPunct/>
        <w:topLinePunct w:val="0"/>
        <w:autoSpaceDE/>
        <w:autoSpaceDN/>
        <w:bidi w:val="0"/>
        <w:spacing w:line="288" w:lineRule="auto"/>
        <w:ind w:firstLine="480" w:firstLineChars="200"/>
        <w:jc w:val="left"/>
        <w:textAlignment w:val="auto"/>
        <w:rPr>
          <w:rFonts w:ascii="宋体" w:hAnsi="宋体" w:cs="宋体"/>
          <w:color w:val="auto"/>
          <w:sz w:val="24"/>
        </w:rPr>
      </w:pPr>
      <w:r>
        <w:rPr>
          <w:rFonts w:hint="eastAsia" w:ascii="宋体" w:hAnsi="宋体" w:cs="宋体"/>
          <w:color w:val="auto"/>
          <w:sz w:val="24"/>
        </w:rPr>
        <w:t>(4)不向采购人和采购代理机构提供不正当利益；</w:t>
      </w:r>
    </w:p>
    <w:p w14:paraId="71238621">
      <w:pPr>
        <w:keepNext w:val="0"/>
        <w:keepLines w:val="0"/>
        <w:pageBreakBefore w:val="0"/>
        <w:kinsoku/>
        <w:wordWrap/>
        <w:overflowPunct/>
        <w:topLinePunct w:val="0"/>
        <w:autoSpaceDE/>
        <w:autoSpaceDN/>
        <w:bidi w:val="0"/>
        <w:spacing w:line="288" w:lineRule="auto"/>
        <w:ind w:firstLine="480" w:firstLineChars="200"/>
        <w:jc w:val="left"/>
        <w:textAlignment w:val="auto"/>
        <w:rPr>
          <w:rFonts w:ascii="宋体" w:hAnsi="宋体" w:cs="宋体"/>
          <w:color w:val="auto"/>
          <w:sz w:val="24"/>
        </w:rPr>
      </w:pPr>
      <w:r>
        <w:rPr>
          <w:rFonts w:hint="eastAsia" w:ascii="宋体" w:hAnsi="宋体" w:cs="宋体"/>
          <w:color w:val="auto"/>
          <w:sz w:val="24"/>
        </w:rPr>
        <w:t>(5)不拒绝有关部门监督检查或提供虚假情况。</w:t>
      </w:r>
    </w:p>
    <w:p w14:paraId="7276A914">
      <w:pPr>
        <w:keepNext w:val="0"/>
        <w:keepLines w:val="0"/>
        <w:pageBreakBefore w:val="0"/>
        <w:kinsoku/>
        <w:wordWrap/>
        <w:overflowPunct/>
        <w:topLinePunct w:val="0"/>
        <w:autoSpaceDE/>
        <w:autoSpaceDN/>
        <w:bidi w:val="0"/>
        <w:spacing w:line="288" w:lineRule="auto"/>
        <w:jc w:val="left"/>
        <w:textAlignment w:val="auto"/>
        <w:rPr>
          <w:rFonts w:ascii="宋体" w:hAnsi="宋体" w:cs="宋体"/>
          <w:color w:val="auto"/>
          <w:sz w:val="24"/>
        </w:rPr>
      </w:pPr>
    </w:p>
    <w:p w14:paraId="7DD94F7A">
      <w:pPr>
        <w:keepNext w:val="0"/>
        <w:keepLines w:val="0"/>
        <w:pageBreakBefore w:val="0"/>
        <w:kinsoku/>
        <w:wordWrap/>
        <w:overflowPunct/>
        <w:topLinePunct w:val="0"/>
        <w:autoSpaceDE/>
        <w:autoSpaceDN/>
        <w:bidi w:val="0"/>
        <w:spacing w:line="288" w:lineRule="auto"/>
        <w:jc w:val="left"/>
        <w:textAlignment w:val="auto"/>
        <w:rPr>
          <w:rFonts w:ascii="宋体" w:hAnsi="宋体" w:cs="宋体"/>
          <w:color w:val="auto"/>
          <w:sz w:val="24"/>
        </w:rPr>
      </w:pPr>
      <w:r>
        <w:rPr>
          <w:rFonts w:hint="eastAsia" w:ascii="宋体" w:hAnsi="宋体" w:cs="宋体"/>
          <w:color w:val="auto"/>
          <w:sz w:val="24"/>
        </w:rPr>
        <w:t xml:space="preserve">     联系人：             </w:t>
      </w:r>
      <w:r>
        <w:rPr>
          <w:rFonts w:hint="eastAsia" w:ascii="宋体" w:hAnsi="宋体" w:cs="宋体"/>
          <w:color w:val="auto"/>
          <w:sz w:val="24"/>
          <w:lang w:val="en-US" w:eastAsia="zh-CN"/>
        </w:rPr>
        <w:t xml:space="preserve">   </w:t>
      </w:r>
      <w:r>
        <w:rPr>
          <w:rFonts w:hint="eastAsia" w:ascii="宋体" w:hAnsi="宋体" w:cs="宋体"/>
          <w:color w:val="auto"/>
          <w:sz w:val="24"/>
        </w:rPr>
        <w:t xml:space="preserve"> 联系电话：</w:t>
      </w:r>
    </w:p>
    <w:p w14:paraId="7763661D">
      <w:pPr>
        <w:spacing w:line="360" w:lineRule="auto"/>
        <w:jc w:val="left"/>
        <w:rPr>
          <w:rFonts w:ascii="宋体" w:hAnsi="宋体" w:cs="宋体"/>
          <w:color w:val="auto"/>
          <w:sz w:val="24"/>
        </w:rPr>
      </w:pPr>
    </w:p>
    <w:p w14:paraId="75A539A6">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3A50661C">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6B55B042">
      <w:pPr>
        <w:spacing w:line="360" w:lineRule="auto"/>
        <w:jc w:val="left"/>
        <w:rPr>
          <w:rFonts w:hint="eastAsia" w:ascii="宋体" w:hAnsi="宋体" w:cs="宋体" w:eastAsiaTheme="minorEastAsia"/>
          <w:color w:val="auto"/>
          <w:sz w:val="24"/>
          <w:lang w:val="en-US" w:eastAsia="zh-CN"/>
        </w:rPr>
      </w:pPr>
      <w:r>
        <w:rPr>
          <w:rFonts w:hint="eastAsia" w:ascii="宋体" w:hAnsi="宋体" w:cs="宋体"/>
          <w:color w:val="auto"/>
          <w:sz w:val="24"/>
        </w:rPr>
        <w:br w:type="page"/>
      </w:r>
      <w:r>
        <w:rPr>
          <w:rFonts w:hint="eastAsia" w:ascii="宋体" w:hAnsi="宋体" w:cs="宋体"/>
          <w:color w:val="auto"/>
          <w:sz w:val="24"/>
        </w:rPr>
        <w:t>格式</w:t>
      </w:r>
      <w:r>
        <w:rPr>
          <w:rFonts w:hint="eastAsia" w:ascii="宋体" w:hAnsi="宋体" w:cs="宋体"/>
          <w:color w:val="auto"/>
          <w:sz w:val="24"/>
          <w:lang w:val="en-US" w:eastAsia="zh-CN"/>
        </w:rPr>
        <w:t>6</w:t>
      </w:r>
    </w:p>
    <w:p w14:paraId="48D775DB">
      <w:pPr>
        <w:pStyle w:val="3"/>
        <w:jc w:val="center"/>
        <w:rPr>
          <w:rFonts w:ascii="宋体" w:hAnsi="宋体" w:cs="宋体"/>
          <w:b/>
          <w:bCs w:val="0"/>
          <w:color w:val="auto"/>
          <w:sz w:val="24"/>
          <w:szCs w:val="24"/>
        </w:rPr>
      </w:pPr>
      <w:bookmarkStart w:id="33" w:name="_Toc495414231"/>
      <w:bookmarkStart w:id="34" w:name="_Toc197934561"/>
      <w:r>
        <w:rPr>
          <w:rFonts w:hint="eastAsia" w:ascii="宋体" w:hAnsi="宋体" w:cs="宋体"/>
          <w:b/>
          <w:bCs w:val="0"/>
          <w:color w:val="auto"/>
          <w:sz w:val="24"/>
          <w:szCs w:val="24"/>
        </w:rPr>
        <w:t>一．报价一览表</w:t>
      </w:r>
      <w:bookmarkEnd w:id="33"/>
      <w:bookmarkEnd w:id="34"/>
    </w:p>
    <w:tbl>
      <w:tblPr>
        <w:tblStyle w:val="20"/>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2F62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2471" w:type="dxa"/>
            <w:tcBorders>
              <w:top w:val="single" w:color="auto" w:sz="4" w:space="0"/>
              <w:bottom w:val="single" w:color="auto" w:sz="4" w:space="0"/>
              <w:right w:val="single" w:color="auto" w:sz="4" w:space="0"/>
            </w:tcBorders>
            <w:vAlign w:val="center"/>
          </w:tcPr>
          <w:p w14:paraId="5B23391A">
            <w:pPr>
              <w:widowControl/>
              <w:spacing w:line="360" w:lineRule="exact"/>
              <w:jc w:val="center"/>
              <w:rPr>
                <w:rFonts w:ascii="宋体" w:hAnsi="宋体" w:cs="宋体"/>
                <w:color w:val="auto"/>
                <w:sz w:val="24"/>
              </w:rPr>
            </w:pPr>
            <w:r>
              <w:rPr>
                <w:rFonts w:hint="eastAsia" w:ascii="宋体" w:hAnsi="宋体" w:cs="宋体"/>
                <w:color w:val="auto"/>
                <w:sz w:val="24"/>
              </w:rPr>
              <w:t>项目名称</w:t>
            </w:r>
          </w:p>
        </w:tc>
        <w:tc>
          <w:tcPr>
            <w:tcW w:w="6667" w:type="dxa"/>
            <w:tcBorders>
              <w:top w:val="single" w:color="auto" w:sz="4" w:space="0"/>
              <w:bottom w:val="single" w:color="auto" w:sz="4" w:space="0"/>
              <w:right w:val="single" w:color="auto" w:sz="4" w:space="0"/>
            </w:tcBorders>
            <w:vAlign w:val="center"/>
          </w:tcPr>
          <w:p w14:paraId="34F16F26">
            <w:pPr>
              <w:spacing w:line="360" w:lineRule="exact"/>
              <w:jc w:val="center"/>
              <w:rPr>
                <w:rFonts w:ascii="宋体" w:hAnsi="宋体" w:cs="宋体"/>
                <w:color w:val="auto"/>
                <w:sz w:val="24"/>
              </w:rPr>
            </w:pPr>
          </w:p>
        </w:tc>
      </w:tr>
      <w:tr w14:paraId="0EDEF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2471" w:type="dxa"/>
            <w:tcBorders>
              <w:top w:val="nil"/>
            </w:tcBorders>
            <w:vAlign w:val="center"/>
          </w:tcPr>
          <w:p w14:paraId="7DB24E3A">
            <w:pPr>
              <w:spacing w:line="360" w:lineRule="exact"/>
              <w:jc w:val="center"/>
              <w:rPr>
                <w:rFonts w:ascii="宋体" w:hAnsi="宋体" w:cs="宋体"/>
                <w:color w:val="auto"/>
                <w:sz w:val="24"/>
              </w:rPr>
            </w:pPr>
            <w:r>
              <w:rPr>
                <w:rFonts w:hint="eastAsia" w:ascii="宋体" w:hAnsi="宋体" w:cs="宋体"/>
                <w:color w:val="auto"/>
                <w:sz w:val="24"/>
              </w:rPr>
              <w:t>投标人全称</w:t>
            </w:r>
          </w:p>
        </w:tc>
        <w:tc>
          <w:tcPr>
            <w:tcW w:w="6667" w:type="dxa"/>
            <w:tcBorders>
              <w:top w:val="nil"/>
            </w:tcBorders>
            <w:vAlign w:val="center"/>
          </w:tcPr>
          <w:p w14:paraId="57B42F13">
            <w:pPr>
              <w:spacing w:line="360" w:lineRule="auto"/>
              <w:rPr>
                <w:rFonts w:ascii="宋体" w:hAnsi="宋体" w:cs="宋体"/>
                <w:color w:val="auto"/>
                <w:sz w:val="24"/>
              </w:rPr>
            </w:pPr>
          </w:p>
        </w:tc>
      </w:tr>
      <w:tr w14:paraId="4E8D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3" w:hRule="atLeast"/>
          <w:jc w:val="center"/>
        </w:trPr>
        <w:tc>
          <w:tcPr>
            <w:tcW w:w="2471" w:type="dxa"/>
            <w:tcBorders>
              <w:top w:val="nil"/>
            </w:tcBorders>
            <w:vAlign w:val="center"/>
          </w:tcPr>
          <w:p w14:paraId="69C15B61">
            <w:pPr>
              <w:spacing w:line="360" w:lineRule="exact"/>
              <w:jc w:val="center"/>
              <w:rPr>
                <w:rFonts w:ascii="宋体" w:hAnsi="宋体" w:cs="宋体"/>
                <w:color w:val="auto"/>
                <w:sz w:val="24"/>
              </w:rPr>
            </w:pPr>
            <w:r>
              <w:rPr>
                <w:rFonts w:hint="eastAsia" w:ascii="宋体" w:hAnsi="宋体" w:cs="宋体"/>
                <w:color w:val="auto"/>
                <w:sz w:val="24"/>
              </w:rPr>
              <w:t>最终投标报价</w:t>
            </w:r>
          </w:p>
          <w:p w14:paraId="3E192AA4">
            <w:pPr>
              <w:spacing w:line="360" w:lineRule="exact"/>
              <w:jc w:val="center"/>
              <w:rPr>
                <w:rFonts w:ascii="宋体" w:hAnsi="宋体" w:cs="宋体"/>
                <w:color w:val="auto"/>
                <w:sz w:val="24"/>
              </w:rPr>
            </w:pPr>
            <w:r>
              <w:rPr>
                <w:rFonts w:hint="eastAsia" w:ascii="宋体" w:hAnsi="宋体" w:cs="宋体"/>
                <w:color w:val="auto"/>
                <w:sz w:val="24"/>
              </w:rPr>
              <w:t>（人民币）</w:t>
            </w:r>
          </w:p>
        </w:tc>
        <w:tc>
          <w:tcPr>
            <w:tcW w:w="6667" w:type="dxa"/>
            <w:tcBorders>
              <w:top w:val="nil"/>
            </w:tcBorders>
            <w:vAlign w:val="center"/>
          </w:tcPr>
          <w:p w14:paraId="3B53C1E8">
            <w:pPr>
              <w:spacing w:line="360" w:lineRule="auto"/>
              <w:ind w:right="-670"/>
              <w:rPr>
                <w:rFonts w:hint="eastAsia" w:ascii="宋体" w:hAnsi="宋体" w:cs="宋体"/>
                <w:color w:val="auto"/>
                <w:sz w:val="24"/>
              </w:rPr>
            </w:pPr>
            <w:r>
              <w:rPr>
                <w:rFonts w:hint="eastAsia" w:ascii="宋体" w:hAnsi="宋体" w:cs="宋体"/>
                <w:color w:val="auto"/>
                <w:sz w:val="24"/>
              </w:rPr>
              <w:t xml:space="preserve">投标总价：       </w:t>
            </w:r>
          </w:p>
          <w:p w14:paraId="5D923EF1">
            <w:pPr>
              <w:spacing w:line="360" w:lineRule="auto"/>
              <w:ind w:right="-670"/>
              <w:rPr>
                <w:rFonts w:ascii="宋体" w:hAnsi="宋体" w:cs="宋体"/>
                <w:color w:val="auto"/>
                <w:sz w:val="24"/>
              </w:rPr>
            </w:pPr>
            <w:r>
              <w:rPr>
                <w:rFonts w:hint="eastAsia" w:ascii="宋体" w:hAnsi="宋体" w:cs="宋体"/>
                <w:color w:val="auto"/>
                <w:sz w:val="24"/>
              </w:rPr>
              <w:t xml:space="preserve">大写：           </w:t>
            </w:r>
          </w:p>
        </w:tc>
      </w:tr>
      <w:tr w14:paraId="4AA7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2471" w:type="dxa"/>
            <w:tcBorders>
              <w:top w:val="nil"/>
            </w:tcBorders>
            <w:vAlign w:val="center"/>
          </w:tcPr>
          <w:p w14:paraId="06A073C1">
            <w:pPr>
              <w:spacing w:line="360" w:lineRule="auto"/>
              <w:jc w:val="center"/>
              <w:rPr>
                <w:rFonts w:ascii="宋体" w:hAnsi="宋体" w:cs="宋体"/>
                <w:color w:val="auto"/>
                <w:sz w:val="24"/>
              </w:rPr>
            </w:pPr>
            <w:r>
              <w:rPr>
                <w:rFonts w:hint="eastAsia" w:ascii="宋体" w:hAnsi="宋体" w:cs="宋体"/>
                <w:color w:val="auto"/>
                <w:sz w:val="24"/>
              </w:rPr>
              <w:t>备注</w:t>
            </w:r>
          </w:p>
        </w:tc>
        <w:tc>
          <w:tcPr>
            <w:tcW w:w="6667" w:type="dxa"/>
            <w:tcBorders>
              <w:top w:val="nil"/>
            </w:tcBorders>
            <w:vAlign w:val="center"/>
          </w:tcPr>
          <w:p w14:paraId="74AF7183">
            <w:pPr>
              <w:spacing w:line="360" w:lineRule="auto"/>
              <w:jc w:val="left"/>
              <w:rPr>
                <w:rFonts w:ascii="宋体" w:hAnsi="宋体" w:cs="宋体"/>
                <w:color w:val="auto"/>
                <w:sz w:val="24"/>
              </w:rPr>
            </w:pPr>
          </w:p>
        </w:tc>
      </w:tr>
    </w:tbl>
    <w:p w14:paraId="43ED621C">
      <w:pPr>
        <w:spacing w:line="360" w:lineRule="auto"/>
        <w:ind w:firstLine="3840" w:firstLineChars="1600"/>
        <w:rPr>
          <w:rFonts w:hint="eastAsia" w:ascii="宋体" w:hAnsi="宋体" w:cs="宋体"/>
          <w:color w:val="auto"/>
          <w:sz w:val="24"/>
        </w:rPr>
      </w:pPr>
    </w:p>
    <w:p w14:paraId="3F6D8261">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6B2528DD">
      <w:pPr>
        <w:spacing w:line="360" w:lineRule="auto"/>
        <w:rPr>
          <w:rFonts w:ascii="宋体" w:hAnsi="宋体" w:cs="宋体"/>
          <w:color w:val="auto"/>
          <w:sz w:val="24"/>
        </w:rPr>
      </w:pPr>
      <w:r>
        <w:rPr>
          <w:rFonts w:hint="eastAsia" w:ascii="宋体" w:hAnsi="宋体" w:cs="宋体"/>
          <w:color w:val="auto"/>
          <w:sz w:val="24"/>
        </w:rPr>
        <w:t>备注：</w:t>
      </w:r>
    </w:p>
    <w:p w14:paraId="073017A1">
      <w:pPr>
        <w:spacing w:line="360" w:lineRule="auto"/>
        <w:rPr>
          <w:rFonts w:ascii="宋体" w:hAnsi="宋体" w:cs="宋体"/>
          <w:color w:val="auto"/>
          <w:sz w:val="24"/>
        </w:rPr>
      </w:pPr>
      <w:r>
        <w:rPr>
          <w:rFonts w:hint="eastAsia" w:ascii="宋体" w:hAnsi="宋体" w:cs="宋体"/>
          <w:color w:val="auto"/>
          <w:sz w:val="24"/>
        </w:rPr>
        <w:t>1、此表用于开标会唱标之用。</w:t>
      </w:r>
    </w:p>
    <w:p w14:paraId="406C6887">
      <w:pPr>
        <w:spacing w:line="360" w:lineRule="auto"/>
        <w:rPr>
          <w:rFonts w:ascii="宋体" w:hAnsi="宋体" w:cs="宋体"/>
          <w:color w:val="auto"/>
          <w:sz w:val="24"/>
        </w:rPr>
      </w:pPr>
      <w:r>
        <w:rPr>
          <w:rFonts w:hint="eastAsia" w:ascii="宋体" w:hAnsi="宋体" w:cs="宋体"/>
          <w:color w:val="auto"/>
          <w:sz w:val="24"/>
        </w:rPr>
        <w:t>2、表中最终投标报价即为优惠后报价，并作为评审及定标依据。任何有选择或有条件的最终投标报价，或者表中某一包填写多个报价，均为无效报价。</w:t>
      </w:r>
    </w:p>
    <w:p w14:paraId="7FF47725">
      <w:pPr>
        <w:spacing w:line="360" w:lineRule="auto"/>
        <w:jc w:val="left"/>
        <w:rPr>
          <w:rFonts w:ascii="宋体" w:hAnsi="宋体" w:cs="宋体"/>
          <w:color w:val="auto"/>
          <w:sz w:val="24"/>
        </w:rPr>
      </w:pPr>
      <w:bookmarkStart w:id="35" w:name="_Toc495414234"/>
      <w:bookmarkStart w:id="36" w:name="_Toc220232409"/>
    </w:p>
    <w:p w14:paraId="435C1E5E">
      <w:pPr>
        <w:pStyle w:val="35"/>
        <w:ind w:firstLine="240"/>
        <w:rPr>
          <w:rFonts w:ascii="宋体" w:hAnsi="宋体" w:cs="宋体"/>
          <w:color w:val="auto"/>
          <w:sz w:val="24"/>
        </w:rPr>
      </w:pPr>
    </w:p>
    <w:p w14:paraId="4235249F">
      <w:pPr>
        <w:pStyle w:val="35"/>
        <w:ind w:firstLine="240"/>
        <w:rPr>
          <w:rFonts w:ascii="宋体" w:hAnsi="宋体" w:cs="宋体"/>
          <w:color w:val="auto"/>
          <w:sz w:val="24"/>
        </w:rPr>
      </w:pPr>
    </w:p>
    <w:p w14:paraId="1F5EB9C9">
      <w:pPr>
        <w:pStyle w:val="35"/>
        <w:ind w:firstLine="240"/>
        <w:rPr>
          <w:rFonts w:ascii="宋体" w:hAnsi="宋体" w:cs="宋体"/>
          <w:color w:val="auto"/>
          <w:sz w:val="24"/>
        </w:rPr>
      </w:pPr>
    </w:p>
    <w:p w14:paraId="18B64832">
      <w:pPr>
        <w:pStyle w:val="35"/>
        <w:ind w:firstLine="240"/>
        <w:rPr>
          <w:rFonts w:ascii="宋体" w:hAnsi="宋体" w:cs="宋体"/>
          <w:color w:val="auto"/>
          <w:sz w:val="24"/>
        </w:rPr>
      </w:pPr>
    </w:p>
    <w:p w14:paraId="5049FDAD">
      <w:pPr>
        <w:pStyle w:val="35"/>
        <w:ind w:firstLine="240"/>
        <w:rPr>
          <w:rFonts w:ascii="宋体" w:hAnsi="宋体" w:cs="宋体"/>
          <w:color w:val="auto"/>
          <w:sz w:val="24"/>
        </w:rPr>
      </w:pPr>
    </w:p>
    <w:p w14:paraId="1DECC5AF">
      <w:pPr>
        <w:pStyle w:val="35"/>
        <w:ind w:firstLine="240"/>
        <w:rPr>
          <w:rFonts w:ascii="宋体" w:hAnsi="宋体" w:cs="宋体"/>
          <w:color w:val="auto"/>
          <w:sz w:val="24"/>
        </w:rPr>
      </w:pPr>
    </w:p>
    <w:p w14:paraId="52E9EB82">
      <w:pPr>
        <w:spacing w:line="360" w:lineRule="auto"/>
        <w:jc w:val="left"/>
        <w:rPr>
          <w:rFonts w:ascii="宋体" w:hAnsi="宋体" w:cs="宋体"/>
          <w:color w:val="auto"/>
          <w:sz w:val="24"/>
        </w:rPr>
      </w:pPr>
    </w:p>
    <w:p w14:paraId="1DF568FA">
      <w:pPr>
        <w:rPr>
          <w:rFonts w:hint="eastAsia" w:ascii="宋体" w:hAnsi="宋体" w:cs="宋体"/>
          <w:color w:val="auto"/>
          <w:sz w:val="24"/>
        </w:rPr>
      </w:pPr>
      <w:r>
        <w:rPr>
          <w:rFonts w:hint="eastAsia" w:ascii="宋体" w:hAnsi="宋体" w:cs="宋体"/>
          <w:color w:val="auto"/>
          <w:sz w:val="24"/>
        </w:rPr>
        <w:br w:type="page"/>
      </w:r>
    </w:p>
    <w:p w14:paraId="44F2B057">
      <w:pPr>
        <w:spacing w:line="360" w:lineRule="auto"/>
        <w:jc w:val="left"/>
        <w:rPr>
          <w:rFonts w:hint="eastAsia" w:ascii="宋体" w:hAnsi="宋体" w:cs="宋体" w:eastAsiaTheme="minorEastAsia"/>
          <w:color w:val="auto"/>
          <w:sz w:val="24"/>
          <w:lang w:eastAsia="zh-CN"/>
        </w:rPr>
      </w:pPr>
      <w:r>
        <w:rPr>
          <w:rFonts w:hint="eastAsia" w:ascii="宋体" w:hAnsi="宋体" w:cs="宋体"/>
          <w:color w:val="auto"/>
          <w:sz w:val="24"/>
        </w:rPr>
        <w:t>格式</w:t>
      </w:r>
      <w:r>
        <w:rPr>
          <w:rFonts w:hint="eastAsia" w:ascii="宋体" w:hAnsi="宋体" w:cs="宋体"/>
          <w:color w:val="auto"/>
          <w:sz w:val="24"/>
          <w:lang w:val="en-US" w:eastAsia="zh-CN"/>
        </w:rPr>
        <w:t>7</w:t>
      </w:r>
    </w:p>
    <w:p w14:paraId="6DFB51F1">
      <w:pPr>
        <w:pStyle w:val="3"/>
        <w:jc w:val="center"/>
        <w:rPr>
          <w:rFonts w:ascii="宋体" w:hAnsi="宋体" w:cs="宋体"/>
          <w:b/>
          <w:bCs w:val="0"/>
          <w:color w:val="auto"/>
          <w:sz w:val="24"/>
          <w:szCs w:val="24"/>
        </w:rPr>
      </w:pPr>
      <w:r>
        <w:rPr>
          <w:rFonts w:hint="eastAsia" w:ascii="宋体" w:hAnsi="宋体" w:cs="宋体"/>
          <w:b/>
          <w:bCs w:val="0"/>
          <w:color w:val="auto"/>
          <w:sz w:val="24"/>
          <w:szCs w:val="24"/>
        </w:rPr>
        <w:t>投标分项报价表</w:t>
      </w:r>
      <w:bookmarkEnd w:id="35"/>
      <w:bookmarkEnd w:id="36"/>
    </w:p>
    <w:tbl>
      <w:tblPr>
        <w:tblStyle w:val="20"/>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4191"/>
        <w:gridCol w:w="788"/>
        <w:gridCol w:w="750"/>
        <w:gridCol w:w="750"/>
        <w:gridCol w:w="751"/>
        <w:gridCol w:w="719"/>
      </w:tblGrid>
      <w:tr w14:paraId="6CBA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14:paraId="1CB2CB19">
            <w:pPr>
              <w:pStyle w:val="44"/>
              <w:widowControl w:val="0"/>
              <w:spacing w:before="0" w:beforeAutospacing="0" w:after="0" w:afterAutospacing="0" w:line="340" w:lineRule="exact"/>
              <w:rPr>
                <w:rFonts w:cs="宋体"/>
                <w:b w:val="0"/>
                <w:bCs w:val="0"/>
                <w:color w:val="auto"/>
                <w:kern w:val="2"/>
                <w:sz w:val="24"/>
                <w:szCs w:val="24"/>
              </w:rPr>
            </w:pPr>
            <w:r>
              <w:rPr>
                <w:rFonts w:hint="eastAsia" w:cs="宋体"/>
                <w:b w:val="0"/>
                <w:bCs w:val="0"/>
                <w:color w:val="auto"/>
                <w:kern w:val="2"/>
                <w:sz w:val="24"/>
                <w:szCs w:val="24"/>
              </w:rPr>
              <w:t>序号</w:t>
            </w:r>
          </w:p>
        </w:tc>
        <w:tc>
          <w:tcPr>
            <w:tcW w:w="4191" w:type="dxa"/>
            <w:vAlign w:val="center"/>
          </w:tcPr>
          <w:p w14:paraId="08C3D8AE">
            <w:pPr>
              <w:spacing w:line="340" w:lineRule="exact"/>
              <w:jc w:val="center"/>
              <w:rPr>
                <w:rFonts w:hint="default" w:ascii="宋体" w:hAnsi="宋体" w:eastAsia="宋体" w:cs="宋体"/>
                <w:color w:val="auto"/>
                <w:sz w:val="24"/>
                <w:lang w:val="en-US" w:eastAsia="zh-CN"/>
              </w:rPr>
            </w:pPr>
            <w:r>
              <w:rPr>
                <w:rFonts w:hint="eastAsia" w:ascii="宋体" w:hAnsi="宋体" w:cs="宋体"/>
                <w:color w:val="auto"/>
                <w:sz w:val="24"/>
                <w:lang w:eastAsia="zh-CN"/>
              </w:rPr>
              <w:t>货物</w:t>
            </w:r>
            <w:r>
              <w:rPr>
                <w:rFonts w:hint="eastAsia" w:ascii="宋体" w:hAnsi="宋体" w:cs="宋体"/>
                <w:color w:val="auto"/>
                <w:sz w:val="24"/>
              </w:rPr>
              <w:t>名称</w:t>
            </w:r>
            <w:r>
              <w:rPr>
                <w:rFonts w:hint="eastAsia" w:ascii="宋体" w:hAnsi="宋体" w:cs="宋体"/>
                <w:color w:val="auto"/>
                <w:sz w:val="24"/>
                <w:lang w:val="en-US" w:eastAsia="zh-CN"/>
              </w:rPr>
              <w:t>(标明生产厂家、品牌、规格型号等)</w:t>
            </w:r>
          </w:p>
        </w:tc>
        <w:tc>
          <w:tcPr>
            <w:tcW w:w="788" w:type="dxa"/>
            <w:vAlign w:val="center"/>
          </w:tcPr>
          <w:p w14:paraId="110AC790">
            <w:pPr>
              <w:spacing w:line="340" w:lineRule="exact"/>
              <w:jc w:val="center"/>
              <w:rPr>
                <w:rFonts w:ascii="宋体" w:hAnsi="宋体" w:cs="宋体"/>
                <w:color w:val="auto"/>
                <w:sz w:val="24"/>
              </w:rPr>
            </w:pPr>
            <w:r>
              <w:rPr>
                <w:rFonts w:hint="eastAsia" w:ascii="宋体" w:hAnsi="宋体" w:cs="宋体"/>
                <w:color w:val="auto"/>
                <w:sz w:val="24"/>
              </w:rPr>
              <w:t>单位</w:t>
            </w:r>
          </w:p>
        </w:tc>
        <w:tc>
          <w:tcPr>
            <w:tcW w:w="750" w:type="dxa"/>
            <w:vAlign w:val="center"/>
          </w:tcPr>
          <w:p w14:paraId="4DAAFDDB">
            <w:pPr>
              <w:spacing w:line="340" w:lineRule="exact"/>
              <w:jc w:val="center"/>
              <w:rPr>
                <w:rFonts w:ascii="宋体" w:hAnsi="宋体" w:cs="宋体"/>
                <w:color w:val="auto"/>
                <w:sz w:val="24"/>
              </w:rPr>
            </w:pPr>
            <w:r>
              <w:rPr>
                <w:rFonts w:hint="eastAsia" w:ascii="宋体" w:hAnsi="宋体" w:cs="宋体"/>
                <w:color w:val="auto"/>
                <w:sz w:val="24"/>
              </w:rPr>
              <w:t>数量</w:t>
            </w:r>
          </w:p>
        </w:tc>
        <w:tc>
          <w:tcPr>
            <w:tcW w:w="750" w:type="dxa"/>
            <w:vAlign w:val="center"/>
          </w:tcPr>
          <w:p w14:paraId="21CFC7E0">
            <w:pPr>
              <w:spacing w:line="340" w:lineRule="exact"/>
              <w:jc w:val="center"/>
              <w:rPr>
                <w:rFonts w:ascii="宋体" w:hAnsi="宋体" w:cs="宋体"/>
                <w:color w:val="auto"/>
                <w:sz w:val="24"/>
              </w:rPr>
            </w:pPr>
            <w:r>
              <w:rPr>
                <w:rFonts w:hint="eastAsia" w:ascii="宋体" w:hAnsi="宋体" w:cs="宋体"/>
                <w:color w:val="auto"/>
                <w:sz w:val="24"/>
              </w:rPr>
              <w:t>单价</w:t>
            </w:r>
          </w:p>
        </w:tc>
        <w:tc>
          <w:tcPr>
            <w:tcW w:w="751" w:type="dxa"/>
            <w:vAlign w:val="center"/>
          </w:tcPr>
          <w:p w14:paraId="6E709A7D">
            <w:pPr>
              <w:spacing w:line="340" w:lineRule="exact"/>
              <w:jc w:val="center"/>
              <w:rPr>
                <w:rFonts w:ascii="宋体" w:hAnsi="宋体" w:cs="宋体"/>
                <w:color w:val="auto"/>
                <w:sz w:val="24"/>
              </w:rPr>
            </w:pPr>
            <w:r>
              <w:rPr>
                <w:rFonts w:hint="eastAsia" w:ascii="宋体" w:hAnsi="宋体" w:cs="宋体"/>
                <w:bCs/>
                <w:color w:val="auto"/>
                <w:sz w:val="24"/>
              </w:rPr>
              <w:t>小计</w:t>
            </w:r>
          </w:p>
        </w:tc>
        <w:tc>
          <w:tcPr>
            <w:tcW w:w="719" w:type="dxa"/>
            <w:vAlign w:val="center"/>
          </w:tcPr>
          <w:p w14:paraId="0D0C0B75">
            <w:pPr>
              <w:spacing w:line="340" w:lineRule="exact"/>
              <w:jc w:val="center"/>
              <w:rPr>
                <w:rFonts w:ascii="宋体" w:hAnsi="宋体" w:cs="宋体"/>
                <w:color w:val="auto"/>
                <w:sz w:val="24"/>
              </w:rPr>
            </w:pPr>
            <w:r>
              <w:rPr>
                <w:rFonts w:hint="eastAsia" w:ascii="宋体" w:hAnsi="宋体" w:cs="宋体"/>
                <w:color w:val="auto"/>
                <w:sz w:val="24"/>
              </w:rPr>
              <w:t>备注</w:t>
            </w:r>
          </w:p>
        </w:tc>
      </w:tr>
      <w:tr w14:paraId="452BF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vAlign w:val="top"/>
          </w:tcPr>
          <w:p w14:paraId="07E03116">
            <w:pPr>
              <w:spacing w:line="340" w:lineRule="exact"/>
              <w:rPr>
                <w:rFonts w:ascii="宋体" w:hAnsi="宋体" w:cs="宋体"/>
                <w:color w:val="auto"/>
                <w:sz w:val="24"/>
              </w:rPr>
            </w:pPr>
          </w:p>
        </w:tc>
        <w:tc>
          <w:tcPr>
            <w:tcW w:w="4191" w:type="dxa"/>
          </w:tcPr>
          <w:p w14:paraId="57D913E3">
            <w:pPr>
              <w:spacing w:line="340" w:lineRule="exact"/>
              <w:rPr>
                <w:rFonts w:ascii="宋体" w:hAnsi="宋体" w:cs="宋体"/>
                <w:color w:val="auto"/>
                <w:sz w:val="24"/>
              </w:rPr>
            </w:pPr>
          </w:p>
        </w:tc>
        <w:tc>
          <w:tcPr>
            <w:tcW w:w="788" w:type="dxa"/>
          </w:tcPr>
          <w:p w14:paraId="34DE199D">
            <w:pPr>
              <w:spacing w:line="340" w:lineRule="exact"/>
              <w:rPr>
                <w:rFonts w:ascii="宋体" w:hAnsi="宋体" w:cs="宋体"/>
                <w:color w:val="auto"/>
                <w:sz w:val="24"/>
              </w:rPr>
            </w:pPr>
          </w:p>
        </w:tc>
        <w:tc>
          <w:tcPr>
            <w:tcW w:w="750" w:type="dxa"/>
          </w:tcPr>
          <w:p w14:paraId="494C1200">
            <w:pPr>
              <w:spacing w:line="340" w:lineRule="exact"/>
              <w:rPr>
                <w:rFonts w:ascii="宋体" w:hAnsi="宋体" w:cs="宋体"/>
                <w:color w:val="auto"/>
                <w:sz w:val="24"/>
              </w:rPr>
            </w:pPr>
          </w:p>
        </w:tc>
        <w:tc>
          <w:tcPr>
            <w:tcW w:w="750" w:type="dxa"/>
          </w:tcPr>
          <w:p w14:paraId="520C8970">
            <w:pPr>
              <w:spacing w:line="340" w:lineRule="exact"/>
              <w:rPr>
                <w:rFonts w:ascii="宋体" w:hAnsi="宋体" w:cs="宋体"/>
                <w:color w:val="auto"/>
                <w:sz w:val="24"/>
              </w:rPr>
            </w:pPr>
          </w:p>
        </w:tc>
        <w:tc>
          <w:tcPr>
            <w:tcW w:w="751" w:type="dxa"/>
          </w:tcPr>
          <w:p w14:paraId="2E3A0489">
            <w:pPr>
              <w:spacing w:line="340" w:lineRule="exact"/>
              <w:rPr>
                <w:rFonts w:ascii="宋体" w:hAnsi="宋体" w:cs="宋体"/>
                <w:color w:val="auto"/>
                <w:sz w:val="24"/>
              </w:rPr>
            </w:pPr>
          </w:p>
        </w:tc>
        <w:tc>
          <w:tcPr>
            <w:tcW w:w="719" w:type="dxa"/>
          </w:tcPr>
          <w:p w14:paraId="710AB749">
            <w:pPr>
              <w:spacing w:line="340" w:lineRule="exact"/>
              <w:rPr>
                <w:rFonts w:ascii="宋体" w:hAnsi="宋体" w:cs="宋体"/>
                <w:color w:val="auto"/>
                <w:sz w:val="24"/>
              </w:rPr>
            </w:pPr>
          </w:p>
        </w:tc>
      </w:tr>
      <w:tr w14:paraId="4B3F4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top"/>
          </w:tcPr>
          <w:p w14:paraId="7FB9BD0B">
            <w:pPr>
              <w:spacing w:line="340" w:lineRule="exact"/>
              <w:rPr>
                <w:rFonts w:ascii="宋体" w:hAnsi="宋体" w:cs="宋体"/>
                <w:color w:val="auto"/>
                <w:sz w:val="24"/>
              </w:rPr>
            </w:pPr>
          </w:p>
        </w:tc>
        <w:tc>
          <w:tcPr>
            <w:tcW w:w="4191" w:type="dxa"/>
          </w:tcPr>
          <w:p w14:paraId="4E839940">
            <w:pPr>
              <w:spacing w:line="340" w:lineRule="exact"/>
              <w:rPr>
                <w:rFonts w:ascii="宋体" w:hAnsi="宋体" w:cs="宋体"/>
                <w:color w:val="auto"/>
                <w:sz w:val="24"/>
              </w:rPr>
            </w:pPr>
          </w:p>
        </w:tc>
        <w:tc>
          <w:tcPr>
            <w:tcW w:w="788" w:type="dxa"/>
          </w:tcPr>
          <w:p w14:paraId="36731E25">
            <w:pPr>
              <w:spacing w:line="340" w:lineRule="exact"/>
              <w:rPr>
                <w:rFonts w:ascii="宋体" w:hAnsi="宋体" w:cs="宋体"/>
                <w:color w:val="auto"/>
                <w:sz w:val="24"/>
              </w:rPr>
            </w:pPr>
          </w:p>
        </w:tc>
        <w:tc>
          <w:tcPr>
            <w:tcW w:w="750" w:type="dxa"/>
          </w:tcPr>
          <w:p w14:paraId="6B450067">
            <w:pPr>
              <w:spacing w:line="340" w:lineRule="exact"/>
              <w:rPr>
                <w:rFonts w:ascii="宋体" w:hAnsi="宋体" w:cs="宋体"/>
                <w:color w:val="auto"/>
                <w:sz w:val="24"/>
              </w:rPr>
            </w:pPr>
          </w:p>
        </w:tc>
        <w:tc>
          <w:tcPr>
            <w:tcW w:w="750" w:type="dxa"/>
          </w:tcPr>
          <w:p w14:paraId="7C82E6B9">
            <w:pPr>
              <w:spacing w:line="340" w:lineRule="exact"/>
              <w:rPr>
                <w:rFonts w:ascii="宋体" w:hAnsi="宋体" w:cs="宋体"/>
                <w:color w:val="auto"/>
                <w:sz w:val="24"/>
              </w:rPr>
            </w:pPr>
          </w:p>
        </w:tc>
        <w:tc>
          <w:tcPr>
            <w:tcW w:w="751" w:type="dxa"/>
          </w:tcPr>
          <w:p w14:paraId="43BA63B7">
            <w:pPr>
              <w:spacing w:line="340" w:lineRule="exact"/>
              <w:rPr>
                <w:rFonts w:ascii="宋体" w:hAnsi="宋体" w:cs="宋体"/>
                <w:color w:val="auto"/>
                <w:sz w:val="24"/>
              </w:rPr>
            </w:pPr>
          </w:p>
        </w:tc>
        <w:tc>
          <w:tcPr>
            <w:tcW w:w="719" w:type="dxa"/>
          </w:tcPr>
          <w:p w14:paraId="1BC19813">
            <w:pPr>
              <w:spacing w:line="340" w:lineRule="exact"/>
              <w:rPr>
                <w:rFonts w:ascii="宋体" w:hAnsi="宋体" w:cs="宋体"/>
                <w:color w:val="auto"/>
                <w:sz w:val="24"/>
              </w:rPr>
            </w:pPr>
          </w:p>
        </w:tc>
      </w:tr>
      <w:tr w14:paraId="1DED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vAlign w:val="top"/>
          </w:tcPr>
          <w:p w14:paraId="53D32F23">
            <w:pPr>
              <w:spacing w:line="340" w:lineRule="exact"/>
              <w:rPr>
                <w:rFonts w:ascii="宋体" w:hAnsi="宋体" w:cs="宋体"/>
                <w:color w:val="auto"/>
                <w:sz w:val="24"/>
              </w:rPr>
            </w:pPr>
          </w:p>
        </w:tc>
        <w:tc>
          <w:tcPr>
            <w:tcW w:w="4191" w:type="dxa"/>
          </w:tcPr>
          <w:p w14:paraId="5E732A6E">
            <w:pPr>
              <w:spacing w:line="340" w:lineRule="exact"/>
              <w:rPr>
                <w:rFonts w:ascii="宋体" w:hAnsi="宋体" w:cs="宋体"/>
                <w:color w:val="auto"/>
                <w:sz w:val="24"/>
              </w:rPr>
            </w:pPr>
          </w:p>
        </w:tc>
        <w:tc>
          <w:tcPr>
            <w:tcW w:w="788" w:type="dxa"/>
          </w:tcPr>
          <w:p w14:paraId="67DB7EB2">
            <w:pPr>
              <w:spacing w:line="340" w:lineRule="exact"/>
              <w:rPr>
                <w:rFonts w:ascii="宋体" w:hAnsi="宋体" w:cs="宋体"/>
                <w:color w:val="auto"/>
                <w:sz w:val="24"/>
              </w:rPr>
            </w:pPr>
          </w:p>
        </w:tc>
        <w:tc>
          <w:tcPr>
            <w:tcW w:w="750" w:type="dxa"/>
          </w:tcPr>
          <w:p w14:paraId="702C42D9">
            <w:pPr>
              <w:spacing w:line="340" w:lineRule="exact"/>
              <w:rPr>
                <w:rFonts w:ascii="宋体" w:hAnsi="宋体" w:cs="宋体"/>
                <w:color w:val="auto"/>
                <w:sz w:val="24"/>
              </w:rPr>
            </w:pPr>
          </w:p>
        </w:tc>
        <w:tc>
          <w:tcPr>
            <w:tcW w:w="750" w:type="dxa"/>
          </w:tcPr>
          <w:p w14:paraId="7FBBC9B8">
            <w:pPr>
              <w:spacing w:line="340" w:lineRule="exact"/>
              <w:rPr>
                <w:rFonts w:ascii="宋体" w:hAnsi="宋体" w:cs="宋体"/>
                <w:color w:val="auto"/>
                <w:sz w:val="24"/>
              </w:rPr>
            </w:pPr>
          </w:p>
        </w:tc>
        <w:tc>
          <w:tcPr>
            <w:tcW w:w="751" w:type="dxa"/>
          </w:tcPr>
          <w:p w14:paraId="6F4403D6">
            <w:pPr>
              <w:spacing w:line="340" w:lineRule="exact"/>
              <w:rPr>
                <w:rFonts w:ascii="宋体" w:hAnsi="宋体" w:cs="宋体"/>
                <w:color w:val="auto"/>
                <w:sz w:val="24"/>
              </w:rPr>
            </w:pPr>
          </w:p>
        </w:tc>
        <w:tc>
          <w:tcPr>
            <w:tcW w:w="719" w:type="dxa"/>
          </w:tcPr>
          <w:p w14:paraId="0D572F7C">
            <w:pPr>
              <w:spacing w:line="340" w:lineRule="exact"/>
              <w:rPr>
                <w:rFonts w:ascii="宋体" w:hAnsi="宋体" w:cs="宋体"/>
                <w:color w:val="auto"/>
                <w:sz w:val="24"/>
              </w:rPr>
            </w:pPr>
          </w:p>
        </w:tc>
      </w:tr>
      <w:tr w14:paraId="01E2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top"/>
          </w:tcPr>
          <w:p w14:paraId="4B40E563">
            <w:pPr>
              <w:spacing w:line="340" w:lineRule="exact"/>
              <w:rPr>
                <w:rFonts w:ascii="宋体" w:hAnsi="宋体" w:cs="宋体"/>
                <w:color w:val="auto"/>
                <w:sz w:val="24"/>
              </w:rPr>
            </w:pPr>
          </w:p>
        </w:tc>
        <w:tc>
          <w:tcPr>
            <w:tcW w:w="4191" w:type="dxa"/>
          </w:tcPr>
          <w:p w14:paraId="30330E6C">
            <w:pPr>
              <w:spacing w:line="340" w:lineRule="exact"/>
              <w:rPr>
                <w:rFonts w:ascii="宋体" w:hAnsi="宋体" w:cs="宋体"/>
                <w:color w:val="auto"/>
                <w:sz w:val="24"/>
              </w:rPr>
            </w:pPr>
          </w:p>
        </w:tc>
        <w:tc>
          <w:tcPr>
            <w:tcW w:w="788" w:type="dxa"/>
          </w:tcPr>
          <w:p w14:paraId="71471D89">
            <w:pPr>
              <w:spacing w:line="340" w:lineRule="exact"/>
              <w:rPr>
                <w:rFonts w:ascii="宋体" w:hAnsi="宋体" w:cs="宋体"/>
                <w:color w:val="auto"/>
                <w:sz w:val="24"/>
              </w:rPr>
            </w:pPr>
          </w:p>
        </w:tc>
        <w:tc>
          <w:tcPr>
            <w:tcW w:w="750" w:type="dxa"/>
          </w:tcPr>
          <w:p w14:paraId="64905D16">
            <w:pPr>
              <w:spacing w:line="340" w:lineRule="exact"/>
              <w:rPr>
                <w:rFonts w:ascii="宋体" w:hAnsi="宋体" w:cs="宋体"/>
                <w:color w:val="auto"/>
                <w:sz w:val="24"/>
              </w:rPr>
            </w:pPr>
          </w:p>
        </w:tc>
        <w:tc>
          <w:tcPr>
            <w:tcW w:w="750" w:type="dxa"/>
          </w:tcPr>
          <w:p w14:paraId="034BDC14">
            <w:pPr>
              <w:spacing w:line="340" w:lineRule="exact"/>
              <w:rPr>
                <w:rFonts w:ascii="宋体" w:hAnsi="宋体" w:cs="宋体"/>
                <w:color w:val="auto"/>
                <w:sz w:val="24"/>
              </w:rPr>
            </w:pPr>
          </w:p>
        </w:tc>
        <w:tc>
          <w:tcPr>
            <w:tcW w:w="751" w:type="dxa"/>
          </w:tcPr>
          <w:p w14:paraId="54B26070">
            <w:pPr>
              <w:spacing w:line="340" w:lineRule="exact"/>
              <w:rPr>
                <w:rFonts w:ascii="宋体" w:hAnsi="宋体" w:cs="宋体"/>
                <w:color w:val="auto"/>
                <w:sz w:val="24"/>
              </w:rPr>
            </w:pPr>
          </w:p>
        </w:tc>
        <w:tc>
          <w:tcPr>
            <w:tcW w:w="719" w:type="dxa"/>
          </w:tcPr>
          <w:p w14:paraId="1E195352">
            <w:pPr>
              <w:spacing w:line="340" w:lineRule="exact"/>
              <w:rPr>
                <w:rFonts w:ascii="宋体" w:hAnsi="宋体" w:cs="宋体"/>
                <w:color w:val="auto"/>
                <w:sz w:val="24"/>
              </w:rPr>
            </w:pPr>
          </w:p>
        </w:tc>
      </w:tr>
      <w:tr w14:paraId="6DD3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vAlign w:val="top"/>
          </w:tcPr>
          <w:p w14:paraId="66251B26">
            <w:pPr>
              <w:spacing w:line="340" w:lineRule="exact"/>
              <w:rPr>
                <w:rFonts w:ascii="宋体" w:hAnsi="宋体" w:cs="宋体"/>
                <w:color w:val="auto"/>
                <w:sz w:val="24"/>
              </w:rPr>
            </w:pPr>
          </w:p>
        </w:tc>
        <w:tc>
          <w:tcPr>
            <w:tcW w:w="4191" w:type="dxa"/>
          </w:tcPr>
          <w:p w14:paraId="0B258F70">
            <w:pPr>
              <w:spacing w:line="340" w:lineRule="exact"/>
              <w:rPr>
                <w:rFonts w:ascii="宋体" w:hAnsi="宋体" w:cs="宋体"/>
                <w:color w:val="auto"/>
                <w:sz w:val="24"/>
              </w:rPr>
            </w:pPr>
          </w:p>
        </w:tc>
        <w:tc>
          <w:tcPr>
            <w:tcW w:w="788" w:type="dxa"/>
          </w:tcPr>
          <w:p w14:paraId="4F64AE34">
            <w:pPr>
              <w:spacing w:line="340" w:lineRule="exact"/>
              <w:rPr>
                <w:rFonts w:ascii="宋体" w:hAnsi="宋体" w:cs="宋体"/>
                <w:color w:val="auto"/>
                <w:sz w:val="24"/>
              </w:rPr>
            </w:pPr>
          </w:p>
        </w:tc>
        <w:tc>
          <w:tcPr>
            <w:tcW w:w="750" w:type="dxa"/>
          </w:tcPr>
          <w:p w14:paraId="6553D916">
            <w:pPr>
              <w:spacing w:line="340" w:lineRule="exact"/>
              <w:rPr>
                <w:rFonts w:ascii="宋体" w:hAnsi="宋体" w:cs="宋体"/>
                <w:color w:val="auto"/>
                <w:sz w:val="24"/>
              </w:rPr>
            </w:pPr>
          </w:p>
        </w:tc>
        <w:tc>
          <w:tcPr>
            <w:tcW w:w="750" w:type="dxa"/>
          </w:tcPr>
          <w:p w14:paraId="19C347C3">
            <w:pPr>
              <w:spacing w:line="340" w:lineRule="exact"/>
              <w:rPr>
                <w:rFonts w:ascii="宋体" w:hAnsi="宋体" w:cs="宋体"/>
                <w:color w:val="auto"/>
                <w:sz w:val="24"/>
              </w:rPr>
            </w:pPr>
          </w:p>
        </w:tc>
        <w:tc>
          <w:tcPr>
            <w:tcW w:w="751" w:type="dxa"/>
          </w:tcPr>
          <w:p w14:paraId="29596961">
            <w:pPr>
              <w:spacing w:line="340" w:lineRule="exact"/>
              <w:rPr>
                <w:rFonts w:ascii="宋体" w:hAnsi="宋体" w:cs="宋体"/>
                <w:color w:val="auto"/>
                <w:sz w:val="24"/>
              </w:rPr>
            </w:pPr>
          </w:p>
        </w:tc>
        <w:tc>
          <w:tcPr>
            <w:tcW w:w="719" w:type="dxa"/>
          </w:tcPr>
          <w:p w14:paraId="16276905">
            <w:pPr>
              <w:spacing w:line="340" w:lineRule="exact"/>
              <w:rPr>
                <w:rFonts w:ascii="宋体" w:hAnsi="宋体" w:cs="宋体"/>
                <w:color w:val="auto"/>
                <w:sz w:val="24"/>
              </w:rPr>
            </w:pPr>
          </w:p>
        </w:tc>
      </w:tr>
      <w:tr w14:paraId="7379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top"/>
          </w:tcPr>
          <w:p w14:paraId="7E86B158">
            <w:pPr>
              <w:spacing w:line="340" w:lineRule="exact"/>
              <w:rPr>
                <w:rFonts w:ascii="宋体" w:hAnsi="宋体" w:cs="宋体"/>
                <w:color w:val="auto"/>
                <w:sz w:val="24"/>
              </w:rPr>
            </w:pPr>
          </w:p>
        </w:tc>
        <w:tc>
          <w:tcPr>
            <w:tcW w:w="4191" w:type="dxa"/>
          </w:tcPr>
          <w:p w14:paraId="1074C6FC">
            <w:pPr>
              <w:spacing w:line="340" w:lineRule="exact"/>
              <w:rPr>
                <w:rFonts w:ascii="宋体" w:hAnsi="宋体" w:cs="宋体"/>
                <w:color w:val="auto"/>
                <w:sz w:val="24"/>
              </w:rPr>
            </w:pPr>
          </w:p>
        </w:tc>
        <w:tc>
          <w:tcPr>
            <w:tcW w:w="788" w:type="dxa"/>
          </w:tcPr>
          <w:p w14:paraId="5CFE4F5F">
            <w:pPr>
              <w:spacing w:line="340" w:lineRule="exact"/>
              <w:rPr>
                <w:rFonts w:ascii="宋体" w:hAnsi="宋体" w:cs="宋体"/>
                <w:color w:val="auto"/>
                <w:sz w:val="24"/>
              </w:rPr>
            </w:pPr>
          </w:p>
        </w:tc>
        <w:tc>
          <w:tcPr>
            <w:tcW w:w="750" w:type="dxa"/>
          </w:tcPr>
          <w:p w14:paraId="2A370398">
            <w:pPr>
              <w:spacing w:line="340" w:lineRule="exact"/>
              <w:rPr>
                <w:rFonts w:ascii="宋体" w:hAnsi="宋体" w:cs="宋体"/>
                <w:color w:val="auto"/>
                <w:sz w:val="24"/>
              </w:rPr>
            </w:pPr>
          </w:p>
        </w:tc>
        <w:tc>
          <w:tcPr>
            <w:tcW w:w="750" w:type="dxa"/>
          </w:tcPr>
          <w:p w14:paraId="3A05BB37">
            <w:pPr>
              <w:spacing w:line="340" w:lineRule="exact"/>
              <w:rPr>
                <w:rFonts w:ascii="宋体" w:hAnsi="宋体" w:cs="宋体"/>
                <w:color w:val="auto"/>
                <w:sz w:val="24"/>
              </w:rPr>
            </w:pPr>
          </w:p>
        </w:tc>
        <w:tc>
          <w:tcPr>
            <w:tcW w:w="751" w:type="dxa"/>
          </w:tcPr>
          <w:p w14:paraId="6CC6DB23">
            <w:pPr>
              <w:spacing w:line="340" w:lineRule="exact"/>
              <w:rPr>
                <w:rFonts w:ascii="宋体" w:hAnsi="宋体" w:cs="宋体"/>
                <w:color w:val="auto"/>
                <w:sz w:val="24"/>
              </w:rPr>
            </w:pPr>
          </w:p>
        </w:tc>
        <w:tc>
          <w:tcPr>
            <w:tcW w:w="719" w:type="dxa"/>
          </w:tcPr>
          <w:p w14:paraId="0D35A074">
            <w:pPr>
              <w:spacing w:line="340" w:lineRule="exact"/>
              <w:rPr>
                <w:rFonts w:ascii="宋体" w:hAnsi="宋体" w:cs="宋体"/>
                <w:color w:val="auto"/>
                <w:sz w:val="24"/>
              </w:rPr>
            </w:pPr>
          </w:p>
        </w:tc>
      </w:tr>
      <w:tr w14:paraId="42D19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vAlign w:val="top"/>
          </w:tcPr>
          <w:p w14:paraId="2F750FAB">
            <w:pPr>
              <w:spacing w:line="340" w:lineRule="exact"/>
              <w:rPr>
                <w:rFonts w:ascii="宋体" w:hAnsi="宋体" w:cs="宋体"/>
                <w:color w:val="auto"/>
                <w:sz w:val="24"/>
              </w:rPr>
            </w:pPr>
          </w:p>
        </w:tc>
        <w:tc>
          <w:tcPr>
            <w:tcW w:w="4191" w:type="dxa"/>
          </w:tcPr>
          <w:p w14:paraId="653FF1D4">
            <w:pPr>
              <w:spacing w:line="340" w:lineRule="exact"/>
              <w:rPr>
                <w:rFonts w:ascii="宋体" w:hAnsi="宋体" w:cs="宋体"/>
                <w:color w:val="auto"/>
                <w:sz w:val="24"/>
              </w:rPr>
            </w:pPr>
          </w:p>
        </w:tc>
        <w:tc>
          <w:tcPr>
            <w:tcW w:w="788" w:type="dxa"/>
          </w:tcPr>
          <w:p w14:paraId="02C22423">
            <w:pPr>
              <w:spacing w:line="340" w:lineRule="exact"/>
              <w:rPr>
                <w:rFonts w:ascii="宋体" w:hAnsi="宋体" w:cs="宋体"/>
                <w:color w:val="auto"/>
                <w:sz w:val="24"/>
              </w:rPr>
            </w:pPr>
          </w:p>
        </w:tc>
        <w:tc>
          <w:tcPr>
            <w:tcW w:w="750" w:type="dxa"/>
          </w:tcPr>
          <w:p w14:paraId="182DC80A">
            <w:pPr>
              <w:spacing w:line="340" w:lineRule="exact"/>
              <w:rPr>
                <w:rFonts w:ascii="宋体" w:hAnsi="宋体" w:cs="宋体"/>
                <w:color w:val="auto"/>
                <w:sz w:val="24"/>
              </w:rPr>
            </w:pPr>
          </w:p>
        </w:tc>
        <w:tc>
          <w:tcPr>
            <w:tcW w:w="750" w:type="dxa"/>
          </w:tcPr>
          <w:p w14:paraId="2CBD5632">
            <w:pPr>
              <w:spacing w:line="340" w:lineRule="exact"/>
              <w:rPr>
                <w:rFonts w:ascii="宋体" w:hAnsi="宋体" w:cs="宋体"/>
                <w:color w:val="auto"/>
                <w:sz w:val="24"/>
              </w:rPr>
            </w:pPr>
          </w:p>
        </w:tc>
        <w:tc>
          <w:tcPr>
            <w:tcW w:w="751" w:type="dxa"/>
          </w:tcPr>
          <w:p w14:paraId="79CA0C6A">
            <w:pPr>
              <w:spacing w:line="340" w:lineRule="exact"/>
              <w:rPr>
                <w:rFonts w:ascii="宋体" w:hAnsi="宋体" w:cs="宋体"/>
                <w:color w:val="auto"/>
                <w:sz w:val="24"/>
              </w:rPr>
            </w:pPr>
          </w:p>
        </w:tc>
        <w:tc>
          <w:tcPr>
            <w:tcW w:w="719" w:type="dxa"/>
          </w:tcPr>
          <w:p w14:paraId="014DAA94">
            <w:pPr>
              <w:spacing w:line="340" w:lineRule="exact"/>
              <w:rPr>
                <w:rFonts w:ascii="宋体" w:hAnsi="宋体" w:cs="宋体"/>
                <w:color w:val="auto"/>
                <w:sz w:val="24"/>
              </w:rPr>
            </w:pPr>
          </w:p>
        </w:tc>
      </w:tr>
      <w:tr w14:paraId="2F7A3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top"/>
          </w:tcPr>
          <w:p w14:paraId="4606016B">
            <w:pPr>
              <w:spacing w:line="340" w:lineRule="exact"/>
              <w:rPr>
                <w:rFonts w:ascii="宋体" w:hAnsi="宋体" w:cs="宋体"/>
                <w:color w:val="auto"/>
                <w:sz w:val="24"/>
              </w:rPr>
            </w:pPr>
          </w:p>
        </w:tc>
        <w:tc>
          <w:tcPr>
            <w:tcW w:w="4191" w:type="dxa"/>
          </w:tcPr>
          <w:p w14:paraId="74AC9C9B">
            <w:pPr>
              <w:spacing w:line="340" w:lineRule="exact"/>
              <w:rPr>
                <w:rFonts w:ascii="宋体" w:hAnsi="宋体" w:cs="宋体"/>
                <w:color w:val="auto"/>
                <w:sz w:val="24"/>
              </w:rPr>
            </w:pPr>
          </w:p>
        </w:tc>
        <w:tc>
          <w:tcPr>
            <w:tcW w:w="788" w:type="dxa"/>
          </w:tcPr>
          <w:p w14:paraId="70346ACC">
            <w:pPr>
              <w:spacing w:line="340" w:lineRule="exact"/>
              <w:rPr>
                <w:rFonts w:ascii="宋体" w:hAnsi="宋体" w:cs="宋体"/>
                <w:color w:val="auto"/>
                <w:sz w:val="24"/>
              </w:rPr>
            </w:pPr>
          </w:p>
        </w:tc>
        <w:tc>
          <w:tcPr>
            <w:tcW w:w="750" w:type="dxa"/>
          </w:tcPr>
          <w:p w14:paraId="615BCF43">
            <w:pPr>
              <w:spacing w:line="340" w:lineRule="exact"/>
              <w:rPr>
                <w:rFonts w:ascii="宋体" w:hAnsi="宋体" w:cs="宋体"/>
                <w:color w:val="auto"/>
                <w:sz w:val="24"/>
              </w:rPr>
            </w:pPr>
          </w:p>
        </w:tc>
        <w:tc>
          <w:tcPr>
            <w:tcW w:w="750" w:type="dxa"/>
          </w:tcPr>
          <w:p w14:paraId="148A356E">
            <w:pPr>
              <w:spacing w:line="340" w:lineRule="exact"/>
              <w:rPr>
                <w:rFonts w:ascii="宋体" w:hAnsi="宋体" w:cs="宋体"/>
                <w:color w:val="auto"/>
                <w:sz w:val="24"/>
              </w:rPr>
            </w:pPr>
          </w:p>
        </w:tc>
        <w:tc>
          <w:tcPr>
            <w:tcW w:w="751" w:type="dxa"/>
          </w:tcPr>
          <w:p w14:paraId="0E4CE894">
            <w:pPr>
              <w:spacing w:line="340" w:lineRule="exact"/>
              <w:rPr>
                <w:rFonts w:ascii="宋体" w:hAnsi="宋体" w:cs="宋体"/>
                <w:color w:val="auto"/>
                <w:sz w:val="24"/>
              </w:rPr>
            </w:pPr>
          </w:p>
        </w:tc>
        <w:tc>
          <w:tcPr>
            <w:tcW w:w="719" w:type="dxa"/>
          </w:tcPr>
          <w:p w14:paraId="18C72D46">
            <w:pPr>
              <w:spacing w:line="340" w:lineRule="exact"/>
              <w:rPr>
                <w:rFonts w:ascii="宋体" w:hAnsi="宋体" w:cs="宋体"/>
                <w:color w:val="auto"/>
                <w:sz w:val="24"/>
              </w:rPr>
            </w:pPr>
          </w:p>
        </w:tc>
      </w:tr>
      <w:tr w14:paraId="2736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vAlign w:val="top"/>
          </w:tcPr>
          <w:p w14:paraId="4764FC78">
            <w:pPr>
              <w:spacing w:line="340" w:lineRule="exact"/>
              <w:rPr>
                <w:rFonts w:ascii="宋体" w:hAnsi="宋体" w:cs="宋体"/>
                <w:color w:val="auto"/>
                <w:sz w:val="24"/>
              </w:rPr>
            </w:pPr>
          </w:p>
        </w:tc>
        <w:tc>
          <w:tcPr>
            <w:tcW w:w="4191" w:type="dxa"/>
          </w:tcPr>
          <w:p w14:paraId="17DC8DDB">
            <w:pPr>
              <w:spacing w:line="340" w:lineRule="exact"/>
              <w:rPr>
                <w:rFonts w:ascii="宋体" w:hAnsi="宋体" w:cs="宋体"/>
                <w:color w:val="auto"/>
                <w:sz w:val="24"/>
              </w:rPr>
            </w:pPr>
          </w:p>
        </w:tc>
        <w:tc>
          <w:tcPr>
            <w:tcW w:w="788" w:type="dxa"/>
          </w:tcPr>
          <w:p w14:paraId="14E25620">
            <w:pPr>
              <w:spacing w:line="340" w:lineRule="exact"/>
              <w:rPr>
                <w:rFonts w:ascii="宋体" w:hAnsi="宋体" w:cs="宋体"/>
                <w:color w:val="auto"/>
                <w:sz w:val="24"/>
              </w:rPr>
            </w:pPr>
          </w:p>
        </w:tc>
        <w:tc>
          <w:tcPr>
            <w:tcW w:w="750" w:type="dxa"/>
          </w:tcPr>
          <w:p w14:paraId="6CC4C059">
            <w:pPr>
              <w:spacing w:line="340" w:lineRule="exact"/>
              <w:rPr>
                <w:rFonts w:ascii="宋体" w:hAnsi="宋体" w:cs="宋体"/>
                <w:color w:val="auto"/>
                <w:sz w:val="24"/>
              </w:rPr>
            </w:pPr>
          </w:p>
        </w:tc>
        <w:tc>
          <w:tcPr>
            <w:tcW w:w="750" w:type="dxa"/>
          </w:tcPr>
          <w:p w14:paraId="2A421F9A">
            <w:pPr>
              <w:spacing w:line="340" w:lineRule="exact"/>
              <w:rPr>
                <w:rFonts w:ascii="宋体" w:hAnsi="宋体" w:cs="宋体"/>
                <w:color w:val="auto"/>
                <w:sz w:val="24"/>
              </w:rPr>
            </w:pPr>
          </w:p>
        </w:tc>
        <w:tc>
          <w:tcPr>
            <w:tcW w:w="751" w:type="dxa"/>
          </w:tcPr>
          <w:p w14:paraId="7B36B7C7">
            <w:pPr>
              <w:spacing w:line="340" w:lineRule="exact"/>
              <w:rPr>
                <w:rFonts w:ascii="宋体" w:hAnsi="宋体" w:cs="宋体"/>
                <w:color w:val="auto"/>
                <w:sz w:val="24"/>
              </w:rPr>
            </w:pPr>
          </w:p>
        </w:tc>
        <w:tc>
          <w:tcPr>
            <w:tcW w:w="719" w:type="dxa"/>
          </w:tcPr>
          <w:p w14:paraId="0CFADBD0">
            <w:pPr>
              <w:spacing w:line="340" w:lineRule="exact"/>
              <w:rPr>
                <w:rFonts w:ascii="宋体" w:hAnsi="宋体" w:cs="宋体"/>
                <w:color w:val="auto"/>
                <w:sz w:val="24"/>
              </w:rPr>
            </w:pPr>
          </w:p>
        </w:tc>
      </w:tr>
      <w:tr w14:paraId="4F7E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2BD99FE0">
            <w:pPr>
              <w:spacing w:line="340" w:lineRule="exact"/>
              <w:jc w:val="center"/>
              <w:rPr>
                <w:rFonts w:ascii="宋体" w:hAnsi="宋体" w:cs="宋体"/>
                <w:color w:val="auto"/>
                <w:sz w:val="24"/>
              </w:rPr>
            </w:pPr>
          </w:p>
        </w:tc>
        <w:tc>
          <w:tcPr>
            <w:tcW w:w="4191" w:type="dxa"/>
          </w:tcPr>
          <w:p w14:paraId="57DE796A">
            <w:pPr>
              <w:spacing w:line="340" w:lineRule="exact"/>
              <w:rPr>
                <w:rFonts w:hint="eastAsia" w:ascii="宋体" w:hAnsi="宋体" w:cs="宋体" w:eastAsiaTheme="minorEastAsia"/>
                <w:color w:val="auto"/>
                <w:sz w:val="24"/>
                <w:lang w:eastAsia="zh-CN"/>
              </w:rPr>
            </w:pPr>
            <w:r>
              <w:rPr>
                <w:rFonts w:hint="eastAsia" w:ascii="宋体" w:hAnsi="宋体" w:cs="宋体"/>
                <w:color w:val="auto"/>
                <w:sz w:val="24"/>
                <w:lang w:eastAsia="zh-CN"/>
              </w:rPr>
              <w:t>其他费用</w:t>
            </w:r>
          </w:p>
        </w:tc>
        <w:tc>
          <w:tcPr>
            <w:tcW w:w="788" w:type="dxa"/>
          </w:tcPr>
          <w:p w14:paraId="0598DA8A">
            <w:pPr>
              <w:spacing w:line="340" w:lineRule="exact"/>
              <w:rPr>
                <w:rFonts w:ascii="宋体" w:hAnsi="宋体" w:cs="宋体"/>
                <w:color w:val="auto"/>
                <w:sz w:val="24"/>
              </w:rPr>
            </w:pPr>
          </w:p>
        </w:tc>
        <w:tc>
          <w:tcPr>
            <w:tcW w:w="750" w:type="dxa"/>
          </w:tcPr>
          <w:p w14:paraId="4DFDB714">
            <w:pPr>
              <w:spacing w:line="340" w:lineRule="exact"/>
              <w:rPr>
                <w:rFonts w:ascii="宋体" w:hAnsi="宋体" w:cs="宋体"/>
                <w:color w:val="auto"/>
                <w:sz w:val="24"/>
              </w:rPr>
            </w:pPr>
          </w:p>
        </w:tc>
        <w:tc>
          <w:tcPr>
            <w:tcW w:w="750" w:type="dxa"/>
          </w:tcPr>
          <w:p w14:paraId="585866D3">
            <w:pPr>
              <w:spacing w:line="340" w:lineRule="exact"/>
              <w:rPr>
                <w:rFonts w:ascii="宋体" w:hAnsi="宋体" w:cs="宋体"/>
                <w:color w:val="auto"/>
                <w:sz w:val="24"/>
              </w:rPr>
            </w:pPr>
          </w:p>
        </w:tc>
        <w:tc>
          <w:tcPr>
            <w:tcW w:w="751" w:type="dxa"/>
          </w:tcPr>
          <w:p w14:paraId="327699C2">
            <w:pPr>
              <w:spacing w:line="340" w:lineRule="exact"/>
              <w:rPr>
                <w:rFonts w:ascii="宋体" w:hAnsi="宋体" w:cs="宋体"/>
                <w:color w:val="auto"/>
                <w:sz w:val="24"/>
              </w:rPr>
            </w:pPr>
          </w:p>
        </w:tc>
        <w:tc>
          <w:tcPr>
            <w:tcW w:w="719" w:type="dxa"/>
          </w:tcPr>
          <w:p w14:paraId="6EBF4FFE">
            <w:pPr>
              <w:spacing w:line="340" w:lineRule="exact"/>
              <w:rPr>
                <w:rFonts w:ascii="宋体" w:hAnsi="宋体" w:cs="宋体"/>
                <w:color w:val="auto"/>
                <w:sz w:val="24"/>
              </w:rPr>
            </w:pPr>
          </w:p>
        </w:tc>
      </w:tr>
      <w:tr w14:paraId="5B67C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36A5EEA">
            <w:pPr>
              <w:spacing w:line="340" w:lineRule="exact"/>
              <w:jc w:val="center"/>
              <w:rPr>
                <w:rFonts w:ascii="宋体" w:hAnsi="宋体" w:cs="宋体"/>
                <w:color w:val="auto"/>
                <w:sz w:val="24"/>
              </w:rPr>
            </w:pPr>
          </w:p>
        </w:tc>
        <w:tc>
          <w:tcPr>
            <w:tcW w:w="4191" w:type="dxa"/>
          </w:tcPr>
          <w:p w14:paraId="1505541D">
            <w:pPr>
              <w:spacing w:line="340" w:lineRule="exact"/>
              <w:rPr>
                <w:rFonts w:ascii="宋体" w:hAnsi="宋体" w:cs="宋体"/>
                <w:color w:val="auto"/>
                <w:sz w:val="24"/>
              </w:rPr>
            </w:pPr>
            <w:r>
              <w:rPr>
                <w:rFonts w:hint="eastAsia" w:ascii="宋体" w:hAnsi="宋体" w:cs="宋体"/>
                <w:color w:val="auto"/>
                <w:sz w:val="24"/>
              </w:rPr>
              <w:t>…</w:t>
            </w:r>
          </w:p>
        </w:tc>
        <w:tc>
          <w:tcPr>
            <w:tcW w:w="788" w:type="dxa"/>
          </w:tcPr>
          <w:p w14:paraId="0174FB4C">
            <w:pPr>
              <w:spacing w:line="340" w:lineRule="exact"/>
              <w:rPr>
                <w:rFonts w:ascii="宋体" w:hAnsi="宋体" w:cs="宋体"/>
                <w:color w:val="auto"/>
                <w:sz w:val="24"/>
              </w:rPr>
            </w:pPr>
          </w:p>
        </w:tc>
        <w:tc>
          <w:tcPr>
            <w:tcW w:w="750" w:type="dxa"/>
          </w:tcPr>
          <w:p w14:paraId="76CD6798">
            <w:pPr>
              <w:spacing w:line="340" w:lineRule="exact"/>
              <w:rPr>
                <w:rFonts w:ascii="宋体" w:hAnsi="宋体" w:cs="宋体"/>
                <w:color w:val="auto"/>
                <w:sz w:val="24"/>
              </w:rPr>
            </w:pPr>
          </w:p>
        </w:tc>
        <w:tc>
          <w:tcPr>
            <w:tcW w:w="750" w:type="dxa"/>
          </w:tcPr>
          <w:p w14:paraId="34125DE5">
            <w:pPr>
              <w:spacing w:line="340" w:lineRule="exact"/>
              <w:rPr>
                <w:rFonts w:ascii="宋体" w:hAnsi="宋体" w:cs="宋体"/>
                <w:color w:val="auto"/>
                <w:sz w:val="24"/>
              </w:rPr>
            </w:pPr>
          </w:p>
        </w:tc>
        <w:tc>
          <w:tcPr>
            <w:tcW w:w="751" w:type="dxa"/>
          </w:tcPr>
          <w:p w14:paraId="2F9A7DB2">
            <w:pPr>
              <w:spacing w:line="340" w:lineRule="exact"/>
              <w:rPr>
                <w:rFonts w:ascii="宋体" w:hAnsi="宋体" w:cs="宋体"/>
                <w:color w:val="auto"/>
                <w:sz w:val="24"/>
              </w:rPr>
            </w:pPr>
          </w:p>
        </w:tc>
        <w:tc>
          <w:tcPr>
            <w:tcW w:w="719" w:type="dxa"/>
          </w:tcPr>
          <w:p w14:paraId="3C821E8E">
            <w:pPr>
              <w:spacing w:line="340" w:lineRule="exact"/>
              <w:rPr>
                <w:rFonts w:ascii="宋体" w:hAnsi="宋体" w:cs="宋体"/>
                <w:color w:val="auto"/>
                <w:sz w:val="24"/>
              </w:rPr>
            </w:pPr>
          </w:p>
        </w:tc>
      </w:tr>
      <w:tr w14:paraId="30E16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789" w:type="dxa"/>
            <w:gridSpan w:val="7"/>
          </w:tcPr>
          <w:p w14:paraId="5263B152">
            <w:pPr>
              <w:spacing w:line="340" w:lineRule="exact"/>
              <w:jc w:val="center"/>
              <w:rPr>
                <w:rFonts w:hint="default" w:ascii="宋体" w:hAnsi="宋体" w:eastAsia="宋体" w:cs="宋体"/>
                <w:color w:val="auto"/>
                <w:sz w:val="24"/>
                <w:lang w:val="en-US" w:eastAsia="zh-CN"/>
              </w:rPr>
            </w:pPr>
            <w:r>
              <w:rPr>
                <w:rFonts w:ascii="宋体" w:hAnsi="宋体" w:eastAsia="宋体" w:cs="宋体"/>
                <w:color w:val="auto"/>
                <w:spacing w:val="0"/>
                <w:position w:val="0"/>
                <w:sz w:val="24"/>
                <w:shd w:val="clear" w:fill="auto"/>
              </w:rPr>
              <w:t>总价（人民币大写）：</w:t>
            </w:r>
            <w:r>
              <w:rPr>
                <w:rFonts w:hint="eastAsia" w:ascii="宋体" w:hAnsi="宋体" w:eastAsia="宋体" w:cs="宋体"/>
                <w:color w:val="auto"/>
                <w:spacing w:val="0"/>
                <w:position w:val="0"/>
                <w:sz w:val="24"/>
                <w:shd w:val="clear" w:fill="auto"/>
                <w:lang w:val="en-US" w:eastAsia="zh-CN"/>
              </w:rPr>
              <w:t>¥</w:t>
            </w:r>
            <w:r>
              <w:rPr>
                <w:rFonts w:ascii="Times New Roman" w:hAnsi="Times New Roman" w:eastAsia="Times New Roman" w:cs="Times New Roman"/>
                <w:color w:val="auto"/>
                <w:spacing w:val="0"/>
                <w:position w:val="0"/>
                <w:sz w:val="24"/>
                <w:shd w:val="clear" w:fill="auto"/>
              </w:rPr>
              <w:t xml:space="preserve">     </w:t>
            </w:r>
            <w:r>
              <w:rPr>
                <w:rFonts w:ascii="宋体" w:hAnsi="宋体" w:eastAsia="宋体" w:cs="宋体"/>
                <w:color w:val="auto"/>
                <w:spacing w:val="0"/>
                <w:position w:val="0"/>
                <w:sz w:val="24"/>
                <w:shd w:val="clear" w:fill="auto"/>
              </w:rPr>
              <w:t>元</w:t>
            </w:r>
          </w:p>
        </w:tc>
      </w:tr>
    </w:tbl>
    <w:p w14:paraId="48BF874E">
      <w:pPr>
        <w:spacing w:line="360" w:lineRule="auto"/>
        <w:ind w:firstLine="3840" w:firstLineChars="1600"/>
        <w:rPr>
          <w:rFonts w:hint="eastAsia" w:ascii="宋体" w:hAnsi="宋体" w:cs="宋体"/>
          <w:color w:val="auto"/>
          <w:sz w:val="24"/>
          <w:lang w:eastAsia="zh-CN"/>
        </w:rPr>
      </w:pPr>
    </w:p>
    <w:p w14:paraId="2ACB0EF1">
      <w:pPr>
        <w:spacing w:line="380" w:lineRule="exact"/>
        <w:ind w:firstLine="3840" w:firstLineChars="1600"/>
        <w:rPr>
          <w:rFonts w:ascii="宋体" w:hAnsi="宋体" w:cs="宋体"/>
          <w:color w:val="auto"/>
          <w:sz w:val="24"/>
          <w:highlight w:val="none"/>
        </w:rPr>
      </w:pPr>
      <w:r>
        <w:rPr>
          <w:rFonts w:hint="eastAsia" w:ascii="宋体" w:hAnsi="宋体" w:cs="宋体"/>
          <w:color w:val="auto"/>
          <w:sz w:val="24"/>
          <w:highlight w:val="none"/>
        </w:rPr>
        <w:t>法定代表人</w:t>
      </w:r>
      <w:r>
        <w:rPr>
          <w:rFonts w:hint="eastAsia" w:ascii="宋体" w:hAnsi="宋体" w:cs="宋体"/>
          <w:color w:val="auto"/>
          <w:sz w:val="24"/>
          <w:highlight w:val="none"/>
          <w:lang w:val="en-US" w:eastAsia="zh-CN"/>
        </w:rPr>
        <w:t>或</w:t>
      </w:r>
      <w:r>
        <w:rPr>
          <w:rFonts w:hint="eastAsia" w:ascii="宋体" w:hAnsi="宋体" w:cs="宋体"/>
          <w:color w:val="auto"/>
          <w:sz w:val="24"/>
          <w:highlight w:val="none"/>
        </w:rPr>
        <w:t>委托代理人：</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（签</w:t>
      </w:r>
      <w:r>
        <w:rPr>
          <w:rFonts w:hint="eastAsia" w:ascii="宋体" w:hAnsi="宋体" w:cs="宋体"/>
          <w:color w:val="auto"/>
          <w:sz w:val="24"/>
          <w:highlight w:val="none"/>
          <w:lang w:eastAsia="zh-CN"/>
        </w:rPr>
        <w:t>字</w:t>
      </w:r>
      <w:r>
        <w:rPr>
          <w:rFonts w:hint="eastAsia" w:ascii="宋体" w:hAnsi="宋体" w:cs="宋体"/>
          <w:color w:val="auto"/>
          <w:sz w:val="24"/>
          <w:highlight w:val="none"/>
        </w:rPr>
        <w:t>）</w:t>
      </w:r>
    </w:p>
    <w:p w14:paraId="2F2C8837">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40BE1017">
      <w:pPr>
        <w:spacing w:line="360" w:lineRule="auto"/>
        <w:jc w:val="right"/>
        <w:rPr>
          <w:rFonts w:ascii="宋体" w:hAnsi="宋体" w:cs="宋体"/>
          <w:color w:val="auto"/>
          <w:sz w:val="24"/>
        </w:rPr>
      </w:pPr>
      <w:r>
        <w:rPr>
          <w:rFonts w:hint="eastAsia" w:ascii="宋体" w:hAnsi="宋体" w:cs="宋体"/>
          <w:color w:val="auto"/>
          <w:sz w:val="24"/>
        </w:rPr>
        <w:t xml:space="preserve">  年  月  日</w:t>
      </w:r>
    </w:p>
    <w:p w14:paraId="35771182">
      <w:pPr>
        <w:adjustRightInd w:val="0"/>
        <w:snapToGrid w:val="0"/>
        <w:spacing w:line="360" w:lineRule="auto"/>
        <w:rPr>
          <w:rFonts w:ascii="宋体" w:hAnsi="宋体" w:cs="宋体"/>
          <w:color w:val="auto"/>
          <w:sz w:val="24"/>
        </w:rPr>
      </w:pPr>
      <w:r>
        <w:rPr>
          <w:rFonts w:hint="eastAsia" w:ascii="宋体" w:hAnsi="宋体" w:cs="宋体"/>
          <w:color w:val="auto"/>
          <w:sz w:val="24"/>
        </w:rPr>
        <w:t>备注：</w:t>
      </w:r>
    </w:p>
    <w:p w14:paraId="5064F1A4">
      <w:pPr>
        <w:spacing w:line="360" w:lineRule="auto"/>
        <w:jc w:val="left"/>
        <w:rPr>
          <w:rFonts w:ascii="宋体" w:hAnsi="宋体" w:cs="宋体"/>
          <w:color w:val="auto"/>
          <w:sz w:val="24"/>
        </w:rPr>
      </w:pPr>
      <w:r>
        <w:rPr>
          <w:rFonts w:hint="eastAsia" w:ascii="宋体" w:hAnsi="宋体" w:cs="宋体"/>
          <w:color w:val="auto"/>
          <w:sz w:val="24"/>
        </w:rPr>
        <w:t>表中所列内容为对应本项目需求的全部要求。如有漏项或缺项，投标人承担全部责任。</w:t>
      </w:r>
    </w:p>
    <w:p w14:paraId="6EE12E2E">
      <w:pPr>
        <w:spacing w:line="360" w:lineRule="auto"/>
        <w:jc w:val="center"/>
        <w:rPr>
          <w:rFonts w:ascii="宋体" w:hAnsi="宋体" w:cs="宋体"/>
          <w:b/>
          <w:color w:val="auto"/>
          <w:sz w:val="24"/>
        </w:rPr>
      </w:pPr>
    </w:p>
    <w:p w14:paraId="2142D9BE">
      <w:pPr>
        <w:spacing w:line="360" w:lineRule="auto"/>
        <w:jc w:val="center"/>
        <w:rPr>
          <w:rFonts w:ascii="宋体" w:hAnsi="宋体" w:cs="宋体"/>
          <w:b/>
          <w:color w:val="auto"/>
          <w:sz w:val="24"/>
        </w:rPr>
      </w:pPr>
    </w:p>
    <w:p w14:paraId="6332A70B">
      <w:pPr>
        <w:pStyle w:val="35"/>
        <w:ind w:firstLine="241"/>
        <w:rPr>
          <w:rFonts w:ascii="宋体" w:hAnsi="宋体" w:cs="宋体"/>
          <w:b/>
          <w:color w:val="auto"/>
          <w:sz w:val="24"/>
        </w:rPr>
      </w:pPr>
    </w:p>
    <w:p w14:paraId="0C6AD2F4">
      <w:pPr>
        <w:pStyle w:val="35"/>
        <w:ind w:firstLine="241"/>
        <w:rPr>
          <w:rFonts w:ascii="宋体" w:hAnsi="宋体" w:cs="宋体"/>
          <w:b/>
          <w:color w:val="auto"/>
          <w:sz w:val="24"/>
        </w:rPr>
      </w:pPr>
    </w:p>
    <w:p w14:paraId="56945160">
      <w:pPr>
        <w:rPr>
          <w:rFonts w:hint="eastAsia" w:ascii="宋体" w:hAnsi="宋体" w:cs="宋体"/>
          <w:color w:val="auto"/>
          <w:sz w:val="24"/>
        </w:rPr>
      </w:pPr>
      <w:r>
        <w:rPr>
          <w:rFonts w:hint="eastAsia" w:ascii="宋体" w:hAnsi="宋体" w:cs="宋体"/>
          <w:color w:val="auto"/>
          <w:sz w:val="24"/>
        </w:rPr>
        <w:br w:type="page"/>
      </w:r>
    </w:p>
    <w:p w14:paraId="5744F778">
      <w:pPr>
        <w:spacing w:line="360" w:lineRule="auto"/>
        <w:jc w:val="left"/>
        <w:rPr>
          <w:rFonts w:ascii="宋体" w:hAnsi="宋体" w:cs="宋体"/>
          <w:color w:val="auto"/>
          <w:sz w:val="24"/>
        </w:rPr>
      </w:pPr>
      <w:r>
        <w:rPr>
          <w:rFonts w:hint="eastAsia" w:ascii="宋体" w:hAnsi="宋体" w:cs="宋体"/>
          <w:color w:val="auto"/>
          <w:sz w:val="24"/>
        </w:rPr>
        <w:t>格式</w:t>
      </w:r>
      <w:r>
        <w:rPr>
          <w:rFonts w:hint="eastAsia" w:ascii="宋体" w:hAnsi="宋体" w:cs="宋体"/>
          <w:color w:val="auto"/>
          <w:sz w:val="24"/>
          <w:lang w:val="en-US" w:eastAsia="zh-CN"/>
        </w:rPr>
        <w:t>8</w:t>
      </w:r>
      <w:r>
        <w:rPr>
          <w:rFonts w:hint="eastAsia" w:ascii="宋体" w:hAnsi="宋体" w:cs="宋体"/>
          <w:color w:val="auto"/>
          <w:sz w:val="24"/>
        </w:rPr>
        <w:t xml:space="preserve">                     </w:t>
      </w:r>
      <w:r>
        <w:rPr>
          <w:rFonts w:hint="eastAsia" w:ascii="宋体" w:hAnsi="宋体" w:cs="宋体"/>
          <w:b/>
          <w:color w:val="auto"/>
          <w:sz w:val="24"/>
        </w:rPr>
        <w:t>技术参数响应表</w:t>
      </w:r>
    </w:p>
    <w:p w14:paraId="0E147734">
      <w:pPr>
        <w:rPr>
          <w:rFonts w:ascii="宋体" w:hAnsi="宋体" w:cs="宋体"/>
          <w:color w:val="auto"/>
          <w:sz w:val="24"/>
        </w:rPr>
      </w:pPr>
    </w:p>
    <w:p w14:paraId="2762A6BA">
      <w:pPr>
        <w:rPr>
          <w:rFonts w:ascii="宋体" w:hAnsi="宋体" w:cs="宋体"/>
          <w:color w:val="auto"/>
          <w:sz w:val="24"/>
        </w:rPr>
      </w:pPr>
    </w:p>
    <w:tbl>
      <w:tblPr>
        <w:tblStyle w:val="20"/>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14:paraId="1C96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14:paraId="28FE52AC">
            <w:pPr>
              <w:pStyle w:val="10"/>
              <w:jc w:val="center"/>
              <w:rPr>
                <w:rFonts w:hAnsi="宋体" w:cs="宋体"/>
                <w:bCs/>
                <w:color w:val="auto"/>
                <w:sz w:val="24"/>
                <w:szCs w:val="24"/>
              </w:rPr>
            </w:pPr>
            <w:r>
              <w:rPr>
                <w:rFonts w:hint="eastAsia" w:hAnsi="宋体" w:cs="宋体"/>
                <w:bCs/>
                <w:color w:val="auto"/>
                <w:sz w:val="24"/>
                <w:szCs w:val="24"/>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14:paraId="370C7E18">
            <w:pPr>
              <w:pStyle w:val="10"/>
              <w:jc w:val="center"/>
              <w:rPr>
                <w:rFonts w:hAnsi="宋体" w:cs="宋体"/>
                <w:bCs/>
                <w:color w:val="auto"/>
                <w:sz w:val="24"/>
                <w:szCs w:val="24"/>
              </w:rPr>
            </w:pPr>
            <w:r>
              <w:rPr>
                <w:rFonts w:hint="eastAsia" w:hAnsi="宋体" w:cs="宋体"/>
                <w:bCs/>
                <w:color w:val="auto"/>
                <w:sz w:val="24"/>
                <w:szCs w:val="24"/>
              </w:rPr>
              <w:t>按投标人所投内容填写</w:t>
            </w:r>
          </w:p>
        </w:tc>
      </w:tr>
      <w:tr w14:paraId="5595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14:paraId="2AD7A370">
            <w:pPr>
              <w:pStyle w:val="10"/>
              <w:jc w:val="center"/>
              <w:rPr>
                <w:rFonts w:hAnsi="宋体" w:cs="宋体"/>
                <w:bCs/>
                <w:color w:val="auto"/>
                <w:sz w:val="24"/>
                <w:szCs w:val="24"/>
              </w:rPr>
            </w:pPr>
            <w:r>
              <w:rPr>
                <w:rFonts w:hint="eastAsia" w:hAnsi="宋体" w:cs="宋体"/>
                <w:bCs/>
                <w:color w:val="auto"/>
                <w:sz w:val="24"/>
                <w:szCs w:val="24"/>
              </w:rPr>
              <w:t>序号</w:t>
            </w:r>
          </w:p>
        </w:tc>
        <w:tc>
          <w:tcPr>
            <w:tcW w:w="723" w:type="dxa"/>
            <w:tcBorders>
              <w:top w:val="single" w:color="auto" w:sz="4" w:space="0"/>
              <w:left w:val="nil"/>
              <w:bottom w:val="single" w:color="auto" w:sz="4" w:space="0"/>
              <w:right w:val="single" w:color="auto" w:sz="4" w:space="0"/>
            </w:tcBorders>
            <w:vAlign w:val="center"/>
          </w:tcPr>
          <w:p w14:paraId="44427403">
            <w:pPr>
              <w:pStyle w:val="10"/>
              <w:jc w:val="center"/>
              <w:rPr>
                <w:rFonts w:hAnsi="宋体" w:cs="宋体"/>
                <w:bCs/>
                <w:color w:val="auto"/>
                <w:sz w:val="24"/>
                <w:szCs w:val="24"/>
              </w:rPr>
            </w:pPr>
            <w:r>
              <w:rPr>
                <w:rFonts w:hint="eastAsia" w:hAnsi="宋体" w:cs="宋体"/>
                <w:bCs/>
                <w:color w:val="auto"/>
                <w:sz w:val="24"/>
                <w:szCs w:val="24"/>
              </w:rPr>
              <w:t>品名</w:t>
            </w:r>
          </w:p>
        </w:tc>
        <w:tc>
          <w:tcPr>
            <w:tcW w:w="3490" w:type="dxa"/>
            <w:tcBorders>
              <w:top w:val="single" w:color="auto" w:sz="4" w:space="0"/>
              <w:left w:val="nil"/>
              <w:bottom w:val="single" w:color="auto" w:sz="4" w:space="0"/>
              <w:right w:val="single" w:color="auto" w:sz="4" w:space="0"/>
            </w:tcBorders>
            <w:vAlign w:val="center"/>
          </w:tcPr>
          <w:p w14:paraId="1662277B">
            <w:pPr>
              <w:pStyle w:val="10"/>
              <w:jc w:val="center"/>
              <w:rPr>
                <w:rFonts w:hAnsi="宋体" w:cs="宋体"/>
                <w:bCs/>
                <w:color w:val="auto"/>
                <w:sz w:val="24"/>
                <w:szCs w:val="24"/>
              </w:rPr>
            </w:pPr>
            <w:r>
              <w:rPr>
                <w:rFonts w:hint="eastAsia" w:hAnsi="宋体" w:cs="宋体"/>
                <w:color w:val="auto"/>
                <w:sz w:val="24"/>
                <w:szCs w:val="24"/>
              </w:rPr>
              <w:t>磋商文件要求</w:t>
            </w:r>
          </w:p>
        </w:tc>
        <w:tc>
          <w:tcPr>
            <w:tcW w:w="2810" w:type="dxa"/>
            <w:tcBorders>
              <w:top w:val="single" w:color="auto" w:sz="4" w:space="0"/>
              <w:left w:val="nil"/>
              <w:bottom w:val="single" w:color="auto" w:sz="4" w:space="0"/>
              <w:right w:val="single" w:color="auto" w:sz="4" w:space="0"/>
            </w:tcBorders>
            <w:vAlign w:val="center"/>
          </w:tcPr>
          <w:p w14:paraId="2C71E2EC">
            <w:pPr>
              <w:pStyle w:val="10"/>
              <w:jc w:val="center"/>
              <w:rPr>
                <w:rFonts w:hAnsi="宋体" w:cs="宋体"/>
                <w:bCs/>
                <w:color w:val="auto"/>
                <w:sz w:val="24"/>
                <w:szCs w:val="24"/>
              </w:rPr>
            </w:pPr>
            <w:r>
              <w:rPr>
                <w:rFonts w:hint="eastAsia" w:hAnsi="宋体" w:cs="宋体"/>
                <w:color w:val="auto"/>
                <w:sz w:val="24"/>
                <w:szCs w:val="24"/>
              </w:rPr>
              <w:t>响应</w:t>
            </w:r>
          </w:p>
        </w:tc>
        <w:tc>
          <w:tcPr>
            <w:tcW w:w="1336" w:type="dxa"/>
            <w:tcBorders>
              <w:top w:val="single" w:color="auto" w:sz="4" w:space="0"/>
              <w:left w:val="nil"/>
              <w:bottom w:val="single" w:color="auto" w:sz="4" w:space="0"/>
              <w:right w:val="single" w:color="auto" w:sz="4" w:space="0"/>
            </w:tcBorders>
            <w:vAlign w:val="center"/>
          </w:tcPr>
          <w:p w14:paraId="7D839ACD">
            <w:pPr>
              <w:pStyle w:val="10"/>
              <w:jc w:val="center"/>
              <w:rPr>
                <w:rFonts w:hAnsi="宋体" w:cs="宋体"/>
                <w:bCs/>
                <w:color w:val="auto"/>
                <w:sz w:val="24"/>
                <w:szCs w:val="24"/>
              </w:rPr>
            </w:pPr>
            <w:r>
              <w:rPr>
                <w:rFonts w:hint="eastAsia" w:hAnsi="宋体" w:cs="宋体"/>
                <w:bCs/>
                <w:color w:val="auto"/>
                <w:sz w:val="24"/>
                <w:szCs w:val="24"/>
              </w:rPr>
              <w:t>偏离说明</w:t>
            </w:r>
          </w:p>
        </w:tc>
      </w:tr>
      <w:tr w14:paraId="01D73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46E71F5E">
            <w:pPr>
              <w:jc w:val="center"/>
              <w:rPr>
                <w:rFonts w:ascii="宋体" w:hAnsi="宋体" w:cs="宋体"/>
                <w:color w:val="auto"/>
                <w:sz w:val="24"/>
              </w:rPr>
            </w:pPr>
            <w:r>
              <w:rPr>
                <w:rFonts w:hint="eastAsia" w:ascii="宋体" w:hAnsi="宋体" w:cs="宋体"/>
                <w:color w:val="auto"/>
                <w:sz w:val="24"/>
              </w:rPr>
              <w:t>1</w:t>
            </w:r>
          </w:p>
        </w:tc>
        <w:tc>
          <w:tcPr>
            <w:tcW w:w="723" w:type="dxa"/>
            <w:tcBorders>
              <w:top w:val="single" w:color="auto" w:sz="4" w:space="0"/>
              <w:left w:val="nil"/>
              <w:bottom w:val="single" w:color="auto" w:sz="4" w:space="0"/>
              <w:right w:val="single" w:color="auto" w:sz="4" w:space="0"/>
            </w:tcBorders>
            <w:vAlign w:val="center"/>
          </w:tcPr>
          <w:p w14:paraId="34A05C59">
            <w:pPr>
              <w:widowControl/>
              <w:jc w:val="left"/>
              <w:rPr>
                <w:rFonts w:ascii="宋体" w:hAnsi="宋体" w:cs="宋体"/>
                <w:color w:val="auto"/>
                <w:kern w:val="0"/>
                <w:sz w:val="24"/>
              </w:rPr>
            </w:pPr>
          </w:p>
        </w:tc>
        <w:tc>
          <w:tcPr>
            <w:tcW w:w="3490" w:type="dxa"/>
            <w:tcBorders>
              <w:top w:val="single" w:color="auto" w:sz="4" w:space="0"/>
              <w:left w:val="nil"/>
              <w:bottom w:val="single" w:color="auto" w:sz="4" w:space="0"/>
              <w:right w:val="single" w:color="auto" w:sz="4" w:space="0"/>
            </w:tcBorders>
          </w:tcPr>
          <w:p w14:paraId="090EA7C4">
            <w:pPr>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tcPr>
          <w:p w14:paraId="1C061843">
            <w:pPr>
              <w:widowControl/>
              <w:rPr>
                <w:rFonts w:ascii="宋体" w:hAnsi="宋体" w:cs="宋体"/>
                <w:color w:val="auto"/>
                <w:kern w:val="0"/>
                <w:sz w:val="24"/>
              </w:rPr>
            </w:pPr>
          </w:p>
        </w:tc>
        <w:tc>
          <w:tcPr>
            <w:tcW w:w="1336" w:type="dxa"/>
            <w:tcBorders>
              <w:top w:val="single" w:color="auto" w:sz="4" w:space="0"/>
              <w:left w:val="nil"/>
              <w:bottom w:val="single" w:color="auto" w:sz="4" w:space="0"/>
              <w:right w:val="single" w:color="auto" w:sz="4" w:space="0"/>
            </w:tcBorders>
            <w:vAlign w:val="center"/>
          </w:tcPr>
          <w:p w14:paraId="7C85E4C1">
            <w:pPr>
              <w:jc w:val="center"/>
              <w:rPr>
                <w:rFonts w:ascii="宋体" w:hAnsi="宋体" w:cs="宋体"/>
                <w:color w:val="auto"/>
                <w:sz w:val="24"/>
              </w:rPr>
            </w:pPr>
          </w:p>
        </w:tc>
      </w:tr>
      <w:tr w14:paraId="6069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3C315579">
            <w:pPr>
              <w:jc w:val="center"/>
              <w:rPr>
                <w:rFonts w:ascii="宋体" w:hAnsi="宋体" w:cs="宋体"/>
                <w:color w:val="auto"/>
                <w:sz w:val="24"/>
              </w:rPr>
            </w:pPr>
            <w:r>
              <w:rPr>
                <w:rFonts w:hint="eastAsia" w:ascii="宋体" w:hAnsi="宋体" w:cs="宋体"/>
                <w:color w:val="auto"/>
                <w:sz w:val="24"/>
              </w:rPr>
              <w:t>2</w:t>
            </w:r>
          </w:p>
        </w:tc>
        <w:tc>
          <w:tcPr>
            <w:tcW w:w="723" w:type="dxa"/>
            <w:tcBorders>
              <w:top w:val="single" w:color="auto" w:sz="4" w:space="0"/>
              <w:left w:val="nil"/>
              <w:bottom w:val="single" w:color="auto" w:sz="4" w:space="0"/>
              <w:right w:val="single" w:color="auto" w:sz="4" w:space="0"/>
            </w:tcBorders>
            <w:vAlign w:val="center"/>
          </w:tcPr>
          <w:p w14:paraId="6452F8A4">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3A125D64">
            <w:pPr>
              <w:ind w:left="240" w:hanging="240" w:hangingChars="100"/>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1B0E0068">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4AEA7FC0">
            <w:pPr>
              <w:jc w:val="center"/>
              <w:rPr>
                <w:rFonts w:ascii="宋体" w:hAnsi="宋体" w:cs="宋体"/>
                <w:color w:val="auto"/>
                <w:sz w:val="24"/>
              </w:rPr>
            </w:pPr>
          </w:p>
        </w:tc>
      </w:tr>
      <w:tr w14:paraId="415DA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6D9CB25">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34882C40">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4F6986B6">
            <w:pPr>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51E0F17B">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0C4FF1D9">
            <w:pPr>
              <w:jc w:val="center"/>
              <w:rPr>
                <w:rFonts w:ascii="宋体" w:hAnsi="宋体" w:cs="宋体"/>
                <w:color w:val="auto"/>
                <w:sz w:val="24"/>
              </w:rPr>
            </w:pPr>
          </w:p>
        </w:tc>
      </w:tr>
      <w:tr w14:paraId="1D1D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DAF4599">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2C66732B">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415866B2">
            <w:pPr>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4B872C64">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19DE450E">
            <w:pPr>
              <w:jc w:val="center"/>
              <w:rPr>
                <w:rFonts w:ascii="宋体" w:hAnsi="宋体" w:cs="宋体"/>
                <w:color w:val="auto"/>
                <w:sz w:val="24"/>
              </w:rPr>
            </w:pPr>
          </w:p>
        </w:tc>
      </w:tr>
      <w:tr w14:paraId="3880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08305F76">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34996757">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11437AF5">
            <w:pPr>
              <w:ind w:left="240" w:hanging="240" w:hangingChars="100"/>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0095B078">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12C01CC7">
            <w:pPr>
              <w:jc w:val="center"/>
              <w:rPr>
                <w:rFonts w:ascii="宋体" w:hAnsi="宋体" w:cs="宋体"/>
                <w:color w:val="auto"/>
                <w:sz w:val="24"/>
              </w:rPr>
            </w:pPr>
          </w:p>
        </w:tc>
      </w:tr>
      <w:tr w14:paraId="75AA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77623E3F">
            <w:pPr>
              <w:jc w:val="center"/>
              <w:rPr>
                <w:rFonts w:ascii="宋体" w:hAnsi="宋体" w:cs="宋体"/>
                <w:color w:val="auto"/>
                <w:sz w:val="24"/>
              </w:rPr>
            </w:pPr>
            <w:r>
              <w:rPr>
                <w:rFonts w:hint="eastAsia" w:ascii="宋体" w:hAnsi="宋体" w:cs="宋体"/>
                <w:color w:val="auto"/>
                <w:sz w:val="24"/>
              </w:rPr>
              <w:t>....</w:t>
            </w:r>
          </w:p>
        </w:tc>
        <w:tc>
          <w:tcPr>
            <w:tcW w:w="723" w:type="dxa"/>
            <w:tcBorders>
              <w:top w:val="single" w:color="auto" w:sz="4" w:space="0"/>
              <w:left w:val="nil"/>
              <w:bottom w:val="single" w:color="auto" w:sz="4" w:space="0"/>
              <w:right w:val="single" w:color="auto" w:sz="4" w:space="0"/>
            </w:tcBorders>
            <w:vAlign w:val="center"/>
          </w:tcPr>
          <w:p w14:paraId="75CB7D87">
            <w:pPr>
              <w:jc w:val="center"/>
              <w:rPr>
                <w:rFonts w:ascii="宋体" w:hAnsi="宋体" w:cs="宋体"/>
                <w:color w:val="auto"/>
                <w:sz w:val="24"/>
              </w:rPr>
            </w:pPr>
            <w:r>
              <w:rPr>
                <w:rFonts w:hint="eastAsia" w:ascii="宋体" w:hAnsi="宋体" w:cs="宋体"/>
                <w:color w:val="auto"/>
                <w:sz w:val="24"/>
              </w:rPr>
              <w:t>....</w:t>
            </w:r>
          </w:p>
        </w:tc>
        <w:tc>
          <w:tcPr>
            <w:tcW w:w="3490" w:type="dxa"/>
            <w:tcBorders>
              <w:top w:val="single" w:color="auto" w:sz="4" w:space="0"/>
              <w:left w:val="nil"/>
              <w:bottom w:val="single" w:color="auto" w:sz="4" w:space="0"/>
              <w:right w:val="single" w:color="auto" w:sz="4" w:space="0"/>
            </w:tcBorders>
            <w:vAlign w:val="center"/>
          </w:tcPr>
          <w:p w14:paraId="18ED5F1D">
            <w:pPr>
              <w:ind w:left="240" w:hanging="240" w:hangingChars="100"/>
              <w:jc w:val="left"/>
              <w:rPr>
                <w:rFonts w:ascii="宋体" w:hAnsi="宋体" w:cs="宋体"/>
                <w:color w:val="auto"/>
                <w:sz w:val="24"/>
              </w:rPr>
            </w:pPr>
            <w:r>
              <w:rPr>
                <w:rFonts w:hint="eastAsia" w:ascii="宋体" w:hAnsi="宋体" w:cs="宋体"/>
                <w:color w:val="auto"/>
                <w:sz w:val="24"/>
              </w:rPr>
              <w:t>.....</w:t>
            </w:r>
          </w:p>
        </w:tc>
        <w:tc>
          <w:tcPr>
            <w:tcW w:w="2810" w:type="dxa"/>
            <w:tcBorders>
              <w:top w:val="single" w:color="auto" w:sz="4" w:space="0"/>
              <w:left w:val="nil"/>
              <w:bottom w:val="single" w:color="auto" w:sz="4" w:space="0"/>
              <w:right w:val="single" w:color="auto" w:sz="4" w:space="0"/>
            </w:tcBorders>
            <w:vAlign w:val="center"/>
          </w:tcPr>
          <w:p w14:paraId="07AC84DA">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0FCE74EB">
            <w:pPr>
              <w:jc w:val="center"/>
              <w:rPr>
                <w:rFonts w:ascii="宋体" w:hAnsi="宋体" w:cs="宋体"/>
                <w:color w:val="auto"/>
                <w:sz w:val="24"/>
              </w:rPr>
            </w:pPr>
          </w:p>
        </w:tc>
      </w:tr>
    </w:tbl>
    <w:p w14:paraId="5AAAF2BC">
      <w:pPr>
        <w:rPr>
          <w:rFonts w:ascii="宋体" w:hAnsi="宋体" w:cs="宋体"/>
          <w:color w:val="auto"/>
          <w:sz w:val="24"/>
        </w:rPr>
      </w:pPr>
    </w:p>
    <w:p w14:paraId="3E581795">
      <w:pPr>
        <w:rPr>
          <w:rFonts w:ascii="宋体" w:hAnsi="宋体" w:cs="宋体"/>
          <w:color w:val="auto"/>
          <w:sz w:val="24"/>
        </w:rPr>
      </w:pPr>
      <w:r>
        <w:rPr>
          <w:rFonts w:hint="eastAsia" w:ascii="宋体" w:hAnsi="宋体" w:cs="宋体"/>
          <w:color w:val="auto"/>
          <w:sz w:val="24"/>
        </w:rPr>
        <w:t>(可根据需求自行更改)</w:t>
      </w:r>
    </w:p>
    <w:p w14:paraId="7E4EC7EA">
      <w:pPr>
        <w:rPr>
          <w:rFonts w:ascii="宋体" w:hAnsi="宋体" w:cs="宋体"/>
          <w:color w:val="auto"/>
          <w:sz w:val="24"/>
        </w:rPr>
      </w:pPr>
    </w:p>
    <w:p w14:paraId="64D10D51">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1C827432">
      <w:pPr>
        <w:spacing w:line="360" w:lineRule="auto"/>
        <w:jc w:val="right"/>
        <w:rPr>
          <w:rFonts w:ascii="宋体" w:hAnsi="宋体" w:cs="宋体"/>
          <w:color w:val="auto"/>
          <w:sz w:val="24"/>
        </w:rPr>
      </w:pPr>
      <w:r>
        <w:rPr>
          <w:rFonts w:hint="eastAsia" w:ascii="宋体" w:hAnsi="宋体" w:cs="宋体"/>
          <w:color w:val="auto"/>
          <w:sz w:val="24"/>
        </w:rPr>
        <w:t xml:space="preserve">  年  月  日</w:t>
      </w:r>
    </w:p>
    <w:p w14:paraId="1621F0AB">
      <w:pPr>
        <w:spacing w:line="360" w:lineRule="auto"/>
        <w:rPr>
          <w:rFonts w:ascii="宋体" w:hAnsi="宋体" w:cs="宋体"/>
          <w:b/>
          <w:color w:val="auto"/>
          <w:sz w:val="24"/>
        </w:rPr>
      </w:pPr>
    </w:p>
    <w:p w14:paraId="2F83EA77">
      <w:pPr>
        <w:spacing w:line="360" w:lineRule="auto"/>
        <w:rPr>
          <w:rFonts w:ascii="宋体" w:hAnsi="宋体" w:cs="宋体"/>
          <w:b/>
          <w:color w:val="auto"/>
          <w:sz w:val="24"/>
        </w:rPr>
      </w:pPr>
    </w:p>
    <w:p w14:paraId="7B9C6A8D">
      <w:pPr>
        <w:spacing w:line="360" w:lineRule="auto"/>
        <w:rPr>
          <w:rFonts w:ascii="宋体" w:hAnsi="宋体" w:cs="宋体"/>
          <w:b/>
          <w:color w:val="auto"/>
          <w:sz w:val="24"/>
        </w:rPr>
      </w:pPr>
    </w:p>
    <w:p w14:paraId="40874C61">
      <w:pPr>
        <w:spacing w:line="360" w:lineRule="auto"/>
        <w:rPr>
          <w:rFonts w:ascii="宋体" w:hAnsi="宋体" w:cs="宋体"/>
          <w:b/>
          <w:color w:val="auto"/>
          <w:sz w:val="24"/>
        </w:rPr>
      </w:pPr>
    </w:p>
    <w:p w14:paraId="68529745">
      <w:pPr>
        <w:spacing w:line="360" w:lineRule="auto"/>
        <w:jc w:val="left"/>
        <w:rPr>
          <w:rFonts w:hint="eastAsia" w:ascii="宋体" w:hAnsi="宋体" w:cs="宋体" w:eastAsiaTheme="minorEastAsia"/>
          <w:color w:val="auto"/>
          <w:sz w:val="24"/>
          <w:lang w:eastAsia="zh-CN"/>
        </w:rPr>
      </w:pPr>
      <w:r>
        <w:rPr>
          <w:rFonts w:hint="eastAsia" w:ascii="宋体" w:hAnsi="宋体" w:cs="宋体"/>
          <w:color w:val="auto"/>
          <w:sz w:val="24"/>
        </w:rPr>
        <w:br w:type="page"/>
      </w:r>
      <w:r>
        <w:rPr>
          <w:rFonts w:hint="eastAsia" w:ascii="宋体" w:hAnsi="宋体" w:cs="宋体"/>
          <w:color w:val="auto"/>
          <w:sz w:val="24"/>
        </w:rPr>
        <w:t>格式</w:t>
      </w:r>
      <w:r>
        <w:rPr>
          <w:rFonts w:hint="eastAsia" w:ascii="宋体" w:hAnsi="宋体" w:cs="宋体"/>
          <w:color w:val="auto"/>
          <w:sz w:val="24"/>
          <w:lang w:val="en-US" w:eastAsia="zh-CN"/>
        </w:rPr>
        <w:t>9</w:t>
      </w:r>
    </w:p>
    <w:p w14:paraId="570C0F81">
      <w:pPr>
        <w:pStyle w:val="19"/>
        <w:ind w:firstLine="480"/>
        <w:rPr>
          <w:rFonts w:ascii="宋体" w:hAnsi="宋体" w:eastAsia="宋体" w:cs="宋体"/>
          <w:color w:val="auto"/>
          <w:sz w:val="24"/>
        </w:rPr>
      </w:pPr>
    </w:p>
    <w:p w14:paraId="1F478F27">
      <w:pPr>
        <w:tabs>
          <w:tab w:val="center" w:pos="4425"/>
          <w:tab w:val="left" w:pos="6913"/>
        </w:tabs>
        <w:spacing w:line="380" w:lineRule="exact"/>
        <w:ind w:left="0" w:leftChars="0" w:right="0" w:rightChars="0" w:firstLine="0" w:firstLineChars="0"/>
        <w:jc w:val="center"/>
        <w:rPr>
          <w:rFonts w:hint="eastAsia" w:ascii="宋体" w:hAnsi="宋体" w:eastAsia="宋体" w:cs="宋体"/>
          <w:color w:val="auto"/>
          <w:sz w:val="24"/>
          <w:lang w:eastAsia="zh-CN"/>
        </w:rPr>
      </w:pPr>
      <w:r>
        <w:rPr>
          <w:rFonts w:hint="eastAsia" w:ascii="宋体" w:hAnsi="宋体" w:cs="宋体"/>
          <w:b/>
          <w:bCs/>
          <w:color w:val="auto"/>
          <w:sz w:val="24"/>
          <w:lang w:eastAsia="zh-CN"/>
        </w:rPr>
        <w:t>售后服务</w:t>
      </w:r>
      <w:r>
        <w:rPr>
          <w:rFonts w:hint="eastAsia" w:ascii="宋体" w:hAnsi="宋体" w:cs="宋体"/>
          <w:b/>
          <w:bCs/>
          <w:color w:val="auto"/>
          <w:sz w:val="24"/>
        </w:rPr>
        <w:t>承诺</w:t>
      </w:r>
    </w:p>
    <w:p w14:paraId="5B74ED10">
      <w:pPr>
        <w:spacing w:line="380" w:lineRule="exact"/>
        <w:jc w:val="center"/>
        <w:rPr>
          <w:rFonts w:ascii="宋体" w:hAnsi="宋体" w:cs="宋体"/>
          <w:color w:val="auto"/>
          <w:sz w:val="24"/>
        </w:rPr>
      </w:pPr>
    </w:p>
    <w:p w14:paraId="1BA53B82">
      <w:pPr>
        <w:tabs>
          <w:tab w:val="center" w:pos="4425"/>
          <w:tab w:val="left" w:pos="6913"/>
        </w:tabs>
        <w:spacing w:line="380" w:lineRule="exact"/>
        <w:jc w:val="left"/>
        <w:rPr>
          <w:rFonts w:hint="eastAsia" w:ascii="宋体" w:hAnsi="宋体" w:eastAsia="宋体" w:cs="宋体"/>
          <w:b w:val="0"/>
          <w:bCs w:val="0"/>
          <w:color w:val="auto"/>
          <w:sz w:val="24"/>
          <w:lang w:eastAsia="zh-CN"/>
        </w:rPr>
      </w:pPr>
    </w:p>
    <w:p w14:paraId="57398B41">
      <w:pPr>
        <w:spacing w:line="380" w:lineRule="exact"/>
        <w:jc w:val="center"/>
        <w:rPr>
          <w:rFonts w:ascii="宋体" w:hAnsi="宋体" w:cs="宋体"/>
          <w:color w:val="auto"/>
          <w:sz w:val="24"/>
        </w:rPr>
      </w:pPr>
    </w:p>
    <w:p w14:paraId="4A491946">
      <w:pPr>
        <w:spacing w:line="380" w:lineRule="exact"/>
        <w:ind w:firstLine="360" w:firstLineChars="150"/>
        <w:rPr>
          <w:rFonts w:ascii="宋体" w:hAnsi="宋体" w:cs="宋体"/>
          <w:color w:val="auto"/>
          <w:sz w:val="24"/>
        </w:rPr>
      </w:pPr>
    </w:p>
    <w:p w14:paraId="56196828">
      <w:pPr>
        <w:pStyle w:val="39"/>
        <w:rPr>
          <w:rFonts w:ascii="宋体" w:hAnsi="宋体" w:cs="宋体"/>
          <w:color w:val="auto"/>
          <w:sz w:val="24"/>
          <w:szCs w:val="24"/>
        </w:rPr>
      </w:pPr>
    </w:p>
    <w:p w14:paraId="7C00CB4D">
      <w:pPr>
        <w:pStyle w:val="39"/>
        <w:rPr>
          <w:rFonts w:ascii="宋体" w:hAnsi="宋体" w:cs="宋体"/>
          <w:color w:val="auto"/>
          <w:sz w:val="24"/>
          <w:szCs w:val="24"/>
        </w:rPr>
      </w:pPr>
    </w:p>
    <w:p w14:paraId="5BE62D72">
      <w:pPr>
        <w:pStyle w:val="39"/>
        <w:rPr>
          <w:rFonts w:ascii="宋体" w:hAnsi="宋体" w:cs="宋体"/>
          <w:color w:val="auto"/>
          <w:sz w:val="24"/>
          <w:szCs w:val="24"/>
        </w:rPr>
      </w:pPr>
    </w:p>
    <w:p w14:paraId="1B6B418D">
      <w:pPr>
        <w:pStyle w:val="39"/>
        <w:rPr>
          <w:rFonts w:ascii="宋体" w:hAnsi="宋体" w:cs="宋体"/>
          <w:color w:val="auto"/>
          <w:sz w:val="24"/>
          <w:szCs w:val="24"/>
        </w:rPr>
      </w:pPr>
    </w:p>
    <w:p w14:paraId="7424A1F1">
      <w:pPr>
        <w:pStyle w:val="39"/>
        <w:rPr>
          <w:rFonts w:ascii="宋体" w:hAnsi="宋体" w:cs="宋体"/>
          <w:color w:val="auto"/>
          <w:sz w:val="24"/>
          <w:szCs w:val="24"/>
        </w:rPr>
      </w:pPr>
    </w:p>
    <w:p w14:paraId="2A78F810">
      <w:pPr>
        <w:pStyle w:val="39"/>
        <w:rPr>
          <w:rFonts w:ascii="宋体" w:hAnsi="宋体" w:cs="宋体"/>
          <w:color w:val="auto"/>
          <w:sz w:val="24"/>
          <w:szCs w:val="24"/>
        </w:rPr>
      </w:pPr>
    </w:p>
    <w:p w14:paraId="7DC4B6BF">
      <w:pPr>
        <w:spacing w:line="380" w:lineRule="exact"/>
        <w:rPr>
          <w:rFonts w:ascii="宋体" w:hAnsi="宋体" w:cs="宋体"/>
          <w:color w:val="auto"/>
          <w:sz w:val="24"/>
        </w:rPr>
      </w:pPr>
    </w:p>
    <w:p w14:paraId="2169C2C4">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446B4895">
      <w:pPr>
        <w:spacing w:line="380" w:lineRule="exact"/>
        <w:ind w:right="640" w:firstLine="1560" w:firstLineChars="650"/>
        <w:rPr>
          <w:rFonts w:ascii="宋体" w:hAnsi="宋体" w:cs="宋体"/>
          <w:color w:val="auto"/>
          <w:sz w:val="24"/>
        </w:rPr>
      </w:pPr>
    </w:p>
    <w:p w14:paraId="568CD929">
      <w:pPr>
        <w:spacing w:line="380" w:lineRule="exact"/>
        <w:ind w:right="640" w:firstLine="4680" w:firstLineChars="1950"/>
        <w:rPr>
          <w:rFonts w:ascii="宋体" w:hAnsi="宋体" w:cs="宋体"/>
          <w:color w:val="auto"/>
          <w:sz w:val="24"/>
        </w:rPr>
      </w:pPr>
    </w:p>
    <w:p w14:paraId="3B930B2C">
      <w:pPr>
        <w:spacing w:line="380" w:lineRule="exact"/>
        <w:jc w:val="center"/>
        <w:rPr>
          <w:rFonts w:ascii="宋体" w:hAnsi="宋体" w:cs="宋体"/>
          <w:color w:val="auto"/>
          <w:sz w:val="24"/>
        </w:rPr>
      </w:pPr>
    </w:p>
    <w:p w14:paraId="5D52FA6E">
      <w:pPr>
        <w:spacing w:line="380" w:lineRule="exact"/>
        <w:ind w:firstLine="3600" w:firstLineChars="1500"/>
        <w:rPr>
          <w:rFonts w:ascii="宋体" w:hAnsi="宋体" w:cs="宋体"/>
          <w:color w:val="auto"/>
          <w:sz w:val="24"/>
        </w:rPr>
      </w:pPr>
      <w:r>
        <w:rPr>
          <w:rFonts w:hint="eastAsia" w:ascii="宋体" w:hAnsi="宋体" w:cs="宋体"/>
          <w:color w:val="auto"/>
          <w:sz w:val="24"/>
        </w:rPr>
        <w:t xml:space="preserve">      年   月    日</w:t>
      </w:r>
    </w:p>
    <w:p w14:paraId="12E81703">
      <w:pPr>
        <w:spacing w:line="360" w:lineRule="auto"/>
        <w:jc w:val="center"/>
        <w:rPr>
          <w:rFonts w:ascii="宋体" w:hAnsi="宋体" w:cs="宋体"/>
          <w:b/>
          <w:bCs/>
          <w:color w:val="auto"/>
          <w:sz w:val="24"/>
        </w:rPr>
      </w:pPr>
      <w:r>
        <w:rPr>
          <w:rFonts w:hint="eastAsia" w:ascii="宋体" w:hAnsi="宋体" w:cs="宋体"/>
          <w:b/>
          <w:bCs/>
          <w:color w:val="auto"/>
          <w:sz w:val="24"/>
        </w:rPr>
        <w:br w:type="page"/>
      </w:r>
    </w:p>
    <w:p w14:paraId="3BC48FEF">
      <w:pPr>
        <w:spacing w:line="380" w:lineRule="exact"/>
        <w:jc w:val="both"/>
        <w:rPr>
          <w:rFonts w:hint="eastAsia" w:ascii="宋体" w:hAnsi="宋体" w:cs="宋体"/>
          <w:color w:val="auto"/>
          <w:sz w:val="24"/>
          <w:lang w:val="en-US" w:eastAsia="zh-CN"/>
        </w:rPr>
      </w:pPr>
      <w:r>
        <w:rPr>
          <w:rFonts w:hint="eastAsia" w:ascii="宋体" w:hAnsi="宋体" w:cs="宋体"/>
          <w:color w:val="auto"/>
          <w:sz w:val="24"/>
        </w:rPr>
        <w:t>格式</w:t>
      </w:r>
      <w:r>
        <w:rPr>
          <w:rFonts w:hint="eastAsia" w:ascii="宋体" w:hAnsi="宋体" w:cs="宋体"/>
          <w:color w:val="auto"/>
          <w:sz w:val="24"/>
          <w:lang w:val="en-US" w:eastAsia="zh-CN"/>
        </w:rPr>
        <w:t xml:space="preserve">10                 </w:t>
      </w:r>
    </w:p>
    <w:p w14:paraId="62BA77BE">
      <w:pPr>
        <w:spacing w:line="380" w:lineRule="exact"/>
        <w:ind w:firstLine="241" w:firstLineChars="100"/>
        <w:jc w:val="center"/>
        <w:rPr>
          <w:rFonts w:ascii="宋体" w:hAnsi="宋体" w:cs="宋体"/>
          <w:b/>
          <w:bCs/>
          <w:color w:val="auto"/>
          <w:sz w:val="24"/>
        </w:rPr>
      </w:pPr>
      <w:r>
        <w:rPr>
          <w:rFonts w:hint="eastAsia" w:ascii="宋体" w:hAnsi="宋体" w:cs="宋体"/>
          <w:b/>
          <w:bCs/>
          <w:color w:val="auto"/>
          <w:sz w:val="24"/>
        </w:rPr>
        <w:t>合格供应商的声明函和承诺书</w:t>
      </w:r>
    </w:p>
    <w:p w14:paraId="13D44BC7">
      <w:pPr>
        <w:spacing w:line="360" w:lineRule="auto"/>
        <w:rPr>
          <w:rFonts w:ascii="宋体" w:hAnsi="宋体" w:cs="宋体"/>
          <w:color w:val="auto"/>
          <w:sz w:val="24"/>
        </w:rPr>
      </w:pPr>
    </w:p>
    <w:p w14:paraId="6CFBBEBD">
      <w:pPr>
        <w:spacing w:line="360" w:lineRule="auto"/>
        <w:jc w:val="center"/>
        <w:rPr>
          <w:rFonts w:ascii="宋体" w:hAnsi="宋体" w:cs="宋体"/>
          <w:b/>
          <w:bCs/>
          <w:color w:val="auto"/>
          <w:sz w:val="24"/>
        </w:rPr>
      </w:pPr>
    </w:p>
    <w:p w14:paraId="6F1FD63F">
      <w:pPr>
        <w:pStyle w:val="39"/>
        <w:rPr>
          <w:color w:val="auto"/>
        </w:rPr>
      </w:pPr>
    </w:p>
    <w:p w14:paraId="101FFC2B">
      <w:pPr>
        <w:spacing w:line="360" w:lineRule="auto"/>
        <w:jc w:val="center"/>
        <w:rPr>
          <w:rFonts w:ascii="宋体" w:hAnsi="宋体" w:cs="宋体"/>
          <w:b/>
          <w:color w:val="auto"/>
          <w:sz w:val="24"/>
        </w:rPr>
      </w:pPr>
    </w:p>
    <w:p w14:paraId="79586034">
      <w:pPr>
        <w:spacing w:line="360" w:lineRule="auto"/>
        <w:jc w:val="center"/>
        <w:rPr>
          <w:rFonts w:ascii="宋体" w:hAnsi="宋体" w:cs="宋体"/>
          <w:b/>
          <w:color w:val="auto"/>
          <w:sz w:val="24"/>
        </w:rPr>
      </w:pPr>
    </w:p>
    <w:p w14:paraId="78371BD9">
      <w:pPr>
        <w:spacing w:line="360" w:lineRule="auto"/>
        <w:jc w:val="center"/>
        <w:rPr>
          <w:rFonts w:ascii="宋体" w:hAnsi="宋体" w:cs="宋体"/>
          <w:b/>
          <w:color w:val="auto"/>
          <w:sz w:val="24"/>
        </w:rPr>
      </w:pPr>
    </w:p>
    <w:p w14:paraId="7C0DD20F">
      <w:pPr>
        <w:spacing w:line="360" w:lineRule="auto"/>
        <w:jc w:val="center"/>
        <w:rPr>
          <w:rFonts w:ascii="宋体" w:hAnsi="宋体" w:cs="宋体"/>
          <w:b/>
          <w:color w:val="auto"/>
          <w:sz w:val="24"/>
        </w:rPr>
      </w:pPr>
    </w:p>
    <w:p w14:paraId="3E868795">
      <w:pPr>
        <w:spacing w:line="360" w:lineRule="auto"/>
        <w:jc w:val="center"/>
        <w:rPr>
          <w:rFonts w:ascii="宋体" w:hAnsi="宋体" w:cs="宋体"/>
          <w:b/>
          <w:color w:val="auto"/>
          <w:sz w:val="24"/>
        </w:rPr>
      </w:pPr>
    </w:p>
    <w:p w14:paraId="59BF9CDC">
      <w:pPr>
        <w:spacing w:line="360" w:lineRule="auto"/>
        <w:jc w:val="center"/>
        <w:rPr>
          <w:rFonts w:ascii="宋体" w:hAnsi="宋体" w:cs="宋体"/>
          <w:b/>
          <w:color w:val="auto"/>
          <w:sz w:val="24"/>
        </w:rPr>
      </w:pPr>
    </w:p>
    <w:p w14:paraId="3AE1EC94">
      <w:pPr>
        <w:spacing w:line="360" w:lineRule="auto"/>
        <w:jc w:val="center"/>
        <w:rPr>
          <w:rFonts w:ascii="宋体" w:hAnsi="宋体" w:cs="宋体"/>
          <w:b/>
          <w:color w:val="auto"/>
          <w:sz w:val="24"/>
        </w:rPr>
      </w:pPr>
    </w:p>
    <w:p w14:paraId="4AD9B3DF">
      <w:pPr>
        <w:spacing w:line="360" w:lineRule="auto"/>
        <w:jc w:val="center"/>
        <w:rPr>
          <w:rFonts w:ascii="宋体" w:hAnsi="宋体" w:cs="宋体"/>
          <w:b/>
          <w:color w:val="auto"/>
          <w:sz w:val="24"/>
        </w:rPr>
      </w:pPr>
    </w:p>
    <w:p w14:paraId="3748156B">
      <w:pPr>
        <w:spacing w:line="360" w:lineRule="auto"/>
        <w:jc w:val="center"/>
        <w:rPr>
          <w:rFonts w:ascii="宋体" w:hAnsi="宋体" w:cs="宋体"/>
          <w:b/>
          <w:color w:val="auto"/>
          <w:sz w:val="24"/>
        </w:rPr>
      </w:pPr>
    </w:p>
    <w:p w14:paraId="6C3BF409">
      <w:pPr>
        <w:spacing w:line="360" w:lineRule="auto"/>
        <w:jc w:val="center"/>
        <w:rPr>
          <w:rFonts w:ascii="宋体" w:hAnsi="宋体" w:cs="宋体"/>
          <w:b/>
          <w:color w:val="auto"/>
          <w:sz w:val="24"/>
        </w:rPr>
      </w:pPr>
    </w:p>
    <w:p w14:paraId="02B78A45">
      <w:pPr>
        <w:spacing w:line="360" w:lineRule="auto"/>
        <w:jc w:val="center"/>
        <w:rPr>
          <w:rFonts w:ascii="宋体" w:hAnsi="宋体" w:cs="宋体"/>
          <w:b/>
          <w:color w:val="auto"/>
          <w:sz w:val="24"/>
        </w:rPr>
      </w:pPr>
    </w:p>
    <w:p w14:paraId="43CAE58C">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6E10584F">
      <w:pPr>
        <w:spacing w:line="380" w:lineRule="exact"/>
        <w:ind w:right="640" w:firstLine="1560" w:firstLineChars="650"/>
        <w:rPr>
          <w:rFonts w:ascii="宋体" w:hAnsi="宋体" w:cs="宋体"/>
          <w:color w:val="auto"/>
          <w:sz w:val="24"/>
        </w:rPr>
      </w:pPr>
    </w:p>
    <w:p w14:paraId="0D7584EF">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06534768">
      <w:pPr>
        <w:spacing w:line="360" w:lineRule="auto"/>
        <w:rPr>
          <w:rFonts w:ascii="宋体" w:hAnsi="宋体" w:cs="宋体"/>
          <w:color w:val="auto"/>
          <w:sz w:val="24"/>
        </w:rPr>
      </w:pPr>
    </w:p>
    <w:p w14:paraId="35435458">
      <w:pPr>
        <w:spacing w:line="360" w:lineRule="auto"/>
        <w:rPr>
          <w:rFonts w:ascii="宋体" w:hAnsi="宋体" w:cs="宋体"/>
          <w:color w:val="auto"/>
          <w:sz w:val="24"/>
        </w:rPr>
      </w:pPr>
    </w:p>
    <w:p w14:paraId="794D5B90">
      <w:pPr>
        <w:spacing w:line="360" w:lineRule="auto"/>
        <w:rPr>
          <w:rFonts w:ascii="宋体" w:hAnsi="宋体" w:cs="宋体"/>
          <w:color w:val="auto"/>
          <w:sz w:val="24"/>
        </w:rPr>
      </w:pPr>
    </w:p>
    <w:p w14:paraId="5DB1000E">
      <w:pPr>
        <w:spacing w:line="360" w:lineRule="auto"/>
        <w:rPr>
          <w:rFonts w:ascii="宋体" w:hAnsi="宋体" w:cs="宋体"/>
          <w:color w:val="auto"/>
          <w:sz w:val="24"/>
        </w:rPr>
      </w:pPr>
    </w:p>
    <w:p w14:paraId="4941AF22">
      <w:pPr>
        <w:spacing w:line="380" w:lineRule="exact"/>
        <w:jc w:val="center"/>
        <w:rPr>
          <w:rFonts w:ascii="宋体" w:hAnsi="宋体" w:cs="宋体"/>
          <w:color w:val="auto"/>
          <w:sz w:val="24"/>
        </w:rPr>
      </w:pPr>
    </w:p>
    <w:p w14:paraId="4BA0AF08">
      <w:pPr>
        <w:spacing w:line="380" w:lineRule="exact"/>
        <w:jc w:val="center"/>
        <w:rPr>
          <w:rFonts w:ascii="宋体" w:hAnsi="宋体" w:cs="宋体"/>
          <w:color w:val="auto"/>
          <w:sz w:val="24"/>
        </w:rPr>
      </w:pPr>
    </w:p>
    <w:p w14:paraId="766562C5">
      <w:pPr>
        <w:spacing w:line="380" w:lineRule="exact"/>
        <w:jc w:val="center"/>
        <w:rPr>
          <w:rFonts w:ascii="宋体" w:hAnsi="宋体" w:cs="宋体"/>
          <w:color w:val="auto"/>
          <w:sz w:val="24"/>
        </w:rPr>
      </w:pPr>
    </w:p>
    <w:p w14:paraId="142F5C9B">
      <w:pPr>
        <w:spacing w:line="380" w:lineRule="exact"/>
        <w:jc w:val="center"/>
        <w:rPr>
          <w:rFonts w:ascii="宋体" w:hAnsi="宋体" w:cs="宋体"/>
          <w:color w:val="auto"/>
          <w:sz w:val="24"/>
        </w:rPr>
      </w:pPr>
    </w:p>
    <w:p w14:paraId="50AC385D">
      <w:pPr>
        <w:spacing w:line="380" w:lineRule="exact"/>
        <w:jc w:val="center"/>
        <w:rPr>
          <w:rFonts w:ascii="宋体" w:hAnsi="宋体" w:cs="宋体"/>
          <w:color w:val="auto"/>
          <w:sz w:val="24"/>
        </w:rPr>
      </w:pPr>
    </w:p>
    <w:p w14:paraId="3729A14E">
      <w:pPr>
        <w:spacing w:line="380" w:lineRule="exact"/>
        <w:jc w:val="center"/>
        <w:rPr>
          <w:rFonts w:ascii="宋体" w:hAnsi="宋体" w:cs="宋体"/>
          <w:color w:val="auto"/>
          <w:sz w:val="24"/>
        </w:rPr>
      </w:pPr>
    </w:p>
    <w:p w14:paraId="4F1301FF">
      <w:pPr>
        <w:spacing w:line="380" w:lineRule="exact"/>
        <w:jc w:val="center"/>
        <w:rPr>
          <w:rFonts w:ascii="宋体" w:hAnsi="宋体" w:cs="宋体"/>
          <w:color w:val="auto"/>
          <w:sz w:val="24"/>
        </w:rPr>
      </w:pPr>
    </w:p>
    <w:p w14:paraId="126C28DF">
      <w:pPr>
        <w:spacing w:line="380" w:lineRule="exact"/>
        <w:jc w:val="center"/>
        <w:rPr>
          <w:rFonts w:ascii="宋体" w:hAnsi="宋体" w:cs="宋体"/>
          <w:color w:val="auto"/>
          <w:sz w:val="24"/>
        </w:rPr>
      </w:pPr>
    </w:p>
    <w:p w14:paraId="6C52EF8A">
      <w:pPr>
        <w:rPr>
          <w:rFonts w:hint="eastAsia" w:ascii="宋体" w:hAnsi="宋体" w:cs="宋体"/>
          <w:color w:val="auto"/>
          <w:sz w:val="24"/>
        </w:rPr>
      </w:pPr>
      <w:r>
        <w:rPr>
          <w:rFonts w:hint="eastAsia" w:ascii="宋体" w:hAnsi="宋体" w:cs="宋体"/>
          <w:color w:val="auto"/>
          <w:sz w:val="24"/>
        </w:rPr>
        <w:br w:type="page"/>
      </w:r>
    </w:p>
    <w:p w14:paraId="6FF4D3EE">
      <w:pPr>
        <w:spacing w:line="380" w:lineRule="exact"/>
        <w:jc w:val="both"/>
        <w:rPr>
          <w:rFonts w:hint="default" w:ascii="宋体" w:hAnsi="宋体" w:cs="宋体" w:eastAsiaTheme="minorEastAsia"/>
          <w:color w:val="auto"/>
          <w:sz w:val="24"/>
          <w:lang w:val="en-US" w:eastAsia="zh-CN"/>
        </w:rPr>
      </w:pPr>
      <w:r>
        <w:rPr>
          <w:rFonts w:hint="eastAsia" w:ascii="宋体" w:hAnsi="宋体" w:cs="宋体"/>
          <w:color w:val="auto"/>
          <w:sz w:val="24"/>
        </w:rPr>
        <w:t>格式</w:t>
      </w:r>
      <w:r>
        <w:rPr>
          <w:rFonts w:hint="eastAsia" w:ascii="宋体" w:hAnsi="宋体" w:cs="宋体"/>
          <w:color w:val="auto"/>
          <w:sz w:val="24"/>
          <w:lang w:val="en-US" w:eastAsia="zh-CN"/>
        </w:rPr>
        <w:t>11</w:t>
      </w:r>
    </w:p>
    <w:p w14:paraId="0AC584FD">
      <w:pPr>
        <w:spacing w:line="380" w:lineRule="exact"/>
        <w:jc w:val="center"/>
        <w:rPr>
          <w:rFonts w:ascii="宋体" w:hAnsi="宋体" w:cs="宋体"/>
          <w:b/>
          <w:bCs/>
          <w:color w:val="auto"/>
          <w:sz w:val="24"/>
        </w:rPr>
      </w:pPr>
      <w:r>
        <w:rPr>
          <w:rFonts w:hint="eastAsia" w:ascii="宋体" w:hAnsi="宋体" w:cs="宋体"/>
          <w:b/>
          <w:bCs/>
          <w:color w:val="auto"/>
          <w:sz w:val="24"/>
        </w:rPr>
        <w:t>中小企业声明函（</w:t>
      </w:r>
      <w:r>
        <w:rPr>
          <w:rFonts w:hint="eastAsia" w:ascii="宋体" w:hAnsi="宋体" w:cs="宋体"/>
          <w:b/>
          <w:bCs/>
          <w:color w:val="auto"/>
          <w:sz w:val="24"/>
          <w:lang w:eastAsia="zh-CN"/>
        </w:rPr>
        <w:t>货物</w:t>
      </w:r>
      <w:r>
        <w:rPr>
          <w:rFonts w:hint="eastAsia" w:ascii="宋体" w:hAnsi="宋体" w:cs="宋体"/>
          <w:b/>
          <w:bCs/>
          <w:color w:val="auto"/>
          <w:sz w:val="24"/>
        </w:rPr>
        <w:t>）</w:t>
      </w:r>
    </w:p>
    <w:p w14:paraId="3CECF45B">
      <w:pPr>
        <w:spacing w:line="360" w:lineRule="auto"/>
        <w:rPr>
          <w:b/>
          <w:bCs/>
          <w:color w:val="auto"/>
          <w:sz w:val="32"/>
          <w:szCs w:val="32"/>
        </w:rPr>
      </w:pPr>
    </w:p>
    <w:p w14:paraId="3921D77C">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本公司（联合体）郑重声明，根据《政府采购促进中小企业发展管理办法》（财库﹝2020﹞46 号）的规定，本公司（联合体）参加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w:t>
      </w:r>
      <w:r>
        <w:rPr>
          <w:rFonts w:hint="eastAsia" w:ascii="宋体" w:hAnsi="宋体" w:eastAsia="宋体" w:cs="宋体"/>
          <w:color w:val="auto"/>
          <w:sz w:val="24"/>
          <w:szCs w:val="24"/>
          <w:u w:val="none"/>
        </w:rPr>
        <w:t>（含联合体中的中小企业、签订分包意向协议的中小企业）</w:t>
      </w:r>
      <w:r>
        <w:rPr>
          <w:rFonts w:hint="eastAsia" w:ascii="宋体" w:hAnsi="宋体" w:eastAsia="宋体" w:cs="宋体"/>
          <w:color w:val="auto"/>
          <w:sz w:val="24"/>
          <w:szCs w:val="24"/>
        </w:rPr>
        <w:t>的具体情况如下：</w:t>
      </w:r>
    </w:p>
    <w:p w14:paraId="7B51BD5A">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行业；制造商为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 xml:space="preserve">； </w:t>
      </w:r>
    </w:p>
    <w:p w14:paraId="48542C18">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u w:val="single"/>
        </w:rPr>
        <w:t>（标的名称）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w:t>
      </w:r>
      <w:r>
        <w:rPr>
          <w:rFonts w:hint="eastAsia" w:ascii="宋体" w:hAnsi="宋体" w:eastAsia="宋体" w:cs="宋体"/>
          <w:color w:val="auto"/>
          <w:sz w:val="24"/>
          <w:szCs w:val="24"/>
        </w:rPr>
        <w:t>行业；制造商为</w:t>
      </w:r>
      <w:r>
        <w:rPr>
          <w:rFonts w:hint="eastAsia" w:ascii="宋体" w:hAnsi="宋体" w:eastAsia="宋体" w:cs="宋体"/>
          <w:color w:val="auto"/>
          <w:sz w:val="24"/>
          <w:szCs w:val="24"/>
          <w:u w:val="single"/>
        </w:rPr>
        <w:t>（企业名称）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人，营业收入为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万元，属于</w:t>
      </w:r>
      <w:r>
        <w:rPr>
          <w:rFonts w:hint="eastAsia" w:ascii="宋体" w:hAnsi="宋体" w:eastAsia="宋体" w:cs="宋体"/>
          <w:color w:val="auto"/>
          <w:sz w:val="24"/>
          <w:szCs w:val="24"/>
          <w:u w:val="single"/>
        </w:rPr>
        <w:t>（中型企业、小型企业、微型企业）；</w:t>
      </w:r>
      <w:r>
        <w:rPr>
          <w:rFonts w:hint="eastAsia" w:ascii="宋体" w:hAnsi="宋体" w:eastAsia="宋体" w:cs="宋体"/>
          <w:color w:val="auto"/>
          <w:sz w:val="24"/>
          <w:szCs w:val="24"/>
        </w:rPr>
        <w:t xml:space="preserve"> </w:t>
      </w:r>
    </w:p>
    <w:p w14:paraId="26189C9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0F3FF592">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以上企业，不属于大企业的分支机构，不存在控股股东 为大企业的情形，也不存在与大企业的负责人为同一人的情形。</w:t>
      </w:r>
    </w:p>
    <w:p w14:paraId="5C442F7E">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 法承担相应责任。</w:t>
      </w:r>
    </w:p>
    <w:p w14:paraId="52ABED2F">
      <w:pPr>
        <w:spacing w:line="360" w:lineRule="auto"/>
        <w:ind w:firstLine="480" w:firstLineChars="200"/>
        <w:rPr>
          <w:rFonts w:ascii="宋体" w:hAnsi="宋体" w:cs="宋体"/>
          <w:color w:val="auto"/>
          <w:sz w:val="24"/>
        </w:rPr>
      </w:pPr>
      <w:r>
        <w:rPr>
          <w:rFonts w:hint="eastAsia" w:ascii="宋体" w:hAnsi="宋体" w:cs="宋体"/>
          <w:color w:val="auto"/>
          <w:sz w:val="24"/>
        </w:rPr>
        <w:t xml:space="preserve"> </w:t>
      </w:r>
    </w:p>
    <w:p w14:paraId="12B84B6B">
      <w:pPr>
        <w:spacing w:line="360" w:lineRule="auto"/>
        <w:ind w:firstLine="3600" w:firstLineChars="1500"/>
        <w:rPr>
          <w:rFonts w:ascii="宋体" w:hAnsi="宋体" w:cs="宋体"/>
          <w:color w:val="auto"/>
          <w:sz w:val="24"/>
        </w:rPr>
      </w:pPr>
      <w:r>
        <w:rPr>
          <w:rFonts w:hint="eastAsia" w:ascii="宋体" w:hAnsi="宋体" w:cs="宋体"/>
          <w:color w:val="auto"/>
          <w:sz w:val="24"/>
        </w:rPr>
        <w:t xml:space="preserve">企业名称（盖章）： </w:t>
      </w:r>
    </w:p>
    <w:p w14:paraId="35F4E7CE">
      <w:pPr>
        <w:spacing w:line="360" w:lineRule="auto"/>
        <w:ind w:firstLine="4800" w:firstLineChars="2000"/>
        <w:rPr>
          <w:rFonts w:ascii="宋体" w:hAnsi="宋体" w:cs="宋体"/>
          <w:color w:val="auto"/>
          <w:sz w:val="24"/>
        </w:rPr>
      </w:pPr>
      <w:r>
        <w:rPr>
          <w:rFonts w:hint="eastAsia" w:ascii="宋体" w:hAnsi="宋体" w:cs="宋体"/>
          <w:color w:val="auto"/>
          <w:sz w:val="24"/>
        </w:rPr>
        <w:t xml:space="preserve">日 期： </w:t>
      </w:r>
    </w:p>
    <w:p w14:paraId="4D1399D6">
      <w:pPr>
        <w:pStyle w:val="39"/>
        <w:rPr>
          <w:rFonts w:ascii="宋体" w:hAnsi="宋体" w:cs="宋体"/>
          <w:color w:val="auto"/>
          <w:sz w:val="24"/>
          <w:szCs w:val="24"/>
        </w:rPr>
      </w:pPr>
    </w:p>
    <w:p w14:paraId="19665D61">
      <w:pPr>
        <w:pStyle w:val="5"/>
        <w:rPr>
          <w:rFonts w:ascii="宋体" w:hAnsi="宋体" w:eastAsia="宋体" w:cs="宋体"/>
          <w:color w:val="auto"/>
          <w:sz w:val="24"/>
        </w:rPr>
      </w:pPr>
    </w:p>
    <w:p w14:paraId="708E65A1">
      <w:pPr>
        <w:rPr>
          <w:rFonts w:ascii="宋体" w:hAnsi="宋体" w:cs="宋体"/>
          <w:color w:val="auto"/>
          <w:sz w:val="24"/>
        </w:rPr>
      </w:pPr>
    </w:p>
    <w:p w14:paraId="36AB702E">
      <w:pPr>
        <w:pStyle w:val="39"/>
        <w:rPr>
          <w:rFonts w:ascii="宋体" w:hAnsi="宋体" w:cs="宋体"/>
          <w:color w:val="auto"/>
          <w:sz w:val="24"/>
          <w:szCs w:val="24"/>
        </w:rPr>
      </w:pPr>
    </w:p>
    <w:p w14:paraId="7023CEE9">
      <w:pPr>
        <w:pStyle w:val="5"/>
        <w:rPr>
          <w:color w:val="auto"/>
        </w:rPr>
      </w:pPr>
    </w:p>
    <w:p w14:paraId="7E476EEC">
      <w:pPr>
        <w:spacing w:line="360" w:lineRule="auto"/>
        <w:ind w:firstLine="420" w:firstLineChars="200"/>
        <w:rPr>
          <w:rFonts w:hint="eastAsia" w:eastAsiaTheme="minorEastAsia"/>
          <w:color w:val="auto"/>
          <w:lang w:val="en-US" w:eastAsia="zh-CN"/>
        </w:rPr>
      </w:pPr>
      <w:r>
        <w:rPr>
          <w:rFonts w:hint="eastAsia"/>
          <w:color w:val="auto"/>
        </w:rPr>
        <w:t>注：1.从业人员、营业收入、资产总额填报上一年度数据，无上一年度数据的新成立企业可不填报。</w:t>
      </w:r>
      <w:r>
        <w:rPr>
          <w:rFonts w:hint="eastAsia"/>
          <w:color w:val="auto"/>
          <w:lang w:val="en-US" w:eastAsia="zh-CN"/>
        </w:rPr>
        <w:t xml:space="preserve"> </w:t>
      </w:r>
    </w:p>
    <w:p w14:paraId="3560A385">
      <w:pPr>
        <w:numPr>
          <w:ilvl w:val="0"/>
          <w:numId w:val="0"/>
        </w:numPr>
        <w:spacing w:line="360" w:lineRule="auto"/>
        <w:ind w:firstLine="420" w:firstLineChars="200"/>
        <w:rPr>
          <w:rFonts w:hint="eastAsia"/>
          <w:color w:val="auto"/>
        </w:rPr>
      </w:pPr>
      <w:r>
        <w:rPr>
          <w:rFonts w:hint="eastAsia"/>
          <w:color w:val="auto"/>
          <w:lang w:val="en-US" w:eastAsia="zh-CN"/>
        </w:rPr>
        <w:t>2.</w:t>
      </w:r>
      <w:r>
        <w:rPr>
          <w:rFonts w:hint="eastAsia"/>
          <w:color w:val="auto"/>
        </w:rPr>
        <w:t>本项目如是只面向中小企业采购的应当必须提供。</w:t>
      </w:r>
    </w:p>
    <w:p w14:paraId="73FF2484">
      <w:pPr>
        <w:numPr>
          <w:ilvl w:val="0"/>
          <w:numId w:val="0"/>
        </w:numPr>
        <w:spacing w:line="360" w:lineRule="auto"/>
        <w:ind w:firstLine="420" w:firstLineChars="200"/>
        <w:rPr>
          <w:color w:val="auto"/>
        </w:rPr>
      </w:pPr>
      <w:r>
        <w:rPr>
          <w:rFonts w:hint="eastAsia"/>
          <w:color w:val="auto"/>
          <w:lang w:val="en-US" w:eastAsia="zh-CN"/>
        </w:rPr>
        <w:t>3.</w:t>
      </w:r>
      <w:r>
        <w:rPr>
          <w:rFonts w:hint="eastAsia"/>
          <w:color w:val="auto"/>
        </w:rPr>
        <w:t>此格式仅供参考。</w:t>
      </w:r>
    </w:p>
    <w:p w14:paraId="27592D4B">
      <w:pPr>
        <w:spacing w:line="360" w:lineRule="auto"/>
        <w:jc w:val="center"/>
        <w:rPr>
          <w:rFonts w:ascii="宋体" w:hAnsi="宋体" w:cs="宋体"/>
          <w:b/>
          <w:bCs/>
          <w:color w:val="auto"/>
          <w:sz w:val="24"/>
        </w:rPr>
      </w:pPr>
    </w:p>
    <w:p w14:paraId="21BB448E">
      <w:pPr>
        <w:spacing w:line="360" w:lineRule="auto"/>
        <w:rPr>
          <w:rFonts w:ascii="宋体" w:hAnsi="宋体" w:cs="宋体"/>
          <w:color w:val="auto"/>
          <w:sz w:val="24"/>
        </w:rPr>
      </w:pPr>
    </w:p>
    <w:p w14:paraId="0FFEB0C4">
      <w:pPr>
        <w:spacing w:line="360" w:lineRule="auto"/>
        <w:rPr>
          <w:rFonts w:hint="eastAsia" w:ascii="宋体" w:hAnsi="宋体" w:cs="宋体" w:eastAsiaTheme="minorEastAsia"/>
          <w:color w:val="auto"/>
          <w:sz w:val="24"/>
          <w:lang w:eastAsia="zh-CN"/>
        </w:rPr>
      </w:pPr>
      <w:r>
        <w:rPr>
          <w:rFonts w:hint="eastAsia" w:ascii="宋体" w:hAnsi="宋体" w:cs="宋体"/>
          <w:color w:val="auto"/>
          <w:sz w:val="24"/>
        </w:rPr>
        <w:t>格式1</w:t>
      </w:r>
      <w:r>
        <w:rPr>
          <w:rFonts w:hint="eastAsia" w:ascii="宋体" w:hAnsi="宋体" w:cs="宋体"/>
          <w:color w:val="auto"/>
          <w:sz w:val="24"/>
          <w:lang w:val="en-US" w:eastAsia="zh-CN"/>
        </w:rPr>
        <w:t>2</w:t>
      </w:r>
    </w:p>
    <w:p w14:paraId="059DC28F">
      <w:pPr>
        <w:autoSpaceDE w:val="0"/>
        <w:autoSpaceDN w:val="0"/>
        <w:adjustRightInd w:val="0"/>
        <w:spacing w:line="360" w:lineRule="auto"/>
        <w:ind w:left="0" w:leftChars="0" w:right="0" w:rightChars="0" w:firstLine="0" w:firstLineChars="0"/>
        <w:jc w:val="center"/>
        <w:outlineLvl w:val="0"/>
        <w:rPr>
          <w:rFonts w:ascii="宋体" w:hAnsi="宋体"/>
          <w:b/>
          <w:bCs/>
          <w:color w:val="auto"/>
          <w:sz w:val="28"/>
          <w:szCs w:val="28"/>
          <w:highlight w:val="none"/>
        </w:rPr>
      </w:pPr>
      <w:r>
        <w:rPr>
          <w:rFonts w:hint="eastAsia" w:ascii="宋体" w:hAnsi="宋体"/>
          <w:b/>
          <w:bCs/>
          <w:color w:val="auto"/>
          <w:sz w:val="28"/>
          <w:szCs w:val="28"/>
          <w:highlight w:val="none"/>
          <w:lang w:val="en-US" w:eastAsia="zh-CN"/>
        </w:rPr>
        <w:t>关于符合本国产品标准的声明函</w:t>
      </w:r>
    </w:p>
    <w:p w14:paraId="3D3CA3F2">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80" w:firstLineChars="200"/>
        <w:textAlignment w:val="baseline"/>
        <w:rPr>
          <w:rFonts w:hint="eastAsia" w:ascii="宋体" w:hAnsi="宋体" w:eastAsia="宋体" w:cs="宋体"/>
          <w:i w:val="0"/>
          <w:iCs w:val="0"/>
          <w:caps w:val="0"/>
          <w:color w:val="auto"/>
          <w:spacing w:val="0"/>
          <w:sz w:val="24"/>
          <w:szCs w:val="24"/>
          <w:highlight w:val="none"/>
          <w:shd w:val="clear" w:color="auto" w:fill="FFFFFF"/>
          <w:vertAlign w:val="baseline"/>
        </w:rPr>
      </w:pPr>
    </w:p>
    <w:p w14:paraId="00F26F1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80" w:firstLineChars="20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5C367AC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1.</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（产品名称1）</w:t>
      </w:r>
      <w:r>
        <w:rPr>
          <w:rStyle w:val="25"/>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1</w:t>
      </w:r>
      <w:r>
        <w:rPr>
          <w:rStyle w:val="25"/>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 xml:space="preserve"> </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生产厂为</w:t>
      </w:r>
      <w:r>
        <w:rPr>
          <w:rFonts w:hint="eastAsia" w:ascii="宋体" w:hAnsi="宋体" w:cs="宋体"/>
          <w:b w:val="0"/>
          <w:bCs w:val="0"/>
          <w:i w:val="0"/>
          <w:iCs w:val="0"/>
          <w:caps w:val="0"/>
          <w:color w:val="auto"/>
          <w:spacing w:val="0"/>
          <w:sz w:val="24"/>
          <w:szCs w:val="24"/>
          <w:highlight w:val="none"/>
          <w:u w:val="single"/>
          <w:shd w:val="clear" w:color="auto" w:fill="FFFFFF"/>
          <w:vertAlign w:val="baseline"/>
          <w:lang w:val="en-US" w:eastAsia="zh-CN"/>
        </w:rPr>
        <w:t xml:space="preserve"> </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（厂名）</w:t>
      </w:r>
      <w:r>
        <w:rPr>
          <w:rStyle w:val="25"/>
          <w:rFonts w:hint="eastAsia" w:ascii="宋体" w:hAnsi="宋体" w:eastAsia="宋体" w:cs="宋体"/>
          <w:b w:val="0"/>
          <w:bCs w:val="0"/>
          <w:i w:val="0"/>
          <w:iCs w:val="0"/>
          <w:caps w:val="0"/>
          <w:color w:val="auto"/>
          <w:spacing w:val="0"/>
          <w:sz w:val="24"/>
          <w:szCs w:val="24"/>
          <w:highlight w:val="none"/>
          <w:shd w:val="clear" w:color="auto" w:fill="FFFFFF"/>
          <w:vertAlign w:val="baseline"/>
        </w:rPr>
        <w:t>2</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，厂址为</w:t>
      </w:r>
      <w:r>
        <w:rPr>
          <w:rFonts w:hint="eastAsia" w:ascii="宋体" w:hAnsi="宋体" w:cs="宋体"/>
          <w:b w:val="0"/>
          <w:bCs w:val="0"/>
          <w:i w:val="0"/>
          <w:iCs w:val="0"/>
          <w:caps w:val="0"/>
          <w:color w:val="auto"/>
          <w:spacing w:val="0"/>
          <w:sz w:val="24"/>
          <w:szCs w:val="24"/>
          <w:highlight w:val="none"/>
          <w:shd w:val="clear" w:color="auto" w:fill="FFFFFF"/>
          <w:vertAlign w:val="baseline"/>
          <w:lang w:val="en-US" w:eastAsia="zh-CN"/>
        </w:rPr>
        <w:t xml:space="preserve"> </w:t>
      </w:r>
      <w:r>
        <w:rPr>
          <w:rFonts w:hint="eastAsia" w:ascii="宋体" w:hAnsi="宋体" w:cs="宋体"/>
          <w:b w:val="0"/>
          <w:bCs w:val="0"/>
          <w:i w:val="0"/>
          <w:iCs w:val="0"/>
          <w:caps w:val="0"/>
          <w:color w:val="auto"/>
          <w:spacing w:val="0"/>
          <w:sz w:val="24"/>
          <w:szCs w:val="24"/>
          <w:highlight w:val="none"/>
          <w:u w:val="single"/>
          <w:shd w:val="clear" w:color="auto" w:fill="FFFFFF"/>
          <w:vertAlign w:val="baseline"/>
          <w:lang w:val="en-US" w:eastAsia="zh-CN"/>
        </w:rPr>
        <w:t xml:space="preserve"> </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（生产厂址</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lang w:val="en-US" w:eastAsia="zh-CN"/>
        </w:rPr>
        <w:t xml:space="preserve"> </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（产品名称1）</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的中国境内生产的组件成本占比≥</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（规定比例）</w:t>
      </w:r>
      <w:r>
        <w:rPr>
          <w:rStyle w:val="25"/>
          <w:rFonts w:hint="eastAsia" w:ascii="宋体" w:hAnsi="宋体" w:eastAsia="宋体" w:cs="宋体"/>
          <w:b w:val="0"/>
          <w:bCs w:val="0"/>
          <w:i w:val="0"/>
          <w:iCs w:val="0"/>
          <w:caps w:val="0"/>
          <w:color w:val="auto"/>
          <w:spacing w:val="0"/>
          <w:sz w:val="24"/>
          <w:szCs w:val="24"/>
          <w:highlight w:val="none"/>
          <w:shd w:val="clear" w:color="auto" w:fill="FFFFFF"/>
          <w:vertAlign w:val="baseline"/>
          <w:lang w:val="en-US" w:eastAsia="zh-CN"/>
        </w:rPr>
        <w:t>3</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（产品名称1）</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（关键组件）</w:t>
      </w:r>
      <w:r>
        <w:rPr>
          <w:rStyle w:val="25"/>
          <w:rFonts w:hint="eastAsia" w:ascii="宋体" w:hAnsi="宋体" w:cs="宋体"/>
          <w:b w:val="0"/>
          <w:bCs w:val="0"/>
          <w:i w:val="0"/>
          <w:iCs w:val="0"/>
          <w:caps w:val="0"/>
          <w:color w:val="auto"/>
          <w:spacing w:val="0"/>
          <w:sz w:val="24"/>
          <w:szCs w:val="24"/>
          <w:highlight w:val="none"/>
          <w:u w:val="single"/>
          <w:shd w:val="clear" w:color="auto" w:fill="FFFFFF"/>
          <w:vertAlign w:val="baseline"/>
          <w:lang w:val="en-US" w:eastAsia="zh-CN"/>
        </w:rPr>
        <w:t>4</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在中国境内生产。</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（产品名称1）</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（关键工序）</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lang w:val="en-US" w:eastAsia="zh-CN"/>
        </w:rPr>
        <w:t>5</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在中国境内完成。</w:t>
      </w:r>
    </w:p>
    <w:p w14:paraId="1A20108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2</w:t>
      </w:r>
      <w:r>
        <w:rPr>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lang w:val="en-US" w:eastAsia="zh-CN"/>
        </w:rPr>
        <w:t>2</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w:t>
      </w:r>
      <w:r>
        <w:rPr>
          <w:rStyle w:val="25"/>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 xml:space="preserve"> </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生产厂为</w:t>
      </w:r>
      <w:r>
        <w:rPr>
          <w:rFonts w:hint="eastAsia" w:ascii="宋体" w:hAnsi="宋体" w:cs="宋体"/>
          <w:b w:val="0"/>
          <w:bCs w:val="0"/>
          <w:i w:val="0"/>
          <w:iCs w:val="0"/>
          <w:caps w:val="0"/>
          <w:color w:val="auto"/>
          <w:spacing w:val="0"/>
          <w:sz w:val="24"/>
          <w:szCs w:val="24"/>
          <w:highlight w:val="none"/>
          <w:u w:val="single"/>
          <w:shd w:val="clear" w:color="auto" w:fill="FFFFFF"/>
          <w:vertAlign w:val="baseline"/>
          <w:lang w:val="en-US" w:eastAsia="zh-CN"/>
        </w:rPr>
        <w:t xml:space="preserve"> </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，厂址为</w:t>
      </w:r>
      <w:r>
        <w:rPr>
          <w:rFonts w:hint="eastAsia" w:ascii="宋体" w:hAnsi="宋体" w:cs="宋体"/>
          <w:b w:val="0"/>
          <w:bCs w:val="0"/>
          <w:i w:val="0"/>
          <w:iCs w:val="0"/>
          <w:caps w:val="0"/>
          <w:color w:val="auto"/>
          <w:spacing w:val="0"/>
          <w:sz w:val="24"/>
          <w:szCs w:val="24"/>
          <w:highlight w:val="none"/>
          <w:shd w:val="clear" w:color="auto" w:fill="FFFFFF"/>
          <w:vertAlign w:val="baseline"/>
          <w:lang w:val="en-US" w:eastAsia="zh-CN"/>
        </w:rPr>
        <w:t xml:space="preserve"> </w:t>
      </w:r>
      <w:r>
        <w:rPr>
          <w:rFonts w:hint="eastAsia" w:ascii="宋体" w:hAnsi="宋体" w:cs="宋体"/>
          <w:b w:val="0"/>
          <w:bCs w:val="0"/>
          <w:i w:val="0"/>
          <w:iCs w:val="0"/>
          <w:caps w:val="0"/>
          <w:color w:val="auto"/>
          <w:spacing w:val="0"/>
          <w:sz w:val="24"/>
          <w:szCs w:val="24"/>
          <w:highlight w:val="none"/>
          <w:u w:val="single"/>
          <w:shd w:val="clear" w:color="auto" w:fill="FFFFFF"/>
          <w:vertAlign w:val="baseline"/>
          <w:lang w:val="en-US" w:eastAsia="zh-CN"/>
        </w:rPr>
        <w:t xml:space="preserve"> </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（生产厂址）</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lang w:val="en-US" w:eastAsia="zh-CN"/>
        </w:rPr>
        <w:t xml:space="preserve"> </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lang w:val="en-US" w:eastAsia="zh-CN"/>
        </w:rPr>
        <w:t>2</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的中国境内生产的组件成本占比≥</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（规定比例）</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lang w:val="en-US" w:eastAsia="zh-CN"/>
        </w:rPr>
        <w:t>2</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（关键组件）</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在中国境内生产。</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（产品名称</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lang w:val="en-US" w:eastAsia="zh-CN"/>
        </w:rPr>
        <w:t>2</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的</w:t>
      </w:r>
      <w:r>
        <w:rPr>
          <w:rStyle w:val="25"/>
          <w:rFonts w:hint="eastAsia" w:ascii="宋体" w:hAnsi="宋体" w:eastAsia="宋体" w:cs="宋体"/>
          <w:b w:val="0"/>
          <w:bCs w:val="0"/>
          <w:i w:val="0"/>
          <w:iCs w:val="0"/>
          <w:caps w:val="0"/>
          <w:color w:val="auto"/>
          <w:spacing w:val="0"/>
          <w:sz w:val="24"/>
          <w:szCs w:val="24"/>
          <w:highlight w:val="none"/>
          <w:u w:val="single"/>
          <w:shd w:val="clear" w:color="auto" w:fill="FFFFFF"/>
          <w:vertAlign w:val="baseline"/>
        </w:rPr>
        <w:t>（关键工序）</w:t>
      </w: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在中国境内完成。</w:t>
      </w:r>
    </w:p>
    <w:p w14:paraId="12EDF733">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b w:val="0"/>
          <w:bCs w:val="0"/>
          <w:i w:val="0"/>
          <w:iCs w:val="0"/>
          <w:caps w:val="0"/>
          <w:color w:val="auto"/>
          <w:spacing w:val="0"/>
          <w:sz w:val="24"/>
          <w:szCs w:val="24"/>
          <w:highlight w:val="none"/>
        </w:rPr>
      </w:pPr>
      <w:r>
        <w:rPr>
          <w:rFonts w:hint="eastAsia" w:ascii="宋体" w:hAnsi="宋体" w:eastAsia="宋体" w:cs="宋体"/>
          <w:b w:val="0"/>
          <w:bCs w:val="0"/>
          <w:i w:val="0"/>
          <w:iCs w:val="0"/>
          <w:caps w:val="0"/>
          <w:color w:val="auto"/>
          <w:spacing w:val="0"/>
          <w:sz w:val="24"/>
          <w:szCs w:val="24"/>
          <w:highlight w:val="none"/>
          <w:shd w:val="clear" w:color="auto" w:fill="FFFFFF"/>
          <w:vertAlign w:val="baseline"/>
        </w:rPr>
        <w:t>……</w:t>
      </w:r>
    </w:p>
    <w:p w14:paraId="4DE15EF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本公司（单位）对上述声明内容的真实性负责。如有虚假，愿承担相应法律责任。</w:t>
      </w:r>
    </w:p>
    <w:p w14:paraId="37437B64">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0"/>
        <w:jc w:val="right"/>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vertAlign w:val="baseline"/>
        </w:rPr>
        <w:t>公司（单位）名称（盖章）：</w:t>
      </w:r>
      <w:r>
        <w:rPr>
          <w:rFonts w:hint="eastAsia" w:ascii="宋体" w:hAnsi="宋体" w:eastAsia="宋体" w:cs="宋体"/>
          <w:i w:val="0"/>
          <w:iCs w:val="0"/>
          <w:caps w:val="0"/>
          <w:color w:val="auto"/>
          <w:spacing w:val="0"/>
          <w:sz w:val="24"/>
          <w:szCs w:val="24"/>
          <w:highlight w:val="none"/>
          <w:shd w:val="clear" w:color="auto" w:fill="FFFFFF"/>
          <w:vertAlign w:val="baseline"/>
          <w:lang w:val="en-US" w:eastAsia="zh-CN"/>
        </w:rPr>
        <w:t xml:space="preserve"> </w:t>
      </w:r>
      <w:r>
        <w:rPr>
          <w:rFonts w:hint="eastAsia" w:ascii="宋体" w:hAnsi="宋体" w:eastAsia="宋体" w:cs="宋体"/>
          <w:i w:val="0"/>
          <w:iCs w:val="0"/>
          <w:caps w:val="0"/>
          <w:color w:val="auto"/>
          <w:spacing w:val="0"/>
          <w:sz w:val="24"/>
          <w:szCs w:val="24"/>
          <w:highlight w:val="none"/>
          <w:shd w:val="clear" w:color="auto" w:fill="FFFFFF"/>
          <w:vertAlign w:val="baseline"/>
        </w:rPr>
        <w:t>　        </w:t>
      </w:r>
    </w:p>
    <w:p w14:paraId="7296698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3840" w:firstLineChars="1600"/>
        <w:textAlignment w:val="baseline"/>
        <w:rPr>
          <w:rFonts w:hint="default" w:ascii="宋体" w:hAnsi="宋体" w:eastAsia="宋体" w:cs="宋体"/>
          <w:b w:val="0"/>
          <w:bCs w:val="0"/>
          <w:i w:val="0"/>
          <w:iCs w:val="0"/>
          <w:caps w:val="0"/>
          <w:color w:val="auto"/>
          <w:spacing w:val="0"/>
          <w:sz w:val="24"/>
          <w:szCs w:val="24"/>
          <w:highlight w:val="none"/>
          <w:shd w:val="clear" w:color="auto" w:fill="FFFFFF"/>
          <w:vertAlign w:val="baseline"/>
          <w:lang w:val="en-US"/>
        </w:rPr>
      </w:pPr>
      <w:r>
        <w:rPr>
          <w:rFonts w:hint="eastAsia" w:ascii="宋体" w:hAnsi="宋体" w:eastAsia="宋体" w:cs="宋体"/>
          <w:i w:val="0"/>
          <w:iCs w:val="0"/>
          <w:caps w:val="0"/>
          <w:color w:val="auto"/>
          <w:spacing w:val="0"/>
          <w:sz w:val="24"/>
          <w:szCs w:val="24"/>
          <w:highlight w:val="none"/>
          <w:shd w:val="clear" w:color="auto" w:fill="FFFFFF"/>
          <w:vertAlign w:val="baseline"/>
        </w:rPr>
        <w:t>日期：　</w:t>
      </w:r>
      <w:r>
        <w:rPr>
          <w:rFonts w:hint="eastAsia" w:ascii="宋体" w:hAnsi="宋体" w:cs="宋体"/>
          <w:i w:val="0"/>
          <w:iCs w:val="0"/>
          <w:caps w:val="0"/>
          <w:color w:val="auto"/>
          <w:spacing w:val="0"/>
          <w:sz w:val="24"/>
          <w:szCs w:val="24"/>
          <w:highlight w:val="none"/>
          <w:shd w:val="clear" w:color="auto" w:fill="FFFFFF"/>
          <w:vertAlign w:val="baseline"/>
          <w:lang w:val="en-US" w:eastAsia="zh-CN"/>
        </w:rPr>
        <w:t xml:space="preserve"> </w:t>
      </w:r>
    </w:p>
    <w:p w14:paraId="2F3EE6D9">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shd w:val="clear" w:color="auto" w:fill="FFFFFF"/>
          <w:vertAlign w:val="baseline"/>
        </w:rPr>
      </w:pPr>
    </w:p>
    <w:p w14:paraId="2DE102DE">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shd w:val="clear" w:color="auto" w:fill="FFFFFF"/>
          <w:vertAlign w:val="baseline"/>
        </w:rPr>
      </w:pPr>
    </w:p>
    <w:p w14:paraId="58648F55">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shd w:val="clear" w:color="auto" w:fill="FFFFFF"/>
          <w:vertAlign w:val="baseline"/>
        </w:rPr>
      </w:pPr>
    </w:p>
    <w:p w14:paraId="0D32AAED">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shd w:val="clear" w:color="auto" w:fill="FFFFFF"/>
          <w:vertAlign w:val="baseline"/>
        </w:rPr>
      </w:pPr>
    </w:p>
    <w:p w14:paraId="0E84AFC7">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1.产品如有型号，请在“产品名称”栏一并填写。</w:t>
      </w:r>
    </w:p>
    <w:p w14:paraId="2FA89656">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2.生产厂名与厂址应与生产厂营业执照载明的相关信息保持一致。</w:t>
      </w:r>
    </w:p>
    <w:p w14:paraId="3B2CF4D0">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FFFFFF"/>
          <w:vertAlign w:val="baseline"/>
        </w:rPr>
        <w:t>3.该产品的中国境内生产的组件成本占比相关要求实施前，“规定比例”栏可不填，下同。</w:t>
      </w:r>
    </w:p>
    <w:p w14:paraId="4B815C18">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i w:val="0"/>
          <w:iCs w:val="0"/>
          <w:caps w:val="0"/>
          <w:color w:val="auto"/>
          <w:spacing w:val="0"/>
          <w:sz w:val="24"/>
          <w:szCs w:val="24"/>
          <w:highlight w:val="none"/>
          <w:shd w:val="clear" w:color="auto" w:fill="FFFFFF"/>
          <w:vertAlign w:val="baseline"/>
        </w:rPr>
      </w:pPr>
      <w:r>
        <w:rPr>
          <w:rFonts w:hint="eastAsia" w:ascii="宋体" w:hAnsi="宋体" w:eastAsia="宋体" w:cs="宋体"/>
          <w:i w:val="0"/>
          <w:iCs w:val="0"/>
          <w:caps w:val="0"/>
          <w:color w:val="auto"/>
          <w:spacing w:val="0"/>
          <w:sz w:val="24"/>
          <w:szCs w:val="24"/>
          <w:highlight w:val="none"/>
          <w:shd w:val="clear" w:color="auto" w:fill="FFFFFF"/>
          <w:vertAlign w:val="baseline"/>
        </w:rPr>
        <w:t>4.该产品的关键组件要求实施前，“关键组件”栏可不填，下同。</w:t>
      </w:r>
    </w:p>
    <w:p w14:paraId="133656F2">
      <w:pPr>
        <w:spacing w:line="360" w:lineRule="auto"/>
        <w:rPr>
          <w:rFonts w:hint="eastAsia" w:ascii="宋体" w:hAnsi="宋体" w:eastAsia="宋体" w:cs="宋体"/>
          <w:i w:val="0"/>
          <w:iCs w:val="0"/>
          <w:caps w:val="0"/>
          <w:color w:val="auto"/>
          <w:spacing w:val="0"/>
          <w:sz w:val="24"/>
          <w:szCs w:val="24"/>
          <w:highlight w:val="none"/>
          <w:shd w:val="clear" w:color="auto" w:fill="FFFFFF"/>
          <w:vertAlign w:val="baseline"/>
        </w:rPr>
      </w:pPr>
      <w:r>
        <w:rPr>
          <w:rFonts w:hint="eastAsia" w:ascii="宋体" w:hAnsi="宋体" w:eastAsia="宋体" w:cs="宋体"/>
          <w:i w:val="0"/>
          <w:iCs w:val="0"/>
          <w:caps w:val="0"/>
          <w:color w:val="auto"/>
          <w:spacing w:val="0"/>
          <w:sz w:val="24"/>
          <w:szCs w:val="24"/>
          <w:highlight w:val="none"/>
          <w:shd w:val="clear" w:color="auto" w:fill="FFFFFF"/>
          <w:vertAlign w:val="baseline"/>
        </w:rPr>
        <w:t>5.该产品的关键工序要求实施前，“关键工序”栏可不填，下同。</w:t>
      </w:r>
    </w:p>
    <w:p w14:paraId="3F9D359A">
      <w:pPr>
        <w:rPr>
          <w:rFonts w:hint="eastAsia" w:ascii="宋体" w:hAnsi="宋体" w:eastAsia="宋体" w:cs="宋体"/>
          <w:i w:val="0"/>
          <w:iCs w:val="0"/>
          <w:caps w:val="0"/>
          <w:color w:val="auto"/>
          <w:spacing w:val="0"/>
          <w:sz w:val="24"/>
          <w:szCs w:val="24"/>
          <w:highlight w:val="none"/>
          <w:shd w:val="clear" w:color="auto" w:fill="FFFFFF"/>
          <w:vertAlign w:val="baseline"/>
        </w:rPr>
      </w:pPr>
      <w:r>
        <w:rPr>
          <w:rFonts w:hint="eastAsia" w:ascii="宋体" w:hAnsi="宋体" w:eastAsia="宋体" w:cs="宋体"/>
          <w:i w:val="0"/>
          <w:iCs w:val="0"/>
          <w:caps w:val="0"/>
          <w:color w:val="auto"/>
          <w:spacing w:val="0"/>
          <w:sz w:val="24"/>
          <w:szCs w:val="24"/>
          <w:highlight w:val="none"/>
          <w:shd w:val="clear" w:color="auto" w:fill="FFFFFF"/>
          <w:vertAlign w:val="baseline"/>
        </w:rPr>
        <w:br w:type="page"/>
      </w:r>
    </w:p>
    <w:p w14:paraId="17EB518C">
      <w:pPr>
        <w:spacing w:line="360" w:lineRule="auto"/>
        <w:rPr>
          <w:rFonts w:hint="eastAsia" w:ascii="宋体" w:hAnsi="宋体" w:cs="宋体" w:eastAsiaTheme="minorEastAsia"/>
          <w:color w:val="auto"/>
          <w:sz w:val="24"/>
          <w:lang w:eastAsia="zh-CN"/>
        </w:rPr>
      </w:pPr>
      <w:r>
        <w:rPr>
          <w:rFonts w:hint="eastAsia" w:ascii="宋体" w:hAnsi="宋体" w:cs="宋体"/>
          <w:color w:val="auto"/>
          <w:sz w:val="24"/>
        </w:rPr>
        <w:t>格式1</w:t>
      </w:r>
      <w:r>
        <w:rPr>
          <w:rFonts w:hint="eastAsia" w:ascii="宋体" w:hAnsi="宋体" w:cs="宋体"/>
          <w:color w:val="auto"/>
          <w:sz w:val="24"/>
          <w:lang w:val="en-US" w:eastAsia="zh-CN"/>
        </w:rPr>
        <w:t>3</w:t>
      </w:r>
    </w:p>
    <w:p w14:paraId="1393BB81">
      <w:pPr>
        <w:ind w:left="0" w:leftChars="0" w:right="0" w:rightChars="0" w:firstLine="0" w:firstLineChars="0"/>
        <w:jc w:val="center"/>
        <w:rPr>
          <w:rFonts w:ascii="宋体" w:hAnsi="宋体" w:cs="宋体"/>
          <w:b/>
          <w:bCs/>
          <w:color w:val="auto"/>
          <w:sz w:val="24"/>
        </w:rPr>
      </w:pPr>
      <w:r>
        <w:rPr>
          <w:rFonts w:hint="eastAsia" w:ascii="宋体" w:hAnsi="宋体" w:cs="宋体"/>
          <w:b/>
          <w:bCs/>
          <w:color w:val="auto"/>
          <w:sz w:val="24"/>
        </w:rPr>
        <w:t>其他资料</w:t>
      </w:r>
    </w:p>
    <w:p w14:paraId="4B58EC9B">
      <w:pPr>
        <w:pStyle w:val="35"/>
        <w:ind w:firstLine="240"/>
        <w:rPr>
          <w:rFonts w:ascii="宋体" w:hAnsi="宋体" w:cs="宋体"/>
          <w:color w:val="auto"/>
          <w:sz w:val="24"/>
        </w:rPr>
      </w:pPr>
    </w:p>
    <w:p w14:paraId="02A9C37F">
      <w:pPr>
        <w:pStyle w:val="35"/>
        <w:ind w:firstLine="240"/>
        <w:rPr>
          <w:rFonts w:ascii="宋体" w:hAnsi="宋体" w:cs="宋体"/>
          <w:color w:val="auto"/>
          <w:sz w:val="24"/>
        </w:rPr>
      </w:pPr>
    </w:p>
    <w:p w14:paraId="6530AA66">
      <w:pPr>
        <w:pStyle w:val="35"/>
        <w:ind w:firstLine="240"/>
        <w:rPr>
          <w:rFonts w:ascii="宋体" w:hAnsi="宋体" w:cs="宋体"/>
          <w:color w:val="auto"/>
          <w:sz w:val="24"/>
        </w:rPr>
      </w:pPr>
    </w:p>
    <w:p w14:paraId="1F762B01">
      <w:pPr>
        <w:pStyle w:val="35"/>
        <w:ind w:firstLine="240"/>
        <w:rPr>
          <w:rFonts w:ascii="宋体" w:hAnsi="宋体" w:cs="宋体"/>
          <w:color w:val="auto"/>
          <w:sz w:val="24"/>
        </w:rPr>
      </w:pPr>
    </w:p>
    <w:p w14:paraId="19E7274F">
      <w:pPr>
        <w:pStyle w:val="35"/>
        <w:ind w:firstLine="240"/>
        <w:rPr>
          <w:rFonts w:ascii="宋体" w:hAnsi="宋体" w:cs="宋体"/>
          <w:color w:val="auto"/>
          <w:sz w:val="24"/>
        </w:rPr>
      </w:pPr>
    </w:p>
    <w:p w14:paraId="630FCB79">
      <w:pPr>
        <w:pStyle w:val="35"/>
        <w:ind w:firstLine="240"/>
        <w:rPr>
          <w:rFonts w:ascii="宋体" w:hAnsi="宋体" w:cs="宋体"/>
          <w:color w:val="auto"/>
          <w:sz w:val="24"/>
        </w:rPr>
      </w:pPr>
    </w:p>
    <w:p w14:paraId="5728F0E2">
      <w:pPr>
        <w:pStyle w:val="35"/>
        <w:ind w:firstLine="240"/>
        <w:rPr>
          <w:rFonts w:ascii="宋体" w:hAnsi="宋体" w:cs="宋体"/>
          <w:color w:val="auto"/>
          <w:sz w:val="24"/>
        </w:rPr>
      </w:pPr>
    </w:p>
    <w:p w14:paraId="5D7AA885">
      <w:pPr>
        <w:pStyle w:val="35"/>
        <w:ind w:firstLine="240"/>
        <w:rPr>
          <w:rFonts w:ascii="宋体" w:hAnsi="宋体" w:cs="宋体"/>
          <w:color w:val="auto"/>
          <w:sz w:val="24"/>
        </w:rPr>
      </w:pPr>
    </w:p>
    <w:p w14:paraId="7B4BD54C">
      <w:pPr>
        <w:pStyle w:val="35"/>
        <w:ind w:firstLine="240"/>
        <w:rPr>
          <w:rFonts w:ascii="宋体" w:hAnsi="宋体" w:cs="宋体"/>
          <w:color w:val="auto"/>
          <w:sz w:val="24"/>
        </w:rPr>
      </w:pPr>
    </w:p>
    <w:p w14:paraId="3DF8F44F">
      <w:pPr>
        <w:spacing w:line="360" w:lineRule="auto"/>
        <w:rPr>
          <w:rFonts w:ascii="宋体" w:hAnsi="宋体" w:cs="宋体"/>
          <w:color w:val="auto"/>
          <w:sz w:val="24"/>
        </w:rPr>
      </w:pPr>
    </w:p>
    <w:p w14:paraId="3A7C0A11">
      <w:pPr>
        <w:spacing w:line="360" w:lineRule="auto"/>
        <w:rPr>
          <w:rFonts w:ascii="宋体" w:hAnsi="宋体" w:cs="宋体"/>
          <w:color w:val="auto"/>
          <w:sz w:val="24"/>
        </w:rPr>
      </w:pPr>
    </w:p>
    <w:p w14:paraId="4B0AEE3C">
      <w:pPr>
        <w:spacing w:line="360" w:lineRule="auto"/>
        <w:rPr>
          <w:rFonts w:ascii="宋体" w:hAnsi="宋体" w:cs="宋体"/>
          <w:color w:val="auto"/>
          <w:sz w:val="24"/>
        </w:rPr>
      </w:pPr>
    </w:p>
    <w:p w14:paraId="4B090F62">
      <w:pPr>
        <w:spacing w:line="360" w:lineRule="auto"/>
        <w:rPr>
          <w:rFonts w:ascii="宋体" w:hAnsi="宋体" w:cs="宋体"/>
          <w:color w:val="auto"/>
          <w:sz w:val="24"/>
        </w:rPr>
      </w:pPr>
    </w:p>
    <w:p w14:paraId="5AA358AB">
      <w:pPr>
        <w:spacing w:line="360" w:lineRule="auto"/>
        <w:rPr>
          <w:rFonts w:ascii="宋体" w:hAnsi="宋体" w:cs="宋体"/>
          <w:color w:val="auto"/>
          <w:sz w:val="24"/>
        </w:rPr>
      </w:pPr>
    </w:p>
    <w:p w14:paraId="403536A3">
      <w:pPr>
        <w:spacing w:line="360" w:lineRule="auto"/>
        <w:rPr>
          <w:rFonts w:ascii="宋体" w:hAnsi="宋体" w:cs="宋体"/>
          <w:color w:val="auto"/>
          <w:sz w:val="24"/>
        </w:rPr>
      </w:pPr>
    </w:p>
    <w:p w14:paraId="4EA21EE8">
      <w:pPr>
        <w:spacing w:line="360" w:lineRule="auto"/>
        <w:rPr>
          <w:rFonts w:ascii="宋体" w:hAnsi="宋体" w:cs="宋体"/>
          <w:color w:val="auto"/>
          <w:sz w:val="24"/>
        </w:rPr>
      </w:pPr>
    </w:p>
    <w:p w14:paraId="55C44CF8">
      <w:pPr>
        <w:spacing w:line="360" w:lineRule="auto"/>
        <w:rPr>
          <w:rFonts w:ascii="宋体" w:hAnsi="宋体" w:cs="宋体"/>
          <w:color w:val="auto"/>
          <w:sz w:val="24"/>
        </w:rPr>
      </w:pPr>
    </w:p>
    <w:p w14:paraId="078914C1">
      <w:pPr>
        <w:spacing w:line="360" w:lineRule="auto"/>
        <w:rPr>
          <w:rFonts w:ascii="宋体" w:hAnsi="宋体" w:cs="宋体"/>
          <w:color w:val="auto"/>
          <w:sz w:val="24"/>
        </w:rPr>
      </w:pPr>
    </w:p>
    <w:p w14:paraId="7717C589">
      <w:pPr>
        <w:spacing w:line="360" w:lineRule="auto"/>
        <w:rPr>
          <w:rFonts w:ascii="宋体" w:hAnsi="宋体" w:cs="宋体"/>
          <w:color w:val="auto"/>
          <w:sz w:val="24"/>
        </w:rPr>
      </w:pPr>
    </w:p>
    <w:p w14:paraId="28A4244F">
      <w:pPr>
        <w:spacing w:line="360" w:lineRule="auto"/>
        <w:rPr>
          <w:rFonts w:ascii="宋体" w:hAnsi="宋体" w:cs="宋体"/>
          <w:color w:val="auto"/>
          <w:sz w:val="24"/>
        </w:rPr>
      </w:pPr>
    </w:p>
    <w:p w14:paraId="68F35518">
      <w:pPr>
        <w:spacing w:line="360" w:lineRule="auto"/>
        <w:rPr>
          <w:rFonts w:ascii="宋体" w:hAnsi="宋体" w:cs="宋体"/>
          <w:color w:val="auto"/>
          <w:sz w:val="24"/>
        </w:rPr>
      </w:pPr>
    </w:p>
    <w:p w14:paraId="75D80642">
      <w:pPr>
        <w:spacing w:line="360" w:lineRule="auto"/>
        <w:rPr>
          <w:rFonts w:ascii="宋体" w:hAnsi="宋体" w:cs="宋体"/>
          <w:color w:val="auto"/>
          <w:sz w:val="24"/>
        </w:rPr>
      </w:pPr>
    </w:p>
    <w:p w14:paraId="577D8C22">
      <w:pPr>
        <w:spacing w:line="360" w:lineRule="auto"/>
        <w:rPr>
          <w:rFonts w:ascii="宋体" w:hAnsi="宋体" w:cs="宋体"/>
          <w:color w:val="auto"/>
          <w:sz w:val="24"/>
        </w:rPr>
      </w:pPr>
    </w:p>
    <w:p w14:paraId="48F4C7E4">
      <w:pPr>
        <w:spacing w:line="360" w:lineRule="auto"/>
        <w:rPr>
          <w:rFonts w:ascii="宋体" w:hAnsi="宋体" w:cs="宋体"/>
          <w:color w:val="auto"/>
          <w:sz w:val="24"/>
        </w:rPr>
      </w:pPr>
    </w:p>
    <w:p w14:paraId="02284826">
      <w:pPr>
        <w:spacing w:line="360" w:lineRule="auto"/>
        <w:rPr>
          <w:rFonts w:ascii="宋体" w:hAnsi="宋体" w:cs="宋体"/>
          <w:color w:val="auto"/>
          <w:sz w:val="24"/>
        </w:rPr>
      </w:pPr>
    </w:p>
    <w:p w14:paraId="28E03552">
      <w:pPr>
        <w:rPr>
          <w:rFonts w:hint="eastAsia" w:ascii="宋体" w:hAnsi="宋体" w:cs="宋体"/>
          <w:color w:val="auto"/>
          <w:sz w:val="24"/>
        </w:rPr>
      </w:pPr>
      <w:r>
        <w:rPr>
          <w:rFonts w:hint="eastAsia" w:ascii="宋体" w:hAnsi="宋体" w:cs="宋体"/>
          <w:color w:val="auto"/>
          <w:sz w:val="24"/>
        </w:rPr>
        <w:br w:type="page"/>
      </w:r>
    </w:p>
    <w:p w14:paraId="60591040">
      <w:pPr>
        <w:spacing w:line="360" w:lineRule="auto"/>
        <w:rPr>
          <w:rFonts w:hint="eastAsia" w:eastAsiaTheme="minorEastAsia"/>
          <w:color w:val="auto"/>
          <w:lang w:eastAsia="zh-CN"/>
        </w:rPr>
      </w:pPr>
      <w:r>
        <w:rPr>
          <w:rFonts w:hint="eastAsia" w:ascii="宋体" w:hAnsi="宋体" w:cs="宋体"/>
          <w:color w:val="auto"/>
          <w:sz w:val="24"/>
        </w:rPr>
        <w:t>格式1</w:t>
      </w:r>
      <w:r>
        <w:rPr>
          <w:rFonts w:hint="eastAsia" w:ascii="宋体" w:hAnsi="宋体" w:cs="宋体"/>
          <w:color w:val="auto"/>
          <w:sz w:val="24"/>
          <w:lang w:val="en-US" w:eastAsia="zh-CN"/>
        </w:rPr>
        <w:t>4</w:t>
      </w:r>
    </w:p>
    <w:p w14:paraId="2426001E">
      <w:pPr>
        <w:spacing w:line="380" w:lineRule="exact"/>
        <w:jc w:val="center"/>
        <w:rPr>
          <w:rStyle w:val="43"/>
          <w:rFonts w:ascii="宋体"/>
          <w:b/>
          <w:bCs/>
          <w:color w:val="auto"/>
          <w:sz w:val="28"/>
          <w:szCs w:val="28"/>
        </w:rPr>
      </w:pPr>
      <w:r>
        <w:rPr>
          <w:rStyle w:val="43"/>
          <w:rFonts w:hint="eastAsia" w:ascii="宋体" w:hAnsi="宋体" w:cs="宋体"/>
          <w:b/>
          <w:bCs/>
          <w:color w:val="auto"/>
          <w:sz w:val="28"/>
          <w:szCs w:val="28"/>
        </w:rPr>
        <w:t>政府采购供应商诚信承诺书</w:t>
      </w:r>
    </w:p>
    <w:p w14:paraId="2C928545">
      <w:pPr>
        <w:spacing w:line="380" w:lineRule="exact"/>
        <w:jc w:val="center"/>
        <w:rPr>
          <w:rStyle w:val="43"/>
          <w:rFonts w:ascii="宋体"/>
          <w:b/>
          <w:bCs/>
          <w:color w:val="auto"/>
          <w:sz w:val="24"/>
        </w:rPr>
      </w:pPr>
    </w:p>
    <w:p w14:paraId="076E21F4">
      <w:pPr>
        <w:spacing w:line="380" w:lineRule="exact"/>
        <w:ind w:firstLine="720" w:firstLineChars="300"/>
        <w:rPr>
          <w:rFonts w:ascii="宋体" w:hAnsi="宋体" w:cs="宋体"/>
          <w:color w:val="auto"/>
          <w:sz w:val="24"/>
        </w:rPr>
      </w:pPr>
      <w:r>
        <w:rPr>
          <w:rFonts w:hint="eastAsia" w:ascii="宋体" w:hAnsi="宋体" w:cs="宋体"/>
          <w:color w:val="auto"/>
          <w:sz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1D74D948">
      <w:pPr>
        <w:spacing w:line="380" w:lineRule="exact"/>
        <w:rPr>
          <w:rFonts w:ascii="宋体" w:hAnsi="宋体" w:cs="宋体"/>
          <w:color w:val="auto"/>
          <w:sz w:val="24"/>
        </w:rPr>
      </w:pPr>
      <w:r>
        <w:rPr>
          <w:rFonts w:hint="eastAsia" w:ascii="宋体" w:hAnsi="宋体" w:cs="宋体"/>
          <w:color w:val="auto"/>
          <w:sz w:val="24"/>
        </w:rPr>
        <w:t>（一）提供虚假材料谋取中标;</w:t>
      </w:r>
    </w:p>
    <w:p w14:paraId="4F0FA7B6">
      <w:pPr>
        <w:spacing w:line="380" w:lineRule="exact"/>
        <w:rPr>
          <w:rFonts w:ascii="宋体" w:hAnsi="宋体" w:cs="宋体"/>
          <w:color w:val="auto"/>
          <w:sz w:val="24"/>
        </w:rPr>
      </w:pPr>
      <w:r>
        <w:rPr>
          <w:rFonts w:hint="eastAsia" w:ascii="宋体" w:hAnsi="宋体" w:cs="宋体"/>
          <w:color w:val="auto"/>
          <w:sz w:val="24"/>
        </w:rPr>
        <w:t>（二）采取不正当手段诋毁、排挤其他供应商;</w:t>
      </w:r>
    </w:p>
    <w:p w14:paraId="06D26664">
      <w:pPr>
        <w:spacing w:line="380" w:lineRule="exact"/>
        <w:rPr>
          <w:rFonts w:ascii="宋体" w:hAnsi="宋体" w:cs="宋体"/>
          <w:color w:val="auto"/>
          <w:sz w:val="24"/>
        </w:rPr>
      </w:pPr>
      <w:r>
        <w:rPr>
          <w:rFonts w:hint="eastAsia" w:ascii="宋体" w:hAnsi="宋体" w:cs="宋体"/>
          <w:color w:val="auto"/>
          <w:sz w:val="24"/>
        </w:rPr>
        <w:t>（三）与招标采购单位、其他投标人恶意串通;</w:t>
      </w:r>
    </w:p>
    <w:p w14:paraId="6FA8BEC9">
      <w:pPr>
        <w:spacing w:line="380" w:lineRule="exact"/>
        <w:rPr>
          <w:rFonts w:ascii="宋体" w:hAnsi="宋体" w:cs="宋体"/>
          <w:color w:val="auto"/>
          <w:sz w:val="24"/>
        </w:rPr>
      </w:pPr>
      <w:r>
        <w:rPr>
          <w:rFonts w:hint="eastAsia" w:ascii="宋体" w:hAnsi="宋体" w:cs="宋体"/>
          <w:color w:val="auto"/>
          <w:sz w:val="24"/>
        </w:rPr>
        <w:t>（四）向招标采购单位或提供其他不正当利益;</w:t>
      </w:r>
    </w:p>
    <w:p w14:paraId="3D40C21A">
      <w:pPr>
        <w:spacing w:line="380" w:lineRule="exact"/>
        <w:rPr>
          <w:rFonts w:ascii="宋体" w:hAnsi="宋体" w:cs="宋体"/>
          <w:color w:val="auto"/>
          <w:sz w:val="24"/>
        </w:rPr>
      </w:pPr>
      <w:r>
        <w:rPr>
          <w:rFonts w:hint="eastAsia" w:ascii="宋体" w:hAnsi="宋体" w:cs="宋体"/>
          <w:color w:val="auto"/>
          <w:sz w:val="24"/>
        </w:rPr>
        <w:t>（五）在招标过程中与招标采购单位进行协商谈判、不按照招标文件和投标文件订立合同，或者与采购人另立背离合同实质性内容协议;</w:t>
      </w:r>
    </w:p>
    <w:p w14:paraId="252FF8F7">
      <w:pPr>
        <w:spacing w:line="380" w:lineRule="exact"/>
        <w:rPr>
          <w:rFonts w:ascii="宋体" w:hAnsi="宋体" w:cs="宋体"/>
          <w:color w:val="auto"/>
          <w:sz w:val="24"/>
        </w:rPr>
      </w:pPr>
      <w:r>
        <w:rPr>
          <w:rFonts w:hint="eastAsia" w:ascii="宋体" w:hAnsi="宋体" w:cs="宋体"/>
          <w:color w:val="auto"/>
          <w:sz w:val="24"/>
        </w:rPr>
        <w:t>（六）开标后擅自撤销投标，影响招标继续进行的或领取招标文件纳投标保证金后不投标导致废标;</w:t>
      </w:r>
    </w:p>
    <w:p w14:paraId="143AD502">
      <w:pPr>
        <w:spacing w:line="380" w:lineRule="exact"/>
        <w:rPr>
          <w:rFonts w:ascii="宋体" w:hAnsi="宋体" w:cs="宋体"/>
          <w:color w:val="auto"/>
          <w:sz w:val="24"/>
        </w:rPr>
      </w:pPr>
      <w:r>
        <w:rPr>
          <w:rFonts w:hint="eastAsia" w:ascii="宋体" w:hAnsi="宋体" w:cs="宋体"/>
          <w:color w:val="auto"/>
          <w:sz w:val="24"/>
        </w:rPr>
        <w:t>（七）中标后无正当理由，在规定时间内不与采购单位签订合同;</w:t>
      </w:r>
    </w:p>
    <w:p w14:paraId="231525A9">
      <w:pPr>
        <w:spacing w:line="380" w:lineRule="exact"/>
        <w:rPr>
          <w:rFonts w:ascii="宋体" w:hAnsi="宋体" w:cs="宋体"/>
          <w:color w:val="auto"/>
          <w:sz w:val="24"/>
        </w:rPr>
      </w:pPr>
      <w:r>
        <w:rPr>
          <w:rFonts w:hint="eastAsia" w:ascii="宋体" w:hAnsi="宋体" w:cs="宋体"/>
          <w:color w:val="auto"/>
          <w:sz w:val="24"/>
        </w:rPr>
        <w:t>（八）将中标项目转让给他人或非法分包他人;</w:t>
      </w:r>
    </w:p>
    <w:p w14:paraId="5CAE0D02">
      <w:pPr>
        <w:spacing w:line="380" w:lineRule="exact"/>
        <w:rPr>
          <w:rFonts w:ascii="宋体" w:hAnsi="宋体" w:cs="宋体"/>
          <w:color w:val="auto"/>
          <w:sz w:val="24"/>
        </w:rPr>
      </w:pPr>
      <w:r>
        <w:rPr>
          <w:rFonts w:hint="eastAsia" w:ascii="宋体" w:hAnsi="宋体" w:cs="宋体"/>
          <w:color w:val="auto"/>
          <w:sz w:val="24"/>
        </w:rPr>
        <w:t>（九）无正当理由，拒绝履行合同义务;</w:t>
      </w:r>
    </w:p>
    <w:p w14:paraId="6B8D14FE">
      <w:pPr>
        <w:spacing w:line="380" w:lineRule="exact"/>
        <w:rPr>
          <w:rFonts w:ascii="宋体" w:hAnsi="宋体" w:cs="宋体"/>
          <w:color w:val="auto"/>
          <w:sz w:val="24"/>
        </w:rPr>
      </w:pPr>
      <w:r>
        <w:rPr>
          <w:rFonts w:hint="eastAsia" w:ascii="宋体" w:hAnsi="宋体" w:cs="宋体"/>
          <w:color w:val="auto"/>
          <w:sz w:val="24"/>
        </w:rPr>
        <w:t>（十）无正当理由放弃中标（成交）项目;</w:t>
      </w:r>
    </w:p>
    <w:p w14:paraId="4F8EA6B9">
      <w:pPr>
        <w:spacing w:line="380" w:lineRule="exact"/>
        <w:rPr>
          <w:rFonts w:ascii="宋体" w:hAnsi="宋体" w:cs="宋体"/>
          <w:color w:val="auto"/>
          <w:sz w:val="24"/>
        </w:rPr>
      </w:pPr>
      <w:r>
        <w:rPr>
          <w:rFonts w:hint="eastAsia" w:ascii="宋体" w:hAnsi="宋体" w:cs="宋体"/>
          <w:color w:val="auto"/>
          <w:sz w:val="24"/>
        </w:rPr>
        <w:t>（十</w:t>
      </w:r>
      <w:r>
        <w:rPr>
          <w:rFonts w:hint="eastAsia" w:ascii="宋体" w:hAnsi="宋体" w:cs="宋体"/>
          <w:color w:val="auto"/>
          <w:sz w:val="24"/>
          <w:lang w:eastAsia="zh-CN"/>
        </w:rPr>
        <w:t>一</w:t>
      </w:r>
      <w:r>
        <w:rPr>
          <w:rFonts w:hint="eastAsia" w:ascii="宋体" w:hAnsi="宋体" w:cs="宋体"/>
          <w:color w:val="auto"/>
          <w:sz w:val="24"/>
        </w:rPr>
        <w:t>）撞自或与与采购人串通或接受采购人要求，在履约合同中通过减少货物数量，更换品牌、降低配置、技术要求、质量和服务标准等，却仍按原合同进行虚假验收或终止政府采购合同;</w:t>
      </w:r>
    </w:p>
    <w:p w14:paraId="75776850">
      <w:pPr>
        <w:spacing w:line="380" w:lineRule="exact"/>
        <w:rPr>
          <w:rFonts w:ascii="宋体" w:hAnsi="宋体" w:cs="宋体"/>
          <w:color w:val="auto"/>
          <w:sz w:val="24"/>
        </w:rPr>
      </w:pPr>
      <w:r>
        <w:rPr>
          <w:rFonts w:hint="eastAsia" w:ascii="宋体" w:hAnsi="宋体" w:cs="宋体"/>
          <w:color w:val="auto"/>
          <w:sz w:val="24"/>
        </w:rPr>
        <w:t>（十二）与采购人串通，对尚未履约完毕的采购项目出具虚假验收报告；</w:t>
      </w:r>
    </w:p>
    <w:p w14:paraId="6F501616">
      <w:pPr>
        <w:spacing w:line="380" w:lineRule="exact"/>
        <w:rPr>
          <w:rFonts w:ascii="宋体" w:hAnsi="宋体" w:cs="宋体"/>
          <w:color w:val="auto"/>
          <w:sz w:val="24"/>
        </w:rPr>
      </w:pPr>
      <w:r>
        <w:rPr>
          <w:rFonts w:hint="eastAsia" w:ascii="宋体" w:hAnsi="宋体" w:cs="宋体"/>
          <w:color w:val="auto"/>
          <w:sz w:val="24"/>
        </w:rPr>
        <w:t>（十三）无不可抗力因素，拒绝提供售后服务、售后服务态度恶劣、故意提高维修配件价格（高于市场平均价）；</w:t>
      </w:r>
    </w:p>
    <w:p w14:paraId="31123196">
      <w:pPr>
        <w:spacing w:line="380" w:lineRule="exact"/>
        <w:rPr>
          <w:rFonts w:ascii="宋体" w:hAnsi="宋体" w:cs="宋体"/>
          <w:color w:val="auto"/>
          <w:sz w:val="24"/>
        </w:rPr>
      </w:pPr>
      <w:r>
        <w:rPr>
          <w:rFonts w:hint="eastAsia" w:ascii="宋体" w:hAnsi="宋体" w:cs="宋体"/>
          <w:color w:val="auto"/>
          <w:sz w:val="24"/>
        </w:rPr>
        <w:t>（十四）开标后对招标文件的相关内容再进行质疑；</w:t>
      </w:r>
    </w:p>
    <w:p w14:paraId="53CA8C1C">
      <w:pPr>
        <w:spacing w:line="380" w:lineRule="exact"/>
        <w:rPr>
          <w:rFonts w:ascii="宋体" w:hAnsi="宋体" w:cs="宋体"/>
          <w:color w:val="auto"/>
          <w:sz w:val="24"/>
        </w:rPr>
      </w:pPr>
      <w:r>
        <w:rPr>
          <w:rFonts w:hint="eastAsia" w:ascii="宋体" w:hAnsi="宋体" w:cs="宋体"/>
          <w:color w:val="auto"/>
          <w:sz w:val="24"/>
        </w:rPr>
        <w:t>（十五）恶意投诉的行为：投诉经查无实据的、捏造事实或者提供虚假设诉材料；</w:t>
      </w:r>
    </w:p>
    <w:p w14:paraId="2E00FAF8">
      <w:pPr>
        <w:spacing w:line="380" w:lineRule="exact"/>
        <w:rPr>
          <w:rFonts w:ascii="宋体" w:hAnsi="宋体" w:cs="宋体"/>
          <w:color w:val="auto"/>
          <w:sz w:val="24"/>
        </w:rPr>
      </w:pPr>
      <w:r>
        <w:rPr>
          <w:rFonts w:hint="eastAsia" w:ascii="宋体" w:hAnsi="宋体" w:cs="宋体"/>
          <w:color w:val="auto"/>
          <w:sz w:val="24"/>
        </w:rPr>
        <w:t>（十六）拒绝有关部门监督检查或者提供虚假情况；</w:t>
      </w:r>
    </w:p>
    <w:p w14:paraId="166C1BDC">
      <w:pPr>
        <w:spacing w:line="380" w:lineRule="exact"/>
        <w:rPr>
          <w:rFonts w:ascii="宋体" w:hAnsi="宋体" w:cs="宋体"/>
          <w:color w:val="auto"/>
          <w:sz w:val="24"/>
        </w:rPr>
      </w:pPr>
      <w:r>
        <w:rPr>
          <w:rFonts w:hint="eastAsia" w:ascii="宋体" w:hAnsi="宋体" w:cs="宋体"/>
          <w:color w:val="auto"/>
          <w:sz w:val="24"/>
        </w:rPr>
        <w:t>（十七）政府采购监管部门认定的其他政府采购活动中的不诚信行为。</w:t>
      </w:r>
    </w:p>
    <w:p w14:paraId="0C4385E7">
      <w:pPr>
        <w:spacing w:line="380" w:lineRule="exact"/>
        <w:ind w:firstLine="3360" w:firstLineChars="1400"/>
        <w:rPr>
          <w:rFonts w:ascii="宋体" w:hAnsi="宋体" w:cs="宋体"/>
          <w:color w:val="auto"/>
          <w:sz w:val="24"/>
        </w:rPr>
      </w:pPr>
    </w:p>
    <w:p w14:paraId="26CBBD59">
      <w:pPr>
        <w:spacing w:line="380" w:lineRule="exact"/>
        <w:ind w:firstLine="3360" w:firstLineChars="1400"/>
        <w:rPr>
          <w:rFonts w:ascii="宋体" w:hAnsi="宋体" w:cs="宋体"/>
          <w:color w:val="auto"/>
          <w:sz w:val="24"/>
        </w:rPr>
      </w:pPr>
      <w:r>
        <w:rPr>
          <w:rFonts w:hint="eastAsia" w:ascii="宋体" w:hAnsi="宋体" w:cs="宋体"/>
          <w:color w:val="auto"/>
          <w:sz w:val="24"/>
        </w:rPr>
        <w:t>供应商名称：（盖章）</w:t>
      </w:r>
    </w:p>
    <w:p w14:paraId="30922E5C">
      <w:pPr>
        <w:spacing w:line="380" w:lineRule="exact"/>
        <w:ind w:firstLine="3360" w:firstLineChars="1400"/>
        <w:rPr>
          <w:rFonts w:ascii="宋体" w:hAnsi="宋体" w:cs="宋体"/>
          <w:color w:val="auto"/>
          <w:sz w:val="24"/>
        </w:rPr>
      </w:pPr>
      <w:r>
        <w:rPr>
          <w:rFonts w:hint="eastAsia" w:ascii="宋体" w:hAnsi="宋体" w:cs="宋体"/>
          <w:color w:val="auto"/>
          <w:sz w:val="24"/>
        </w:rPr>
        <w:t>法定代表人</w:t>
      </w:r>
      <w:r>
        <w:rPr>
          <w:rFonts w:hint="eastAsia" w:ascii="宋体" w:hAnsi="宋体" w:cs="宋体"/>
          <w:color w:val="auto"/>
          <w:sz w:val="24"/>
          <w:lang w:val="en-US" w:eastAsia="zh-CN"/>
        </w:rPr>
        <w:t>或</w:t>
      </w:r>
      <w:r>
        <w:rPr>
          <w:rFonts w:hint="eastAsia" w:ascii="宋体" w:hAnsi="宋体" w:cs="宋体"/>
          <w:color w:val="auto"/>
          <w:sz w:val="24"/>
        </w:rPr>
        <w:t>委托代理人：（签</w:t>
      </w:r>
      <w:r>
        <w:rPr>
          <w:rFonts w:hint="eastAsia" w:ascii="宋体" w:hAnsi="宋体" w:cs="宋体"/>
          <w:color w:val="auto"/>
          <w:sz w:val="24"/>
          <w:lang w:eastAsia="zh-CN"/>
        </w:rPr>
        <w:t>字</w:t>
      </w:r>
      <w:r>
        <w:rPr>
          <w:rFonts w:hint="eastAsia" w:ascii="宋体" w:hAnsi="宋体" w:cs="宋体"/>
          <w:color w:val="auto"/>
          <w:sz w:val="24"/>
        </w:rPr>
        <w:t>）</w:t>
      </w:r>
    </w:p>
    <w:p w14:paraId="67201646">
      <w:pPr>
        <w:spacing w:line="380" w:lineRule="exact"/>
        <w:ind w:firstLine="3360" w:firstLineChars="1400"/>
        <w:rPr>
          <w:rFonts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lang w:val="en-US" w:eastAsia="zh-CN"/>
        </w:rPr>
        <w:t xml:space="preserve"> </w:t>
      </w:r>
      <w:r>
        <w:rPr>
          <w:rFonts w:hint="eastAsia" w:ascii="宋体" w:hAnsi="宋体" w:cs="宋体"/>
          <w:color w:val="auto"/>
          <w:sz w:val="24"/>
        </w:rPr>
        <w:t>年</w:t>
      </w:r>
      <w:r>
        <w:rPr>
          <w:rFonts w:hint="eastAsia" w:ascii="宋体" w:hAnsi="宋体" w:cs="宋体"/>
          <w:color w:val="auto"/>
          <w:sz w:val="24"/>
          <w:lang w:val="en-US" w:eastAsia="zh-CN"/>
        </w:rPr>
        <w:t xml:space="preserve"> </w:t>
      </w:r>
      <w:r>
        <w:rPr>
          <w:rFonts w:hint="eastAsia" w:ascii="宋体" w:hAnsi="宋体" w:cs="宋体"/>
          <w:color w:val="auto"/>
          <w:sz w:val="24"/>
        </w:rPr>
        <w:t>月</w:t>
      </w:r>
      <w:r>
        <w:rPr>
          <w:rFonts w:hint="eastAsia" w:ascii="宋体" w:hAnsi="宋体" w:cs="宋体"/>
          <w:color w:val="auto"/>
          <w:sz w:val="24"/>
          <w:lang w:val="en-US" w:eastAsia="zh-CN"/>
        </w:rPr>
        <w:t xml:space="preserve"> </w:t>
      </w:r>
      <w:r>
        <w:rPr>
          <w:rFonts w:hint="eastAsia" w:ascii="宋体" w:hAnsi="宋体" w:cs="宋体"/>
          <w:color w:val="auto"/>
          <w:sz w:val="24"/>
        </w:rPr>
        <w:t>日</w:t>
      </w:r>
    </w:p>
    <w:p w14:paraId="6F8FEA92">
      <w:pPr>
        <w:pStyle w:val="35"/>
        <w:ind w:firstLine="0" w:firstLineChars="0"/>
        <w:rPr>
          <w:rFonts w:ascii="宋体" w:hAnsi="宋体" w:cs="宋体"/>
          <w:b/>
          <w:color w:val="auto"/>
          <w:sz w:val="24"/>
        </w:rPr>
      </w:pPr>
    </w:p>
    <w:p w14:paraId="6C5F9A50">
      <w:pPr>
        <w:rPr>
          <w:rFonts w:ascii="宋体" w:hAnsi="宋体" w:cs="宋体"/>
          <w:b/>
          <w:color w:val="auto"/>
          <w:sz w:val="32"/>
          <w:szCs w:val="32"/>
        </w:rPr>
      </w:pPr>
      <w:r>
        <w:rPr>
          <w:rFonts w:ascii="宋体" w:hAnsi="宋体" w:cs="宋体"/>
          <w:b/>
          <w:color w:val="auto"/>
          <w:sz w:val="32"/>
          <w:szCs w:val="32"/>
        </w:rPr>
        <w:br w:type="page"/>
      </w:r>
    </w:p>
    <w:p w14:paraId="44E0DD6B">
      <w:pPr>
        <w:rPr>
          <w:color w:val="auto"/>
        </w:rPr>
        <w:sectPr>
          <w:pgSz w:w="11907" w:h="16840"/>
          <w:pgMar w:top="1440" w:right="1588" w:bottom="1440" w:left="1588" w:header="851" w:footer="992" w:gutter="0"/>
          <w:pgNumType w:fmt="decimal"/>
          <w:cols w:space="720" w:num="1"/>
          <w:docGrid w:type="lines" w:linePitch="312" w:charSpace="0"/>
        </w:sectPr>
      </w:pPr>
    </w:p>
    <w:p w14:paraId="4A635050">
      <w:pPr>
        <w:spacing w:line="500" w:lineRule="auto"/>
        <w:jc w:val="center"/>
        <w:rPr>
          <w:rFonts w:ascii="微软雅黑" w:hAnsi="微软雅黑" w:eastAsia="微软雅黑" w:cs="微软雅黑"/>
          <w:color w:val="auto"/>
          <w:sz w:val="28"/>
        </w:rPr>
      </w:pPr>
      <w:r>
        <w:rPr>
          <w:rFonts w:hint="eastAsia" w:ascii="宋体" w:hAnsi="宋体" w:cs="宋体"/>
          <w:b/>
          <w:color w:val="auto"/>
          <w:sz w:val="32"/>
          <w:szCs w:val="32"/>
        </w:rPr>
        <w:t>第五章  周口市政府采购合同（货物类）标准文本</w:t>
      </w:r>
    </w:p>
    <w:p w14:paraId="704004C6">
      <w:pPr>
        <w:rPr>
          <w:rFonts w:ascii="黑体" w:hAnsi="黑体" w:eastAsia="黑体" w:cs="黑体"/>
          <w:color w:val="auto"/>
          <w:sz w:val="32"/>
        </w:rPr>
      </w:pPr>
    </w:p>
    <w:p w14:paraId="53C64D93">
      <w:pPr>
        <w:spacing w:line="300" w:lineRule="auto"/>
        <w:rPr>
          <w:rFonts w:ascii="黑体" w:hAnsi="黑体" w:eastAsia="黑体" w:cs="黑体"/>
          <w:color w:val="auto"/>
          <w:sz w:val="32"/>
        </w:rPr>
      </w:pPr>
    </w:p>
    <w:p w14:paraId="2060FF08">
      <w:pPr>
        <w:spacing w:line="300" w:lineRule="auto"/>
        <w:rPr>
          <w:rFonts w:ascii="黑体" w:hAnsi="黑体" w:eastAsia="黑体" w:cs="黑体"/>
          <w:color w:val="auto"/>
          <w:sz w:val="32"/>
        </w:rPr>
      </w:pPr>
    </w:p>
    <w:p w14:paraId="4BDF381C">
      <w:pPr>
        <w:spacing w:line="300" w:lineRule="auto"/>
        <w:rPr>
          <w:rFonts w:ascii="黑体" w:hAnsi="黑体" w:eastAsia="黑体" w:cs="黑体"/>
          <w:color w:val="auto"/>
          <w:sz w:val="30"/>
        </w:rPr>
      </w:pPr>
    </w:p>
    <w:p w14:paraId="428E88F1">
      <w:pPr>
        <w:spacing w:line="300" w:lineRule="auto"/>
        <w:rPr>
          <w:rFonts w:ascii="黑体" w:hAnsi="黑体" w:eastAsia="黑体" w:cs="黑体"/>
          <w:color w:val="auto"/>
          <w:sz w:val="30"/>
        </w:rPr>
      </w:pPr>
    </w:p>
    <w:p w14:paraId="3D338017">
      <w:pPr>
        <w:spacing w:line="300" w:lineRule="auto"/>
        <w:rPr>
          <w:rFonts w:ascii="黑体" w:hAnsi="黑体" w:eastAsia="黑体" w:cs="黑体"/>
          <w:color w:val="auto"/>
          <w:sz w:val="30"/>
        </w:rPr>
      </w:pPr>
    </w:p>
    <w:p w14:paraId="51FBE53E">
      <w:pPr>
        <w:spacing w:line="300" w:lineRule="auto"/>
        <w:rPr>
          <w:rFonts w:ascii="黑体" w:hAnsi="黑体" w:eastAsia="黑体" w:cs="黑体"/>
          <w:color w:val="auto"/>
          <w:sz w:val="30"/>
        </w:rPr>
      </w:pPr>
    </w:p>
    <w:p w14:paraId="2C97A42F">
      <w:pPr>
        <w:spacing w:line="300" w:lineRule="auto"/>
        <w:rPr>
          <w:rFonts w:ascii="黑体" w:hAnsi="黑体" w:eastAsia="黑体" w:cs="黑体"/>
          <w:color w:val="auto"/>
          <w:sz w:val="30"/>
        </w:rPr>
      </w:pPr>
    </w:p>
    <w:p w14:paraId="6047260F">
      <w:pPr>
        <w:spacing w:line="300" w:lineRule="auto"/>
        <w:rPr>
          <w:rFonts w:ascii="黑体" w:hAnsi="黑体" w:eastAsia="黑体" w:cs="黑体"/>
          <w:color w:val="auto"/>
          <w:sz w:val="30"/>
        </w:rPr>
      </w:pPr>
    </w:p>
    <w:p w14:paraId="143F1B71">
      <w:pPr>
        <w:spacing w:line="300" w:lineRule="auto"/>
        <w:rPr>
          <w:rFonts w:ascii="黑体" w:hAnsi="黑体" w:eastAsia="黑体" w:cs="黑体"/>
          <w:color w:val="auto"/>
          <w:sz w:val="30"/>
        </w:rPr>
      </w:pPr>
    </w:p>
    <w:p w14:paraId="107F2027">
      <w:pPr>
        <w:spacing w:line="300" w:lineRule="auto"/>
        <w:rPr>
          <w:rFonts w:ascii="黑体" w:hAnsi="黑体" w:eastAsia="黑体" w:cs="黑体"/>
          <w:color w:val="auto"/>
          <w:sz w:val="30"/>
        </w:rPr>
      </w:pPr>
      <w:r>
        <w:rPr>
          <w:rFonts w:ascii="黑体" w:hAnsi="黑体" w:eastAsia="黑体" w:cs="黑体"/>
          <w:color w:val="auto"/>
          <w:sz w:val="30"/>
        </w:rPr>
        <w:t>政府采购项目名称：</w:t>
      </w:r>
    </w:p>
    <w:p w14:paraId="26CF96C3">
      <w:pPr>
        <w:spacing w:line="300" w:lineRule="auto"/>
        <w:rPr>
          <w:rFonts w:ascii="黑体" w:hAnsi="黑体" w:eastAsia="黑体" w:cs="黑体"/>
          <w:color w:val="auto"/>
          <w:sz w:val="30"/>
        </w:rPr>
      </w:pPr>
      <w:r>
        <w:rPr>
          <w:rFonts w:ascii="黑体" w:hAnsi="黑体" w:eastAsia="黑体" w:cs="黑体"/>
          <w:color w:val="auto"/>
          <w:sz w:val="30"/>
        </w:rPr>
        <w:t>政府采购项目编号：</w:t>
      </w:r>
    </w:p>
    <w:p w14:paraId="6E87AC6A">
      <w:pPr>
        <w:spacing w:line="300" w:lineRule="auto"/>
        <w:rPr>
          <w:rFonts w:ascii="黑体" w:hAnsi="黑体" w:eastAsia="黑体" w:cs="黑体"/>
          <w:color w:val="auto"/>
          <w:sz w:val="30"/>
        </w:rPr>
      </w:pPr>
      <w:r>
        <w:rPr>
          <w:rFonts w:ascii="黑体" w:hAnsi="黑体" w:eastAsia="黑体" w:cs="黑体"/>
          <w:color w:val="auto"/>
          <w:sz w:val="30"/>
        </w:rPr>
        <w:t>采      购    人：</w:t>
      </w:r>
    </w:p>
    <w:p w14:paraId="5E68FD5E">
      <w:pPr>
        <w:spacing w:line="300" w:lineRule="auto"/>
        <w:rPr>
          <w:rFonts w:ascii="黑体" w:hAnsi="黑体" w:eastAsia="黑体" w:cs="黑体"/>
          <w:color w:val="auto"/>
          <w:sz w:val="30"/>
        </w:rPr>
      </w:pPr>
      <w:r>
        <w:rPr>
          <w:rFonts w:ascii="黑体" w:hAnsi="黑体" w:eastAsia="黑体" w:cs="黑体"/>
          <w:color w:val="auto"/>
          <w:sz w:val="30"/>
        </w:rPr>
        <w:t>供      应    商：</w:t>
      </w:r>
    </w:p>
    <w:p w14:paraId="3AAEC314">
      <w:pPr>
        <w:spacing w:line="300" w:lineRule="auto"/>
        <w:rPr>
          <w:rFonts w:ascii="黑体" w:hAnsi="黑体" w:eastAsia="黑体" w:cs="黑体"/>
          <w:color w:val="auto"/>
          <w:sz w:val="30"/>
        </w:rPr>
      </w:pPr>
      <w:r>
        <w:rPr>
          <w:rFonts w:ascii="黑体" w:hAnsi="黑体" w:eastAsia="黑体" w:cs="黑体"/>
          <w:color w:val="auto"/>
          <w:sz w:val="30"/>
        </w:rPr>
        <w:t>合  同  签 订 地：</w:t>
      </w:r>
    </w:p>
    <w:p w14:paraId="4D889D4C">
      <w:pPr>
        <w:spacing w:line="300" w:lineRule="auto"/>
        <w:rPr>
          <w:rFonts w:ascii="黑体" w:hAnsi="黑体" w:eastAsia="黑体" w:cs="黑体"/>
          <w:color w:val="auto"/>
          <w:sz w:val="30"/>
        </w:rPr>
      </w:pPr>
      <w:r>
        <w:rPr>
          <w:rFonts w:ascii="黑体" w:hAnsi="黑体" w:eastAsia="黑体" w:cs="黑体"/>
          <w:color w:val="auto"/>
          <w:sz w:val="30"/>
        </w:rPr>
        <w:t>合 同 签订 时 间：</w:t>
      </w:r>
    </w:p>
    <w:p w14:paraId="39E4E180">
      <w:pPr>
        <w:spacing w:line="300" w:lineRule="auto"/>
        <w:rPr>
          <w:rFonts w:ascii="黑体" w:hAnsi="黑体" w:eastAsia="黑体" w:cs="黑体"/>
          <w:color w:val="auto"/>
          <w:sz w:val="30"/>
        </w:rPr>
      </w:pPr>
    </w:p>
    <w:p w14:paraId="18280464">
      <w:pPr>
        <w:spacing w:line="300" w:lineRule="auto"/>
        <w:rPr>
          <w:rFonts w:ascii="黑体" w:hAnsi="黑体" w:eastAsia="黑体" w:cs="黑体"/>
          <w:color w:val="auto"/>
          <w:sz w:val="30"/>
        </w:rPr>
      </w:pPr>
    </w:p>
    <w:p w14:paraId="16DCE3FD">
      <w:pPr>
        <w:spacing w:line="300" w:lineRule="auto"/>
        <w:rPr>
          <w:rFonts w:ascii="黑体" w:hAnsi="黑体" w:eastAsia="黑体" w:cs="黑体"/>
          <w:color w:val="auto"/>
          <w:sz w:val="30"/>
        </w:rPr>
      </w:pPr>
    </w:p>
    <w:p w14:paraId="11EFB48A">
      <w:pPr>
        <w:spacing w:line="300" w:lineRule="auto"/>
        <w:jc w:val="center"/>
        <w:rPr>
          <w:rFonts w:ascii="微软雅黑" w:hAnsi="微软雅黑" w:eastAsia="微软雅黑" w:cs="微软雅黑"/>
          <w:color w:val="auto"/>
          <w:sz w:val="32"/>
        </w:rPr>
      </w:pPr>
    </w:p>
    <w:p w14:paraId="093FC3EE">
      <w:pPr>
        <w:spacing w:line="460" w:lineRule="auto"/>
        <w:jc w:val="center"/>
        <w:rPr>
          <w:rFonts w:ascii="宋体" w:hAnsi="宋体" w:eastAsia="宋体" w:cs="宋体"/>
          <w:color w:val="auto"/>
          <w:sz w:val="32"/>
        </w:rPr>
      </w:pPr>
    </w:p>
    <w:p w14:paraId="63BFDC62">
      <w:pPr>
        <w:spacing w:line="460" w:lineRule="auto"/>
        <w:jc w:val="center"/>
        <w:rPr>
          <w:rFonts w:ascii="微软雅黑" w:hAnsi="微软雅黑" w:eastAsia="微软雅黑" w:cs="微软雅黑"/>
          <w:color w:val="auto"/>
          <w:sz w:val="32"/>
        </w:rPr>
      </w:pPr>
      <w:r>
        <w:rPr>
          <w:rFonts w:ascii="宋体" w:hAnsi="宋体" w:eastAsia="宋体" w:cs="宋体"/>
          <w:color w:val="auto"/>
          <w:sz w:val="32"/>
        </w:rPr>
        <w:t>合同签订指引</w:t>
      </w:r>
    </w:p>
    <w:p w14:paraId="6DCFC34C">
      <w:pPr>
        <w:spacing w:line="460" w:lineRule="auto"/>
        <w:ind w:firstLine="420"/>
        <w:rPr>
          <w:rFonts w:ascii="Times New Roman" w:hAnsi="Times New Roman" w:eastAsia="Times New Roman" w:cs="Times New Roman"/>
          <w:color w:val="auto"/>
        </w:rPr>
      </w:pPr>
    </w:p>
    <w:p w14:paraId="2020E13D">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一、采购人在签订合同时应提供的资料：</w:t>
      </w:r>
    </w:p>
    <w:p w14:paraId="42D1742E">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1、该政府采购项目的招标采购文件（以网上发布内容为准）；</w:t>
      </w:r>
    </w:p>
    <w:p w14:paraId="7243FC3E">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2、该政府采购项目招标文件的澄清和修改内容（公告内容）；</w:t>
      </w:r>
    </w:p>
    <w:p w14:paraId="01CC65D5">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3、该政府采购项目评审报告；</w:t>
      </w:r>
    </w:p>
    <w:p w14:paraId="2458DA8D">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4、采购单位法人授权委托书（法人到场并签字的除外）；</w:t>
      </w:r>
    </w:p>
    <w:p w14:paraId="5891A3DA">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5、采购单位被授权人身份证件（法人到场并签字的除外）；</w:t>
      </w:r>
    </w:p>
    <w:p w14:paraId="012184E1">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6、采购人和中标供应商约定的其它内容（不得超出招标采购文件实质性内容）。</w:t>
      </w:r>
    </w:p>
    <w:p w14:paraId="06BF54BA">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二、供应商在签订合同时应提供的资料：</w:t>
      </w:r>
    </w:p>
    <w:p w14:paraId="44FB352A">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1、该政府采购项目的投标文件（纸质或DPF格式的电子投标文件）；</w:t>
      </w:r>
    </w:p>
    <w:p w14:paraId="366BE8C7">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2、针对该项目评审时评审委员会提出的质询答复（纸质并签章）；</w:t>
      </w:r>
    </w:p>
    <w:p w14:paraId="1EBD791D">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3、该政府采购项目中标通知书；</w:t>
      </w:r>
    </w:p>
    <w:p w14:paraId="06B3BA01">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4、供应商法人授权委托书（法人到场并签字的除外）；</w:t>
      </w:r>
    </w:p>
    <w:p w14:paraId="227879FB">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5、供应商被授权人身份证件（法人到场并签字的除外）；</w:t>
      </w:r>
    </w:p>
    <w:p w14:paraId="3CED5AC9">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6、供应商和采购人约定的其它内容（不得超出招标采购文件实质性内容）。</w:t>
      </w:r>
    </w:p>
    <w:p w14:paraId="38C60A5D">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三、本合同签订后二个工作日内有采购人在“周口市政府采购网”上进行合同公示。</w:t>
      </w:r>
    </w:p>
    <w:p w14:paraId="5B2BBC09">
      <w:pPr>
        <w:spacing w:line="460" w:lineRule="auto"/>
        <w:ind w:firstLine="640"/>
        <w:jc w:val="center"/>
        <w:rPr>
          <w:rFonts w:hint="eastAsia" w:ascii="宋体" w:hAnsi="宋体" w:eastAsia="宋体" w:cs="宋体"/>
          <w:color w:val="auto"/>
          <w:sz w:val="24"/>
          <w:szCs w:val="24"/>
        </w:rPr>
      </w:pPr>
    </w:p>
    <w:p w14:paraId="7363ECBF">
      <w:pPr>
        <w:spacing w:line="460" w:lineRule="auto"/>
        <w:ind w:firstLine="640"/>
        <w:jc w:val="center"/>
        <w:rPr>
          <w:rFonts w:hint="eastAsia" w:ascii="宋体" w:hAnsi="宋体" w:eastAsia="宋体" w:cs="宋体"/>
          <w:color w:val="auto"/>
          <w:sz w:val="28"/>
          <w:szCs w:val="28"/>
        </w:rPr>
      </w:pPr>
      <w:r>
        <w:rPr>
          <w:rFonts w:hint="eastAsia" w:ascii="宋体" w:hAnsi="宋体" w:eastAsia="宋体" w:cs="宋体"/>
          <w:color w:val="auto"/>
          <w:sz w:val="28"/>
          <w:szCs w:val="28"/>
        </w:rPr>
        <w:t>供应商履约验收指引</w:t>
      </w:r>
    </w:p>
    <w:p w14:paraId="1B01992B">
      <w:pPr>
        <w:numPr>
          <w:ilvl w:val="0"/>
          <w:numId w:val="11"/>
        </w:num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供应商不得擅自变更合同标的物内容；</w:t>
      </w:r>
    </w:p>
    <w:p w14:paraId="45613B80">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2、不得以次充好、高投低配，确因在合同执行中不可抗力因素造成的，应提供相关依据；</w:t>
      </w:r>
    </w:p>
    <w:p w14:paraId="3EC4114C">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3、对因客观上采购人采购需求发生变化造成的，应提供采、供双方的纸质备忘录材料；</w:t>
      </w:r>
    </w:p>
    <w:p w14:paraId="1CDCDBA2">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4、在满足验收条件5个工作日内通知采购人组织验收；</w:t>
      </w:r>
    </w:p>
    <w:p w14:paraId="0EA3D0E2">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5、供应商应提供需验收物品的清单、参数、使用手册、人员培训情况等资料；</w:t>
      </w:r>
    </w:p>
    <w:p w14:paraId="376F55DD">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6、采、供双方约定的验收机构及相关人员组成情况。</w:t>
      </w:r>
    </w:p>
    <w:p w14:paraId="3074B005">
      <w:pPr>
        <w:spacing w:line="4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7、督促采购人在项目验收结束并达到相关要求后一个工作日内，在“周口市政府采购网”上进行“履约验收”公示。</w:t>
      </w:r>
    </w:p>
    <w:p w14:paraId="4B780424">
      <w:pPr>
        <w:spacing w:line="520" w:lineRule="auto"/>
        <w:jc w:val="center"/>
        <w:rPr>
          <w:rFonts w:ascii="宋体" w:hAnsi="宋体" w:eastAsia="宋体" w:cs="宋体"/>
          <w:color w:val="auto"/>
          <w:sz w:val="28"/>
        </w:rPr>
      </w:pPr>
    </w:p>
    <w:p w14:paraId="5F66BBF3">
      <w:pPr>
        <w:spacing w:line="520" w:lineRule="auto"/>
        <w:jc w:val="center"/>
        <w:rPr>
          <w:rFonts w:ascii="微软雅黑" w:hAnsi="微软雅黑" w:eastAsia="微软雅黑" w:cs="微软雅黑"/>
          <w:color w:val="auto"/>
          <w:sz w:val="28"/>
        </w:rPr>
      </w:pPr>
      <w:r>
        <w:rPr>
          <w:rFonts w:ascii="宋体" w:hAnsi="宋体" w:eastAsia="宋体" w:cs="宋体"/>
          <w:color w:val="auto"/>
          <w:sz w:val="28"/>
        </w:rPr>
        <w:t>采购合同内容</w:t>
      </w:r>
    </w:p>
    <w:p w14:paraId="14D001B2">
      <w:pPr>
        <w:spacing w:line="520" w:lineRule="auto"/>
        <w:ind w:firstLine="420"/>
        <w:rPr>
          <w:rFonts w:ascii="Times New Roman" w:hAnsi="Times New Roman" w:eastAsia="Times New Roman" w:cs="Times New Roman"/>
          <w:color w:val="auto"/>
        </w:rPr>
      </w:pPr>
    </w:p>
    <w:p w14:paraId="7DC0574C">
      <w:pPr>
        <w:spacing w:line="360" w:lineRule="auto"/>
        <w:ind w:firstLine="420"/>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采购人（甲方）： </w:t>
      </w:r>
    </w:p>
    <w:p w14:paraId="5DC5F5B9">
      <w:pPr>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供应商（乙方）：</w:t>
      </w:r>
    </w:p>
    <w:p w14:paraId="5BB6435A">
      <w:pPr>
        <w:spacing w:line="360" w:lineRule="auto"/>
        <w:ind w:firstLine="420"/>
        <w:rPr>
          <w:rFonts w:hint="eastAsia" w:ascii="宋体" w:hAnsi="宋体" w:eastAsia="宋体" w:cs="宋体"/>
          <w:color w:val="auto"/>
          <w:sz w:val="24"/>
          <w:szCs w:val="24"/>
          <w:u w:val="single"/>
        </w:rPr>
      </w:pPr>
      <w:r>
        <w:rPr>
          <w:rFonts w:hint="eastAsia" w:ascii="宋体" w:hAnsi="宋体" w:eastAsia="宋体" w:cs="宋体"/>
          <w:color w:val="auto"/>
          <w:sz w:val="24"/>
          <w:szCs w:val="24"/>
        </w:rPr>
        <w:t>签订地点：</w:t>
      </w:r>
    </w:p>
    <w:p w14:paraId="020759ED">
      <w:pPr>
        <w:spacing w:line="360" w:lineRule="auto"/>
        <w:ind w:firstLine="420"/>
        <w:rPr>
          <w:rFonts w:hint="eastAsia" w:ascii="宋体" w:hAnsi="宋体" w:eastAsia="宋体" w:cs="宋体"/>
          <w:color w:val="auto"/>
          <w:sz w:val="24"/>
          <w:szCs w:val="24"/>
          <w:u w:val="single"/>
        </w:rPr>
      </w:pPr>
      <w:r>
        <w:rPr>
          <w:rFonts w:hint="eastAsia" w:ascii="宋体" w:hAnsi="宋体" w:eastAsia="宋体" w:cs="宋体"/>
          <w:color w:val="auto"/>
          <w:sz w:val="24"/>
          <w:szCs w:val="24"/>
        </w:rPr>
        <w:t>项目名称：</w:t>
      </w:r>
    </w:p>
    <w:p w14:paraId="7D0778F9">
      <w:pPr>
        <w:spacing w:line="360" w:lineRule="auto"/>
        <w:ind w:firstLine="420"/>
        <w:rPr>
          <w:rFonts w:hint="eastAsia" w:ascii="宋体" w:hAnsi="宋体" w:eastAsia="宋体" w:cs="宋体"/>
          <w:color w:val="auto"/>
          <w:sz w:val="24"/>
          <w:szCs w:val="24"/>
          <w:u w:val="single"/>
        </w:rPr>
      </w:pPr>
      <w:r>
        <w:rPr>
          <w:rFonts w:hint="eastAsia" w:ascii="宋体" w:hAnsi="宋体" w:eastAsia="宋体" w:cs="宋体"/>
          <w:color w:val="auto"/>
          <w:sz w:val="24"/>
          <w:szCs w:val="24"/>
        </w:rPr>
        <w:t>项目编号：</w:t>
      </w:r>
    </w:p>
    <w:p w14:paraId="073E910A">
      <w:pPr>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财政委托号：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(财政资金项目必须填写)</w:t>
      </w:r>
    </w:p>
    <w:p w14:paraId="1F217C6D">
      <w:pPr>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本项目经批准采用</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14:paraId="683D29A5">
      <w:pPr>
        <w:spacing w:line="360" w:lineRule="auto"/>
        <w:ind w:firstLine="422"/>
        <w:rPr>
          <w:rFonts w:hint="eastAsia" w:ascii="宋体" w:hAnsi="宋体" w:eastAsia="宋体" w:cs="宋体"/>
          <w:color w:val="auto"/>
          <w:sz w:val="24"/>
          <w:szCs w:val="24"/>
          <w:u w:val="single"/>
        </w:rPr>
      </w:pPr>
      <w:r>
        <w:rPr>
          <w:rFonts w:hint="eastAsia" w:ascii="宋体" w:hAnsi="宋体" w:eastAsia="宋体" w:cs="宋体"/>
          <w:b/>
          <w:color w:val="auto"/>
          <w:sz w:val="24"/>
          <w:szCs w:val="24"/>
        </w:rPr>
        <w:t>第一条</w:t>
      </w:r>
      <w:r>
        <w:rPr>
          <w:rFonts w:hint="eastAsia" w:ascii="宋体" w:hAnsi="宋体" w:eastAsia="宋体" w:cs="宋体"/>
          <w:color w:val="auto"/>
          <w:sz w:val="24"/>
          <w:szCs w:val="24"/>
        </w:rPr>
        <w:t>   产品的名称、品种、规格、数量和价格：（若产品过多则见附表，如有附表则必须加盖印章）</w:t>
      </w:r>
    </w:p>
    <w:tbl>
      <w:tblPr>
        <w:tblStyle w:val="20"/>
        <w:tblW w:w="8408" w:type="dxa"/>
        <w:tblInd w:w="108" w:type="dxa"/>
        <w:tblLayout w:type="fixed"/>
        <w:tblCellMar>
          <w:top w:w="0" w:type="dxa"/>
          <w:left w:w="10" w:type="dxa"/>
          <w:bottom w:w="0" w:type="dxa"/>
          <w:right w:w="10" w:type="dxa"/>
        </w:tblCellMar>
      </w:tblPr>
      <w:tblGrid>
        <w:gridCol w:w="1815"/>
        <w:gridCol w:w="1508"/>
        <w:gridCol w:w="894"/>
        <w:gridCol w:w="894"/>
        <w:gridCol w:w="1038"/>
        <w:gridCol w:w="1191"/>
        <w:gridCol w:w="1068"/>
      </w:tblGrid>
      <w:tr w14:paraId="5C239A5C">
        <w:tblPrEx>
          <w:tblCellMar>
            <w:top w:w="0" w:type="dxa"/>
            <w:left w:w="10" w:type="dxa"/>
            <w:bottom w:w="0" w:type="dxa"/>
            <w:right w:w="10" w:type="dxa"/>
          </w:tblCellMar>
        </w:tblPrEx>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71577A3">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产品名称</w:t>
            </w:r>
          </w:p>
        </w:tc>
        <w:tc>
          <w:tcPr>
            <w:tcW w:w="1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6EB2126">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规格型号</w:t>
            </w:r>
          </w:p>
        </w:tc>
        <w:tc>
          <w:tcPr>
            <w:tcW w:w="8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F416BCD">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单位</w:t>
            </w:r>
          </w:p>
        </w:tc>
        <w:tc>
          <w:tcPr>
            <w:tcW w:w="8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9CA42D7">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数量</w:t>
            </w:r>
          </w:p>
        </w:tc>
        <w:tc>
          <w:tcPr>
            <w:tcW w:w="10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0354BA9">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单价</w:t>
            </w:r>
          </w:p>
        </w:tc>
        <w:tc>
          <w:tcPr>
            <w:tcW w:w="119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93CDD2B">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小计</w:t>
            </w:r>
          </w:p>
        </w:tc>
        <w:tc>
          <w:tcPr>
            <w:tcW w:w="10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E0311A2">
            <w:pPr>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备注</w:t>
            </w:r>
          </w:p>
        </w:tc>
      </w:tr>
      <w:tr w14:paraId="7186FC86">
        <w:tblPrEx>
          <w:tblCellMar>
            <w:top w:w="0" w:type="dxa"/>
            <w:left w:w="10" w:type="dxa"/>
            <w:bottom w:w="0" w:type="dxa"/>
            <w:right w:w="10" w:type="dxa"/>
          </w:tblCellMar>
        </w:tblPrEx>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C68EA74">
            <w:pPr>
              <w:spacing w:line="360" w:lineRule="auto"/>
              <w:ind w:firstLine="420"/>
              <w:jc w:val="center"/>
              <w:rPr>
                <w:rFonts w:hint="eastAsia" w:ascii="宋体" w:hAnsi="宋体" w:eastAsia="宋体" w:cs="宋体"/>
                <w:color w:val="auto"/>
                <w:sz w:val="24"/>
                <w:szCs w:val="24"/>
              </w:rPr>
            </w:pPr>
          </w:p>
        </w:tc>
        <w:tc>
          <w:tcPr>
            <w:tcW w:w="1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06AB2C0">
            <w:pPr>
              <w:spacing w:line="360" w:lineRule="auto"/>
              <w:ind w:firstLine="420"/>
              <w:jc w:val="center"/>
              <w:rPr>
                <w:rFonts w:hint="eastAsia" w:ascii="宋体" w:hAnsi="宋体" w:eastAsia="宋体" w:cs="宋体"/>
                <w:color w:val="auto"/>
                <w:sz w:val="24"/>
                <w:szCs w:val="24"/>
              </w:rPr>
            </w:pPr>
          </w:p>
        </w:tc>
        <w:tc>
          <w:tcPr>
            <w:tcW w:w="8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7404D57">
            <w:pPr>
              <w:spacing w:line="360" w:lineRule="auto"/>
              <w:ind w:firstLine="420"/>
              <w:jc w:val="center"/>
              <w:rPr>
                <w:rFonts w:hint="eastAsia" w:ascii="宋体" w:hAnsi="宋体" w:eastAsia="宋体" w:cs="宋体"/>
                <w:color w:val="auto"/>
                <w:sz w:val="24"/>
                <w:szCs w:val="24"/>
              </w:rPr>
            </w:pPr>
          </w:p>
        </w:tc>
        <w:tc>
          <w:tcPr>
            <w:tcW w:w="8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9BCE107">
            <w:pPr>
              <w:spacing w:line="360" w:lineRule="auto"/>
              <w:ind w:firstLine="420"/>
              <w:jc w:val="center"/>
              <w:rPr>
                <w:rFonts w:hint="eastAsia" w:ascii="宋体" w:hAnsi="宋体" w:eastAsia="宋体" w:cs="宋体"/>
                <w:color w:val="auto"/>
                <w:sz w:val="24"/>
                <w:szCs w:val="24"/>
              </w:rPr>
            </w:pPr>
          </w:p>
        </w:tc>
        <w:tc>
          <w:tcPr>
            <w:tcW w:w="10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4FB2979">
            <w:pPr>
              <w:spacing w:line="360" w:lineRule="auto"/>
              <w:ind w:firstLine="420"/>
              <w:jc w:val="center"/>
              <w:rPr>
                <w:rFonts w:hint="eastAsia" w:ascii="宋体" w:hAnsi="宋体" w:eastAsia="宋体" w:cs="宋体"/>
                <w:color w:val="auto"/>
                <w:sz w:val="24"/>
                <w:szCs w:val="24"/>
              </w:rPr>
            </w:pPr>
          </w:p>
        </w:tc>
        <w:tc>
          <w:tcPr>
            <w:tcW w:w="119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4321BA4">
            <w:pPr>
              <w:spacing w:line="360" w:lineRule="auto"/>
              <w:ind w:firstLine="420"/>
              <w:jc w:val="center"/>
              <w:rPr>
                <w:rFonts w:hint="eastAsia" w:ascii="宋体" w:hAnsi="宋体" w:eastAsia="宋体" w:cs="宋体"/>
                <w:color w:val="auto"/>
                <w:sz w:val="24"/>
                <w:szCs w:val="24"/>
              </w:rPr>
            </w:pPr>
          </w:p>
        </w:tc>
        <w:tc>
          <w:tcPr>
            <w:tcW w:w="10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6B215920">
            <w:pPr>
              <w:spacing w:line="360" w:lineRule="auto"/>
              <w:ind w:firstLine="420"/>
              <w:jc w:val="center"/>
              <w:rPr>
                <w:rFonts w:hint="eastAsia" w:ascii="宋体" w:hAnsi="宋体" w:eastAsia="宋体" w:cs="宋体"/>
                <w:color w:val="auto"/>
                <w:sz w:val="24"/>
                <w:szCs w:val="24"/>
              </w:rPr>
            </w:pPr>
          </w:p>
        </w:tc>
      </w:tr>
      <w:tr w14:paraId="3B7FDCA8">
        <w:tblPrEx>
          <w:tblCellMar>
            <w:top w:w="0" w:type="dxa"/>
            <w:left w:w="10" w:type="dxa"/>
            <w:bottom w:w="0" w:type="dxa"/>
            <w:right w:w="10" w:type="dxa"/>
          </w:tblCellMar>
        </w:tblPrEx>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0952C4C">
            <w:pPr>
              <w:spacing w:line="360" w:lineRule="auto"/>
              <w:ind w:firstLine="420"/>
              <w:jc w:val="center"/>
              <w:rPr>
                <w:rFonts w:hint="eastAsia" w:ascii="宋体" w:hAnsi="宋体" w:eastAsia="宋体" w:cs="宋体"/>
                <w:color w:val="auto"/>
                <w:sz w:val="24"/>
                <w:szCs w:val="24"/>
              </w:rPr>
            </w:pPr>
          </w:p>
        </w:tc>
        <w:tc>
          <w:tcPr>
            <w:tcW w:w="1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1A67C29A">
            <w:pPr>
              <w:spacing w:line="360" w:lineRule="auto"/>
              <w:ind w:firstLine="420"/>
              <w:jc w:val="center"/>
              <w:rPr>
                <w:rFonts w:hint="eastAsia" w:ascii="宋体" w:hAnsi="宋体" w:eastAsia="宋体" w:cs="宋体"/>
                <w:color w:val="auto"/>
                <w:sz w:val="24"/>
                <w:szCs w:val="24"/>
              </w:rPr>
            </w:pPr>
          </w:p>
        </w:tc>
        <w:tc>
          <w:tcPr>
            <w:tcW w:w="8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4AAD95A">
            <w:pPr>
              <w:spacing w:line="360" w:lineRule="auto"/>
              <w:ind w:firstLine="420"/>
              <w:jc w:val="center"/>
              <w:rPr>
                <w:rFonts w:hint="eastAsia" w:ascii="宋体" w:hAnsi="宋体" w:eastAsia="宋体" w:cs="宋体"/>
                <w:color w:val="auto"/>
                <w:sz w:val="24"/>
                <w:szCs w:val="24"/>
              </w:rPr>
            </w:pPr>
          </w:p>
        </w:tc>
        <w:tc>
          <w:tcPr>
            <w:tcW w:w="8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99AF236">
            <w:pPr>
              <w:spacing w:line="360" w:lineRule="auto"/>
              <w:ind w:firstLine="420"/>
              <w:jc w:val="center"/>
              <w:rPr>
                <w:rFonts w:hint="eastAsia" w:ascii="宋体" w:hAnsi="宋体" w:eastAsia="宋体" w:cs="宋体"/>
                <w:color w:val="auto"/>
                <w:sz w:val="24"/>
                <w:szCs w:val="24"/>
              </w:rPr>
            </w:pPr>
          </w:p>
        </w:tc>
        <w:tc>
          <w:tcPr>
            <w:tcW w:w="10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4A2C84C">
            <w:pPr>
              <w:spacing w:line="360" w:lineRule="auto"/>
              <w:ind w:firstLine="420"/>
              <w:jc w:val="center"/>
              <w:rPr>
                <w:rFonts w:hint="eastAsia" w:ascii="宋体" w:hAnsi="宋体" w:eastAsia="宋体" w:cs="宋体"/>
                <w:color w:val="auto"/>
                <w:sz w:val="24"/>
                <w:szCs w:val="24"/>
              </w:rPr>
            </w:pPr>
          </w:p>
        </w:tc>
        <w:tc>
          <w:tcPr>
            <w:tcW w:w="119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9211963">
            <w:pPr>
              <w:spacing w:line="360" w:lineRule="auto"/>
              <w:ind w:firstLine="420"/>
              <w:jc w:val="center"/>
              <w:rPr>
                <w:rFonts w:hint="eastAsia" w:ascii="宋体" w:hAnsi="宋体" w:eastAsia="宋体" w:cs="宋体"/>
                <w:color w:val="auto"/>
                <w:sz w:val="24"/>
                <w:szCs w:val="24"/>
              </w:rPr>
            </w:pPr>
          </w:p>
        </w:tc>
        <w:tc>
          <w:tcPr>
            <w:tcW w:w="10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444C9C95">
            <w:pPr>
              <w:spacing w:line="360" w:lineRule="auto"/>
              <w:ind w:firstLine="420"/>
              <w:jc w:val="center"/>
              <w:rPr>
                <w:rFonts w:hint="eastAsia" w:ascii="宋体" w:hAnsi="宋体" w:eastAsia="宋体" w:cs="宋体"/>
                <w:color w:val="auto"/>
                <w:sz w:val="24"/>
                <w:szCs w:val="24"/>
              </w:rPr>
            </w:pPr>
          </w:p>
        </w:tc>
      </w:tr>
      <w:tr w14:paraId="44152AAF">
        <w:tblPrEx>
          <w:tblCellMar>
            <w:top w:w="0" w:type="dxa"/>
            <w:left w:w="10" w:type="dxa"/>
            <w:bottom w:w="0" w:type="dxa"/>
            <w:right w:w="10" w:type="dxa"/>
          </w:tblCellMar>
        </w:tblPrEx>
        <w:tc>
          <w:tcPr>
            <w:tcW w:w="18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791B45B9">
            <w:pPr>
              <w:spacing w:line="360" w:lineRule="auto"/>
              <w:ind w:firstLine="420"/>
              <w:jc w:val="center"/>
              <w:rPr>
                <w:rFonts w:hint="eastAsia" w:ascii="宋体" w:hAnsi="宋体" w:eastAsia="宋体" w:cs="宋体"/>
                <w:color w:val="auto"/>
                <w:sz w:val="24"/>
                <w:szCs w:val="24"/>
              </w:rPr>
            </w:pPr>
          </w:p>
        </w:tc>
        <w:tc>
          <w:tcPr>
            <w:tcW w:w="1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529FFFB5">
            <w:pPr>
              <w:spacing w:line="360" w:lineRule="auto"/>
              <w:ind w:firstLine="420"/>
              <w:jc w:val="center"/>
              <w:rPr>
                <w:rFonts w:hint="eastAsia" w:ascii="宋体" w:hAnsi="宋体" w:eastAsia="宋体" w:cs="宋体"/>
                <w:color w:val="auto"/>
                <w:sz w:val="24"/>
                <w:szCs w:val="24"/>
              </w:rPr>
            </w:pPr>
          </w:p>
        </w:tc>
        <w:tc>
          <w:tcPr>
            <w:tcW w:w="8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7386F66">
            <w:pPr>
              <w:spacing w:line="360" w:lineRule="auto"/>
              <w:ind w:firstLine="420"/>
              <w:jc w:val="center"/>
              <w:rPr>
                <w:rFonts w:hint="eastAsia" w:ascii="宋体" w:hAnsi="宋体" w:eastAsia="宋体" w:cs="宋体"/>
                <w:color w:val="auto"/>
                <w:sz w:val="24"/>
                <w:szCs w:val="24"/>
              </w:rPr>
            </w:pPr>
          </w:p>
        </w:tc>
        <w:tc>
          <w:tcPr>
            <w:tcW w:w="89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599D905">
            <w:pPr>
              <w:spacing w:line="360" w:lineRule="auto"/>
              <w:ind w:firstLine="420"/>
              <w:jc w:val="center"/>
              <w:rPr>
                <w:rFonts w:hint="eastAsia" w:ascii="宋体" w:hAnsi="宋体" w:eastAsia="宋体" w:cs="宋体"/>
                <w:color w:val="auto"/>
                <w:sz w:val="24"/>
                <w:szCs w:val="24"/>
              </w:rPr>
            </w:pPr>
          </w:p>
        </w:tc>
        <w:tc>
          <w:tcPr>
            <w:tcW w:w="103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49D4DC9">
            <w:pPr>
              <w:spacing w:line="360" w:lineRule="auto"/>
              <w:ind w:firstLine="420"/>
              <w:jc w:val="center"/>
              <w:rPr>
                <w:rFonts w:hint="eastAsia" w:ascii="宋体" w:hAnsi="宋体" w:eastAsia="宋体" w:cs="宋体"/>
                <w:color w:val="auto"/>
                <w:sz w:val="24"/>
                <w:szCs w:val="24"/>
              </w:rPr>
            </w:pPr>
          </w:p>
        </w:tc>
        <w:tc>
          <w:tcPr>
            <w:tcW w:w="119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0B7631D7">
            <w:pPr>
              <w:spacing w:line="360" w:lineRule="auto"/>
              <w:ind w:firstLine="420"/>
              <w:jc w:val="center"/>
              <w:rPr>
                <w:rFonts w:hint="eastAsia" w:ascii="宋体" w:hAnsi="宋体" w:eastAsia="宋体" w:cs="宋体"/>
                <w:color w:val="auto"/>
                <w:sz w:val="24"/>
                <w:szCs w:val="24"/>
              </w:rPr>
            </w:pPr>
          </w:p>
        </w:tc>
        <w:tc>
          <w:tcPr>
            <w:tcW w:w="106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37F85F0C">
            <w:pPr>
              <w:spacing w:line="360" w:lineRule="auto"/>
              <w:ind w:firstLine="420"/>
              <w:jc w:val="center"/>
              <w:rPr>
                <w:rFonts w:hint="eastAsia" w:ascii="宋体" w:hAnsi="宋体" w:eastAsia="宋体" w:cs="宋体"/>
                <w:color w:val="auto"/>
                <w:sz w:val="24"/>
                <w:szCs w:val="24"/>
              </w:rPr>
            </w:pPr>
          </w:p>
        </w:tc>
      </w:tr>
      <w:tr w14:paraId="47575540">
        <w:tblPrEx>
          <w:tblCellMar>
            <w:top w:w="0" w:type="dxa"/>
            <w:left w:w="10" w:type="dxa"/>
            <w:bottom w:w="0" w:type="dxa"/>
            <w:right w:w="10" w:type="dxa"/>
          </w:tblCellMar>
        </w:tblPrEx>
        <w:tc>
          <w:tcPr>
            <w:tcW w:w="8408"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14:paraId="21BEE309">
            <w:pPr>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合同总价款（大小写）：</w:t>
            </w:r>
          </w:p>
          <w:p w14:paraId="082AC73C">
            <w:pPr>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备注：上述产品报价含产品生产、运输&lt;送达至甲方指定地点并下货&gt;、安装、调试、检验及售后服务、税金、劳保基金、人员培训等费用。</w:t>
            </w:r>
          </w:p>
        </w:tc>
      </w:tr>
    </w:tbl>
    <w:p w14:paraId="3174A0C4">
      <w:pPr>
        <w:spacing w:line="360" w:lineRule="auto"/>
        <w:ind w:firstLine="422"/>
        <w:rPr>
          <w:rFonts w:hint="eastAsia" w:ascii="宋体" w:hAnsi="宋体" w:eastAsia="宋体" w:cs="宋体"/>
          <w:color w:val="auto"/>
          <w:sz w:val="24"/>
          <w:szCs w:val="24"/>
        </w:rPr>
      </w:pPr>
      <w:r>
        <w:rPr>
          <w:rFonts w:hint="eastAsia" w:ascii="宋体" w:hAnsi="宋体" w:eastAsia="宋体" w:cs="宋体"/>
          <w:b/>
          <w:color w:val="auto"/>
          <w:sz w:val="24"/>
          <w:szCs w:val="24"/>
        </w:rPr>
        <w:t xml:space="preserve">第二条  </w:t>
      </w:r>
      <w:r>
        <w:rPr>
          <w:rFonts w:hint="eastAsia" w:ascii="宋体" w:hAnsi="宋体" w:eastAsia="宋体" w:cs="宋体"/>
          <w:color w:val="auto"/>
          <w:sz w:val="24"/>
          <w:szCs w:val="24"/>
        </w:rPr>
        <w:t>产品的技术标准（包括质量要求），按下列第（ ）项执行：</w:t>
      </w:r>
    </w:p>
    <w:p w14:paraId="335530DA">
      <w:pPr>
        <w:spacing w:line="360" w:lineRule="auto"/>
        <w:ind w:firstLine="420"/>
        <w:rPr>
          <w:rFonts w:hint="eastAsia" w:ascii="宋体" w:hAnsi="宋体" w:eastAsia="宋体" w:cs="宋体"/>
          <w:color w:val="auto"/>
          <w:sz w:val="24"/>
          <w:szCs w:val="24"/>
        </w:rPr>
      </w:pPr>
      <w:r>
        <w:rPr>
          <w:rFonts w:hint="eastAsia" w:ascii="宋体" w:hAnsi="宋体" w:eastAsia="宋体" w:cs="宋体"/>
          <w:color w:val="auto"/>
          <w:sz w:val="24"/>
          <w:szCs w:val="24"/>
        </w:rPr>
        <w:t>①按国家标准执行；②按部颁标准执行；③若无以上标准，则应不低于同行业质量标准；④有特殊要求的，按甲乙双方在合同中商定的技术条件、样品或补充的技术要求执行；</w:t>
      </w:r>
    </w:p>
    <w:p w14:paraId="6304AC7A">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乙方提供和交付的货物技术标准应</w:t>
      </w:r>
      <w:r>
        <w:rPr>
          <w:rFonts w:hint="eastAsia" w:ascii="宋体" w:hAnsi="宋体" w:eastAsia="宋体" w:cs="宋体"/>
          <w:color w:val="auto"/>
          <w:sz w:val="24"/>
          <w:szCs w:val="24"/>
          <w:highlight w:val="none"/>
          <w:lang w:eastAsia="zh-CN"/>
        </w:rPr>
        <w:t>在投标文件承诺</w:t>
      </w:r>
      <w:r>
        <w:rPr>
          <w:rFonts w:hint="eastAsia" w:ascii="宋体" w:hAnsi="宋体" w:eastAsia="宋体" w:cs="宋体"/>
          <w:color w:val="auto"/>
          <w:sz w:val="24"/>
          <w:szCs w:val="24"/>
          <w:highlight w:val="none"/>
        </w:rPr>
        <w:t>与招标采购文件规定的技术标准相一致。若技术标准中无相应规定，所投货物应符合相应的国际标准或原产地国家有关部门最新颁布的相应的正式标准。</w:t>
      </w:r>
    </w:p>
    <w:p w14:paraId="0783F70F">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进口产品的质量标准为                                             。</w:t>
      </w:r>
    </w:p>
    <w:p w14:paraId="27436D3E">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14:paraId="54024456">
      <w:pPr>
        <w:spacing w:after="120" w:line="360" w:lineRule="auto"/>
        <w:ind w:firstLine="48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第三条</w:t>
      </w:r>
      <w:r>
        <w:rPr>
          <w:rFonts w:hint="eastAsia" w:ascii="宋体" w:hAnsi="宋体" w:eastAsia="宋体" w:cs="宋体"/>
          <w:color w:val="auto"/>
          <w:sz w:val="24"/>
          <w:szCs w:val="24"/>
          <w:highlight w:val="none"/>
        </w:rPr>
        <w:t>产品的包装标准和包装物的供应与回收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AD52615">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（国家或行业主管部门有技术规定的，按技术规定执行；国家与行业主管部门无技术规定的，由甲乙双方商定。）</w:t>
      </w:r>
    </w:p>
    <w:p w14:paraId="4FE2A9D6">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【注：合同中约定的包装标准应与乙方在投标文件中承诺的一致，且投标文件应作为合同附件与合同具有同等法律效力。】</w:t>
      </w:r>
    </w:p>
    <w:p w14:paraId="79CE3C56">
      <w:pPr>
        <w:spacing w:line="360" w:lineRule="auto"/>
        <w:ind w:firstLine="42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第四条  </w:t>
      </w:r>
      <w:r>
        <w:rPr>
          <w:rFonts w:hint="eastAsia" w:ascii="宋体" w:hAnsi="宋体" w:eastAsia="宋体" w:cs="宋体"/>
          <w:color w:val="auto"/>
          <w:sz w:val="24"/>
          <w:szCs w:val="24"/>
          <w:highlight w:val="none"/>
        </w:rPr>
        <w:t>产品的交货方法、到货地点和交货期限</w:t>
      </w:r>
    </w:p>
    <w:p w14:paraId="3C962D63">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1.交货方法，按下列第（ ）项执行：</w:t>
      </w:r>
    </w:p>
    <w:p w14:paraId="0312C5AC">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①乙方送货上门；②乙方代运；③甲方自提自运。</w:t>
      </w:r>
    </w:p>
    <w:p w14:paraId="3771F446">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2.到货地点：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甲方指定的任何地点，安装并调试.)</w:t>
      </w:r>
    </w:p>
    <w:p w14:paraId="4112B139">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3.产品的交货期限</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p>
    <w:p w14:paraId="3206C1FB">
      <w:pPr>
        <w:spacing w:line="360" w:lineRule="auto"/>
        <w:ind w:firstLine="42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第五条</w:t>
      </w:r>
      <w:r>
        <w:rPr>
          <w:rFonts w:hint="eastAsia" w:ascii="宋体" w:hAnsi="宋体" w:eastAsia="宋体" w:cs="宋体"/>
          <w:color w:val="auto"/>
          <w:sz w:val="24"/>
          <w:szCs w:val="24"/>
          <w:highlight w:val="none"/>
        </w:rPr>
        <w:t xml:space="preserve">  合同总价款</w:t>
      </w:r>
    </w:p>
    <w:p w14:paraId="00038C2C">
      <w:pPr>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合同总价款（大小写）：</w:t>
      </w:r>
      <w:r>
        <w:rPr>
          <w:rFonts w:hint="eastAsia" w:ascii="宋体" w:hAnsi="宋体" w:eastAsia="宋体" w:cs="宋体"/>
          <w:color w:val="auto"/>
          <w:sz w:val="24"/>
          <w:szCs w:val="24"/>
          <w:highlight w:val="none"/>
          <w:u w:val="single"/>
        </w:rPr>
        <w:t xml:space="preserve">                        </w:t>
      </w:r>
    </w:p>
    <w:p w14:paraId="15164127">
      <w:pPr>
        <w:numPr>
          <w:ilvl w:val="0"/>
          <w:numId w:val="12"/>
        </w:numPr>
        <w:tabs>
          <w:tab w:val="left" w:pos="1125"/>
        </w:tabs>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付款条件                  </w:t>
      </w:r>
    </w:p>
    <w:p w14:paraId="46776A35">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本合同以人民币付款。</w:t>
      </w:r>
    </w:p>
    <w:p w14:paraId="78A03D9D">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该项目是否实行预付款：</w:t>
      </w:r>
    </w:p>
    <w:p w14:paraId="6ACF3BAF">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实行预付款的条件和比例：</w:t>
      </w:r>
    </w:p>
    <w:p w14:paraId="10FD922E">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合同款项结算方式和支付比例：   </w:t>
      </w:r>
    </w:p>
    <w:p w14:paraId="4E522C13">
      <w:pPr>
        <w:spacing w:line="360" w:lineRule="auto"/>
        <w:ind w:firstLine="420"/>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(具体付款方式</w:t>
      </w:r>
      <w:r>
        <w:rPr>
          <w:rFonts w:hint="eastAsia" w:ascii="宋体" w:hAnsi="宋体" w:eastAsia="宋体" w:cs="宋体"/>
          <w:color w:val="auto"/>
          <w:sz w:val="24"/>
          <w:szCs w:val="24"/>
          <w:highlight w:val="none"/>
          <w:u w:val="single"/>
        </w:rPr>
        <w:t>按投标人须知前附表以及采、购双方的具体约定</w:t>
      </w:r>
    </w:p>
    <w:p w14:paraId="7D794D6D">
      <w:pPr>
        <w:numPr>
          <w:ilvl w:val="0"/>
          <w:numId w:val="13"/>
        </w:numPr>
        <w:tabs>
          <w:tab w:val="left" w:pos="1125"/>
        </w:tabs>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验收方法</w:t>
      </w:r>
    </w:p>
    <w:p w14:paraId="67ED060B">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1.乙方安装调试后，在      天内通知甲方组织验收，采购代理机构保留受托参与本项目验收的权利。验收不合格的，乙方应负责重新提供达到本合同约定的质量要求的产品。</w:t>
      </w:r>
    </w:p>
    <w:p w14:paraId="17A6BDEE">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2.甲、乙双方应严格履行合同有关条款，如果验收过程中发现乙方在没有征得采购人同意的情况下擅自变更合同标的物，将拒绝通过验收，由此引起的一切后果及损失由乙方承担。</w:t>
      </w:r>
    </w:p>
    <w:p w14:paraId="5D59851C">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6ABEBDD4">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4、甲方视情况可以邀请参加本项目的其他投标人或者第三方机构参与验收，参与验收的投标人或者第三方机构的意见作为验收书的参考资料一并存档。</w:t>
      </w:r>
    </w:p>
    <w:p w14:paraId="0514DEAB">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涉及安全、消防、环保等其他需要由质检或行业主管部门进行验收的项目，必须邀请相关部门或相关专家参与验收。</w:t>
      </w:r>
    </w:p>
    <w:p w14:paraId="3B4E9CBB">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检测、验收费用承担方式：</w:t>
      </w:r>
    </w:p>
    <w:p w14:paraId="41EEF11C">
      <w:pPr>
        <w:spacing w:line="360" w:lineRule="auto"/>
        <w:ind w:firstLine="42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第八条 </w:t>
      </w:r>
      <w:r>
        <w:rPr>
          <w:rFonts w:hint="eastAsia" w:ascii="宋体" w:hAnsi="宋体" w:eastAsia="宋体" w:cs="宋体"/>
          <w:color w:val="auto"/>
          <w:sz w:val="24"/>
          <w:szCs w:val="24"/>
          <w:highlight w:val="none"/>
        </w:rPr>
        <w:t xml:space="preserve"> 对产品提出异议的时间和办法</w:t>
      </w:r>
    </w:p>
    <w:p w14:paraId="223D106E">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1.甲方在验收中，如果发现产品不符合合同约定的，应一面妥为保管，一面在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工作日内向乙方书面提出异议，并抄送采购代理机构，具体说明产品不符合规定的内容并附相关验收材料，同时提出不符合规定产品的处理意见。</w:t>
      </w:r>
    </w:p>
    <w:p w14:paraId="376FEA9F">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2.甲方因使用、保管、保养不善等造成产品质量下降的，不得提出异议。</w:t>
      </w:r>
    </w:p>
    <w:p w14:paraId="02AB3164">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3.乙方在接到甲方异议后，应在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工作日内负责处理，否则，即视为默认甲方提出的异议和处理意见。</w:t>
      </w:r>
    </w:p>
    <w:p w14:paraId="6F18E651">
      <w:pPr>
        <w:spacing w:line="360" w:lineRule="auto"/>
        <w:ind w:firstLine="42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第九条</w:t>
      </w:r>
      <w:r>
        <w:rPr>
          <w:rFonts w:hint="eastAsia" w:ascii="宋体" w:hAnsi="宋体" w:eastAsia="宋体" w:cs="宋体"/>
          <w:color w:val="auto"/>
          <w:sz w:val="24"/>
          <w:szCs w:val="24"/>
          <w:highlight w:val="none"/>
        </w:rPr>
        <w:t xml:space="preserve">  乙方应提供完善周到的技术支持和售后服务，否则甲方视情节轻重从乙方的质量保证金中扣除部分或全部补偿甲方。</w:t>
      </w:r>
    </w:p>
    <w:p w14:paraId="5F28DEFF">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1.保修</w:t>
      </w:r>
    </w:p>
    <w:p w14:paraId="4AC53812">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乙方对其所提供的货物免费保修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年，保修期从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开始。乙方应在接到报修通知后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天内上门维修，负责更换有瑕疵的货物、部件或提供相应的质量保证期内的服务。由此造成的损失，甲方保留索赔的权利。</w:t>
      </w:r>
    </w:p>
    <w:p w14:paraId="0025EDF5">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如果乙方在收到报修通知后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天内没有弥补缺陷，甲方可采取必要的补救措施，但费用和风险由乙方承担。</w:t>
      </w:r>
    </w:p>
    <w:p w14:paraId="7CCB59AB">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2.维修</w:t>
      </w:r>
    </w:p>
    <w:p w14:paraId="7A2FA291">
      <w:pPr>
        <w:spacing w:after="120" w:line="360" w:lineRule="auto"/>
        <w:ind w:firstLine="420"/>
        <w:rPr>
          <w:rFonts w:hint="eastAsia" w:ascii="宋体" w:hAnsi="宋体" w:eastAsia="宋体" w:cs="宋体"/>
          <w:color w:val="auto"/>
          <w:sz w:val="24"/>
          <w:szCs w:val="24"/>
          <w:highlight w:val="yellow"/>
        </w:rPr>
      </w:pPr>
      <w:r>
        <w:rPr>
          <w:rFonts w:hint="eastAsia" w:ascii="宋体" w:hAnsi="宋体" w:eastAsia="宋体" w:cs="宋体"/>
          <w:color w:val="auto"/>
          <w:sz w:val="24"/>
          <w:szCs w:val="24"/>
          <w:highlight w:val="yellow"/>
        </w:rPr>
        <w:t>保修期届满后，乙方应对其提供的货物负有维修义务，但所涉及的费用由甲方承担。</w:t>
      </w:r>
    </w:p>
    <w:p w14:paraId="7F75DA2A">
      <w:pPr>
        <w:spacing w:line="360" w:lineRule="auto"/>
        <w:ind w:firstLine="42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第十条</w:t>
      </w:r>
      <w:r>
        <w:rPr>
          <w:rFonts w:hint="eastAsia" w:ascii="宋体" w:hAnsi="宋体" w:eastAsia="宋体" w:cs="宋体"/>
          <w:color w:val="auto"/>
          <w:sz w:val="24"/>
          <w:szCs w:val="24"/>
          <w:highlight w:val="none"/>
        </w:rPr>
        <w:t>  乙方的违约责任</w:t>
      </w:r>
    </w:p>
    <w:p w14:paraId="27F40994">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1.乙方不能交货的，应向甲方偿付不能交货部分货款的</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（通用产品的幅度为1%－5%，专用产品的幅度为10%－30%）的违约金。</w:t>
      </w:r>
    </w:p>
    <w:p w14:paraId="0398B4C1">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所交产品不符合合同规定的，如果甲方同意利用，应当按质论价；如果甲方不能利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r>
        <w:rPr>
          <w:rFonts w:hint="eastAsia" w:ascii="宋体" w:hAnsi="宋体" w:eastAsia="宋体" w:cs="宋体"/>
          <w:color w:val="auto"/>
          <w:sz w:val="24"/>
          <w:szCs w:val="24"/>
          <w:highlight w:val="none"/>
          <w:lang w:val="en-US" w:eastAsia="zh-CN"/>
        </w:rPr>
        <w:t xml:space="preserve">投标人在投标文件中需对上述单独做出保证，并附到投标文件中； </w:t>
      </w:r>
    </w:p>
    <w:p w14:paraId="20163CB0">
      <w:pPr>
        <w:spacing w:line="360" w:lineRule="auto"/>
        <w:ind w:firstLine="42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w:t>
      </w:r>
      <w:r>
        <w:rPr>
          <w:rFonts w:hint="eastAsia" w:ascii="宋体" w:hAnsi="宋体" w:eastAsia="宋体" w:cs="宋体"/>
          <w:color w:val="auto"/>
          <w:sz w:val="24"/>
          <w:szCs w:val="24"/>
          <w:highlight w:val="none"/>
          <w:lang w:val="en-US" w:eastAsia="zh-CN"/>
        </w:rPr>
        <w:t>进口件的，应出具报关手续和原产地、原产工厂证明、报关手续和商检证明等。</w:t>
      </w:r>
    </w:p>
    <w:p w14:paraId="0F156F03">
      <w:pPr>
        <w:spacing w:line="360" w:lineRule="auto"/>
        <w:ind w:firstLine="42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如果乙方没有按照规定的时间交货、完成货物安装和提供服务，应向甲方支付违约金，违约金从货款中扣除，按每周迟交货物或未提供服务交货价的0.5%计收。但违约金的最高限额为迟交货物或提供服务合同价的5%。一周按7天计算，不足7天按一周计算。如果达到最高限额，甲方应考虑终止合同，由此给甲方造成的损失由乙方承担。投标人在投标文件中需对上述单独做出保证，并附到投标文件中； </w:t>
      </w:r>
    </w:p>
    <w:p w14:paraId="1BF2D976">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5.乙方提前交货的产品、多交的产品和不符合合同规定的产品，甲方在代保管期内实际支付的保管、保养等费用以及非因甲方保管不善而发生的损失，应当由乙方承担。</w:t>
      </w:r>
    </w:p>
    <w:p w14:paraId="5EEBA2B8">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6.乙方应对其所提供的货物承担所有权担保责任，并应保证甲方在中华人民共和国内使用该货物时不侵犯第三人的知识产权。否则乙方应承担由此引起的一切法律责任及费用。</w:t>
      </w:r>
    </w:p>
    <w:p w14:paraId="6E81B9E3">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7.任何一方未经对方同意而单方面终止合同的，应向对方赔偿相当于本合同总价款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违约金。</w:t>
      </w:r>
    </w:p>
    <w:p w14:paraId="3CFFDE6F">
      <w:pPr>
        <w:pStyle w:val="4"/>
        <w:rPr>
          <w:rFonts w:hint="eastAsia" w:ascii="宋体" w:hAnsi="宋体" w:eastAsia="宋体" w:cs="宋体"/>
          <w:b w:val="0"/>
          <w:bCs w:val="0"/>
          <w:color w:val="auto"/>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bidi="ar-SA"/>
        </w:rPr>
        <w:t>8、投标人需在投标文件中出具保证书，保证本项目不挂靠、不违法分包，一旦发现挂靠、违法分包等情形，甲方有权解除合同，且投标人承诺自愿接受甲方的经济处罚及其他处罚</w:t>
      </w:r>
    </w:p>
    <w:p w14:paraId="1E8329EF">
      <w:pPr>
        <w:spacing w:line="360" w:lineRule="auto"/>
        <w:ind w:firstLine="42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第十一条</w:t>
      </w:r>
      <w:r>
        <w:rPr>
          <w:rFonts w:hint="eastAsia" w:ascii="宋体" w:hAnsi="宋体" w:eastAsia="宋体" w:cs="宋体"/>
          <w:color w:val="auto"/>
          <w:sz w:val="24"/>
          <w:szCs w:val="24"/>
          <w:highlight w:val="none"/>
        </w:rPr>
        <w:t>  甲方的违约责任</w:t>
      </w:r>
    </w:p>
    <w:p w14:paraId="541B9C5F">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1.甲方中途退货，应向乙方偿付退货部分货款</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%（通用产品的幅度为1%~5%专用产品的幅度为15%-30%）的违约金。</w:t>
      </w:r>
    </w:p>
    <w:p w14:paraId="6BA237DA">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2.甲方违反合同规定拒绝接货的，应当承担由此造成的损失。</w:t>
      </w:r>
    </w:p>
    <w:p w14:paraId="7905DD18">
      <w:pPr>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3. 甲方未按照合同约定支付货款，应向乙方违约金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5ACBF097">
      <w:pPr>
        <w:spacing w:line="360" w:lineRule="auto"/>
        <w:ind w:firstLine="42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第十二条 </w:t>
      </w:r>
      <w:r>
        <w:rPr>
          <w:rFonts w:hint="eastAsia" w:ascii="宋体" w:hAnsi="宋体" w:eastAsia="宋体" w:cs="宋体"/>
          <w:color w:val="auto"/>
          <w:sz w:val="24"/>
          <w:szCs w:val="24"/>
          <w:highlight w:val="none"/>
        </w:rPr>
        <w:t xml:space="preserve"> 不可抗力</w:t>
      </w:r>
    </w:p>
    <w:p w14:paraId="494584C6">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59392CA9">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74DC9F1D">
      <w:pPr>
        <w:spacing w:line="360" w:lineRule="auto"/>
        <w:ind w:firstLine="42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第十三条  </w:t>
      </w:r>
      <w:r>
        <w:rPr>
          <w:rFonts w:hint="eastAsia" w:ascii="宋体" w:hAnsi="宋体" w:eastAsia="宋体" w:cs="宋体"/>
          <w:color w:val="auto"/>
          <w:sz w:val="24"/>
          <w:szCs w:val="24"/>
          <w:highlight w:val="none"/>
        </w:rPr>
        <w:t>履约（或质量）保证金</w:t>
      </w:r>
    </w:p>
    <w:p w14:paraId="7F3599E2">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1.本项目不收取履约保证金。确需收取履约保证金的，甲方不得要求乙方以现款的形式提供。乙方提供的履约保证金按规定格式以银行保函形式提供，与此有关的费用由卖方承担。</w:t>
      </w:r>
    </w:p>
    <w:p w14:paraId="1CE506A6">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2.若确需质量保证金的，质量保证金不得超过合同总价款的5%。</w:t>
      </w:r>
    </w:p>
    <w:p w14:paraId="535687E1">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3.如乙方未能履行其合同规定的任何义务，甲方有权从履约保证金中取得补偿。</w:t>
      </w:r>
    </w:p>
    <w:p w14:paraId="19CF2537">
      <w:pPr>
        <w:spacing w:line="360" w:lineRule="auto"/>
        <w:ind w:firstLine="42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第十四条 </w:t>
      </w:r>
      <w:r>
        <w:rPr>
          <w:rFonts w:hint="eastAsia" w:ascii="宋体" w:hAnsi="宋体" w:eastAsia="宋体" w:cs="宋体"/>
          <w:color w:val="auto"/>
          <w:sz w:val="24"/>
          <w:szCs w:val="24"/>
          <w:highlight w:val="none"/>
        </w:rPr>
        <w:t>转让与分包</w:t>
      </w:r>
    </w:p>
    <w:p w14:paraId="404F574E">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1.除甲方事先书面同意外，乙方不得部分转让或全部转让其应履行的合同义务。</w:t>
      </w:r>
    </w:p>
    <w:p w14:paraId="6C90239E">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2.乙方应在投标文件中或以其他书面形式对甲方确认本合同项下所授予的所有分包合同。但该确认不解除乙方承担的本合同下的任何责任或义务。意即在本合同项下，乙方对甲方负总责。</w:t>
      </w:r>
    </w:p>
    <w:p w14:paraId="14FB0AE9">
      <w:pPr>
        <w:spacing w:line="360" w:lineRule="auto"/>
        <w:ind w:firstLine="42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第十五条 </w:t>
      </w:r>
      <w:r>
        <w:rPr>
          <w:rFonts w:hint="eastAsia" w:ascii="宋体" w:hAnsi="宋体" w:eastAsia="宋体" w:cs="宋体"/>
          <w:color w:val="auto"/>
          <w:sz w:val="24"/>
          <w:szCs w:val="24"/>
          <w:highlight w:val="none"/>
        </w:rPr>
        <w:t>合同文件及资料的使用</w:t>
      </w:r>
    </w:p>
    <w:p w14:paraId="2B801368">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1.乙方在未经甲方同意的情况下，不得将合同、合同中的规定、有关计划、图纸、样本或甲方为上述内容向乙方提供的资料透露给任何人。需在投标文件中承诺。未对此项做出承诺的视为不响应竞争性</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w:t>
      </w:r>
    </w:p>
    <w:p w14:paraId="2B3C758A">
      <w:pPr>
        <w:pStyle w:val="41"/>
        <w:numPr>
          <w:ilvl w:val="0"/>
          <w:numId w:val="0"/>
        </w:numPr>
        <w:tabs>
          <w:tab w:val="left" w:pos="941"/>
        </w:tabs>
        <w:adjustRightInd w:val="0"/>
        <w:snapToGrid w:val="0"/>
        <w:spacing w:line="360" w:lineRule="auto"/>
        <w:ind w:leftChars="200" w:firstLine="240" w:firstLineChars="1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2.除非执行合同需要，在事先未得到甲方同意的情况下，乙方不得使用前款所列的任何文件和资料。</w:t>
      </w:r>
    </w:p>
    <w:p w14:paraId="2F63A390">
      <w:pPr>
        <w:pStyle w:val="41"/>
        <w:numPr>
          <w:ilvl w:val="0"/>
          <w:numId w:val="0"/>
        </w:numPr>
        <w:tabs>
          <w:tab w:val="left" w:pos="941"/>
        </w:tabs>
        <w:adjustRightInd w:val="0"/>
        <w:snapToGrid w:val="0"/>
        <w:spacing w:line="360" w:lineRule="auto"/>
        <w:ind w:leftChars="200" w:firstLine="240" w:firstLineChars="1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val="en-US" w:bidi="ar-SA"/>
        </w:rPr>
        <w:t>供应商在响应文件中必须</w:t>
      </w:r>
      <w:r>
        <w:rPr>
          <w:rFonts w:hint="eastAsia" w:ascii="宋体" w:hAnsi="宋体" w:eastAsia="宋体" w:cs="宋体"/>
          <w:color w:val="auto"/>
          <w:sz w:val="24"/>
          <w:szCs w:val="24"/>
          <w:highlight w:val="none"/>
          <w:lang w:val="en-US" w:eastAsia="zh-CN" w:bidi="ar-SA"/>
        </w:rPr>
        <w:t>针对</w:t>
      </w:r>
      <w:r>
        <w:rPr>
          <w:rFonts w:hint="eastAsia" w:ascii="宋体" w:hAnsi="宋体" w:eastAsia="宋体" w:cs="宋体"/>
          <w:color w:val="auto"/>
          <w:sz w:val="24"/>
          <w:szCs w:val="24"/>
          <w:highlight w:val="none"/>
          <w:lang w:val="en-US" w:bidi="ar-SA"/>
        </w:rPr>
        <w:t>合同的标的、价款、质量、履行期限等主要条款应当与招标文件和中标人的投标文件的内容一致提供承诺书，并承担所有责任。</w:t>
      </w:r>
    </w:p>
    <w:p w14:paraId="07C72707">
      <w:pPr>
        <w:spacing w:line="360" w:lineRule="auto"/>
        <w:ind w:firstLine="42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第十六条 </w:t>
      </w:r>
      <w:r>
        <w:rPr>
          <w:rFonts w:hint="eastAsia" w:ascii="宋体" w:hAnsi="宋体" w:eastAsia="宋体" w:cs="宋体"/>
          <w:color w:val="auto"/>
          <w:sz w:val="24"/>
          <w:szCs w:val="24"/>
          <w:highlight w:val="none"/>
        </w:rPr>
        <w:t>合同纠纷调处</w:t>
      </w:r>
    </w:p>
    <w:p w14:paraId="58C98F57">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1.按本合同规定应该偿付的违约金、赔偿金、保管保养费和各种经济损失，应当在明确责任后10天内，按银行规定的结算办法付清，否则按逾期付款处理。但任何一方不得自行扣发货物或扣付货款来充抵。</w:t>
      </w:r>
    </w:p>
    <w:p w14:paraId="7B5D50B3">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eastAsia="宋体" w:cs="宋体"/>
          <w:b/>
          <w:color w:val="auto"/>
          <w:sz w:val="24"/>
          <w:szCs w:val="24"/>
          <w:highlight w:val="none"/>
          <w:u w:val="single"/>
        </w:rPr>
        <w:t>周口仲裁委员会</w:t>
      </w:r>
      <w:r>
        <w:rPr>
          <w:rFonts w:hint="eastAsia" w:ascii="宋体" w:hAnsi="宋体" w:eastAsia="宋体" w:cs="宋体"/>
          <w:color w:val="auto"/>
          <w:sz w:val="24"/>
          <w:szCs w:val="24"/>
          <w:highlight w:val="none"/>
        </w:rPr>
        <w:t>申请仲裁。②向合同签订地有级别管辖权的人民法院起诉。</w:t>
      </w:r>
    </w:p>
    <w:p w14:paraId="77B5BB85">
      <w:pPr>
        <w:spacing w:line="30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3、甲、乙双方均有权利向本项目具有监管职能的政府采购监督管理部门举报反映对方在合同履约中的违法违纪行为。</w:t>
      </w:r>
    </w:p>
    <w:p w14:paraId="4C647513">
      <w:pPr>
        <w:spacing w:line="360" w:lineRule="auto"/>
        <w:ind w:firstLine="422"/>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第十七条  </w:t>
      </w:r>
      <w:r>
        <w:rPr>
          <w:rFonts w:hint="eastAsia" w:ascii="宋体" w:hAnsi="宋体" w:eastAsia="宋体" w:cs="宋体"/>
          <w:color w:val="auto"/>
          <w:sz w:val="24"/>
          <w:szCs w:val="24"/>
          <w:highlight w:val="none"/>
        </w:rPr>
        <w:t>下列关于周口市公共资源交易中心政府采购代理机构名称</w:t>
      </w:r>
      <w:r>
        <w:rPr>
          <w:rFonts w:hint="eastAsia" w:ascii="宋体" w:hAnsi="宋体" w:eastAsia="宋体" w:cs="宋体"/>
          <w:color w:val="auto"/>
          <w:sz w:val="24"/>
          <w:szCs w:val="24"/>
          <w:highlight w:val="none"/>
          <w:u w:val="single"/>
        </w:rPr>
        <w:t>某项目（项目编号：某编号）</w:t>
      </w:r>
      <w:r>
        <w:rPr>
          <w:rFonts w:hint="eastAsia" w:ascii="宋体" w:hAnsi="宋体" w:eastAsia="宋体" w:cs="宋体"/>
          <w:color w:val="auto"/>
          <w:sz w:val="24"/>
          <w:szCs w:val="24"/>
          <w:highlight w:val="none"/>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18565BD6">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本合同一式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份，甲乙双方各执</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份，自双方当事人签字盖章之日起生效。</w:t>
      </w:r>
    </w:p>
    <w:p w14:paraId="1F8C4AE0">
      <w:pPr>
        <w:spacing w:line="360" w:lineRule="auto"/>
        <w:ind w:firstLine="420"/>
        <w:rPr>
          <w:rFonts w:hint="eastAsia" w:ascii="宋体" w:hAnsi="宋体" w:eastAsia="宋体" w:cs="宋体"/>
          <w:color w:val="auto"/>
          <w:sz w:val="24"/>
          <w:szCs w:val="24"/>
          <w:highlight w:val="none"/>
        </w:rPr>
      </w:pPr>
    </w:p>
    <w:p w14:paraId="6143573E">
      <w:pPr>
        <w:spacing w:line="360" w:lineRule="auto"/>
        <w:ind w:firstLine="420"/>
        <w:rPr>
          <w:rFonts w:hint="eastAsia" w:ascii="宋体" w:hAnsi="宋体" w:eastAsia="宋体" w:cs="宋体"/>
          <w:color w:val="auto"/>
          <w:sz w:val="24"/>
          <w:szCs w:val="24"/>
          <w:highlight w:val="none"/>
        </w:rPr>
      </w:pPr>
    </w:p>
    <w:p w14:paraId="45ABB16D">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采购人（甲方）：    （公章）           供货人（乙方）：     （公章）  </w:t>
      </w:r>
    </w:p>
    <w:p w14:paraId="2C2A8128">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                               地址：</w:t>
      </w:r>
    </w:p>
    <w:p w14:paraId="175FC9C5">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                         法定代表人：</w:t>
      </w:r>
    </w:p>
    <w:p w14:paraId="7C0D7D0B">
      <w:pPr>
        <w:spacing w:line="360" w:lineRule="auto"/>
        <w:ind w:firstLine="42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委托代理人：                         委托代理人：</w:t>
      </w:r>
    </w:p>
    <w:p w14:paraId="07840050">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                               电话：</w:t>
      </w:r>
    </w:p>
    <w:p w14:paraId="72682464">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开户银行：</w:t>
      </w:r>
    </w:p>
    <w:p w14:paraId="2EC00384">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                               账号：</w:t>
      </w:r>
    </w:p>
    <w:p w14:paraId="097959FF">
      <w:pPr>
        <w:spacing w:line="640" w:lineRule="auto"/>
        <w:ind w:firstLine="1575"/>
        <w:rPr>
          <w:rFonts w:hint="eastAsia" w:ascii="宋体" w:hAnsi="宋体" w:eastAsia="宋体" w:cs="宋体"/>
          <w:color w:val="auto"/>
          <w:sz w:val="24"/>
          <w:szCs w:val="24"/>
          <w:highlight w:val="none"/>
          <w:u w:val="single"/>
        </w:rPr>
      </w:pPr>
    </w:p>
    <w:p w14:paraId="67F59D58">
      <w:pPr>
        <w:spacing w:line="50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日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D0C302D">
      <w:pPr>
        <w:pStyle w:val="35"/>
        <w:ind w:firstLine="210"/>
        <w:jc w:val="center"/>
        <w:rPr>
          <w:rFonts w:hint="eastAsia" w:ascii="宋体" w:hAnsi="宋体" w:eastAsia="宋体" w:cs="宋体"/>
          <w:b/>
          <w:color w:val="auto"/>
          <w:sz w:val="24"/>
          <w:szCs w:val="24"/>
        </w:rPr>
      </w:pPr>
    </w:p>
    <w:p w14:paraId="290C050F">
      <w:pPr>
        <w:pStyle w:val="35"/>
        <w:ind w:firstLine="321"/>
        <w:jc w:val="center"/>
        <w:rPr>
          <w:b/>
          <w:color w:val="auto"/>
          <w:sz w:val="32"/>
          <w:szCs w:val="32"/>
        </w:rPr>
      </w:pPr>
    </w:p>
    <w:p w14:paraId="7C53E009">
      <w:pPr>
        <w:pStyle w:val="35"/>
        <w:ind w:firstLine="321"/>
        <w:jc w:val="center"/>
        <w:rPr>
          <w:b/>
          <w:color w:val="auto"/>
          <w:sz w:val="32"/>
          <w:szCs w:val="32"/>
        </w:rPr>
      </w:pPr>
    </w:p>
    <w:p w14:paraId="779BA5C3">
      <w:pPr>
        <w:pStyle w:val="35"/>
        <w:ind w:firstLine="321"/>
        <w:jc w:val="center"/>
        <w:rPr>
          <w:b/>
          <w:color w:val="auto"/>
          <w:sz w:val="32"/>
          <w:szCs w:val="32"/>
        </w:rPr>
      </w:pPr>
    </w:p>
    <w:p w14:paraId="390015E8">
      <w:pPr>
        <w:pStyle w:val="35"/>
        <w:ind w:firstLine="321"/>
        <w:jc w:val="center"/>
        <w:rPr>
          <w:b/>
          <w:color w:val="auto"/>
          <w:sz w:val="32"/>
          <w:szCs w:val="32"/>
        </w:rPr>
      </w:pPr>
    </w:p>
    <w:p w14:paraId="4A1BE487">
      <w:pPr>
        <w:pStyle w:val="35"/>
        <w:ind w:firstLine="321"/>
        <w:jc w:val="center"/>
        <w:rPr>
          <w:b/>
          <w:color w:val="auto"/>
          <w:sz w:val="32"/>
          <w:szCs w:val="32"/>
        </w:rPr>
      </w:pPr>
    </w:p>
    <w:p w14:paraId="747BFBDD">
      <w:pPr>
        <w:pStyle w:val="35"/>
        <w:ind w:firstLine="321"/>
        <w:jc w:val="center"/>
        <w:rPr>
          <w:b/>
          <w:color w:val="auto"/>
          <w:sz w:val="32"/>
          <w:szCs w:val="32"/>
        </w:rPr>
      </w:pPr>
    </w:p>
    <w:p w14:paraId="32CB8881">
      <w:pPr>
        <w:pStyle w:val="35"/>
        <w:ind w:firstLine="321"/>
        <w:jc w:val="center"/>
        <w:rPr>
          <w:b/>
          <w:color w:val="auto"/>
          <w:sz w:val="32"/>
          <w:szCs w:val="32"/>
        </w:rPr>
      </w:pPr>
    </w:p>
    <w:p w14:paraId="64E4E69D">
      <w:pPr>
        <w:pStyle w:val="35"/>
        <w:ind w:firstLine="321"/>
        <w:jc w:val="center"/>
        <w:rPr>
          <w:b/>
          <w:color w:val="auto"/>
          <w:sz w:val="32"/>
          <w:szCs w:val="32"/>
        </w:rPr>
      </w:pPr>
    </w:p>
    <w:p w14:paraId="396ABD34">
      <w:pPr>
        <w:pStyle w:val="35"/>
        <w:ind w:firstLine="321"/>
        <w:jc w:val="center"/>
        <w:rPr>
          <w:b/>
          <w:color w:val="auto"/>
          <w:sz w:val="32"/>
          <w:szCs w:val="32"/>
        </w:rPr>
      </w:pPr>
    </w:p>
    <w:p w14:paraId="39188C08">
      <w:pPr>
        <w:pStyle w:val="35"/>
        <w:ind w:firstLine="321"/>
        <w:jc w:val="center"/>
        <w:rPr>
          <w:b/>
          <w:color w:val="auto"/>
          <w:sz w:val="32"/>
          <w:szCs w:val="32"/>
        </w:rPr>
      </w:pPr>
    </w:p>
    <w:p w14:paraId="383D29CF">
      <w:pPr>
        <w:spacing w:line="380" w:lineRule="exact"/>
        <w:jc w:val="center"/>
        <w:rPr>
          <w:rFonts w:ascii="宋体" w:hAnsi="宋体" w:cs="宋体"/>
          <w:b/>
          <w:color w:val="auto"/>
          <w:sz w:val="28"/>
          <w:szCs w:val="28"/>
        </w:rPr>
      </w:pPr>
    </w:p>
    <w:p w14:paraId="39ECE908">
      <w:pPr>
        <w:spacing w:line="380" w:lineRule="exact"/>
        <w:jc w:val="center"/>
        <w:rPr>
          <w:rFonts w:ascii="宋体" w:hAnsi="宋体" w:cs="宋体"/>
          <w:b/>
          <w:color w:val="auto"/>
          <w:sz w:val="28"/>
          <w:szCs w:val="28"/>
        </w:rPr>
      </w:pPr>
    </w:p>
    <w:p w14:paraId="4E00DAF7">
      <w:pPr>
        <w:spacing w:line="380" w:lineRule="exact"/>
        <w:jc w:val="center"/>
        <w:rPr>
          <w:rFonts w:ascii="宋体" w:hAnsi="宋体" w:cs="宋体"/>
          <w:b/>
          <w:color w:val="auto"/>
          <w:sz w:val="28"/>
          <w:szCs w:val="28"/>
        </w:rPr>
      </w:pPr>
    </w:p>
    <w:p w14:paraId="51AD7D50">
      <w:pPr>
        <w:spacing w:line="380" w:lineRule="exact"/>
        <w:jc w:val="center"/>
        <w:rPr>
          <w:rFonts w:ascii="宋体" w:hAnsi="宋体" w:cs="宋体"/>
          <w:b/>
          <w:color w:val="auto"/>
          <w:sz w:val="28"/>
          <w:szCs w:val="28"/>
        </w:rPr>
      </w:pPr>
    </w:p>
    <w:p w14:paraId="055DA230">
      <w:pPr>
        <w:spacing w:line="380" w:lineRule="exact"/>
        <w:jc w:val="center"/>
        <w:rPr>
          <w:rFonts w:ascii="宋体" w:hAnsi="宋体" w:cs="宋体"/>
          <w:b/>
          <w:color w:val="auto"/>
          <w:sz w:val="28"/>
          <w:szCs w:val="28"/>
        </w:rPr>
      </w:pPr>
    </w:p>
    <w:p w14:paraId="42E5642E">
      <w:pPr>
        <w:pStyle w:val="35"/>
        <w:ind w:firstLine="321"/>
        <w:jc w:val="center"/>
        <w:rPr>
          <w:b/>
          <w:color w:val="auto"/>
          <w:sz w:val="32"/>
          <w:szCs w:val="32"/>
        </w:rPr>
      </w:pPr>
      <w:r>
        <w:rPr>
          <w:rFonts w:hint="eastAsia"/>
          <w:b/>
          <w:color w:val="auto"/>
          <w:sz w:val="32"/>
          <w:szCs w:val="32"/>
        </w:rPr>
        <w:t>周口市政府采购合同融资政策告知函</w:t>
      </w:r>
    </w:p>
    <w:p w14:paraId="710D88A7">
      <w:pPr>
        <w:pStyle w:val="35"/>
        <w:ind w:firstLine="240"/>
        <w:rPr>
          <w:rFonts w:asciiTheme="minorEastAsia" w:hAnsiTheme="minorEastAsia" w:eastAsiaTheme="minorEastAsia"/>
          <w:color w:val="auto"/>
          <w:sz w:val="24"/>
        </w:rPr>
      </w:pPr>
    </w:p>
    <w:p w14:paraId="548E1307">
      <w:pPr>
        <w:pStyle w:val="35"/>
        <w:ind w:firstLine="240"/>
        <w:rPr>
          <w:rFonts w:asciiTheme="minorEastAsia" w:hAnsiTheme="minorEastAsia" w:eastAsiaTheme="minorEastAsia"/>
          <w:color w:val="auto"/>
          <w:sz w:val="24"/>
        </w:rPr>
      </w:pPr>
    </w:p>
    <w:p w14:paraId="6C6844DE">
      <w:pPr>
        <w:pStyle w:val="35"/>
        <w:ind w:firstLine="240"/>
        <w:rPr>
          <w:rFonts w:asciiTheme="minorEastAsia" w:hAnsiTheme="minorEastAsia" w:eastAsiaTheme="minorEastAsia"/>
          <w:color w:val="auto"/>
          <w:sz w:val="24"/>
        </w:rPr>
      </w:pPr>
    </w:p>
    <w:p w14:paraId="63766ED6">
      <w:pPr>
        <w:pStyle w:val="35"/>
        <w:spacing w:line="360" w:lineRule="auto"/>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各供应商：</w:t>
      </w:r>
    </w:p>
    <w:p w14:paraId="7BB933E0">
      <w:pPr>
        <w:pStyle w:val="35"/>
        <w:spacing w:line="360" w:lineRule="auto"/>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欢迎贵公司参与周口市政府采购活动！</w:t>
      </w:r>
    </w:p>
    <w:p w14:paraId="51AA43FC">
      <w:pPr>
        <w:pStyle w:val="35"/>
        <w:spacing w:line="360" w:lineRule="auto"/>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0331C8EA">
      <w:pPr>
        <w:pStyle w:val="35"/>
        <w:rPr>
          <w:rFonts w:hint="eastAsia" w:ascii="宋体" w:hAnsi="宋体" w:cs="宋体"/>
          <w:b/>
          <w:color w:val="auto"/>
          <w:sz w:val="32"/>
          <w:szCs w:val="32"/>
        </w:rPr>
      </w:pPr>
      <w:r>
        <w:rPr>
          <w:rFonts w:hint="eastAsia" w:asciiTheme="minorEastAsia" w:hAnsiTheme="minorEastAsia" w:eastAsiaTheme="minorEastAsia"/>
          <w:color w:val="auto"/>
          <w:sz w:val="24"/>
        </w:rPr>
        <w:t>贷款渠道和提供贷款的金融机构，可在河南省政府采购网“河南省政府采购合同融资平台”查询联系。</w:t>
      </w:r>
    </w:p>
    <w:sectPr>
      <w:pgSz w:w="11906" w:h="16838"/>
      <w:pgMar w:top="1440"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5691A2-3857-4CD4-8DBA-E2FC0E0BF7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Black">
    <w:panose1 w:val="020B0A04020102020204"/>
    <w:charset w:val="00"/>
    <w:family w:val="swiss"/>
    <w:pitch w:val="default"/>
    <w:sig w:usb0="A00002AF" w:usb1="400078FB" w:usb2="00000000" w:usb3="00000000" w:csb0="6000009F" w:csb1="DFD70000"/>
    <w:embedRegular r:id="rId2" w:fontKey="{2E20D34B-EFB7-4B9B-B12A-18E602C7E422}"/>
  </w:font>
  <w:font w:name="楷体_GB2312">
    <w:panose1 w:val="02010609030101010101"/>
    <w:charset w:val="86"/>
    <w:family w:val="modern"/>
    <w:pitch w:val="default"/>
    <w:sig w:usb0="00000001" w:usb1="080E0000" w:usb2="00000000" w:usb3="00000000" w:csb0="00040000" w:csb1="00000000"/>
    <w:embedRegular r:id="rId3" w:fontKey="{65FC3451-8B57-4DF5-888E-4D4E7E21F273}"/>
  </w:font>
  <w:font w:name="微软雅黑">
    <w:panose1 w:val="020B0503020204020204"/>
    <w:charset w:val="86"/>
    <w:family w:val="auto"/>
    <w:pitch w:val="default"/>
    <w:sig w:usb0="80000287" w:usb1="2ACF3C50" w:usb2="00000016" w:usb3="00000000" w:csb0="0004001F" w:csb1="00000000"/>
    <w:embedRegular r:id="rId4" w:fontKey="{0FAC355C-247D-4B7B-90B7-4425A5230677}"/>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E3F6B">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100C755">
                          <w:pPr>
                            <w:pStyle w:val="12"/>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100C755">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DFA4F2">
    <w:pPr>
      <w:pStyle w:val="14"/>
      <w:pBdr>
        <w:bottom w:val="none" w:color="auto" w:sz="0" w:space="0"/>
      </w:pBdr>
      <w:spacing w:line="160" w:lineRule="atLeast"/>
      <w:jc w:val="both"/>
      <w:rPr>
        <w:rFonts w:ascii="楷体_GB2312" w:eastAsia="楷体_GB2312"/>
        <w:sz w:val="28"/>
        <w:u w:val="single"/>
      </w:rPr>
    </w:pPr>
  </w:p>
  <w:p w14:paraId="6C1D6F7E">
    <w:pPr>
      <w:pStyle w:val="14"/>
      <w:pBdr>
        <w:bottom w:val="none" w:color="auto" w:sz="0" w:space="0"/>
      </w:pBdr>
      <w:spacing w:line="160" w:lineRule="atLeast"/>
      <w:jc w:val="both"/>
      <w:rPr>
        <w:rFonts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8B902"/>
    <w:multiLevelType w:val="singleLevel"/>
    <w:tmpl w:val="9288B902"/>
    <w:lvl w:ilvl="0" w:tentative="0">
      <w:start w:val="1"/>
      <w:numFmt w:val="bullet"/>
      <w:lvlText w:val="•"/>
      <w:lvlJc w:val="left"/>
    </w:lvl>
  </w:abstractNum>
  <w:abstractNum w:abstractNumId="1">
    <w:nsid w:val="B4CF8A32"/>
    <w:multiLevelType w:val="singleLevel"/>
    <w:tmpl w:val="B4CF8A32"/>
    <w:lvl w:ilvl="0" w:tentative="0">
      <w:start w:val="1"/>
      <w:numFmt w:val="decimal"/>
      <w:suff w:val="nothing"/>
      <w:lvlText w:val="%1、"/>
      <w:lvlJc w:val="left"/>
    </w:lvl>
  </w:abstractNum>
  <w:abstractNum w:abstractNumId="2">
    <w:nsid w:val="BA4D83BC"/>
    <w:multiLevelType w:val="singleLevel"/>
    <w:tmpl w:val="BA4D83BC"/>
    <w:lvl w:ilvl="0" w:tentative="0">
      <w:start w:val="1"/>
      <w:numFmt w:val="decimal"/>
      <w:suff w:val="nothing"/>
      <w:lvlText w:val="（%1）"/>
      <w:lvlJc w:val="left"/>
    </w:lvl>
  </w:abstractNum>
  <w:abstractNum w:abstractNumId="3">
    <w:nsid w:val="00000002"/>
    <w:multiLevelType w:val="singleLevel"/>
    <w:tmpl w:val="00000002"/>
    <w:lvl w:ilvl="0" w:tentative="0">
      <w:start w:val="3"/>
      <w:numFmt w:val="decimal"/>
      <w:suff w:val="nothing"/>
      <w:lvlText w:val="(%1)"/>
      <w:lvlJc w:val="left"/>
    </w:lvl>
  </w:abstractNum>
  <w:abstractNum w:abstractNumId="4">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494EF83"/>
    <w:multiLevelType w:val="singleLevel"/>
    <w:tmpl w:val="2494EF83"/>
    <w:lvl w:ilvl="0" w:tentative="0">
      <w:start w:val="2"/>
      <w:numFmt w:val="decimal"/>
      <w:suff w:val="nothing"/>
      <w:lvlText w:val="（%1）"/>
      <w:lvlJc w:val="left"/>
    </w:lvl>
  </w:abstractNum>
  <w:abstractNum w:abstractNumId="7">
    <w:nsid w:val="2EB1EB58"/>
    <w:multiLevelType w:val="singleLevel"/>
    <w:tmpl w:val="2EB1EB58"/>
    <w:lvl w:ilvl="0" w:tentative="0">
      <w:start w:val="1"/>
      <w:numFmt w:val="decimal"/>
      <w:lvlText w:val="%1."/>
      <w:lvlJc w:val="left"/>
      <w:pPr>
        <w:tabs>
          <w:tab w:val="left" w:pos="312"/>
        </w:tabs>
      </w:pPr>
    </w:lvl>
  </w:abstractNum>
  <w:abstractNum w:abstractNumId="8">
    <w:nsid w:val="323F23B4"/>
    <w:multiLevelType w:val="singleLevel"/>
    <w:tmpl w:val="323F23B4"/>
    <w:lvl w:ilvl="0" w:tentative="0">
      <w:start w:val="1"/>
      <w:numFmt w:val="decimal"/>
      <w:suff w:val="nothing"/>
      <w:lvlText w:val="%1、"/>
      <w:lvlJc w:val="left"/>
    </w:lvl>
  </w:abstractNum>
  <w:abstractNum w:abstractNumId="9">
    <w:nsid w:val="37F467FB"/>
    <w:multiLevelType w:val="singleLevel"/>
    <w:tmpl w:val="37F467FB"/>
    <w:lvl w:ilvl="0" w:tentative="0">
      <w:start w:val="1"/>
      <w:numFmt w:val="decimal"/>
      <w:suff w:val="nothing"/>
      <w:lvlText w:val="%1、"/>
      <w:lvlJc w:val="left"/>
    </w:lvl>
  </w:abstractNum>
  <w:abstractNum w:abstractNumId="10">
    <w:nsid w:val="39A0D9AC"/>
    <w:multiLevelType w:val="singleLevel"/>
    <w:tmpl w:val="39A0D9AC"/>
    <w:lvl w:ilvl="0" w:tentative="0">
      <w:start w:val="1"/>
      <w:numFmt w:val="bullet"/>
      <w:lvlText w:val="•"/>
      <w:lvlJc w:val="left"/>
    </w:lvl>
  </w:abstractNum>
  <w:abstractNum w:abstractNumId="11">
    <w:nsid w:val="525F1ECA"/>
    <w:multiLevelType w:val="singleLevel"/>
    <w:tmpl w:val="525F1ECA"/>
    <w:lvl w:ilvl="0" w:tentative="0">
      <w:start w:val="9"/>
      <w:numFmt w:val="decimal"/>
      <w:suff w:val="nothing"/>
      <w:lvlText w:val="%1、"/>
      <w:lvlJc w:val="left"/>
    </w:lvl>
  </w:abstractNum>
  <w:abstractNum w:abstractNumId="12">
    <w:nsid w:val="629F7852"/>
    <w:multiLevelType w:val="singleLevel"/>
    <w:tmpl w:val="629F7852"/>
    <w:lvl w:ilvl="0" w:tentative="0">
      <w:start w:val="1"/>
      <w:numFmt w:val="decimal"/>
      <w:lvlText w:val="%1."/>
      <w:lvlJc w:val="left"/>
    </w:lvl>
  </w:abstractNum>
  <w:num w:numId="1">
    <w:abstractNumId w:val="5"/>
  </w:num>
  <w:num w:numId="2">
    <w:abstractNumId w:val="4"/>
  </w:num>
  <w:num w:numId="3">
    <w:abstractNumId w:val="8"/>
  </w:num>
  <w:num w:numId="4">
    <w:abstractNumId w:val="11"/>
  </w:num>
  <w:num w:numId="5">
    <w:abstractNumId w:val="2"/>
  </w:num>
  <w:num w:numId="6">
    <w:abstractNumId w:val="1"/>
  </w:num>
  <w:num w:numId="7">
    <w:abstractNumId w:val="9"/>
  </w:num>
  <w:num w:numId="8">
    <w:abstractNumId w:val="7"/>
  </w:num>
  <w:num w:numId="9">
    <w:abstractNumId w:val="6"/>
  </w:num>
  <w:num w:numId="10">
    <w:abstractNumId w:val="3"/>
  </w:num>
  <w:num w:numId="11">
    <w:abstractNumId w:val="12"/>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TrueTypeFonts/>
  <w:saveSubset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4E4188"/>
    <w:rsid w:val="0220273B"/>
    <w:rsid w:val="02420F90"/>
    <w:rsid w:val="039A1AC4"/>
    <w:rsid w:val="049C1865"/>
    <w:rsid w:val="05EB2395"/>
    <w:rsid w:val="05EF680C"/>
    <w:rsid w:val="0AA93B33"/>
    <w:rsid w:val="0B246449"/>
    <w:rsid w:val="0B841074"/>
    <w:rsid w:val="0C613B24"/>
    <w:rsid w:val="0DCD4878"/>
    <w:rsid w:val="0F490B5F"/>
    <w:rsid w:val="114E4188"/>
    <w:rsid w:val="121E3536"/>
    <w:rsid w:val="127F1320"/>
    <w:rsid w:val="154D7E92"/>
    <w:rsid w:val="16747810"/>
    <w:rsid w:val="16FF1E80"/>
    <w:rsid w:val="178A0F72"/>
    <w:rsid w:val="17BB1EE3"/>
    <w:rsid w:val="1A5E653A"/>
    <w:rsid w:val="1C021AF3"/>
    <w:rsid w:val="1C6406F5"/>
    <w:rsid w:val="1C801B59"/>
    <w:rsid w:val="1D5A650E"/>
    <w:rsid w:val="1EDA3596"/>
    <w:rsid w:val="1F1A3993"/>
    <w:rsid w:val="216B497A"/>
    <w:rsid w:val="23B93079"/>
    <w:rsid w:val="27E07499"/>
    <w:rsid w:val="2C720F11"/>
    <w:rsid w:val="2E13629A"/>
    <w:rsid w:val="2ED97291"/>
    <w:rsid w:val="2EEC6379"/>
    <w:rsid w:val="30601421"/>
    <w:rsid w:val="32732851"/>
    <w:rsid w:val="32C75788"/>
    <w:rsid w:val="36874DFF"/>
    <w:rsid w:val="389E68E8"/>
    <w:rsid w:val="39720CE2"/>
    <w:rsid w:val="3F294839"/>
    <w:rsid w:val="3FBE445A"/>
    <w:rsid w:val="41F01861"/>
    <w:rsid w:val="42CD6DEA"/>
    <w:rsid w:val="45A615A7"/>
    <w:rsid w:val="47DE5F73"/>
    <w:rsid w:val="492920C1"/>
    <w:rsid w:val="49334233"/>
    <w:rsid w:val="4A8A3813"/>
    <w:rsid w:val="4BB17561"/>
    <w:rsid w:val="4C487881"/>
    <w:rsid w:val="4D16088C"/>
    <w:rsid w:val="4D663E25"/>
    <w:rsid w:val="4F0F7CB0"/>
    <w:rsid w:val="50CB623F"/>
    <w:rsid w:val="528A2602"/>
    <w:rsid w:val="53587DBA"/>
    <w:rsid w:val="55D60AFE"/>
    <w:rsid w:val="56CF0173"/>
    <w:rsid w:val="5A2231CF"/>
    <w:rsid w:val="5AC90457"/>
    <w:rsid w:val="5CBC7D88"/>
    <w:rsid w:val="5D2E002E"/>
    <w:rsid w:val="5E5A7C48"/>
    <w:rsid w:val="61865AF1"/>
    <w:rsid w:val="643141CF"/>
    <w:rsid w:val="64653A7A"/>
    <w:rsid w:val="64EB6281"/>
    <w:rsid w:val="68926F78"/>
    <w:rsid w:val="6CE61E27"/>
    <w:rsid w:val="6D2E5295"/>
    <w:rsid w:val="6D417710"/>
    <w:rsid w:val="6ED8604B"/>
    <w:rsid w:val="714D0E2D"/>
    <w:rsid w:val="71B927E7"/>
    <w:rsid w:val="738D1AFA"/>
    <w:rsid w:val="74A94712"/>
    <w:rsid w:val="757D12D9"/>
    <w:rsid w:val="77D070AC"/>
    <w:rsid w:val="7B7800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2"/>
    <w:basedOn w:val="1"/>
    <w:next w:val="1"/>
    <w:qFormat/>
    <w:uiPriority w:val="0"/>
    <w:pPr>
      <w:spacing w:line="0" w:lineRule="atLeast"/>
      <w:jc w:val="center"/>
      <w:outlineLvl w:val="1"/>
    </w:pPr>
    <w:rPr>
      <w:kern w:val="0"/>
      <w:sz w:val="28"/>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4">
    <w:name w:val="heading 4"/>
    <w:basedOn w:val="1"/>
    <w:next w:val="1"/>
    <w:qFormat/>
    <w:uiPriority w:val="1"/>
    <w:pPr>
      <w:ind w:left="218"/>
      <w:outlineLvl w:val="3"/>
    </w:pPr>
    <w:rPr>
      <w:b/>
      <w:bCs/>
      <w:sz w:val="24"/>
      <w:szCs w:val="24"/>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5">
    <w:name w:val="caption"/>
    <w:basedOn w:val="1"/>
    <w:next w:val="1"/>
    <w:qFormat/>
    <w:uiPriority w:val="0"/>
    <w:rPr>
      <w:rFonts w:ascii="Cambria" w:hAnsi="Cambria" w:eastAsia="黑体"/>
      <w:sz w:val="20"/>
    </w:rPr>
  </w:style>
  <w:style w:type="paragraph" w:styleId="6">
    <w:name w:val="Body Text 3"/>
    <w:basedOn w:val="1"/>
    <w:qFormat/>
    <w:uiPriority w:val="0"/>
    <w:pPr>
      <w:spacing w:after="120"/>
    </w:pPr>
    <w:rPr>
      <w:sz w:val="16"/>
      <w:szCs w:val="16"/>
    </w:rPr>
  </w:style>
  <w:style w:type="paragraph" w:styleId="7">
    <w:name w:val="Body Text"/>
    <w:basedOn w:val="1"/>
    <w:next w:val="8"/>
    <w:qFormat/>
    <w:uiPriority w:val="99"/>
    <w:pPr>
      <w:spacing w:after="120"/>
    </w:pPr>
  </w:style>
  <w:style w:type="paragraph" w:customStyle="1" w:styleId="8">
    <w:name w:val="Body Text 21"/>
    <w:basedOn w:val="1"/>
    <w:qFormat/>
    <w:uiPriority w:val="0"/>
    <w:rPr>
      <w:rFonts w:ascii="ˎ̥" w:hAnsi="ˎ̥" w:cs="宋体"/>
      <w:b/>
      <w:sz w:val="32"/>
    </w:rPr>
  </w:style>
  <w:style w:type="paragraph" w:styleId="9">
    <w:name w:val="Body Text Indent"/>
    <w:basedOn w:val="1"/>
    <w:qFormat/>
    <w:uiPriority w:val="0"/>
    <w:pPr>
      <w:ind w:firstLine="632" w:firstLineChars="200"/>
    </w:pPr>
    <w:rPr>
      <w:rFonts w:ascii="仿宋_GB2312" w:hAnsi="华文楷体" w:eastAsia="仿宋_GB2312"/>
      <w:sz w:val="32"/>
    </w:rPr>
  </w:style>
  <w:style w:type="paragraph" w:styleId="10">
    <w:name w:val="Plain Text"/>
    <w:basedOn w:val="1"/>
    <w:qFormat/>
    <w:uiPriority w:val="99"/>
    <w:rPr>
      <w:rFonts w:ascii="宋体" w:hAnsi="Courier New"/>
      <w:szCs w:val="20"/>
    </w:rPr>
  </w:style>
  <w:style w:type="paragraph" w:styleId="11">
    <w:name w:val="Body Text Indent 2"/>
    <w:basedOn w:val="1"/>
    <w:qFormat/>
    <w:uiPriority w:val="0"/>
    <w:pPr>
      <w:spacing w:after="120" w:line="480" w:lineRule="auto"/>
      <w:ind w:left="420" w:leftChars="200"/>
    </w:p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envelope return"/>
    <w:basedOn w:val="1"/>
    <w:qFormat/>
    <w:uiPriority w:val="99"/>
    <w:pPr>
      <w:snapToGrid w:val="0"/>
    </w:pPr>
    <w:rPr>
      <w:rFonts w:ascii="Arial" w:hAnsi="Arial"/>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0"/>
    <w:pPr>
      <w:widowControl w:val="0"/>
      <w:spacing w:after="0"/>
      <w:jc w:val="both"/>
    </w:pPr>
    <w:rPr>
      <w:rFonts w:ascii="Times New Roman" w:hAnsi="Times New Roman" w:eastAsia="宋体" w:cs="Times New Roman"/>
      <w:kern w:val="2"/>
      <w:sz w:val="21"/>
      <w:szCs w:val="24"/>
      <w:lang w:val="en-US" w:eastAsia="zh-CN" w:bidi="ar-SA"/>
    </w:rPr>
  </w:style>
  <w:style w:type="paragraph" w:styleId="16">
    <w:name w:val="footnote text"/>
    <w:basedOn w:val="1"/>
    <w:qFormat/>
    <w:uiPriority w:val="99"/>
    <w:pPr>
      <w:snapToGrid w:val="0"/>
      <w:jc w:val="left"/>
    </w:pPr>
    <w:rPr>
      <w:sz w:val="18"/>
      <w:szCs w:val="18"/>
    </w:rPr>
  </w:style>
  <w:style w:type="paragraph" w:styleId="17">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18">
    <w:name w:val="Body Text First Indent"/>
    <w:basedOn w:val="7"/>
    <w:next w:val="19"/>
    <w:unhideWhenUsed/>
    <w:qFormat/>
    <w:uiPriority w:val="99"/>
    <w:pPr>
      <w:ind w:firstLine="420" w:firstLineChars="100"/>
    </w:pPr>
  </w:style>
  <w:style w:type="paragraph" w:styleId="19">
    <w:name w:val="Body Text First Indent 2"/>
    <w:basedOn w:val="9"/>
    <w:qFormat/>
    <w:uiPriority w:val="99"/>
    <w:pPr>
      <w:tabs>
        <w:tab w:val="left" w:pos="0"/>
        <w:tab w:val="left" w:pos="993"/>
        <w:tab w:val="left" w:pos="1134"/>
      </w:tabs>
      <w:ind w:firstLine="420"/>
    </w:pPr>
  </w:style>
  <w:style w:type="table" w:styleId="21">
    <w:name w:val="Table Grid"/>
    <w:basedOn w:val="2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3">
    <w:name w:val="Strong"/>
    <w:basedOn w:val="22"/>
    <w:qFormat/>
    <w:uiPriority w:val="0"/>
    <w:rPr>
      <w:b/>
    </w:rPr>
  </w:style>
  <w:style w:type="character" w:styleId="24">
    <w:name w:val="FollowedHyperlink"/>
    <w:basedOn w:val="22"/>
    <w:qFormat/>
    <w:uiPriority w:val="0"/>
    <w:rPr>
      <w:color w:val="800080"/>
      <w:u w:val="none"/>
    </w:rPr>
  </w:style>
  <w:style w:type="character" w:styleId="25">
    <w:name w:val="Emphasis"/>
    <w:basedOn w:val="22"/>
    <w:qFormat/>
    <w:uiPriority w:val="0"/>
    <w:rPr>
      <w:i/>
    </w:rPr>
  </w:style>
  <w:style w:type="character" w:styleId="26">
    <w:name w:val="HTML Definition"/>
    <w:basedOn w:val="22"/>
    <w:qFormat/>
    <w:uiPriority w:val="0"/>
  </w:style>
  <w:style w:type="character" w:styleId="27">
    <w:name w:val="HTML Typewriter"/>
    <w:basedOn w:val="22"/>
    <w:qFormat/>
    <w:uiPriority w:val="0"/>
    <w:rPr>
      <w:rFonts w:ascii="monospace" w:hAnsi="monospace" w:eastAsia="monospace" w:cs="monospace"/>
      <w:sz w:val="20"/>
    </w:rPr>
  </w:style>
  <w:style w:type="character" w:styleId="28">
    <w:name w:val="HTML Acronym"/>
    <w:basedOn w:val="22"/>
    <w:qFormat/>
    <w:uiPriority w:val="0"/>
  </w:style>
  <w:style w:type="character" w:styleId="29">
    <w:name w:val="HTML Variable"/>
    <w:basedOn w:val="22"/>
    <w:qFormat/>
    <w:uiPriority w:val="0"/>
  </w:style>
  <w:style w:type="character" w:styleId="30">
    <w:name w:val="Hyperlink"/>
    <w:basedOn w:val="22"/>
    <w:qFormat/>
    <w:uiPriority w:val="0"/>
    <w:rPr>
      <w:color w:val="0000FF"/>
      <w:u w:val="none"/>
    </w:rPr>
  </w:style>
  <w:style w:type="character" w:styleId="31">
    <w:name w:val="HTML Code"/>
    <w:basedOn w:val="22"/>
    <w:qFormat/>
    <w:uiPriority w:val="0"/>
    <w:rPr>
      <w:rFonts w:hint="default" w:ascii="monospace" w:hAnsi="monospace" w:eastAsia="monospace" w:cs="monospace"/>
      <w:sz w:val="20"/>
    </w:rPr>
  </w:style>
  <w:style w:type="character" w:styleId="32">
    <w:name w:val="HTML Cite"/>
    <w:basedOn w:val="22"/>
    <w:qFormat/>
    <w:uiPriority w:val="0"/>
  </w:style>
  <w:style w:type="character" w:styleId="33">
    <w:name w:val="HTML Keyboard"/>
    <w:basedOn w:val="22"/>
    <w:qFormat/>
    <w:uiPriority w:val="0"/>
    <w:rPr>
      <w:rFonts w:hint="default" w:ascii="monospace" w:hAnsi="monospace" w:eastAsia="monospace" w:cs="monospace"/>
      <w:sz w:val="20"/>
    </w:rPr>
  </w:style>
  <w:style w:type="character" w:styleId="34">
    <w:name w:val="HTML Sample"/>
    <w:basedOn w:val="22"/>
    <w:qFormat/>
    <w:uiPriority w:val="0"/>
    <w:rPr>
      <w:rFonts w:hint="default" w:ascii="monospace" w:hAnsi="monospace" w:eastAsia="monospace" w:cs="monospace"/>
    </w:rPr>
  </w:style>
  <w:style w:type="paragraph" w:customStyle="1" w:styleId="35">
    <w:name w:val="BodyText1I"/>
    <w:basedOn w:val="36"/>
    <w:qFormat/>
    <w:uiPriority w:val="99"/>
    <w:pPr>
      <w:ind w:firstLine="420" w:firstLineChars="100"/>
    </w:pPr>
  </w:style>
  <w:style w:type="paragraph" w:customStyle="1" w:styleId="36">
    <w:name w:val="BodyText"/>
    <w:basedOn w:val="1"/>
    <w:qFormat/>
    <w:uiPriority w:val="99"/>
    <w:pPr>
      <w:spacing w:after="120"/>
    </w:pPr>
  </w:style>
  <w:style w:type="paragraph" w:customStyle="1" w:styleId="37">
    <w:name w:val="UserStyle_217"/>
    <w:qFormat/>
    <w:uiPriority w:val="99"/>
    <w:pPr>
      <w:textAlignment w:val="baseline"/>
    </w:pPr>
    <w:rPr>
      <w:rFonts w:ascii="宋体" w:hAnsi="Times New Roman" w:eastAsia="宋体" w:cs="Times New Roman"/>
      <w:color w:val="000000"/>
      <w:sz w:val="24"/>
      <w:szCs w:val="24"/>
      <w:lang w:val="en-US" w:eastAsia="zh-CN" w:bidi="ar-SA"/>
    </w:rPr>
  </w:style>
  <w:style w:type="paragraph" w:customStyle="1" w:styleId="38">
    <w:name w:val="p0"/>
    <w:basedOn w:val="1"/>
    <w:qFormat/>
    <w:uiPriority w:val="0"/>
    <w:pPr>
      <w:widowControl/>
    </w:pPr>
    <w:rPr>
      <w:rFonts w:ascii="Calibri" w:hAnsi="Calibri" w:cs="宋体"/>
      <w:kern w:val="0"/>
      <w:szCs w:val="21"/>
    </w:rPr>
  </w:style>
  <w:style w:type="paragraph" w:customStyle="1" w:styleId="39">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40">
    <w:name w:val="D&amp;L"/>
    <w:basedOn w:val="14"/>
    <w:qFormat/>
    <w:uiPriority w:val="0"/>
    <w:pPr>
      <w:pBdr>
        <w:bottom w:val="thinThickSmallGap" w:color="auto" w:sz="18" w:space="1"/>
      </w:pBdr>
      <w:adjustRightInd w:val="0"/>
      <w:snapToGrid/>
      <w:spacing w:line="240" w:lineRule="atLeast"/>
      <w:textAlignment w:val="baseline"/>
    </w:pPr>
    <w:rPr>
      <w:kern w:val="0"/>
      <w:sz w:val="24"/>
    </w:rPr>
  </w:style>
  <w:style w:type="paragraph" w:styleId="41">
    <w:name w:val="List Paragraph"/>
    <w:basedOn w:val="1"/>
    <w:qFormat/>
    <w:uiPriority w:val="34"/>
    <w:pPr>
      <w:ind w:firstLine="420" w:firstLineChars="200"/>
    </w:pPr>
  </w:style>
  <w:style w:type="paragraph" w:customStyle="1" w:styleId="42">
    <w:name w:val="Table Paragraph"/>
    <w:basedOn w:val="1"/>
    <w:qFormat/>
    <w:uiPriority w:val="0"/>
    <w:pPr>
      <w:autoSpaceDE w:val="0"/>
      <w:autoSpaceDN w:val="0"/>
      <w:jc w:val="left"/>
    </w:pPr>
    <w:rPr>
      <w:rFonts w:ascii="宋体" w:hAnsi="宋体" w:cs="宋体"/>
      <w:kern w:val="0"/>
      <w:sz w:val="22"/>
      <w:szCs w:val="22"/>
      <w:lang w:val="zh-CN" w:bidi="zh-CN"/>
    </w:rPr>
  </w:style>
  <w:style w:type="character" w:customStyle="1" w:styleId="43">
    <w:name w:val="NormalCharacter"/>
    <w:qFormat/>
    <w:uiPriority w:val="0"/>
  </w:style>
  <w:style w:type="paragraph" w:customStyle="1" w:styleId="44">
    <w:name w:val="xl31"/>
    <w:basedOn w:val="1"/>
    <w:qFormat/>
    <w:uiPriority w:val="0"/>
    <w:pPr>
      <w:widowControl/>
      <w:spacing w:before="100" w:beforeAutospacing="1" w:after="100" w:afterAutospacing="1"/>
      <w:jc w:val="center"/>
    </w:pPr>
    <w:rPr>
      <w:rFonts w:ascii="宋体" w:hAnsi="宋体"/>
      <w:b/>
      <w:bCs/>
      <w:kern w:val="0"/>
      <w:sz w:val="28"/>
      <w:szCs w:val="28"/>
    </w:rPr>
  </w:style>
  <w:style w:type="character" w:customStyle="1" w:styleId="45">
    <w:name w:val="esdskipcrossnaventer"/>
    <w:basedOn w:val="22"/>
    <w:qFormat/>
    <w:uiPriority w:val="0"/>
    <w:rPr>
      <w:color w:val="FFFFFF"/>
      <w:sz w:val="19"/>
      <w:szCs w:val="19"/>
      <w:shd w:val="clear" w:fill="2A6EB3"/>
    </w:rPr>
  </w:style>
  <w:style w:type="character" w:customStyle="1" w:styleId="46">
    <w:name w:val="nth-child(3)"/>
    <w:basedOn w:val="22"/>
    <w:qFormat/>
    <w:uiPriority w:val="0"/>
  </w:style>
  <w:style w:type="character" w:customStyle="1" w:styleId="47">
    <w:name w:val="nth-child(2)"/>
    <w:basedOn w:val="22"/>
    <w:qFormat/>
    <w:uiPriority w:val="0"/>
  </w:style>
  <w:style w:type="character" w:customStyle="1" w:styleId="48">
    <w:name w:val="nth-child(2)1"/>
    <w:basedOn w:val="22"/>
    <w:qFormat/>
    <w:uiPriority w:val="0"/>
  </w:style>
  <w:style w:type="paragraph" w:customStyle="1" w:styleId="49">
    <w:name w:val="标准正文"/>
    <w:basedOn w:val="1"/>
    <w:qFormat/>
    <w:uiPriority w:val="0"/>
    <w:pPr>
      <w:adjustRightInd w:val="0"/>
      <w:snapToGrid w:val="0"/>
      <w:spacing w:line="400" w:lineRule="atLeast"/>
    </w:pPr>
    <w:rPr>
      <w:rFonts w:ascii="宋体" w:hAnsi="宋体" w:cs="Times New Roman"/>
      <w:sz w:val="24"/>
      <w:szCs w:val="24"/>
    </w:rPr>
  </w:style>
  <w:style w:type="paragraph" w:customStyle="1" w:styleId="50">
    <w:name w:val="Default"/>
    <w:qFormat/>
    <w:uiPriority w:val="0"/>
    <w:pPr>
      <w:widowControl w:val="0"/>
      <w:autoSpaceDE w:val="0"/>
      <w:autoSpaceDN w:val="0"/>
      <w:adjustRightInd w:val="0"/>
    </w:pPr>
    <w:rPr>
      <w:rFonts w:ascii="Times New Roman" w:hAnsi="Times New Roman" w:eastAsia="宋体" w:cs="Times New Roman"/>
      <w:color w:val="000000"/>
      <w:sz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15145</Words>
  <Characters>16397</Characters>
  <Lines>1</Lines>
  <Paragraphs>1</Paragraphs>
  <TotalTime>1</TotalTime>
  <ScaleCrop>false</ScaleCrop>
  <LinksUpToDate>false</LinksUpToDate>
  <CharactersWithSpaces>16561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2025-08-01T04:16:00Z</dcterms:created>
  <dc:creator>初冬</dc:creator>
  <cp:lastModifiedBy>user</cp:lastModifiedBy>
  <dcterms:modified xsi:type="dcterms:W3CDTF">2026-10-22T07:53:41Z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48973D4F2DD74DD1B18292C625004D1F_13</vt:lpwstr>
  </property>
  <property fmtid="{D5CDD505-2E9C-101B-9397-08002B2CF9AE}" pid="4" name="KSOTemplateDocerSaveRecord">
    <vt:lpwstr>eyJoZGlkIjoiMGI2ZDFmZmVjNjhiYmI3Nzg5YTgxNzM4YzkzMWZjMzEiLCJ1c2VySWQiOiIxMDQyNjE2NTI1In0=</vt:lpwstr>
  </property>
</Properties>
</file>