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9ED14">
      <w:pPr>
        <w:tabs>
          <w:tab w:val="left" w:pos="420"/>
        </w:tabs>
        <w:spacing w:line="1700" w:lineRule="exact"/>
        <w:jc w:val="center"/>
        <w:rPr>
          <w:rFonts w:hint="eastAsia" w:ascii="宋体" w:hAnsi="宋体" w:eastAsia="宋体" w:cs="宋体"/>
          <w:b/>
          <w:bCs/>
          <w:color w:val="auto"/>
          <w:spacing w:val="36"/>
          <w:sz w:val="52"/>
          <w:szCs w:val="52"/>
          <w:highlight w:val="none"/>
        </w:rPr>
      </w:pPr>
      <w:r>
        <w:rPr>
          <w:rFonts w:hint="eastAsia" w:ascii="宋体" w:hAnsi="宋体" w:eastAsia="宋体" w:cs="宋体"/>
          <w:b/>
          <w:bCs/>
          <w:color w:val="auto"/>
          <w:spacing w:val="36"/>
          <w:sz w:val="52"/>
          <w:szCs w:val="52"/>
          <w:highlight w:val="none"/>
        </w:rPr>
        <w:t>周口市公共资源交易中心</w:t>
      </w:r>
    </w:p>
    <w:p w14:paraId="5C8041D9">
      <w:pPr>
        <w:tabs>
          <w:tab w:val="left" w:pos="315"/>
          <w:tab w:val="left" w:pos="8820"/>
        </w:tabs>
        <w:spacing w:line="240" w:lineRule="auto"/>
        <w:ind w:right="267" w:rightChars="127"/>
        <w:jc w:val="both"/>
        <w:rPr>
          <w:rFonts w:hint="eastAsia" w:ascii="宋体" w:hAnsi="宋体" w:eastAsia="宋体" w:cs="宋体"/>
          <w:b/>
          <w:bCs/>
          <w:color w:val="auto"/>
          <w:sz w:val="48"/>
          <w:highlight w:val="none"/>
        </w:rPr>
      </w:pPr>
    </w:p>
    <w:p w14:paraId="1E2B6E8E">
      <w:pPr>
        <w:pStyle w:val="35"/>
        <w:ind w:left="0" w:leftChars="0" w:firstLine="0" w:firstLineChars="0"/>
        <w:rPr>
          <w:rFonts w:hint="eastAsia" w:ascii="宋体" w:hAnsi="宋体" w:eastAsia="宋体" w:cs="宋体"/>
          <w:b/>
          <w:bCs/>
          <w:color w:val="auto"/>
          <w:highlight w:val="none"/>
          <w:lang w:eastAsia="zh-CN"/>
        </w:rPr>
      </w:pPr>
    </w:p>
    <w:p w14:paraId="343A95E4">
      <w:pPr>
        <w:pStyle w:val="35"/>
        <w:ind w:left="0" w:leftChars="0" w:firstLine="0" w:firstLineChars="0"/>
        <w:rPr>
          <w:rFonts w:hint="eastAsia" w:ascii="宋体" w:hAnsi="宋体" w:eastAsia="宋体" w:cs="宋体"/>
          <w:b/>
          <w:bCs/>
          <w:color w:val="auto"/>
          <w:highlight w:val="none"/>
          <w:lang w:eastAsia="zh-CN"/>
        </w:rPr>
      </w:pPr>
    </w:p>
    <w:p w14:paraId="5F7CDF06">
      <w:pPr>
        <w:tabs>
          <w:tab w:val="left" w:pos="315"/>
          <w:tab w:val="left" w:pos="8820"/>
        </w:tabs>
        <w:spacing w:line="240" w:lineRule="auto"/>
        <w:ind w:right="267" w:rightChars="127"/>
        <w:jc w:val="center"/>
        <w:rPr>
          <w:rFonts w:hint="eastAsia" w:ascii="宋体" w:hAnsi="宋体" w:eastAsia="宋体" w:cs="宋体"/>
          <w:b/>
          <w:bCs/>
          <w:color w:val="auto"/>
          <w:sz w:val="52"/>
          <w:highlight w:val="none"/>
        </w:rPr>
      </w:pPr>
      <w:r>
        <w:rPr>
          <w:rFonts w:hint="eastAsia" w:ascii="宋体" w:hAnsi="宋体" w:eastAsia="宋体" w:cs="宋体"/>
          <w:b/>
          <w:bCs/>
          <w:color w:val="auto"/>
          <w:sz w:val="52"/>
          <w:highlight w:val="none"/>
        </w:rPr>
        <w:t>竞争性磋商文件</w:t>
      </w:r>
    </w:p>
    <w:p w14:paraId="62401444">
      <w:pPr>
        <w:tabs>
          <w:tab w:val="left" w:pos="315"/>
          <w:tab w:val="left" w:pos="8820"/>
        </w:tabs>
        <w:spacing w:line="500" w:lineRule="exact"/>
        <w:ind w:right="267" w:rightChars="127"/>
        <w:jc w:val="both"/>
        <w:rPr>
          <w:rFonts w:hint="eastAsia" w:ascii="宋体" w:hAnsi="宋体" w:eastAsia="宋体" w:cs="宋体"/>
          <w:color w:val="auto"/>
          <w:sz w:val="44"/>
          <w:highlight w:val="none"/>
        </w:rPr>
      </w:pPr>
    </w:p>
    <w:p w14:paraId="7FF010BE">
      <w:pPr>
        <w:tabs>
          <w:tab w:val="left" w:pos="315"/>
          <w:tab w:val="left" w:pos="8820"/>
        </w:tabs>
        <w:ind w:right="267" w:rightChars="127"/>
        <w:rPr>
          <w:rFonts w:hint="eastAsia" w:ascii="宋体" w:hAnsi="宋体" w:eastAsia="宋体" w:cs="宋体"/>
          <w:color w:val="auto"/>
          <w:sz w:val="44"/>
          <w:highlight w:val="none"/>
        </w:rPr>
      </w:pPr>
    </w:p>
    <w:p w14:paraId="6D0C34A6">
      <w:pPr>
        <w:tabs>
          <w:tab w:val="left" w:pos="315"/>
          <w:tab w:val="left" w:pos="8820"/>
        </w:tabs>
        <w:spacing w:line="500" w:lineRule="exact"/>
        <w:ind w:right="267" w:rightChars="127"/>
        <w:rPr>
          <w:rFonts w:hint="eastAsia" w:ascii="宋体" w:hAnsi="宋体" w:eastAsia="宋体" w:cs="宋体"/>
          <w:b/>
          <w:bCs/>
          <w:color w:val="auto"/>
          <w:sz w:val="36"/>
          <w:highlight w:val="none"/>
        </w:rPr>
      </w:pPr>
    </w:p>
    <w:p w14:paraId="397F6668">
      <w:pPr>
        <w:tabs>
          <w:tab w:val="left" w:pos="315"/>
          <w:tab w:val="left" w:pos="8820"/>
        </w:tabs>
        <w:spacing w:line="500" w:lineRule="exact"/>
        <w:ind w:right="267" w:rightChars="127"/>
        <w:rPr>
          <w:rFonts w:hint="eastAsia" w:ascii="宋体" w:hAnsi="宋体" w:eastAsia="宋体" w:cs="宋体"/>
          <w:b/>
          <w:bCs/>
          <w:color w:val="auto"/>
          <w:sz w:val="36"/>
          <w:highlight w:val="none"/>
        </w:rPr>
      </w:pPr>
    </w:p>
    <w:p w14:paraId="3A2158D4">
      <w:pPr>
        <w:tabs>
          <w:tab w:val="left" w:pos="315"/>
          <w:tab w:val="left" w:pos="8820"/>
        </w:tabs>
        <w:spacing w:line="500" w:lineRule="exact"/>
        <w:ind w:right="267" w:rightChars="127"/>
        <w:rPr>
          <w:rFonts w:hint="eastAsia" w:ascii="宋体" w:hAnsi="宋体" w:eastAsia="宋体" w:cs="宋体"/>
          <w:b/>
          <w:bCs/>
          <w:color w:val="auto"/>
          <w:sz w:val="36"/>
          <w:highlight w:val="none"/>
        </w:rPr>
      </w:pPr>
    </w:p>
    <w:p w14:paraId="0C120EB6">
      <w:pPr>
        <w:tabs>
          <w:tab w:val="left" w:pos="315"/>
          <w:tab w:val="left" w:pos="8820"/>
        </w:tabs>
        <w:spacing w:line="500" w:lineRule="exact"/>
        <w:ind w:right="267" w:rightChars="127"/>
        <w:jc w:val="both"/>
        <w:rPr>
          <w:rFonts w:hint="eastAsia" w:ascii="宋体" w:hAnsi="宋体" w:eastAsia="宋体" w:cs="宋体"/>
          <w:color w:val="auto"/>
          <w:sz w:val="32"/>
          <w:highlight w:val="none"/>
        </w:rPr>
      </w:pPr>
    </w:p>
    <w:p w14:paraId="1EFA31A3">
      <w:pPr>
        <w:tabs>
          <w:tab w:val="left" w:pos="315"/>
          <w:tab w:val="left" w:pos="8820"/>
        </w:tabs>
        <w:spacing w:line="500" w:lineRule="exact"/>
        <w:ind w:right="267" w:rightChars="127"/>
        <w:jc w:val="both"/>
        <w:rPr>
          <w:rFonts w:hint="eastAsia" w:ascii="宋体" w:hAnsi="宋体" w:eastAsia="宋体" w:cs="宋体"/>
          <w:b/>
          <w:bCs/>
          <w:color w:val="auto"/>
          <w:sz w:val="52"/>
          <w:highlight w:val="none"/>
        </w:rPr>
      </w:pPr>
    </w:p>
    <w:p w14:paraId="09D182F1">
      <w:pPr>
        <w:pStyle w:val="13"/>
        <w:rPr>
          <w:rFonts w:hint="eastAsia" w:ascii="宋体" w:hAnsi="宋体" w:eastAsia="宋体" w:cs="宋体"/>
          <w:b/>
          <w:bCs/>
          <w:color w:val="auto"/>
          <w:sz w:val="52"/>
          <w:highlight w:val="none"/>
        </w:rPr>
      </w:pPr>
    </w:p>
    <w:p w14:paraId="2F45BBAF">
      <w:pPr>
        <w:pStyle w:val="13"/>
        <w:rPr>
          <w:rFonts w:hint="eastAsia" w:ascii="宋体" w:hAnsi="宋体" w:eastAsia="宋体" w:cs="宋体"/>
          <w:b/>
          <w:bCs/>
          <w:color w:val="auto"/>
          <w:sz w:val="52"/>
          <w:highlight w:val="none"/>
        </w:rPr>
      </w:pPr>
    </w:p>
    <w:p w14:paraId="2FDD7611">
      <w:pPr>
        <w:tabs>
          <w:tab w:val="left" w:pos="315"/>
          <w:tab w:val="left" w:pos="8820"/>
        </w:tabs>
        <w:spacing w:line="600" w:lineRule="exact"/>
        <w:ind w:right="267" w:rightChars="127" w:firstLine="280" w:firstLineChars="10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项目名称:郸城县市场监督管理局2026年度食品安全抽样检测项目</w:t>
      </w:r>
    </w:p>
    <w:p w14:paraId="1BF8642E">
      <w:pPr>
        <w:tabs>
          <w:tab w:val="left" w:pos="315"/>
          <w:tab w:val="left" w:pos="8820"/>
        </w:tabs>
        <w:spacing w:line="600" w:lineRule="exact"/>
        <w:ind w:right="267" w:rightChars="127" w:firstLine="280" w:firstLineChars="100"/>
        <w:jc w:val="lef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rPr>
        <w:t>项目编号:</w:t>
      </w:r>
      <w:r>
        <w:rPr>
          <w:rFonts w:hint="eastAsia" w:ascii="宋体" w:hAnsi="宋体" w:eastAsia="宋体" w:cs="宋体"/>
          <w:b w:val="0"/>
          <w:bCs w:val="0"/>
          <w:color w:val="auto"/>
          <w:sz w:val="28"/>
          <w:szCs w:val="28"/>
          <w:highlight w:val="none"/>
          <w:lang w:val="en-US" w:eastAsia="zh-CN"/>
        </w:rPr>
        <w:t>郸财磋商采购-2026-55</w:t>
      </w:r>
    </w:p>
    <w:p w14:paraId="73750E23">
      <w:pPr>
        <w:pStyle w:val="8"/>
        <w:jc w:val="center"/>
        <w:rPr>
          <w:rFonts w:hint="eastAsia" w:ascii="宋体" w:hAnsi="宋体" w:eastAsia="宋体" w:cs="宋体"/>
          <w:b w:val="0"/>
          <w:bCs w:val="0"/>
          <w:color w:val="auto"/>
          <w:sz w:val="28"/>
          <w:szCs w:val="28"/>
          <w:highlight w:val="none"/>
          <w:lang w:val="en-US" w:eastAsia="zh-CN"/>
        </w:rPr>
      </w:pPr>
    </w:p>
    <w:p w14:paraId="06E9B6D1">
      <w:pPr>
        <w:pStyle w:val="8"/>
        <w:jc w:val="center"/>
        <w:rPr>
          <w:rFonts w:hint="eastAsia" w:ascii="宋体" w:hAnsi="宋体" w:eastAsia="宋体" w:cs="宋体"/>
          <w:b w:val="0"/>
          <w:bCs w:val="0"/>
          <w:color w:val="auto"/>
          <w:sz w:val="32"/>
          <w:highlight w:val="none"/>
        </w:rPr>
      </w:pPr>
      <w:r>
        <w:rPr>
          <w:rFonts w:hint="eastAsia" w:ascii="宋体" w:hAnsi="宋体" w:eastAsia="宋体" w:cs="宋体"/>
          <w:b w:val="0"/>
          <w:bCs w:val="0"/>
          <w:color w:val="auto"/>
          <w:sz w:val="28"/>
          <w:szCs w:val="28"/>
          <w:highlight w:val="none"/>
          <w:lang w:val="en-US" w:eastAsia="zh-CN"/>
        </w:rPr>
        <w:t>2026</w:t>
      </w:r>
      <w:r>
        <w:rPr>
          <w:rFonts w:hint="eastAsia" w:ascii="宋体" w:hAnsi="宋体" w:eastAsia="宋体" w:cs="宋体"/>
          <w:b w:val="0"/>
          <w:bCs w:val="0"/>
          <w:color w:val="auto"/>
          <w:sz w:val="28"/>
          <w:szCs w:val="28"/>
          <w:highlight w:val="none"/>
        </w:rPr>
        <w:t>年</w:t>
      </w:r>
      <w:r>
        <w:rPr>
          <w:rFonts w:hint="eastAsia" w:ascii="宋体" w:hAnsi="宋体" w:eastAsia="宋体" w:cs="宋体"/>
          <w:b w:val="0"/>
          <w:bCs w:val="0"/>
          <w:color w:val="auto"/>
          <w:sz w:val="28"/>
          <w:szCs w:val="28"/>
          <w:highlight w:val="none"/>
          <w:lang w:val="en-US" w:eastAsia="zh-CN"/>
        </w:rPr>
        <w:t>8</w:t>
      </w:r>
      <w:r>
        <w:rPr>
          <w:rFonts w:hint="eastAsia" w:ascii="宋体" w:hAnsi="宋体" w:eastAsia="宋体" w:cs="宋体"/>
          <w:b w:val="0"/>
          <w:bCs w:val="0"/>
          <w:color w:val="auto"/>
          <w:sz w:val="28"/>
          <w:szCs w:val="28"/>
          <w:highlight w:val="none"/>
        </w:rPr>
        <w:t>月</w:t>
      </w:r>
      <w:r>
        <w:rPr>
          <w:rFonts w:hint="eastAsia" w:ascii="宋体" w:hAnsi="宋体" w:eastAsia="宋体" w:cs="宋体"/>
          <w:b w:val="0"/>
          <w:bCs w:val="0"/>
          <w:color w:val="auto"/>
          <w:sz w:val="28"/>
          <w:szCs w:val="28"/>
          <w:highlight w:val="none"/>
          <w:lang w:val="en-US" w:eastAsia="zh-CN"/>
        </w:rPr>
        <w:t>3</w:t>
      </w:r>
      <w:r>
        <w:rPr>
          <w:rFonts w:hint="eastAsia" w:ascii="宋体" w:hAnsi="宋体" w:eastAsia="宋体" w:cs="宋体"/>
          <w:b w:val="0"/>
          <w:bCs w:val="0"/>
          <w:color w:val="auto"/>
          <w:sz w:val="28"/>
          <w:szCs w:val="28"/>
          <w:highlight w:val="none"/>
        </w:rPr>
        <w:t>日</w:t>
      </w:r>
    </w:p>
    <w:p w14:paraId="1C5EA4AF">
      <w:pPr>
        <w:pStyle w:val="24"/>
        <w:ind w:left="0" w:leftChars="0" w:firstLine="0" w:firstLineChars="0"/>
        <w:rPr>
          <w:rFonts w:hint="eastAsia" w:ascii="宋体" w:hAnsi="宋体" w:eastAsia="宋体" w:cs="宋体"/>
          <w:color w:val="auto"/>
          <w:highlight w:val="none"/>
        </w:rPr>
      </w:pPr>
    </w:p>
    <w:sdt>
      <w:sdtPr>
        <w:rPr>
          <w:rFonts w:hint="eastAsia" w:ascii="宋体" w:hAnsi="宋体" w:eastAsia="宋体" w:cs="宋体"/>
          <w:b/>
          <w:bCs/>
          <w:color w:val="auto"/>
          <w:kern w:val="2"/>
          <w:sz w:val="21"/>
          <w:szCs w:val="24"/>
          <w:highlight w:val="none"/>
          <w:lang w:val="en-US" w:eastAsia="zh-CN" w:bidi="ar-SA"/>
        </w:rPr>
        <w:id w:val="147456200"/>
        <w15:color w:val="DBDBDB"/>
        <w:docPartObj>
          <w:docPartGallery w:val="Table of Contents"/>
          <w:docPartUnique/>
        </w:docPartObj>
      </w:sdtPr>
      <w:sdtEndPr>
        <w:rPr>
          <w:rFonts w:hint="eastAsia" w:ascii="宋体" w:hAnsi="宋体" w:eastAsia="宋体" w:cs="宋体"/>
          <w:b/>
          <w:bCs/>
          <w:color w:val="auto"/>
          <w:kern w:val="2"/>
          <w:sz w:val="21"/>
          <w:szCs w:val="24"/>
          <w:highlight w:val="none"/>
          <w:lang w:val="en-US" w:eastAsia="zh-CN" w:bidi="ar-SA"/>
        </w:rPr>
      </w:sdtEndPr>
      <w:sdtContent>
        <w:p w14:paraId="2CFD86EC">
          <w:pPr>
            <w:keepNext w:val="0"/>
            <w:keepLines w:val="0"/>
            <w:pageBreakBefore w:val="0"/>
            <w:widowControl w:val="0"/>
            <w:kinsoku/>
            <w:wordWrap/>
            <w:overflowPunct/>
            <w:topLinePunct w:val="0"/>
            <w:autoSpaceDE/>
            <w:autoSpaceDN/>
            <w:bidi w:val="0"/>
            <w:adjustRightInd/>
            <w:snapToGrid/>
            <w:spacing w:before="0" w:beforeLines="0" w:after="0" w:afterLines="0" w:line="480" w:lineRule="exact"/>
            <w:ind w:left="0" w:leftChars="0" w:right="0" w:rightChars="0" w:firstLine="0" w:firstLine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目录</w:t>
          </w:r>
        </w:p>
        <w:p w14:paraId="62E701B2">
          <w:pPr>
            <w:pStyle w:val="19"/>
            <w:keepNext w:val="0"/>
            <w:keepLines w:val="0"/>
            <w:pageBreakBefore w:val="0"/>
            <w:widowControl w:val="0"/>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TOC \o "1-3" \h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_Toc9687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竞争性磋商邀请函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_Toc9687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CBC6939">
          <w:pPr>
            <w:pStyle w:val="19"/>
            <w:keepNext w:val="0"/>
            <w:keepLines w:val="0"/>
            <w:pageBreakBefore w:val="0"/>
            <w:widowControl w:val="0"/>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_Toc28118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第二章 供应商须知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_Toc28118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8FB6AB5">
          <w:pPr>
            <w:pStyle w:val="19"/>
            <w:keepNext w:val="0"/>
            <w:keepLines w:val="0"/>
            <w:pageBreakBefore w:val="0"/>
            <w:widowControl w:val="0"/>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_Toc6629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第三章 采购项目内容及要求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_Toc6629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5C53D33">
          <w:pPr>
            <w:pStyle w:val="19"/>
            <w:keepNext w:val="0"/>
            <w:keepLines w:val="0"/>
            <w:pageBreakBefore w:val="0"/>
            <w:widowControl w:val="0"/>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_Toc10753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rPr>
            <w:t>第四章  响应性文件内容及格式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_Toc10753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2569F8D9">
          <w:pPr>
            <w:pStyle w:val="19"/>
            <w:keepNext w:val="0"/>
            <w:keepLines w:val="0"/>
            <w:pageBreakBefore w:val="0"/>
            <w:widowControl w:val="0"/>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_Toc7046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val="0"/>
              <w:color w:val="auto"/>
              <w:sz w:val="24"/>
              <w:szCs w:val="24"/>
              <w:highlight w:val="none"/>
            </w:rPr>
            <w:t xml:space="preserve">第五章  </w:t>
          </w:r>
          <w:r>
            <w:rPr>
              <w:rFonts w:hint="eastAsia" w:ascii="宋体" w:hAnsi="宋体" w:eastAsia="宋体" w:cs="宋体"/>
              <w:bCs w:val="0"/>
              <w:color w:val="auto"/>
              <w:w w:val="92"/>
              <w:sz w:val="24"/>
              <w:szCs w:val="24"/>
              <w:highlight w:val="none"/>
              <w:lang w:val="en-US"/>
            </w:rPr>
            <w:t>周口市</w:t>
          </w:r>
          <w:r>
            <w:rPr>
              <w:rFonts w:hint="eastAsia" w:ascii="宋体" w:hAnsi="宋体" w:eastAsia="宋体" w:cs="宋体"/>
              <w:bCs w:val="0"/>
              <w:color w:val="auto"/>
              <w:sz w:val="24"/>
              <w:szCs w:val="24"/>
              <w:highlight w:val="none"/>
              <w:lang w:val="en-US"/>
            </w:rPr>
            <w:t>政府采购合同（服务类）标准文本</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_Toc7046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633ED1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sz w:val="24"/>
              <w:szCs w:val="24"/>
              <w:highlight w:val="none"/>
            </w:rPr>
            <w:fldChar w:fldCharType="end"/>
          </w:r>
        </w:p>
      </w:sdtContent>
    </w:sdt>
    <w:p w14:paraId="760918E7">
      <w:pPr>
        <w:pStyle w:val="34"/>
        <w:rPr>
          <w:rFonts w:hint="eastAsia" w:ascii="宋体" w:hAnsi="宋体" w:eastAsia="宋体" w:cs="宋体"/>
          <w:color w:val="auto"/>
          <w:highlight w:val="none"/>
        </w:rPr>
      </w:pPr>
    </w:p>
    <w:p w14:paraId="1A151B0A">
      <w:pPr>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bookmarkStart w:id="0" w:name="_Toc9687"/>
      <w:r>
        <w:rPr>
          <w:rFonts w:hint="eastAsia" w:ascii="宋体" w:hAnsi="宋体" w:eastAsia="宋体" w:cs="宋体"/>
          <w:b/>
          <w:color w:val="auto"/>
          <w:sz w:val="32"/>
          <w:szCs w:val="32"/>
          <w:highlight w:val="none"/>
        </w:rPr>
        <w:t>第一章</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竞争性磋商邀请函</w:t>
      </w:r>
      <w:bookmarkEnd w:id="0"/>
    </w:p>
    <w:p w14:paraId="41BD10D2">
      <w:pPr>
        <w:pStyle w:val="37"/>
        <w:keepNext w:val="0"/>
        <w:keepLines w:val="0"/>
        <w:pageBreakBefore w:val="0"/>
        <w:kinsoku/>
        <w:wordWrap/>
        <w:overflowPunct/>
        <w:topLinePunct w:val="0"/>
        <w:bidi w:val="0"/>
        <w:textAlignment w:val="auto"/>
        <w:outlineLvl w:val="9"/>
        <w:rPr>
          <w:rFonts w:hint="eastAsia" w:ascii="宋体" w:hAnsi="宋体" w:eastAsia="宋体" w:cs="宋体"/>
          <w:color w:val="auto"/>
          <w:highlight w:val="none"/>
        </w:rPr>
      </w:pPr>
    </w:p>
    <w:p w14:paraId="5DE4192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637CF0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lang w:val="en-US" w:eastAsia="zh-CN"/>
        </w:rPr>
        <w:t>郸城县市场监督管理局2026年度食品安全抽样检测项目(项目名称)的潜在投标人应在周口市公共资源交易中心网（http://jyzx.zhoukou.gov.cn）获取招标文件，并于2026年   月   日   点   分（北京时间）前递交投标文件。</w:t>
      </w:r>
    </w:p>
    <w:p w14:paraId="05C1946F">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bookmarkStart w:id="1" w:name="_Toc28359012"/>
      <w:bookmarkStart w:id="2" w:name="_Toc35393629"/>
      <w:bookmarkStart w:id="3" w:name="_Toc35393798"/>
      <w:bookmarkStart w:id="4" w:name="_Toc28359089"/>
      <w:r>
        <w:rPr>
          <w:rFonts w:hint="eastAsia" w:ascii="宋体" w:hAnsi="宋体" w:eastAsia="宋体" w:cs="宋体"/>
          <w:b w:val="0"/>
          <w:color w:val="auto"/>
          <w:sz w:val="24"/>
          <w:szCs w:val="24"/>
          <w:highlight w:val="none"/>
        </w:rPr>
        <w:t>一、项目基本情况</w:t>
      </w:r>
      <w:bookmarkEnd w:id="1"/>
      <w:bookmarkEnd w:id="2"/>
      <w:bookmarkEnd w:id="3"/>
      <w:bookmarkEnd w:id="4"/>
    </w:p>
    <w:p w14:paraId="18FFA7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项目编号：</w:t>
      </w:r>
      <w:r>
        <w:rPr>
          <w:rFonts w:hint="eastAsia" w:ascii="宋体" w:hAnsi="宋体" w:eastAsia="宋体" w:cs="宋体"/>
          <w:i w:val="0"/>
          <w:iCs w:val="0"/>
          <w:color w:val="auto"/>
          <w:sz w:val="24"/>
          <w:szCs w:val="24"/>
          <w:highlight w:val="none"/>
          <w:lang w:val="en-US" w:eastAsia="zh-CN"/>
        </w:rPr>
        <w:t>郸财磋商采购-2026-55</w:t>
      </w:r>
    </w:p>
    <w:p w14:paraId="3FCF299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项目名称：</w:t>
      </w:r>
      <w:r>
        <w:rPr>
          <w:rFonts w:hint="eastAsia" w:ascii="宋体" w:hAnsi="宋体" w:eastAsia="宋体" w:cs="宋体"/>
          <w:i w:val="0"/>
          <w:iCs w:val="0"/>
          <w:color w:val="auto"/>
          <w:sz w:val="24"/>
          <w:szCs w:val="24"/>
          <w:highlight w:val="none"/>
          <w:lang w:val="en-US" w:eastAsia="zh-CN"/>
        </w:rPr>
        <w:t>郸城县市场监督管理局2026年度食品安全抽样检测项目</w:t>
      </w:r>
    </w:p>
    <w:p w14:paraId="65D5DB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采购方式：竞争性</w:t>
      </w:r>
      <w:r>
        <w:rPr>
          <w:rFonts w:hint="eastAsia" w:ascii="宋体" w:hAnsi="宋体" w:eastAsia="宋体" w:cs="宋体"/>
          <w:i w:val="0"/>
          <w:iCs w:val="0"/>
          <w:color w:val="auto"/>
          <w:sz w:val="24"/>
          <w:szCs w:val="24"/>
          <w:highlight w:val="none"/>
          <w:lang w:val="en-US" w:eastAsia="zh-CN"/>
        </w:rPr>
        <w:t>磋商</w:t>
      </w:r>
    </w:p>
    <w:p w14:paraId="66A2BD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预算金额：</w:t>
      </w:r>
      <w:r>
        <w:rPr>
          <w:rFonts w:hint="eastAsia" w:ascii="宋体" w:hAnsi="宋体" w:eastAsia="宋体" w:cs="宋体"/>
          <w:color w:val="auto"/>
          <w:sz w:val="24"/>
          <w:szCs w:val="24"/>
          <w:highlight w:val="none"/>
        </w:rPr>
        <w:t>1100000.00元</w:t>
      </w:r>
    </w:p>
    <w:p w14:paraId="47D4D65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最高限价：</w:t>
      </w:r>
      <w:r>
        <w:rPr>
          <w:rFonts w:hint="eastAsia" w:ascii="宋体" w:hAnsi="宋体" w:eastAsia="宋体" w:cs="宋体"/>
          <w:color w:val="auto"/>
          <w:sz w:val="24"/>
          <w:szCs w:val="24"/>
          <w:highlight w:val="none"/>
        </w:rPr>
        <w:t>1100000.00元</w:t>
      </w:r>
    </w:p>
    <w:p w14:paraId="5F69A7E1">
      <w:pPr>
        <w:pStyle w:val="23"/>
        <w:keepNext w:val="0"/>
        <w:keepLines w:val="0"/>
        <w:pageBreakBefore w:val="0"/>
        <w:kinsoku/>
        <w:wordWrap/>
        <w:overflowPunct/>
        <w:topLinePunct w:val="0"/>
        <w:bidi w:val="0"/>
        <w:snapToGrid w:val="0"/>
        <w:spacing w:before="0" w:beforeAutospacing="0" w:after="0" w:afterAutospacing="0" w:line="360" w:lineRule="auto"/>
        <w:ind w:firstLine="48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包</w:t>
      </w:r>
      <w:r>
        <w:rPr>
          <w:rFonts w:hint="eastAsia" w:ascii="宋体" w:hAnsi="宋体" w:eastAsia="宋体" w:cs="宋体"/>
          <w:color w:val="auto"/>
          <w:highlight w:val="none"/>
        </w:rPr>
        <w:t>划分：</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个</w:t>
      </w:r>
      <w:r>
        <w:rPr>
          <w:rFonts w:hint="eastAsia" w:ascii="宋体" w:hAnsi="宋体" w:eastAsia="宋体" w:cs="宋体"/>
          <w:color w:val="auto"/>
          <w:highlight w:val="none"/>
          <w:lang w:val="en-US" w:eastAsia="zh-CN"/>
        </w:rPr>
        <w:t>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6050"/>
        <w:gridCol w:w="2087"/>
      </w:tblGrid>
      <w:tr w14:paraId="6E8F2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42" w:type="dxa"/>
            <w:vAlign w:val="center"/>
          </w:tcPr>
          <w:p w14:paraId="0ED731CB">
            <w:pPr>
              <w:pStyle w:val="9"/>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包号</w:t>
            </w:r>
          </w:p>
        </w:tc>
        <w:tc>
          <w:tcPr>
            <w:tcW w:w="6050" w:type="dxa"/>
            <w:vAlign w:val="center"/>
          </w:tcPr>
          <w:p w14:paraId="5E1384DA">
            <w:pPr>
              <w:pStyle w:val="9"/>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包名称</w:t>
            </w:r>
          </w:p>
        </w:tc>
        <w:tc>
          <w:tcPr>
            <w:tcW w:w="2087" w:type="dxa"/>
            <w:vAlign w:val="center"/>
          </w:tcPr>
          <w:p w14:paraId="3F96188F">
            <w:pPr>
              <w:pStyle w:val="9"/>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包最高限价（元）</w:t>
            </w:r>
          </w:p>
        </w:tc>
      </w:tr>
      <w:tr w14:paraId="0EECD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trPr>
        <w:tc>
          <w:tcPr>
            <w:tcW w:w="842" w:type="dxa"/>
            <w:vAlign w:val="center"/>
          </w:tcPr>
          <w:p w14:paraId="1D9F0FBF">
            <w:pPr>
              <w:pStyle w:val="9"/>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c>
          <w:tcPr>
            <w:tcW w:w="6050" w:type="dxa"/>
            <w:vAlign w:val="center"/>
          </w:tcPr>
          <w:p w14:paraId="79398BD2">
            <w:pPr>
              <w:pStyle w:val="9"/>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郸城县市场监督管理局2026年度食品安全抽样检测项目1包</w:t>
            </w:r>
          </w:p>
        </w:tc>
        <w:tc>
          <w:tcPr>
            <w:tcW w:w="2087" w:type="dxa"/>
            <w:vAlign w:val="center"/>
          </w:tcPr>
          <w:p w14:paraId="58E276E8">
            <w:pPr>
              <w:pStyle w:val="9"/>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499500.00</w:t>
            </w:r>
          </w:p>
        </w:tc>
      </w:tr>
      <w:tr w14:paraId="6FD16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exact"/>
        </w:trPr>
        <w:tc>
          <w:tcPr>
            <w:tcW w:w="842" w:type="dxa"/>
            <w:vAlign w:val="center"/>
          </w:tcPr>
          <w:p w14:paraId="333C1D76">
            <w:pPr>
              <w:pStyle w:val="9"/>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tc>
        <w:tc>
          <w:tcPr>
            <w:tcW w:w="6050" w:type="dxa"/>
            <w:vAlign w:val="center"/>
          </w:tcPr>
          <w:p w14:paraId="1FD81D44">
            <w:pPr>
              <w:pStyle w:val="9"/>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郸城县市场监督管理局2026年度食品安全抽样检测项目2包</w:t>
            </w:r>
          </w:p>
        </w:tc>
        <w:tc>
          <w:tcPr>
            <w:tcW w:w="2087" w:type="dxa"/>
            <w:vAlign w:val="center"/>
          </w:tcPr>
          <w:p w14:paraId="52A4D1B5">
            <w:pPr>
              <w:pStyle w:val="9"/>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297000.00</w:t>
            </w:r>
          </w:p>
        </w:tc>
      </w:tr>
      <w:tr w14:paraId="3EB4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exact"/>
        </w:trPr>
        <w:tc>
          <w:tcPr>
            <w:tcW w:w="842" w:type="dxa"/>
            <w:vAlign w:val="center"/>
          </w:tcPr>
          <w:p w14:paraId="6742750D">
            <w:pPr>
              <w:pStyle w:val="9"/>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w:t>
            </w:r>
          </w:p>
        </w:tc>
        <w:tc>
          <w:tcPr>
            <w:tcW w:w="6050" w:type="dxa"/>
            <w:vAlign w:val="center"/>
          </w:tcPr>
          <w:p w14:paraId="59435DEB">
            <w:pPr>
              <w:pStyle w:val="9"/>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郸城县市场监督管理局2026年度食品安全抽样检测项目3包</w:t>
            </w:r>
          </w:p>
        </w:tc>
        <w:tc>
          <w:tcPr>
            <w:tcW w:w="2087" w:type="dxa"/>
            <w:vAlign w:val="center"/>
          </w:tcPr>
          <w:p w14:paraId="2E6245D3">
            <w:pPr>
              <w:pStyle w:val="9"/>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303500.00</w:t>
            </w:r>
          </w:p>
        </w:tc>
      </w:tr>
    </w:tbl>
    <w:p w14:paraId="40422B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采购需求：（包括但不限于标的的名称、数量、简要技术需求或服务要求等）</w:t>
      </w:r>
    </w:p>
    <w:p w14:paraId="57CF17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color w:val="auto"/>
          <w:sz w:val="24"/>
          <w:szCs w:val="24"/>
          <w:highlight w:val="none"/>
        </w:rPr>
        <w:t>详见采购文件</w:t>
      </w:r>
    </w:p>
    <w:p w14:paraId="183257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合同履行期限：</w:t>
      </w:r>
      <w:r>
        <w:rPr>
          <w:rFonts w:hint="eastAsia" w:ascii="宋体" w:hAnsi="宋体" w:eastAsia="宋体" w:cs="宋体"/>
          <w:color w:val="auto"/>
          <w:sz w:val="24"/>
          <w:szCs w:val="24"/>
          <w:highlight w:val="none"/>
        </w:rPr>
        <w:t>合同签订后</w:t>
      </w:r>
      <w:r>
        <w:rPr>
          <w:rFonts w:hint="eastAsia" w:ascii="宋体" w:hAnsi="宋体" w:eastAsia="宋体" w:cs="宋体"/>
          <w:color w:val="auto"/>
          <w:sz w:val="24"/>
          <w:szCs w:val="24"/>
          <w:highlight w:val="none"/>
          <w:lang w:val="en-US" w:eastAsia="zh-CN"/>
        </w:rPr>
        <w:t>180</w:t>
      </w:r>
      <w:r>
        <w:rPr>
          <w:rFonts w:hint="eastAsia" w:ascii="宋体" w:hAnsi="宋体" w:eastAsia="宋体" w:cs="宋体"/>
          <w:color w:val="auto"/>
          <w:sz w:val="24"/>
          <w:szCs w:val="24"/>
          <w:highlight w:val="none"/>
        </w:rPr>
        <w:t>日历天</w:t>
      </w:r>
      <w:r>
        <w:rPr>
          <w:rFonts w:hint="eastAsia" w:ascii="宋体" w:hAnsi="宋体" w:eastAsia="宋体" w:cs="宋体"/>
          <w:color w:val="auto"/>
          <w:sz w:val="24"/>
          <w:szCs w:val="24"/>
          <w:highlight w:val="none"/>
          <w:lang w:val="en-US" w:eastAsia="zh-CN"/>
        </w:rPr>
        <w:t>内</w:t>
      </w:r>
    </w:p>
    <w:p w14:paraId="7A62D1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bookmarkStart w:id="5" w:name="_Toc35393799"/>
      <w:bookmarkStart w:id="6" w:name="_Toc35393630"/>
      <w:bookmarkStart w:id="7" w:name="_Toc28359013"/>
      <w:bookmarkStart w:id="8" w:name="_Toc28359090"/>
      <w:r>
        <w:rPr>
          <w:rFonts w:hint="eastAsia" w:ascii="宋体" w:hAnsi="宋体" w:eastAsia="宋体" w:cs="宋体"/>
          <w:i w:val="0"/>
          <w:iCs w:val="0"/>
          <w:color w:val="auto"/>
          <w:sz w:val="24"/>
          <w:szCs w:val="24"/>
          <w:highlight w:val="none"/>
        </w:rPr>
        <w:t>是否接受进口产品：否</w:t>
      </w:r>
    </w:p>
    <w:p w14:paraId="610766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79EF5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172426EB">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二、申请人的资格要求：</w:t>
      </w:r>
      <w:bookmarkEnd w:id="5"/>
      <w:bookmarkEnd w:id="6"/>
      <w:bookmarkEnd w:id="7"/>
      <w:bookmarkEnd w:id="8"/>
    </w:p>
    <w:p w14:paraId="07C53EA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1.满足《中华人民共和国政府采购法》第二十二条规定；</w:t>
      </w:r>
    </w:p>
    <w:p w14:paraId="178F1C21">
      <w:pPr>
        <w:pStyle w:val="9"/>
        <w:keepNext w:val="0"/>
        <w:keepLines w:val="0"/>
        <w:pageBreakBefore w:val="0"/>
        <w:widowControl w:val="0"/>
        <w:kinsoku/>
        <w:wordWrap/>
        <w:overflowPunct/>
        <w:topLinePunct w:val="0"/>
        <w:bidi w:val="0"/>
        <w:adjustRightInd w:val="0"/>
        <w:snapToGrid w:val="0"/>
        <w:spacing w:line="3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（1）具有独立承担民事责任的能力；</w:t>
      </w:r>
    </w:p>
    <w:p w14:paraId="07AADB6E">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（2）具有良好的商业信誉和健全的财务会计制度</w:t>
      </w:r>
      <w:r>
        <w:rPr>
          <w:rFonts w:hint="eastAsia" w:ascii="宋体" w:hAnsi="宋体" w:eastAsia="宋体" w:cs="宋体"/>
          <w:color w:val="auto"/>
          <w:sz w:val="24"/>
          <w:highlight w:val="none"/>
          <w:lang w:eastAsia="zh-CN"/>
        </w:rPr>
        <w:t>；</w:t>
      </w:r>
    </w:p>
    <w:p w14:paraId="009057D3">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w:t>
      </w:r>
    </w:p>
    <w:p w14:paraId="3893B3B8">
      <w:pPr>
        <w:pStyle w:val="9"/>
        <w:keepNext w:val="0"/>
        <w:keepLines w:val="0"/>
        <w:pageBreakBefore w:val="0"/>
        <w:widowControl w:val="0"/>
        <w:kinsoku/>
        <w:wordWrap/>
        <w:overflowPunct/>
        <w:topLinePunct w:val="0"/>
        <w:bidi w:val="0"/>
        <w:adjustRightInd w:val="0"/>
        <w:snapToGrid w:val="0"/>
        <w:spacing w:line="3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w:t>
      </w:r>
    </w:p>
    <w:p w14:paraId="3972B327">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（5）参加政府采购活动前三年内，在经营活动中没有重大违法记录；</w:t>
      </w:r>
    </w:p>
    <w:p w14:paraId="1539DFF3">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highlight w:val="none"/>
        </w:rPr>
      </w:pPr>
      <w:r>
        <w:rPr>
          <w:rFonts w:hint="eastAsia" w:ascii="宋体" w:hAnsi="宋体" w:eastAsia="宋体" w:cs="宋体"/>
          <w:color w:val="auto"/>
          <w:sz w:val="24"/>
          <w:highlight w:val="none"/>
        </w:rPr>
        <w:t>（6）法律、行政法规规定的其他条件。</w:t>
      </w:r>
    </w:p>
    <w:p w14:paraId="2E30677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color w:val="auto"/>
          <w:sz w:val="24"/>
          <w:szCs w:val="24"/>
          <w:highlight w:val="none"/>
        </w:rPr>
      </w:pPr>
      <w:bookmarkStart w:id="9" w:name="_Toc28359014"/>
      <w:bookmarkStart w:id="10" w:name="_Toc28359091"/>
      <w:r>
        <w:rPr>
          <w:rFonts w:hint="eastAsia" w:ascii="宋体" w:hAnsi="宋体" w:eastAsia="宋体" w:cs="宋体"/>
          <w:i w:val="0"/>
          <w:iCs w:val="0"/>
          <w:color w:val="auto"/>
          <w:sz w:val="24"/>
          <w:szCs w:val="24"/>
          <w:highlight w:val="none"/>
        </w:rPr>
        <w:t>2.落实政府采购政策需满足的资格要求：促进中小企业和监狱企业发展扶持政策、政府强制采购节能产品强制采购、节能产品及环境标志产品优先采购、促进残疾人就业政府采购政策。</w:t>
      </w:r>
    </w:p>
    <w:p w14:paraId="268BA2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w:t>
      </w:r>
      <w:r>
        <w:rPr>
          <w:rFonts w:hint="eastAsia" w:ascii="宋体" w:hAnsi="宋体" w:eastAsia="宋体" w:cs="宋体"/>
          <w:b w:val="0"/>
          <w:b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，将拒绝其参加政府采购活动；在标书中附加盖公章</w:t>
      </w:r>
      <w:r>
        <w:rPr>
          <w:rFonts w:hint="eastAsia" w:ascii="宋体" w:hAnsi="宋体" w:eastAsia="宋体" w:cs="宋体"/>
          <w:color w:val="auto"/>
          <w:sz w:val="24"/>
          <w:highlight w:val="none"/>
        </w:rPr>
        <w:t>的供应商及法定代表人网页查询扫描件</w:t>
      </w:r>
      <w:r>
        <w:rPr>
          <w:rFonts w:hint="eastAsia" w:ascii="宋体" w:hAnsi="宋体" w:eastAsia="宋体" w:cs="宋体"/>
          <w:i w:val="0"/>
          <w:iCs w:val="0"/>
          <w:color w:val="auto"/>
          <w:sz w:val="24"/>
          <w:szCs w:val="24"/>
          <w:highlight w:val="none"/>
        </w:rPr>
        <w:t>，查询日期为公告发布之日起至投标截止之日止。</w:t>
      </w:r>
    </w:p>
    <w:p w14:paraId="08A400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highlight w:val="none"/>
        </w:rPr>
      </w:pPr>
      <w:r>
        <w:rPr>
          <w:rFonts w:hint="eastAsia" w:ascii="宋体" w:hAnsi="宋体" w:eastAsia="宋体" w:cs="宋体"/>
          <w:i w:val="0"/>
          <w:iCs w:val="0"/>
          <w:color w:val="auto"/>
          <w:sz w:val="24"/>
          <w:szCs w:val="24"/>
          <w:highlight w:val="none"/>
        </w:rPr>
        <w:t>（2）供应商须具有有效的检验检测机构资质认定证书（CMA）或食品检验机构资质认定证书（CMAF）。</w:t>
      </w:r>
    </w:p>
    <w:p w14:paraId="3EB872AF">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bookmarkStart w:id="11" w:name="_Toc35393631"/>
      <w:bookmarkStart w:id="12" w:name="_Toc35393800"/>
      <w:r>
        <w:rPr>
          <w:rFonts w:hint="eastAsia" w:ascii="宋体" w:hAnsi="宋体" w:eastAsia="宋体" w:cs="宋体"/>
          <w:b w:val="0"/>
          <w:color w:val="auto"/>
          <w:sz w:val="24"/>
          <w:szCs w:val="24"/>
          <w:highlight w:val="none"/>
        </w:rPr>
        <w:t>三、获取采购文件</w:t>
      </w:r>
      <w:bookmarkEnd w:id="9"/>
      <w:bookmarkEnd w:id="10"/>
      <w:bookmarkEnd w:id="11"/>
      <w:bookmarkEnd w:id="12"/>
    </w:p>
    <w:p w14:paraId="40D91B9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ascii="宋体" w:hAnsi="宋体" w:eastAsia="宋体"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rPr>
        <w:t>年</w:t>
      </w:r>
      <w:r>
        <w:rPr>
          <w:rFonts w:hint="eastAsia" w:ascii="宋体" w:hAnsi="宋体" w:cs="宋体"/>
          <w:i w:val="0"/>
          <w:iCs w:val="0"/>
          <w:color w:val="auto"/>
          <w:sz w:val="24"/>
          <w:szCs w:val="24"/>
          <w:highlight w:val="none"/>
          <w:u w:val="single"/>
          <w:lang w:val="en-US" w:eastAsia="zh-CN"/>
        </w:rPr>
        <w:t>8</w:t>
      </w:r>
      <w:r>
        <w:rPr>
          <w:rFonts w:hint="eastAsia" w:ascii="宋体" w:hAnsi="宋体" w:eastAsia="宋体" w:cs="宋体"/>
          <w:i w:val="0"/>
          <w:iCs w:val="0"/>
          <w:color w:val="auto"/>
          <w:sz w:val="24"/>
          <w:szCs w:val="24"/>
          <w:highlight w:val="none"/>
          <w:u w:val="single"/>
        </w:rPr>
        <w:t>月</w:t>
      </w:r>
      <w:r>
        <w:rPr>
          <w:rFonts w:hint="eastAsia" w:ascii="宋体" w:hAnsi="宋体" w:cs="宋体"/>
          <w:i w:val="0"/>
          <w:iCs w:val="0"/>
          <w:color w:val="auto"/>
          <w:sz w:val="24"/>
          <w:szCs w:val="24"/>
          <w:highlight w:val="none"/>
          <w:u w:val="single"/>
          <w:lang w:val="en-US" w:eastAsia="zh-CN"/>
        </w:rPr>
        <w:t>3</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至</w:t>
      </w:r>
      <w:r>
        <w:rPr>
          <w:rFonts w:hint="eastAsia" w:ascii="宋体" w:hAnsi="宋体" w:eastAsia="宋体"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rPr>
        <w:t>年</w:t>
      </w:r>
      <w:r>
        <w:rPr>
          <w:rFonts w:hint="eastAsia" w:ascii="宋体" w:hAnsi="宋体" w:cs="宋体"/>
          <w:i w:val="0"/>
          <w:iCs w:val="0"/>
          <w:color w:val="auto"/>
          <w:sz w:val="24"/>
          <w:szCs w:val="24"/>
          <w:highlight w:val="none"/>
          <w:u w:val="single"/>
          <w:lang w:val="en-US" w:eastAsia="zh-CN"/>
        </w:rPr>
        <w:t>8</w:t>
      </w:r>
      <w:r>
        <w:rPr>
          <w:rFonts w:hint="eastAsia" w:ascii="宋体" w:hAnsi="宋体" w:eastAsia="宋体" w:cs="宋体"/>
          <w:i w:val="0"/>
          <w:iCs w:val="0"/>
          <w:color w:val="auto"/>
          <w:sz w:val="24"/>
          <w:szCs w:val="24"/>
          <w:highlight w:val="none"/>
          <w:u w:val="single"/>
        </w:rPr>
        <w:t>月</w:t>
      </w:r>
      <w:r>
        <w:rPr>
          <w:rFonts w:hint="eastAsia" w:ascii="宋体" w:hAnsi="宋体" w:cs="宋体"/>
          <w:i w:val="0"/>
          <w:iCs w:val="0"/>
          <w:color w:val="auto"/>
          <w:sz w:val="24"/>
          <w:szCs w:val="24"/>
          <w:highlight w:val="none"/>
          <w:u w:val="single"/>
          <w:lang w:val="en-US" w:eastAsia="zh-CN"/>
        </w:rPr>
        <w:t>10</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（北京时间，法定节假日除外）</w:t>
      </w:r>
    </w:p>
    <w:p w14:paraId="3EC8CD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22B08D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76CE27C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4C7B1694">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bookmarkStart w:id="13" w:name="_Toc28359015"/>
      <w:bookmarkStart w:id="14" w:name="_Toc28359092"/>
      <w:bookmarkStart w:id="15" w:name="_Toc35393801"/>
      <w:bookmarkStart w:id="16" w:name="_Toc35393632"/>
      <w:r>
        <w:rPr>
          <w:rFonts w:hint="eastAsia" w:ascii="宋体" w:hAnsi="宋体" w:eastAsia="宋体" w:cs="宋体"/>
          <w:b w:val="0"/>
          <w:color w:val="auto"/>
          <w:sz w:val="24"/>
          <w:szCs w:val="24"/>
          <w:highlight w:val="none"/>
        </w:rPr>
        <w:t>四、响应文件提交</w:t>
      </w:r>
      <w:bookmarkEnd w:id="13"/>
      <w:bookmarkEnd w:id="14"/>
      <w:bookmarkEnd w:id="15"/>
      <w:bookmarkEnd w:id="16"/>
    </w:p>
    <w:p w14:paraId="67D16C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截止时间：</w:t>
      </w:r>
      <w:r>
        <w:rPr>
          <w:rFonts w:hint="eastAsia" w:ascii="宋体" w:hAnsi="宋体" w:eastAsia="宋体" w:cs="宋体"/>
          <w:i w:val="0"/>
          <w:iCs w:val="0"/>
          <w:color w:val="auto"/>
          <w:sz w:val="24"/>
          <w:szCs w:val="24"/>
          <w:highlight w:val="none"/>
          <w:u w:val="single"/>
          <w:lang w:val="en-US" w:eastAsia="zh-CN"/>
        </w:rPr>
        <w:t>2026</w:t>
      </w:r>
      <w:r>
        <w:rPr>
          <w:rFonts w:hint="eastAsia" w:ascii="宋体" w:hAnsi="宋体" w:eastAsia="宋体" w:cs="宋体"/>
          <w:bCs/>
          <w:i w:val="0"/>
          <w:iCs w:val="0"/>
          <w:color w:val="auto"/>
          <w:sz w:val="24"/>
          <w:szCs w:val="24"/>
          <w:highlight w:val="none"/>
          <w:u w:val="single"/>
        </w:rPr>
        <w:t>年</w:t>
      </w:r>
      <w:r>
        <w:rPr>
          <w:rFonts w:hint="eastAsia" w:ascii="宋体" w:hAnsi="宋体" w:cs="宋体"/>
          <w:bCs/>
          <w:i w:val="0"/>
          <w:iCs w:val="0"/>
          <w:color w:val="auto"/>
          <w:sz w:val="24"/>
          <w:szCs w:val="24"/>
          <w:highlight w:val="none"/>
          <w:u w:val="single"/>
          <w:lang w:val="en-US" w:eastAsia="zh-CN"/>
        </w:rPr>
        <w:t>8</w:t>
      </w:r>
      <w:r>
        <w:rPr>
          <w:rFonts w:hint="eastAsia" w:ascii="宋体" w:hAnsi="宋体" w:eastAsia="宋体" w:cs="宋体"/>
          <w:bCs/>
          <w:i w:val="0"/>
          <w:iCs w:val="0"/>
          <w:color w:val="auto"/>
          <w:sz w:val="24"/>
          <w:szCs w:val="24"/>
          <w:highlight w:val="none"/>
          <w:u w:val="single"/>
        </w:rPr>
        <w:t>月</w:t>
      </w:r>
      <w:r>
        <w:rPr>
          <w:rFonts w:hint="eastAsia" w:ascii="宋体" w:hAnsi="宋体" w:cs="宋体"/>
          <w:bCs/>
          <w:i w:val="0"/>
          <w:iCs w:val="0"/>
          <w:color w:val="auto"/>
          <w:sz w:val="24"/>
          <w:szCs w:val="24"/>
          <w:highlight w:val="none"/>
          <w:u w:val="single"/>
          <w:lang w:val="en-US" w:eastAsia="zh-CN"/>
        </w:rPr>
        <w:t>14</w:t>
      </w:r>
      <w:r>
        <w:rPr>
          <w:rFonts w:hint="eastAsia" w:ascii="宋体" w:hAnsi="宋体" w:eastAsia="宋体" w:cs="宋体"/>
          <w:bCs/>
          <w:i w:val="0"/>
          <w:iCs w:val="0"/>
          <w:color w:val="auto"/>
          <w:sz w:val="24"/>
          <w:szCs w:val="24"/>
          <w:highlight w:val="none"/>
          <w:u w:val="single"/>
        </w:rPr>
        <w:t>日</w:t>
      </w:r>
      <w:r>
        <w:rPr>
          <w:rFonts w:hint="eastAsia" w:ascii="宋体" w:hAnsi="宋体"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ascii="宋体" w:hAnsi="宋体" w:cs="宋体"/>
          <w:bCs/>
          <w:i w:val="0"/>
          <w:iCs w:val="0"/>
          <w:color w:val="auto"/>
          <w:sz w:val="24"/>
          <w:szCs w:val="24"/>
          <w:highlight w:val="none"/>
          <w:u w:val="single"/>
          <w:lang w:val="en-US" w:eastAsia="zh-CN"/>
        </w:rPr>
        <w:t>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i w:val="0"/>
          <w:iCs w:val="0"/>
          <w:color w:val="auto"/>
          <w:sz w:val="24"/>
          <w:szCs w:val="24"/>
          <w:highlight w:val="none"/>
        </w:rPr>
        <w:t>（北京时间）</w:t>
      </w:r>
    </w:p>
    <w:p w14:paraId="2803FC9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地点：加密电子响应文件须在投标截止时间前通过</w:t>
      </w:r>
      <w:r>
        <w:rPr>
          <w:rFonts w:hint="eastAsia" w:ascii="宋体" w:hAnsi="宋体" w:eastAsia="宋体" w:cs="宋体"/>
          <w:i w:val="0"/>
          <w:iCs w:val="0"/>
          <w:color w:val="auto"/>
          <w:spacing w:val="-6"/>
          <w:sz w:val="24"/>
          <w:szCs w:val="24"/>
          <w:highlight w:val="none"/>
        </w:rPr>
        <w:t>周口市公共资源交易中心网</w:t>
      </w:r>
      <w:r>
        <w:rPr>
          <w:rFonts w:hint="eastAsia" w:ascii="宋体" w:hAnsi="宋体" w:eastAsia="宋体" w:cs="宋体"/>
          <w:i w:val="0"/>
          <w:iCs w:val="0"/>
          <w:color w:val="auto"/>
          <w:sz w:val="24"/>
          <w:szCs w:val="24"/>
          <w:highlight w:val="none"/>
        </w:rPr>
        <w:t>（网址</w:t>
      </w:r>
      <w:r>
        <w:rPr>
          <w:rFonts w:hint="eastAsia" w:ascii="宋体" w:hAnsi="宋体" w:eastAsia="宋体" w:cs="宋体"/>
          <w:i w:val="0"/>
          <w:iCs w:val="0"/>
          <w:color w:val="auto"/>
          <w:kern w:val="2"/>
          <w:sz w:val="24"/>
          <w:szCs w:val="24"/>
          <w:highlight w:val="none"/>
        </w:rPr>
        <w:t>http://jyzx.zhoukou.gov.cn</w:t>
      </w:r>
      <w:r>
        <w:rPr>
          <w:rFonts w:hint="eastAsia" w:ascii="宋体" w:hAnsi="宋体" w:eastAsia="宋体" w:cs="宋体"/>
          <w:i w:val="0"/>
          <w:iCs w:val="0"/>
          <w:color w:val="auto"/>
          <w:sz w:val="24"/>
          <w:szCs w:val="24"/>
          <w:highlight w:val="none"/>
        </w:rPr>
        <w:t>）。</w:t>
      </w:r>
    </w:p>
    <w:p w14:paraId="2EDE4682">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i w:val="0"/>
          <w:iCs w:val="0"/>
          <w:color w:val="auto"/>
          <w:sz w:val="24"/>
          <w:szCs w:val="24"/>
          <w:highlight w:val="none"/>
        </w:rPr>
      </w:pPr>
      <w:bookmarkStart w:id="17" w:name="_Toc35393633"/>
      <w:bookmarkStart w:id="18" w:name="_Toc35393802"/>
      <w:bookmarkStart w:id="19" w:name="_Toc28359016"/>
      <w:bookmarkStart w:id="20" w:name="_Toc28359093"/>
      <w:r>
        <w:rPr>
          <w:rFonts w:hint="eastAsia" w:ascii="宋体" w:hAnsi="宋体" w:eastAsia="宋体" w:cs="宋体"/>
          <w:b w:val="0"/>
          <w:i w:val="0"/>
          <w:iCs w:val="0"/>
          <w:color w:val="auto"/>
          <w:sz w:val="24"/>
          <w:szCs w:val="24"/>
          <w:highlight w:val="none"/>
        </w:rPr>
        <w:t>五、开启（竞争性磋商方式必须填写）</w:t>
      </w:r>
      <w:bookmarkEnd w:id="17"/>
      <w:bookmarkEnd w:id="18"/>
      <w:bookmarkEnd w:id="19"/>
      <w:bookmarkEnd w:id="20"/>
    </w:p>
    <w:p w14:paraId="6D5024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时间：</w:t>
      </w:r>
      <w:r>
        <w:rPr>
          <w:rFonts w:hint="eastAsia" w:ascii="宋体" w:hAnsi="宋体" w:eastAsia="宋体" w:cs="宋体"/>
          <w:i w:val="0"/>
          <w:iCs w:val="0"/>
          <w:color w:val="auto"/>
          <w:sz w:val="24"/>
          <w:szCs w:val="24"/>
          <w:highlight w:val="none"/>
          <w:u w:val="single"/>
          <w:lang w:val="en-US" w:eastAsia="zh-CN"/>
        </w:rPr>
        <w:t>2026</w:t>
      </w:r>
      <w:r>
        <w:rPr>
          <w:rFonts w:hint="eastAsia" w:ascii="宋体" w:hAnsi="宋体" w:eastAsia="宋体" w:cs="宋体"/>
          <w:bCs/>
          <w:i w:val="0"/>
          <w:iCs w:val="0"/>
          <w:color w:val="auto"/>
          <w:sz w:val="24"/>
          <w:szCs w:val="24"/>
          <w:highlight w:val="none"/>
          <w:u w:val="single"/>
        </w:rPr>
        <w:t>年</w:t>
      </w:r>
      <w:r>
        <w:rPr>
          <w:rFonts w:hint="eastAsia" w:ascii="宋体" w:hAnsi="宋体" w:cs="宋体"/>
          <w:bCs/>
          <w:i w:val="0"/>
          <w:iCs w:val="0"/>
          <w:color w:val="auto"/>
          <w:sz w:val="24"/>
          <w:szCs w:val="24"/>
          <w:highlight w:val="none"/>
          <w:u w:val="single"/>
          <w:lang w:val="en-US" w:eastAsia="zh-CN"/>
        </w:rPr>
        <w:t>8</w:t>
      </w:r>
      <w:r>
        <w:rPr>
          <w:rFonts w:hint="eastAsia" w:ascii="宋体" w:hAnsi="宋体" w:eastAsia="宋体" w:cs="宋体"/>
          <w:bCs/>
          <w:i w:val="0"/>
          <w:iCs w:val="0"/>
          <w:color w:val="auto"/>
          <w:sz w:val="24"/>
          <w:szCs w:val="24"/>
          <w:highlight w:val="none"/>
          <w:u w:val="single"/>
        </w:rPr>
        <w:t>月</w:t>
      </w:r>
      <w:r>
        <w:rPr>
          <w:rFonts w:hint="eastAsia" w:ascii="宋体" w:hAnsi="宋体" w:cs="宋体"/>
          <w:bCs/>
          <w:i w:val="0"/>
          <w:iCs w:val="0"/>
          <w:color w:val="auto"/>
          <w:sz w:val="24"/>
          <w:szCs w:val="24"/>
          <w:highlight w:val="none"/>
          <w:u w:val="single"/>
          <w:lang w:val="en-US" w:eastAsia="zh-CN"/>
        </w:rPr>
        <w:t>14</w:t>
      </w:r>
      <w:r>
        <w:rPr>
          <w:rFonts w:hint="eastAsia" w:ascii="宋体" w:hAnsi="宋体" w:eastAsia="宋体" w:cs="宋体"/>
          <w:bCs/>
          <w:i w:val="0"/>
          <w:iCs w:val="0"/>
          <w:color w:val="auto"/>
          <w:sz w:val="24"/>
          <w:szCs w:val="24"/>
          <w:highlight w:val="none"/>
          <w:u w:val="single"/>
        </w:rPr>
        <w:t>日</w:t>
      </w:r>
      <w:r>
        <w:rPr>
          <w:rFonts w:hint="eastAsia" w:ascii="宋体" w:hAnsi="宋体"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ascii="宋体" w:hAnsi="宋体" w:cs="宋体"/>
          <w:bCs/>
          <w:i w:val="0"/>
          <w:iCs w:val="0"/>
          <w:color w:val="auto"/>
          <w:sz w:val="24"/>
          <w:szCs w:val="24"/>
          <w:highlight w:val="none"/>
          <w:u w:val="single"/>
          <w:lang w:val="en-US" w:eastAsia="zh-CN"/>
        </w:rPr>
        <w:t>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color w:val="auto"/>
          <w:sz w:val="24"/>
          <w:szCs w:val="24"/>
          <w:highlight w:val="none"/>
        </w:rPr>
        <w:t>（北京时间）</w:t>
      </w:r>
    </w:p>
    <w:p w14:paraId="62FA41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0565ECFB">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bookmarkStart w:id="21" w:name="_Toc35393803"/>
      <w:bookmarkStart w:id="22" w:name="_Toc28359094"/>
      <w:bookmarkStart w:id="23" w:name="_Toc28359017"/>
      <w:bookmarkStart w:id="24" w:name="_Toc35393634"/>
      <w:r>
        <w:rPr>
          <w:rFonts w:hint="eastAsia" w:ascii="宋体" w:hAnsi="宋体" w:eastAsia="宋体" w:cs="宋体"/>
          <w:b w:val="0"/>
          <w:color w:val="auto"/>
          <w:sz w:val="24"/>
          <w:szCs w:val="24"/>
          <w:highlight w:val="none"/>
        </w:rPr>
        <w:t>六、公告期限</w:t>
      </w:r>
      <w:bookmarkEnd w:id="21"/>
      <w:bookmarkEnd w:id="22"/>
      <w:bookmarkEnd w:id="23"/>
      <w:bookmarkEnd w:id="24"/>
    </w:p>
    <w:p w14:paraId="5A8CEB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个工作日。</w:t>
      </w:r>
    </w:p>
    <w:p w14:paraId="4A3CF792">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bookmarkStart w:id="25" w:name="_Toc35393804"/>
      <w:bookmarkStart w:id="26" w:name="_Toc35393635"/>
      <w:r>
        <w:rPr>
          <w:rFonts w:hint="eastAsia" w:ascii="宋体" w:hAnsi="宋体" w:eastAsia="宋体" w:cs="宋体"/>
          <w:b w:val="0"/>
          <w:color w:val="auto"/>
          <w:sz w:val="24"/>
          <w:szCs w:val="24"/>
          <w:highlight w:val="none"/>
        </w:rPr>
        <w:t>七、其他补充事宜</w:t>
      </w:r>
      <w:bookmarkEnd w:id="25"/>
      <w:bookmarkEnd w:id="26"/>
      <w:r>
        <w:rPr>
          <w:rFonts w:hint="eastAsia" w:ascii="宋体" w:hAnsi="宋体" w:eastAsia="宋体" w:cs="宋体"/>
          <w:b w:val="0"/>
          <w:color w:val="auto"/>
          <w:sz w:val="24"/>
          <w:szCs w:val="24"/>
          <w:highlight w:val="none"/>
          <w:lang w:val="en-US" w:eastAsia="zh-CN"/>
        </w:rPr>
        <w:t xml:space="preserve">  无</w:t>
      </w:r>
    </w:p>
    <w:p w14:paraId="5CDE2C22">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bookmarkStart w:id="27" w:name="_Toc28359095"/>
      <w:bookmarkStart w:id="28" w:name="_Toc35393636"/>
      <w:bookmarkStart w:id="29" w:name="_Toc35393805"/>
      <w:bookmarkStart w:id="30" w:name="_Toc28359018"/>
      <w:r>
        <w:rPr>
          <w:rFonts w:hint="eastAsia" w:ascii="宋体" w:hAnsi="宋体" w:eastAsia="宋体" w:cs="宋体"/>
          <w:b w:val="0"/>
          <w:color w:val="auto"/>
          <w:sz w:val="24"/>
          <w:szCs w:val="24"/>
          <w:highlight w:val="none"/>
        </w:rPr>
        <w:t>八、凡对本次采购提出询问，请按以下方式联系。</w:t>
      </w:r>
      <w:bookmarkEnd w:id="27"/>
      <w:bookmarkEnd w:id="28"/>
      <w:bookmarkEnd w:id="29"/>
      <w:bookmarkEnd w:id="30"/>
    </w:p>
    <w:p w14:paraId="7B3671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3A7A1D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名称：郸城县市场监督管理局</w:t>
      </w:r>
    </w:p>
    <w:p w14:paraId="24E866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地址：</w:t>
      </w:r>
      <w:r>
        <w:rPr>
          <w:rFonts w:hint="eastAsia" w:ascii="宋体" w:hAnsi="宋体" w:eastAsia="宋体" w:cs="宋体"/>
          <w:i w:val="0"/>
          <w:iCs w:val="0"/>
          <w:color w:val="auto"/>
          <w:sz w:val="24"/>
          <w:szCs w:val="24"/>
          <w:highlight w:val="none"/>
          <w:lang w:val="en-US" w:eastAsia="zh-CN"/>
        </w:rPr>
        <w:t>郸城县</w:t>
      </w:r>
    </w:p>
    <w:p w14:paraId="7574FB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eastAsia="宋体" w:cs="宋体"/>
          <w:color w:val="auto"/>
          <w:sz w:val="24"/>
          <w:szCs w:val="24"/>
          <w:highlight w:val="none"/>
        </w:rPr>
        <w:t>王涛</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1" w:name="_Toc28359086"/>
      <w:bookmarkStart w:id="32" w:name="_Toc28359009"/>
      <w:r>
        <w:rPr>
          <w:rFonts w:hint="eastAsia" w:ascii="宋体" w:hAnsi="宋体" w:eastAsia="宋体" w:cs="宋体"/>
          <w:color w:val="auto"/>
          <w:sz w:val="24"/>
          <w:szCs w:val="24"/>
          <w:highlight w:val="none"/>
        </w:rPr>
        <w:t>15333891196</w:t>
      </w:r>
    </w:p>
    <w:p w14:paraId="10B006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1"/>
      <w:bookmarkEnd w:id="32"/>
    </w:p>
    <w:p w14:paraId="3ADFF5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名称：周口市公共资源交易中心政府采购中心</w:t>
      </w:r>
    </w:p>
    <w:p w14:paraId="652854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327F1A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xml:space="preserve">项目联系人：郭战伟   </w:t>
      </w:r>
      <w:r>
        <w:rPr>
          <w:rFonts w:hint="eastAsia" w:ascii="宋体" w:hAnsi="宋体" w:eastAsia="宋体" w:cs="宋体"/>
          <w:i w:val="0"/>
          <w:iCs w:val="0"/>
          <w:color w:val="auto"/>
          <w:sz w:val="24"/>
          <w:szCs w:val="24"/>
          <w:highlight w:val="none"/>
        </w:rPr>
        <w:t>联系方式：</w:t>
      </w:r>
      <w:bookmarkStart w:id="33" w:name="_Toc28359087"/>
      <w:bookmarkStart w:id="34" w:name="_Toc28359010"/>
      <w:r>
        <w:rPr>
          <w:rFonts w:hint="eastAsia" w:ascii="宋体" w:hAnsi="宋体" w:eastAsia="宋体" w:cs="宋体"/>
          <w:i w:val="0"/>
          <w:iCs w:val="0"/>
          <w:color w:val="auto"/>
          <w:sz w:val="24"/>
          <w:szCs w:val="24"/>
          <w:highlight w:val="none"/>
          <w:lang w:val="en-US" w:eastAsia="zh-CN"/>
        </w:rPr>
        <w:t>0394-8106517、17839489001</w:t>
      </w:r>
    </w:p>
    <w:bookmarkEnd w:id="33"/>
    <w:bookmarkEnd w:id="34"/>
    <w:p w14:paraId="331658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w:t>
      </w:r>
      <w:r>
        <w:rPr>
          <w:rFonts w:hint="eastAsia" w:ascii="宋体" w:hAnsi="宋体" w:eastAsia="宋体" w:cs="宋体"/>
          <w:color w:val="auto"/>
          <w:sz w:val="24"/>
          <w:szCs w:val="24"/>
          <w:highlight w:val="none"/>
        </w:rPr>
        <w:t>郸城县人民政府政府采购管理办公室</w:t>
      </w:r>
    </w:p>
    <w:p w14:paraId="2777A281">
      <w:pPr>
        <w:pStyle w:val="35"/>
        <w:keepNext w:val="0"/>
        <w:keepLines w:val="0"/>
        <w:pageBreakBefore w:val="0"/>
        <w:kinsoku/>
        <w:wordWrap/>
        <w:overflowPunct/>
        <w:topLinePunct w:val="0"/>
        <w:bidi w:val="0"/>
        <w:ind w:firstLine="480" w:firstLineChars="200"/>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eastAsia="宋体" w:cs="宋体"/>
          <w:color w:val="auto"/>
          <w:sz w:val="24"/>
          <w:szCs w:val="24"/>
          <w:highlight w:val="none"/>
        </w:rPr>
        <w:t>0394-3298829</w:t>
      </w:r>
    </w:p>
    <w:p w14:paraId="063E8B2D">
      <w:pPr>
        <w:pStyle w:val="35"/>
        <w:keepNext w:val="0"/>
        <w:keepLines w:val="0"/>
        <w:pageBreakBefore w:val="0"/>
        <w:numPr>
          <w:ilvl w:val="0"/>
          <w:numId w:val="0"/>
        </w:numPr>
        <w:kinsoku/>
        <w:wordWrap/>
        <w:overflowPunct/>
        <w:topLinePunct w:val="0"/>
        <w:bidi w:val="0"/>
        <w:textAlignment w:val="auto"/>
        <w:outlineLvl w:val="9"/>
        <w:rPr>
          <w:rFonts w:hint="eastAsia" w:ascii="宋体" w:hAnsi="宋体" w:eastAsia="宋体" w:cs="宋体"/>
          <w:color w:val="auto"/>
          <w:highlight w:val="none"/>
          <w:lang w:val="en-US" w:eastAsia="zh-CN"/>
        </w:rPr>
      </w:pPr>
    </w:p>
    <w:p w14:paraId="07882B21">
      <w:pPr>
        <w:pStyle w:val="9"/>
        <w:keepNext w:val="0"/>
        <w:keepLines w:val="0"/>
        <w:pageBreakBefore w:val="0"/>
        <w:kinsoku/>
        <w:wordWrap/>
        <w:overflowPunct/>
        <w:topLinePunct w:val="0"/>
        <w:bidi w:val="0"/>
        <w:adjustRightInd w:val="0"/>
        <w:snapToGrid w:val="0"/>
        <w:spacing w:line="360" w:lineRule="auto"/>
        <w:ind w:firstLine="2520" w:firstLineChars="1050"/>
        <w:textAlignment w:val="auto"/>
        <w:outlineLvl w:val="9"/>
        <w:rPr>
          <w:rFonts w:hint="eastAsia" w:ascii="宋体" w:hAnsi="宋体" w:eastAsia="宋体" w:cs="宋体"/>
          <w:color w:val="auto"/>
          <w:sz w:val="24"/>
          <w:szCs w:val="24"/>
          <w:highlight w:val="none"/>
        </w:rPr>
      </w:pPr>
      <w:bookmarkStart w:id="43" w:name="_GoBack"/>
      <w:bookmarkEnd w:id="43"/>
    </w:p>
    <w:p w14:paraId="2011CE7F">
      <w:pPr>
        <w:pStyle w:val="9"/>
        <w:keepNext w:val="0"/>
        <w:keepLines w:val="0"/>
        <w:pageBreakBefore w:val="0"/>
        <w:kinsoku/>
        <w:wordWrap/>
        <w:overflowPunct/>
        <w:topLinePunct w:val="0"/>
        <w:bidi w:val="0"/>
        <w:adjustRightInd w:val="0"/>
        <w:snapToGrid w:val="0"/>
        <w:spacing w:line="360" w:lineRule="auto"/>
        <w:ind w:firstLine="3000" w:firstLineChars="125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D97DF1A">
      <w:pPr>
        <w:pStyle w:val="20"/>
        <w:keepNext w:val="0"/>
        <w:keepLines w:val="0"/>
        <w:pageBreakBefore w:val="0"/>
        <w:kinsoku/>
        <w:wordWrap/>
        <w:overflowPunct/>
        <w:topLinePunct w:val="0"/>
        <w:bidi w:val="0"/>
        <w:adjustRightInd w:val="0"/>
        <w:spacing w:line="360" w:lineRule="auto"/>
        <w:ind w:firstLine="3840" w:firstLineChars="1600"/>
        <w:textAlignment w:val="auto"/>
        <w:outlineLvl w:val="9"/>
        <w:rPr>
          <w:rFonts w:hint="eastAsia" w:ascii="宋体" w:hAnsi="宋体" w:eastAsia="宋体" w:cs="宋体"/>
          <w:color w:val="auto"/>
          <w:highlight w:val="none"/>
          <w:lang w:eastAsia="zh-CN"/>
        </w:rPr>
      </w:pPr>
      <w:r>
        <w:rPr>
          <w:rFonts w:hint="eastAsia" w:ascii="宋体" w:hAnsi="宋体" w:eastAsia="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日</w:t>
      </w:r>
    </w:p>
    <w:p w14:paraId="6BFF306E">
      <w:pPr>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bookmarkStart w:id="35" w:name="_Toc28118"/>
      <w:r>
        <w:rPr>
          <w:rFonts w:hint="eastAsia" w:ascii="宋体" w:hAnsi="宋体" w:eastAsia="宋体" w:cs="宋体"/>
          <w:b/>
          <w:color w:val="auto"/>
          <w:sz w:val="32"/>
          <w:szCs w:val="32"/>
          <w:highlight w:val="none"/>
        </w:rPr>
        <w:t>第二章 供应商须知</w:t>
      </w:r>
      <w:bookmarkEnd w:id="35"/>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6EC6F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E2FCE3F">
            <w:pPr>
              <w:jc w:val="center"/>
              <w:rPr>
                <w:rFonts w:hint="eastAsia" w:ascii="宋体" w:hAnsi="宋体" w:eastAsia="宋体" w:cs="宋体"/>
                <w:color w:val="auto"/>
                <w:szCs w:val="21"/>
                <w:highlight w:val="none"/>
              </w:rPr>
            </w:pPr>
            <w:r>
              <w:rPr>
                <w:rFonts w:hint="eastAsia" w:ascii="宋体" w:hAnsi="宋体" w:eastAsia="宋体" w:cs="宋体"/>
                <w:color w:val="auto"/>
                <w:sz w:val="32"/>
                <w:szCs w:val="32"/>
                <w:highlight w:val="none"/>
              </w:rPr>
              <w:t>供应商须知前附表</w:t>
            </w:r>
          </w:p>
        </w:tc>
      </w:tr>
      <w:tr w14:paraId="70A2D1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65E2434">
            <w:pPr>
              <w:spacing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995" w:type="dxa"/>
            <w:vAlign w:val="center"/>
          </w:tcPr>
          <w:p w14:paraId="75DD1BAC">
            <w:pPr>
              <w:spacing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条款</w:t>
            </w:r>
          </w:p>
        </w:tc>
        <w:tc>
          <w:tcPr>
            <w:tcW w:w="6615" w:type="dxa"/>
            <w:vAlign w:val="center"/>
          </w:tcPr>
          <w:p w14:paraId="4B3A1CB4">
            <w:pPr>
              <w:rPr>
                <w:rFonts w:hint="eastAsia" w:ascii="宋体" w:hAnsi="宋体" w:eastAsia="宋体" w:cs="宋体"/>
                <w:color w:val="auto"/>
                <w:sz w:val="24"/>
                <w:highlight w:val="none"/>
              </w:rPr>
            </w:pPr>
            <w:r>
              <w:rPr>
                <w:rFonts w:hint="eastAsia" w:ascii="宋体" w:hAnsi="宋体" w:eastAsia="宋体" w:cs="宋体"/>
                <w:color w:val="auto"/>
                <w:sz w:val="24"/>
                <w:highlight w:val="none"/>
              </w:rPr>
              <w:t>内  容</w:t>
            </w:r>
          </w:p>
        </w:tc>
      </w:tr>
      <w:tr w14:paraId="6F290B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2EC90F3">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61A3F35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tc>
        <w:tc>
          <w:tcPr>
            <w:tcW w:w="6615" w:type="dxa"/>
            <w:vAlign w:val="center"/>
          </w:tcPr>
          <w:p w14:paraId="4EF2CF66">
            <w:pP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val="en-US" w:eastAsia="zh-CN"/>
              </w:rPr>
              <w:t>郸城县市场监督管理局2026年度食品安全抽样检测项目</w:t>
            </w:r>
          </w:p>
          <w:p w14:paraId="30F7A94F">
            <w:pPr>
              <w:rPr>
                <w:rFonts w:hint="eastAsia" w:ascii="宋体" w:hAnsi="宋体" w:eastAsia="宋体" w:cs="宋体"/>
                <w:color w:val="auto"/>
                <w:sz w:val="24"/>
                <w:highlight w:val="none"/>
              </w:rPr>
            </w:pPr>
            <w:r>
              <w:rPr>
                <w:rFonts w:hint="eastAsia" w:ascii="宋体" w:hAnsi="宋体" w:eastAsia="宋体" w:cs="宋体"/>
                <w:color w:val="auto"/>
                <w:sz w:val="24"/>
                <w:highlight w:val="none"/>
              </w:rPr>
              <w:t>采购内容：</w:t>
            </w:r>
            <w:r>
              <w:rPr>
                <w:rFonts w:hint="eastAsia" w:ascii="宋体" w:hAnsi="宋体" w:eastAsia="宋体" w:cs="宋体"/>
                <w:color w:val="auto"/>
                <w:sz w:val="24"/>
                <w:highlight w:val="none"/>
                <w:lang w:val="en-US" w:eastAsia="zh-CN"/>
              </w:rPr>
              <w:t>郸城县市场监督管理局2026年度食品安全抽样检测项目</w:t>
            </w:r>
          </w:p>
          <w:p w14:paraId="6F946789">
            <w:pPr>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val="en-US" w:eastAsia="zh-CN"/>
              </w:rPr>
              <w:t>郸城县市场监督管理局</w:t>
            </w:r>
          </w:p>
          <w:p w14:paraId="14375308">
            <w:pPr>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采购代理机构：</w:t>
            </w:r>
            <w:r>
              <w:rPr>
                <w:rFonts w:hint="eastAsia" w:ascii="宋体" w:hAnsi="宋体" w:eastAsia="宋体" w:cs="宋体"/>
                <w:color w:val="auto"/>
                <w:sz w:val="24"/>
                <w:szCs w:val="24"/>
                <w:highlight w:val="none"/>
              </w:rPr>
              <w:t>周口市公共资源交易中心政府采购中心</w:t>
            </w:r>
          </w:p>
        </w:tc>
      </w:tr>
      <w:tr w14:paraId="7B0E10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E470276">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7DFF9D86">
            <w:pPr>
              <w:spacing w:beforeLines="50"/>
              <w:ind w:left="-4" w:leftChars="-4" w:hanging="4" w:hangingChars="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对供应商的资格要求</w:t>
            </w:r>
          </w:p>
        </w:tc>
        <w:tc>
          <w:tcPr>
            <w:tcW w:w="6615" w:type="dxa"/>
            <w:vAlign w:val="center"/>
          </w:tcPr>
          <w:p w14:paraId="3FA51BDD">
            <w:pPr>
              <w:spacing w:beforeLines="50"/>
              <w:ind w:left="-4" w:leftChars="-4" w:hanging="4" w:hangingChars="2"/>
              <w:rPr>
                <w:rFonts w:hint="eastAsia" w:ascii="宋体" w:hAnsi="宋体" w:eastAsia="宋体" w:cs="宋体"/>
                <w:color w:val="auto"/>
                <w:sz w:val="24"/>
                <w:highlight w:val="none"/>
              </w:rPr>
            </w:pPr>
            <w:r>
              <w:rPr>
                <w:rFonts w:hint="eastAsia" w:ascii="宋体" w:hAnsi="宋体" w:eastAsia="宋体" w:cs="宋体"/>
                <w:color w:val="auto"/>
                <w:sz w:val="24"/>
                <w:highlight w:val="none"/>
              </w:rPr>
              <w:t>见竞争性磋商邀请函</w:t>
            </w:r>
          </w:p>
        </w:tc>
      </w:tr>
      <w:tr w14:paraId="72127A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EEFFA04">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070E638C">
            <w:pPr>
              <w:spacing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报价费用</w:t>
            </w:r>
          </w:p>
        </w:tc>
        <w:tc>
          <w:tcPr>
            <w:tcW w:w="6615" w:type="dxa"/>
            <w:vAlign w:val="center"/>
          </w:tcPr>
          <w:p w14:paraId="3D7B766D">
            <w:pPr>
              <w:rPr>
                <w:rFonts w:hint="eastAsia" w:ascii="宋体" w:hAnsi="宋体" w:eastAsia="宋体" w:cs="宋体"/>
                <w:color w:val="auto"/>
                <w:sz w:val="24"/>
                <w:highlight w:val="none"/>
              </w:rPr>
            </w:pPr>
            <w:r>
              <w:rPr>
                <w:rFonts w:hint="eastAsia" w:ascii="宋体" w:hAnsi="宋体" w:eastAsia="宋体" w:cs="宋体"/>
                <w:color w:val="auto"/>
                <w:sz w:val="24"/>
                <w:highlight w:val="none"/>
              </w:rPr>
              <w:t>无论报价和磋商的过程和结果如何，供应商自行承担所有与参加报价及磋商有关活动的全部费用。</w:t>
            </w:r>
          </w:p>
        </w:tc>
      </w:tr>
      <w:tr w14:paraId="1E1DE9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52A8D119">
            <w:pPr>
              <w:numPr>
                <w:ilvl w:val="0"/>
                <w:numId w:val="1"/>
              </w:numPr>
              <w:spacing w:beforeLines="50"/>
              <w:rPr>
                <w:rFonts w:hint="eastAsia" w:ascii="宋体" w:hAnsi="宋体" w:eastAsia="宋体" w:cs="宋体"/>
                <w:color w:val="auto"/>
                <w:sz w:val="24"/>
                <w:highlight w:val="none"/>
              </w:rPr>
            </w:pPr>
          </w:p>
        </w:tc>
        <w:tc>
          <w:tcPr>
            <w:tcW w:w="1995" w:type="dxa"/>
            <w:vAlign w:val="center"/>
          </w:tcPr>
          <w:p w14:paraId="7EB48F20">
            <w:pPr>
              <w:spacing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响应文件语言</w:t>
            </w:r>
          </w:p>
        </w:tc>
        <w:tc>
          <w:tcPr>
            <w:tcW w:w="6615" w:type="dxa"/>
            <w:vAlign w:val="center"/>
          </w:tcPr>
          <w:p w14:paraId="5B0DEEB3">
            <w:pPr>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中文</w:t>
            </w:r>
          </w:p>
        </w:tc>
      </w:tr>
      <w:tr w14:paraId="43EC01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AAE3A80">
            <w:pPr>
              <w:numPr>
                <w:ilvl w:val="0"/>
                <w:numId w:val="1"/>
              </w:numPr>
              <w:spacing w:beforeLines="50"/>
              <w:rPr>
                <w:rFonts w:hint="eastAsia" w:ascii="宋体" w:hAnsi="宋体" w:eastAsia="宋体" w:cs="宋体"/>
                <w:color w:val="auto"/>
                <w:sz w:val="24"/>
                <w:highlight w:val="none"/>
              </w:rPr>
            </w:pPr>
          </w:p>
        </w:tc>
        <w:tc>
          <w:tcPr>
            <w:tcW w:w="1995" w:type="dxa"/>
            <w:vAlign w:val="center"/>
          </w:tcPr>
          <w:p w14:paraId="2681D04B">
            <w:pPr>
              <w:spacing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报价货币</w:t>
            </w:r>
          </w:p>
        </w:tc>
        <w:tc>
          <w:tcPr>
            <w:tcW w:w="6615" w:type="dxa"/>
            <w:vAlign w:val="center"/>
          </w:tcPr>
          <w:p w14:paraId="3F674F35">
            <w:pPr>
              <w:rPr>
                <w:rFonts w:hint="eastAsia" w:ascii="宋体" w:hAnsi="宋体" w:eastAsia="宋体" w:cs="宋体"/>
                <w:color w:val="auto"/>
                <w:sz w:val="24"/>
                <w:highlight w:val="none"/>
              </w:rPr>
            </w:pPr>
            <w:r>
              <w:rPr>
                <w:rFonts w:hint="eastAsia" w:ascii="宋体" w:hAnsi="宋体" w:eastAsia="宋体" w:cs="宋体"/>
                <w:color w:val="auto"/>
                <w:sz w:val="24"/>
                <w:highlight w:val="none"/>
              </w:rPr>
              <w:t>人民币</w:t>
            </w:r>
          </w:p>
        </w:tc>
      </w:tr>
      <w:tr w14:paraId="0C42BB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1EC7F44">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101B2547">
            <w:pPr>
              <w:spacing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报价范围及说明</w:t>
            </w:r>
          </w:p>
        </w:tc>
        <w:tc>
          <w:tcPr>
            <w:tcW w:w="6615" w:type="dxa"/>
            <w:vAlign w:val="center"/>
          </w:tcPr>
          <w:p w14:paraId="48A29199">
            <w:pP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报价包括本项目所招标的服务、保险、税费、验收等（采购项目技术规格、参数及要求）</w:t>
            </w:r>
          </w:p>
        </w:tc>
      </w:tr>
      <w:tr w14:paraId="097BCC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7E3FCDCB">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6BB34886">
            <w:pPr>
              <w:spacing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响应文件有效期</w:t>
            </w:r>
          </w:p>
        </w:tc>
        <w:tc>
          <w:tcPr>
            <w:tcW w:w="6615" w:type="dxa"/>
            <w:vAlign w:val="center"/>
          </w:tcPr>
          <w:p w14:paraId="7B7DC246">
            <w:pP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响应文件递交截止期后60日内有效</w:t>
            </w:r>
          </w:p>
        </w:tc>
      </w:tr>
      <w:tr w14:paraId="614E85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C138B67">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77135AFA">
            <w:pPr>
              <w:tabs>
                <w:tab w:val="left" w:pos="8640"/>
              </w:tabs>
              <w:spacing w:beforeLines="50"/>
              <w:ind w:left="-2" w:leftChars="-1"/>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响应文件的组成</w:t>
            </w:r>
          </w:p>
        </w:tc>
        <w:tc>
          <w:tcPr>
            <w:tcW w:w="6615" w:type="dxa"/>
            <w:vAlign w:val="center"/>
          </w:tcPr>
          <w:p w14:paraId="0C2D3309">
            <w:pP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176F6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606E48A3">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4FFF2202">
            <w:pPr>
              <w:tabs>
                <w:tab w:val="left" w:pos="8640"/>
              </w:tabs>
              <w:spacing w:beforeLines="50"/>
              <w:ind w:left="-2" w:leftChars="-1"/>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响应文件封面要求</w:t>
            </w:r>
          </w:p>
        </w:tc>
        <w:tc>
          <w:tcPr>
            <w:tcW w:w="6615" w:type="dxa"/>
            <w:vAlign w:val="center"/>
          </w:tcPr>
          <w:p w14:paraId="6758E0E2">
            <w:pPr>
              <w:tabs>
                <w:tab w:val="left" w:pos="8640"/>
              </w:tabs>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封面要求授权代表签字并列明项目名称、采购编号、供应商名</w:t>
            </w:r>
          </w:p>
          <w:p w14:paraId="4E801B9A">
            <w:pPr>
              <w:tabs>
                <w:tab w:val="left" w:pos="8640"/>
              </w:tabs>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称、地址、包号及电话等信息</w:t>
            </w:r>
          </w:p>
        </w:tc>
      </w:tr>
      <w:tr w14:paraId="3F62E4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0A174FD">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5450930B">
            <w:pPr>
              <w:spacing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响应文件份数要求</w:t>
            </w:r>
          </w:p>
        </w:tc>
        <w:tc>
          <w:tcPr>
            <w:tcW w:w="6615" w:type="dxa"/>
            <w:vAlign w:val="center"/>
          </w:tcPr>
          <w:p w14:paraId="025C5DC5">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加密的电子投标文件须在投标截止时间前成功上传</w:t>
            </w:r>
          </w:p>
        </w:tc>
      </w:tr>
      <w:tr w14:paraId="7029E6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187ED8A">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0A78F291">
            <w:pPr>
              <w:spacing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响应文件装订和密封要求</w:t>
            </w:r>
          </w:p>
        </w:tc>
        <w:tc>
          <w:tcPr>
            <w:tcW w:w="6615" w:type="dxa"/>
            <w:vAlign w:val="center"/>
          </w:tcPr>
          <w:p w14:paraId="37B0DC59">
            <w:pPr>
              <w:rPr>
                <w:rFonts w:hint="eastAsia" w:ascii="宋体" w:hAnsi="宋体" w:eastAsia="宋体" w:cs="宋体"/>
                <w:color w:val="auto"/>
                <w:sz w:val="24"/>
                <w:highlight w:val="none"/>
              </w:rPr>
            </w:pPr>
            <w:r>
              <w:rPr>
                <w:rFonts w:hint="eastAsia" w:ascii="宋体" w:hAnsi="宋体" w:eastAsia="宋体" w:cs="宋体"/>
                <w:color w:val="auto"/>
                <w:sz w:val="24"/>
                <w:highlight w:val="none"/>
              </w:rPr>
              <w:t>无</w:t>
            </w:r>
          </w:p>
        </w:tc>
      </w:tr>
      <w:tr w14:paraId="6C4B73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1997F7F">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5BB3CB1C">
            <w:pPr>
              <w:spacing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竞争性磋商文件的澄清</w:t>
            </w:r>
          </w:p>
        </w:tc>
        <w:tc>
          <w:tcPr>
            <w:tcW w:w="6615" w:type="dxa"/>
            <w:vAlign w:val="center"/>
          </w:tcPr>
          <w:p w14:paraId="3794308E">
            <w:pPr>
              <w:rPr>
                <w:rFonts w:hint="eastAsia" w:ascii="宋体" w:hAnsi="宋体" w:eastAsia="宋体" w:cs="宋体"/>
                <w:color w:val="auto"/>
                <w:sz w:val="24"/>
                <w:highlight w:val="none"/>
              </w:rPr>
            </w:pPr>
            <w:r>
              <w:rPr>
                <w:rFonts w:hint="eastAsia" w:ascii="宋体" w:hAnsi="宋体" w:eastAsia="宋体" w:cs="宋体"/>
                <w:color w:val="auto"/>
                <w:sz w:val="24"/>
                <w:highlight w:val="none"/>
              </w:rPr>
              <w:t>对竞争性磋商文件进行</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澄清，以</w:t>
            </w:r>
            <w:r>
              <w:rPr>
                <w:rFonts w:hint="eastAsia" w:ascii="宋体" w:hAnsi="宋体" w:eastAsia="宋体" w:cs="宋体"/>
                <w:color w:val="auto"/>
                <w:sz w:val="24"/>
                <w:highlight w:val="none"/>
                <w:lang w:val="en-US" w:eastAsia="zh-CN"/>
              </w:rPr>
              <w:t>网上公告的方式</w:t>
            </w:r>
            <w:r>
              <w:rPr>
                <w:rFonts w:hint="eastAsia" w:ascii="宋体" w:hAnsi="宋体" w:eastAsia="宋体" w:cs="宋体"/>
                <w:color w:val="auto"/>
                <w:sz w:val="24"/>
                <w:highlight w:val="none"/>
              </w:rPr>
              <w:t>通知</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。澄清或修改的内容可能影响响应文件编制的，采购人、采购代理机构应当在提交响应文件截止时间至少5日前。</w:t>
            </w:r>
          </w:p>
        </w:tc>
      </w:tr>
      <w:tr w14:paraId="7D23A9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FF35AF6">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118CF149">
            <w:pPr>
              <w:spacing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响应文件递交截止时间</w:t>
            </w:r>
          </w:p>
        </w:tc>
        <w:tc>
          <w:tcPr>
            <w:tcW w:w="6615" w:type="dxa"/>
            <w:vAlign w:val="center"/>
          </w:tcPr>
          <w:p w14:paraId="7C237C3F">
            <w:pPr>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年   月   日上午   （见磋商公告） </w:t>
            </w:r>
          </w:p>
        </w:tc>
      </w:tr>
      <w:tr w14:paraId="7433FA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14AB2D8">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47DB5BF2">
            <w:pPr>
              <w:spacing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响应文件递交地点</w:t>
            </w:r>
          </w:p>
        </w:tc>
        <w:tc>
          <w:tcPr>
            <w:tcW w:w="6615" w:type="dxa"/>
            <w:vAlign w:val="center"/>
          </w:tcPr>
          <w:p w14:paraId="24EA8CDB">
            <w:pP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周口市公共资源交易中心</w:t>
            </w:r>
            <w:r>
              <w:rPr>
                <w:rFonts w:hint="eastAsia" w:ascii="宋体" w:hAnsi="宋体" w:eastAsia="宋体" w:cs="宋体"/>
                <w:color w:val="auto"/>
                <w:sz w:val="24"/>
                <w:highlight w:val="none"/>
                <w:lang w:val="en-US" w:eastAsia="zh-CN"/>
              </w:rPr>
              <w:t>网</w:t>
            </w:r>
          </w:p>
          <w:p w14:paraId="46BE7D59">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highlight w:val="none"/>
              </w:rPr>
              <w:t>网址：周口市公共资源电子交易服务平台会员系统（网址</w:t>
            </w:r>
            <w:r>
              <w:rPr>
                <w:rFonts w:hint="eastAsia" w:ascii="宋体" w:hAnsi="宋体" w:eastAsia="宋体" w:cs="宋体"/>
                <w:color w:val="auto"/>
                <w:highlight w:val="none"/>
              </w:rPr>
              <w:t>http://jyzx.zhoukou.gov.cn</w:t>
            </w:r>
            <w:r>
              <w:rPr>
                <w:rFonts w:hint="eastAsia" w:ascii="宋体" w:hAnsi="宋体" w:eastAsia="宋体" w:cs="宋体"/>
                <w:color w:val="auto"/>
                <w:highlight w:val="none"/>
                <w:lang w:eastAsia="zh-CN"/>
              </w:rPr>
              <w:t>）</w:t>
            </w:r>
          </w:p>
          <w:p w14:paraId="7A93C0D4">
            <w:pPr>
              <w:spacing w:line="560" w:lineRule="exact"/>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297C1E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FA845FB">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2C7892F0">
            <w:pPr>
              <w:spacing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磋商时间</w:t>
            </w:r>
          </w:p>
        </w:tc>
        <w:tc>
          <w:tcPr>
            <w:tcW w:w="6615" w:type="dxa"/>
            <w:vAlign w:val="center"/>
          </w:tcPr>
          <w:p w14:paraId="125D4D02">
            <w:pPr>
              <w:tabs>
                <w:tab w:val="left" w:pos="8640"/>
              </w:tabs>
              <w:ind w:left="-2" w:leftChars="-1"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日上午    见磋商公告</w:t>
            </w:r>
          </w:p>
        </w:tc>
      </w:tr>
      <w:tr w14:paraId="4B2F3A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D546F4C">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0F608784">
            <w:pPr>
              <w:spacing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磋商程序和内容</w:t>
            </w:r>
          </w:p>
        </w:tc>
        <w:tc>
          <w:tcPr>
            <w:tcW w:w="6615" w:type="dxa"/>
            <w:vAlign w:val="center"/>
          </w:tcPr>
          <w:p w14:paraId="58F9C9A2">
            <w:pPr>
              <w:tabs>
                <w:tab w:val="left" w:pos="8640"/>
              </w:tabs>
              <w:rPr>
                <w:rFonts w:hint="eastAsia" w:ascii="宋体" w:hAnsi="宋体" w:eastAsia="宋体" w:cs="宋体"/>
                <w:color w:val="auto"/>
                <w:sz w:val="24"/>
                <w:highlight w:val="none"/>
              </w:rPr>
            </w:pPr>
            <w:r>
              <w:rPr>
                <w:rFonts w:hint="eastAsia" w:ascii="宋体" w:hAnsi="宋体" w:eastAsia="宋体" w:cs="宋体"/>
                <w:color w:val="auto"/>
                <w:sz w:val="24"/>
                <w:highlight w:val="none"/>
              </w:rPr>
              <w:t>详见磋商文件第二章</w:t>
            </w:r>
          </w:p>
        </w:tc>
      </w:tr>
      <w:tr w14:paraId="0A750D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11B5439">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1001726C">
            <w:pPr>
              <w:spacing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授予合同</w:t>
            </w:r>
          </w:p>
        </w:tc>
        <w:tc>
          <w:tcPr>
            <w:tcW w:w="6615" w:type="dxa"/>
            <w:vAlign w:val="center"/>
          </w:tcPr>
          <w:p w14:paraId="0EDEE8AC">
            <w:pPr>
              <w:tabs>
                <w:tab w:val="left" w:pos="8640"/>
              </w:tabs>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采购人根据磋商小组的推荐意见，确定成交供应商。采购代理机构向成交供应商发出成交通知书。</w:t>
            </w:r>
          </w:p>
        </w:tc>
      </w:tr>
      <w:tr w14:paraId="7F7007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3D3A30E">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78537F5E">
            <w:pPr>
              <w:spacing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w:t>
            </w:r>
          </w:p>
        </w:tc>
        <w:tc>
          <w:tcPr>
            <w:tcW w:w="6615" w:type="dxa"/>
            <w:vAlign w:val="center"/>
          </w:tcPr>
          <w:p w14:paraId="5518EBB8">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1）接到成交通知书30天内，成交供应商应与采购人签订采购合同。</w:t>
            </w:r>
          </w:p>
          <w:p w14:paraId="3F48E2DF">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2）本磋商文件、响应文件及磋商、评审过程中有关澄清、承诺文件的内容，将作为签订合同的主要内容。</w:t>
            </w:r>
          </w:p>
        </w:tc>
      </w:tr>
      <w:tr w14:paraId="6AD68D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C68408D">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238A87F4">
            <w:pPr>
              <w:spacing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投标保证金</w:t>
            </w:r>
          </w:p>
        </w:tc>
        <w:tc>
          <w:tcPr>
            <w:tcW w:w="6615" w:type="dxa"/>
            <w:vAlign w:val="center"/>
          </w:tcPr>
          <w:p w14:paraId="3A855E26">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本项目不需要交纳投标保证金</w:t>
            </w:r>
          </w:p>
        </w:tc>
      </w:tr>
      <w:tr w14:paraId="037BEB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9C5BCD4">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610D535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服务期限</w:t>
            </w:r>
          </w:p>
        </w:tc>
        <w:tc>
          <w:tcPr>
            <w:tcW w:w="6615" w:type="dxa"/>
            <w:vAlign w:val="center"/>
          </w:tcPr>
          <w:p w14:paraId="184D4224">
            <w:pPr>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180</w:t>
            </w:r>
            <w:r>
              <w:rPr>
                <w:rFonts w:hint="eastAsia" w:ascii="宋体" w:hAnsi="宋体" w:eastAsia="宋体" w:cs="宋体"/>
                <w:color w:val="auto"/>
                <w:sz w:val="24"/>
                <w:highlight w:val="none"/>
              </w:rPr>
              <w:t>日历天</w:t>
            </w:r>
            <w:r>
              <w:rPr>
                <w:rFonts w:hint="eastAsia" w:ascii="宋体" w:hAnsi="宋体" w:eastAsia="宋体" w:cs="宋体"/>
                <w:color w:val="auto"/>
                <w:sz w:val="24"/>
                <w:szCs w:val="24"/>
                <w:highlight w:val="none"/>
                <w:lang w:val="en-US" w:eastAsia="zh-CN"/>
              </w:rPr>
              <w:t>内</w:t>
            </w:r>
          </w:p>
        </w:tc>
      </w:tr>
      <w:tr w14:paraId="173AE5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8682963">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4C3FC0C4">
            <w:pPr>
              <w:spacing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付款方式（要求详细填写）</w:t>
            </w:r>
          </w:p>
        </w:tc>
        <w:tc>
          <w:tcPr>
            <w:tcW w:w="6615" w:type="dxa"/>
            <w:vAlign w:val="center"/>
          </w:tcPr>
          <w:p w14:paraId="7FEAF530">
            <w:pPr>
              <w:tabs>
                <w:tab w:val="left" w:pos="8640"/>
              </w:tabs>
              <w:jc w:val="left"/>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服务完成、经验收合格后一次性付清所有款项。</w:t>
            </w:r>
          </w:p>
        </w:tc>
      </w:tr>
      <w:tr w14:paraId="67550D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2019F5CD">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247735FD">
            <w:pPr>
              <w:spacing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勘察现场</w:t>
            </w:r>
          </w:p>
        </w:tc>
        <w:tc>
          <w:tcPr>
            <w:tcW w:w="6615" w:type="dxa"/>
            <w:vAlign w:val="center"/>
          </w:tcPr>
          <w:p w14:paraId="08CD829F">
            <w:pPr>
              <w:tabs>
                <w:tab w:val="left" w:pos="8640"/>
              </w:tabs>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不组织</w:t>
            </w:r>
          </w:p>
        </w:tc>
      </w:tr>
      <w:tr w14:paraId="19A8CE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7B7C3F5">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116FC3F7">
            <w:pPr>
              <w:spacing w:beforeLines="50"/>
              <w:ind w:firstLine="14" w:firstLineChars="6"/>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报价</w:t>
            </w:r>
          </w:p>
        </w:tc>
        <w:tc>
          <w:tcPr>
            <w:tcW w:w="6615" w:type="dxa"/>
            <w:vAlign w:val="center"/>
          </w:tcPr>
          <w:p w14:paraId="77C0DE35">
            <w:pPr>
              <w:tabs>
                <w:tab w:val="left" w:pos="8640"/>
              </w:tabs>
              <w:jc w:val="left"/>
              <w:rPr>
                <w:rFonts w:hint="eastAsia" w:ascii="宋体" w:hAnsi="宋体" w:eastAsia="宋体" w:cs="宋体"/>
                <w:b/>
                <w:bCs/>
                <w:color w:val="auto"/>
                <w:sz w:val="24"/>
                <w:highlight w:val="none"/>
                <w:u w:val="single"/>
                <w:lang w:val="en-US" w:eastAsia="zh-CN"/>
              </w:rPr>
            </w:pPr>
            <w:r>
              <w:rPr>
                <w:rFonts w:hint="eastAsia" w:ascii="宋体" w:hAnsi="宋体" w:eastAsia="宋体" w:cs="宋体"/>
                <w:b/>
                <w:bCs/>
                <w:color w:val="auto"/>
                <w:sz w:val="24"/>
                <w:highlight w:val="none"/>
                <w:lang w:val="en-US" w:eastAsia="zh-CN"/>
              </w:rPr>
              <w:t>一次报价</w:t>
            </w:r>
          </w:p>
        </w:tc>
      </w:tr>
      <w:tr w14:paraId="70E1A7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395732C">
            <w:pPr>
              <w:numPr>
                <w:ilvl w:val="0"/>
                <w:numId w:val="1"/>
              </w:numPr>
              <w:spacing w:beforeLines="50"/>
              <w:jc w:val="center"/>
              <w:rPr>
                <w:rFonts w:hint="eastAsia" w:ascii="宋体" w:hAnsi="宋体" w:eastAsia="宋体" w:cs="宋体"/>
                <w:color w:val="auto"/>
                <w:sz w:val="24"/>
                <w:highlight w:val="none"/>
              </w:rPr>
            </w:pPr>
          </w:p>
        </w:tc>
        <w:tc>
          <w:tcPr>
            <w:tcW w:w="1995" w:type="dxa"/>
            <w:vAlign w:val="center"/>
          </w:tcPr>
          <w:p w14:paraId="2136E333">
            <w:pPr>
              <w:spacing w:beforeLines="50"/>
              <w:ind w:firstLine="14" w:firstLineChars="6"/>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行业分类</w:t>
            </w:r>
          </w:p>
        </w:tc>
        <w:tc>
          <w:tcPr>
            <w:tcW w:w="6615" w:type="dxa"/>
            <w:vAlign w:val="center"/>
          </w:tcPr>
          <w:p w14:paraId="25D412D7">
            <w:pPr>
              <w:tabs>
                <w:tab w:val="left" w:pos="8640"/>
              </w:tabs>
              <w:jc w:val="left"/>
              <w:rPr>
                <w:rFonts w:hint="eastAsia" w:ascii="宋体" w:hAnsi="宋体" w:eastAsia="宋体" w:cs="宋体"/>
                <w:b/>
                <w:bCs/>
                <w:color w:val="auto"/>
                <w:sz w:val="24"/>
                <w:highlight w:val="none"/>
                <w:lang w:val="en-US" w:eastAsia="zh-CN"/>
              </w:rPr>
            </w:pPr>
            <w:r>
              <w:rPr>
                <w:rFonts w:hint="eastAsia" w:ascii="宋体" w:hAnsi="宋体" w:eastAsia="宋体" w:cs="宋体"/>
                <w:b/>
                <w:color w:val="auto"/>
                <w:sz w:val="24"/>
                <w:szCs w:val="24"/>
                <w:highlight w:val="none"/>
              </w:rPr>
              <w:t>本项目所属行业：其他未列明行业</w:t>
            </w:r>
          </w:p>
        </w:tc>
      </w:tr>
    </w:tbl>
    <w:p w14:paraId="320436C9">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5EF0C7E8">
      <w:pPr>
        <w:keepNext w:val="0"/>
        <w:keepLines w:val="0"/>
        <w:pageBreakBefore w:val="0"/>
        <w:kinsoku/>
        <w:wordWrap/>
        <w:overflowPunct/>
        <w:topLinePunct w:val="0"/>
        <w:bidi w:val="0"/>
        <w:spacing w:line="520" w:lineRule="exact"/>
        <w:jc w:val="center"/>
        <w:textAlignment w:val="auto"/>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一、总则</w:t>
      </w:r>
    </w:p>
    <w:p w14:paraId="73684637">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1．适用范围</w:t>
      </w:r>
    </w:p>
    <w:p w14:paraId="23549DA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1.1本竞争性磋商文件仅适用于本次竞争性磋商邀请函中所述</w:t>
      </w:r>
      <w:r>
        <w:rPr>
          <w:rFonts w:hint="eastAsia" w:ascii="宋体" w:hAnsi="宋体" w:eastAsia="宋体" w:cs="宋体"/>
          <w:bCs/>
          <w:color w:val="auto"/>
          <w:sz w:val="24"/>
          <w:highlight w:val="none"/>
        </w:rPr>
        <w:t>项目。</w:t>
      </w:r>
    </w:p>
    <w:p w14:paraId="18C3EDB2">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2．定义</w:t>
      </w:r>
    </w:p>
    <w:p w14:paraId="2635225D">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2.1“采购代理机构”：周口市公共资源交易中心政府采购中心。</w:t>
      </w:r>
    </w:p>
    <w:p w14:paraId="6315A810">
      <w:pPr>
        <w:keepNext w:val="0"/>
        <w:keepLines w:val="0"/>
        <w:pageBreakBefore w:val="0"/>
        <w:tabs>
          <w:tab w:val="left" w:pos="0"/>
        </w:tabs>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2.2“采购人”：</w:t>
      </w:r>
      <w:r>
        <w:rPr>
          <w:rFonts w:hint="eastAsia" w:ascii="宋体" w:hAnsi="宋体" w:eastAsia="宋体" w:cs="宋体"/>
          <w:color w:val="auto"/>
          <w:sz w:val="24"/>
          <w:highlight w:val="none"/>
          <w:lang w:val="en-US" w:eastAsia="zh-CN"/>
        </w:rPr>
        <w:t>郸城县市场监督管理局</w:t>
      </w:r>
    </w:p>
    <w:p w14:paraId="27DC99D5">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2.3“供应商”系指按竞争性磋商文件规定取得竞争性磋商文件并参加竞争性磋商活动的法人、其他组织或者自然人。</w:t>
      </w:r>
    </w:p>
    <w:p w14:paraId="1156307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2.4“供应商代表”：系指代表供应商参加本次竞争性磋商活动的供应商的法定代表人或其委托代理人。</w:t>
      </w:r>
    </w:p>
    <w:p w14:paraId="7953D923">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2.5“服务”：系指本项目所采购的服务及其他要求等。</w:t>
      </w:r>
    </w:p>
    <w:p w14:paraId="40772D5F">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w:t>
      </w:r>
    </w:p>
    <w:p w14:paraId="069EFC78">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2.7“重大违法记录”系指供应商因违法经营受到刑事处罚或者责令停产停业、吊销许可证或者执照、较大数额罚款等行政处罚。供应商应在响应文件中承诺未被纳入重大税收违法失信主体名单且未存在不诚信记录，如若实际情况与供应商承诺内容不一致，一经查实将取消其中标资格。</w:t>
      </w:r>
    </w:p>
    <w:p w14:paraId="3351C354">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2.8“不具备良好的商业信誉”是指：</w:t>
      </w:r>
    </w:p>
    <w:p w14:paraId="3A41E8B3">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（1）有重大违法记录的（满三年的除外）；</w:t>
      </w:r>
    </w:p>
    <w:p w14:paraId="168AFC18">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（2）被各级财政部门列入政府采购严重违法失信行为信息记录的（期限已满的除外）；</w:t>
      </w:r>
    </w:p>
    <w:p w14:paraId="6EAF1E82">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（3）被各级政府采购监督管理部门禁止在一定期限内参加政府采购活动等处罚的（期限已满的除外）；</w:t>
      </w:r>
    </w:p>
    <w:p w14:paraId="5FE876A9">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（4）被各级法院列入失信名单的（已依法解除的除外）；</w:t>
      </w:r>
    </w:p>
    <w:p w14:paraId="3C6253C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（5）法律法规规定的其他情形。</w:t>
      </w:r>
    </w:p>
    <w:p w14:paraId="533EB129">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3.采购预算</w:t>
      </w:r>
    </w:p>
    <w:p w14:paraId="27F35C35">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3.1本次采购预算：见公告。</w:t>
      </w:r>
    </w:p>
    <w:p w14:paraId="4EE66150">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4.合格的供应商</w:t>
      </w:r>
    </w:p>
    <w:p w14:paraId="75FF65B8">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4.1.1符合供应商资格条件（详见第一部分供应商资格条件）并提供合格供应商的声明函。</w:t>
      </w:r>
    </w:p>
    <w:p w14:paraId="03656B72">
      <w:pPr>
        <w:keepNext w:val="0"/>
        <w:keepLines w:val="0"/>
        <w:pageBreakBefore w:val="0"/>
        <w:widowControl/>
        <w:kinsoku/>
        <w:wordWrap/>
        <w:overflowPunct/>
        <w:topLinePunct w:val="0"/>
        <w:bidi w:val="0"/>
        <w:spacing w:line="520" w:lineRule="exact"/>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4.1.2参加政府采购活动前三年内，在经营活动中没有重大违法记录的声明函；</w:t>
      </w:r>
    </w:p>
    <w:p w14:paraId="6E1DF8DA">
      <w:pPr>
        <w:keepNext w:val="0"/>
        <w:keepLines w:val="0"/>
        <w:pageBreakBefore w:val="0"/>
        <w:widowControl/>
        <w:kinsoku/>
        <w:wordWrap/>
        <w:overflowPunct/>
        <w:topLinePunct w:val="0"/>
        <w:bidi w:val="0"/>
        <w:spacing w:line="520" w:lineRule="exact"/>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4.1.3 政府采购供应商诚信承诺书；</w:t>
      </w:r>
    </w:p>
    <w:p w14:paraId="5ED09B48">
      <w:pPr>
        <w:pStyle w:val="71"/>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rPr>
        <w:t>1.4 供应商</w:t>
      </w:r>
      <w:r>
        <w:rPr>
          <w:rFonts w:hint="eastAsia" w:ascii="宋体" w:hAnsi="宋体" w:eastAsia="宋体" w:cs="宋体"/>
          <w:color w:val="auto"/>
          <w:sz w:val="24"/>
          <w:highlight w:val="none"/>
        </w:rPr>
        <w:t>自觉抵制政府采购领域商业贿赂行为承诺书；</w:t>
      </w:r>
    </w:p>
    <w:p w14:paraId="360BC123">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4.2 </w:t>
      </w:r>
      <w:r>
        <w:rPr>
          <w:rFonts w:hint="eastAsia" w:ascii="宋体" w:hAnsi="宋体" w:eastAsia="宋体" w:cs="宋体"/>
          <w:color w:val="auto"/>
          <w:kern w:val="0"/>
          <w:sz w:val="24"/>
          <w:highlight w:val="none"/>
        </w:rPr>
        <w:t>供应商需提供售后服务体系与承诺</w:t>
      </w:r>
      <w:r>
        <w:rPr>
          <w:rFonts w:hint="eastAsia" w:ascii="宋体" w:hAnsi="宋体" w:eastAsia="宋体" w:cs="宋体"/>
          <w:color w:val="auto"/>
          <w:kern w:val="0"/>
          <w:sz w:val="24"/>
          <w:highlight w:val="none"/>
          <w:lang w:val="zh-CN"/>
        </w:rPr>
        <w:t>。</w:t>
      </w:r>
    </w:p>
    <w:p w14:paraId="0DCA1FB0">
      <w:pPr>
        <w:pStyle w:val="71"/>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rPr>
        <w:t>3</w:t>
      </w:r>
      <w:r>
        <w:rPr>
          <w:rFonts w:hint="eastAsia" w:ascii="宋体" w:hAnsi="宋体" w:eastAsia="宋体" w:cs="宋体"/>
          <w:color w:val="auto"/>
          <w:sz w:val="24"/>
          <w:highlight w:val="none"/>
        </w:rPr>
        <w:t>符合本竞争性磋商文件规定的供应商资格要求及项目要求的其它条件，并按照要求提供相关证明材料。</w:t>
      </w:r>
    </w:p>
    <w:p w14:paraId="5FE356F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4.4供应商应遵守国家法律、法规有关竞争性磋商的规定。</w:t>
      </w:r>
    </w:p>
    <w:p w14:paraId="6EAE7FC8">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4.5 凡通过磋商小组符合性审查的供应商均为合格供应商。未通过符合性审查的供</w:t>
      </w:r>
    </w:p>
    <w:p w14:paraId="3441DFCF">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CN" w:eastAsia="zh-CN" w:bidi="ar-SA"/>
        </w:rPr>
        <w:t>注：</w:t>
      </w:r>
      <w:r>
        <w:rPr>
          <w:rFonts w:hint="eastAsia" w:ascii="宋体" w:hAnsi="宋体" w:eastAsia="宋体" w:cs="宋体"/>
          <w:color w:val="auto"/>
          <w:sz w:val="24"/>
          <w:highlight w:val="none"/>
        </w:rPr>
        <w:t>单位负责人为同一人或者存在直接控股、管理关系的不同供应商，不得参加同一合同项下的政府采购活动</w:t>
      </w:r>
      <w:r>
        <w:rPr>
          <w:rFonts w:hint="eastAsia" w:ascii="宋体" w:hAnsi="宋体" w:eastAsia="宋体" w:cs="宋体"/>
          <w:color w:val="auto"/>
          <w:sz w:val="24"/>
          <w:szCs w:val="24"/>
          <w:highlight w:val="none"/>
        </w:rPr>
        <w:t>（提供国家企业信用信息系统查询截图，包括公司基础信息和股东信息，投标文件中提供网站查询截图的扫描件、法定代表人和委托代理人签章并加盖公章。查询时间公告后有效）。</w:t>
      </w:r>
    </w:p>
    <w:p w14:paraId="4FA50A95">
      <w:pPr>
        <w:keepNext w:val="0"/>
        <w:keepLines w:val="0"/>
        <w:pageBreakBefore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4.6</w:t>
      </w:r>
      <w:r>
        <w:rPr>
          <w:rFonts w:hint="eastAsia" w:ascii="宋体" w:hAnsi="宋体" w:eastAsia="宋体" w:cs="宋体"/>
          <w:color w:val="auto"/>
          <w:sz w:val="24"/>
          <w:highlight w:val="none"/>
        </w:rPr>
        <w:t>投标人需提供加盖单位公章、法定代表人签章的营业执照正副本扫描件。</w:t>
      </w:r>
    </w:p>
    <w:p w14:paraId="7AC78C85">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5.竞争性磋商文件的约束力 </w:t>
      </w:r>
    </w:p>
    <w:p w14:paraId="0B0D67B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5.l供应商一旦参加竞争性磋商，即被认为接受了本竞争性磋商文件中的所有条款和规定。</w:t>
      </w:r>
    </w:p>
    <w:p w14:paraId="227DA86B">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FCBA09C">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5.3本磋商文件由采购人负责解释。</w:t>
      </w:r>
    </w:p>
    <w:p w14:paraId="1432E583">
      <w:pPr>
        <w:pStyle w:val="25"/>
        <w:keepNext w:val="0"/>
        <w:keepLines w:val="0"/>
        <w:pageBreakBefore w:val="0"/>
        <w:kinsoku/>
        <w:wordWrap/>
        <w:overflowPunct/>
        <w:topLinePunct w:val="0"/>
        <w:bidi w:val="0"/>
        <w:spacing w:line="520" w:lineRule="exact"/>
        <w:ind w:firstLine="480"/>
        <w:textAlignment w:val="auto"/>
        <w:rPr>
          <w:rFonts w:hint="eastAsia" w:ascii="宋体" w:hAnsi="宋体" w:eastAsia="宋体" w:cs="宋体"/>
          <w:color w:val="auto"/>
          <w:sz w:val="24"/>
          <w:highlight w:val="none"/>
        </w:rPr>
      </w:pPr>
    </w:p>
    <w:p w14:paraId="29173245">
      <w:pPr>
        <w:keepNext w:val="0"/>
        <w:keepLines w:val="0"/>
        <w:pageBreakBefore w:val="0"/>
        <w:kinsoku/>
        <w:wordWrap/>
        <w:overflowPunct/>
        <w:topLinePunct w:val="0"/>
        <w:bidi w:val="0"/>
        <w:spacing w:line="520" w:lineRule="exact"/>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二、竞争性磋商文件</w:t>
      </w:r>
    </w:p>
    <w:p w14:paraId="662D7142">
      <w:pPr>
        <w:keepNext w:val="0"/>
        <w:keepLines w:val="0"/>
        <w:pageBreakBefore w:val="0"/>
        <w:tabs>
          <w:tab w:val="left" w:pos="632"/>
          <w:tab w:val="left" w:pos="790"/>
        </w:tabs>
        <w:kinsoku/>
        <w:wordWrap/>
        <w:overflowPunct/>
        <w:topLinePunct w:val="0"/>
        <w:bidi w:val="0"/>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6．竞争性磋商文件的组成</w:t>
      </w:r>
    </w:p>
    <w:p w14:paraId="217DD185">
      <w:pPr>
        <w:keepNext w:val="0"/>
        <w:keepLines w:val="0"/>
        <w:pageBreakBefore w:val="0"/>
        <w:kinsoku/>
        <w:wordWrap/>
        <w:overflowPunct/>
        <w:topLinePunct w:val="0"/>
        <w:autoSpaceDE w:val="0"/>
        <w:autoSpaceDN w:val="0"/>
        <w:bidi w:val="0"/>
        <w:adjustRightInd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6.1竞争性磋商</w:t>
      </w:r>
      <w:r>
        <w:rPr>
          <w:rFonts w:hint="eastAsia" w:ascii="宋体" w:hAnsi="宋体" w:eastAsia="宋体" w:cs="宋体"/>
          <w:color w:val="auto"/>
          <w:sz w:val="24"/>
          <w:highlight w:val="none"/>
          <w:lang w:val="zh-CN"/>
        </w:rPr>
        <w:t>文件是用以阐明的采购需求、采购程序和合同格式等的规范性文件。竞争性磋商文件主要由以下部分组成：</w:t>
      </w:r>
    </w:p>
    <w:p w14:paraId="2E101D3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（1）竞争性磋商邀请函；</w:t>
      </w:r>
    </w:p>
    <w:p w14:paraId="6D0DF928">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（2）供应商须知；</w:t>
      </w:r>
    </w:p>
    <w:p w14:paraId="546418EC">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（3）采购需求；</w:t>
      </w:r>
    </w:p>
    <w:p w14:paraId="2A14D9AF">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（4）响应性文件内容及格式；</w:t>
      </w:r>
    </w:p>
    <w:p w14:paraId="73790DF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（5）合同主要条款。</w:t>
      </w:r>
    </w:p>
    <w:p w14:paraId="04362D96">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5620911">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4FEF6784">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9F06FA8">
      <w:pPr>
        <w:keepNext w:val="0"/>
        <w:keepLines w:val="0"/>
        <w:pageBreakBefore w:val="0"/>
        <w:widowControl/>
        <w:kinsoku/>
        <w:wordWrap/>
        <w:overflowPunct/>
        <w:topLinePunct w:val="0"/>
        <w:bidi w:val="0"/>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7.竞争性磋商文件的澄清与修改</w:t>
      </w:r>
    </w:p>
    <w:p w14:paraId="5B6F1609">
      <w:pPr>
        <w:keepNext w:val="0"/>
        <w:keepLines w:val="0"/>
        <w:pageBreakBefore w:val="0"/>
        <w:kinsoku/>
        <w:wordWrap/>
        <w:overflowPunct/>
        <w:topLinePunct w:val="0"/>
        <w:autoSpaceDE w:val="0"/>
        <w:autoSpaceDN w:val="0"/>
        <w:bidi w:val="0"/>
        <w:adjustRightInd w:val="0"/>
        <w:spacing w:line="520" w:lineRule="exact"/>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6B9680F">
      <w:pPr>
        <w:keepNext w:val="0"/>
        <w:keepLines w:val="0"/>
        <w:pageBreakBefore w:val="0"/>
        <w:kinsoku/>
        <w:wordWrap/>
        <w:overflowPunct/>
        <w:topLinePunct w:val="0"/>
        <w:bidi w:val="0"/>
        <w:spacing w:line="520" w:lineRule="exact"/>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三、响应性文件的编制</w:t>
      </w:r>
    </w:p>
    <w:p w14:paraId="0658C0BC">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8.要求</w:t>
      </w:r>
    </w:p>
    <w:p w14:paraId="150DEBAB">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898865B">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8.2任何对竞争性磋商文件的忽略或误解不能作为响应性文件没有完全响应竞争性磋商文件的有效理由。</w:t>
      </w:r>
    </w:p>
    <w:p w14:paraId="4D20E91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i/>
          <w:iCs/>
          <w:color w:val="auto"/>
          <w:sz w:val="24"/>
          <w:highlight w:val="none"/>
        </w:rPr>
      </w:pPr>
      <w:r>
        <w:rPr>
          <w:rFonts w:hint="eastAsia"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54EC724B">
      <w:pPr>
        <w:keepNext w:val="0"/>
        <w:keepLines w:val="0"/>
        <w:pageBreakBefore w:val="0"/>
        <w:widowControl/>
        <w:kinsoku/>
        <w:wordWrap/>
        <w:overflowPunct/>
        <w:topLinePunct w:val="0"/>
        <w:bidi w:val="0"/>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9.响应性文件的语言及度量衡 </w:t>
      </w:r>
    </w:p>
    <w:p w14:paraId="36445E2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9.1响应性文件以及供应商与采购代理机构之间的所有书面往来都应用简体中文书写。 </w:t>
      </w:r>
    </w:p>
    <w:p w14:paraId="714344DB">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9.2供应商使用其他语言的，以中文翻译为准。 </w:t>
      </w:r>
    </w:p>
    <w:p w14:paraId="44E8FE5D">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3526A55E">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9.4本竞争性磋商文件所表述的时间均为北京时间。</w:t>
      </w:r>
    </w:p>
    <w:p w14:paraId="212B3C7F">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10.响应性文件的组成</w:t>
      </w:r>
    </w:p>
    <w:p w14:paraId="2C8FBD1F">
      <w:pPr>
        <w:keepNext w:val="0"/>
        <w:keepLines w:val="0"/>
        <w:pageBreakBefore w:val="0"/>
        <w:widowControl/>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10.1响应性文件由</w:t>
      </w:r>
      <w:r>
        <w:rPr>
          <w:rFonts w:hint="eastAsia" w:ascii="宋体" w:hAnsi="宋体" w:eastAsia="宋体" w:cs="宋体"/>
          <w:bCs/>
          <w:color w:val="auto"/>
          <w:sz w:val="24"/>
          <w:highlight w:val="none"/>
          <w:u w:val="single"/>
        </w:rPr>
        <w:t>资格性证明材料</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符合性证明材料</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其他材料</w:t>
      </w:r>
      <w:r>
        <w:rPr>
          <w:rFonts w:hint="eastAsia" w:ascii="宋体" w:hAnsi="宋体" w:eastAsia="宋体" w:cs="宋体"/>
          <w:color w:val="auto"/>
          <w:sz w:val="24"/>
          <w:highlight w:val="none"/>
        </w:rPr>
        <w:t>三部分组成。具体内容和格式见竞争性磋商文件</w:t>
      </w:r>
      <w:r>
        <w:rPr>
          <w:rFonts w:hint="eastAsia" w:ascii="宋体" w:hAnsi="宋体" w:eastAsia="宋体" w:cs="宋体"/>
          <w:bCs/>
          <w:color w:val="auto"/>
          <w:sz w:val="24"/>
          <w:highlight w:val="none"/>
        </w:rPr>
        <w:t>第四章</w:t>
      </w:r>
      <w:r>
        <w:rPr>
          <w:rFonts w:hint="eastAsia" w:ascii="宋体" w:hAnsi="宋体" w:eastAsia="宋体" w:cs="宋体"/>
          <w:color w:val="auto"/>
          <w:sz w:val="24"/>
          <w:highlight w:val="none"/>
        </w:rPr>
        <w:t>。</w:t>
      </w:r>
    </w:p>
    <w:p w14:paraId="4552819E">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11.响应性文件格式</w:t>
      </w:r>
    </w:p>
    <w:p w14:paraId="5D8338B0">
      <w:pPr>
        <w:keepNext w:val="0"/>
        <w:keepLines w:val="0"/>
        <w:pageBreakBefore w:val="0"/>
        <w:widowControl/>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投标文件中“致”均须针对采购人及采购代理机构，否则按无效响应文件处理。</w:t>
      </w:r>
    </w:p>
    <w:p w14:paraId="1CCED4E0">
      <w:pPr>
        <w:keepNext w:val="0"/>
        <w:keepLines w:val="0"/>
        <w:pageBreakBefore w:val="0"/>
        <w:widowControl/>
        <w:kinsoku/>
        <w:wordWrap/>
        <w:overflowPunct/>
        <w:topLinePunct w:val="0"/>
        <w:bidi w:val="0"/>
        <w:spacing w:line="520" w:lineRule="exact"/>
        <w:ind w:firstLine="482" w:firstLineChars="200"/>
        <w:textAlignment w:val="auto"/>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12.竞争性磋商报价</w:t>
      </w:r>
    </w:p>
    <w:p w14:paraId="25C73CB4">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12.1报价包括所投服务、保险、税费、检测、验收和交付后约定期限内免费维保等工作所发生的一切应有费用</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上述内容须在投标文件中响应。</w:t>
      </w:r>
    </w:p>
    <w:p w14:paraId="6AB647BC">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12.2供应商应填写报价一览表，如果分项报价与单价不符，则以单价为准；其它表格与报价一览表不符，以报价一览表为准。投标报价为签订合同的依据，</w:t>
      </w:r>
      <w:r>
        <w:rPr>
          <w:rFonts w:hint="eastAsia" w:ascii="宋体" w:hAnsi="宋体" w:eastAsia="宋体" w:cs="宋体"/>
          <w:bCs/>
          <w:color w:val="auto"/>
          <w:sz w:val="24"/>
          <w:highlight w:val="none"/>
        </w:rPr>
        <w:t>报价处需加盖公章。</w:t>
      </w:r>
    </w:p>
    <w:p w14:paraId="1A560AD4">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12.3采购人不接受有选择的报价。</w:t>
      </w:r>
    </w:p>
    <w:p w14:paraId="3F5C3A1C">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12.4最终报价不得超过采购预算。</w:t>
      </w:r>
    </w:p>
    <w:p w14:paraId="60490D54">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12.5报价均须以人民币为计算单位。</w:t>
      </w:r>
    </w:p>
    <w:p w14:paraId="51132060">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13．响应性文件有效期 </w:t>
      </w:r>
    </w:p>
    <w:p w14:paraId="4B334A51">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13.l响应性文件有效期为自竞争性磋商开始之日起60天，有效期短于此规定的响应性文件将被视为无效。</w:t>
      </w:r>
    </w:p>
    <w:p w14:paraId="2B93D736">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3B1ECE98">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14.响应性文件的签署、盖章</w:t>
      </w:r>
    </w:p>
    <w:p w14:paraId="553EF36D">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14.1</w:t>
      </w:r>
      <w:r>
        <w:rPr>
          <w:rFonts w:hint="eastAsia" w:ascii="宋体" w:hAnsi="宋体" w:eastAsia="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C632B85">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99E59AB">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14.3供应商提交的资料应证明其满足竞争性磋商文件要求，该文件可以是文字资料、图纸和数据等详细描述的资料。</w:t>
      </w:r>
      <w:r>
        <w:rPr>
          <w:rFonts w:hint="eastAsia" w:ascii="宋体" w:hAnsi="宋体" w:eastAsia="宋体" w:cs="宋体"/>
          <w:color w:val="auto"/>
          <w:kern w:val="0"/>
          <w:sz w:val="24"/>
          <w:highlight w:val="none"/>
        </w:rPr>
        <w:t>供应商所使用的资格、信誉、荣誉、业绩与企业认证必须为本公司所拥有，供应商需出具书面承诺，作为资格审查的一项</w:t>
      </w:r>
      <w:r>
        <w:rPr>
          <w:rFonts w:hint="eastAsia" w:ascii="宋体" w:hAnsi="宋体" w:eastAsia="宋体" w:cs="宋体"/>
          <w:color w:val="auto"/>
          <w:kern w:val="0"/>
          <w:sz w:val="24"/>
          <w:highlight w:val="none"/>
          <w:lang w:eastAsia="zh-CN"/>
        </w:rPr>
        <w:t>。</w:t>
      </w:r>
    </w:p>
    <w:p w14:paraId="6FB4D55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15电子投标文件制作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583091F6">
      <w:pPr>
        <w:keepNext w:val="0"/>
        <w:keepLines w:val="0"/>
        <w:pageBreakBefore w:val="0"/>
        <w:numPr>
          <w:ilvl w:val="0"/>
          <w:numId w:val="2"/>
        </w:numPr>
        <w:kinsoku/>
        <w:wordWrap/>
        <w:overflowPunct/>
        <w:topLinePunct w:val="0"/>
        <w:bidi w:val="0"/>
        <w:spacing w:line="520" w:lineRule="exact"/>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响应性文件的递交</w:t>
      </w:r>
    </w:p>
    <w:p w14:paraId="1CD136A5">
      <w:pPr>
        <w:keepNext w:val="0"/>
        <w:keepLines w:val="0"/>
        <w:pageBreakBefore w:val="0"/>
        <w:kinsoku/>
        <w:wordWrap/>
        <w:overflowPunct/>
        <w:topLinePunct w:val="0"/>
        <w:autoSpaceDE w:val="0"/>
        <w:autoSpaceDN w:val="0"/>
        <w:bidi w:val="0"/>
        <w:adjustRightInd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文件和纸质</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文件均不再提交。在解密投标</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开始时30分钟内进行解密，超时视为放弃递交</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w:t>
      </w:r>
    </w:p>
    <w:p w14:paraId="7AA32D65">
      <w:pPr>
        <w:keepNext w:val="0"/>
        <w:keepLines w:val="0"/>
        <w:pageBreakBefore w:val="0"/>
        <w:kinsoku/>
        <w:wordWrap/>
        <w:overflowPunct/>
        <w:topLinePunct w:val="0"/>
        <w:bidi w:val="0"/>
        <w:spacing w:line="520" w:lineRule="exact"/>
        <w:ind w:firstLine="55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《投标单位-电子投标文件视频制作手册》的相关规定。如未在招标文件规定的投标时间截止前上传网上</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文件，投标无效。</w:t>
      </w:r>
    </w:p>
    <w:p w14:paraId="26CCC2BC">
      <w:pPr>
        <w:keepNext w:val="0"/>
        <w:keepLines w:val="0"/>
        <w:pageBreakBefore w:val="0"/>
        <w:kinsoku/>
        <w:wordWrap/>
        <w:overflowPunct/>
        <w:topLinePunct w:val="0"/>
        <w:autoSpaceDE w:val="0"/>
        <w:autoSpaceDN w:val="0"/>
        <w:bidi w:val="0"/>
        <w:adjustRightInd w:val="0"/>
        <w:spacing w:line="520" w:lineRule="exact"/>
        <w:ind w:firstLine="240" w:firstLineChars="1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供应商须使用单位CA证书进行电子响应文件远程解密，详见周口市公共资源电子交易中心网站（网址：http://jyzx.zhoukou.gov.cn）</w:t>
      </w:r>
      <w:r>
        <w:rPr>
          <w:rFonts w:hint="eastAsia" w:ascii="宋体" w:hAnsi="宋体" w:eastAsia="宋体" w:cs="宋体"/>
          <w:color w:val="auto"/>
          <w:sz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eastAsia="宋体" w:cs="宋体"/>
          <w:color w:val="auto"/>
          <w:sz w:val="24"/>
          <w:highlight w:val="none"/>
        </w:rPr>
        <w:t>。</w:t>
      </w:r>
    </w:p>
    <w:p w14:paraId="0F23EBE7">
      <w:pPr>
        <w:keepNext w:val="0"/>
        <w:keepLines w:val="0"/>
        <w:pageBreakBefore w:val="0"/>
        <w:kinsoku/>
        <w:wordWrap/>
        <w:overflowPunct/>
        <w:topLinePunct w:val="0"/>
        <w:bidi w:val="0"/>
        <w:spacing w:line="52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14:paraId="3EB2A095">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61DECC95">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6137B3BC">
      <w:pPr>
        <w:pStyle w:val="55"/>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17</w:t>
      </w:r>
      <w:r>
        <w:rPr>
          <w:rFonts w:hint="eastAsia" w:ascii="宋体" w:hAnsi="宋体" w:eastAsia="宋体" w:cs="宋体"/>
          <w:b/>
          <w:color w:val="auto"/>
          <w:sz w:val="24"/>
          <w:szCs w:val="24"/>
          <w:highlight w:val="none"/>
        </w:rPr>
        <w:t>.响应性文件的修改和撤回</w:t>
      </w:r>
    </w:p>
    <w:p w14:paraId="4B205779">
      <w:pPr>
        <w:pStyle w:val="55"/>
        <w:keepNext w:val="0"/>
        <w:keepLines w:val="0"/>
        <w:pageBreakBefore w:val="0"/>
        <w:kinsoku/>
        <w:wordWrap/>
        <w:overflowPunct/>
        <w:topLinePunct w:val="0"/>
        <w:bidi w:val="0"/>
        <w:spacing w:line="520" w:lineRule="exact"/>
        <w:ind w:left="279" w:leftChars="133" w:firstLine="240" w:firstLineChars="1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7F4BA985">
      <w:pPr>
        <w:pStyle w:val="55"/>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7E20CAE1">
      <w:pPr>
        <w:pStyle w:val="55"/>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17.3供应商在响应性文件接收截止时间后不得修改、撤回响应性文件。供应商在响应性文件接收截止时间后修改响应性文件的，将被拒绝接受。</w:t>
      </w:r>
    </w:p>
    <w:p w14:paraId="2D32C586">
      <w:pPr>
        <w:pStyle w:val="55"/>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17.4供应商有下列情形之一的，采购人将拒绝接受其响应性文件：</w:t>
      </w:r>
    </w:p>
    <w:p w14:paraId="00F78F35">
      <w:pPr>
        <w:pStyle w:val="55"/>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17.4.1在竞争性磋商文件规定的响应性文件接收截止时间之后递交响应性文件的；</w:t>
      </w:r>
    </w:p>
    <w:p w14:paraId="75454B55">
      <w:pPr>
        <w:pStyle w:val="55"/>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17.4.2响应性文件未按竞争性磋商文件规定密封、签署、盖章及未加盖骑缝章的；</w:t>
      </w:r>
    </w:p>
    <w:p w14:paraId="5948A62F">
      <w:pPr>
        <w:pStyle w:val="55"/>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17.4.3一个供应商不止递交一套响应性文件的。</w:t>
      </w:r>
    </w:p>
    <w:p w14:paraId="08003E24">
      <w:pPr>
        <w:keepNext w:val="0"/>
        <w:keepLines w:val="0"/>
        <w:pageBreakBefore w:val="0"/>
        <w:kinsoku/>
        <w:wordWrap/>
        <w:overflowPunct/>
        <w:topLinePunct w:val="0"/>
        <w:bidi w:val="0"/>
        <w:spacing w:line="520" w:lineRule="exact"/>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五、竞争性磋商</w:t>
      </w:r>
    </w:p>
    <w:p w14:paraId="0D6A9245">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color w:val="auto"/>
          <w:sz w:val="24"/>
          <w:highlight w:val="none"/>
          <w:lang w:val="zh-CN"/>
        </w:rPr>
      </w:pPr>
      <w:r>
        <w:rPr>
          <w:rFonts w:hint="eastAsia" w:ascii="宋体" w:hAnsi="宋体" w:eastAsia="宋体" w:cs="宋体"/>
          <w:b/>
          <w:color w:val="auto"/>
          <w:sz w:val="24"/>
          <w:highlight w:val="none"/>
        </w:rPr>
        <w:t>18.组建</w:t>
      </w:r>
      <w:r>
        <w:rPr>
          <w:rFonts w:hint="eastAsia" w:ascii="宋体" w:hAnsi="宋体" w:eastAsia="宋体" w:cs="宋体"/>
          <w:b/>
          <w:color w:val="auto"/>
          <w:sz w:val="24"/>
          <w:highlight w:val="none"/>
          <w:lang w:val="zh-CN"/>
        </w:rPr>
        <w:t>竞争性磋商小组</w:t>
      </w:r>
    </w:p>
    <w:p w14:paraId="1CF67BA5">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18.1采购人根据采购项目的特点依法组建竞争性磋商小组。</w:t>
      </w:r>
    </w:p>
    <w:p w14:paraId="09742274">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18.2竞争性磋商小组</w:t>
      </w:r>
      <w:r>
        <w:rPr>
          <w:rFonts w:hint="eastAsia" w:ascii="宋体" w:hAnsi="宋体" w:eastAsia="宋体" w:cs="宋体"/>
          <w:bCs/>
          <w:color w:val="auto"/>
          <w:kern w:val="0"/>
          <w:sz w:val="24"/>
          <w:highlight w:val="none"/>
        </w:rPr>
        <w:t>确认竞争性磋商文件，并</w:t>
      </w:r>
      <w:r>
        <w:rPr>
          <w:rFonts w:hint="eastAsia" w:ascii="宋体" w:hAnsi="宋体" w:eastAsia="宋体" w:cs="宋体"/>
          <w:color w:val="auto"/>
          <w:kern w:val="0"/>
          <w:sz w:val="24"/>
          <w:highlight w:val="none"/>
        </w:rPr>
        <w:t>负责具体评审事务，根据有关法律法规和竞争性磋商文件规定的评审程序，按照评审方法及评审标准独立履行竞争性磋商小组职责。</w:t>
      </w:r>
    </w:p>
    <w:p w14:paraId="70897BDD">
      <w:pPr>
        <w:keepNext w:val="0"/>
        <w:keepLines w:val="0"/>
        <w:pageBreakBefore w:val="0"/>
        <w:kinsoku/>
        <w:wordWrap/>
        <w:overflowPunct/>
        <w:topLinePunct w:val="0"/>
        <w:bidi w:val="0"/>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14:paraId="4C180472">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D57E185">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14:paraId="33115EB0">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F47732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14:paraId="06097C88">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14:paraId="2CC3F72E">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14:paraId="7833B81F">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14:paraId="4025819C">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以上资格性审查和符合性审查的内容只要有一条不满足，则响应性文件无效，将不进入竞争性磋商程序。</w:t>
      </w:r>
    </w:p>
    <w:p w14:paraId="3F080021">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14:paraId="2A2E422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C0B35EB">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C864322">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7943C61C">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14:paraId="356CF4B5">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14:paraId="1F405648">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19.7.1响应文件未逐页授权代表签字和盖公章及骑缝章的</w:t>
      </w:r>
      <w:r>
        <w:rPr>
          <w:rFonts w:hint="eastAsia" w:ascii="宋体" w:hAnsi="宋体" w:eastAsia="宋体" w:cs="宋体"/>
          <w:color w:val="auto"/>
          <w:sz w:val="24"/>
          <w:highlight w:val="none"/>
          <w:lang w:val="zh-CN"/>
        </w:rPr>
        <w:t>；</w:t>
      </w:r>
    </w:p>
    <w:p w14:paraId="1608DD62">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14:paraId="329428B5">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14:paraId="76C7E8F3">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14:paraId="49757C50">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14:paraId="4B01B7AF">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14:paraId="2AABC4C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14:paraId="0A80B37F">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14:paraId="1BC29750">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3A0E3419">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046BD4CD">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4B96964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4FB0A2BA">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18077E72">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5AFD5F80">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lang w:val="en-US" w:eastAsia="zh-CN"/>
        </w:rPr>
        <w:t>19.7.15</w:t>
      </w:r>
      <w:r>
        <w:rPr>
          <w:rFonts w:hint="eastAsia" w:ascii="宋体" w:hAnsi="宋体" w:eastAsia="宋体" w:cs="宋体"/>
          <w:color w:val="auto"/>
          <w:kern w:val="2"/>
          <w:sz w:val="24"/>
          <w:szCs w:val="24"/>
          <w:highlight w:val="none"/>
          <w:lang w:val="en-US" w:eastAsia="zh-CN" w:bidi="ar-SA"/>
        </w:rPr>
        <w:t>授权委托书须在法定代表人和被委托人身份证正面签名确认。</w:t>
      </w:r>
    </w:p>
    <w:p w14:paraId="358BFC79">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19.7.16未提供经会计师事务所或审计机构审计的财务会计报表，包括资产负债表、现金流量表、利润表和财务情况说明书；</w:t>
      </w:r>
    </w:p>
    <w:p w14:paraId="2316A4E9">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7CC9EFF2">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14:paraId="02F89DF5">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14:paraId="2F35510E">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14:paraId="308EBB8E">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14:paraId="2840D47F">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14:paraId="2F5558CF">
      <w:pPr>
        <w:pStyle w:val="37"/>
        <w:rPr>
          <w:rFonts w:hint="eastAsia" w:ascii="宋体" w:hAnsi="宋体" w:eastAsia="宋体" w:cs="宋体"/>
          <w:color w:val="auto"/>
          <w:sz w:val="24"/>
          <w:szCs w:val="24"/>
          <w:highlight w:val="none"/>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940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6830E92">
            <w:pPr>
              <w:pStyle w:val="7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color w:val="auto"/>
                <w:kern w:val="2"/>
                <w:szCs w:val="24"/>
                <w:highlight w:val="none"/>
              </w:rPr>
            </w:pPr>
            <w:r>
              <w:rPr>
                <w:rFonts w:hint="eastAsia" w:ascii="宋体" w:hAnsi="宋体" w:eastAsia="宋体" w:cs="宋体"/>
                <w:b/>
                <w:color w:val="auto"/>
                <w:kern w:val="2"/>
                <w:szCs w:val="24"/>
                <w:highlight w:val="none"/>
              </w:rPr>
              <w:t>项目符合性审查表</w:t>
            </w:r>
          </w:p>
        </w:tc>
      </w:tr>
      <w:tr w14:paraId="11611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C196714">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665" w:type="dxa"/>
            <w:tcBorders>
              <w:bottom w:val="single" w:color="auto" w:sz="4" w:space="0"/>
            </w:tcBorders>
            <w:vAlign w:val="center"/>
          </w:tcPr>
          <w:p w14:paraId="28D8DCDA">
            <w:pPr>
              <w:pStyle w:val="7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color w:val="auto"/>
                <w:kern w:val="2"/>
                <w:szCs w:val="24"/>
                <w:highlight w:val="none"/>
              </w:rPr>
            </w:pPr>
            <w:r>
              <w:rPr>
                <w:rFonts w:hint="eastAsia" w:ascii="宋体" w:hAnsi="宋体" w:eastAsia="宋体" w:cs="宋体"/>
                <w:color w:val="auto"/>
                <w:kern w:val="2"/>
                <w:szCs w:val="24"/>
                <w:highlight w:val="none"/>
              </w:rPr>
              <w:t>指标名称</w:t>
            </w:r>
          </w:p>
        </w:tc>
        <w:tc>
          <w:tcPr>
            <w:tcW w:w="1937" w:type="dxa"/>
            <w:tcBorders>
              <w:bottom w:val="single" w:color="auto" w:sz="4" w:space="0"/>
            </w:tcBorders>
            <w:vAlign w:val="center"/>
          </w:tcPr>
          <w:p w14:paraId="6C04A2E6">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指标要求</w:t>
            </w:r>
          </w:p>
        </w:tc>
        <w:tc>
          <w:tcPr>
            <w:tcW w:w="825" w:type="dxa"/>
            <w:tcBorders>
              <w:bottom w:val="single" w:color="auto" w:sz="4" w:space="0"/>
            </w:tcBorders>
            <w:vAlign w:val="center"/>
          </w:tcPr>
          <w:p w14:paraId="591C6B30">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是否</w:t>
            </w:r>
          </w:p>
          <w:p w14:paraId="427D7E2E">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通过</w:t>
            </w:r>
          </w:p>
        </w:tc>
        <w:tc>
          <w:tcPr>
            <w:tcW w:w="2371" w:type="dxa"/>
            <w:tcBorders>
              <w:bottom w:val="single" w:color="auto" w:sz="4" w:space="0"/>
            </w:tcBorders>
            <w:vAlign w:val="center"/>
          </w:tcPr>
          <w:p w14:paraId="3ACBE95A">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投标文件格式及</w:t>
            </w:r>
          </w:p>
          <w:p w14:paraId="2E12DF30">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提交资料要求</w:t>
            </w:r>
          </w:p>
        </w:tc>
      </w:tr>
      <w:tr w14:paraId="14AF7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E532C45">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665" w:type="dxa"/>
            <w:vAlign w:val="center"/>
          </w:tcPr>
          <w:p w14:paraId="3771E2D2">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营业执照</w:t>
            </w:r>
          </w:p>
        </w:tc>
        <w:tc>
          <w:tcPr>
            <w:tcW w:w="1937" w:type="dxa"/>
            <w:vAlign w:val="center"/>
          </w:tcPr>
          <w:p w14:paraId="6B0FA053">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6D000426">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0602B958">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4B78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B75AE6F">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665" w:type="dxa"/>
            <w:vAlign w:val="center"/>
          </w:tcPr>
          <w:p w14:paraId="148E0573">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法定代表人及身份证</w:t>
            </w:r>
          </w:p>
        </w:tc>
        <w:tc>
          <w:tcPr>
            <w:tcW w:w="1937" w:type="dxa"/>
            <w:vAlign w:val="center"/>
          </w:tcPr>
          <w:p w14:paraId="3E17C990">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609D55B0">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205837E6">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25CB3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B359AD">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665" w:type="dxa"/>
            <w:vAlign w:val="center"/>
          </w:tcPr>
          <w:p w14:paraId="291F15C9">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纳税凭证和社保证明</w:t>
            </w:r>
          </w:p>
        </w:tc>
        <w:tc>
          <w:tcPr>
            <w:tcW w:w="1937" w:type="dxa"/>
            <w:vAlign w:val="center"/>
          </w:tcPr>
          <w:p w14:paraId="5EABCFA8">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6AA8E690">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0A8A62FD">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2EBD6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3ABC7E8">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665" w:type="dxa"/>
            <w:vAlign w:val="center"/>
          </w:tcPr>
          <w:p w14:paraId="5E12BCAC">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财务审计报告</w:t>
            </w:r>
          </w:p>
        </w:tc>
        <w:tc>
          <w:tcPr>
            <w:tcW w:w="1937" w:type="dxa"/>
            <w:vAlign w:val="center"/>
          </w:tcPr>
          <w:p w14:paraId="7635D6A9">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1D48D059">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0314AA6A">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10A9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5B43D2F">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665" w:type="dxa"/>
            <w:vAlign w:val="center"/>
          </w:tcPr>
          <w:p w14:paraId="282ECA4B">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“信用中国”“中国政府采购网”查询</w:t>
            </w:r>
          </w:p>
        </w:tc>
        <w:tc>
          <w:tcPr>
            <w:tcW w:w="1937" w:type="dxa"/>
            <w:vAlign w:val="center"/>
          </w:tcPr>
          <w:p w14:paraId="27FB9B31">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42DD237D">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63F7520F">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3CFB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77D1A11">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665" w:type="dxa"/>
            <w:vAlign w:val="center"/>
          </w:tcPr>
          <w:p w14:paraId="2AE408E8">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投标文件签字盖章格式</w:t>
            </w:r>
          </w:p>
        </w:tc>
        <w:tc>
          <w:tcPr>
            <w:tcW w:w="1937" w:type="dxa"/>
            <w:vAlign w:val="center"/>
          </w:tcPr>
          <w:p w14:paraId="0A80DB80">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42CDA013">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2D4248F9">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68602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C1D53DE">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665" w:type="dxa"/>
            <w:vAlign w:val="center"/>
          </w:tcPr>
          <w:p w14:paraId="07B28E0D">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合格供应商的声明函和承诺书</w:t>
            </w:r>
          </w:p>
        </w:tc>
        <w:tc>
          <w:tcPr>
            <w:tcW w:w="1937" w:type="dxa"/>
            <w:vAlign w:val="center"/>
          </w:tcPr>
          <w:p w14:paraId="69AD61B8">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30ECC26D">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2BB9CD22">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5811C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1F8FC42">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665" w:type="dxa"/>
            <w:vAlign w:val="center"/>
          </w:tcPr>
          <w:p w14:paraId="67B50C12">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lang w:val="en-US" w:eastAsia="zh-CN"/>
              </w:rPr>
              <w:t>服务</w:t>
            </w:r>
            <w:r>
              <w:rPr>
                <w:rFonts w:hint="eastAsia" w:ascii="宋体" w:hAnsi="宋体" w:eastAsia="宋体" w:cs="宋体"/>
                <w:bCs/>
                <w:color w:val="auto"/>
                <w:sz w:val="24"/>
                <w:highlight w:val="none"/>
              </w:rPr>
              <w:t>期</w:t>
            </w:r>
          </w:p>
        </w:tc>
        <w:tc>
          <w:tcPr>
            <w:tcW w:w="1937" w:type="dxa"/>
            <w:vAlign w:val="center"/>
          </w:tcPr>
          <w:p w14:paraId="5D30DD40">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5BF1B71C">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6240487C">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5E2B9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704EAA">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665" w:type="dxa"/>
            <w:vAlign w:val="center"/>
          </w:tcPr>
          <w:p w14:paraId="382FB0E2">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投标有效期</w:t>
            </w:r>
          </w:p>
        </w:tc>
        <w:tc>
          <w:tcPr>
            <w:tcW w:w="1937" w:type="dxa"/>
            <w:vAlign w:val="center"/>
          </w:tcPr>
          <w:p w14:paraId="3A1D9AD5">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1F7C5ABD">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76CFE20F">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14EAB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1D101E4">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665" w:type="dxa"/>
            <w:vAlign w:val="center"/>
          </w:tcPr>
          <w:p w14:paraId="310022F2">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服务技术要求</w:t>
            </w:r>
          </w:p>
        </w:tc>
        <w:tc>
          <w:tcPr>
            <w:tcW w:w="1937" w:type="dxa"/>
            <w:vAlign w:val="center"/>
          </w:tcPr>
          <w:p w14:paraId="6E9E42CF">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4FFA3ED1">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25449AFC">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4AC1C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4139BD5">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665" w:type="dxa"/>
            <w:vAlign w:val="center"/>
          </w:tcPr>
          <w:p w14:paraId="2F5BEB52">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其他实质性要求</w:t>
            </w:r>
          </w:p>
        </w:tc>
        <w:tc>
          <w:tcPr>
            <w:tcW w:w="1937" w:type="dxa"/>
            <w:vAlign w:val="center"/>
          </w:tcPr>
          <w:p w14:paraId="2605FA9D">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14:paraId="099E503D">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0AA50A79">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14CEA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2FDB844">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2665" w:type="dxa"/>
            <w:vAlign w:val="center"/>
          </w:tcPr>
          <w:p w14:paraId="6B5728E2">
            <w:pPr>
              <w:spacing w:after="50" w:line="360" w:lineRule="auto"/>
              <w:ind w:right="-10"/>
              <w:jc w:val="center"/>
              <w:rPr>
                <w:rFonts w:hint="eastAsia" w:ascii="宋体" w:hAnsi="宋体" w:eastAsia="宋体" w:cs="宋体"/>
                <w:bCs/>
                <w:color w:val="auto"/>
                <w:sz w:val="24"/>
                <w:highlight w:val="none"/>
              </w:rPr>
            </w:pPr>
          </w:p>
        </w:tc>
        <w:tc>
          <w:tcPr>
            <w:tcW w:w="1937" w:type="dxa"/>
            <w:vAlign w:val="center"/>
          </w:tcPr>
          <w:p w14:paraId="12E01354">
            <w:pPr>
              <w:spacing w:after="50" w:line="360" w:lineRule="auto"/>
              <w:ind w:right="-10"/>
              <w:jc w:val="center"/>
              <w:rPr>
                <w:rFonts w:hint="eastAsia" w:ascii="宋体" w:hAnsi="宋体" w:eastAsia="宋体" w:cs="宋体"/>
                <w:color w:val="auto"/>
                <w:sz w:val="24"/>
                <w:highlight w:val="none"/>
              </w:rPr>
            </w:pPr>
          </w:p>
        </w:tc>
        <w:tc>
          <w:tcPr>
            <w:tcW w:w="825" w:type="dxa"/>
            <w:vAlign w:val="center"/>
          </w:tcPr>
          <w:p w14:paraId="542ED54D">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31FA5220">
            <w:pPr>
              <w:adjustRightInd w:val="0"/>
              <w:snapToGrid w:val="0"/>
              <w:spacing w:line="360" w:lineRule="auto"/>
              <w:ind w:right="-10"/>
              <w:jc w:val="center"/>
              <w:rPr>
                <w:rFonts w:hint="eastAsia" w:ascii="宋体" w:hAnsi="宋体" w:eastAsia="宋体" w:cs="宋体"/>
                <w:color w:val="auto"/>
                <w:sz w:val="24"/>
                <w:highlight w:val="none"/>
              </w:rPr>
            </w:pPr>
          </w:p>
        </w:tc>
      </w:tr>
      <w:tr w14:paraId="19DA3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C3AEAA8">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2665" w:type="dxa"/>
            <w:vAlign w:val="center"/>
          </w:tcPr>
          <w:p w14:paraId="6B2F55B9">
            <w:pPr>
              <w:spacing w:after="50" w:line="360" w:lineRule="auto"/>
              <w:ind w:right="-10"/>
              <w:jc w:val="center"/>
              <w:rPr>
                <w:rFonts w:hint="eastAsia" w:ascii="宋体" w:hAnsi="宋体" w:eastAsia="宋体" w:cs="宋体"/>
                <w:color w:val="auto"/>
                <w:sz w:val="24"/>
                <w:highlight w:val="none"/>
              </w:rPr>
            </w:pPr>
          </w:p>
        </w:tc>
        <w:tc>
          <w:tcPr>
            <w:tcW w:w="1937" w:type="dxa"/>
            <w:vAlign w:val="center"/>
          </w:tcPr>
          <w:p w14:paraId="7328E83C">
            <w:pPr>
              <w:spacing w:after="50" w:line="360" w:lineRule="auto"/>
              <w:ind w:right="-10"/>
              <w:jc w:val="center"/>
              <w:rPr>
                <w:rFonts w:hint="eastAsia" w:ascii="宋体" w:hAnsi="宋体" w:eastAsia="宋体" w:cs="宋体"/>
                <w:color w:val="auto"/>
                <w:sz w:val="24"/>
                <w:highlight w:val="none"/>
              </w:rPr>
            </w:pPr>
          </w:p>
        </w:tc>
        <w:tc>
          <w:tcPr>
            <w:tcW w:w="825" w:type="dxa"/>
            <w:vAlign w:val="center"/>
          </w:tcPr>
          <w:p w14:paraId="5B65F0AF">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14:paraId="0C4B52C0">
            <w:pPr>
              <w:adjustRightInd w:val="0"/>
              <w:snapToGrid w:val="0"/>
              <w:spacing w:line="360" w:lineRule="auto"/>
              <w:ind w:right="-10"/>
              <w:jc w:val="center"/>
              <w:rPr>
                <w:rFonts w:hint="eastAsia" w:ascii="宋体" w:hAnsi="宋体" w:eastAsia="宋体" w:cs="宋体"/>
                <w:color w:val="auto"/>
                <w:sz w:val="24"/>
                <w:highlight w:val="none"/>
              </w:rPr>
            </w:pPr>
          </w:p>
        </w:tc>
      </w:tr>
      <w:tr w14:paraId="67293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D019599">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14</w:t>
            </w:r>
          </w:p>
        </w:tc>
        <w:tc>
          <w:tcPr>
            <w:tcW w:w="2665" w:type="dxa"/>
            <w:vAlign w:val="center"/>
          </w:tcPr>
          <w:p w14:paraId="43EF5B9D">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结论</w:t>
            </w:r>
          </w:p>
        </w:tc>
        <w:tc>
          <w:tcPr>
            <w:tcW w:w="5133" w:type="dxa"/>
            <w:gridSpan w:val="3"/>
            <w:vAlign w:val="center"/>
          </w:tcPr>
          <w:p w14:paraId="502FE7C9">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是否通过审查</w:t>
            </w:r>
          </w:p>
        </w:tc>
      </w:tr>
    </w:tbl>
    <w:p w14:paraId="654B63BB">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20.响应性文件的澄清</w:t>
      </w:r>
    </w:p>
    <w:p w14:paraId="0ADE80B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FAF5D9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62657D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6604DB7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20.4供应商的书面澄清材料作为响应性文件的补充。 </w:t>
      </w:r>
    </w:p>
    <w:p w14:paraId="3502637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20.5竞争性磋商小组不得接受供应商主动提出的澄清和解释。 </w:t>
      </w:r>
    </w:p>
    <w:p w14:paraId="092965D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20.6并非每个供应商都将被询问、澄清。</w:t>
      </w:r>
    </w:p>
    <w:p w14:paraId="4D1C33C3">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21.竞争性磋商</w:t>
      </w:r>
    </w:p>
    <w:p w14:paraId="7372B9C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21.1资格性审查和符合性审查合格的供应商，将进入本次竞争性磋商程序。</w:t>
      </w:r>
    </w:p>
    <w:p w14:paraId="13471A8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21.2竞争性磋商将按照供应商的签到顺序进行。</w:t>
      </w:r>
    </w:p>
    <w:p w14:paraId="19728CF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21.3磋商内容包括：</w:t>
      </w:r>
    </w:p>
    <w:p w14:paraId="12E7350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21.3.1按照竞争性磋商文件中商务部分的内容，对照供应商提交的响应文件逐一进行比较各项指标和要求。</w:t>
      </w:r>
    </w:p>
    <w:p w14:paraId="42BBAAA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21.3.2按照竞争性磋商文件中技术部分的内容，对照供应商提交的响应文件逐一进行比较各项指标和要求。</w:t>
      </w:r>
    </w:p>
    <w:p w14:paraId="34D804D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21.3.3按照竞争性磋商文件中合同条款部分的内容，对照供应商提交的响应文件逐一进行比较各项指标和要求。</w:t>
      </w:r>
    </w:p>
    <w:p w14:paraId="4104B4B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21.3.4在磋商中，磋商的任何一方不得透露与磋商有关的其他供应商的技术资料及其他信息。</w:t>
      </w:r>
    </w:p>
    <w:p w14:paraId="2764A25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w:t>
      </w:r>
      <w:r>
        <w:rPr>
          <w:rFonts w:hint="eastAsia" w:ascii="宋体" w:hAnsi="宋体" w:eastAsia="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BEF020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21.4.1</w:t>
      </w:r>
      <w:r>
        <w:rPr>
          <w:rFonts w:hint="eastAsia" w:ascii="宋体" w:hAnsi="宋体" w:eastAsia="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36E0B6C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6F3DEE7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05D2C8A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r>
        <w:rPr>
          <w:rFonts w:hint="eastAsia" w:ascii="宋体" w:hAnsi="宋体" w:eastAsia="宋体" w:cs="宋体"/>
          <w:color w:val="auto"/>
          <w:sz w:val="24"/>
          <w:highlight w:val="none"/>
          <w:lang w:val="en-US" w:eastAsia="zh-CN"/>
        </w:rPr>
        <w:t>录</w:t>
      </w:r>
      <w:r>
        <w:rPr>
          <w:rFonts w:hint="eastAsia" w:ascii="宋体" w:hAnsi="宋体" w:eastAsia="宋体" w:cs="宋体"/>
          <w:color w:val="auto"/>
          <w:sz w:val="24"/>
          <w:highlight w:val="none"/>
          <w:lang w:val="zh-CN"/>
        </w:rPr>
        <w:t>。</w:t>
      </w:r>
    </w:p>
    <w:p w14:paraId="23641A9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575EF54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p>
    <w:p w14:paraId="6C9579E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六、评定标准</w:t>
      </w:r>
    </w:p>
    <w:p w14:paraId="3B087FDC">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22.竞争性磋商过程及保密原则</w:t>
      </w:r>
    </w:p>
    <w:p w14:paraId="5BC506D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550FCD5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采购代理机构在评标结束后</w:t>
      </w:r>
      <w:r>
        <w:rPr>
          <w:rFonts w:hint="eastAsia" w:ascii="宋体" w:hAnsi="宋体" w:eastAsia="宋体" w:cs="宋体"/>
          <w:bCs/>
          <w:color w:val="auto"/>
          <w:sz w:val="24"/>
          <w:highlight w:val="none"/>
          <w:lang w:val="en-US" w:eastAsia="zh-CN"/>
        </w:rPr>
        <w:t>1</w:t>
      </w:r>
      <w:r>
        <w:rPr>
          <w:rFonts w:hint="eastAsia" w:ascii="宋体" w:hAnsi="宋体" w:eastAsia="宋体" w:cs="宋体"/>
          <w:bCs/>
          <w:color w:val="auto"/>
          <w:sz w:val="24"/>
          <w:highlight w:val="none"/>
        </w:rPr>
        <w:t>个工作日内将评标报告送采购人。采购人自收到评标报告之日起５个工作日内，在评标报告确定的中标候选人名单中确定中标人。</w:t>
      </w:r>
    </w:p>
    <w:p w14:paraId="5AA6F138">
      <w:pPr>
        <w:pStyle w:val="15"/>
        <w:keepNext w:val="0"/>
        <w:keepLines w:val="0"/>
        <w:pageBreakBefore w:val="0"/>
        <w:widowControl w:val="0"/>
        <w:kinsoku/>
        <w:wordWrap/>
        <w:overflowPunct/>
        <w:topLinePunct w:val="0"/>
        <w:autoSpaceDE/>
        <w:autoSpaceDN/>
        <w:bidi w:val="0"/>
        <w:adjustRightInd/>
        <w:snapToGrid/>
        <w:spacing w:after="0" w:line="520" w:lineRule="exact"/>
        <w:ind w:left="0" w:leftChars="0"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22.2对通过初步审查的响应文件，采用百分制综合评分法进行评价。</w:t>
      </w:r>
    </w:p>
    <w:p w14:paraId="13FCAF91">
      <w:pPr>
        <w:keepNext w:val="0"/>
        <w:keepLines w:val="0"/>
        <w:pageBreakBefore w:val="0"/>
        <w:widowControl w:val="0"/>
        <w:kinsoku/>
        <w:wordWrap/>
        <w:overflowPunct/>
        <w:topLinePunct w:val="0"/>
        <w:autoSpaceDE/>
        <w:autoSpaceDN/>
        <w:bidi w:val="0"/>
        <w:adjustRightInd/>
        <w:snapToGrid/>
        <w:spacing w:line="520" w:lineRule="exact"/>
        <w:ind w:right="-92" w:rightChars="-44"/>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评标方法：</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4"/>
        <w:gridCol w:w="1410"/>
        <w:gridCol w:w="5618"/>
      </w:tblGrid>
      <w:tr w14:paraId="607A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vAlign w:val="top"/>
          </w:tcPr>
          <w:p w14:paraId="64F0782A">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评分指标</w:t>
            </w:r>
          </w:p>
        </w:tc>
        <w:tc>
          <w:tcPr>
            <w:tcW w:w="1410" w:type="dxa"/>
            <w:vAlign w:val="top"/>
          </w:tcPr>
          <w:p w14:paraId="2A7EE7A9">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c>
          <w:tcPr>
            <w:tcW w:w="5618" w:type="dxa"/>
            <w:vAlign w:val="top"/>
          </w:tcPr>
          <w:p w14:paraId="49BBAF9D">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指标说明及评分标准</w:t>
            </w:r>
          </w:p>
        </w:tc>
      </w:tr>
      <w:tr w14:paraId="5D621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vAlign w:val="center"/>
          </w:tcPr>
          <w:p w14:paraId="78AFBE63">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报价得分</w:t>
            </w:r>
          </w:p>
          <w:p w14:paraId="6CD51137">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（10分）</w:t>
            </w:r>
          </w:p>
        </w:tc>
        <w:tc>
          <w:tcPr>
            <w:tcW w:w="1410" w:type="dxa"/>
            <w:vAlign w:val="center"/>
          </w:tcPr>
          <w:p w14:paraId="3A073EF6">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（10分）</w:t>
            </w:r>
          </w:p>
        </w:tc>
        <w:tc>
          <w:tcPr>
            <w:tcW w:w="5618" w:type="dxa"/>
            <w:vAlign w:val="top"/>
          </w:tcPr>
          <w:p w14:paraId="4D174729">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价格采用低价优先法计算，即满足招标文件要求且报价最低的为评标基准价，其价格分为满分。其他供应商的价格分统一按照下列公式计算：</w:t>
            </w:r>
          </w:p>
          <w:p w14:paraId="2EA8947E">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价格分=（评标基准价÷评标价）×10×100%</w:t>
            </w:r>
          </w:p>
          <w:p w14:paraId="106DB361">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备注：价格分计算保留小数点后二位。</w:t>
            </w:r>
          </w:p>
          <w:p w14:paraId="62B05683">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根据财政部、工信部关于印发《政府采购促进中小企业发展管理办法》的通知（财库〔2020〕46 号 ）文件规定：</w:t>
            </w:r>
          </w:p>
          <w:p w14:paraId="7FC94FDB">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（1）对小微企业报价给予20%扣除，请按照《政府采购促进中小企业发展管理办法》要求提供中小企业声明函。</w:t>
            </w:r>
          </w:p>
          <w:p w14:paraId="03330AD4">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（2）关于监狱企业：视同小微企业。须提供由省级以上监狱管理局、戒毒管理局（含新疆生产建设兵团）出具的属于监狱企业的证明文件，否则不考虑价格扣除。</w:t>
            </w:r>
          </w:p>
          <w:p w14:paraId="2CBE95B8">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11CFAEFF">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（4）没有提供有效证明材料的供应商将被视为不接受投标总价的扣除，用原投标总价参与评审。</w:t>
            </w:r>
          </w:p>
        </w:tc>
      </w:tr>
      <w:tr w14:paraId="0D0D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vMerge w:val="restart"/>
            <w:vAlign w:val="center"/>
          </w:tcPr>
          <w:p w14:paraId="750FEB26">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技术部分(45分）</w:t>
            </w:r>
          </w:p>
        </w:tc>
        <w:tc>
          <w:tcPr>
            <w:tcW w:w="1410" w:type="dxa"/>
            <w:vAlign w:val="center"/>
          </w:tcPr>
          <w:p w14:paraId="75F4BB2E">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检测技术实施方案（9分）</w:t>
            </w:r>
          </w:p>
        </w:tc>
        <w:tc>
          <w:tcPr>
            <w:tcW w:w="5618" w:type="dxa"/>
            <w:vAlign w:val="center"/>
          </w:tcPr>
          <w:p w14:paraId="7F0FB7CD">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供应商提供检测技术实施方案的得9分；不提供不得分。</w:t>
            </w:r>
          </w:p>
        </w:tc>
      </w:tr>
      <w:tr w14:paraId="3499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vMerge w:val="continue"/>
            <w:vAlign w:val="top"/>
          </w:tcPr>
          <w:p w14:paraId="571C8912">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p>
        </w:tc>
        <w:tc>
          <w:tcPr>
            <w:tcW w:w="1410" w:type="dxa"/>
            <w:vAlign w:val="center"/>
          </w:tcPr>
          <w:p w14:paraId="747EF779">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技术服务流程（9分）</w:t>
            </w:r>
          </w:p>
        </w:tc>
        <w:tc>
          <w:tcPr>
            <w:tcW w:w="5618" w:type="dxa"/>
            <w:vAlign w:val="center"/>
          </w:tcPr>
          <w:p w14:paraId="2C3F5918">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供应商提供技术服务流程的得9分；不提供不得分。</w:t>
            </w:r>
          </w:p>
        </w:tc>
      </w:tr>
      <w:tr w14:paraId="0056A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vMerge w:val="continue"/>
            <w:vAlign w:val="top"/>
          </w:tcPr>
          <w:p w14:paraId="5CA920AB">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p>
        </w:tc>
        <w:tc>
          <w:tcPr>
            <w:tcW w:w="1410" w:type="dxa"/>
            <w:vAlign w:val="center"/>
          </w:tcPr>
          <w:p w14:paraId="44DDF81E">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样品运输及贮存方案（9分）</w:t>
            </w:r>
          </w:p>
        </w:tc>
        <w:tc>
          <w:tcPr>
            <w:tcW w:w="5618" w:type="dxa"/>
            <w:vAlign w:val="center"/>
          </w:tcPr>
          <w:p w14:paraId="42F9B64E">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供应商提供样品运输及贮存方案的得9分；不提供不得分。</w:t>
            </w:r>
          </w:p>
        </w:tc>
      </w:tr>
      <w:tr w14:paraId="43C81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vMerge w:val="continue"/>
            <w:vAlign w:val="top"/>
          </w:tcPr>
          <w:p w14:paraId="443C4E27">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p>
        </w:tc>
        <w:tc>
          <w:tcPr>
            <w:tcW w:w="1410" w:type="dxa"/>
            <w:vAlign w:val="center"/>
          </w:tcPr>
          <w:p w14:paraId="00B17470">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成果质量保证措施（9分）</w:t>
            </w:r>
          </w:p>
        </w:tc>
        <w:tc>
          <w:tcPr>
            <w:tcW w:w="5618" w:type="dxa"/>
            <w:vAlign w:val="center"/>
          </w:tcPr>
          <w:p w14:paraId="48B6E227">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供应商提供成果质量保证措施的得9分；不提供不得分。</w:t>
            </w:r>
          </w:p>
        </w:tc>
      </w:tr>
      <w:tr w14:paraId="355B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vMerge w:val="continue"/>
            <w:vAlign w:val="top"/>
          </w:tcPr>
          <w:p w14:paraId="0A0D593A">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p>
        </w:tc>
        <w:tc>
          <w:tcPr>
            <w:tcW w:w="1410" w:type="dxa"/>
            <w:vAlign w:val="center"/>
          </w:tcPr>
          <w:p w14:paraId="2F3E95B3">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应急预案（9分）</w:t>
            </w:r>
          </w:p>
        </w:tc>
        <w:tc>
          <w:tcPr>
            <w:tcW w:w="5618" w:type="dxa"/>
            <w:vAlign w:val="center"/>
          </w:tcPr>
          <w:p w14:paraId="76E46245">
            <w:pPr>
              <w:keepNext w:val="0"/>
              <w:keepLines w:val="0"/>
              <w:pageBreakBefore w:val="0"/>
              <w:widowControl/>
              <w:kinsoku w:val="0"/>
              <w:wordWrap/>
              <w:overflowPunct/>
              <w:topLinePunct w:val="0"/>
              <w:autoSpaceDE w:val="0"/>
              <w:autoSpaceDN w:val="0"/>
              <w:bidi w:val="0"/>
              <w:adjustRightInd w:val="0"/>
              <w:snapToGrid w:val="0"/>
              <w:spacing w:line="400" w:lineRule="exact"/>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供应商提供应急预案的得9分；不提供不得分。</w:t>
            </w:r>
          </w:p>
        </w:tc>
      </w:tr>
      <w:tr w14:paraId="20759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vMerge w:val="restart"/>
            <w:vAlign w:val="center"/>
          </w:tcPr>
          <w:p w14:paraId="302F589C">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2971165D">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（45分）</w:t>
            </w:r>
          </w:p>
        </w:tc>
        <w:tc>
          <w:tcPr>
            <w:tcW w:w="1410" w:type="dxa"/>
            <w:vAlign w:val="center"/>
          </w:tcPr>
          <w:p w14:paraId="028D7010">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企业业绩</w:t>
            </w:r>
          </w:p>
          <w:p w14:paraId="4EC00006">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（8分）</w:t>
            </w:r>
          </w:p>
        </w:tc>
        <w:tc>
          <w:tcPr>
            <w:tcW w:w="5618" w:type="dxa"/>
            <w:vAlign w:val="top"/>
          </w:tcPr>
          <w:p w14:paraId="1AB9DE3E">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供应商提供2022年以来类似项目业绩的，每有一份得2分，最多得8分。</w:t>
            </w:r>
          </w:p>
          <w:p w14:paraId="38109544">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注：应附合同书的复印件或扫描件。</w:t>
            </w:r>
          </w:p>
        </w:tc>
      </w:tr>
      <w:tr w14:paraId="2536B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vMerge w:val="continue"/>
            <w:vAlign w:val="center"/>
          </w:tcPr>
          <w:p w14:paraId="13922DE9">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p>
        </w:tc>
        <w:tc>
          <w:tcPr>
            <w:tcW w:w="1410" w:type="dxa"/>
            <w:vAlign w:val="center"/>
          </w:tcPr>
          <w:p w14:paraId="67F23470">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采样车辆配置（8分）</w:t>
            </w:r>
          </w:p>
        </w:tc>
        <w:tc>
          <w:tcPr>
            <w:tcW w:w="5618" w:type="dxa"/>
            <w:vAlign w:val="top"/>
          </w:tcPr>
          <w:p w14:paraId="38364896">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供应商具有专用抽样用车，每有一辆得1分，最多得8分；</w:t>
            </w:r>
          </w:p>
          <w:p w14:paraId="4A01A8A2">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注：投标文件中附发票或车辆租赁合同、和行车证（行驶证）以及车辆照片，否则不得分。</w:t>
            </w:r>
          </w:p>
        </w:tc>
      </w:tr>
      <w:tr w14:paraId="1F32E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vMerge w:val="continue"/>
            <w:vAlign w:val="center"/>
          </w:tcPr>
          <w:p w14:paraId="3AD9C4F9">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p>
        </w:tc>
        <w:tc>
          <w:tcPr>
            <w:tcW w:w="1410" w:type="dxa"/>
            <w:vAlign w:val="center"/>
          </w:tcPr>
          <w:p w14:paraId="2BF1F486">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组织机构（6分）</w:t>
            </w:r>
          </w:p>
        </w:tc>
        <w:tc>
          <w:tcPr>
            <w:tcW w:w="5618" w:type="dxa"/>
            <w:vAlign w:val="top"/>
          </w:tcPr>
          <w:p w14:paraId="1F5860CF">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供应商具有满足食品安全检测的专业检测队伍，检测人员中每提供1名高级及以上职称者得2分，每提供1名中级职称者得0.5分，本项最多得6分。</w:t>
            </w:r>
          </w:p>
          <w:p w14:paraId="4C107776">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（同一人员不重复计分）</w:t>
            </w:r>
          </w:p>
        </w:tc>
      </w:tr>
      <w:tr w14:paraId="5E44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vMerge w:val="continue"/>
            <w:vAlign w:val="center"/>
          </w:tcPr>
          <w:p w14:paraId="4F21A962">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p>
        </w:tc>
        <w:tc>
          <w:tcPr>
            <w:tcW w:w="1410" w:type="dxa"/>
            <w:vAlign w:val="center"/>
          </w:tcPr>
          <w:p w14:paraId="0E5BB46E">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企业实力（10）</w:t>
            </w:r>
          </w:p>
        </w:tc>
        <w:tc>
          <w:tcPr>
            <w:tcW w:w="5618" w:type="dxa"/>
            <w:vAlign w:val="top"/>
          </w:tcPr>
          <w:p w14:paraId="7768A03A">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1.投标人202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年参加相关机构组织的食品检测项目的能力验证</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实验室比对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每有一份得2分，最多得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p w14:paraId="49048871">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2.具有农产品CATL证书得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76C5ACCA">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注：应附证书的复印件或扫描件。</w:t>
            </w:r>
          </w:p>
        </w:tc>
      </w:tr>
      <w:tr w14:paraId="4FA6C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vMerge w:val="continue"/>
            <w:vAlign w:val="center"/>
          </w:tcPr>
          <w:p w14:paraId="466605FD">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p>
        </w:tc>
        <w:tc>
          <w:tcPr>
            <w:tcW w:w="1410" w:type="dxa"/>
            <w:vAlign w:val="center"/>
          </w:tcPr>
          <w:p w14:paraId="4089A3F5">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检测设备情况（10分）</w:t>
            </w:r>
          </w:p>
        </w:tc>
        <w:tc>
          <w:tcPr>
            <w:tcW w:w="5618" w:type="dxa"/>
            <w:vAlign w:val="top"/>
          </w:tcPr>
          <w:p w14:paraId="6E506DBD">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具备以下主要检验设备：GC（气相色谱仪）、GC/MS（气相色谱/质谱联用仪）、超高效液相色谱仪或高效液相色谱仪、LC/MS/MS(液相色谱/串级质谱联用仪)、ICP-MS电感耦合等离子体质谱仪、AAS（原子吸收光谱仪）、离子色谱仪、UV（紫外分光光度计）、AFS（原子荧光分光光度计）、微波消解仪（或同功能设备）。每提供一项得1分，最多得10分。需提供以上设备购置发票的复印件或扫描件，未提供不得分</w:t>
            </w:r>
            <w:r>
              <w:rPr>
                <w:rFonts w:hint="eastAsia" w:ascii="宋体" w:hAnsi="宋体" w:eastAsia="宋体" w:cs="宋体"/>
                <w:color w:val="auto"/>
                <w:sz w:val="24"/>
                <w:szCs w:val="24"/>
                <w:highlight w:val="none"/>
                <w:lang w:eastAsia="zh-CN"/>
              </w:rPr>
              <w:t>。</w:t>
            </w:r>
          </w:p>
        </w:tc>
      </w:tr>
      <w:tr w14:paraId="03D1E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 w:type="dxa"/>
            <w:vMerge w:val="continue"/>
            <w:vAlign w:val="top"/>
          </w:tcPr>
          <w:p w14:paraId="7EFAC595">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p>
        </w:tc>
        <w:tc>
          <w:tcPr>
            <w:tcW w:w="1410" w:type="dxa"/>
            <w:vAlign w:val="center"/>
          </w:tcPr>
          <w:p w14:paraId="7672A6AB">
            <w:pPr>
              <w:keepNext w:val="0"/>
              <w:keepLines w:val="0"/>
              <w:pageBreakBefore w:val="0"/>
              <w:widowControl/>
              <w:kinsoku w:val="0"/>
              <w:wordWrap/>
              <w:overflowPunct/>
              <w:topLinePunct w:val="0"/>
              <w:autoSpaceDE w:val="0"/>
              <w:autoSpaceDN w:val="0"/>
              <w:bidi w:val="0"/>
              <w:adjustRightInd w:val="0"/>
              <w:snapToGrid w:val="0"/>
              <w:spacing w:line="400" w:lineRule="exact"/>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其他承诺（3分）</w:t>
            </w:r>
          </w:p>
        </w:tc>
        <w:tc>
          <w:tcPr>
            <w:tcW w:w="5618" w:type="dxa"/>
            <w:vAlign w:val="top"/>
          </w:tcPr>
          <w:p w14:paraId="228F838F">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供应商提供服从釆购人的工作安排，并积极配合工作，积极配合采购人完成相关成果文件的报审报批服务承诺的得3分，不提供不得分。</w:t>
            </w:r>
          </w:p>
        </w:tc>
      </w:tr>
    </w:tbl>
    <w:p w14:paraId="1388F32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最终得分为磋商小组所有成员计分的算术平均值，计算保留小数点两位，小数点后第三位四舍五入。</w:t>
      </w:r>
    </w:p>
    <w:p w14:paraId="7AC835D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0A0F6A6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643F66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22.5若供应商的报价高于项目预算，磋商小组有权根据采购人意见及其实际情况，拒绝该报价。</w:t>
      </w:r>
    </w:p>
    <w:p w14:paraId="60B6969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D77EBB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7AAA328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22.8在竞争性磋商期间，采购人将有专门人员与供应商进行联络。</w:t>
      </w:r>
    </w:p>
    <w:p w14:paraId="229A4CD7">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23.竞争性磋商终止</w:t>
      </w:r>
    </w:p>
    <w:p w14:paraId="3C9E16A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bCs/>
          <w:color w:val="auto"/>
          <w:sz w:val="24"/>
          <w:highlight w:val="none"/>
        </w:rPr>
        <w:t>23.1出现下列情形之一时，采购人有权宣布竞争性磋商终止，并将理由通知所有供应商：</w:t>
      </w:r>
    </w:p>
    <w:p w14:paraId="7894B7B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（1）因情况变化，不再符合竞争性磋商适用情形的；</w:t>
      </w:r>
    </w:p>
    <w:p w14:paraId="5301362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（2）出现影响采购公正的违法、违规行为的；</w:t>
      </w:r>
    </w:p>
    <w:p w14:paraId="1169B90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（3）在采购过程中符合磋商文件要求的供应商不足3家的；</w:t>
      </w:r>
    </w:p>
    <w:p w14:paraId="642F0FC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color w:val="auto"/>
          <w:sz w:val="24"/>
          <w:highlight w:val="none"/>
        </w:rPr>
      </w:pPr>
      <w:r>
        <w:rPr>
          <w:rFonts w:hint="eastAsia" w:ascii="宋体" w:hAnsi="宋体" w:eastAsia="宋体" w:cs="宋体"/>
          <w:color w:val="auto"/>
          <w:sz w:val="24"/>
          <w:highlight w:val="none"/>
        </w:rPr>
        <w:t>（4）在采购活动中因重大变故，采购任务取消的；</w:t>
      </w:r>
    </w:p>
    <w:p w14:paraId="74EB4E9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七、成交通知</w:t>
      </w:r>
    </w:p>
    <w:p w14:paraId="564E7053">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24.成交通知</w:t>
      </w:r>
    </w:p>
    <w:p w14:paraId="4A606370">
      <w:pPr>
        <w:pStyle w:val="35"/>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24.1采购人应当自收到评审报告之日起5个工作日内在评审报告推荐的中标或者成交候选人中按顺序确定中标或者成交供应商。</w:t>
      </w:r>
    </w:p>
    <w:p w14:paraId="2C2CEC14">
      <w:pPr>
        <w:keepNext w:val="0"/>
        <w:keepLines w:val="0"/>
        <w:pageBreakBefore w:val="0"/>
        <w:widowControl w:val="0"/>
        <w:tabs>
          <w:tab w:val="left" w:pos="1800"/>
        </w:tabs>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24.2</w:t>
      </w:r>
      <w:r>
        <w:rPr>
          <w:rFonts w:hint="eastAsia" w:ascii="宋体" w:hAnsi="宋体" w:eastAsia="宋体" w:cs="宋体"/>
          <w:color w:val="auto"/>
          <w:sz w:val="24"/>
          <w:highlight w:val="none"/>
          <w:lang w:val="en-US" w:eastAsia="zh-CN"/>
        </w:rPr>
        <w:t>在发出成交公告后请采购人、中标人登录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rPr>
        <w:t>通知书。</w:t>
      </w:r>
    </w:p>
    <w:p w14:paraId="52C50CA4">
      <w:pPr>
        <w:keepNext w:val="0"/>
        <w:keepLines w:val="0"/>
        <w:pageBreakBefore w:val="0"/>
        <w:widowControl w:val="0"/>
        <w:tabs>
          <w:tab w:val="left" w:pos="1800"/>
        </w:tabs>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3E52FB0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八、合同授予</w:t>
      </w:r>
    </w:p>
    <w:p w14:paraId="1152600E">
      <w:pPr>
        <w:keepNext w:val="0"/>
        <w:keepLines w:val="0"/>
        <w:pageBreakBefore w:val="0"/>
        <w:widowControl w:val="0"/>
        <w:tabs>
          <w:tab w:val="left" w:pos="1620"/>
        </w:tabs>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25.签订合同及合同的执行</w:t>
      </w:r>
    </w:p>
    <w:p w14:paraId="55B773F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25.1采购人、成交供应商按照竞争性磋商文件确定的合同文本签订政府采购合同。签订合同后，成交供应商不得将本项目及其他相关服务进行转包，附不转包承诺。</w:t>
      </w:r>
    </w:p>
    <w:p w14:paraId="5651684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1440890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签订合同时须提供与响应文件内容一致的廉</w:t>
      </w:r>
      <w:r>
        <w:rPr>
          <w:rFonts w:hint="eastAsia" w:ascii="宋体" w:hAnsi="宋体" w:eastAsia="宋体" w:cs="宋体"/>
          <w:color w:val="auto"/>
          <w:sz w:val="24"/>
          <w:highlight w:val="none"/>
          <w:lang w:val="en-US" w:eastAsia="zh-CN"/>
        </w:rPr>
        <w:t>政</w:t>
      </w:r>
      <w:r>
        <w:rPr>
          <w:rFonts w:hint="eastAsia" w:ascii="宋体" w:hAnsi="宋体" w:eastAsia="宋体" w:cs="宋体"/>
          <w:color w:val="auto"/>
          <w:sz w:val="24"/>
          <w:highlight w:val="none"/>
        </w:rPr>
        <w:t>保证书，并与合同一并作为本竞争性磋商文件所列项目的互补性法律文件，与合同具有同等法律效力。</w:t>
      </w:r>
    </w:p>
    <w:p w14:paraId="51ED07F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九、质疑处理</w:t>
      </w:r>
    </w:p>
    <w:p w14:paraId="237EA0D9">
      <w:pPr>
        <w:keepNext w:val="0"/>
        <w:keepLines w:val="0"/>
        <w:pageBreakBefore w:val="0"/>
        <w:widowControl w:val="0"/>
        <w:kinsoku/>
        <w:wordWrap/>
        <w:overflowPunct/>
        <w:topLinePunct w:val="0"/>
        <w:autoSpaceDE/>
        <w:autoSpaceDN/>
        <w:bidi w:val="0"/>
        <w:adjustRightInd/>
        <w:snapToGrid/>
        <w:spacing w:line="520" w:lineRule="exact"/>
        <w:ind w:firstLine="482" w:firstLineChars="200"/>
        <w:jc w:val="both"/>
        <w:textAlignment w:val="auto"/>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26.质疑程序及处理</w:t>
      </w:r>
    </w:p>
    <w:p w14:paraId="073388F9">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26.1</w:t>
      </w:r>
      <w:r>
        <w:rPr>
          <w:rFonts w:hint="eastAsia" w:ascii="宋体" w:hAnsi="宋体" w:eastAsia="宋体" w:cs="宋体"/>
          <w:bCs/>
          <w:color w:val="auto"/>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bCs/>
          <w:color w:val="auto"/>
          <w:sz w:val="24"/>
          <w:highlight w:val="none"/>
        </w:rPr>
        <w:t>如果对竞争性磋商文件没有异议，需在响应性文件中出具对竞争性磋商文件无异议承诺书，无此承诺将被视为无效。</w:t>
      </w:r>
    </w:p>
    <w:p w14:paraId="42E630D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2B11C7E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26.3</w:t>
      </w:r>
      <w:r>
        <w:rPr>
          <w:rFonts w:hint="eastAsia" w:ascii="宋体" w:hAnsi="宋体" w:eastAsia="宋体" w:cs="宋体"/>
          <w:bCs/>
          <w:color w:val="auto"/>
          <w:sz w:val="24"/>
          <w:highlight w:val="none"/>
        </w:rPr>
        <w:t>质疑供应商行使质疑权时，必须遵守“实事求是”和“谨慎性”原则，承担使用虚假材料或恶意方式质疑的法律责任，</w:t>
      </w:r>
      <w:r>
        <w:rPr>
          <w:rFonts w:hint="eastAsia" w:ascii="宋体" w:hAnsi="宋体" w:eastAsia="宋体" w:cs="宋体"/>
          <w:color w:val="auto"/>
          <w:sz w:val="24"/>
          <w:highlight w:val="none"/>
        </w:rPr>
        <w:t>采购人</w:t>
      </w:r>
      <w:r>
        <w:rPr>
          <w:rFonts w:hint="eastAsia" w:ascii="宋体" w:hAnsi="宋体" w:eastAsia="宋体" w:cs="宋体"/>
          <w:bCs/>
          <w:color w:val="auto"/>
          <w:sz w:val="24"/>
          <w:highlight w:val="none"/>
        </w:rPr>
        <w:t>将遵循“谁过错谁负担”的原则，由过错方提交相关的调查论证费用。</w:t>
      </w:r>
    </w:p>
    <w:p w14:paraId="42EC1B7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3D6DBEB">
      <w:pPr>
        <w:spacing w:line="560" w:lineRule="exact"/>
        <w:rPr>
          <w:rFonts w:hint="eastAsia" w:ascii="宋体" w:hAnsi="宋体" w:eastAsia="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AF6DDD6">
      <w:pPr>
        <w:jc w:val="center"/>
        <w:outlineLvl w:val="0"/>
        <w:rPr>
          <w:rFonts w:hint="eastAsia" w:ascii="宋体" w:hAnsi="宋体" w:eastAsia="宋体" w:cs="宋体"/>
          <w:b/>
          <w:color w:val="auto"/>
          <w:sz w:val="24"/>
          <w:highlight w:val="none"/>
        </w:rPr>
      </w:pPr>
      <w:bookmarkStart w:id="36" w:name="_Toc6629"/>
      <w:r>
        <w:rPr>
          <w:rFonts w:hint="eastAsia" w:ascii="宋体" w:hAnsi="宋体" w:eastAsia="宋体" w:cs="宋体"/>
          <w:b/>
          <w:color w:val="auto"/>
          <w:sz w:val="24"/>
          <w:highlight w:val="none"/>
        </w:rPr>
        <w:t>第三章 采购项目内容及要求</w:t>
      </w:r>
      <w:bookmarkEnd w:id="36"/>
    </w:p>
    <w:p w14:paraId="5B7F099D">
      <w:pPr>
        <w:numPr>
          <w:ilvl w:val="0"/>
          <w:numId w:val="0"/>
        </w:numPr>
        <w:spacing w:line="480" w:lineRule="auto"/>
        <w:ind w:left="420" w:leftChars="0"/>
        <w:rPr>
          <w:rStyle w:val="66"/>
          <w:rFonts w:hint="eastAsia" w:ascii="宋体" w:hAnsi="宋体" w:eastAsia="宋体" w:cs="宋体"/>
          <w:color w:val="auto"/>
          <w:sz w:val="24"/>
          <w:highlight w:val="none"/>
          <w:lang w:val="zh-CN"/>
        </w:rPr>
      </w:pPr>
      <w:r>
        <w:rPr>
          <w:rStyle w:val="66"/>
          <w:rFonts w:hint="eastAsia" w:ascii="宋体" w:hAnsi="宋体" w:eastAsia="宋体" w:cs="宋体"/>
          <w:color w:val="auto"/>
          <w:sz w:val="24"/>
          <w:highlight w:val="none"/>
          <w:lang w:val="en-US" w:eastAsia="zh-CN"/>
        </w:rPr>
        <w:t>1、</w:t>
      </w:r>
      <w:r>
        <w:rPr>
          <w:rStyle w:val="66"/>
          <w:rFonts w:hint="eastAsia" w:ascii="宋体" w:hAnsi="宋体" w:eastAsia="宋体" w:cs="宋体"/>
          <w:color w:val="auto"/>
          <w:sz w:val="24"/>
          <w:highlight w:val="none"/>
          <w:lang w:val="zh-CN"/>
        </w:rPr>
        <w:t>本项目采购内容：</w:t>
      </w:r>
    </w:p>
    <w:p w14:paraId="14CDD168">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1包采购内容：</w:t>
      </w:r>
    </w:p>
    <w:tbl>
      <w:tblPr>
        <w:tblStyle w:val="26"/>
        <w:tblW w:w="8611" w:type="dxa"/>
        <w:tblInd w:w="90" w:type="dxa"/>
        <w:tblLayout w:type="autofit"/>
        <w:tblCellMar>
          <w:top w:w="0" w:type="dxa"/>
          <w:left w:w="108" w:type="dxa"/>
          <w:bottom w:w="0" w:type="dxa"/>
          <w:right w:w="108" w:type="dxa"/>
        </w:tblCellMar>
      </w:tblPr>
      <w:tblGrid>
        <w:gridCol w:w="931"/>
        <w:gridCol w:w="1892"/>
        <w:gridCol w:w="1194"/>
        <w:gridCol w:w="1291"/>
        <w:gridCol w:w="1449"/>
        <w:gridCol w:w="1854"/>
      </w:tblGrid>
      <w:tr w14:paraId="3821475B">
        <w:tblPrEx>
          <w:tblCellMar>
            <w:top w:w="0" w:type="dxa"/>
            <w:left w:w="108" w:type="dxa"/>
            <w:bottom w:w="0" w:type="dxa"/>
            <w:right w:w="108" w:type="dxa"/>
          </w:tblCellMar>
        </w:tblPrEx>
        <w:trPr>
          <w:trHeight w:val="789" w:hRule="atLeast"/>
        </w:trPr>
        <w:tc>
          <w:tcPr>
            <w:tcW w:w="93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DD4A34">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包号</w:t>
            </w:r>
          </w:p>
        </w:tc>
        <w:tc>
          <w:tcPr>
            <w:tcW w:w="5826" w:type="dxa"/>
            <w:gridSpan w:val="4"/>
            <w:tcBorders>
              <w:top w:val="single" w:color="auto" w:sz="4" w:space="0"/>
              <w:left w:val="nil"/>
              <w:bottom w:val="single" w:color="auto" w:sz="4" w:space="0"/>
              <w:right w:val="single" w:color="auto" w:sz="4" w:space="0"/>
            </w:tcBorders>
            <w:shd w:val="clear" w:color="auto" w:fill="auto"/>
            <w:vAlign w:val="center"/>
          </w:tcPr>
          <w:p w14:paraId="7A74878D">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服务项目和内容</w:t>
            </w:r>
          </w:p>
        </w:tc>
        <w:tc>
          <w:tcPr>
            <w:tcW w:w="1854" w:type="dxa"/>
            <w:tcBorders>
              <w:top w:val="single" w:color="auto" w:sz="4" w:space="0"/>
              <w:left w:val="nil"/>
              <w:bottom w:val="single" w:color="auto" w:sz="4" w:space="0"/>
              <w:right w:val="single" w:color="auto" w:sz="4" w:space="0"/>
            </w:tcBorders>
            <w:shd w:val="clear" w:color="auto" w:fill="auto"/>
            <w:vAlign w:val="center"/>
          </w:tcPr>
          <w:p w14:paraId="6381242E">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抽检监测数量</w:t>
            </w:r>
          </w:p>
        </w:tc>
      </w:tr>
      <w:tr w14:paraId="22A69B9D">
        <w:tblPrEx>
          <w:tblCellMar>
            <w:top w:w="0" w:type="dxa"/>
            <w:left w:w="108" w:type="dxa"/>
            <w:bottom w:w="0" w:type="dxa"/>
            <w:right w:w="108" w:type="dxa"/>
          </w:tblCellMar>
        </w:tblPrEx>
        <w:trPr>
          <w:trHeight w:val="314" w:hRule="atLeast"/>
        </w:trPr>
        <w:tc>
          <w:tcPr>
            <w:tcW w:w="931" w:type="dxa"/>
            <w:vMerge w:val="restart"/>
            <w:tcBorders>
              <w:top w:val="nil"/>
              <w:left w:val="single" w:color="auto" w:sz="4" w:space="0"/>
              <w:right w:val="single" w:color="auto" w:sz="4" w:space="0"/>
            </w:tcBorders>
            <w:shd w:val="clear" w:color="auto" w:fill="auto"/>
            <w:noWrap/>
            <w:vAlign w:val="center"/>
          </w:tcPr>
          <w:p w14:paraId="6FBB3550">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1包</w:t>
            </w:r>
          </w:p>
        </w:tc>
        <w:tc>
          <w:tcPr>
            <w:tcW w:w="5826" w:type="dxa"/>
            <w:gridSpan w:val="4"/>
            <w:tcBorders>
              <w:top w:val="nil"/>
              <w:left w:val="nil"/>
              <w:bottom w:val="single" w:color="auto" w:sz="4" w:space="0"/>
              <w:right w:val="single" w:color="auto" w:sz="4" w:space="0"/>
            </w:tcBorders>
            <w:shd w:val="clear" w:color="auto" w:fill="auto"/>
            <w:vAlign w:val="center"/>
          </w:tcPr>
          <w:p w14:paraId="7BF9344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抽检批次</w:t>
            </w:r>
          </w:p>
        </w:tc>
        <w:tc>
          <w:tcPr>
            <w:tcW w:w="1854" w:type="dxa"/>
            <w:vMerge w:val="restart"/>
            <w:tcBorders>
              <w:top w:val="nil"/>
              <w:left w:val="nil"/>
              <w:right w:val="single" w:color="auto" w:sz="4" w:space="0"/>
            </w:tcBorders>
            <w:shd w:val="clear" w:color="auto" w:fill="auto"/>
            <w:noWrap/>
            <w:vAlign w:val="center"/>
          </w:tcPr>
          <w:p w14:paraId="39BC729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999</w:t>
            </w:r>
            <w:r>
              <w:rPr>
                <w:rFonts w:hint="eastAsia" w:ascii="宋体" w:hAnsi="宋体" w:eastAsia="宋体" w:cs="宋体"/>
                <w:color w:val="auto"/>
                <w:kern w:val="0"/>
                <w:sz w:val="24"/>
                <w:szCs w:val="24"/>
                <w:highlight w:val="none"/>
              </w:rPr>
              <w:t>批次</w:t>
            </w:r>
          </w:p>
        </w:tc>
      </w:tr>
      <w:tr w14:paraId="7347FE9D">
        <w:tblPrEx>
          <w:tblCellMar>
            <w:top w:w="0" w:type="dxa"/>
            <w:left w:w="108" w:type="dxa"/>
            <w:bottom w:w="0" w:type="dxa"/>
            <w:right w:w="108" w:type="dxa"/>
          </w:tblCellMar>
        </w:tblPrEx>
        <w:trPr>
          <w:trHeight w:val="589" w:hRule="atLeast"/>
        </w:trPr>
        <w:tc>
          <w:tcPr>
            <w:tcW w:w="931" w:type="dxa"/>
            <w:vMerge w:val="continue"/>
            <w:tcBorders>
              <w:left w:val="single" w:color="auto" w:sz="4" w:space="0"/>
              <w:right w:val="single" w:color="auto" w:sz="4" w:space="0"/>
            </w:tcBorders>
            <w:shd w:val="clear" w:color="auto" w:fill="auto"/>
            <w:noWrap/>
            <w:vAlign w:val="center"/>
          </w:tcPr>
          <w:p w14:paraId="6CACA66E">
            <w:pPr>
              <w:widowControl/>
              <w:jc w:val="center"/>
              <w:rPr>
                <w:rFonts w:hint="eastAsia" w:ascii="宋体" w:hAnsi="宋体" w:eastAsia="宋体" w:cs="宋体"/>
                <w:color w:val="auto"/>
                <w:kern w:val="0"/>
                <w:sz w:val="24"/>
                <w:szCs w:val="24"/>
                <w:highlight w:val="none"/>
              </w:rPr>
            </w:pPr>
          </w:p>
        </w:tc>
        <w:tc>
          <w:tcPr>
            <w:tcW w:w="1892" w:type="dxa"/>
            <w:tcBorders>
              <w:top w:val="single" w:color="auto" w:sz="4" w:space="0"/>
              <w:left w:val="nil"/>
              <w:bottom w:val="single" w:color="auto" w:sz="4" w:space="0"/>
              <w:right w:val="single" w:color="auto" w:sz="4" w:space="0"/>
            </w:tcBorders>
            <w:shd w:val="clear" w:color="auto" w:fill="auto"/>
            <w:vAlign w:val="center"/>
          </w:tcPr>
          <w:p w14:paraId="3679C65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抽检单位</w:t>
            </w:r>
          </w:p>
        </w:tc>
        <w:tc>
          <w:tcPr>
            <w:tcW w:w="1194" w:type="dxa"/>
            <w:tcBorders>
              <w:top w:val="single" w:color="auto" w:sz="4" w:space="0"/>
              <w:left w:val="nil"/>
              <w:bottom w:val="single" w:color="auto" w:sz="4" w:space="0"/>
              <w:right w:val="single" w:color="auto" w:sz="4" w:space="0"/>
            </w:tcBorders>
            <w:shd w:val="clear" w:color="auto" w:fill="auto"/>
            <w:vAlign w:val="center"/>
          </w:tcPr>
          <w:p w14:paraId="78BAE586">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餐饮</w:t>
            </w:r>
          </w:p>
        </w:tc>
        <w:tc>
          <w:tcPr>
            <w:tcW w:w="1291" w:type="dxa"/>
            <w:tcBorders>
              <w:top w:val="single" w:color="auto" w:sz="4" w:space="0"/>
              <w:left w:val="nil"/>
              <w:bottom w:val="single" w:color="auto" w:sz="4" w:space="0"/>
              <w:right w:val="single" w:color="auto" w:sz="4" w:space="0"/>
            </w:tcBorders>
            <w:shd w:val="clear" w:color="auto" w:fill="auto"/>
            <w:vAlign w:val="center"/>
          </w:tcPr>
          <w:p w14:paraId="3504316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食用农产品</w:t>
            </w:r>
          </w:p>
        </w:tc>
        <w:tc>
          <w:tcPr>
            <w:tcW w:w="1449" w:type="dxa"/>
            <w:tcBorders>
              <w:top w:val="single" w:color="auto" w:sz="4" w:space="0"/>
              <w:left w:val="nil"/>
              <w:bottom w:val="single" w:color="auto" w:sz="4" w:space="0"/>
              <w:right w:val="single" w:color="auto" w:sz="4" w:space="0"/>
            </w:tcBorders>
            <w:shd w:val="clear" w:color="auto" w:fill="auto"/>
            <w:vAlign w:val="center"/>
          </w:tcPr>
          <w:p w14:paraId="7CE9043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专项抽检</w:t>
            </w:r>
          </w:p>
        </w:tc>
        <w:tc>
          <w:tcPr>
            <w:tcW w:w="1854" w:type="dxa"/>
            <w:vMerge w:val="continue"/>
            <w:tcBorders>
              <w:left w:val="nil"/>
              <w:right w:val="single" w:color="auto" w:sz="4" w:space="0"/>
            </w:tcBorders>
            <w:shd w:val="clear" w:color="auto" w:fill="auto"/>
            <w:noWrap/>
            <w:vAlign w:val="center"/>
          </w:tcPr>
          <w:p w14:paraId="125418EA">
            <w:pPr>
              <w:widowControl/>
              <w:jc w:val="center"/>
              <w:rPr>
                <w:rFonts w:hint="eastAsia" w:ascii="宋体" w:hAnsi="宋体" w:eastAsia="宋体" w:cs="宋体"/>
                <w:color w:val="auto"/>
                <w:kern w:val="0"/>
                <w:sz w:val="24"/>
                <w:szCs w:val="24"/>
                <w:highlight w:val="none"/>
              </w:rPr>
            </w:pPr>
          </w:p>
        </w:tc>
      </w:tr>
      <w:tr w14:paraId="6ACC01A3">
        <w:tblPrEx>
          <w:tblCellMar>
            <w:top w:w="0" w:type="dxa"/>
            <w:left w:w="108" w:type="dxa"/>
            <w:bottom w:w="0" w:type="dxa"/>
            <w:right w:w="108" w:type="dxa"/>
          </w:tblCellMar>
        </w:tblPrEx>
        <w:trPr>
          <w:trHeight w:val="359" w:hRule="atLeast"/>
        </w:trPr>
        <w:tc>
          <w:tcPr>
            <w:tcW w:w="931" w:type="dxa"/>
            <w:vMerge w:val="continue"/>
            <w:tcBorders>
              <w:left w:val="single" w:color="auto" w:sz="4" w:space="0"/>
              <w:right w:val="single" w:color="auto" w:sz="4" w:space="0"/>
            </w:tcBorders>
            <w:shd w:val="clear" w:color="auto" w:fill="auto"/>
            <w:noWrap/>
            <w:vAlign w:val="center"/>
          </w:tcPr>
          <w:p w14:paraId="2BFFC84B">
            <w:pPr>
              <w:widowControl/>
              <w:jc w:val="center"/>
              <w:rPr>
                <w:rFonts w:hint="eastAsia" w:ascii="宋体" w:hAnsi="宋体" w:eastAsia="宋体" w:cs="宋体"/>
                <w:color w:val="auto"/>
                <w:kern w:val="0"/>
                <w:sz w:val="24"/>
                <w:szCs w:val="24"/>
                <w:highlight w:val="none"/>
              </w:rPr>
            </w:pPr>
          </w:p>
        </w:tc>
        <w:tc>
          <w:tcPr>
            <w:tcW w:w="1892" w:type="dxa"/>
            <w:tcBorders>
              <w:top w:val="single" w:color="auto" w:sz="4" w:space="0"/>
              <w:left w:val="nil"/>
              <w:bottom w:val="single" w:color="auto" w:sz="4" w:space="0"/>
              <w:right w:val="single" w:color="auto" w:sz="4" w:space="0"/>
            </w:tcBorders>
            <w:shd w:val="clear" w:color="auto" w:fill="auto"/>
            <w:vAlign w:val="center"/>
          </w:tcPr>
          <w:p w14:paraId="0EB3B77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餐饮中队新城组</w:t>
            </w:r>
          </w:p>
        </w:tc>
        <w:tc>
          <w:tcPr>
            <w:tcW w:w="1194" w:type="dxa"/>
            <w:tcBorders>
              <w:top w:val="single" w:color="auto" w:sz="4" w:space="0"/>
              <w:left w:val="nil"/>
              <w:bottom w:val="single" w:color="auto" w:sz="4" w:space="0"/>
              <w:right w:val="single" w:color="auto" w:sz="4" w:space="0"/>
            </w:tcBorders>
            <w:shd w:val="clear" w:color="auto" w:fill="auto"/>
            <w:vAlign w:val="center"/>
          </w:tcPr>
          <w:p w14:paraId="1F914DD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128</w:t>
            </w:r>
          </w:p>
        </w:tc>
        <w:tc>
          <w:tcPr>
            <w:tcW w:w="1291" w:type="dxa"/>
            <w:tcBorders>
              <w:top w:val="single" w:color="auto" w:sz="4" w:space="0"/>
              <w:left w:val="nil"/>
              <w:bottom w:val="single" w:color="auto" w:sz="4" w:space="0"/>
              <w:right w:val="single" w:color="auto" w:sz="4" w:space="0"/>
            </w:tcBorders>
            <w:shd w:val="clear" w:color="auto" w:fill="auto"/>
            <w:vAlign w:val="center"/>
          </w:tcPr>
          <w:p w14:paraId="2464A24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w:t>
            </w:r>
          </w:p>
        </w:tc>
        <w:tc>
          <w:tcPr>
            <w:tcW w:w="1449" w:type="dxa"/>
            <w:tcBorders>
              <w:top w:val="single" w:color="auto" w:sz="4" w:space="0"/>
              <w:left w:val="nil"/>
              <w:bottom w:val="single" w:color="auto" w:sz="4" w:space="0"/>
              <w:right w:val="single" w:color="auto" w:sz="4" w:space="0"/>
            </w:tcBorders>
            <w:shd w:val="clear" w:color="auto" w:fill="auto"/>
            <w:vAlign w:val="center"/>
          </w:tcPr>
          <w:p w14:paraId="43B33259">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72</w:t>
            </w:r>
          </w:p>
        </w:tc>
        <w:tc>
          <w:tcPr>
            <w:tcW w:w="1854" w:type="dxa"/>
            <w:vMerge w:val="continue"/>
            <w:tcBorders>
              <w:left w:val="nil"/>
              <w:right w:val="single" w:color="auto" w:sz="4" w:space="0"/>
            </w:tcBorders>
            <w:shd w:val="clear" w:color="auto" w:fill="auto"/>
            <w:noWrap/>
            <w:vAlign w:val="center"/>
          </w:tcPr>
          <w:p w14:paraId="4C9F5A05">
            <w:pPr>
              <w:widowControl/>
              <w:jc w:val="center"/>
              <w:rPr>
                <w:rFonts w:hint="eastAsia" w:ascii="宋体" w:hAnsi="宋体" w:eastAsia="宋体" w:cs="宋体"/>
                <w:color w:val="auto"/>
                <w:kern w:val="0"/>
                <w:sz w:val="24"/>
                <w:szCs w:val="24"/>
                <w:highlight w:val="none"/>
              </w:rPr>
            </w:pPr>
          </w:p>
        </w:tc>
      </w:tr>
      <w:tr w14:paraId="3279D92E">
        <w:tblPrEx>
          <w:tblCellMar>
            <w:top w:w="0" w:type="dxa"/>
            <w:left w:w="108" w:type="dxa"/>
            <w:bottom w:w="0" w:type="dxa"/>
            <w:right w:w="108" w:type="dxa"/>
          </w:tblCellMar>
        </w:tblPrEx>
        <w:trPr>
          <w:trHeight w:val="347" w:hRule="atLeast"/>
        </w:trPr>
        <w:tc>
          <w:tcPr>
            <w:tcW w:w="931" w:type="dxa"/>
            <w:vMerge w:val="continue"/>
            <w:tcBorders>
              <w:left w:val="single" w:color="auto" w:sz="4" w:space="0"/>
              <w:right w:val="single" w:color="auto" w:sz="4" w:space="0"/>
            </w:tcBorders>
            <w:shd w:val="clear" w:color="auto" w:fill="auto"/>
            <w:noWrap/>
            <w:vAlign w:val="center"/>
          </w:tcPr>
          <w:p w14:paraId="2F67BE0E">
            <w:pPr>
              <w:widowControl/>
              <w:jc w:val="center"/>
              <w:rPr>
                <w:rFonts w:hint="eastAsia" w:ascii="宋体" w:hAnsi="宋体" w:eastAsia="宋体" w:cs="宋体"/>
                <w:color w:val="auto"/>
                <w:kern w:val="0"/>
                <w:sz w:val="24"/>
                <w:szCs w:val="24"/>
                <w:highlight w:val="none"/>
              </w:rPr>
            </w:pPr>
          </w:p>
        </w:tc>
        <w:tc>
          <w:tcPr>
            <w:tcW w:w="1892" w:type="dxa"/>
            <w:tcBorders>
              <w:top w:val="single" w:color="auto" w:sz="4" w:space="0"/>
              <w:left w:val="nil"/>
              <w:bottom w:val="single" w:color="auto" w:sz="4" w:space="0"/>
              <w:right w:val="single" w:color="auto" w:sz="4" w:space="0"/>
            </w:tcBorders>
            <w:shd w:val="clear" w:color="auto" w:fill="auto"/>
            <w:vAlign w:val="center"/>
          </w:tcPr>
          <w:p w14:paraId="39F2F20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餐饮中队洺南组</w:t>
            </w:r>
          </w:p>
        </w:tc>
        <w:tc>
          <w:tcPr>
            <w:tcW w:w="1194" w:type="dxa"/>
            <w:tcBorders>
              <w:top w:val="single" w:color="auto" w:sz="4" w:space="0"/>
              <w:left w:val="nil"/>
              <w:bottom w:val="single" w:color="auto" w:sz="4" w:space="0"/>
              <w:right w:val="single" w:color="auto" w:sz="4" w:space="0"/>
            </w:tcBorders>
            <w:shd w:val="clear" w:color="auto" w:fill="auto"/>
            <w:vAlign w:val="center"/>
          </w:tcPr>
          <w:p w14:paraId="383BF9AB">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w:t>
            </w:r>
          </w:p>
        </w:tc>
        <w:tc>
          <w:tcPr>
            <w:tcW w:w="1291" w:type="dxa"/>
            <w:tcBorders>
              <w:top w:val="single" w:color="auto" w:sz="4" w:space="0"/>
              <w:left w:val="nil"/>
              <w:bottom w:val="single" w:color="auto" w:sz="4" w:space="0"/>
              <w:right w:val="single" w:color="auto" w:sz="4" w:space="0"/>
            </w:tcBorders>
            <w:shd w:val="clear" w:color="auto" w:fill="auto"/>
            <w:vAlign w:val="center"/>
          </w:tcPr>
          <w:p w14:paraId="6FE5EA0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w:t>
            </w:r>
          </w:p>
        </w:tc>
        <w:tc>
          <w:tcPr>
            <w:tcW w:w="1449" w:type="dxa"/>
            <w:tcBorders>
              <w:top w:val="single" w:color="auto" w:sz="4" w:space="0"/>
              <w:left w:val="nil"/>
              <w:bottom w:val="single" w:color="auto" w:sz="4" w:space="0"/>
              <w:right w:val="single" w:color="auto" w:sz="4" w:space="0"/>
            </w:tcBorders>
            <w:shd w:val="clear" w:color="auto" w:fill="auto"/>
            <w:vAlign w:val="center"/>
          </w:tcPr>
          <w:p w14:paraId="624F6D9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65</w:t>
            </w:r>
          </w:p>
        </w:tc>
        <w:tc>
          <w:tcPr>
            <w:tcW w:w="1854" w:type="dxa"/>
            <w:vMerge w:val="continue"/>
            <w:tcBorders>
              <w:left w:val="nil"/>
              <w:right w:val="single" w:color="auto" w:sz="4" w:space="0"/>
            </w:tcBorders>
            <w:shd w:val="clear" w:color="auto" w:fill="auto"/>
            <w:noWrap/>
            <w:vAlign w:val="center"/>
          </w:tcPr>
          <w:p w14:paraId="1C2B7D3E">
            <w:pPr>
              <w:widowControl/>
              <w:jc w:val="center"/>
              <w:rPr>
                <w:rFonts w:hint="eastAsia" w:ascii="宋体" w:hAnsi="宋体" w:eastAsia="宋体" w:cs="宋体"/>
                <w:color w:val="auto"/>
                <w:kern w:val="0"/>
                <w:sz w:val="24"/>
                <w:szCs w:val="24"/>
                <w:highlight w:val="none"/>
              </w:rPr>
            </w:pPr>
          </w:p>
        </w:tc>
      </w:tr>
      <w:tr w14:paraId="36573083">
        <w:tblPrEx>
          <w:tblCellMar>
            <w:top w:w="0" w:type="dxa"/>
            <w:left w:w="108" w:type="dxa"/>
            <w:bottom w:w="0" w:type="dxa"/>
            <w:right w:w="108" w:type="dxa"/>
          </w:tblCellMar>
        </w:tblPrEx>
        <w:trPr>
          <w:trHeight w:val="310" w:hRule="atLeast"/>
        </w:trPr>
        <w:tc>
          <w:tcPr>
            <w:tcW w:w="931" w:type="dxa"/>
            <w:vMerge w:val="continue"/>
            <w:tcBorders>
              <w:left w:val="single" w:color="auto" w:sz="4" w:space="0"/>
              <w:right w:val="single" w:color="auto" w:sz="4" w:space="0"/>
            </w:tcBorders>
            <w:shd w:val="clear" w:color="auto" w:fill="auto"/>
            <w:noWrap/>
            <w:vAlign w:val="center"/>
          </w:tcPr>
          <w:p w14:paraId="078D96ED">
            <w:pPr>
              <w:widowControl/>
              <w:jc w:val="center"/>
              <w:rPr>
                <w:rFonts w:hint="eastAsia" w:ascii="宋体" w:hAnsi="宋体" w:eastAsia="宋体" w:cs="宋体"/>
                <w:color w:val="auto"/>
                <w:kern w:val="0"/>
                <w:sz w:val="24"/>
                <w:szCs w:val="24"/>
                <w:highlight w:val="none"/>
              </w:rPr>
            </w:pPr>
          </w:p>
        </w:tc>
        <w:tc>
          <w:tcPr>
            <w:tcW w:w="1892" w:type="dxa"/>
            <w:tcBorders>
              <w:top w:val="single" w:color="auto" w:sz="4" w:space="0"/>
              <w:left w:val="nil"/>
              <w:bottom w:val="single" w:color="auto" w:sz="4" w:space="0"/>
              <w:right w:val="single" w:color="auto" w:sz="4" w:space="0"/>
            </w:tcBorders>
            <w:shd w:val="clear" w:color="auto" w:fill="auto"/>
            <w:vAlign w:val="center"/>
          </w:tcPr>
          <w:p w14:paraId="5DE3B41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餐饮中队洺北组</w:t>
            </w:r>
          </w:p>
        </w:tc>
        <w:tc>
          <w:tcPr>
            <w:tcW w:w="1194" w:type="dxa"/>
            <w:tcBorders>
              <w:top w:val="single" w:color="auto" w:sz="4" w:space="0"/>
              <w:left w:val="nil"/>
              <w:bottom w:val="single" w:color="auto" w:sz="4" w:space="0"/>
              <w:right w:val="single" w:color="auto" w:sz="4" w:space="0"/>
            </w:tcBorders>
            <w:shd w:val="clear" w:color="auto" w:fill="auto"/>
            <w:vAlign w:val="center"/>
          </w:tcPr>
          <w:p w14:paraId="03801CAA">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95</w:t>
            </w:r>
          </w:p>
        </w:tc>
        <w:tc>
          <w:tcPr>
            <w:tcW w:w="1291" w:type="dxa"/>
            <w:tcBorders>
              <w:top w:val="single" w:color="auto" w:sz="4" w:space="0"/>
              <w:left w:val="nil"/>
              <w:bottom w:val="single" w:color="auto" w:sz="4" w:space="0"/>
              <w:right w:val="single" w:color="auto" w:sz="4" w:space="0"/>
            </w:tcBorders>
            <w:shd w:val="clear" w:color="auto" w:fill="auto"/>
            <w:vAlign w:val="center"/>
          </w:tcPr>
          <w:p w14:paraId="64D85E7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w:t>
            </w:r>
          </w:p>
        </w:tc>
        <w:tc>
          <w:tcPr>
            <w:tcW w:w="1449" w:type="dxa"/>
            <w:tcBorders>
              <w:top w:val="single" w:color="auto" w:sz="4" w:space="0"/>
              <w:left w:val="nil"/>
              <w:bottom w:val="single" w:color="auto" w:sz="4" w:space="0"/>
              <w:right w:val="single" w:color="auto" w:sz="4" w:space="0"/>
            </w:tcBorders>
            <w:shd w:val="clear" w:color="auto" w:fill="auto"/>
            <w:vAlign w:val="center"/>
          </w:tcPr>
          <w:p w14:paraId="5BAD5B6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65</w:t>
            </w:r>
          </w:p>
        </w:tc>
        <w:tc>
          <w:tcPr>
            <w:tcW w:w="1854" w:type="dxa"/>
            <w:vMerge w:val="continue"/>
            <w:tcBorders>
              <w:left w:val="nil"/>
              <w:right w:val="single" w:color="auto" w:sz="4" w:space="0"/>
            </w:tcBorders>
            <w:shd w:val="clear" w:color="auto" w:fill="auto"/>
            <w:noWrap/>
            <w:vAlign w:val="center"/>
          </w:tcPr>
          <w:p w14:paraId="2498DD55">
            <w:pPr>
              <w:widowControl/>
              <w:jc w:val="center"/>
              <w:rPr>
                <w:rFonts w:hint="eastAsia" w:ascii="宋体" w:hAnsi="宋体" w:eastAsia="宋体" w:cs="宋体"/>
                <w:color w:val="auto"/>
                <w:kern w:val="0"/>
                <w:sz w:val="24"/>
                <w:szCs w:val="24"/>
                <w:highlight w:val="none"/>
              </w:rPr>
            </w:pPr>
          </w:p>
        </w:tc>
      </w:tr>
      <w:tr w14:paraId="044F9ED2">
        <w:tblPrEx>
          <w:tblCellMar>
            <w:top w:w="0" w:type="dxa"/>
            <w:left w:w="108" w:type="dxa"/>
            <w:bottom w:w="0" w:type="dxa"/>
            <w:right w:w="108" w:type="dxa"/>
          </w:tblCellMar>
        </w:tblPrEx>
        <w:trPr>
          <w:trHeight w:val="310" w:hRule="atLeast"/>
        </w:trPr>
        <w:tc>
          <w:tcPr>
            <w:tcW w:w="931" w:type="dxa"/>
            <w:vMerge w:val="continue"/>
            <w:tcBorders>
              <w:left w:val="single" w:color="auto" w:sz="4" w:space="0"/>
              <w:right w:val="single" w:color="auto" w:sz="4" w:space="0"/>
            </w:tcBorders>
            <w:shd w:val="clear" w:color="auto" w:fill="auto"/>
            <w:noWrap/>
            <w:vAlign w:val="center"/>
          </w:tcPr>
          <w:p w14:paraId="49ECED01">
            <w:pPr>
              <w:widowControl/>
              <w:jc w:val="center"/>
              <w:rPr>
                <w:rFonts w:hint="eastAsia" w:ascii="宋体" w:hAnsi="宋体" w:eastAsia="宋体" w:cs="宋体"/>
                <w:color w:val="auto"/>
                <w:kern w:val="0"/>
                <w:sz w:val="24"/>
                <w:szCs w:val="24"/>
                <w:highlight w:val="none"/>
              </w:rPr>
            </w:pPr>
          </w:p>
        </w:tc>
        <w:tc>
          <w:tcPr>
            <w:tcW w:w="1892" w:type="dxa"/>
            <w:tcBorders>
              <w:top w:val="single" w:color="auto" w:sz="4" w:space="0"/>
              <w:left w:val="nil"/>
              <w:bottom w:val="single" w:color="auto" w:sz="4" w:space="0"/>
              <w:right w:val="single" w:color="auto" w:sz="4" w:space="0"/>
            </w:tcBorders>
            <w:shd w:val="clear" w:color="auto" w:fill="auto"/>
            <w:vAlign w:val="center"/>
          </w:tcPr>
          <w:p w14:paraId="214D09EB">
            <w:pPr>
              <w:widowControl/>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新城所</w:t>
            </w:r>
          </w:p>
        </w:tc>
        <w:tc>
          <w:tcPr>
            <w:tcW w:w="1194" w:type="dxa"/>
            <w:tcBorders>
              <w:top w:val="single" w:color="auto" w:sz="4" w:space="0"/>
              <w:left w:val="nil"/>
              <w:bottom w:val="single" w:color="auto" w:sz="4" w:space="0"/>
              <w:right w:val="single" w:color="auto" w:sz="4" w:space="0"/>
            </w:tcBorders>
            <w:shd w:val="clear" w:color="auto" w:fill="auto"/>
            <w:vAlign w:val="center"/>
          </w:tcPr>
          <w:p w14:paraId="23824BF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w:t>
            </w:r>
          </w:p>
        </w:tc>
        <w:tc>
          <w:tcPr>
            <w:tcW w:w="1291" w:type="dxa"/>
            <w:tcBorders>
              <w:top w:val="single" w:color="auto" w:sz="4" w:space="0"/>
              <w:left w:val="nil"/>
              <w:bottom w:val="single" w:color="auto" w:sz="4" w:space="0"/>
              <w:right w:val="single" w:color="auto" w:sz="4" w:space="0"/>
            </w:tcBorders>
            <w:shd w:val="clear" w:color="auto" w:fill="auto"/>
            <w:vAlign w:val="center"/>
          </w:tcPr>
          <w:p w14:paraId="58A85901">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72</w:t>
            </w:r>
          </w:p>
        </w:tc>
        <w:tc>
          <w:tcPr>
            <w:tcW w:w="1449" w:type="dxa"/>
            <w:tcBorders>
              <w:top w:val="single" w:color="auto" w:sz="4" w:space="0"/>
              <w:left w:val="nil"/>
              <w:bottom w:val="single" w:color="auto" w:sz="4" w:space="0"/>
              <w:right w:val="single" w:color="auto" w:sz="4" w:space="0"/>
            </w:tcBorders>
            <w:shd w:val="clear" w:color="auto" w:fill="auto"/>
            <w:vAlign w:val="center"/>
          </w:tcPr>
          <w:p w14:paraId="4D6B7040">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66</w:t>
            </w:r>
          </w:p>
        </w:tc>
        <w:tc>
          <w:tcPr>
            <w:tcW w:w="1854" w:type="dxa"/>
            <w:vMerge w:val="continue"/>
            <w:tcBorders>
              <w:left w:val="nil"/>
              <w:right w:val="single" w:color="auto" w:sz="4" w:space="0"/>
            </w:tcBorders>
            <w:shd w:val="clear" w:color="auto" w:fill="auto"/>
            <w:noWrap/>
            <w:vAlign w:val="center"/>
          </w:tcPr>
          <w:p w14:paraId="2DBE2EE1">
            <w:pPr>
              <w:widowControl/>
              <w:jc w:val="center"/>
              <w:rPr>
                <w:rFonts w:hint="eastAsia" w:ascii="宋体" w:hAnsi="宋体" w:eastAsia="宋体" w:cs="宋体"/>
                <w:color w:val="auto"/>
                <w:kern w:val="0"/>
                <w:sz w:val="24"/>
                <w:szCs w:val="24"/>
                <w:highlight w:val="none"/>
              </w:rPr>
            </w:pPr>
          </w:p>
        </w:tc>
      </w:tr>
      <w:tr w14:paraId="27A75853">
        <w:tblPrEx>
          <w:tblCellMar>
            <w:top w:w="0" w:type="dxa"/>
            <w:left w:w="108" w:type="dxa"/>
            <w:bottom w:w="0" w:type="dxa"/>
            <w:right w:w="108" w:type="dxa"/>
          </w:tblCellMar>
        </w:tblPrEx>
        <w:trPr>
          <w:trHeight w:val="310" w:hRule="atLeast"/>
        </w:trPr>
        <w:tc>
          <w:tcPr>
            <w:tcW w:w="931" w:type="dxa"/>
            <w:vMerge w:val="continue"/>
            <w:tcBorders>
              <w:left w:val="single" w:color="auto" w:sz="4" w:space="0"/>
              <w:right w:val="single" w:color="auto" w:sz="4" w:space="0"/>
            </w:tcBorders>
            <w:shd w:val="clear" w:color="auto" w:fill="auto"/>
            <w:noWrap/>
            <w:vAlign w:val="center"/>
          </w:tcPr>
          <w:p w14:paraId="7D8C7E6E">
            <w:pPr>
              <w:widowControl/>
              <w:jc w:val="center"/>
              <w:rPr>
                <w:rFonts w:hint="eastAsia" w:ascii="宋体" w:hAnsi="宋体" w:eastAsia="宋体" w:cs="宋体"/>
                <w:color w:val="auto"/>
                <w:kern w:val="0"/>
                <w:sz w:val="24"/>
                <w:szCs w:val="24"/>
                <w:highlight w:val="none"/>
              </w:rPr>
            </w:pPr>
          </w:p>
        </w:tc>
        <w:tc>
          <w:tcPr>
            <w:tcW w:w="1892" w:type="dxa"/>
            <w:tcBorders>
              <w:top w:val="single" w:color="auto" w:sz="4" w:space="0"/>
              <w:left w:val="nil"/>
              <w:bottom w:val="single" w:color="auto" w:sz="4" w:space="0"/>
              <w:right w:val="single" w:color="auto" w:sz="4" w:space="0"/>
            </w:tcBorders>
            <w:shd w:val="clear" w:color="auto" w:fill="auto"/>
            <w:vAlign w:val="center"/>
          </w:tcPr>
          <w:p w14:paraId="11DB3F3F">
            <w:pPr>
              <w:widowControl/>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洺南所</w:t>
            </w:r>
          </w:p>
        </w:tc>
        <w:tc>
          <w:tcPr>
            <w:tcW w:w="1194" w:type="dxa"/>
            <w:tcBorders>
              <w:top w:val="single" w:color="auto" w:sz="4" w:space="0"/>
              <w:left w:val="nil"/>
              <w:bottom w:val="single" w:color="auto" w:sz="4" w:space="0"/>
              <w:right w:val="single" w:color="auto" w:sz="4" w:space="0"/>
            </w:tcBorders>
            <w:shd w:val="clear" w:color="auto" w:fill="auto"/>
            <w:vAlign w:val="center"/>
          </w:tcPr>
          <w:p w14:paraId="2315FBF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w:t>
            </w:r>
          </w:p>
        </w:tc>
        <w:tc>
          <w:tcPr>
            <w:tcW w:w="1291" w:type="dxa"/>
            <w:tcBorders>
              <w:top w:val="single" w:color="auto" w:sz="4" w:space="0"/>
              <w:left w:val="nil"/>
              <w:bottom w:val="single" w:color="auto" w:sz="4" w:space="0"/>
              <w:right w:val="single" w:color="auto" w:sz="4" w:space="0"/>
            </w:tcBorders>
            <w:shd w:val="clear" w:color="auto" w:fill="auto"/>
            <w:vAlign w:val="center"/>
          </w:tcPr>
          <w:p w14:paraId="1D70601E">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72</w:t>
            </w:r>
          </w:p>
        </w:tc>
        <w:tc>
          <w:tcPr>
            <w:tcW w:w="1449" w:type="dxa"/>
            <w:tcBorders>
              <w:top w:val="single" w:color="auto" w:sz="4" w:space="0"/>
              <w:left w:val="nil"/>
              <w:bottom w:val="single" w:color="auto" w:sz="4" w:space="0"/>
              <w:right w:val="single" w:color="auto" w:sz="4" w:space="0"/>
            </w:tcBorders>
            <w:shd w:val="clear" w:color="auto" w:fill="auto"/>
            <w:vAlign w:val="center"/>
          </w:tcPr>
          <w:p w14:paraId="7B241E82">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63</w:t>
            </w:r>
          </w:p>
        </w:tc>
        <w:tc>
          <w:tcPr>
            <w:tcW w:w="1854" w:type="dxa"/>
            <w:vMerge w:val="continue"/>
            <w:tcBorders>
              <w:left w:val="nil"/>
              <w:right w:val="single" w:color="auto" w:sz="4" w:space="0"/>
            </w:tcBorders>
            <w:shd w:val="clear" w:color="auto" w:fill="auto"/>
            <w:noWrap/>
            <w:vAlign w:val="center"/>
          </w:tcPr>
          <w:p w14:paraId="33B36999">
            <w:pPr>
              <w:widowControl/>
              <w:jc w:val="center"/>
              <w:rPr>
                <w:rFonts w:hint="eastAsia" w:ascii="宋体" w:hAnsi="宋体" w:eastAsia="宋体" w:cs="宋体"/>
                <w:color w:val="auto"/>
                <w:kern w:val="0"/>
                <w:sz w:val="24"/>
                <w:szCs w:val="24"/>
                <w:highlight w:val="none"/>
              </w:rPr>
            </w:pPr>
          </w:p>
        </w:tc>
      </w:tr>
      <w:tr w14:paraId="09773108">
        <w:tblPrEx>
          <w:tblCellMar>
            <w:top w:w="0" w:type="dxa"/>
            <w:left w:w="108" w:type="dxa"/>
            <w:bottom w:w="0" w:type="dxa"/>
            <w:right w:w="108" w:type="dxa"/>
          </w:tblCellMar>
        </w:tblPrEx>
        <w:trPr>
          <w:trHeight w:val="309" w:hRule="atLeast"/>
        </w:trPr>
        <w:tc>
          <w:tcPr>
            <w:tcW w:w="931" w:type="dxa"/>
            <w:vMerge w:val="continue"/>
            <w:tcBorders>
              <w:left w:val="single" w:color="auto" w:sz="4" w:space="0"/>
              <w:right w:val="single" w:color="auto" w:sz="4" w:space="0"/>
            </w:tcBorders>
            <w:shd w:val="clear" w:color="auto" w:fill="auto"/>
            <w:noWrap/>
            <w:vAlign w:val="center"/>
          </w:tcPr>
          <w:p w14:paraId="59F438D9">
            <w:pPr>
              <w:widowControl/>
              <w:jc w:val="center"/>
              <w:rPr>
                <w:rFonts w:hint="eastAsia" w:ascii="宋体" w:hAnsi="宋体" w:eastAsia="宋体" w:cs="宋体"/>
                <w:color w:val="auto"/>
                <w:kern w:val="0"/>
                <w:sz w:val="24"/>
                <w:szCs w:val="24"/>
                <w:highlight w:val="none"/>
              </w:rPr>
            </w:pPr>
          </w:p>
        </w:tc>
        <w:tc>
          <w:tcPr>
            <w:tcW w:w="1892" w:type="dxa"/>
            <w:tcBorders>
              <w:top w:val="single" w:color="auto" w:sz="4" w:space="0"/>
              <w:left w:val="nil"/>
              <w:bottom w:val="single" w:color="auto" w:sz="4" w:space="0"/>
              <w:right w:val="single" w:color="auto" w:sz="4" w:space="0"/>
            </w:tcBorders>
            <w:shd w:val="clear" w:color="auto" w:fill="auto"/>
            <w:vAlign w:val="center"/>
          </w:tcPr>
          <w:p w14:paraId="0935CEB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洺北所</w:t>
            </w:r>
          </w:p>
        </w:tc>
        <w:tc>
          <w:tcPr>
            <w:tcW w:w="1194" w:type="dxa"/>
            <w:tcBorders>
              <w:top w:val="single" w:color="auto" w:sz="4" w:space="0"/>
              <w:left w:val="nil"/>
              <w:bottom w:val="single" w:color="auto" w:sz="4" w:space="0"/>
              <w:right w:val="single" w:color="auto" w:sz="4" w:space="0"/>
            </w:tcBorders>
            <w:shd w:val="clear" w:color="auto" w:fill="auto"/>
            <w:vAlign w:val="center"/>
          </w:tcPr>
          <w:p w14:paraId="70486CA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w:t>
            </w:r>
          </w:p>
        </w:tc>
        <w:tc>
          <w:tcPr>
            <w:tcW w:w="1291" w:type="dxa"/>
            <w:tcBorders>
              <w:top w:val="single" w:color="auto" w:sz="4" w:space="0"/>
              <w:left w:val="nil"/>
              <w:bottom w:val="single" w:color="auto" w:sz="4" w:space="0"/>
              <w:right w:val="single" w:color="auto" w:sz="4" w:space="0"/>
            </w:tcBorders>
            <w:shd w:val="clear" w:color="auto" w:fill="auto"/>
            <w:vAlign w:val="center"/>
          </w:tcPr>
          <w:p w14:paraId="257CBCD3">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72</w:t>
            </w:r>
          </w:p>
        </w:tc>
        <w:tc>
          <w:tcPr>
            <w:tcW w:w="1449" w:type="dxa"/>
            <w:tcBorders>
              <w:top w:val="single" w:color="auto" w:sz="4" w:space="0"/>
              <w:left w:val="nil"/>
              <w:bottom w:val="single" w:color="auto" w:sz="4" w:space="0"/>
              <w:right w:val="single" w:color="auto" w:sz="4" w:space="0"/>
            </w:tcBorders>
            <w:shd w:val="clear" w:color="auto" w:fill="auto"/>
            <w:vAlign w:val="center"/>
          </w:tcPr>
          <w:p w14:paraId="3D64BE33">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63</w:t>
            </w:r>
          </w:p>
        </w:tc>
        <w:tc>
          <w:tcPr>
            <w:tcW w:w="1854" w:type="dxa"/>
            <w:vMerge w:val="continue"/>
            <w:tcBorders>
              <w:left w:val="nil"/>
              <w:right w:val="single" w:color="auto" w:sz="4" w:space="0"/>
            </w:tcBorders>
            <w:shd w:val="clear" w:color="auto" w:fill="auto"/>
            <w:noWrap/>
            <w:vAlign w:val="center"/>
          </w:tcPr>
          <w:p w14:paraId="5CE1724F">
            <w:pPr>
              <w:widowControl/>
              <w:jc w:val="center"/>
              <w:rPr>
                <w:rFonts w:hint="eastAsia" w:ascii="宋体" w:hAnsi="宋体" w:eastAsia="宋体" w:cs="宋体"/>
                <w:color w:val="auto"/>
                <w:kern w:val="0"/>
                <w:sz w:val="24"/>
                <w:szCs w:val="24"/>
                <w:highlight w:val="none"/>
              </w:rPr>
            </w:pPr>
          </w:p>
        </w:tc>
      </w:tr>
      <w:tr w14:paraId="2F3C8F05">
        <w:tblPrEx>
          <w:tblCellMar>
            <w:top w:w="0" w:type="dxa"/>
            <w:left w:w="108" w:type="dxa"/>
            <w:bottom w:w="0" w:type="dxa"/>
            <w:right w:w="108" w:type="dxa"/>
          </w:tblCellMar>
        </w:tblPrEx>
        <w:trPr>
          <w:trHeight w:val="309" w:hRule="atLeast"/>
        </w:trPr>
        <w:tc>
          <w:tcPr>
            <w:tcW w:w="931" w:type="dxa"/>
            <w:vMerge w:val="continue"/>
            <w:tcBorders>
              <w:left w:val="single" w:color="auto" w:sz="4" w:space="0"/>
              <w:bottom w:val="single" w:color="auto" w:sz="4" w:space="0"/>
              <w:right w:val="single" w:color="auto" w:sz="4" w:space="0"/>
            </w:tcBorders>
            <w:shd w:val="clear" w:color="auto" w:fill="auto"/>
            <w:noWrap/>
            <w:vAlign w:val="center"/>
          </w:tcPr>
          <w:p w14:paraId="57854BA0">
            <w:pPr>
              <w:widowControl/>
              <w:jc w:val="center"/>
              <w:rPr>
                <w:rFonts w:hint="eastAsia" w:ascii="宋体" w:hAnsi="宋体" w:eastAsia="宋体" w:cs="宋体"/>
                <w:color w:val="auto"/>
                <w:kern w:val="0"/>
                <w:sz w:val="24"/>
                <w:szCs w:val="24"/>
                <w:highlight w:val="none"/>
              </w:rPr>
            </w:pPr>
          </w:p>
        </w:tc>
        <w:tc>
          <w:tcPr>
            <w:tcW w:w="1892" w:type="dxa"/>
            <w:tcBorders>
              <w:top w:val="single" w:color="auto" w:sz="4" w:space="0"/>
              <w:left w:val="nil"/>
              <w:bottom w:val="single" w:color="auto" w:sz="4" w:space="0"/>
              <w:right w:val="single" w:color="auto" w:sz="4" w:space="0"/>
            </w:tcBorders>
            <w:shd w:val="clear" w:color="auto" w:fill="auto"/>
            <w:vAlign w:val="center"/>
          </w:tcPr>
          <w:p w14:paraId="55A024A8">
            <w:pPr>
              <w:widowControl/>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丹阳所</w:t>
            </w:r>
          </w:p>
        </w:tc>
        <w:tc>
          <w:tcPr>
            <w:tcW w:w="1194" w:type="dxa"/>
            <w:tcBorders>
              <w:top w:val="single" w:color="auto" w:sz="4" w:space="0"/>
              <w:left w:val="nil"/>
              <w:bottom w:val="single" w:color="auto" w:sz="4" w:space="0"/>
              <w:right w:val="single" w:color="auto" w:sz="4" w:space="0"/>
            </w:tcBorders>
            <w:shd w:val="clear" w:color="auto" w:fill="auto"/>
            <w:vAlign w:val="center"/>
          </w:tcPr>
          <w:p w14:paraId="3313247C">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25</w:t>
            </w:r>
          </w:p>
        </w:tc>
        <w:tc>
          <w:tcPr>
            <w:tcW w:w="1291" w:type="dxa"/>
            <w:tcBorders>
              <w:top w:val="single" w:color="auto" w:sz="4" w:space="0"/>
              <w:left w:val="nil"/>
              <w:bottom w:val="single" w:color="auto" w:sz="4" w:space="0"/>
              <w:right w:val="single" w:color="auto" w:sz="4" w:space="0"/>
            </w:tcBorders>
            <w:shd w:val="clear" w:color="auto" w:fill="auto"/>
            <w:vAlign w:val="center"/>
          </w:tcPr>
          <w:p w14:paraId="5F39D14D">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20</w:t>
            </w:r>
          </w:p>
        </w:tc>
        <w:tc>
          <w:tcPr>
            <w:tcW w:w="1449" w:type="dxa"/>
            <w:tcBorders>
              <w:top w:val="single" w:color="auto" w:sz="4" w:space="0"/>
              <w:left w:val="nil"/>
              <w:bottom w:val="single" w:color="auto" w:sz="4" w:space="0"/>
              <w:right w:val="single" w:color="auto" w:sz="4" w:space="0"/>
            </w:tcBorders>
            <w:shd w:val="clear" w:color="auto" w:fill="auto"/>
            <w:vAlign w:val="center"/>
          </w:tcPr>
          <w:p w14:paraId="4CD3A86E">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21</w:t>
            </w:r>
          </w:p>
        </w:tc>
        <w:tc>
          <w:tcPr>
            <w:tcW w:w="1854" w:type="dxa"/>
            <w:vMerge w:val="continue"/>
            <w:tcBorders>
              <w:left w:val="nil"/>
              <w:bottom w:val="single" w:color="auto" w:sz="4" w:space="0"/>
              <w:right w:val="single" w:color="auto" w:sz="4" w:space="0"/>
            </w:tcBorders>
            <w:shd w:val="clear" w:color="auto" w:fill="auto"/>
            <w:noWrap/>
            <w:vAlign w:val="center"/>
          </w:tcPr>
          <w:p w14:paraId="3F4B4AC9">
            <w:pPr>
              <w:widowControl/>
              <w:jc w:val="center"/>
              <w:rPr>
                <w:rFonts w:hint="eastAsia" w:ascii="宋体" w:hAnsi="宋体" w:eastAsia="宋体" w:cs="宋体"/>
                <w:color w:val="auto"/>
                <w:kern w:val="0"/>
                <w:sz w:val="24"/>
                <w:szCs w:val="24"/>
                <w:highlight w:val="none"/>
              </w:rPr>
            </w:pPr>
          </w:p>
        </w:tc>
      </w:tr>
    </w:tbl>
    <w:p w14:paraId="061CE1FE">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1包检测内容：</w:t>
      </w:r>
    </w:p>
    <w:tbl>
      <w:tblPr>
        <w:tblStyle w:val="26"/>
        <w:tblW w:w="8584" w:type="dxa"/>
        <w:tblInd w:w="104" w:type="dxa"/>
        <w:tblLayout w:type="autofit"/>
        <w:tblCellMar>
          <w:top w:w="0" w:type="dxa"/>
          <w:left w:w="108" w:type="dxa"/>
          <w:bottom w:w="0" w:type="dxa"/>
          <w:right w:w="108" w:type="dxa"/>
        </w:tblCellMar>
      </w:tblPr>
      <w:tblGrid>
        <w:gridCol w:w="617"/>
        <w:gridCol w:w="1369"/>
        <w:gridCol w:w="6598"/>
      </w:tblGrid>
      <w:tr w14:paraId="6ECB1404">
        <w:trPr>
          <w:trHeight w:val="619" w:hRule="atLeast"/>
        </w:trPr>
        <w:tc>
          <w:tcPr>
            <w:tcW w:w="6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448E42">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1369" w:type="dxa"/>
            <w:tcBorders>
              <w:top w:val="single" w:color="auto" w:sz="4" w:space="0"/>
              <w:left w:val="nil"/>
              <w:bottom w:val="single" w:color="auto" w:sz="4" w:space="0"/>
              <w:right w:val="single" w:color="auto" w:sz="4" w:space="0"/>
            </w:tcBorders>
            <w:shd w:val="clear" w:color="auto" w:fill="auto"/>
            <w:vAlign w:val="center"/>
          </w:tcPr>
          <w:p w14:paraId="78121A44">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服务内容</w:t>
            </w:r>
          </w:p>
        </w:tc>
        <w:tc>
          <w:tcPr>
            <w:tcW w:w="6598" w:type="dxa"/>
            <w:tcBorders>
              <w:top w:val="single" w:color="auto" w:sz="4" w:space="0"/>
              <w:left w:val="nil"/>
              <w:bottom w:val="single" w:color="auto" w:sz="4" w:space="0"/>
              <w:right w:val="single" w:color="auto" w:sz="4" w:space="0"/>
            </w:tcBorders>
            <w:shd w:val="clear" w:color="auto" w:fill="auto"/>
            <w:noWrap/>
            <w:vAlign w:val="center"/>
          </w:tcPr>
          <w:p w14:paraId="6986ADEC">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检测项目</w:t>
            </w:r>
          </w:p>
        </w:tc>
      </w:tr>
      <w:tr w14:paraId="1C918E8E">
        <w:tblPrEx>
          <w:tblCellMar>
            <w:top w:w="0" w:type="dxa"/>
            <w:left w:w="108" w:type="dxa"/>
            <w:bottom w:w="0" w:type="dxa"/>
            <w:right w:w="108" w:type="dxa"/>
          </w:tblCellMar>
        </w:tblPrEx>
        <w:trPr>
          <w:trHeight w:val="1407" w:hRule="atLeast"/>
        </w:trPr>
        <w:tc>
          <w:tcPr>
            <w:tcW w:w="617" w:type="dxa"/>
            <w:tcBorders>
              <w:top w:val="nil"/>
              <w:left w:val="single" w:color="auto" w:sz="4" w:space="0"/>
              <w:bottom w:val="single" w:color="auto" w:sz="4" w:space="0"/>
              <w:right w:val="single" w:color="auto" w:sz="4" w:space="0"/>
            </w:tcBorders>
            <w:shd w:val="clear" w:color="auto" w:fill="auto"/>
            <w:noWrap/>
            <w:vAlign w:val="center"/>
          </w:tcPr>
          <w:p w14:paraId="7FCBE31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369" w:type="dxa"/>
            <w:tcBorders>
              <w:top w:val="nil"/>
              <w:left w:val="nil"/>
              <w:bottom w:val="single" w:color="auto" w:sz="4" w:space="0"/>
              <w:right w:val="single" w:color="auto" w:sz="4" w:space="0"/>
            </w:tcBorders>
            <w:shd w:val="clear" w:color="auto" w:fill="auto"/>
            <w:vAlign w:val="center"/>
          </w:tcPr>
          <w:p w14:paraId="4BD51E4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食品安全抽样监测项目（餐饮）</w:t>
            </w:r>
          </w:p>
        </w:tc>
        <w:tc>
          <w:tcPr>
            <w:tcW w:w="6598" w:type="dxa"/>
            <w:tcBorders>
              <w:top w:val="nil"/>
              <w:left w:val="nil"/>
              <w:bottom w:val="single" w:color="auto" w:sz="4" w:space="0"/>
              <w:right w:val="single" w:color="auto" w:sz="4" w:space="0"/>
            </w:tcBorders>
            <w:shd w:val="clear" w:color="auto" w:fill="auto"/>
            <w:vAlign w:val="center"/>
          </w:tcPr>
          <w:p w14:paraId="49F6CFE0">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检验项目：苯甲酸及其钠盐 (以苯甲酸计) 、山梨酸及其钾盐 (以山梨酸计) 、糖精钠 (以糖精计)、铝的残留量(干样品， 以 Al 计)、铬(以 Cr 计)、黄曲霉毒素 B1、阴离子合成洗涤剂(以十二烷基苯磺酸钠计) 、大肠菌群、酸价 (以脂肪计)  (KOH) 、过氧化值 (以脂肪计) 、 脱氢乙酸及其钠盐(以脱氢乙酸计) 、防腐剂混合使用时各自用量占其最大使用量的比例之和等项目。根据产品的种类在以上项目中确定检验项目。</w:t>
            </w:r>
          </w:p>
        </w:tc>
      </w:tr>
      <w:tr w14:paraId="2AEEC67B">
        <w:tblPrEx>
          <w:tblCellMar>
            <w:top w:w="0" w:type="dxa"/>
            <w:left w:w="108" w:type="dxa"/>
            <w:bottom w:w="0" w:type="dxa"/>
            <w:right w:w="108" w:type="dxa"/>
          </w:tblCellMar>
        </w:tblPrEx>
        <w:trPr>
          <w:trHeight w:val="1966" w:hRule="atLeast"/>
        </w:trPr>
        <w:tc>
          <w:tcPr>
            <w:tcW w:w="617" w:type="dxa"/>
            <w:tcBorders>
              <w:top w:val="nil"/>
              <w:left w:val="single" w:color="auto" w:sz="4" w:space="0"/>
              <w:bottom w:val="single" w:color="auto" w:sz="4" w:space="0"/>
              <w:right w:val="single" w:color="auto" w:sz="4" w:space="0"/>
            </w:tcBorders>
            <w:shd w:val="clear" w:color="auto" w:fill="auto"/>
            <w:noWrap/>
            <w:vAlign w:val="center"/>
          </w:tcPr>
          <w:p w14:paraId="1716B0A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369" w:type="dxa"/>
            <w:tcBorders>
              <w:top w:val="nil"/>
              <w:left w:val="nil"/>
              <w:bottom w:val="single" w:color="auto" w:sz="4" w:space="0"/>
              <w:right w:val="single" w:color="auto" w:sz="4" w:space="0"/>
            </w:tcBorders>
            <w:shd w:val="clear" w:color="auto" w:fill="auto"/>
            <w:vAlign w:val="center"/>
          </w:tcPr>
          <w:p w14:paraId="5C84EDE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食品安全抽样监测项目（食用农产品）</w:t>
            </w:r>
          </w:p>
        </w:tc>
        <w:tc>
          <w:tcPr>
            <w:tcW w:w="6598" w:type="dxa"/>
            <w:tcBorders>
              <w:top w:val="nil"/>
              <w:left w:val="nil"/>
              <w:bottom w:val="single" w:color="auto" w:sz="4" w:space="0"/>
              <w:right w:val="single" w:color="auto" w:sz="4" w:space="0"/>
            </w:tcBorders>
            <w:shd w:val="clear" w:color="auto" w:fill="auto"/>
            <w:vAlign w:val="center"/>
          </w:tcPr>
          <w:p w14:paraId="72A7D04B">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检验项目：挥发性盐基氮、呋喃唑酮代谢物、呋喃西林代谢物、氯霉素、五氯酚酸钠(以五氯酚 计) 、克伦特罗、莱克多巴胺、沙丁胺醇、喹乙醇、恩诺沙星、替米考星、磺胺类 (总 量) 、甲氧苄啶、氟苯尼考、多西环素、土霉素、地塞米松、甲硝唑、氯丙嗪、土霉 素/金霉素/四环素(组合含量)、铅 (以 Pb 计) 、镉 (以 Cd 计) 、铬 (以 Cr 计) 、阿维菌素、毒死蜱、氟虫腈、腐霉 利、甲氨基阿维菌素苯甲酸盐、甲拌磷、克百威、乐果、六六六、氯氟氰菊酯和高效 氯氟氰菊酯、氯氰菊酯和高效氯氰菊酯、氧乐果、乙酰甲胺磷等项目，根据产品的种类在以上项目中确定检验项目。</w:t>
            </w:r>
          </w:p>
        </w:tc>
      </w:tr>
      <w:tr w14:paraId="0FFDB1AD">
        <w:tblPrEx>
          <w:tblCellMar>
            <w:top w:w="0" w:type="dxa"/>
            <w:left w:w="108" w:type="dxa"/>
            <w:bottom w:w="0" w:type="dxa"/>
            <w:right w:w="108" w:type="dxa"/>
          </w:tblCellMar>
        </w:tblPrEx>
        <w:trPr>
          <w:trHeight w:val="1975" w:hRule="atLeast"/>
        </w:trPr>
        <w:tc>
          <w:tcPr>
            <w:tcW w:w="617" w:type="dxa"/>
            <w:tcBorders>
              <w:top w:val="nil"/>
              <w:left w:val="single" w:color="auto" w:sz="4" w:space="0"/>
              <w:bottom w:val="single" w:color="auto" w:sz="4" w:space="0"/>
              <w:right w:val="single" w:color="auto" w:sz="4" w:space="0"/>
            </w:tcBorders>
            <w:shd w:val="clear" w:color="auto" w:fill="auto"/>
            <w:noWrap/>
            <w:vAlign w:val="center"/>
          </w:tcPr>
          <w:p w14:paraId="254132A1">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1369" w:type="dxa"/>
            <w:tcBorders>
              <w:top w:val="nil"/>
              <w:left w:val="nil"/>
              <w:bottom w:val="single" w:color="auto" w:sz="4" w:space="0"/>
              <w:right w:val="single" w:color="auto" w:sz="4" w:space="0"/>
            </w:tcBorders>
            <w:shd w:val="clear" w:color="auto" w:fill="auto"/>
            <w:vAlign w:val="center"/>
          </w:tcPr>
          <w:p w14:paraId="51400B1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食品安全抽样监测项目（专项抽检及小作坊）</w:t>
            </w:r>
          </w:p>
        </w:tc>
        <w:tc>
          <w:tcPr>
            <w:tcW w:w="6598" w:type="dxa"/>
            <w:tcBorders>
              <w:top w:val="nil"/>
              <w:left w:val="nil"/>
              <w:bottom w:val="single" w:color="auto" w:sz="4" w:space="0"/>
              <w:right w:val="single" w:color="auto" w:sz="4" w:space="0"/>
            </w:tcBorders>
            <w:shd w:val="clear" w:color="auto" w:fill="auto"/>
            <w:vAlign w:val="center"/>
          </w:tcPr>
          <w:p w14:paraId="20F5C7C6">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检验项目：铅(以 Pb 计) 、镉(以Cd 计) 、无机砷(以 As 计)  、苯并[a]芘、玉米赤霉烯酮、脱氧雪腐镰刀菌烯醇、赭曲霉毒素 A、黄 曲霉毒素 B1 、过氧化苯甲酰、偶氮甲酰胺、二氧化碳气容量、苯甲酸及其钠盐 (以苯甲酸计) 、山梨酸及其钾盐 (以山梨酸计) 、 防腐剂混合使用时各自用量占其最大使用量的比例之和、甜蜜素(以环己基氨基磺酸 计) 、菌落总数、霉菌、酵母、蛋白质、酸度、三聚氰胺、丙二醇、沙门氏菌、金黄色葡萄球菌、菌落总数、大肠菌群等项目。根据产品的种类在以上项目中确定检验项目。</w:t>
            </w:r>
          </w:p>
        </w:tc>
      </w:tr>
    </w:tbl>
    <w:p w14:paraId="00FDECF5">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备注：以上费用包含抽检产生的一切费用、样品购置费用和样品检验费用。</w:t>
      </w:r>
    </w:p>
    <w:p w14:paraId="53F92C52">
      <w:pPr>
        <w:rPr>
          <w:rStyle w:val="66"/>
          <w:rFonts w:hint="eastAsia" w:ascii="宋体" w:hAnsi="宋体" w:eastAsia="宋体" w:cs="宋体"/>
          <w:color w:val="auto"/>
          <w:sz w:val="24"/>
          <w:highlight w:val="none"/>
          <w:lang w:val="zh-CN"/>
        </w:rPr>
      </w:pPr>
      <w:r>
        <w:rPr>
          <w:rStyle w:val="66"/>
          <w:rFonts w:hint="eastAsia" w:ascii="宋体" w:hAnsi="宋体" w:eastAsia="宋体" w:cs="宋体"/>
          <w:color w:val="auto"/>
          <w:sz w:val="24"/>
          <w:highlight w:val="none"/>
          <w:lang w:val="zh-CN"/>
        </w:rPr>
        <w:br w:type="page"/>
      </w:r>
    </w:p>
    <w:p w14:paraId="4EF6FA0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2包采购内容：</w:t>
      </w:r>
    </w:p>
    <w:tbl>
      <w:tblPr>
        <w:tblStyle w:val="26"/>
        <w:tblW w:w="9159" w:type="dxa"/>
        <w:tblInd w:w="90" w:type="dxa"/>
        <w:tblLayout w:type="autofit"/>
        <w:tblCellMar>
          <w:top w:w="0" w:type="dxa"/>
          <w:left w:w="108" w:type="dxa"/>
          <w:bottom w:w="0" w:type="dxa"/>
          <w:right w:w="108" w:type="dxa"/>
        </w:tblCellMar>
      </w:tblPr>
      <w:tblGrid>
        <w:gridCol w:w="1021"/>
        <w:gridCol w:w="1069"/>
        <w:gridCol w:w="1161"/>
        <w:gridCol w:w="1416"/>
        <w:gridCol w:w="2181"/>
        <w:gridCol w:w="2311"/>
      </w:tblGrid>
      <w:tr w14:paraId="08820F34">
        <w:tblPrEx>
          <w:tblCellMar>
            <w:top w:w="0" w:type="dxa"/>
            <w:left w:w="108" w:type="dxa"/>
            <w:bottom w:w="0" w:type="dxa"/>
            <w:right w:w="108" w:type="dxa"/>
          </w:tblCellMar>
        </w:tblPrEx>
        <w:trPr>
          <w:trHeight w:val="789" w:hRule="atLeast"/>
        </w:trPr>
        <w:tc>
          <w:tcPr>
            <w:tcW w:w="102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7CBAFE">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包  号</w:t>
            </w:r>
          </w:p>
        </w:tc>
        <w:tc>
          <w:tcPr>
            <w:tcW w:w="5827" w:type="dxa"/>
            <w:gridSpan w:val="4"/>
            <w:tcBorders>
              <w:top w:val="single" w:color="auto" w:sz="4" w:space="0"/>
              <w:left w:val="nil"/>
              <w:bottom w:val="single" w:color="auto" w:sz="4" w:space="0"/>
              <w:right w:val="single" w:color="auto" w:sz="4" w:space="0"/>
            </w:tcBorders>
            <w:shd w:val="clear" w:color="auto" w:fill="auto"/>
            <w:vAlign w:val="center"/>
          </w:tcPr>
          <w:p w14:paraId="061E5F92">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服务项目和内容</w:t>
            </w:r>
          </w:p>
        </w:tc>
        <w:tc>
          <w:tcPr>
            <w:tcW w:w="2311" w:type="dxa"/>
            <w:tcBorders>
              <w:top w:val="single" w:color="auto" w:sz="4" w:space="0"/>
              <w:left w:val="nil"/>
              <w:bottom w:val="single" w:color="auto" w:sz="4" w:space="0"/>
              <w:right w:val="single" w:color="auto" w:sz="4" w:space="0"/>
            </w:tcBorders>
            <w:shd w:val="clear" w:color="auto" w:fill="auto"/>
            <w:vAlign w:val="center"/>
          </w:tcPr>
          <w:p w14:paraId="5645077B">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抽检监测数量</w:t>
            </w:r>
          </w:p>
        </w:tc>
      </w:tr>
      <w:tr w14:paraId="37D39437">
        <w:tblPrEx>
          <w:tblCellMar>
            <w:top w:w="0" w:type="dxa"/>
            <w:left w:w="108" w:type="dxa"/>
            <w:bottom w:w="0" w:type="dxa"/>
            <w:right w:w="108" w:type="dxa"/>
          </w:tblCellMar>
        </w:tblPrEx>
        <w:trPr>
          <w:trHeight w:val="314" w:hRule="atLeast"/>
        </w:trPr>
        <w:tc>
          <w:tcPr>
            <w:tcW w:w="1021" w:type="dxa"/>
            <w:vMerge w:val="restart"/>
            <w:tcBorders>
              <w:top w:val="nil"/>
              <w:left w:val="single" w:color="auto" w:sz="4" w:space="0"/>
              <w:right w:val="single" w:color="auto" w:sz="4" w:space="0"/>
            </w:tcBorders>
            <w:shd w:val="clear" w:color="auto" w:fill="auto"/>
            <w:noWrap/>
            <w:vAlign w:val="center"/>
          </w:tcPr>
          <w:p w14:paraId="008DE109">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2包</w:t>
            </w:r>
          </w:p>
        </w:tc>
        <w:tc>
          <w:tcPr>
            <w:tcW w:w="5827" w:type="dxa"/>
            <w:gridSpan w:val="4"/>
            <w:tcBorders>
              <w:top w:val="nil"/>
              <w:left w:val="nil"/>
              <w:bottom w:val="single" w:color="auto" w:sz="4" w:space="0"/>
              <w:right w:val="single" w:color="auto" w:sz="4" w:space="0"/>
            </w:tcBorders>
            <w:shd w:val="clear" w:color="auto" w:fill="auto"/>
            <w:vAlign w:val="center"/>
          </w:tcPr>
          <w:p w14:paraId="5DFED10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抽检批次</w:t>
            </w:r>
          </w:p>
        </w:tc>
        <w:tc>
          <w:tcPr>
            <w:tcW w:w="2311" w:type="dxa"/>
            <w:vMerge w:val="restart"/>
            <w:tcBorders>
              <w:top w:val="nil"/>
              <w:left w:val="nil"/>
              <w:right w:val="single" w:color="auto" w:sz="4" w:space="0"/>
            </w:tcBorders>
            <w:shd w:val="clear" w:color="auto" w:fill="auto"/>
            <w:noWrap/>
            <w:vAlign w:val="center"/>
          </w:tcPr>
          <w:p w14:paraId="13A54985">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594</w:t>
            </w:r>
            <w:r>
              <w:rPr>
                <w:rFonts w:hint="eastAsia" w:ascii="宋体" w:hAnsi="宋体" w:eastAsia="宋体" w:cs="宋体"/>
                <w:color w:val="auto"/>
                <w:kern w:val="0"/>
                <w:sz w:val="24"/>
                <w:szCs w:val="24"/>
                <w:highlight w:val="none"/>
              </w:rPr>
              <w:t>批次</w:t>
            </w:r>
          </w:p>
        </w:tc>
      </w:tr>
      <w:tr w14:paraId="17631DE1">
        <w:tblPrEx>
          <w:tblCellMar>
            <w:top w:w="0" w:type="dxa"/>
            <w:left w:w="108" w:type="dxa"/>
            <w:bottom w:w="0" w:type="dxa"/>
            <w:right w:w="108" w:type="dxa"/>
          </w:tblCellMar>
        </w:tblPrEx>
        <w:trPr>
          <w:trHeight w:val="455" w:hRule="atLeast"/>
        </w:trPr>
        <w:tc>
          <w:tcPr>
            <w:tcW w:w="1021" w:type="dxa"/>
            <w:vMerge w:val="continue"/>
            <w:tcBorders>
              <w:left w:val="single" w:color="auto" w:sz="4" w:space="0"/>
              <w:right w:val="single" w:color="auto" w:sz="4" w:space="0"/>
            </w:tcBorders>
            <w:shd w:val="clear" w:color="auto" w:fill="auto"/>
            <w:noWrap/>
            <w:vAlign w:val="center"/>
          </w:tcPr>
          <w:p w14:paraId="4AE9C0B2">
            <w:pPr>
              <w:widowControl/>
              <w:jc w:val="center"/>
              <w:rPr>
                <w:rFonts w:hint="eastAsia" w:ascii="宋体" w:hAnsi="宋体" w:eastAsia="宋体" w:cs="宋体"/>
                <w:color w:val="auto"/>
                <w:kern w:val="0"/>
                <w:sz w:val="24"/>
                <w:szCs w:val="24"/>
                <w:highlight w:val="none"/>
              </w:rPr>
            </w:pPr>
          </w:p>
        </w:tc>
        <w:tc>
          <w:tcPr>
            <w:tcW w:w="1069" w:type="dxa"/>
            <w:tcBorders>
              <w:top w:val="single" w:color="auto" w:sz="4" w:space="0"/>
              <w:left w:val="nil"/>
              <w:bottom w:val="single" w:color="auto" w:sz="4" w:space="0"/>
              <w:right w:val="single" w:color="auto" w:sz="4" w:space="0"/>
            </w:tcBorders>
            <w:shd w:val="clear" w:color="auto" w:fill="auto"/>
            <w:vAlign w:val="center"/>
          </w:tcPr>
          <w:p w14:paraId="049247C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抽检单位</w:t>
            </w:r>
          </w:p>
        </w:tc>
        <w:tc>
          <w:tcPr>
            <w:tcW w:w="1161" w:type="dxa"/>
            <w:tcBorders>
              <w:top w:val="single" w:color="auto" w:sz="4" w:space="0"/>
              <w:left w:val="nil"/>
              <w:bottom w:val="single" w:color="auto" w:sz="4" w:space="0"/>
              <w:right w:val="single" w:color="auto" w:sz="4" w:space="0"/>
            </w:tcBorders>
            <w:shd w:val="clear" w:color="auto" w:fill="auto"/>
            <w:vAlign w:val="center"/>
          </w:tcPr>
          <w:p w14:paraId="7AD87255">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餐饮</w:t>
            </w:r>
          </w:p>
        </w:tc>
        <w:tc>
          <w:tcPr>
            <w:tcW w:w="1416" w:type="dxa"/>
            <w:tcBorders>
              <w:top w:val="single" w:color="auto" w:sz="4" w:space="0"/>
              <w:left w:val="nil"/>
              <w:bottom w:val="single" w:color="auto" w:sz="4" w:space="0"/>
              <w:right w:val="single" w:color="auto" w:sz="4" w:space="0"/>
            </w:tcBorders>
            <w:shd w:val="clear" w:color="auto" w:fill="auto"/>
            <w:vAlign w:val="center"/>
          </w:tcPr>
          <w:p w14:paraId="5CA72D4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食用农产品</w:t>
            </w:r>
          </w:p>
        </w:tc>
        <w:tc>
          <w:tcPr>
            <w:tcW w:w="2181" w:type="dxa"/>
            <w:tcBorders>
              <w:top w:val="single" w:color="auto" w:sz="4" w:space="0"/>
              <w:left w:val="nil"/>
              <w:bottom w:val="single" w:color="auto" w:sz="4" w:space="0"/>
              <w:right w:val="single" w:color="auto" w:sz="4" w:space="0"/>
            </w:tcBorders>
            <w:shd w:val="clear" w:color="auto" w:fill="auto"/>
            <w:vAlign w:val="center"/>
          </w:tcPr>
          <w:p w14:paraId="1481B7B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专项抽检</w:t>
            </w:r>
          </w:p>
        </w:tc>
        <w:tc>
          <w:tcPr>
            <w:tcW w:w="2311" w:type="dxa"/>
            <w:vMerge w:val="continue"/>
            <w:tcBorders>
              <w:left w:val="nil"/>
              <w:right w:val="single" w:color="auto" w:sz="4" w:space="0"/>
            </w:tcBorders>
            <w:shd w:val="clear" w:color="auto" w:fill="auto"/>
            <w:noWrap/>
            <w:vAlign w:val="center"/>
          </w:tcPr>
          <w:p w14:paraId="4F71D207">
            <w:pPr>
              <w:widowControl/>
              <w:jc w:val="center"/>
              <w:rPr>
                <w:rFonts w:hint="eastAsia" w:ascii="宋体" w:hAnsi="宋体" w:eastAsia="宋体" w:cs="宋体"/>
                <w:color w:val="auto"/>
                <w:kern w:val="0"/>
                <w:sz w:val="24"/>
                <w:szCs w:val="24"/>
                <w:highlight w:val="none"/>
              </w:rPr>
            </w:pPr>
          </w:p>
        </w:tc>
      </w:tr>
      <w:tr w14:paraId="7936F3D6">
        <w:tblPrEx>
          <w:tblCellMar>
            <w:top w:w="0" w:type="dxa"/>
            <w:left w:w="108" w:type="dxa"/>
            <w:bottom w:w="0" w:type="dxa"/>
            <w:right w:w="108" w:type="dxa"/>
          </w:tblCellMar>
        </w:tblPrEx>
        <w:trPr>
          <w:trHeight w:val="359" w:hRule="atLeast"/>
        </w:trPr>
        <w:tc>
          <w:tcPr>
            <w:tcW w:w="1021" w:type="dxa"/>
            <w:vMerge w:val="continue"/>
            <w:tcBorders>
              <w:left w:val="single" w:color="auto" w:sz="4" w:space="0"/>
              <w:right w:val="single" w:color="auto" w:sz="4" w:space="0"/>
            </w:tcBorders>
            <w:shd w:val="clear" w:color="auto" w:fill="auto"/>
            <w:noWrap/>
            <w:vAlign w:val="center"/>
          </w:tcPr>
          <w:p w14:paraId="507DEF6B">
            <w:pPr>
              <w:widowControl/>
              <w:jc w:val="center"/>
              <w:rPr>
                <w:rFonts w:hint="eastAsia" w:ascii="宋体" w:hAnsi="宋体" w:eastAsia="宋体" w:cs="宋体"/>
                <w:color w:val="auto"/>
                <w:kern w:val="0"/>
                <w:sz w:val="24"/>
                <w:szCs w:val="24"/>
                <w:highlight w:val="none"/>
              </w:rPr>
            </w:pPr>
          </w:p>
        </w:tc>
        <w:tc>
          <w:tcPr>
            <w:tcW w:w="1069" w:type="dxa"/>
            <w:tcBorders>
              <w:top w:val="single" w:color="auto" w:sz="4" w:space="0"/>
              <w:left w:val="nil"/>
              <w:bottom w:val="single" w:color="auto" w:sz="4" w:space="0"/>
              <w:right w:val="single" w:color="auto" w:sz="4" w:space="0"/>
            </w:tcBorders>
            <w:shd w:val="clear" w:color="auto" w:fill="auto"/>
            <w:vAlign w:val="center"/>
          </w:tcPr>
          <w:p w14:paraId="0A56BBE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汲塚所</w:t>
            </w:r>
          </w:p>
        </w:tc>
        <w:tc>
          <w:tcPr>
            <w:tcW w:w="1161" w:type="dxa"/>
            <w:tcBorders>
              <w:top w:val="single" w:color="auto" w:sz="4" w:space="0"/>
              <w:left w:val="nil"/>
              <w:bottom w:val="single" w:color="auto" w:sz="4" w:space="0"/>
              <w:right w:val="single" w:color="auto" w:sz="4" w:space="0"/>
            </w:tcBorders>
            <w:shd w:val="clear" w:color="auto" w:fill="auto"/>
            <w:vAlign w:val="center"/>
          </w:tcPr>
          <w:p w14:paraId="3C746E0E">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25</w:t>
            </w:r>
          </w:p>
        </w:tc>
        <w:tc>
          <w:tcPr>
            <w:tcW w:w="1416" w:type="dxa"/>
            <w:tcBorders>
              <w:top w:val="single" w:color="auto" w:sz="4" w:space="0"/>
              <w:left w:val="nil"/>
              <w:bottom w:val="single" w:color="auto" w:sz="4" w:space="0"/>
              <w:right w:val="single" w:color="auto" w:sz="4" w:space="0"/>
            </w:tcBorders>
            <w:shd w:val="clear" w:color="auto" w:fill="auto"/>
            <w:vAlign w:val="center"/>
          </w:tcPr>
          <w:p w14:paraId="59AEEBB2">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20</w:t>
            </w:r>
          </w:p>
        </w:tc>
        <w:tc>
          <w:tcPr>
            <w:tcW w:w="2181" w:type="dxa"/>
            <w:tcBorders>
              <w:top w:val="single" w:color="auto" w:sz="4" w:space="0"/>
              <w:left w:val="nil"/>
              <w:bottom w:val="single" w:color="auto" w:sz="4" w:space="0"/>
              <w:right w:val="single" w:color="auto" w:sz="4" w:space="0"/>
            </w:tcBorders>
            <w:shd w:val="clear" w:color="auto" w:fill="auto"/>
            <w:vAlign w:val="center"/>
          </w:tcPr>
          <w:p w14:paraId="2694F8FC">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21</w:t>
            </w:r>
          </w:p>
        </w:tc>
        <w:tc>
          <w:tcPr>
            <w:tcW w:w="2311" w:type="dxa"/>
            <w:vMerge w:val="continue"/>
            <w:tcBorders>
              <w:left w:val="nil"/>
              <w:right w:val="single" w:color="auto" w:sz="4" w:space="0"/>
            </w:tcBorders>
            <w:shd w:val="clear" w:color="auto" w:fill="auto"/>
            <w:noWrap/>
            <w:vAlign w:val="center"/>
          </w:tcPr>
          <w:p w14:paraId="3C20B5E9">
            <w:pPr>
              <w:widowControl/>
              <w:jc w:val="center"/>
              <w:rPr>
                <w:rFonts w:hint="eastAsia" w:ascii="宋体" w:hAnsi="宋体" w:eastAsia="宋体" w:cs="宋体"/>
                <w:color w:val="auto"/>
                <w:kern w:val="0"/>
                <w:sz w:val="24"/>
                <w:szCs w:val="24"/>
                <w:highlight w:val="none"/>
              </w:rPr>
            </w:pPr>
          </w:p>
        </w:tc>
      </w:tr>
      <w:tr w14:paraId="1ACB28D8">
        <w:tblPrEx>
          <w:tblCellMar>
            <w:top w:w="0" w:type="dxa"/>
            <w:left w:w="108" w:type="dxa"/>
            <w:bottom w:w="0" w:type="dxa"/>
            <w:right w:w="108" w:type="dxa"/>
          </w:tblCellMar>
        </w:tblPrEx>
        <w:trPr>
          <w:trHeight w:val="347" w:hRule="atLeast"/>
        </w:trPr>
        <w:tc>
          <w:tcPr>
            <w:tcW w:w="1021" w:type="dxa"/>
            <w:vMerge w:val="continue"/>
            <w:tcBorders>
              <w:left w:val="single" w:color="auto" w:sz="4" w:space="0"/>
              <w:right w:val="single" w:color="auto" w:sz="4" w:space="0"/>
            </w:tcBorders>
            <w:shd w:val="clear" w:color="auto" w:fill="auto"/>
            <w:noWrap/>
            <w:vAlign w:val="center"/>
          </w:tcPr>
          <w:p w14:paraId="4C354FF4">
            <w:pPr>
              <w:widowControl/>
              <w:jc w:val="center"/>
              <w:rPr>
                <w:rFonts w:hint="eastAsia" w:ascii="宋体" w:hAnsi="宋体" w:eastAsia="宋体" w:cs="宋体"/>
                <w:color w:val="auto"/>
                <w:kern w:val="0"/>
                <w:sz w:val="24"/>
                <w:szCs w:val="24"/>
                <w:highlight w:val="none"/>
              </w:rPr>
            </w:pPr>
          </w:p>
        </w:tc>
        <w:tc>
          <w:tcPr>
            <w:tcW w:w="1069" w:type="dxa"/>
            <w:tcBorders>
              <w:top w:val="single" w:color="auto" w:sz="4" w:space="0"/>
              <w:left w:val="nil"/>
              <w:bottom w:val="single" w:color="auto" w:sz="4" w:space="0"/>
              <w:right w:val="single" w:color="auto" w:sz="4" w:space="0"/>
            </w:tcBorders>
            <w:shd w:val="clear" w:color="auto" w:fill="auto"/>
            <w:vAlign w:val="center"/>
          </w:tcPr>
          <w:p w14:paraId="34491D2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李楼所</w:t>
            </w:r>
          </w:p>
        </w:tc>
        <w:tc>
          <w:tcPr>
            <w:tcW w:w="1161" w:type="dxa"/>
            <w:tcBorders>
              <w:top w:val="single" w:color="auto" w:sz="4" w:space="0"/>
              <w:left w:val="nil"/>
              <w:bottom w:val="single" w:color="auto" w:sz="4" w:space="0"/>
              <w:right w:val="single" w:color="auto" w:sz="4" w:space="0"/>
            </w:tcBorders>
            <w:shd w:val="clear" w:color="auto" w:fill="auto"/>
            <w:vAlign w:val="center"/>
          </w:tcPr>
          <w:p w14:paraId="73F149DF">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25</w:t>
            </w:r>
          </w:p>
        </w:tc>
        <w:tc>
          <w:tcPr>
            <w:tcW w:w="1416" w:type="dxa"/>
            <w:tcBorders>
              <w:top w:val="single" w:color="auto" w:sz="4" w:space="0"/>
              <w:left w:val="nil"/>
              <w:bottom w:val="single" w:color="auto" w:sz="4" w:space="0"/>
              <w:right w:val="single" w:color="auto" w:sz="4" w:space="0"/>
            </w:tcBorders>
            <w:shd w:val="clear" w:color="auto" w:fill="auto"/>
            <w:vAlign w:val="center"/>
          </w:tcPr>
          <w:p w14:paraId="0AABD9E4">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20</w:t>
            </w:r>
          </w:p>
        </w:tc>
        <w:tc>
          <w:tcPr>
            <w:tcW w:w="2181" w:type="dxa"/>
            <w:tcBorders>
              <w:top w:val="single" w:color="auto" w:sz="4" w:space="0"/>
              <w:left w:val="nil"/>
              <w:bottom w:val="single" w:color="auto" w:sz="4" w:space="0"/>
              <w:right w:val="single" w:color="auto" w:sz="4" w:space="0"/>
            </w:tcBorders>
            <w:shd w:val="clear" w:color="auto" w:fill="auto"/>
            <w:vAlign w:val="center"/>
          </w:tcPr>
          <w:p w14:paraId="7DD2A643">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21</w:t>
            </w:r>
          </w:p>
        </w:tc>
        <w:tc>
          <w:tcPr>
            <w:tcW w:w="2311" w:type="dxa"/>
            <w:vMerge w:val="continue"/>
            <w:tcBorders>
              <w:left w:val="nil"/>
              <w:right w:val="single" w:color="auto" w:sz="4" w:space="0"/>
            </w:tcBorders>
            <w:shd w:val="clear" w:color="auto" w:fill="auto"/>
            <w:noWrap/>
            <w:vAlign w:val="center"/>
          </w:tcPr>
          <w:p w14:paraId="15415F83">
            <w:pPr>
              <w:widowControl/>
              <w:jc w:val="center"/>
              <w:rPr>
                <w:rFonts w:hint="eastAsia" w:ascii="宋体" w:hAnsi="宋体" w:eastAsia="宋体" w:cs="宋体"/>
                <w:color w:val="auto"/>
                <w:kern w:val="0"/>
                <w:sz w:val="24"/>
                <w:szCs w:val="24"/>
                <w:highlight w:val="none"/>
              </w:rPr>
            </w:pPr>
          </w:p>
        </w:tc>
      </w:tr>
      <w:tr w14:paraId="48ABE26B">
        <w:tblPrEx>
          <w:tblCellMar>
            <w:top w:w="0" w:type="dxa"/>
            <w:left w:w="108" w:type="dxa"/>
            <w:bottom w:w="0" w:type="dxa"/>
            <w:right w:w="108" w:type="dxa"/>
          </w:tblCellMar>
        </w:tblPrEx>
        <w:trPr>
          <w:trHeight w:val="310" w:hRule="atLeast"/>
        </w:trPr>
        <w:tc>
          <w:tcPr>
            <w:tcW w:w="1021" w:type="dxa"/>
            <w:vMerge w:val="continue"/>
            <w:tcBorders>
              <w:left w:val="single" w:color="auto" w:sz="4" w:space="0"/>
              <w:right w:val="single" w:color="auto" w:sz="4" w:space="0"/>
            </w:tcBorders>
            <w:shd w:val="clear" w:color="auto" w:fill="auto"/>
            <w:noWrap/>
            <w:vAlign w:val="center"/>
          </w:tcPr>
          <w:p w14:paraId="7EEAB12B">
            <w:pPr>
              <w:widowControl/>
              <w:jc w:val="center"/>
              <w:rPr>
                <w:rFonts w:hint="eastAsia" w:ascii="宋体" w:hAnsi="宋体" w:eastAsia="宋体" w:cs="宋体"/>
                <w:color w:val="auto"/>
                <w:kern w:val="0"/>
                <w:sz w:val="24"/>
                <w:szCs w:val="24"/>
                <w:highlight w:val="none"/>
              </w:rPr>
            </w:pPr>
          </w:p>
        </w:tc>
        <w:tc>
          <w:tcPr>
            <w:tcW w:w="1069" w:type="dxa"/>
            <w:tcBorders>
              <w:top w:val="single" w:color="auto" w:sz="4" w:space="0"/>
              <w:left w:val="nil"/>
              <w:bottom w:val="single" w:color="auto" w:sz="4" w:space="0"/>
              <w:right w:val="single" w:color="auto" w:sz="4" w:space="0"/>
            </w:tcBorders>
            <w:shd w:val="clear" w:color="auto" w:fill="auto"/>
            <w:vAlign w:val="center"/>
          </w:tcPr>
          <w:p w14:paraId="0C9BC280">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虎岗所</w:t>
            </w:r>
          </w:p>
        </w:tc>
        <w:tc>
          <w:tcPr>
            <w:tcW w:w="1161" w:type="dxa"/>
            <w:tcBorders>
              <w:top w:val="single" w:color="auto" w:sz="4" w:space="0"/>
              <w:left w:val="nil"/>
              <w:bottom w:val="single" w:color="auto" w:sz="4" w:space="0"/>
              <w:right w:val="single" w:color="auto" w:sz="4" w:space="0"/>
            </w:tcBorders>
            <w:shd w:val="clear" w:color="auto" w:fill="auto"/>
            <w:vAlign w:val="center"/>
          </w:tcPr>
          <w:p w14:paraId="4E814FF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25</w:t>
            </w:r>
          </w:p>
        </w:tc>
        <w:tc>
          <w:tcPr>
            <w:tcW w:w="1416" w:type="dxa"/>
            <w:tcBorders>
              <w:top w:val="single" w:color="auto" w:sz="4" w:space="0"/>
              <w:left w:val="nil"/>
              <w:bottom w:val="single" w:color="auto" w:sz="4" w:space="0"/>
              <w:right w:val="single" w:color="auto" w:sz="4" w:space="0"/>
            </w:tcBorders>
            <w:shd w:val="clear" w:color="auto" w:fill="auto"/>
            <w:vAlign w:val="center"/>
          </w:tcPr>
          <w:p w14:paraId="51E66C2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20</w:t>
            </w:r>
          </w:p>
        </w:tc>
        <w:tc>
          <w:tcPr>
            <w:tcW w:w="2181" w:type="dxa"/>
            <w:tcBorders>
              <w:top w:val="single" w:color="auto" w:sz="4" w:space="0"/>
              <w:left w:val="nil"/>
              <w:bottom w:val="single" w:color="auto" w:sz="4" w:space="0"/>
              <w:right w:val="single" w:color="auto" w:sz="4" w:space="0"/>
            </w:tcBorders>
            <w:shd w:val="clear" w:color="auto" w:fill="auto"/>
            <w:vAlign w:val="center"/>
          </w:tcPr>
          <w:p w14:paraId="0FD127A9">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21</w:t>
            </w:r>
          </w:p>
        </w:tc>
        <w:tc>
          <w:tcPr>
            <w:tcW w:w="2311" w:type="dxa"/>
            <w:vMerge w:val="continue"/>
            <w:tcBorders>
              <w:left w:val="nil"/>
              <w:right w:val="single" w:color="auto" w:sz="4" w:space="0"/>
            </w:tcBorders>
            <w:shd w:val="clear" w:color="auto" w:fill="auto"/>
            <w:noWrap/>
            <w:vAlign w:val="center"/>
          </w:tcPr>
          <w:p w14:paraId="65EB370A">
            <w:pPr>
              <w:widowControl/>
              <w:jc w:val="center"/>
              <w:rPr>
                <w:rFonts w:hint="eastAsia" w:ascii="宋体" w:hAnsi="宋体" w:eastAsia="宋体" w:cs="宋体"/>
                <w:color w:val="auto"/>
                <w:kern w:val="0"/>
                <w:sz w:val="24"/>
                <w:szCs w:val="24"/>
                <w:highlight w:val="none"/>
              </w:rPr>
            </w:pPr>
          </w:p>
        </w:tc>
      </w:tr>
      <w:tr w14:paraId="0ABB826E">
        <w:tblPrEx>
          <w:tblCellMar>
            <w:top w:w="0" w:type="dxa"/>
            <w:left w:w="108" w:type="dxa"/>
            <w:bottom w:w="0" w:type="dxa"/>
            <w:right w:w="108" w:type="dxa"/>
          </w:tblCellMar>
        </w:tblPrEx>
        <w:trPr>
          <w:trHeight w:val="310" w:hRule="atLeast"/>
        </w:trPr>
        <w:tc>
          <w:tcPr>
            <w:tcW w:w="1021" w:type="dxa"/>
            <w:vMerge w:val="continue"/>
            <w:tcBorders>
              <w:left w:val="single" w:color="auto" w:sz="4" w:space="0"/>
              <w:right w:val="single" w:color="auto" w:sz="4" w:space="0"/>
            </w:tcBorders>
            <w:shd w:val="clear" w:color="auto" w:fill="auto"/>
            <w:noWrap/>
            <w:vAlign w:val="center"/>
          </w:tcPr>
          <w:p w14:paraId="051A0AF3">
            <w:pPr>
              <w:widowControl/>
              <w:jc w:val="center"/>
              <w:rPr>
                <w:rFonts w:hint="eastAsia" w:ascii="宋体" w:hAnsi="宋体" w:eastAsia="宋体" w:cs="宋体"/>
                <w:color w:val="auto"/>
                <w:kern w:val="0"/>
                <w:sz w:val="24"/>
                <w:szCs w:val="24"/>
                <w:highlight w:val="none"/>
              </w:rPr>
            </w:pPr>
          </w:p>
        </w:tc>
        <w:tc>
          <w:tcPr>
            <w:tcW w:w="1069" w:type="dxa"/>
            <w:tcBorders>
              <w:top w:val="single" w:color="auto" w:sz="4" w:space="0"/>
              <w:left w:val="nil"/>
              <w:bottom w:val="single" w:color="auto" w:sz="4" w:space="0"/>
              <w:right w:val="single" w:color="auto" w:sz="4" w:space="0"/>
            </w:tcBorders>
            <w:shd w:val="clear" w:color="auto" w:fill="auto"/>
            <w:vAlign w:val="center"/>
          </w:tcPr>
          <w:p w14:paraId="5322CB37">
            <w:pPr>
              <w:widowControl/>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钱店所</w:t>
            </w:r>
          </w:p>
        </w:tc>
        <w:tc>
          <w:tcPr>
            <w:tcW w:w="1161" w:type="dxa"/>
            <w:tcBorders>
              <w:top w:val="single" w:color="auto" w:sz="4" w:space="0"/>
              <w:left w:val="nil"/>
              <w:bottom w:val="single" w:color="auto" w:sz="4" w:space="0"/>
              <w:right w:val="single" w:color="auto" w:sz="4" w:space="0"/>
            </w:tcBorders>
            <w:shd w:val="clear" w:color="auto" w:fill="auto"/>
            <w:vAlign w:val="center"/>
          </w:tcPr>
          <w:p w14:paraId="78DAECF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25</w:t>
            </w:r>
          </w:p>
        </w:tc>
        <w:tc>
          <w:tcPr>
            <w:tcW w:w="1416" w:type="dxa"/>
            <w:tcBorders>
              <w:top w:val="single" w:color="auto" w:sz="4" w:space="0"/>
              <w:left w:val="nil"/>
              <w:bottom w:val="single" w:color="auto" w:sz="4" w:space="0"/>
              <w:right w:val="single" w:color="auto" w:sz="4" w:space="0"/>
            </w:tcBorders>
            <w:shd w:val="clear" w:color="auto" w:fill="auto"/>
            <w:vAlign w:val="center"/>
          </w:tcPr>
          <w:p w14:paraId="01C2E1A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20</w:t>
            </w:r>
          </w:p>
        </w:tc>
        <w:tc>
          <w:tcPr>
            <w:tcW w:w="2181" w:type="dxa"/>
            <w:tcBorders>
              <w:top w:val="single" w:color="auto" w:sz="4" w:space="0"/>
              <w:left w:val="nil"/>
              <w:bottom w:val="single" w:color="auto" w:sz="4" w:space="0"/>
              <w:right w:val="single" w:color="auto" w:sz="4" w:space="0"/>
            </w:tcBorders>
            <w:shd w:val="clear" w:color="auto" w:fill="auto"/>
            <w:vAlign w:val="center"/>
          </w:tcPr>
          <w:p w14:paraId="2C58B18B">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21</w:t>
            </w:r>
          </w:p>
        </w:tc>
        <w:tc>
          <w:tcPr>
            <w:tcW w:w="2311" w:type="dxa"/>
            <w:vMerge w:val="continue"/>
            <w:tcBorders>
              <w:left w:val="nil"/>
              <w:right w:val="single" w:color="auto" w:sz="4" w:space="0"/>
            </w:tcBorders>
            <w:shd w:val="clear" w:color="auto" w:fill="auto"/>
            <w:noWrap/>
            <w:vAlign w:val="center"/>
          </w:tcPr>
          <w:p w14:paraId="619FF976">
            <w:pPr>
              <w:widowControl/>
              <w:jc w:val="center"/>
              <w:rPr>
                <w:rFonts w:hint="eastAsia" w:ascii="宋体" w:hAnsi="宋体" w:eastAsia="宋体" w:cs="宋体"/>
                <w:color w:val="auto"/>
                <w:kern w:val="0"/>
                <w:sz w:val="24"/>
                <w:szCs w:val="24"/>
                <w:highlight w:val="none"/>
              </w:rPr>
            </w:pPr>
          </w:p>
        </w:tc>
      </w:tr>
      <w:tr w14:paraId="0F53D9DD">
        <w:tblPrEx>
          <w:tblCellMar>
            <w:top w:w="0" w:type="dxa"/>
            <w:left w:w="108" w:type="dxa"/>
            <w:bottom w:w="0" w:type="dxa"/>
            <w:right w:w="108" w:type="dxa"/>
          </w:tblCellMar>
        </w:tblPrEx>
        <w:trPr>
          <w:trHeight w:val="310" w:hRule="atLeast"/>
        </w:trPr>
        <w:tc>
          <w:tcPr>
            <w:tcW w:w="1021" w:type="dxa"/>
            <w:vMerge w:val="continue"/>
            <w:tcBorders>
              <w:left w:val="single" w:color="auto" w:sz="4" w:space="0"/>
              <w:right w:val="single" w:color="auto" w:sz="4" w:space="0"/>
            </w:tcBorders>
            <w:shd w:val="clear" w:color="auto" w:fill="auto"/>
            <w:noWrap/>
            <w:vAlign w:val="center"/>
          </w:tcPr>
          <w:p w14:paraId="5AA1AD88">
            <w:pPr>
              <w:widowControl/>
              <w:jc w:val="center"/>
              <w:rPr>
                <w:rFonts w:hint="eastAsia" w:ascii="宋体" w:hAnsi="宋体" w:eastAsia="宋体" w:cs="宋体"/>
                <w:color w:val="auto"/>
                <w:kern w:val="0"/>
                <w:sz w:val="24"/>
                <w:szCs w:val="24"/>
                <w:highlight w:val="none"/>
              </w:rPr>
            </w:pPr>
          </w:p>
        </w:tc>
        <w:tc>
          <w:tcPr>
            <w:tcW w:w="1069" w:type="dxa"/>
            <w:tcBorders>
              <w:top w:val="single" w:color="auto" w:sz="4" w:space="0"/>
              <w:left w:val="nil"/>
              <w:bottom w:val="single" w:color="auto" w:sz="4" w:space="0"/>
              <w:right w:val="single" w:color="auto" w:sz="4" w:space="0"/>
            </w:tcBorders>
            <w:shd w:val="clear" w:color="auto" w:fill="auto"/>
            <w:vAlign w:val="center"/>
          </w:tcPr>
          <w:p w14:paraId="078B2F39">
            <w:pPr>
              <w:widowControl/>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巴集所</w:t>
            </w:r>
          </w:p>
        </w:tc>
        <w:tc>
          <w:tcPr>
            <w:tcW w:w="1161" w:type="dxa"/>
            <w:tcBorders>
              <w:top w:val="single" w:color="auto" w:sz="4" w:space="0"/>
              <w:left w:val="nil"/>
              <w:bottom w:val="single" w:color="auto" w:sz="4" w:space="0"/>
              <w:right w:val="single" w:color="auto" w:sz="4" w:space="0"/>
            </w:tcBorders>
            <w:shd w:val="clear" w:color="auto" w:fill="auto"/>
            <w:vAlign w:val="center"/>
          </w:tcPr>
          <w:p w14:paraId="019F5801">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25</w:t>
            </w:r>
          </w:p>
        </w:tc>
        <w:tc>
          <w:tcPr>
            <w:tcW w:w="1416" w:type="dxa"/>
            <w:tcBorders>
              <w:top w:val="single" w:color="auto" w:sz="4" w:space="0"/>
              <w:left w:val="nil"/>
              <w:bottom w:val="single" w:color="auto" w:sz="4" w:space="0"/>
              <w:right w:val="single" w:color="auto" w:sz="4" w:space="0"/>
            </w:tcBorders>
            <w:shd w:val="clear" w:color="auto" w:fill="auto"/>
            <w:vAlign w:val="center"/>
          </w:tcPr>
          <w:p w14:paraId="58FFDDF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20</w:t>
            </w:r>
          </w:p>
        </w:tc>
        <w:tc>
          <w:tcPr>
            <w:tcW w:w="2181" w:type="dxa"/>
            <w:tcBorders>
              <w:top w:val="single" w:color="auto" w:sz="4" w:space="0"/>
              <w:left w:val="nil"/>
              <w:bottom w:val="single" w:color="auto" w:sz="4" w:space="0"/>
              <w:right w:val="single" w:color="auto" w:sz="4" w:space="0"/>
            </w:tcBorders>
            <w:shd w:val="clear" w:color="auto" w:fill="auto"/>
            <w:vAlign w:val="center"/>
          </w:tcPr>
          <w:p w14:paraId="6AF3A1D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21</w:t>
            </w:r>
          </w:p>
        </w:tc>
        <w:tc>
          <w:tcPr>
            <w:tcW w:w="2311" w:type="dxa"/>
            <w:vMerge w:val="continue"/>
            <w:tcBorders>
              <w:left w:val="nil"/>
              <w:right w:val="single" w:color="auto" w:sz="4" w:space="0"/>
            </w:tcBorders>
            <w:shd w:val="clear" w:color="auto" w:fill="auto"/>
            <w:noWrap/>
            <w:vAlign w:val="center"/>
          </w:tcPr>
          <w:p w14:paraId="1F941770">
            <w:pPr>
              <w:widowControl/>
              <w:jc w:val="center"/>
              <w:rPr>
                <w:rFonts w:hint="eastAsia" w:ascii="宋体" w:hAnsi="宋体" w:eastAsia="宋体" w:cs="宋体"/>
                <w:color w:val="auto"/>
                <w:kern w:val="0"/>
                <w:sz w:val="24"/>
                <w:szCs w:val="24"/>
                <w:highlight w:val="none"/>
              </w:rPr>
            </w:pPr>
          </w:p>
        </w:tc>
      </w:tr>
      <w:tr w14:paraId="586B1B15">
        <w:tblPrEx>
          <w:tblCellMar>
            <w:top w:w="0" w:type="dxa"/>
            <w:left w:w="108" w:type="dxa"/>
            <w:bottom w:w="0" w:type="dxa"/>
            <w:right w:w="108" w:type="dxa"/>
          </w:tblCellMar>
        </w:tblPrEx>
        <w:trPr>
          <w:trHeight w:val="310" w:hRule="atLeast"/>
        </w:trPr>
        <w:tc>
          <w:tcPr>
            <w:tcW w:w="1021" w:type="dxa"/>
            <w:vMerge w:val="continue"/>
            <w:tcBorders>
              <w:left w:val="single" w:color="auto" w:sz="4" w:space="0"/>
              <w:right w:val="single" w:color="auto" w:sz="4" w:space="0"/>
            </w:tcBorders>
            <w:shd w:val="clear" w:color="auto" w:fill="auto"/>
            <w:noWrap/>
            <w:vAlign w:val="center"/>
          </w:tcPr>
          <w:p w14:paraId="1ED9B347">
            <w:pPr>
              <w:widowControl/>
              <w:jc w:val="center"/>
              <w:rPr>
                <w:rFonts w:hint="eastAsia" w:ascii="宋体" w:hAnsi="宋体" w:eastAsia="宋体" w:cs="宋体"/>
                <w:color w:val="auto"/>
                <w:kern w:val="0"/>
                <w:sz w:val="24"/>
                <w:szCs w:val="24"/>
                <w:highlight w:val="none"/>
              </w:rPr>
            </w:pPr>
          </w:p>
        </w:tc>
        <w:tc>
          <w:tcPr>
            <w:tcW w:w="1069" w:type="dxa"/>
            <w:tcBorders>
              <w:top w:val="single" w:color="auto" w:sz="4" w:space="0"/>
              <w:left w:val="nil"/>
              <w:bottom w:val="single" w:color="auto" w:sz="4" w:space="0"/>
              <w:right w:val="single" w:color="auto" w:sz="4" w:space="0"/>
            </w:tcBorders>
            <w:shd w:val="clear" w:color="auto" w:fill="auto"/>
            <w:vAlign w:val="center"/>
          </w:tcPr>
          <w:p w14:paraId="20BF62EB">
            <w:pPr>
              <w:widowControl/>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吴台所</w:t>
            </w:r>
          </w:p>
        </w:tc>
        <w:tc>
          <w:tcPr>
            <w:tcW w:w="1161" w:type="dxa"/>
            <w:tcBorders>
              <w:top w:val="single" w:color="auto" w:sz="4" w:space="0"/>
              <w:left w:val="nil"/>
              <w:bottom w:val="single" w:color="auto" w:sz="4" w:space="0"/>
              <w:right w:val="single" w:color="auto" w:sz="4" w:space="0"/>
            </w:tcBorders>
            <w:shd w:val="clear" w:color="auto" w:fill="auto"/>
            <w:vAlign w:val="center"/>
          </w:tcPr>
          <w:p w14:paraId="694286B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25</w:t>
            </w:r>
          </w:p>
        </w:tc>
        <w:tc>
          <w:tcPr>
            <w:tcW w:w="1416" w:type="dxa"/>
            <w:tcBorders>
              <w:top w:val="single" w:color="auto" w:sz="4" w:space="0"/>
              <w:left w:val="nil"/>
              <w:bottom w:val="single" w:color="auto" w:sz="4" w:space="0"/>
              <w:right w:val="single" w:color="auto" w:sz="4" w:space="0"/>
            </w:tcBorders>
            <w:shd w:val="clear" w:color="auto" w:fill="auto"/>
            <w:vAlign w:val="center"/>
          </w:tcPr>
          <w:p w14:paraId="38372746">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20</w:t>
            </w:r>
          </w:p>
        </w:tc>
        <w:tc>
          <w:tcPr>
            <w:tcW w:w="2181" w:type="dxa"/>
            <w:tcBorders>
              <w:top w:val="single" w:color="auto" w:sz="4" w:space="0"/>
              <w:left w:val="nil"/>
              <w:bottom w:val="single" w:color="auto" w:sz="4" w:space="0"/>
              <w:right w:val="single" w:color="auto" w:sz="4" w:space="0"/>
            </w:tcBorders>
            <w:shd w:val="clear" w:color="auto" w:fill="auto"/>
            <w:vAlign w:val="center"/>
          </w:tcPr>
          <w:p w14:paraId="36EA6785">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21</w:t>
            </w:r>
          </w:p>
        </w:tc>
        <w:tc>
          <w:tcPr>
            <w:tcW w:w="2311" w:type="dxa"/>
            <w:vMerge w:val="continue"/>
            <w:tcBorders>
              <w:left w:val="nil"/>
              <w:right w:val="single" w:color="auto" w:sz="4" w:space="0"/>
            </w:tcBorders>
            <w:shd w:val="clear" w:color="auto" w:fill="auto"/>
            <w:noWrap/>
            <w:vAlign w:val="center"/>
          </w:tcPr>
          <w:p w14:paraId="599230E8">
            <w:pPr>
              <w:widowControl/>
              <w:jc w:val="center"/>
              <w:rPr>
                <w:rFonts w:hint="eastAsia" w:ascii="宋体" w:hAnsi="宋体" w:eastAsia="宋体" w:cs="宋体"/>
                <w:color w:val="auto"/>
                <w:kern w:val="0"/>
                <w:sz w:val="24"/>
                <w:szCs w:val="24"/>
                <w:highlight w:val="none"/>
              </w:rPr>
            </w:pPr>
          </w:p>
        </w:tc>
      </w:tr>
      <w:tr w14:paraId="247967C8">
        <w:tblPrEx>
          <w:tblCellMar>
            <w:top w:w="0" w:type="dxa"/>
            <w:left w:w="108" w:type="dxa"/>
            <w:bottom w:w="0" w:type="dxa"/>
            <w:right w:w="108" w:type="dxa"/>
          </w:tblCellMar>
        </w:tblPrEx>
        <w:trPr>
          <w:trHeight w:val="310" w:hRule="atLeast"/>
        </w:trPr>
        <w:tc>
          <w:tcPr>
            <w:tcW w:w="1021" w:type="dxa"/>
            <w:vMerge w:val="continue"/>
            <w:tcBorders>
              <w:left w:val="single" w:color="auto" w:sz="4" w:space="0"/>
              <w:right w:val="single" w:color="auto" w:sz="4" w:space="0"/>
            </w:tcBorders>
            <w:shd w:val="clear" w:color="auto" w:fill="auto"/>
            <w:noWrap/>
            <w:vAlign w:val="center"/>
          </w:tcPr>
          <w:p w14:paraId="56877BA5">
            <w:pPr>
              <w:widowControl/>
              <w:jc w:val="center"/>
              <w:rPr>
                <w:rFonts w:hint="eastAsia" w:ascii="宋体" w:hAnsi="宋体" w:eastAsia="宋体" w:cs="宋体"/>
                <w:color w:val="auto"/>
                <w:kern w:val="0"/>
                <w:sz w:val="24"/>
                <w:szCs w:val="24"/>
                <w:highlight w:val="none"/>
              </w:rPr>
            </w:pPr>
          </w:p>
        </w:tc>
        <w:tc>
          <w:tcPr>
            <w:tcW w:w="1069" w:type="dxa"/>
            <w:tcBorders>
              <w:top w:val="single" w:color="auto" w:sz="4" w:space="0"/>
              <w:left w:val="nil"/>
              <w:bottom w:val="single" w:color="auto" w:sz="4" w:space="0"/>
              <w:right w:val="single" w:color="auto" w:sz="4" w:space="0"/>
            </w:tcBorders>
            <w:shd w:val="clear" w:color="auto" w:fill="auto"/>
            <w:vAlign w:val="center"/>
          </w:tcPr>
          <w:p w14:paraId="269F3FEF">
            <w:pPr>
              <w:widowControl/>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胡集所</w:t>
            </w:r>
          </w:p>
        </w:tc>
        <w:tc>
          <w:tcPr>
            <w:tcW w:w="1161" w:type="dxa"/>
            <w:tcBorders>
              <w:top w:val="single" w:color="auto" w:sz="4" w:space="0"/>
              <w:left w:val="nil"/>
              <w:bottom w:val="single" w:color="auto" w:sz="4" w:space="0"/>
              <w:right w:val="single" w:color="auto" w:sz="4" w:space="0"/>
            </w:tcBorders>
            <w:shd w:val="clear" w:color="auto" w:fill="auto"/>
            <w:vAlign w:val="center"/>
          </w:tcPr>
          <w:p w14:paraId="4664893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25</w:t>
            </w:r>
          </w:p>
        </w:tc>
        <w:tc>
          <w:tcPr>
            <w:tcW w:w="1416" w:type="dxa"/>
            <w:tcBorders>
              <w:top w:val="single" w:color="auto" w:sz="4" w:space="0"/>
              <w:left w:val="nil"/>
              <w:bottom w:val="single" w:color="auto" w:sz="4" w:space="0"/>
              <w:right w:val="single" w:color="auto" w:sz="4" w:space="0"/>
            </w:tcBorders>
            <w:shd w:val="clear" w:color="auto" w:fill="auto"/>
            <w:vAlign w:val="center"/>
          </w:tcPr>
          <w:p w14:paraId="19F1EC10">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20</w:t>
            </w:r>
          </w:p>
        </w:tc>
        <w:tc>
          <w:tcPr>
            <w:tcW w:w="2181" w:type="dxa"/>
            <w:tcBorders>
              <w:top w:val="single" w:color="auto" w:sz="4" w:space="0"/>
              <w:left w:val="nil"/>
              <w:bottom w:val="single" w:color="auto" w:sz="4" w:space="0"/>
              <w:right w:val="single" w:color="auto" w:sz="4" w:space="0"/>
            </w:tcBorders>
            <w:shd w:val="clear" w:color="auto" w:fill="auto"/>
            <w:vAlign w:val="center"/>
          </w:tcPr>
          <w:p w14:paraId="70F9E1C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21</w:t>
            </w:r>
          </w:p>
        </w:tc>
        <w:tc>
          <w:tcPr>
            <w:tcW w:w="2311" w:type="dxa"/>
            <w:vMerge w:val="continue"/>
            <w:tcBorders>
              <w:left w:val="nil"/>
              <w:right w:val="single" w:color="auto" w:sz="4" w:space="0"/>
            </w:tcBorders>
            <w:shd w:val="clear" w:color="auto" w:fill="auto"/>
            <w:noWrap/>
            <w:vAlign w:val="center"/>
          </w:tcPr>
          <w:p w14:paraId="3D5853F5">
            <w:pPr>
              <w:widowControl/>
              <w:jc w:val="center"/>
              <w:rPr>
                <w:rFonts w:hint="eastAsia" w:ascii="宋体" w:hAnsi="宋体" w:eastAsia="宋体" w:cs="宋体"/>
                <w:color w:val="auto"/>
                <w:kern w:val="0"/>
                <w:sz w:val="24"/>
                <w:szCs w:val="24"/>
                <w:highlight w:val="none"/>
              </w:rPr>
            </w:pPr>
          </w:p>
        </w:tc>
      </w:tr>
      <w:tr w14:paraId="6BAE33C2">
        <w:tblPrEx>
          <w:tblCellMar>
            <w:top w:w="0" w:type="dxa"/>
            <w:left w:w="108" w:type="dxa"/>
            <w:bottom w:w="0" w:type="dxa"/>
            <w:right w:w="108" w:type="dxa"/>
          </w:tblCellMar>
        </w:tblPrEx>
        <w:trPr>
          <w:trHeight w:val="309" w:hRule="atLeast"/>
        </w:trPr>
        <w:tc>
          <w:tcPr>
            <w:tcW w:w="1021" w:type="dxa"/>
            <w:vMerge w:val="continue"/>
            <w:tcBorders>
              <w:left w:val="single" w:color="auto" w:sz="4" w:space="0"/>
              <w:right w:val="single" w:color="auto" w:sz="4" w:space="0"/>
            </w:tcBorders>
            <w:shd w:val="clear" w:color="auto" w:fill="auto"/>
            <w:noWrap/>
            <w:vAlign w:val="center"/>
          </w:tcPr>
          <w:p w14:paraId="608F1EA0">
            <w:pPr>
              <w:widowControl/>
              <w:jc w:val="center"/>
              <w:rPr>
                <w:rFonts w:hint="eastAsia" w:ascii="宋体" w:hAnsi="宋体" w:eastAsia="宋体" w:cs="宋体"/>
                <w:color w:val="auto"/>
                <w:kern w:val="0"/>
                <w:sz w:val="24"/>
                <w:szCs w:val="24"/>
                <w:highlight w:val="none"/>
              </w:rPr>
            </w:pPr>
          </w:p>
        </w:tc>
        <w:tc>
          <w:tcPr>
            <w:tcW w:w="1069" w:type="dxa"/>
            <w:tcBorders>
              <w:top w:val="single" w:color="auto" w:sz="4" w:space="0"/>
              <w:left w:val="nil"/>
              <w:bottom w:val="single" w:color="auto" w:sz="4" w:space="0"/>
              <w:right w:val="single" w:color="auto" w:sz="4" w:space="0"/>
            </w:tcBorders>
            <w:shd w:val="clear" w:color="auto" w:fill="auto"/>
            <w:vAlign w:val="center"/>
          </w:tcPr>
          <w:p w14:paraId="6D96C39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双楼所</w:t>
            </w:r>
          </w:p>
        </w:tc>
        <w:tc>
          <w:tcPr>
            <w:tcW w:w="1161" w:type="dxa"/>
            <w:tcBorders>
              <w:top w:val="single" w:color="auto" w:sz="4" w:space="0"/>
              <w:left w:val="nil"/>
              <w:bottom w:val="single" w:color="auto" w:sz="4" w:space="0"/>
              <w:right w:val="single" w:color="auto" w:sz="4" w:space="0"/>
            </w:tcBorders>
            <w:shd w:val="clear" w:color="auto" w:fill="auto"/>
            <w:vAlign w:val="center"/>
          </w:tcPr>
          <w:p w14:paraId="4BDA69B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25</w:t>
            </w:r>
          </w:p>
        </w:tc>
        <w:tc>
          <w:tcPr>
            <w:tcW w:w="1416" w:type="dxa"/>
            <w:tcBorders>
              <w:top w:val="single" w:color="auto" w:sz="4" w:space="0"/>
              <w:left w:val="nil"/>
              <w:bottom w:val="single" w:color="auto" w:sz="4" w:space="0"/>
              <w:right w:val="single" w:color="auto" w:sz="4" w:space="0"/>
            </w:tcBorders>
            <w:shd w:val="clear" w:color="auto" w:fill="auto"/>
            <w:vAlign w:val="center"/>
          </w:tcPr>
          <w:p w14:paraId="1517A1D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20</w:t>
            </w:r>
          </w:p>
        </w:tc>
        <w:tc>
          <w:tcPr>
            <w:tcW w:w="2181" w:type="dxa"/>
            <w:tcBorders>
              <w:top w:val="single" w:color="auto" w:sz="4" w:space="0"/>
              <w:left w:val="nil"/>
              <w:bottom w:val="single" w:color="auto" w:sz="4" w:space="0"/>
              <w:right w:val="single" w:color="auto" w:sz="4" w:space="0"/>
            </w:tcBorders>
            <w:shd w:val="clear" w:color="auto" w:fill="auto"/>
            <w:vAlign w:val="center"/>
          </w:tcPr>
          <w:p w14:paraId="46A7E289">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21</w:t>
            </w:r>
          </w:p>
        </w:tc>
        <w:tc>
          <w:tcPr>
            <w:tcW w:w="2311" w:type="dxa"/>
            <w:vMerge w:val="continue"/>
            <w:tcBorders>
              <w:left w:val="nil"/>
              <w:right w:val="single" w:color="auto" w:sz="4" w:space="0"/>
            </w:tcBorders>
            <w:shd w:val="clear" w:color="auto" w:fill="auto"/>
            <w:noWrap/>
            <w:vAlign w:val="center"/>
          </w:tcPr>
          <w:p w14:paraId="31AA752A">
            <w:pPr>
              <w:widowControl/>
              <w:jc w:val="center"/>
              <w:rPr>
                <w:rFonts w:hint="eastAsia" w:ascii="宋体" w:hAnsi="宋体" w:eastAsia="宋体" w:cs="宋体"/>
                <w:color w:val="auto"/>
                <w:kern w:val="0"/>
                <w:sz w:val="24"/>
                <w:szCs w:val="24"/>
                <w:highlight w:val="none"/>
              </w:rPr>
            </w:pPr>
          </w:p>
        </w:tc>
      </w:tr>
      <w:tr w14:paraId="68D5386C">
        <w:tblPrEx>
          <w:tblCellMar>
            <w:top w:w="0" w:type="dxa"/>
            <w:left w:w="108" w:type="dxa"/>
            <w:bottom w:w="0" w:type="dxa"/>
            <w:right w:w="108" w:type="dxa"/>
          </w:tblCellMar>
        </w:tblPrEx>
        <w:trPr>
          <w:trHeight w:val="309" w:hRule="atLeast"/>
        </w:trPr>
        <w:tc>
          <w:tcPr>
            <w:tcW w:w="1021" w:type="dxa"/>
            <w:vMerge w:val="continue"/>
            <w:tcBorders>
              <w:left w:val="single" w:color="auto" w:sz="4" w:space="0"/>
              <w:bottom w:val="single" w:color="auto" w:sz="4" w:space="0"/>
              <w:right w:val="single" w:color="auto" w:sz="4" w:space="0"/>
            </w:tcBorders>
            <w:shd w:val="clear" w:color="auto" w:fill="auto"/>
            <w:noWrap/>
            <w:vAlign w:val="center"/>
          </w:tcPr>
          <w:p w14:paraId="5613884D">
            <w:pPr>
              <w:widowControl/>
              <w:jc w:val="center"/>
              <w:rPr>
                <w:rFonts w:hint="eastAsia" w:ascii="宋体" w:hAnsi="宋体" w:eastAsia="宋体" w:cs="宋体"/>
                <w:color w:val="auto"/>
                <w:kern w:val="0"/>
                <w:sz w:val="24"/>
                <w:szCs w:val="24"/>
                <w:highlight w:val="none"/>
              </w:rPr>
            </w:pPr>
          </w:p>
        </w:tc>
        <w:tc>
          <w:tcPr>
            <w:tcW w:w="1069" w:type="dxa"/>
            <w:tcBorders>
              <w:top w:val="single" w:color="auto" w:sz="4" w:space="0"/>
              <w:left w:val="nil"/>
              <w:bottom w:val="single" w:color="auto" w:sz="4" w:space="0"/>
              <w:right w:val="single" w:color="auto" w:sz="4" w:space="0"/>
            </w:tcBorders>
            <w:shd w:val="clear" w:color="auto" w:fill="auto"/>
            <w:vAlign w:val="center"/>
          </w:tcPr>
          <w:p w14:paraId="4922E08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宁平所</w:t>
            </w:r>
          </w:p>
        </w:tc>
        <w:tc>
          <w:tcPr>
            <w:tcW w:w="1161" w:type="dxa"/>
            <w:tcBorders>
              <w:top w:val="single" w:color="auto" w:sz="4" w:space="0"/>
              <w:left w:val="nil"/>
              <w:bottom w:val="single" w:color="auto" w:sz="4" w:space="0"/>
              <w:right w:val="single" w:color="auto" w:sz="4" w:space="0"/>
            </w:tcBorders>
            <w:shd w:val="clear" w:color="auto" w:fill="auto"/>
            <w:vAlign w:val="center"/>
          </w:tcPr>
          <w:p w14:paraId="4956EAA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25</w:t>
            </w:r>
          </w:p>
        </w:tc>
        <w:tc>
          <w:tcPr>
            <w:tcW w:w="1416" w:type="dxa"/>
            <w:tcBorders>
              <w:top w:val="single" w:color="auto" w:sz="4" w:space="0"/>
              <w:left w:val="nil"/>
              <w:bottom w:val="single" w:color="auto" w:sz="4" w:space="0"/>
              <w:right w:val="single" w:color="auto" w:sz="4" w:space="0"/>
            </w:tcBorders>
            <w:shd w:val="clear" w:color="auto" w:fill="auto"/>
            <w:vAlign w:val="center"/>
          </w:tcPr>
          <w:p w14:paraId="20D1F18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20</w:t>
            </w:r>
          </w:p>
        </w:tc>
        <w:tc>
          <w:tcPr>
            <w:tcW w:w="2181" w:type="dxa"/>
            <w:tcBorders>
              <w:top w:val="single" w:color="auto" w:sz="4" w:space="0"/>
              <w:left w:val="nil"/>
              <w:bottom w:val="single" w:color="auto" w:sz="4" w:space="0"/>
              <w:right w:val="single" w:color="auto" w:sz="4" w:space="0"/>
            </w:tcBorders>
            <w:shd w:val="clear" w:color="auto" w:fill="auto"/>
            <w:vAlign w:val="center"/>
          </w:tcPr>
          <w:p w14:paraId="3FA0AA5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21</w:t>
            </w:r>
          </w:p>
        </w:tc>
        <w:tc>
          <w:tcPr>
            <w:tcW w:w="2311" w:type="dxa"/>
            <w:vMerge w:val="continue"/>
            <w:tcBorders>
              <w:left w:val="nil"/>
              <w:bottom w:val="single" w:color="auto" w:sz="4" w:space="0"/>
              <w:right w:val="single" w:color="auto" w:sz="4" w:space="0"/>
            </w:tcBorders>
            <w:shd w:val="clear" w:color="auto" w:fill="auto"/>
            <w:noWrap/>
            <w:vAlign w:val="center"/>
          </w:tcPr>
          <w:p w14:paraId="4D347ED9">
            <w:pPr>
              <w:widowControl/>
              <w:jc w:val="center"/>
              <w:rPr>
                <w:rFonts w:hint="eastAsia" w:ascii="宋体" w:hAnsi="宋体" w:eastAsia="宋体" w:cs="宋体"/>
                <w:color w:val="auto"/>
                <w:kern w:val="0"/>
                <w:sz w:val="24"/>
                <w:szCs w:val="24"/>
                <w:highlight w:val="none"/>
              </w:rPr>
            </w:pPr>
          </w:p>
        </w:tc>
      </w:tr>
    </w:tbl>
    <w:p w14:paraId="2A544C4E">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2包检测内容：</w:t>
      </w:r>
    </w:p>
    <w:tbl>
      <w:tblPr>
        <w:tblStyle w:val="26"/>
        <w:tblW w:w="9206" w:type="dxa"/>
        <w:tblInd w:w="88" w:type="dxa"/>
        <w:tblLayout w:type="autofit"/>
        <w:tblCellMar>
          <w:top w:w="0" w:type="dxa"/>
          <w:left w:w="108" w:type="dxa"/>
          <w:bottom w:w="0" w:type="dxa"/>
          <w:right w:w="108" w:type="dxa"/>
        </w:tblCellMar>
      </w:tblPr>
      <w:tblGrid>
        <w:gridCol w:w="650"/>
        <w:gridCol w:w="1539"/>
        <w:gridCol w:w="7017"/>
      </w:tblGrid>
      <w:tr w14:paraId="0C56644A">
        <w:tblPrEx>
          <w:tblCellMar>
            <w:top w:w="0" w:type="dxa"/>
            <w:left w:w="108" w:type="dxa"/>
            <w:bottom w:w="0" w:type="dxa"/>
            <w:right w:w="108" w:type="dxa"/>
          </w:tblCellMar>
        </w:tblPrEx>
        <w:trPr>
          <w:trHeight w:val="665" w:hRule="atLeast"/>
        </w:trPr>
        <w:tc>
          <w:tcPr>
            <w:tcW w:w="6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000953">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1539" w:type="dxa"/>
            <w:tcBorders>
              <w:top w:val="single" w:color="auto" w:sz="4" w:space="0"/>
              <w:left w:val="nil"/>
              <w:bottom w:val="single" w:color="auto" w:sz="4" w:space="0"/>
              <w:right w:val="single" w:color="auto" w:sz="4" w:space="0"/>
            </w:tcBorders>
            <w:shd w:val="clear" w:color="auto" w:fill="auto"/>
            <w:vAlign w:val="center"/>
          </w:tcPr>
          <w:p w14:paraId="3F72AFCF">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服务内容</w:t>
            </w:r>
          </w:p>
        </w:tc>
        <w:tc>
          <w:tcPr>
            <w:tcW w:w="7017" w:type="dxa"/>
            <w:tcBorders>
              <w:top w:val="single" w:color="auto" w:sz="4" w:space="0"/>
              <w:left w:val="nil"/>
              <w:bottom w:val="single" w:color="auto" w:sz="4" w:space="0"/>
              <w:right w:val="single" w:color="auto" w:sz="4" w:space="0"/>
            </w:tcBorders>
            <w:shd w:val="clear" w:color="auto" w:fill="auto"/>
            <w:noWrap/>
            <w:vAlign w:val="center"/>
          </w:tcPr>
          <w:p w14:paraId="2DCF7F60">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检测项目</w:t>
            </w:r>
          </w:p>
        </w:tc>
      </w:tr>
      <w:tr w14:paraId="020E659D">
        <w:tblPrEx>
          <w:tblCellMar>
            <w:top w:w="0" w:type="dxa"/>
            <w:left w:w="108" w:type="dxa"/>
            <w:bottom w:w="0" w:type="dxa"/>
            <w:right w:w="108" w:type="dxa"/>
          </w:tblCellMar>
        </w:tblPrEx>
        <w:trPr>
          <w:trHeight w:val="1513" w:hRule="atLeast"/>
        </w:trPr>
        <w:tc>
          <w:tcPr>
            <w:tcW w:w="650" w:type="dxa"/>
            <w:tcBorders>
              <w:top w:val="nil"/>
              <w:left w:val="single" w:color="auto" w:sz="4" w:space="0"/>
              <w:bottom w:val="single" w:color="auto" w:sz="4" w:space="0"/>
              <w:right w:val="single" w:color="auto" w:sz="4" w:space="0"/>
            </w:tcBorders>
            <w:shd w:val="clear" w:color="auto" w:fill="auto"/>
            <w:noWrap/>
            <w:vAlign w:val="center"/>
          </w:tcPr>
          <w:p w14:paraId="6952194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539" w:type="dxa"/>
            <w:tcBorders>
              <w:top w:val="nil"/>
              <w:left w:val="nil"/>
              <w:bottom w:val="single" w:color="auto" w:sz="4" w:space="0"/>
              <w:right w:val="single" w:color="auto" w:sz="4" w:space="0"/>
            </w:tcBorders>
            <w:shd w:val="clear" w:color="auto" w:fill="auto"/>
            <w:vAlign w:val="center"/>
          </w:tcPr>
          <w:p w14:paraId="0DA009E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食品安全抽样监测项目（餐饮）</w:t>
            </w:r>
          </w:p>
        </w:tc>
        <w:tc>
          <w:tcPr>
            <w:tcW w:w="7017" w:type="dxa"/>
            <w:tcBorders>
              <w:top w:val="nil"/>
              <w:left w:val="nil"/>
              <w:bottom w:val="single" w:color="auto" w:sz="4" w:space="0"/>
              <w:right w:val="single" w:color="auto" w:sz="4" w:space="0"/>
            </w:tcBorders>
            <w:shd w:val="clear" w:color="auto" w:fill="auto"/>
            <w:vAlign w:val="center"/>
          </w:tcPr>
          <w:p w14:paraId="4FA82E8B">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检验项目：苯甲酸及其钠盐 (以苯甲酸计) 、山梨酸及其钾盐 (以山梨酸计) 、糖精钠 (以糖精计)、铝的残留量(干样品， 以 Al 计)、铬(以 Cr 计)、黄曲霉毒素 B1、阴离子合成洗涤剂(以十二烷基苯磺酸钠计) 、大肠菌群、酸价 (以脂肪计)  (KOH) 、过氧化值 (以脂肪计) 、 脱氢乙酸及其钠盐(以脱氢乙酸计) 、防腐剂混合使用时各自用量占其最大使用量的比例之和等项目。根据产品的种类在以上项目中确定检验项目。</w:t>
            </w:r>
          </w:p>
        </w:tc>
      </w:tr>
      <w:tr w14:paraId="5256786C">
        <w:tblPrEx>
          <w:tblCellMar>
            <w:top w:w="0" w:type="dxa"/>
            <w:left w:w="108" w:type="dxa"/>
            <w:bottom w:w="0" w:type="dxa"/>
            <w:right w:w="108" w:type="dxa"/>
          </w:tblCellMar>
        </w:tblPrEx>
        <w:trPr>
          <w:trHeight w:val="2114" w:hRule="atLeast"/>
        </w:trPr>
        <w:tc>
          <w:tcPr>
            <w:tcW w:w="650" w:type="dxa"/>
            <w:tcBorders>
              <w:top w:val="nil"/>
              <w:left w:val="single" w:color="auto" w:sz="4" w:space="0"/>
              <w:bottom w:val="single" w:color="auto" w:sz="4" w:space="0"/>
              <w:right w:val="single" w:color="auto" w:sz="4" w:space="0"/>
            </w:tcBorders>
            <w:shd w:val="clear" w:color="auto" w:fill="auto"/>
            <w:noWrap/>
            <w:vAlign w:val="center"/>
          </w:tcPr>
          <w:p w14:paraId="7D5CE6B6">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539" w:type="dxa"/>
            <w:tcBorders>
              <w:top w:val="nil"/>
              <w:left w:val="nil"/>
              <w:bottom w:val="single" w:color="auto" w:sz="4" w:space="0"/>
              <w:right w:val="single" w:color="auto" w:sz="4" w:space="0"/>
            </w:tcBorders>
            <w:shd w:val="clear" w:color="auto" w:fill="auto"/>
            <w:vAlign w:val="center"/>
          </w:tcPr>
          <w:p w14:paraId="700BDA8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食品安全抽样监测项目（食用农产品）</w:t>
            </w:r>
          </w:p>
        </w:tc>
        <w:tc>
          <w:tcPr>
            <w:tcW w:w="7017" w:type="dxa"/>
            <w:tcBorders>
              <w:top w:val="nil"/>
              <w:left w:val="nil"/>
              <w:bottom w:val="single" w:color="auto" w:sz="4" w:space="0"/>
              <w:right w:val="single" w:color="auto" w:sz="4" w:space="0"/>
            </w:tcBorders>
            <w:shd w:val="clear" w:color="auto" w:fill="auto"/>
            <w:vAlign w:val="center"/>
          </w:tcPr>
          <w:p w14:paraId="11CBCBCF">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检验项目：挥发性盐基氮、呋喃唑酮代谢物、呋喃西林代谢物、氯霉素、五氯酚酸钠(以五氯酚 计) 、克伦特罗、莱克多巴胺、沙丁胺醇、喹乙醇、恩诺沙星、替米考星、磺胺类 (总 量) 、甲氧苄啶、氟苯尼考、多西环素、土霉素、地塞米松、甲硝唑、氯丙嗪、土霉 素/金霉素/四环素(组合含量)、铅 (以 Pb 计) 、镉 (以 Cd 计) 、铬 (以 Cr 计) 、阿维菌素、毒死蜱、氟虫腈、腐霉 利、甲氨基阿维菌素苯甲酸盐、甲拌磷、克百威、乐果、六六六、氯氟氰菊酯和高效 氯氟氰菊酯、氯氰菊酯和高效氯氰菊酯、氧乐果、乙酰甲胺磷等项目，根据产品的种类在以上项目中确定检验项目。</w:t>
            </w:r>
          </w:p>
        </w:tc>
      </w:tr>
      <w:tr w14:paraId="697B07A0">
        <w:tblPrEx>
          <w:tblCellMar>
            <w:top w:w="0" w:type="dxa"/>
            <w:left w:w="108" w:type="dxa"/>
            <w:bottom w:w="0" w:type="dxa"/>
            <w:right w:w="108" w:type="dxa"/>
          </w:tblCellMar>
        </w:tblPrEx>
        <w:trPr>
          <w:trHeight w:val="2124" w:hRule="atLeast"/>
        </w:trPr>
        <w:tc>
          <w:tcPr>
            <w:tcW w:w="650" w:type="dxa"/>
            <w:tcBorders>
              <w:top w:val="nil"/>
              <w:left w:val="single" w:color="auto" w:sz="4" w:space="0"/>
              <w:bottom w:val="single" w:color="auto" w:sz="4" w:space="0"/>
              <w:right w:val="single" w:color="auto" w:sz="4" w:space="0"/>
            </w:tcBorders>
            <w:shd w:val="clear" w:color="auto" w:fill="auto"/>
            <w:noWrap/>
            <w:vAlign w:val="center"/>
          </w:tcPr>
          <w:p w14:paraId="5A56B83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1539" w:type="dxa"/>
            <w:tcBorders>
              <w:top w:val="nil"/>
              <w:left w:val="nil"/>
              <w:bottom w:val="single" w:color="auto" w:sz="4" w:space="0"/>
              <w:right w:val="single" w:color="auto" w:sz="4" w:space="0"/>
            </w:tcBorders>
            <w:shd w:val="clear" w:color="auto" w:fill="auto"/>
            <w:vAlign w:val="center"/>
          </w:tcPr>
          <w:p w14:paraId="4BE65F9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食品安全抽样监测项目（专项抽检及小作坊）</w:t>
            </w:r>
          </w:p>
        </w:tc>
        <w:tc>
          <w:tcPr>
            <w:tcW w:w="7017" w:type="dxa"/>
            <w:tcBorders>
              <w:top w:val="nil"/>
              <w:left w:val="nil"/>
              <w:bottom w:val="single" w:color="auto" w:sz="4" w:space="0"/>
              <w:right w:val="single" w:color="auto" w:sz="4" w:space="0"/>
            </w:tcBorders>
            <w:shd w:val="clear" w:color="auto" w:fill="auto"/>
            <w:vAlign w:val="center"/>
          </w:tcPr>
          <w:p w14:paraId="5FEEDC01">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检验项目：铅(以 Pb 计) 、镉(以Cd 计) 、无机砷(以 As 计)  、苯并[a]芘、玉米赤霉烯酮、脱氧雪腐镰刀菌烯醇、赭曲霉毒素 A、黄 曲霉毒素 B1 、过氧化苯甲酰、偶氮甲酰胺、二氧化碳气容量、苯甲酸及其钠盐 (以苯甲酸计) 、山梨酸及其钾盐 (以山梨酸计) 、 防腐剂混合使用时各自用量占其最大使用量的比例之和、甜蜜素(以环己基氨基磺酸 计) 、菌落总数、霉菌、酵母、蛋白质、酸度、三聚氰胺、丙二醇、沙门氏菌、金黄色葡萄球菌、菌落总数、大肠菌群等项目。根据产品的种类在以上项目中确定检验项目。</w:t>
            </w:r>
          </w:p>
        </w:tc>
      </w:tr>
    </w:tbl>
    <w:p w14:paraId="27C5E73A">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备注：以上费用包含抽检产生的一切费用、样品购置费用和样品检验费用。</w:t>
      </w:r>
    </w:p>
    <w:p w14:paraId="2D86DA24">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3EF0629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3包采购内容：</w:t>
      </w:r>
    </w:p>
    <w:tbl>
      <w:tblPr>
        <w:tblStyle w:val="26"/>
        <w:tblW w:w="9138" w:type="dxa"/>
        <w:tblInd w:w="90" w:type="dxa"/>
        <w:tblLayout w:type="autofit"/>
        <w:tblCellMar>
          <w:top w:w="0" w:type="dxa"/>
          <w:left w:w="108" w:type="dxa"/>
          <w:bottom w:w="0" w:type="dxa"/>
          <w:right w:w="108" w:type="dxa"/>
        </w:tblCellMar>
      </w:tblPr>
      <w:tblGrid>
        <w:gridCol w:w="1043"/>
        <w:gridCol w:w="1229"/>
        <w:gridCol w:w="1180"/>
        <w:gridCol w:w="1447"/>
        <w:gridCol w:w="2225"/>
        <w:gridCol w:w="16"/>
        <w:gridCol w:w="1982"/>
        <w:gridCol w:w="16"/>
      </w:tblGrid>
      <w:tr w14:paraId="536FA117">
        <w:tblPrEx>
          <w:tblCellMar>
            <w:top w:w="0" w:type="dxa"/>
            <w:left w:w="108" w:type="dxa"/>
            <w:bottom w:w="0" w:type="dxa"/>
            <w:right w:w="108" w:type="dxa"/>
          </w:tblCellMar>
        </w:tblPrEx>
        <w:trPr>
          <w:trHeight w:val="795" w:hRule="atLeast"/>
        </w:trPr>
        <w:tc>
          <w:tcPr>
            <w:tcW w:w="10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487E9E">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包  号</w:t>
            </w:r>
          </w:p>
        </w:tc>
        <w:tc>
          <w:tcPr>
            <w:tcW w:w="6097" w:type="dxa"/>
            <w:gridSpan w:val="5"/>
            <w:tcBorders>
              <w:top w:val="single" w:color="auto" w:sz="4" w:space="0"/>
              <w:left w:val="nil"/>
              <w:bottom w:val="single" w:color="auto" w:sz="4" w:space="0"/>
              <w:right w:val="single" w:color="auto" w:sz="4" w:space="0"/>
            </w:tcBorders>
            <w:shd w:val="clear" w:color="auto" w:fill="auto"/>
            <w:vAlign w:val="center"/>
          </w:tcPr>
          <w:p w14:paraId="4C2E6451">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服务项目和内容</w:t>
            </w:r>
          </w:p>
        </w:tc>
        <w:tc>
          <w:tcPr>
            <w:tcW w:w="1998" w:type="dxa"/>
            <w:gridSpan w:val="2"/>
            <w:tcBorders>
              <w:top w:val="single" w:color="auto" w:sz="4" w:space="0"/>
              <w:left w:val="nil"/>
              <w:bottom w:val="single" w:color="auto" w:sz="4" w:space="0"/>
              <w:right w:val="single" w:color="auto" w:sz="4" w:space="0"/>
            </w:tcBorders>
            <w:shd w:val="clear" w:color="auto" w:fill="auto"/>
            <w:vAlign w:val="center"/>
          </w:tcPr>
          <w:p w14:paraId="2ACB4700">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抽检监测数量</w:t>
            </w:r>
          </w:p>
        </w:tc>
      </w:tr>
      <w:tr w14:paraId="0CC532B9">
        <w:tblPrEx>
          <w:tblCellMar>
            <w:top w:w="0" w:type="dxa"/>
            <w:left w:w="108" w:type="dxa"/>
            <w:bottom w:w="0" w:type="dxa"/>
            <w:right w:w="108" w:type="dxa"/>
          </w:tblCellMar>
        </w:tblPrEx>
        <w:trPr>
          <w:trHeight w:val="316" w:hRule="atLeast"/>
        </w:trPr>
        <w:tc>
          <w:tcPr>
            <w:tcW w:w="1043" w:type="dxa"/>
            <w:vMerge w:val="restart"/>
            <w:tcBorders>
              <w:top w:val="nil"/>
              <w:left w:val="single" w:color="auto" w:sz="4" w:space="0"/>
              <w:right w:val="single" w:color="auto" w:sz="4" w:space="0"/>
            </w:tcBorders>
            <w:shd w:val="clear" w:color="auto" w:fill="auto"/>
            <w:noWrap/>
            <w:vAlign w:val="center"/>
          </w:tcPr>
          <w:p w14:paraId="7C83E43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3包</w:t>
            </w:r>
          </w:p>
        </w:tc>
        <w:tc>
          <w:tcPr>
            <w:tcW w:w="6097" w:type="dxa"/>
            <w:gridSpan w:val="5"/>
            <w:tcBorders>
              <w:top w:val="nil"/>
              <w:left w:val="nil"/>
              <w:bottom w:val="single" w:color="auto" w:sz="4" w:space="0"/>
              <w:right w:val="single" w:color="auto" w:sz="4" w:space="0"/>
            </w:tcBorders>
            <w:shd w:val="clear" w:color="auto" w:fill="auto"/>
            <w:vAlign w:val="center"/>
          </w:tcPr>
          <w:p w14:paraId="6AD80626">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抽检批次</w:t>
            </w:r>
          </w:p>
        </w:tc>
        <w:tc>
          <w:tcPr>
            <w:tcW w:w="1998" w:type="dxa"/>
            <w:gridSpan w:val="2"/>
            <w:tcBorders>
              <w:top w:val="nil"/>
              <w:left w:val="nil"/>
              <w:right w:val="single" w:color="auto" w:sz="4" w:space="0"/>
            </w:tcBorders>
            <w:shd w:val="clear" w:color="auto" w:fill="auto"/>
            <w:noWrap/>
            <w:vAlign w:val="center"/>
          </w:tcPr>
          <w:p w14:paraId="7C70C1BC">
            <w:pPr>
              <w:widowControl/>
              <w:jc w:val="center"/>
              <w:rPr>
                <w:rFonts w:hint="eastAsia" w:ascii="宋体" w:hAnsi="宋体" w:eastAsia="宋体" w:cs="宋体"/>
                <w:color w:val="auto"/>
                <w:kern w:val="0"/>
                <w:sz w:val="24"/>
                <w:szCs w:val="24"/>
                <w:highlight w:val="none"/>
              </w:rPr>
            </w:pPr>
          </w:p>
        </w:tc>
      </w:tr>
      <w:tr w14:paraId="60453370">
        <w:tblPrEx>
          <w:tblCellMar>
            <w:top w:w="0" w:type="dxa"/>
            <w:left w:w="108" w:type="dxa"/>
            <w:bottom w:w="0" w:type="dxa"/>
            <w:right w:w="108" w:type="dxa"/>
          </w:tblCellMar>
        </w:tblPrEx>
        <w:trPr>
          <w:gridAfter w:val="1"/>
          <w:wAfter w:w="16" w:type="dxa"/>
          <w:trHeight w:val="458" w:hRule="atLeast"/>
        </w:trPr>
        <w:tc>
          <w:tcPr>
            <w:tcW w:w="1043" w:type="dxa"/>
            <w:vMerge w:val="continue"/>
            <w:tcBorders>
              <w:left w:val="single" w:color="auto" w:sz="4" w:space="0"/>
              <w:right w:val="single" w:color="auto" w:sz="4" w:space="0"/>
            </w:tcBorders>
            <w:shd w:val="clear" w:color="auto" w:fill="auto"/>
            <w:noWrap/>
            <w:vAlign w:val="center"/>
          </w:tcPr>
          <w:p w14:paraId="0437AC91">
            <w:pPr>
              <w:widowControl/>
              <w:jc w:val="center"/>
              <w:rPr>
                <w:rFonts w:hint="eastAsia" w:ascii="宋体" w:hAnsi="宋体" w:eastAsia="宋体" w:cs="宋体"/>
                <w:color w:val="auto"/>
                <w:kern w:val="0"/>
                <w:sz w:val="24"/>
                <w:szCs w:val="24"/>
                <w:highlight w:val="none"/>
              </w:rPr>
            </w:pPr>
          </w:p>
        </w:tc>
        <w:tc>
          <w:tcPr>
            <w:tcW w:w="1229" w:type="dxa"/>
            <w:tcBorders>
              <w:top w:val="single" w:color="auto" w:sz="4" w:space="0"/>
              <w:left w:val="nil"/>
              <w:bottom w:val="single" w:color="auto" w:sz="4" w:space="0"/>
              <w:right w:val="single" w:color="auto" w:sz="4" w:space="0"/>
            </w:tcBorders>
            <w:shd w:val="clear" w:color="auto" w:fill="auto"/>
            <w:vAlign w:val="center"/>
          </w:tcPr>
          <w:p w14:paraId="66E3E37B">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抽检单位</w:t>
            </w:r>
          </w:p>
        </w:tc>
        <w:tc>
          <w:tcPr>
            <w:tcW w:w="1180" w:type="dxa"/>
            <w:tcBorders>
              <w:top w:val="single" w:color="auto" w:sz="4" w:space="0"/>
              <w:left w:val="nil"/>
              <w:bottom w:val="single" w:color="auto" w:sz="4" w:space="0"/>
              <w:right w:val="single" w:color="auto" w:sz="4" w:space="0"/>
            </w:tcBorders>
            <w:shd w:val="clear" w:color="auto" w:fill="auto"/>
            <w:vAlign w:val="center"/>
          </w:tcPr>
          <w:p w14:paraId="4F9AD759">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餐饮</w:t>
            </w:r>
          </w:p>
        </w:tc>
        <w:tc>
          <w:tcPr>
            <w:tcW w:w="1447" w:type="dxa"/>
            <w:tcBorders>
              <w:top w:val="single" w:color="auto" w:sz="4" w:space="0"/>
              <w:left w:val="nil"/>
              <w:bottom w:val="single" w:color="auto" w:sz="4" w:space="0"/>
              <w:right w:val="single" w:color="auto" w:sz="4" w:space="0"/>
            </w:tcBorders>
            <w:shd w:val="clear" w:color="auto" w:fill="auto"/>
            <w:vAlign w:val="center"/>
          </w:tcPr>
          <w:p w14:paraId="0244603B">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食用农产品</w:t>
            </w:r>
          </w:p>
        </w:tc>
        <w:tc>
          <w:tcPr>
            <w:tcW w:w="2225" w:type="dxa"/>
            <w:tcBorders>
              <w:top w:val="single" w:color="auto" w:sz="4" w:space="0"/>
              <w:left w:val="nil"/>
              <w:bottom w:val="single" w:color="auto" w:sz="4" w:space="0"/>
              <w:right w:val="single" w:color="auto" w:sz="4" w:space="0"/>
            </w:tcBorders>
            <w:shd w:val="clear" w:color="auto" w:fill="auto"/>
            <w:vAlign w:val="center"/>
          </w:tcPr>
          <w:p w14:paraId="142C645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专项抽检</w:t>
            </w:r>
          </w:p>
        </w:tc>
        <w:tc>
          <w:tcPr>
            <w:tcW w:w="1998" w:type="dxa"/>
            <w:gridSpan w:val="2"/>
            <w:vMerge w:val="restart"/>
            <w:tcBorders>
              <w:left w:val="nil"/>
              <w:right w:val="single" w:color="auto" w:sz="4" w:space="0"/>
            </w:tcBorders>
            <w:shd w:val="clear" w:color="auto" w:fill="auto"/>
            <w:noWrap/>
            <w:vAlign w:val="center"/>
          </w:tcPr>
          <w:p w14:paraId="061149B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607</w:t>
            </w:r>
            <w:r>
              <w:rPr>
                <w:rFonts w:hint="eastAsia" w:ascii="宋体" w:hAnsi="宋体" w:eastAsia="宋体" w:cs="宋体"/>
                <w:color w:val="auto"/>
                <w:kern w:val="0"/>
                <w:sz w:val="24"/>
                <w:szCs w:val="24"/>
                <w:highlight w:val="none"/>
              </w:rPr>
              <w:t>批次</w:t>
            </w:r>
          </w:p>
        </w:tc>
      </w:tr>
      <w:tr w14:paraId="3F49F601">
        <w:tblPrEx>
          <w:tblCellMar>
            <w:top w:w="0" w:type="dxa"/>
            <w:left w:w="108" w:type="dxa"/>
            <w:bottom w:w="0" w:type="dxa"/>
            <w:right w:w="108" w:type="dxa"/>
          </w:tblCellMar>
        </w:tblPrEx>
        <w:trPr>
          <w:gridAfter w:val="1"/>
          <w:wAfter w:w="16" w:type="dxa"/>
          <w:trHeight w:val="361" w:hRule="atLeast"/>
        </w:trPr>
        <w:tc>
          <w:tcPr>
            <w:tcW w:w="1043" w:type="dxa"/>
            <w:vMerge w:val="continue"/>
            <w:tcBorders>
              <w:left w:val="single" w:color="auto" w:sz="4" w:space="0"/>
              <w:right w:val="single" w:color="auto" w:sz="4" w:space="0"/>
            </w:tcBorders>
            <w:shd w:val="clear" w:color="auto" w:fill="auto"/>
            <w:noWrap/>
            <w:vAlign w:val="center"/>
          </w:tcPr>
          <w:p w14:paraId="59D3409A">
            <w:pPr>
              <w:widowControl/>
              <w:jc w:val="center"/>
              <w:rPr>
                <w:rFonts w:hint="eastAsia" w:ascii="宋体" w:hAnsi="宋体" w:eastAsia="宋体" w:cs="宋体"/>
                <w:color w:val="auto"/>
                <w:kern w:val="0"/>
                <w:sz w:val="24"/>
                <w:szCs w:val="24"/>
                <w:highlight w:val="none"/>
              </w:rPr>
            </w:pPr>
          </w:p>
        </w:tc>
        <w:tc>
          <w:tcPr>
            <w:tcW w:w="1229" w:type="dxa"/>
            <w:tcBorders>
              <w:top w:val="single" w:color="auto" w:sz="4" w:space="0"/>
              <w:left w:val="nil"/>
              <w:bottom w:val="single" w:color="auto" w:sz="4" w:space="0"/>
              <w:right w:val="single" w:color="auto" w:sz="4" w:space="0"/>
            </w:tcBorders>
            <w:shd w:val="clear" w:color="auto" w:fill="auto"/>
            <w:vAlign w:val="center"/>
          </w:tcPr>
          <w:p w14:paraId="186249E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东风所</w:t>
            </w:r>
          </w:p>
        </w:tc>
        <w:tc>
          <w:tcPr>
            <w:tcW w:w="1180" w:type="dxa"/>
            <w:tcBorders>
              <w:top w:val="single" w:color="auto" w:sz="4" w:space="0"/>
              <w:left w:val="nil"/>
              <w:bottom w:val="single" w:color="auto" w:sz="4" w:space="0"/>
              <w:right w:val="single" w:color="auto" w:sz="4" w:space="0"/>
            </w:tcBorders>
            <w:shd w:val="clear" w:color="auto" w:fill="auto"/>
            <w:vAlign w:val="center"/>
          </w:tcPr>
          <w:p w14:paraId="0DB93933">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25</w:t>
            </w:r>
          </w:p>
        </w:tc>
        <w:tc>
          <w:tcPr>
            <w:tcW w:w="1447" w:type="dxa"/>
            <w:tcBorders>
              <w:top w:val="single" w:color="auto" w:sz="4" w:space="0"/>
              <w:left w:val="nil"/>
              <w:bottom w:val="single" w:color="auto" w:sz="4" w:space="0"/>
              <w:right w:val="single" w:color="auto" w:sz="4" w:space="0"/>
            </w:tcBorders>
            <w:shd w:val="clear" w:color="auto" w:fill="auto"/>
            <w:vAlign w:val="center"/>
          </w:tcPr>
          <w:p w14:paraId="15D401B1">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20</w:t>
            </w:r>
          </w:p>
        </w:tc>
        <w:tc>
          <w:tcPr>
            <w:tcW w:w="2225" w:type="dxa"/>
            <w:tcBorders>
              <w:top w:val="single" w:color="auto" w:sz="4" w:space="0"/>
              <w:left w:val="nil"/>
              <w:bottom w:val="single" w:color="auto" w:sz="4" w:space="0"/>
              <w:right w:val="single" w:color="auto" w:sz="4" w:space="0"/>
            </w:tcBorders>
            <w:shd w:val="clear" w:color="auto" w:fill="auto"/>
            <w:vAlign w:val="center"/>
          </w:tcPr>
          <w:p w14:paraId="0151A491">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21</w:t>
            </w:r>
          </w:p>
        </w:tc>
        <w:tc>
          <w:tcPr>
            <w:tcW w:w="1998" w:type="dxa"/>
            <w:gridSpan w:val="2"/>
            <w:vMerge w:val="continue"/>
            <w:tcBorders>
              <w:left w:val="nil"/>
              <w:right w:val="single" w:color="auto" w:sz="4" w:space="0"/>
            </w:tcBorders>
            <w:shd w:val="clear" w:color="auto" w:fill="auto"/>
            <w:noWrap/>
            <w:vAlign w:val="center"/>
          </w:tcPr>
          <w:p w14:paraId="34230A2B">
            <w:pPr>
              <w:widowControl/>
              <w:jc w:val="center"/>
              <w:rPr>
                <w:rFonts w:hint="eastAsia" w:ascii="宋体" w:hAnsi="宋体" w:eastAsia="宋体" w:cs="宋体"/>
                <w:color w:val="auto"/>
                <w:kern w:val="0"/>
                <w:sz w:val="24"/>
                <w:szCs w:val="24"/>
                <w:highlight w:val="none"/>
              </w:rPr>
            </w:pPr>
          </w:p>
        </w:tc>
      </w:tr>
      <w:tr w14:paraId="12040973">
        <w:tblPrEx>
          <w:tblCellMar>
            <w:top w:w="0" w:type="dxa"/>
            <w:left w:w="108" w:type="dxa"/>
            <w:bottom w:w="0" w:type="dxa"/>
            <w:right w:w="108" w:type="dxa"/>
          </w:tblCellMar>
        </w:tblPrEx>
        <w:trPr>
          <w:gridAfter w:val="1"/>
          <w:wAfter w:w="16" w:type="dxa"/>
          <w:trHeight w:val="349" w:hRule="atLeast"/>
        </w:trPr>
        <w:tc>
          <w:tcPr>
            <w:tcW w:w="1043" w:type="dxa"/>
            <w:vMerge w:val="continue"/>
            <w:tcBorders>
              <w:left w:val="single" w:color="auto" w:sz="4" w:space="0"/>
              <w:right w:val="single" w:color="auto" w:sz="4" w:space="0"/>
            </w:tcBorders>
            <w:shd w:val="clear" w:color="auto" w:fill="auto"/>
            <w:noWrap/>
            <w:vAlign w:val="center"/>
          </w:tcPr>
          <w:p w14:paraId="136F564D">
            <w:pPr>
              <w:widowControl/>
              <w:jc w:val="center"/>
              <w:rPr>
                <w:rFonts w:hint="eastAsia" w:ascii="宋体" w:hAnsi="宋体" w:eastAsia="宋体" w:cs="宋体"/>
                <w:color w:val="auto"/>
                <w:kern w:val="0"/>
                <w:sz w:val="24"/>
                <w:szCs w:val="24"/>
                <w:highlight w:val="none"/>
              </w:rPr>
            </w:pPr>
          </w:p>
        </w:tc>
        <w:tc>
          <w:tcPr>
            <w:tcW w:w="1229" w:type="dxa"/>
            <w:tcBorders>
              <w:top w:val="single" w:color="auto" w:sz="4" w:space="0"/>
              <w:left w:val="nil"/>
              <w:bottom w:val="single" w:color="auto" w:sz="4" w:space="0"/>
              <w:right w:val="single" w:color="auto" w:sz="4" w:space="0"/>
            </w:tcBorders>
            <w:shd w:val="clear" w:color="auto" w:fill="auto"/>
            <w:vAlign w:val="center"/>
          </w:tcPr>
          <w:p w14:paraId="314E802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宜路所</w:t>
            </w:r>
          </w:p>
        </w:tc>
        <w:tc>
          <w:tcPr>
            <w:tcW w:w="1180" w:type="dxa"/>
            <w:tcBorders>
              <w:top w:val="single" w:color="auto" w:sz="4" w:space="0"/>
              <w:left w:val="nil"/>
              <w:bottom w:val="single" w:color="auto" w:sz="4" w:space="0"/>
              <w:right w:val="single" w:color="auto" w:sz="4" w:space="0"/>
            </w:tcBorders>
            <w:shd w:val="clear" w:color="auto" w:fill="auto"/>
            <w:vAlign w:val="center"/>
          </w:tcPr>
          <w:p w14:paraId="2B97D44E">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25</w:t>
            </w:r>
          </w:p>
        </w:tc>
        <w:tc>
          <w:tcPr>
            <w:tcW w:w="1447" w:type="dxa"/>
            <w:tcBorders>
              <w:top w:val="single" w:color="auto" w:sz="4" w:space="0"/>
              <w:left w:val="nil"/>
              <w:bottom w:val="single" w:color="auto" w:sz="4" w:space="0"/>
              <w:right w:val="single" w:color="auto" w:sz="4" w:space="0"/>
            </w:tcBorders>
            <w:shd w:val="clear" w:color="auto" w:fill="auto"/>
            <w:vAlign w:val="center"/>
          </w:tcPr>
          <w:p w14:paraId="7AB87046">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20</w:t>
            </w:r>
          </w:p>
        </w:tc>
        <w:tc>
          <w:tcPr>
            <w:tcW w:w="2225" w:type="dxa"/>
            <w:tcBorders>
              <w:top w:val="single" w:color="auto" w:sz="4" w:space="0"/>
              <w:left w:val="nil"/>
              <w:bottom w:val="single" w:color="auto" w:sz="4" w:space="0"/>
              <w:right w:val="single" w:color="auto" w:sz="4" w:space="0"/>
            </w:tcBorders>
            <w:shd w:val="clear" w:color="auto" w:fill="auto"/>
            <w:vAlign w:val="center"/>
          </w:tcPr>
          <w:p w14:paraId="10B839A0">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21</w:t>
            </w:r>
          </w:p>
        </w:tc>
        <w:tc>
          <w:tcPr>
            <w:tcW w:w="1998" w:type="dxa"/>
            <w:gridSpan w:val="2"/>
            <w:vMerge w:val="continue"/>
            <w:tcBorders>
              <w:left w:val="nil"/>
              <w:right w:val="single" w:color="auto" w:sz="4" w:space="0"/>
            </w:tcBorders>
            <w:shd w:val="clear" w:color="auto" w:fill="auto"/>
            <w:noWrap/>
            <w:vAlign w:val="center"/>
          </w:tcPr>
          <w:p w14:paraId="06875CE9">
            <w:pPr>
              <w:widowControl/>
              <w:jc w:val="center"/>
              <w:rPr>
                <w:rFonts w:hint="eastAsia" w:ascii="宋体" w:hAnsi="宋体" w:eastAsia="宋体" w:cs="宋体"/>
                <w:color w:val="auto"/>
                <w:kern w:val="0"/>
                <w:sz w:val="24"/>
                <w:szCs w:val="24"/>
                <w:highlight w:val="none"/>
              </w:rPr>
            </w:pPr>
          </w:p>
        </w:tc>
      </w:tr>
      <w:tr w14:paraId="765A5E82">
        <w:tblPrEx>
          <w:tblCellMar>
            <w:top w:w="0" w:type="dxa"/>
            <w:left w:w="108" w:type="dxa"/>
            <w:bottom w:w="0" w:type="dxa"/>
            <w:right w:w="108" w:type="dxa"/>
          </w:tblCellMar>
        </w:tblPrEx>
        <w:trPr>
          <w:gridAfter w:val="1"/>
          <w:wAfter w:w="16" w:type="dxa"/>
          <w:trHeight w:val="313" w:hRule="atLeast"/>
        </w:trPr>
        <w:tc>
          <w:tcPr>
            <w:tcW w:w="1043" w:type="dxa"/>
            <w:vMerge w:val="continue"/>
            <w:tcBorders>
              <w:left w:val="single" w:color="auto" w:sz="4" w:space="0"/>
              <w:right w:val="single" w:color="auto" w:sz="4" w:space="0"/>
            </w:tcBorders>
            <w:shd w:val="clear" w:color="auto" w:fill="auto"/>
            <w:noWrap/>
            <w:vAlign w:val="center"/>
          </w:tcPr>
          <w:p w14:paraId="3FEB3A19">
            <w:pPr>
              <w:widowControl/>
              <w:jc w:val="center"/>
              <w:rPr>
                <w:rFonts w:hint="eastAsia" w:ascii="宋体" w:hAnsi="宋体" w:eastAsia="宋体" w:cs="宋体"/>
                <w:color w:val="auto"/>
                <w:kern w:val="0"/>
                <w:sz w:val="24"/>
                <w:szCs w:val="24"/>
                <w:highlight w:val="none"/>
              </w:rPr>
            </w:pPr>
          </w:p>
        </w:tc>
        <w:tc>
          <w:tcPr>
            <w:tcW w:w="1229" w:type="dxa"/>
            <w:tcBorders>
              <w:top w:val="single" w:color="auto" w:sz="4" w:space="0"/>
              <w:left w:val="nil"/>
              <w:bottom w:val="single" w:color="auto" w:sz="4" w:space="0"/>
              <w:right w:val="single" w:color="auto" w:sz="4" w:space="0"/>
            </w:tcBorders>
            <w:shd w:val="clear" w:color="auto" w:fill="auto"/>
            <w:vAlign w:val="center"/>
          </w:tcPr>
          <w:p w14:paraId="3E20A93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秋渠所</w:t>
            </w:r>
          </w:p>
        </w:tc>
        <w:tc>
          <w:tcPr>
            <w:tcW w:w="1180" w:type="dxa"/>
            <w:tcBorders>
              <w:top w:val="single" w:color="auto" w:sz="4" w:space="0"/>
              <w:left w:val="nil"/>
              <w:bottom w:val="single" w:color="auto" w:sz="4" w:space="0"/>
              <w:right w:val="single" w:color="auto" w:sz="4" w:space="0"/>
            </w:tcBorders>
            <w:shd w:val="clear" w:color="auto" w:fill="auto"/>
            <w:vAlign w:val="center"/>
          </w:tcPr>
          <w:p w14:paraId="0607D462">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25</w:t>
            </w:r>
          </w:p>
        </w:tc>
        <w:tc>
          <w:tcPr>
            <w:tcW w:w="1447" w:type="dxa"/>
            <w:tcBorders>
              <w:top w:val="single" w:color="auto" w:sz="4" w:space="0"/>
              <w:left w:val="nil"/>
              <w:bottom w:val="single" w:color="auto" w:sz="4" w:space="0"/>
              <w:right w:val="single" w:color="auto" w:sz="4" w:space="0"/>
            </w:tcBorders>
            <w:shd w:val="clear" w:color="auto" w:fill="auto"/>
            <w:vAlign w:val="center"/>
          </w:tcPr>
          <w:p w14:paraId="756B78AF">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20</w:t>
            </w:r>
          </w:p>
        </w:tc>
        <w:tc>
          <w:tcPr>
            <w:tcW w:w="2225" w:type="dxa"/>
            <w:tcBorders>
              <w:top w:val="single" w:color="auto" w:sz="4" w:space="0"/>
              <w:left w:val="nil"/>
              <w:bottom w:val="single" w:color="auto" w:sz="4" w:space="0"/>
              <w:right w:val="single" w:color="auto" w:sz="4" w:space="0"/>
            </w:tcBorders>
            <w:shd w:val="clear" w:color="auto" w:fill="auto"/>
            <w:vAlign w:val="center"/>
          </w:tcPr>
          <w:p w14:paraId="3701BD8C">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21</w:t>
            </w:r>
          </w:p>
        </w:tc>
        <w:tc>
          <w:tcPr>
            <w:tcW w:w="1998" w:type="dxa"/>
            <w:gridSpan w:val="2"/>
            <w:vMerge w:val="continue"/>
            <w:tcBorders>
              <w:left w:val="nil"/>
              <w:right w:val="single" w:color="auto" w:sz="4" w:space="0"/>
            </w:tcBorders>
            <w:shd w:val="clear" w:color="auto" w:fill="auto"/>
            <w:noWrap/>
            <w:vAlign w:val="center"/>
          </w:tcPr>
          <w:p w14:paraId="58D173F5">
            <w:pPr>
              <w:widowControl/>
              <w:jc w:val="center"/>
              <w:rPr>
                <w:rFonts w:hint="eastAsia" w:ascii="宋体" w:hAnsi="宋体" w:eastAsia="宋体" w:cs="宋体"/>
                <w:color w:val="auto"/>
                <w:kern w:val="0"/>
                <w:sz w:val="24"/>
                <w:szCs w:val="24"/>
                <w:highlight w:val="none"/>
              </w:rPr>
            </w:pPr>
          </w:p>
        </w:tc>
      </w:tr>
      <w:tr w14:paraId="554E6B30">
        <w:tblPrEx>
          <w:tblCellMar>
            <w:top w:w="0" w:type="dxa"/>
            <w:left w:w="108" w:type="dxa"/>
            <w:bottom w:w="0" w:type="dxa"/>
            <w:right w:w="108" w:type="dxa"/>
          </w:tblCellMar>
        </w:tblPrEx>
        <w:trPr>
          <w:gridAfter w:val="1"/>
          <w:wAfter w:w="16" w:type="dxa"/>
          <w:trHeight w:val="313" w:hRule="atLeast"/>
        </w:trPr>
        <w:tc>
          <w:tcPr>
            <w:tcW w:w="1043" w:type="dxa"/>
            <w:vMerge w:val="continue"/>
            <w:tcBorders>
              <w:left w:val="single" w:color="auto" w:sz="4" w:space="0"/>
              <w:right w:val="single" w:color="auto" w:sz="4" w:space="0"/>
            </w:tcBorders>
            <w:shd w:val="clear" w:color="auto" w:fill="auto"/>
            <w:noWrap/>
            <w:vAlign w:val="center"/>
          </w:tcPr>
          <w:p w14:paraId="03E89FA2">
            <w:pPr>
              <w:widowControl/>
              <w:jc w:val="center"/>
              <w:rPr>
                <w:rFonts w:hint="eastAsia" w:ascii="宋体" w:hAnsi="宋体" w:eastAsia="宋体" w:cs="宋体"/>
                <w:color w:val="auto"/>
                <w:kern w:val="0"/>
                <w:sz w:val="24"/>
                <w:szCs w:val="24"/>
                <w:highlight w:val="none"/>
              </w:rPr>
            </w:pPr>
          </w:p>
        </w:tc>
        <w:tc>
          <w:tcPr>
            <w:tcW w:w="1229" w:type="dxa"/>
            <w:tcBorders>
              <w:top w:val="single" w:color="auto" w:sz="4" w:space="0"/>
              <w:left w:val="nil"/>
              <w:bottom w:val="single" w:color="auto" w:sz="4" w:space="0"/>
              <w:right w:val="single" w:color="auto" w:sz="4" w:space="0"/>
            </w:tcBorders>
            <w:shd w:val="clear" w:color="auto" w:fill="auto"/>
            <w:vAlign w:val="center"/>
          </w:tcPr>
          <w:p w14:paraId="0E40CDD1">
            <w:pPr>
              <w:widowControl/>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白马所</w:t>
            </w:r>
          </w:p>
        </w:tc>
        <w:tc>
          <w:tcPr>
            <w:tcW w:w="1180" w:type="dxa"/>
            <w:tcBorders>
              <w:top w:val="single" w:color="auto" w:sz="4" w:space="0"/>
              <w:left w:val="nil"/>
              <w:bottom w:val="single" w:color="auto" w:sz="4" w:space="0"/>
              <w:right w:val="single" w:color="auto" w:sz="4" w:space="0"/>
            </w:tcBorders>
            <w:shd w:val="clear" w:color="auto" w:fill="auto"/>
            <w:vAlign w:val="center"/>
          </w:tcPr>
          <w:p w14:paraId="672474BC">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27</w:t>
            </w:r>
          </w:p>
        </w:tc>
        <w:tc>
          <w:tcPr>
            <w:tcW w:w="1447" w:type="dxa"/>
            <w:tcBorders>
              <w:top w:val="single" w:color="auto" w:sz="4" w:space="0"/>
              <w:left w:val="nil"/>
              <w:bottom w:val="single" w:color="auto" w:sz="4" w:space="0"/>
              <w:right w:val="single" w:color="auto" w:sz="4" w:space="0"/>
            </w:tcBorders>
            <w:shd w:val="clear" w:color="auto" w:fill="auto"/>
            <w:vAlign w:val="center"/>
          </w:tcPr>
          <w:p w14:paraId="7C9F37C5">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24</w:t>
            </w:r>
          </w:p>
        </w:tc>
        <w:tc>
          <w:tcPr>
            <w:tcW w:w="2225" w:type="dxa"/>
            <w:tcBorders>
              <w:top w:val="single" w:color="auto" w:sz="4" w:space="0"/>
              <w:left w:val="nil"/>
              <w:bottom w:val="single" w:color="auto" w:sz="4" w:space="0"/>
              <w:right w:val="single" w:color="auto" w:sz="4" w:space="0"/>
            </w:tcBorders>
            <w:shd w:val="clear" w:color="auto" w:fill="auto"/>
            <w:vAlign w:val="center"/>
          </w:tcPr>
          <w:p w14:paraId="032B7ADA">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28</w:t>
            </w:r>
          </w:p>
        </w:tc>
        <w:tc>
          <w:tcPr>
            <w:tcW w:w="1998" w:type="dxa"/>
            <w:gridSpan w:val="2"/>
            <w:vMerge w:val="continue"/>
            <w:tcBorders>
              <w:left w:val="nil"/>
              <w:right w:val="single" w:color="auto" w:sz="4" w:space="0"/>
            </w:tcBorders>
            <w:shd w:val="clear" w:color="auto" w:fill="auto"/>
            <w:noWrap/>
            <w:vAlign w:val="center"/>
          </w:tcPr>
          <w:p w14:paraId="3614C175">
            <w:pPr>
              <w:widowControl/>
              <w:jc w:val="center"/>
              <w:rPr>
                <w:rFonts w:hint="eastAsia" w:ascii="宋体" w:hAnsi="宋体" w:eastAsia="宋体" w:cs="宋体"/>
                <w:color w:val="auto"/>
                <w:kern w:val="0"/>
                <w:sz w:val="24"/>
                <w:szCs w:val="24"/>
                <w:highlight w:val="none"/>
              </w:rPr>
            </w:pPr>
          </w:p>
        </w:tc>
      </w:tr>
      <w:tr w14:paraId="111682BB">
        <w:tblPrEx>
          <w:tblCellMar>
            <w:top w:w="0" w:type="dxa"/>
            <w:left w:w="108" w:type="dxa"/>
            <w:bottom w:w="0" w:type="dxa"/>
            <w:right w:w="108" w:type="dxa"/>
          </w:tblCellMar>
        </w:tblPrEx>
        <w:trPr>
          <w:gridAfter w:val="1"/>
          <w:wAfter w:w="16" w:type="dxa"/>
          <w:trHeight w:val="313" w:hRule="atLeast"/>
        </w:trPr>
        <w:tc>
          <w:tcPr>
            <w:tcW w:w="1043" w:type="dxa"/>
            <w:vMerge w:val="continue"/>
            <w:tcBorders>
              <w:left w:val="single" w:color="auto" w:sz="4" w:space="0"/>
              <w:right w:val="single" w:color="auto" w:sz="4" w:space="0"/>
            </w:tcBorders>
            <w:shd w:val="clear" w:color="auto" w:fill="auto"/>
            <w:noWrap/>
            <w:vAlign w:val="center"/>
          </w:tcPr>
          <w:p w14:paraId="3C72FE6F">
            <w:pPr>
              <w:widowControl/>
              <w:jc w:val="center"/>
              <w:rPr>
                <w:rFonts w:hint="eastAsia" w:ascii="宋体" w:hAnsi="宋体" w:eastAsia="宋体" w:cs="宋体"/>
                <w:color w:val="auto"/>
                <w:kern w:val="0"/>
                <w:sz w:val="24"/>
                <w:szCs w:val="24"/>
                <w:highlight w:val="none"/>
              </w:rPr>
            </w:pPr>
          </w:p>
        </w:tc>
        <w:tc>
          <w:tcPr>
            <w:tcW w:w="1229" w:type="dxa"/>
            <w:tcBorders>
              <w:top w:val="single" w:color="auto" w:sz="4" w:space="0"/>
              <w:left w:val="nil"/>
              <w:bottom w:val="single" w:color="auto" w:sz="4" w:space="0"/>
              <w:right w:val="single" w:color="auto" w:sz="4" w:space="0"/>
            </w:tcBorders>
            <w:shd w:val="clear" w:color="auto" w:fill="auto"/>
            <w:vAlign w:val="center"/>
          </w:tcPr>
          <w:p w14:paraId="2297B4AE">
            <w:pPr>
              <w:widowControl/>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汲水所</w:t>
            </w:r>
          </w:p>
        </w:tc>
        <w:tc>
          <w:tcPr>
            <w:tcW w:w="1180" w:type="dxa"/>
            <w:tcBorders>
              <w:top w:val="single" w:color="auto" w:sz="4" w:space="0"/>
              <w:left w:val="nil"/>
              <w:bottom w:val="single" w:color="auto" w:sz="4" w:space="0"/>
              <w:right w:val="single" w:color="auto" w:sz="4" w:space="0"/>
            </w:tcBorders>
            <w:shd w:val="clear" w:color="auto" w:fill="auto"/>
            <w:vAlign w:val="center"/>
          </w:tcPr>
          <w:p w14:paraId="30FB2E36">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25</w:t>
            </w:r>
          </w:p>
        </w:tc>
        <w:tc>
          <w:tcPr>
            <w:tcW w:w="1447" w:type="dxa"/>
            <w:tcBorders>
              <w:top w:val="single" w:color="auto" w:sz="4" w:space="0"/>
              <w:left w:val="nil"/>
              <w:bottom w:val="single" w:color="auto" w:sz="4" w:space="0"/>
              <w:right w:val="single" w:color="auto" w:sz="4" w:space="0"/>
            </w:tcBorders>
            <w:shd w:val="clear" w:color="auto" w:fill="auto"/>
            <w:vAlign w:val="center"/>
          </w:tcPr>
          <w:p w14:paraId="2F288D88">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20</w:t>
            </w:r>
          </w:p>
        </w:tc>
        <w:tc>
          <w:tcPr>
            <w:tcW w:w="2225" w:type="dxa"/>
            <w:tcBorders>
              <w:top w:val="single" w:color="auto" w:sz="4" w:space="0"/>
              <w:left w:val="nil"/>
              <w:bottom w:val="single" w:color="auto" w:sz="4" w:space="0"/>
              <w:right w:val="single" w:color="auto" w:sz="4" w:space="0"/>
            </w:tcBorders>
            <w:shd w:val="clear" w:color="auto" w:fill="auto"/>
            <w:vAlign w:val="center"/>
          </w:tcPr>
          <w:p w14:paraId="41CA71EC">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21</w:t>
            </w:r>
          </w:p>
        </w:tc>
        <w:tc>
          <w:tcPr>
            <w:tcW w:w="1998" w:type="dxa"/>
            <w:gridSpan w:val="2"/>
            <w:vMerge w:val="continue"/>
            <w:tcBorders>
              <w:left w:val="nil"/>
              <w:right w:val="single" w:color="auto" w:sz="4" w:space="0"/>
            </w:tcBorders>
            <w:shd w:val="clear" w:color="auto" w:fill="auto"/>
            <w:noWrap/>
            <w:vAlign w:val="center"/>
          </w:tcPr>
          <w:p w14:paraId="0E814A92">
            <w:pPr>
              <w:widowControl/>
              <w:jc w:val="center"/>
              <w:rPr>
                <w:rFonts w:hint="eastAsia" w:ascii="宋体" w:hAnsi="宋体" w:eastAsia="宋体" w:cs="宋体"/>
                <w:color w:val="auto"/>
                <w:kern w:val="0"/>
                <w:sz w:val="24"/>
                <w:szCs w:val="24"/>
                <w:highlight w:val="none"/>
              </w:rPr>
            </w:pPr>
          </w:p>
        </w:tc>
      </w:tr>
      <w:tr w14:paraId="6055BCB3">
        <w:tblPrEx>
          <w:tblCellMar>
            <w:top w:w="0" w:type="dxa"/>
            <w:left w:w="108" w:type="dxa"/>
            <w:bottom w:w="0" w:type="dxa"/>
            <w:right w:w="108" w:type="dxa"/>
          </w:tblCellMar>
        </w:tblPrEx>
        <w:trPr>
          <w:gridAfter w:val="1"/>
          <w:wAfter w:w="16" w:type="dxa"/>
          <w:trHeight w:val="313" w:hRule="atLeast"/>
        </w:trPr>
        <w:tc>
          <w:tcPr>
            <w:tcW w:w="1043" w:type="dxa"/>
            <w:vMerge w:val="continue"/>
            <w:tcBorders>
              <w:left w:val="single" w:color="auto" w:sz="4" w:space="0"/>
              <w:right w:val="single" w:color="auto" w:sz="4" w:space="0"/>
            </w:tcBorders>
            <w:shd w:val="clear" w:color="auto" w:fill="auto"/>
            <w:noWrap/>
            <w:vAlign w:val="center"/>
          </w:tcPr>
          <w:p w14:paraId="27A2028C">
            <w:pPr>
              <w:widowControl/>
              <w:jc w:val="center"/>
              <w:rPr>
                <w:rFonts w:hint="eastAsia" w:ascii="宋体" w:hAnsi="宋体" w:eastAsia="宋体" w:cs="宋体"/>
                <w:color w:val="auto"/>
                <w:kern w:val="0"/>
                <w:sz w:val="24"/>
                <w:szCs w:val="24"/>
                <w:highlight w:val="none"/>
              </w:rPr>
            </w:pPr>
          </w:p>
        </w:tc>
        <w:tc>
          <w:tcPr>
            <w:tcW w:w="1229" w:type="dxa"/>
            <w:tcBorders>
              <w:top w:val="single" w:color="auto" w:sz="4" w:space="0"/>
              <w:left w:val="nil"/>
              <w:bottom w:val="single" w:color="auto" w:sz="4" w:space="0"/>
              <w:right w:val="single" w:color="auto" w:sz="4" w:space="0"/>
            </w:tcBorders>
            <w:shd w:val="clear" w:color="auto" w:fill="auto"/>
            <w:vAlign w:val="center"/>
          </w:tcPr>
          <w:p w14:paraId="0D487AB2">
            <w:pPr>
              <w:widowControl/>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张完所</w:t>
            </w:r>
          </w:p>
        </w:tc>
        <w:tc>
          <w:tcPr>
            <w:tcW w:w="1180" w:type="dxa"/>
            <w:tcBorders>
              <w:top w:val="single" w:color="auto" w:sz="4" w:space="0"/>
              <w:left w:val="nil"/>
              <w:bottom w:val="single" w:color="auto" w:sz="4" w:space="0"/>
              <w:right w:val="single" w:color="auto" w:sz="4" w:space="0"/>
            </w:tcBorders>
            <w:shd w:val="clear" w:color="auto" w:fill="auto"/>
            <w:vAlign w:val="center"/>
          </w:tcPr>
          <w:p w14:paraId="3097BD3B">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25</w:t>
            </w:r>
          </w:p>
        </w:tc>
        <w:tc>
          <w:tcPr>
            <w:tcW w:w="1447" w:type="dxa"/>
            <w:tcBorders>
              <w:top w:val="single" w:color="auto" w:sz="4" w:space="0"/>
              <w:left w:val="nil"/>
              <w:bottom w:val="single" w:color="auto" w:sz="4" w:space="0"/>
              <w:right w:val="single" w:color="auto" w:sz="4" w:space="0"/>
            </w:tcBorders>
            <w:shd w:val="clear" w:color="auto" w:fill="auto"/>
            <w:vAlign w:val="center"/>
          </w:tcPr>
          <w:p w14:paraId="48434D9C">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20</w:t>
            </w:r>
          </w:p>
        </w:tc>
        <w:tc>
          <w:tcPr>
            <w:tcW w:w="2225" w:type="dxa"/>
            <w:tcBorders>
              <w:top w:val="single" w:color="auto" w:sz="4" w:space="0"/>
              <w:left w:val="nil"/>
              <w:bottom w:val="single" w:color="auto" w:sz="4" w:space="0"/>
              <w:right w:val="single" w:color="auto" w:sz="4" w:space="0"/>
            </w:tcBorders>
            <w:shd w:val="clear" w:color="auto" w:fill="auto"/>
            <w:vAlign w:val="center"/>
          </w:tcPr>
          <w:p w14:paraId="590536F5">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21</w:t>
            </w:r>
          </w:p>
        </w:tc>
        <w:tc>
          <w:tcPr>
            <w:tcW w:w="1998" w:type="dxa"/>
            <w:gridSpan w:val="2"/>
            <w:vMerge w:val="continue"/>
            <w:tcBorders>
              <w:left w:val="nil"/>
              <w:right w:val="single" w:color="auto" w:sz="4" w:space="0"/>
            </w:tcBorders>
            <w:shd w:val="clear" w:color="auto" w:fill="auto"/>
            <w:noWrap/>
            <w:vAlign w:val="center"/>
          </w:tcPr>
          <w:p w14:paraId="381A3450">
            <w:pPr>
              <w:widowControl/>
              <w:jc w:val="center"/>
              <w:rPr>
                <w:rFonts w:hint="eastAsia" w:ascii="宋体" w:hAnsi="宋体" w:eastAsia="宋体" w:cs="宋体"/>
                <w:color w:val="auto"/>
                <w:kern w:val="0"/>
                <w:sz w:val="24"/>
                <w:szCs w:val="24"/>
                <w:highlight w:val="none"/>
              </w:rPr>
            </w:pPr>
          </w:p>
        </w:tc>
      </w:tr>
      <w:tr w14:paraId="2B89790A">
        <w:tblPrEx>
          <w:tblCellMar>
            <w:top w:w="0" w:type="dxa"/>
            <w:left w:w="108" w:type="dxa"/>
            <w:bottom w:w="0" w:type="dxa"/>
            <w:right w:w="108" w:type="dxa"/>
          </w:tblCellMar>
        </w:tblPrEx>
        <w:trPr>
          <w:gridAfter w:val="1"/>
          <w:wAfter w:w="16" w:type="dxa"/>
          <w:trHeight w:val="313" w:hRule="atLeast"/>
        </w:trPr>
        <w:tc>
          <w:tcPr>
            <w:tcW w:w="1043" w:type="dxa"/>
            <w:vMerge w:val="continue"/>
            <w:tcBorders>
              <w:left w:val="single" w:color="auto" w:sz="4" w:space="0"/>
              <w:right w:val="single" w:color="auto" w:sz="4" w:space="0"/>
            </w:tcBorders>
            <w:shd w:val="clear" w:color="auto" w:fill="auto"/>
            <w:noWrap/>
            <w:vAlign w:val="center"/>
          </w:tcPr>
          <w:p w14:paraId="493F5AF6">
            <w:pPr>
              <w:widowControl/>
              <w:jc w:val="center"/>
              <w:rPr>
                <w:rFonts w:hint="eastAsia" w:ascii="宋体" w:hAnsi="宋体" w:eastAsia="宋体" w:cs="宋体"/>
                <w:color w:val="auto"/>
                <w:kern w:val="0"/>
                <w:sz w:val="24"/>
                <w:szCs w:val="24"/>
                <w:highlight w:val="none"/>
              </w:rPr>
            </w:pPr>
          </w:p>
        </w:tc>
        <w:tc>
          <w:tcPr>
            <w:tcW w:w="1229" w:type="dxa"/>
            <w:tcBorders>
              <w:top w:val="single" w:color="auto" w:sz="4" w:space="0"/>
              <w:left w:val="nil"/>
              <w:bottom w:val="single" w:color="auto" w:sz="4" w:space="0"/>
              <w:right w:val="single" w:color="auto" w:sz="4" w:space="0"/>
            </w:tcBorders>
            <w:shd w:val="clear" w:color="auto" w:fill="auto"/>
            <w:vAlign w:val="center"/>
          </w:tcPr>
          <w:p w14:paraId="1E915EF2">
            <w:pPr>
              <w:widowControl/>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石槽所</w:t>
            </w:r>
          </w:p>
        </w:tc>
        <w:tc>
          <w:tcPr>
            <w:tcW w:w="1180" w:type="dxa"/>
            <w:tcBorders>
              <w:top w:val="single" w:color="auto" w:sz="4" w:space="0"/>
              <w:left w:val="nil"/>
              <w:bottom w:val="single" w:color="auto" w:sz="4" w:space="0"/>
              <w:right w:val="single" w:color="auto" w:sz="4" w:space="0"/>
            </w:tcBorders>
            <w:shd w:val="clear" w:color="auto" w:fill="auto"/>
            <w:vAlign w:val="center"/>
          </w:tcPr>
          <w:p w14:paraId="49F419A5">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25</w:t>
            </w:r>
          </w:p>
        </w:tc>
        <w:tc>
          <w:tcPr>
            <w:tcW w:w="1447" w:type="dxa"/>
            <w:tcBorders>
              <w:top w:val="single" w:color="auto" w:sz="4" w:space="0"/>
              <w:left w:val="nil"/>
              <w:bottom w:val="single" w:color="auto" w:sz="4" w:space="0"/>
              <w:right w:val="single" w:color="auto" w:sz="4" w:space="0"/>
            </w:tcBorders>
            <w:shd w:val="clear" w:color="auto" w:fill="auto"/>
            <w:vAlign w:val="center"/>
          </w:tcPr>
          <w:p w14:paraId="34889D78">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20</w:t>
            </w:r>
          </w:p>
        </w:tc>
        <w:tc>
          <w:tcPr>
            <w:tcW w:w="2225" w:type="dxa"/>
            <w:tcBorders>
              <w:top w:val="single" w:color="auto" w:sz="4" w:space="0"/>
              <w:left w:val="nil"/>
              <w:bottom w:val="single" w:color="auto" w:sz="4" w:space="0"/>
              <w:right w:val="single" w:color="auto" w:sz="4" w:space="0"/>
            </w:tcBorders>
            <w:shd w:val="clear" w:color="auto" w:fill="auto"/>
            <w:vAlign w:val="center"/>
          </w:tcPr>
          <w:p w14:paraId="780DC5DA">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21</w:t>
            </w:r>
          </w:p>
        </w:tc>
        <w:tc>
          <w:tcPr>
            <w:tcW w:w="1998" w:type="dxa"/>
            <w:gridSpan w:val="2"/>
            <w:vMerge w:val="continue"/>
            <w:tcBorders>
              <w:left w:val="nil"/>
              <w:right w:val="single" w:color="auto" w:sz="4" w:space="0"/>
            </w:tcBorders>
            <w:shd w:val="clear" w:color="auto" w:fill="auto"/>
            <w:noWrap/>
            <w:vAlign w:val="center"/>
          </w:tcPr>
          <w:p w14:paraId="436C446A">
            <w:pPr>
              <w:widowControl/>
              <w:jc w:val="center"/>
              <w:rPr>
                <w:rFonts w:hint="eastAsia" w:ascii="宋体" w:hAnsi="宋体" w:eastAsia="宋体" w:cs="宋体"/>
                <w:color w:val="auto"/>
                <w:kern w:val="0"/>
                <w:sz w:val="24"/>
                <w:szCs w:val="24"/>
                <w:highlight w:val="none"/>
              </w:rPr>
            </w:pPr>
          </w:p>
        </w:tc>
      </w:tr>
      <w:tr w14:paraId="467C36C9">
        <w:tblPrEx>
          <w:tblCellMar>
            <w:top w:w="0" w:type="dxa"/>
            <w:left w:w="108" w:type="dxa"/>
            <w:bottom w:w="0" w:type="dxa"/>
            <w:right w:w="108" w:type="dxa"/>
          </w:tblCellMar>
        </w:tblPrEx>
        <w:trPr>
          <w:gridAfter w:val="1"/>
          <w:wAfter w:w="16" w:type="dxa"/>
          <w:trHeight w:val="313" w:hRule="atLeast"/>
        </w:trPr>
        <w:tc>
          <w:tcPr>
            <w:tcW w:w="1043" w:type="dxa"/>
            <w:vMerge w:val="continue"/>
            <w:tcBorders>
              <w:left w:val="single" w:color="auto" w:sz="4" w:space="0"/>
              <w:right w:val="single" w:color="auto" w:sz="4" w:space="0"/>
            </w:tcBorders>
            <w:shd w:val="clear" w:color="auto" w:fill="auto"/>
            <w:noWrap/>
            <w:vAlign w:val="center"/>
          </w:tcPr>
          <w:p w14:paraId="53F54900">
            <w:pPr>
              <w:widowControl/>
              <w:jc w:val="center"/>
              <w:rPr>
                <w:rFonts w:hint="eastAsia" w:ascii="宋体" w:hAnsi="宋体" w:eastAsia="宋体" w:cs="宋体"/>
                <w:color w:val="auto"/>
                <w:kern w:val="0"/>
                <w:sz w:val="24"/>
                <w:szCs w:val="24"/>
                <w:highlight w:val="none"/>
              </w:rPr>
            </w:pPr>
          </w:p>
        </w:tc>
        <w:tc>
          <w:tcPr>
            <w:tcW w:w="1229" w:type="dxa"/>
            <w:tcBorders>
              <w:top w:val="single" w:color="auto" w:sz="4" w:space="0"/>
              <w:left w:val="nil"/>
              <w:bottom w:val="single" w:color="auto" w:sz="4" w:space="0"/>
              <w:right w:val="single" w:color="auto" w:sz="4" w:space="0"/>
            </w:tcBorders>
            <w:shd w:val="clear" w:color="auto" w:fill="auto"/>
            <w:vAlign w:val="center"/>
          </w:tcPr>
          <w:p w14:paraId="03FE7313">
            <w:pPr>
              <w:widowControl/>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南丰所</w:t>
            </w:r>
          </w:p>
        </w:tc>
        <w:tc>
          <w:tcPr>
            <w:tcW w:w="1180" w:type="dxa"/>
            <w:tcBorders>
              <w:top w:val="single" w:color="auto" w:sz="4" w:space="0"/>
              <w:left w:val="nil"/>
              <w:bottom w:val="single" w:color="auto" w:sz="4" w:space="0"/>
              <w:right w:val="single" w:color="auto" w:sz="4" w:space="0"/>
            </w:tcBorders>
            <w:shd w:val="clear" w:color="auto" w:fill="auto"/>
            <w:vAlign w:val="center"/>
          </w:tcPr>
          <w:p w14:paraId="53914CDC">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25</w:t>
            </w:r>
          </w:p>
        </w:tc>
        <w:tc>
          <w:tcPr>
            <w:tcW w:w="1447" w:type="dxa"/>
            <w:tcBorders>
              <w:top w:val="single" w:color="auto" w:sz="4" w:space="0"/>
              <w:left w:val="nil"/>
              <w:bottom w:val="single" w:color="auto" w:sz="4" w:space="0"/>
              <w:right w:val="single" w:color="auto" w:sz="4" w:space="0"/>
            </w:tcBorders>
            <w:shd w:val="clear" w:color="auto" w:fill="auto"/>
            <w:vAlign w:val="center"/>
          </w:tcPr>
          <w:p w14:paraId="083E6D2A">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20</w:t>
            </w:r>
          </w:p>
        </w:tc>
        <w:tc>
          <w:tcPr>
            <w:tcW w:w="2225" w:type="dxa"/>
            <w:tcBorders>
              <w:top w:val="single" w:color="auto" w:sz="4" w:space="0"/>
              <w:left w:val="nil"/>
              <w:bottom w:val="single" w:color="auto" w:sz="4" w:space="0"/>
              <w:right w:val="single" w:color="auto" w:sz="4" w:space="0"/>
            </w:tcBorders>
            <w:shd w:val="clear" w:color="auto" w:fill="auto"/>
            <w:vAlign w:val="center"/>
          </w:tcPr>
          <w:p w14:paraId="5DEEA48B">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21</w:t>
            </w:r>
          </w:p>
        </w:tc>
        <w:tc>
          <w:tcPr>
            <w:tcW w:w="1998" w:type="dxa"/>
            <w:gridSpan w:val="2"/>
            <w:vMerge w:val="continue"/>
            <w:tcBorders>
              <w:left w:val="nil"/>
              <w:right w:val="single" w:color="auto" w:sz="4" w:space="0"/>
            </w:tcBorders>
            <w:shd w:val="clear" w:color="auto" w:fill="auto"/>
            <w:noWrap/>
            <w:vAlign w:val="center"/>
          </w:tcPr>
          <w:p w14:paraId="272B62DB">
            <w:pPr>
              <w:widowControl/>
              <w:jc w:val="center"/>
              <w:rPr>
                <w:rFonts w:hint="eastAsia" w:ascii="宋体" w:hAnsi="宋体" w:eastAsia="宋体" w:cs="宋体"/>
                <w:color w:val="auto"/>
                <w:kern w:val="0"/>
                <w:sz w:val="24"/>
                <w:szCs w:val="24"/>
                <w:highlight w:val="none"/>
              </w:rPr>
            </w:pPr>
          </w:p>
        </w:tc>
      </w:tr>
      <w:tr w14:paraId="579BA0C4">
        <w:tblPrEx>
          <w:tblCellMar>
            <w:top w:w="0" w:type="dxa"/>
            <w:left w:w="108" w:type="dxa"/>
            <w:bottom w:w="0" w:type="dxa"/>
            <w:right w:w="108" w:type="dxa"/>
          </w:tblCellMar>
        </w:tblPrEx>
        <w:trPr>
          <w:gridAfter w:val="1"/>
          <w:wAfter w:w="16" w:type="dxa"/>
          <w:trHeight w:val="313" w:hRule="atLeast"/>
        </w:trPr>
        <w:tc>
          <w:tcPr>
            <w:tcW w:w="1043" w:type="dxa"/>
            <w:vMerge w:val="continue"/>
            <w:tcBorders>
              <w:left w:val="single" w:color="auto" w:sz="4" w:space="0"/>
              <w:right w:val="single" w:color="auto" w:sz="4" w:space="0"/>
            </w:tcBorders>
            <w:shd w:val="clear" w:color="auto" w:fill="auto"/>
            <w:noWrap/>
            <w:vAlign w:val="center"/>
          </w:tcPr>
          <w:p w14:paraId="264EA4F2">
            <w:pPr>
              <w:widowControl/>
              <w:jc w:val="center"/>
              <w:rPr>
                <w:rFonts w:hint="eastAsia" w:ascii="宋体" w:hAnsi="宋体" w:eastAsia="宋体" w:cs="宋体"/>
                <w:color w:val="auto"/>
                <w:kern w:val="0"/>
                <w:sz w:val="24"/>
                <w:szCs w:val="24"/>
                <w:highlight w:val="none"/>
              </w:rPr>
            </w:pPr>
          </w:p>
        </w:tc>
        <w:tc>
          <w:tcPr>
            <w:tcW w:w="1229" w:type="dxa"/>
            <w:tcBorders>
              <w:top w:val="single" w:color="auto" w:sz="4" w:space="0"/>
              <w:left w:val="nil"/>
              <w:bottom w:val="single" w:color="auto" w:sz="4" w:space="0"/>
              <w:right w:val="single" w:color="auto" w:sz="4" w:space="0"/>
            </w:tcBorders>
            <w:shd w:val="clear" w:color="auto" w:fill="auto"/>
            <w:vAlign w:val="center"/>
          </w:tcPr>
          <w:p w14:paraId="321AAF48">
            <w:pPr>
              <w:widowControl/>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丁村所</w:t>
            </w:r>
          </w:p>
        </w:tc>
        <w:tc>
          <w:tcPr>
            <w:tcW w:w="1180" w:type="dxa"/>
            <w:tcBorders>
              <w:top w:val="single" w:color="auto" w:sz="4" w:space="0"/>
              <w:left w:val="nil"/>
              <w:bottom w:val="single" w:color="auto" w:sz="4" w:space="0"/>
              <w:right w:val="single" w:color="auto" w:sz="4" w:space="0"/>
            </w:tcBorders>
            <w:shd w:val="clear" w:color="auto" w:fill="auto"/>
            <w:vAlign w:val="center"/>
          </w:tcPr>
          <w:p w14:paraId="44C32F0E">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25</w:t>
            </w:r>
          </w:p>
        </w:tc>
        <w:tc>
          <w:tcPr>
            <w:tcW w:w="1447" w:type="dxa"/>
            <w:tcBorders>
              <w:top w:val="single" w:color="auto" w:sz="4" w:space="0"/>
              <w:left w:val="nil"/>
              <w:bottom w:val="single" w:color="auto" w:sz="4" w:space="0"/>
              <w:right w:val="single" w:color="auto" w:sz="4" w:space="0"/>
            </w:tcBorders>
            <w:shd w:val="clear" w:color="auto" w:fill="auto"/>
            <w:vAlign w:val="center"/>
          </w:tcPr>
          <w:p w14:paraId="0EF0F405">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20</w:t>
            </w:r>
          </w:p>
        </w:tc>
        <w:tc>
          <w:tcPr>
            <w:tcW w:w="2225" w:type="dxa"/>
            <w:tcBorders>
              <w:top w:val="single" w:color="auto" w:sz="4" w:space="0"/>
              <w:left w:val="nil"/>
              <w:bottom w:val="single" w:color="auto" w:sz="4" w:space="0"/>
              <w:right w:val="single" w:color="auto" w:sz="4" w:space="0"/>
            </w:tcBorders>
            <w:shd w:val="clear" w:color="auto" w:fill="auto"/>
            <w:vAlign w:val="center"/>
          </w:tcPr>
          <w:p w14:paraId="4CCE25AE">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21</w:t>
            </w:r>
          </w:p>
        </w:tc>
        <w:tc>
          <w:tcPr>
            <w:tcW w:w="1998" w:type="dxa"/>
            <w:gridSpan w:val="2"/>
            <w:vMerge w:val="continue"/>
            <w:tcBorders>
              <w:left w:val="nil"/>
              <w:right w:val="single" w:color="auto" w:sz="4" w:space="0"/>
            </w:tcBorders>
            <w:shd w:val="clear" w:color="auto" w:fill="auto"/>
            <w:noWrap/>
            <w:vAlign w:val="center"/>
          </w:tcPr>
          <w:p w14:paraId="1B885117">
            <w:pPr>
              <w:widowControl/>
              <w:jc w:val="center"/>
              <w:rPr>
                <w:rFonts w:hint="eastAsia" w:ascii="宋体" w:hAnsi="宋体" w:eastAsia="宋体" w:cs="宋体"/>
                <w:color w:val="auto"/>
                <w:kern w:val="0"/>
                <w:sz w:val="24"/>
                <w:szCs w:val="24"/>
                <w:highlight w:val="none"/>
              </w:rPr>
            </w:pPr>
          </w:p>
        </w:tc>
      </w:tr>
    </w:tbl>
    <w:p w14:paraId="071EA4A5">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3包检测内容：</w:t>
      </w:r>
    </w:p>
    <w:tbl>
      <w:tblPr>
        <w:tblStyle w:val="26"/>
        <w:tblW w:w="9299" w:type="dxa"/>
        <w:tblInd w:w="-5" w:type="dxa"/>
        <w:tblLayout w:type="autofit"/>
        <w:tblCellMar>
          <w:top w:w="0" w:type="dxa"/>
          <w:left w:w="108" w:type="dxa"/>
          <w:bottom w:w="0" w:type="dxa"/>
          <w:right w:w="108" w:type="dxa"/>
        </w:tblCellMar>
      </w:tblPr>
      <w:tblGrid>
        <w:gridCol w:w="557"/>
        <w:gridCol w:w="1725"/>
        <w:gridCol w:w="7017"/>
      </w:tblGrid>
      <w:tr w14:paraId="1CD4B56C">
        <w:tblPrEx>
          <w:tblCellMar>
            <w:top w:w="0" w:type="dxa"/>
            <w:left w:w="108" w:type="dxa"/>
            <w:bottom w:w="0" w:type="dxa"/>
            <w:right w:w="108" w:type="dxa"/>
          </w:tblCellMar>
        </w:tblPrEx>
        <w:trPr>
          <w:trHeight w:val="663" w:hRule="atLeast"/>
        </w:trPr>
        <w:tc>
          <w:tcPr>
            <w:tcW w:w="5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9EFF78">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1725" w:type="dxa"/>
            <w:tcBorders>
              <w:top w:val="single" w:color="auto" w:sz="4" w:space="0"/>
              <w:left w:val="nil"/>
              <w:bottom w:val="single" w:color="auto" w:sz="4" w:space="0"/>
              <w:right w:val="single" w:color="auto" w:sz="4" w:space="0"/>
            </w:tcBorders>
            <w:shd w:val="clear" w:color="auto" w:fill="auto"/>
            <w:vAlign w:val="center"/>
          </w:tcPr>
          <w:p w14:paraId="17BB7AE8">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服务内容</w:t>
            </w:r>
          </w:p>
        </w:tc>
        <w:tc>
          <w:tcPr>
            <w:tcW w:w="7017" w:type="dxa"/>
            <w:tcBorders>
              <w:top w:val="single" w:color="auto" w:sz="4" w:space="0"/>
              <w:left w:val="nil"/>
              <w:bottom w:val="single" w:color="auto" w:sz="4" w:space="0"/>
              <w:right w:val="single" w:color="auto" w:sz="4" w:space="0"/>
            </w:tcBorders>
            <w:shd w:val="clear" w:color="auto" w:fill="auto"/>
            <w:noWrap/>
            <w:vAlign w:val="center"/>
          </w:tcPr>
          <w:p w14:paraId="0E66E7BB">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检测项目</w:t>
            </w:r>
          </w:p>
        </w:tc>
      </w:tr>
      <w:tr w14:paraId="3253C042">
        <w:tblPrEx>
          <w:tblCellMar>
            <w:top w:w="0" w:type="dxa"/>
            <w:left w:w="108" w:type="dxa"/>
            <w:bottom w:w="0" w:type="dxa"/>
            <w:right w:w="108" w:type="dxa"/>
          </w:tblCellMar>
        </w:tblPrEx>
        <w:trPr>
          <w:trHeight w:val="1509" w:hRule="atLeast"/>
        </w:trPr>
        <w:tc>
          <w:tcPr>
            <w:tcW w:w="557" w:type="dxa"/>
            <w:tcBorders>
              <w:top w:val="nil"/>
              <w:left w:val="single" w:color="auto" w:sz="4" w:space="0"/>
              <w:bottom w:val="single" w:color="auto" w:sz="4" w:space="0"/>
              <w:right w:val="single" w:color="auto" w:sz="4" w:space="0"/>
            </w:tcBorders>
            <w:shd w:val="clear" w:color="auto" w:fill="auto"/>
            <w:noWrap/>
            <w:vAlign w:val="center"/>
          </w:tcPr>
          <w:p w14:paraId="2740A476">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725" w:type="dxa"/>
            <w:tcBorders>
              <w:top w:val="nil"/>
              <w:left w:val="nil"/>
              <w:bottom w:val="single" w:color="auto" w:sz="4" w:space="0"/>
              <w:right w:val="single" w:color="auto" w:sz="4" w:space="0"/>
            </w:tcBorders>
            <w:shd w:val="clear" w:color="auto" w:fill="auto"/>
            <w:vAlign w:val="center"/>
          </w:tcPr>
          <w:p w14:paraId="75F20D7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食品安全抽样监测项目（餐饮）</w:t>
            </w:r>
          </w:p>
        </w:tc>
        <w:tc>
          <w:tcPr>
            <w:tcW w:w="7017" w:type="dxa"/>
            <w:tcBorders>
              <w:top w:val="nil"/>
              <w:left w:val="nil"/>
              <w:bottom w:val="single" w:color="auto" w:sz="4" w:space="0"/>
              <w:right w:val="single" w:color="auto" w:sz="4" w:space="0"/>
            </w:tcBorders>
            <w:shd w:val="clear" w:color="auto" w:fill="auto"/>
            <w:vAlign w:val="center"/>
          </w:tcPr>
          <w:p w14:paraId="61FC97AD">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检验项目：苯甲酸及其钠盐 (以苯甲酸计) 、山梨酸及其钾盐 (以山梨酸计) 、糖精钠 (以糖精计)、铝的残留量(干样品， 以 Al 计)、铬(以 Cr 计)、黄曲霉毒素 B1、阴离子合成洗涤剂(以十二烷基苯磺酸钠计) 、大肠菌群、酸价 (以脂肪计)  (KOH) 、过氧化值 (以脂肪计) 、 脱氢乙酸及其钠盐(以脱氢乙酸计) 、防腐剂混合使用时各自用量占其最大使用量的比例之和等项目。根据产品的种类在以上项目中确定检验项目。</w:t>
            </w:r>
          </w:p>
        </w:tc>
      </w:tr>
      <w:tr w14:paraId="7B005DEF">
        <w:tblPrEx>
          <w:tblCellMar>
            <w:top w:w="0" w:type="dxa"/>
            <w:left w:w="108" w:type="dxa"/>
            <w:bottom w:w="0" w:type="dxa"/>
            <w:right w:w="108" w:type="dxa"/>
          </w:tblCellMar>
        </w:tblPrEx>
        <w:trPr>
          <w:trHeight w:val="2108" w:hRule="atLeast"/>
        </w:trPr>
        <w:tc>
          <w:tcPr>
            <w:tcW w:w="557" w:type="dxa"/>
            <w:tcBorders>
              <w:top w:val="nil"/>
              <w:left w:val="single" w:color="auto" w:sz="4" w:space="0"/>
              <w:bottom w:val="single" w:color="auto" w:sz="4" w:space="0"/>
              <w:right w:val="single" w:color="auto" w:sz="4" w:space="0"/>
            </w:tcBorders>
            <w:shd w:val="clear" w:color="auto" w:fill="auto"/>
            <w:noWrap/>
            <w:vAlign w:val="center"/>
          </w:tcPr>
          <w:p w14:paraId="520379D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725" w:type="dxa"/>
            <w:tcBorders>
              <w:top w:val="nil"/>
              <w:left w:val="nil"/>
              <w:bottom w:val="single" w:color="auto" w:sz="4" w:space="0"/>
              <w:right w:val="single" w:color="auto" w:sz="4" w:space="0"/>
            </w:tcBorders>
            <w:shd w:val="clear" w:color="auto" w:fill="auto"/>
            <w:vAlign w:val="center"/>
          </w:tcPr>
          <w:p w14:paraId="6A66337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食品安全抽样监测项目（食用农产品）</w:t>
            </w:r>
          </w:p>
        </w:tc>
        <w:tc>
          <w:tcPr>
            <w:tcW w:w="7017" w:type="dxa"/>
            <w:tcBorders>
              <w:top w:val="nil"/>
              <w:left w:val="nil"/>
              <w:bottom w:val="single" w:color="auto" w:sz="4" w:space="0"/>
              <w:right w:val="single" w:color="auto" w:sz="4" w:space="0"/>
            </w:tcBorders>
            <w:shd w:val="clear" w:color="auto" w:fill="auto"/>
            <w:vAlign w:val="center"/>
          </w:tcPr>
          <w:p w14:paraId="6DD0B6C4">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检验项目：挥发性盐基氮、呋喃唑酮代谢物、呋喃西林代谢物、氯霉素、五氯酚酸钠(以五氯酚 计) 、克伦特罗、莱克多巴胺、沙丁胺醇、喹乙醇、恩诺沙星、替米考星、磺胺类 (总 量) 、甲氧苄啶、氟苯尼考、多西环素、土霉素、地塞米松、甲硝唑、氯丙嗪、土霉 素/金霉素/四环素(组合含量)、铅 (以 Pb 计) 、镉 (以 Cd 计) 、铬 (以 Cr 计) 、阿维菌素、毒死蜱、氟虫腈、腐霉 利、甲氨基阿维菌素苯甲酸盐、甲拌磷、克百威、乐果、六六六、氯氟氰菊酯和高效 氯氟氰菊酯、氯氰菊酯和高效氯氰菊酯、氧乐果、乙酰甲胺磷等项目，根据产品的种类在以上项目中确定检验项目。</w:t>
            </w:r>
          </w:p>
        </w:tc>
      </w:tr>
      <w:tr w14:paraId="70E0EBDE">
        <w:tblPrEx>
          <w:tblCellMar>
            <w:top w:w="0" w:type="dxa"/>
            <w:left w:w="108" w:type="dxa"/>
            <w:bottom w:w="0" w:type="dxa"/>
            <w:right w:w="108" w:type="dxa"/>
          </w:tblCellMar>
        </w:tblPrEx>
        <w:trPr>
          <w:trHeight w:val="858" w:hRule="atLeast"/>
        </w:trPr>
        <w:tc>
          <w:tcPr>
            <w:tcW w:w="557" w:type="dxa"/>
            <w:tcBorders>
              <w:top w:val="nil"/>
              <w:left w:val="single" w:color="auto" w:sz="4" w:space="0"/>
              <w:bottom w:val="single" w:color="auto" w:sz="4" w:space="0"/>
              <w:right w:val="single" w:color="auto" w:sz="4" w:space="0"/>
            </w:tcBorders>
            <w:shd w:val="clear" w:color="auto" w:fill="auto"/>
            <w:noWrap/>
            <w:vAlign w:val="center"/>
          </w:tcPr>
          <w:p w14:paraId="582086D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1725" w:type="dxa"/>
            <w:tcBorders>
              <w:top w:val="nil"/>
              <w:left w:val="nil"/>
              <w:bottom w:val="single" w:color="auto" w:sz="4" w:space="0"/>
              <w:right w:val="single" w:color="auto" w:sz="4" w:space="0"/>
            </w:tcBorders>
            <w:shd w:val="clear" w:color="auto" w:fill="auto"/>
            <w:vAlign w:val="center"/>
          </w:tcPr>
          <w:p w14:paraId="72E1F165">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食品安全抽样监测项目（专项抽检及小作坊）</w:t>
            </w:r>
          </w:p>
        </w:tc>
        <w:tc>
          <w:tcPr>
            <w:tcW w:w="7017" w:type="dxa"/>
            <w:tcBorders>
              <w:top w:val="nil"/>
              <w:left w:val="nil"/>
              <w:bottom w:val="single" w:color="auto" w:sz="4" w:space="0"/>
              <w:right w:val="single" w:color="auto" w:sz="4" w:space="0"/>
            </w:tcBorders>
            <w:shd w:val="clear" w:color="auto" w:fill="auto"/>
            <w:vAlign w:val="center"/>
          </w:tcPr>
          <w:p w14:paraId="60F6A33B">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检验项目：铅(以 Pb 计) 、镉(以Cd 计) 、无机砷(以 As 计)  、苯并[a]芘、玉米赤霉烯酮、脱氧雪腐镰刀菌烯醇、赭曲霉毒素 A、黄 曲霉毒素 B1 、过氧化苯甲酰、偶氮甲酰胺、二氧化碳气容量、苯甲酸及其钠盐 (以苯甲酸计) 、山梨酸及其钾盐 (以山梨酸计) 、 防腐剂混合使用时各自用量占其最大使用量的比例之和、甜蜜素(以环己基氨基磺酸 计) 、菌落总数、霉菌、酵母、蛋白质、酸度、三聚氰胺、丙二醇、沙门氏菌、金黄色葡萄球菌、菌落总数、大肠菌群等项目。根据产品的种类在以上项目中确定检验项目。</w:t>
            </w:r>
          </w:p>
        </w:tc>
      </w:tr>
    </w:tbl>
    <w:p w14:paraId="7FA36F42">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备注：以上费用包含抽检产生的一切费用、样品购置费用和样品检验费用。</w:t>
      </w:r>
    </w:p>
    <w:p w14:paraId="2FC91525">
      <w:pPr>
        <w:spacing w:line="480" w:lineRule="auto"/>
        <w:ind w:left="350"/>
        <w:rPr>
          <w:rStyle w:val="66"/>
          <w:rFonts w:hint="eastAsia" w:ascii="宋体" w:hAnsi="宋体" w:eastAsia="宋体" w:cs="宋体"/>
          <w:color w:val="auto"/>
          <w:sz w:val="24"/>
          <w:highlight w:val="none"/>
          <w:lang w:val="zh-CN"/>
        </w:rPr>
      </w:pPr>
      <w:r>
        <w:rPr>
          <w:rStyle w:val="66"/>
          <w:rFonts w:hint="eastAsia" w:ascii="宋体" w:hAnsi="宋体" w:eastAsia="宋体" w:cs="宋体"/>
          <w:color w:val="auto"/>
          <w:sz w:val="24"/>
          <w:highlight w:val="none"/>
          <w:lang w:val="zh-CN"/>
        </w:rPr>
        <w:t>2、服务内容及要求：</w:t>
      </w:r>
    </w:p>
    <w:p w14:paraId="2822D4D7">
      <w:pPr>
        <w:spacing w:line="420" w:lineRule="exact"/>
        <w:ind w:firstLine="480" w:firstLineChars="200"/>
        <w:rPr>
          <w:rStyle w:val="66"/>
          <w:rFonts w:hint="eastAsia" w:ascii="宋体" w:hAnsi="宋体" w:eastAsia="宋体" w:cs="宋体"/>
          <w:color w:val="auto"/>
          <w:sz w:val="24"/>
          <w:highlight w:val="none"/>
          <w:lang w:val="zh-CN"/>
        </w:rPr>
      </w:pPr>
      <w:r>
        <w:rPr>
          <w:rStyle w:val="66"/>
          <w:rFonts w:hint="eastAsia" w:ascii="宋体" w:hAnsi="宋体" w:eastAsia="宋体" w:cs="宋体"/>
          <w:color w:val="auto"/>
          <w:sz w:val="24"/>
          <w:highlight w:val="none"/>
          <w:lang w:val="zh-CN"/>
        </w:rPr>
        <w:t>2.1服务要求：符合国家相关标准。</w:t>
      </w:r>
    </w:p>
    <w:p w14:paraId="15117ACD">
      <w:pPr>
        <w:spacing w:line="420" w:lineRule="exact"/>
        <w:ind w:firstLine="480" w:firstLineChars="200"/>
        <w:rPr>
          <w:rStyle w:val="66"/>
          <w:rFonts w:hint="eastAsia" w:ascii="宋体" w:hAnsi="宋体" w:eastAsia="宋体" w:cs="宋体"/>
          <w:color w:val="auto"/>
          <w:sz w:val="24"/>
          <w:highlight w:val="none"/>
          <w:lang w:val="zh-CN"/>
        </w:rPr>
      </w:pPr>
      <w:r>
        <w:rPr>
          <w:rStyle w:val="66"/>
          <w:rFonts w:hint="eastAsia" w:ascii="宋体" w:hAnsi="宋体" w:eastAsia="宋体" w:cs="宋体"/>
          <w:color w:val="auto"/>
          <w:sz w:val="24"/>
          <w:highlight w:val="none"/>
          <w:lang w:val="zh-CN"/>
        </w:rPr>
        <w:t>2.2</w:t>
      </w:r>
      <w:r>
        <w:rPr>
          <w:rStyle w:val="66"/>
          <w:rFonts w:hint="eastAsia" w:ascii="宋体" w:hAnsi="宋体" w:eastAsia="宋体" w:cs="宋体"/>
          <w:color w:val="auto"/>
          <w:sz w:val="24"/>
          <w:highlight w:val="none"/>
          <w:lang w:val="en-US" w:eastAsia="zh-CN"/>
        </w:rPr>
        <w:t>服务</w:t>
      </w:r>
      <w:r>
        <w:rPr>
          <w:rStyle w:val="66"/>
          <w:rFonts w:hint="eastAsia" w:ascii="宋体" w:hAnsi="宋体" w:eastAsia="宋体" w:cs="宋体"/>
          <w:color w:val="auto"/>
          <w:sz w:val="24"/>
          <w:highlight w:val="none"/>
          <w:lang w:val="zh-CN"/>
        </w:rPr>
        <w:t>地点：采购人指定地点。</w:t>
      </w:r>
    </w:p>
    <w:p w14:paraId="7130D93E">
      <w:pPr>
        <w:spacing w:line="420" w:lineRule="exact"/>
        <w:ind w:firstLine="480" w:firstLineChars="200"/>
        <w:rPr>
          <w:rStyle w:val="66"/>
          <w:rFonts w:hint="eastAsia" w:ascii="宋体" w:hAnsi="宋体" w:eastAsia="宋体" w:cs="宋体"/>
          <w:color w:val="auto"/>
          <w:sz w:val="24"/>
          <w:highlight w:val="none"/>
          <w:lang w:val="zh-CN"/>
        </w:rPr>
      </w:pPr>
      <w:r>
        <w:rPr>
          <w:rStyle w:val="66"/>
          <w:rFonts w:hint="eastAsia" w:ascii="宋体" w:hAnsi="宋体" w:eastAsia="宋体" w:cs="宋体"/>
          <w:color w:val="auto"/>
          <w:sz w:val="24"/>
          <w:highlight w:val="none"/>
          <w:lang w:val="zh-CN"/>
        </w:rPr>
        <w:t>2.3</w:t>
      </w:r>
      <w:r>
        <w:rPr>
          <w:rStyle w:val="66"/>
          <w:rFonts w:hint="eastAsia" w:ascii="宋体" w:hAnsi="宋体" w:eastAsia="宋体" w:cs="宋体"/>
          <w:color w:val="auto"/>
          <w:sz w:val="24"/>
          <w:highlight w:val="none"/>
          <w:lang w:val="en-US" w:eastAsia="zh-CN"/>
        </w:rPr>
        <w:t>服务期限</w:t>
      </w:r>
      <w:r>
        <w:rPr>
          <w:rStyle w:val="66"/>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180</w:t>
      </w:r>
      <w:r>
        <w:rPr>
          <w:rFonts w:hint="eastAsia" w:ascii="宋体" w:hAnsi="宋体" w:eastAsia="宋体" w:cs="宋体"/>
          <w:color w:val="auto"/>
          <w:sz w:val="24"/>
          <w:highlight w:val="none"/>
        </w:rPr>
        <w:t>日历天</w:t>
      </w:r>
      <w:r>
        <w:rPr>
          <w:rStyle w:val="66"/>
          <w:rFonts w:hint="eastAsia" w:ascii="宋体" w:hAnsi="宋体" w:eastAsia="宋体" w:cs="宋体"/>
          <w:color w:val="auto"/>
          <w:sz w:val="24"/>
          <w:highlight w:val="none"/>
          <w:lang w:val="zh-CN"/>
        </w:rPr>
        <w:t>。</w:t>
      </w:r>
    </w:p>
    <w:p w14:paraId="04917E46">
      <w:pPr>
        <w:spacing w:line="420" w:lineRule="exact"/>
        <w:ind w:firstLine="480" w:firstLineChars="200"/>
        <w:rPr>
          <w:rStyle w:val="66"/>
          <w:rFonts w:hint="eastAsia" w:ascii="宋体" w:hAnsi="宋体" w:eastAsia="宋体" w:cs="宋体"/>
          <w:color w:val="auto"/>
          <w:sz w:val="24"/>
          <w:highlight w:val="none"/>
          <w:lang w:val="zh-CN"/>
        </w:rPr>
      </w:pPr>
      <w:r>
        <w:rPr>
          <w:rStyle w:val="66"/>
          <w:rFonts w:hint="eastAsia" w:ascii="宋体" w:hAnsi="宋体" w:eastAsia="宋体" w:cs="宋体"/>
          <w:color w:val="auto"/>
          <w:sz w:val="24"/>
          <w:highlight w:val="none"/>
          <w:lang w:val="zh-CN"/>
        </w:rPr>
        <w:t>2.4验收：由最终用户组织验收。</w:t>
      </w:r>
    </w:p>
    <w:p w14:paraId="2AEA4030">
      <w:pPr>
        <w:spacing w:line="420" w:lineRule="exact"/>
        <w:ind w:firstLine="480" w:firstLineChars="200"/>
        <w:rPr>
          <w:rStyle w:val="66"/>
          <w:rFonts w:hint="eastAsia" w:ascii="宋体" w:hAnsi="宋体" w:eastAsia="宋体" w:cs="宋体"/>
          <w:color w:val="auto"/>
          <w:sz w:val="24"/>
          <w:highlight w:val="none"/>
          <w:lang w:val="zh-CN"/>
        </w:rPr>
      </w:pPr>
      <w:r>
        <w:rPr>
          <w:rStyle w:val="66"/>
          <w:rFonts w:hint="eastAsia" w:ascii="宋体" w:hAnsi="宋体" w:eastAsia="宋体" w:cs="宋体"/>
          <w:color w:val="auto"/>
          <w:sz w:val="24"/>
          <w:highlight w:val="none"/>
        </w:rPr>
        <w:t>供应商对其提供的产品出具《关于符合本国产品标准的声明函》或财政部会同有关部门规定的有关证明文件。</w:t>
      </w:r>
    </w:p>
    <w:p w14:paraId="54B7EE58">
      <w:pPr>
        <w:spacing w:line="480" w:lineRule="auto"/>
        <w:ind w:firstLine="480" w:firstLineChars="200"/>
        <w:rPr>
          <w:rStyle w:val="66"/>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备注：最终成果需按照采购人要求提供所需完整资料</w:t>
      </w:r>
    </w:p>
    <w:p w14:paraId="6A7A0384">
      <w:pP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p>
    <w:p w14:paraId="0E399C35">
      <w:pPr>
        <w:spacing w:line="480" w:lineRule="auto"/>
        <w:outlineLvl w:val="0"/>
        <w:rPr>
          <w:rFonts w:hint="eastAsia" w:ascii="宋体" w:hAnsi="宋体" w:eastAsia="宋体" w:cs="宋体"/>
          <w:color w:val="auto"/>
          <w:sz w:val="24"/>
          <w:highlight w:val="none"/>
        </w:rPr>
      </w:pPr>
      <w:bookmarkStart w:id="37" w:name="_Toc10753"/>
      <w:r>
        <w:rPr>
          <w:rFonts w:hint="eastAsia" w:ascii="宋体" w:hAnsi="宋体" w:eastAsia="宋体" w:cs="宋体"/>
          <w:b/>
          <w:bCs/>
          <w:color w:val="auto"/>
          <w:sz w:val="24"/>
          <w:highlight w:val="none"/>
        </w:rPr>
        <w:t>第四章  响应性文件内容及格式</w:t>
      </w:r>
      <w:bookmarkEnd w:id="37"/>
    </w:p>
    <w:p w14:paraId="607E461F">
      <w:pPr>
        <w:widowControl/>
        <w:spacing w:line="520" w:lineRule="exact"/>
        <w:ind w:firstLine="480" w:firstLineChars="200"/>
        <w:jc w:val="center"/>
        <w:rPr>
          <w:rFonts w:hint="eastAsia" w:ascii="宋体" w:hAnsi="宋体" w:eastAsia="宋体" w:cs="宋体"/>
          <w:color w:val="auto"/>
          <w:sz w:val="24"/>
          <w:highlight w:val="none"/>
        </w:rPr>
      </w:pPr>
    </w:p>
    <w:p w14:paraId="58CF3E95">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注：请供应商按照以下文件的要求格式、内容，顺序制作响应性文件，并编制目录</w:t>
      </w:r>
      <w:r>
        <w:rPr>
          <w:rFonts w:hint="eastAsia" w:ascii="宋体" w:hAnsi="宋体" w:eastAsia="宋体" w:cs="宋体"/>
          <w:color w:val="auto"/>
          <w:sz w:val="24"/>
          <w:highlight w:val="none"/>
          <w:lang w:val="en-US" w:eastAsia="zh-CN"/>
        </w:rPr>
        <w:t>及</w:t>
      </w:r>
      <w:r>
        <w:rPr>
          <w:rFonts w:hint="eastAsia" w:ascii="宋体" w:hAnsi="宋体" w:eastAsia="宋体" w:cs="宋体"/>
          <w:color w:val="auto"/>
          <w:sz w:val="24"/>
          <w:highlight w:val="none"/>
        </w:rPr>
        <w:t>页码</w:t>
      </w:r>
      <w:r>
        <w:rPr>
          <w:rFonts w:hint="eastAsia" w:ascii="宋体" w:hAnsi="宋体" w:eastAsia="宋体" w:cs="宋体"/>
          <w:color w:val="auto"/>
          <w:sz w:val="24"/>
          <w:highlight w:val="none"/>
          <w:lang w:val="en-US" w:eastAsia="zh-CN"/>
        </w:rPr>
        <w:t>和总</w:t>
      </w:r>
      <w:r>
        <w:rPr>
          <w:rFonts w:hint="eastAsia" w:ascii="宋体" w:hAnsi="宋体" w:eastAsia="宋体" w:cs="宋体"/>
          <w:color w:val="auto"/>
          <w:sz w:val="24"/>
          <w:highlight w:val="none"/>
        </w:rPr>
        <w:t>页码，否则可能将影响对响应性文件的评价。</w:t>
      </w:r>
    </w:p>
    <w:p w14:paraId="46B77B85">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重要提示：</w:t>
      </w:r>
    </w:p>
    <w:p w14:paraId="0E556363">
      <w:pPr>
        <w:snapToGri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3FCFC07E">
      <w:pPr>
        <w:snapToGri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.法定代表人本人参加竞争性磋商的，不需提供授权委托书。</w:t>
      </w:r>
    </w:p>
    <w:p w14:paraId="612B33D6">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6F77427E">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格式2-1</w:t>
      </w:r>
    </w:p>
    <w:p w14:paraId="181A4C54">
      <w:pPr>
        <w:widowControl/>
        <w:jc w:val="center"/>
        <w:rPr>
          <w:rFonts w:hint="eastAsia" w:ascii="宋体" w:hAnsi="宋体" w:eastAsia="宋体" w:cs="宋体"/>
          <w:color w:val="auto"/>
          <w:kern w:val="0"/>
          <w:sz w:val="24"/>
          <w:highlight w:val="none"/>
          <w:lang w:eastAsia="zh-CN"/>
        </w:rPr>
      </w:pPr>
      <w:r>
        <w:rPr>
          <w:rFonts w:hint="eastAsia" w:ascii="宋体" w:hAnsi="宋体" w:eastAsia="宋体" w:cs="宋体"/>
          <w:color w:val="auto"/>
          <w:sz w:val="24"/>
          <w:highlight w:val="none"/>
        </w:rPr>
        <w:t>企业营业执照副本</w:t>
      </w:r>
      <w:r>
        <w:rPr>
          <w:rFonts w:hint="eastAsia" w:ascii="宋体" w:hAnsi="宋体" w:eastAsia="宋体" w:cs="宋体"/>
          <w:color w:val="auto"/>
          <w:sz w:val="24"/>
          <w:highlight w:val="none"/>
          <w:lang w:val="en-US" w:eastAsia="zh-CN"/>
        </w:rPr>
        <w:t>及</w:t>
      </w:r>
      <w:r>
        <w:rPr>
          <w:rFonts w:hint="eastAsia" w:ascii="宋体" w:hAnsi="宋体" w:eastAsia="宋体" w:cs="宋体"/>
          <w:color w:val="auto"/>
          <w:kern w:val="0"/>
          <w:sz w:val="24"/>
          <w:highlight w:val="none"/>
        </w:rPr>
        <w:t>资格性证明材料</w:t>
      </w:r>
    </w:p>
    <w:p w14:paraId="4A02799A">
      <w:pPr>
        <w:pStyle w:val="35"/>
        <w:rPr>
          <w:rFonts w:hint="eastAsia" w:ascii="宋体" w:hAnsi="宋体" w:eastAsia="宋体" w:cs="宋体"/>
          <w:color w:val="auto"/>
          <w:highlight w:val="none"/>
          <w:lang w:eastAsia="zh-CN"/>
        </w:rPr>
      </w:pPr>
    </w:p>
    <w:p w14:paraId="2BE09926">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格式2-</w:t>
      </w:r>
      <w:r>
        <w:rPr>
          <w:rFonts w:hint="eastAsia" w:ascii="宋体" w:hAnsi="宋体" w:eastAsia="宋体" w:cs="宋体"/>
          <w:color w:val="auto"/>
          <w:sz w:val="24"/>
          <w:highlight w:val="none"/>
          <w:lang w:val="en-US" w:eastAsia="zh-CN"/>
        </w:rPr>
        <w:t>2</w:t>
      </w:r>
    </w:p>
    <w:p w14:paraId="55654DB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法定代表人身份证明书</w:t>
      </w:r>
    </w:p>
    <w:p w14:paraId="64A6594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（法定代表人参加竞争性磋商的，出具此证明书）</w:t>
      </w:r>
    </w:p>
    <w:p w14:paraId="4E40FA4C">
      <w:pPr>
        <w:spacing w:line="360" w:lineRule="auto"/>
        <w:ind w:firstLine="480" w:firstLineChars="200"/>
        <w:rPr>
          <w:rFonts w:hint="eastAsia" w:ascii="宋体" w:hAnsi="宋体" w:eastAsia="宋体" w:cs="宋体"/>
          <w:color w:val="auto"/>
          <w:sz w:val="24"/>
          <w:highlight w:val="none"/>
        </w:rPr>
      </w:pPr>
    </w:p>
    <w:p w14:paraId="134ED25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同志，系我单位法定代表人，任职务。</w:t>
      </w:r>
    </w:p>
    <w:p w14:paraId="3C1B3B2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2347605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附：联系地址：               </w:t>
      </w:r>
    </w:p>
    <w:p w14:paraId="462FBDD0">
      <w:pPr>
        <w:spacing w:line="360" w:lineRule="auto"/>
        <w:ind w:firstLine="960" w:firstLineChars="400"/>
        <w:rPr>
          <w:rFonts w:hint="eastAsia" w:ascii="宋体" w:hAnsi="宋体" w:eastAsia="宋体" w:cs="宋体"/>
          <w:b/>
          <w:color w:val="auto"/>
          <w:sz w:val="24"/>
          <w:highlight w:val="none"/>
        </w:rPr>
      </w:pPr>
      <w:r>
        <w:rPr>
          <w:rFonts w:hint="eastAsia" w:ascii="宋体" w:hAnsi="宋体" w:eastAsia="宋体" w:cs="宋体"/>
          <w:color w:val="auto"/>
          <w:sz w:val="24"/>
          <w:highlight w:val="none"/>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BBE6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2ABC074">
            <w:pPr>
              <w:spacing w:line="480" w:lineRule="exact"/>
              <w:rPr>
                <w:rFonts w:hint="eastAsia" w:ascii="宋体" w:hAnsi="宋体" w:eastAsia="宋体" w:cs="宋体"/>
                <w:b/>
                <w:bCs/>
                <w:color w:val="auto"/>
                <w:sz w:val="24"/>
                <w:highlight w:val="none"/>
              </w:rPr>
            </w:pPr>
          </w:p>
          <w:p w14:paraId="320EF8E3">
            <w:pPr>
              <w:spacing w:line="480" w:lineRule="exact"/>
              <w:rPr>
                <w:rFonts w:hint="eastAsia" w:ascii="宋体" w:hAnsi="宋体" w:eastAsia="宋体" w:cs="宋体"/>
                <w:b/>
                <w:bCs/>
                <w:color w:val="auto"/>
                <w:sz w:val="24"/>
                <w:highlight w:val="none"/>
              </w:rPr>
            </w:pPr>
          </w:p>
          <w:p w14:paraId="21A8A19E">
            <w:pPr>
              <w:spacing w:line="48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（※附：法定代表人身份证复印件※）</w:t>
            </w:r>
          </w:p>
          <w:p w14:paraId="6937A8EB">
            <w:pPr>
              <w:spacing w:line="480" w:lineRule="exact"/>
              <w:rPr>
                <w:rFonts w:hint="eastAsia" w:ascii="宋体" w:hAnsi="宋体" w:eastAsia="宋体" w:cs="宋体"/>
                <w:color w:val="auto"/>
                <w:sz w:val="24"/>
                <w:highlight w:val="none"/>
              </w:rPr>
            </w:pPr>
          </w:p>
          <w:p w14:paraId="41F3CDDF">
            <w:pPr>
              <w:spacing w:line="480" w:lineRule="exact"/>
              <w:rPr>
                <w:rFonts w:hint="eastAsia" w:ascii="宋体" w:hAnsi="宋体" w:eastAsia="宋体" w:cs="宋体"/>
                <w:color w:val="auto"/>
                <w:sz w:val="24"/>
                <w:highlight w:val="none"/>
              </w:rPr>
            </w:pPr>
          </w:p>
        </w:tc>
      </w:tr>
    </w:tbl>
    <w:p w14:paraId="4EBBA9B9">
      <w:pPr>
        <w:spacing w:line="360" w:lineRule="auto"/>
        <w:ind w:firstLine="960" w:firstLineChars="400"/>
        <w:rPr>
          <w:rFonts w:hint="eastAsia" w:ascii="宋体" w:hAnsi="宋体" w:eastAsia="宋体" w:cs="宋体"/>
          <w:color w:val="auto"/>
          <w:sz w:val="24"/>
          <w:highlight w:val="none"/>
        </w:rPr>
      </w:pPr>
    </w:p>
    <w:p w14:paraId="3B1A574C">
      <w:pPr>
        <w:spacing w:line="360" w:lineRule="auto"/>
        <w:ind w:firstLine="3840" w:firstLineChars="1600"/>
        <w:rPr>
          <w:rFonts w:hint="eastAsia" w:ascii="宋体" w:hAnsi="宋体" w:eastAsia="宋体" w:cs="宋体"/>
          <w:color w:val="auto"/>
          <w:sz w:val="24"/>
          <w:highlight w:val="none"/>
        </w:rPr>
      </w:pPr>
    </w:p>
    <w:p w14:paraId="40A95591">
      <w:pPr>
        <w:spacing w:line="360" w:lineRule="auto"/>
        <w:ind w:firstLine="3840" w:firstLineChars="1600"/>
        <w:rPr>
          <w:rFonts w:hint="eastAsia" w:ascii="宋体" w:hAnsi="宋体" w:eastAsia="宋体" w:cs="宋体"/>
          <w:color w:val="auto"/>
          <w:sz w:val="24"/>
          <w:highlight w:val="none"/>
        </w:rPr>
      </w:pPr>
    </w:p>
    <w:p w14:paraId="03B5E68A">
      <w:pPr>
        <w:spacing w:line="360" w:lineRule="auto"/>
        <w:ind w:firstLine="3840" w:firstLineChars="1600"/>
        <w:rPr>
          <w:rFonts w:hint="eastAsia" w:ascii="宋体" w:hAnsi="宋体" w:eastAsia="宋体" w:cs="宋体"/>
          <w:color w:val="auto"/>
          <w:sz w:val="24"/>
          <w:highlight w:val="none"/>
        </w:rPr>
      </w:pPr>
    </w:p>
    <w:p w14:paraId="05A6BE98">
      <w:pPr>
        <w:spacing w:line="360" w:lineRule="auto"/>
        <w:jc w:val="center"/>
        <w:rPr>
          <w:rFonts w:hint="eastAsia" w:ascii="宋体" w:hAnsi="宋体" w:eastAsia="宋体" w:cs="宋体"/>
          <w:color w:val="auto"/>
          <w:sz w:val="24"/>
          <w:highlight w:val="none"/>
        </w:rPr>
      </w:pPr>
    </w:p>
    <w:p w14:paraId="402B0D9E">
      <w:pPr>
        <w:spacing w:line="360" w:lineRule="auto"/>
        <w:jc w:val="center"/>
        <w:rPr>
          <w:rFonts w:hint="eastAsia" w:ascii="宋体" w:hAnsi="宋体" w:eastAsia="宋体" w:cs="宋体"/>
          <w:color w:val="auto"/>
          <w:sz w:val="24"/>
          <w:highlight w:val="none"/>
        </w:rPr>
      </w:pPr>
    </w:p>
    <w:p w14:paraId="49D33D91">
      <w:pPr>
        <w:spacing w:line="360" w:lineRule="auto"/>
        <w:jc w:val="center"/>
        <w:rPr>
          <w:rFonts w:hint="eastAsia" w:ascii="宋体" w:hAnsi="宋体" w:eastAsia="宋体" w:cs="宋体"/>
          <w:color w:val="auto"/>
          <w:sz w:val="24"/>
          <w:highlight w:val="none"/>
        </w:rPr>
      </w:pPr>
    </w:p>
    <w:p w14:paraId="4CA07D49">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6E09557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13F2C25B">
      <w:pPr>
        <w:spacing w:line="360" w:lineRule="auto"/>
        <w:jc w:val="center"/>
        <w:rPr>
          <w:rFonts w:hint="eastAsia" w:ascii="宋体" w:hAnsi="宋体" w:eastAsia="宋体" w:cs="宋体"/>
          <w:color w:val="auto"/>
          <w:sz w:val="24"/>
          <w:highlight w:val="none"/>
        </w:rPr>
      </w:pPr>
    </w:p>
    <w:p w14:paraId="3F12FC6B">
      <w:pPr>
        <w:spacing w:line="360" w:lineRule="auto"/>
        <w:jc w:val="center"/>
        <w:rPr>
          <w:rFonts w:hint="eastAsia" w:ascii="宋体" w:hAnsi="宋体" w:eastAsia="宋体" w:cs="宋体"/>
          <w:color w:val="auto"/>
          <w:sz w:val="24"/>
          <w:highlight w:val="none"/>
        </w:rPr>
      </w:pPr>
    </w:p>
    <w:p w14:paraId="372BD9ED">
      <w:pPr>
        <w:spacing w:line="360" w:lineRule="auto"/>
        <w:jc w:val="center"/>
        <w:rPr>
          <w:rFonts w:hint="eastAsia" w:ascii="宋体" w:hAnsi="宋体" w:eastAsia="宋体" w:cs="宋体"/>
          <w:color w:val="auto"/>
          <w:sz w:val="24"/>
          <w:highlight w:val="none"/>
        </w:rPr>
      </w:pPr>
    </w:p>
    <w:p w14:paraId="1F8E19F3">
      <w:pPr>
        <w:pStyle w:val="35"/>
        <w:ind w:firstLine="240"/>
        <w:rPr>
          <w:rFonts w:hint="eastAsia" w:ascii="宋体" w:hAnsi="宋体" w:eastAsia="宋体" w:cs="宋体"/>
          <w:color w:val="auto"/>
          <w:sz w:val="24"/>
          <w:highlight w:val="none"/>
        </w:rPr>
      </w:pPr>
    </w:p>
    <w:p w14:paraId="0E90D139">
      <w:pPr>
        <w:pStyle w:val="35"/>
        <w:ind w:firstLine="240"/>
        <w:rPr>
          <w:rFonts w:hint="eastAsia" w:ascii="宋体" w:hAnsi="宋体" w:eastAsia="宋体" w:cs="宋体"/>
          <w:color w:val="auto"/>
          <w:sz w:val="24"/>
          <w:highlight w:val="none"/>
        </w:rPr>
      </w:pPr>
    </w:p>
    <w:p w14:paraId="4D1AE555">
      <w:pPr>
        <w:pStyle w:val="35"/>
        <w:ind w:firstLine="240"/>
        <w:rPr>
          <w:rFonts w:hint="eastAsia" w:ascii="宋体" w:hAnsi="宋体" w:eastAsia="宋体" w:cs="宋体"/>
          <w:color w:val="auto"/>
          <w:sz w:val="24"/>
          <w:highlight w:val="none"/>
        </w:rPr>
      </w:pPr>
    </w:p>
    <w:p w14:paraId="29A94847">
      <w:pPr>
        <w:pStyle w:val="35"/>
        <w:ind w:firstLine="240"/>
        <w:rPr>
          <w:rFonts w:hint="eastAsia" w:ascii="宋体" w:hAnsi="宋体" w:eastAsia="宋体" w:cs="宋体"/>
          <w:color w:val="auto"/>
          <w:sz w:val="24"/>
          <w:highlight w:val="none"/>
        </w:rPr>
      </w:pPr>
    </w:p>
    <w:p w14:paraId="0D3A8105">
      <w:pPr>
        <w:pStyle w:val="35"/>
        <w:ind w:firstLine="240"/>
        <w:rPr>
          <w:rFonts w:hint="eastAsia" w:ascii="宋体" w:hAnsi="宋体" w:eastAsia="宋体" w:cs="宋体"/>
          <w:color w:val="auto"/>
          <w:sz w:val="24"/>
          <w:highlight w:val="none"/>
        </w:rPr>
      </w:pPr>
    </w:p>
    <w:p w14:paraId="184B65AD">
      <w:pPr>
        <w:pStyle w:val="35"/>
        <w:ind w:firstLine="240"/>
        <w:rPr>
          <w:rFonts w:hint="eastAsia" w:ascii="宋体" w:hAnsi="宋体" w:eastAsia="宋体" w:cs="宋体"/>
          <w:color w:val="auto"/>
          <w:sz w:val="24"/>
          <w:highlight w:val="none"/>
        </w:rPr>
      </w:pPr>
    </w:p>
    <w:p w14:paraId="53BF69B6">
      <w:pPr>
        <w:pStyle w:val="35"/>
        <w:ind w:firstLine="240"/>
        <w:rPr>
          <w:rFonts w:hint="eastAsia" w:ascii="宋体" w:hAnsi="宋体" w:eastAsia="宋体" w:cs="宋体"/>
          <w:color w:val="auto"/>
          <w:sz w:val="24"/>
          <w:highlight w:val="none"/>
        </w:rPr>
      </w:pPr>
    </w:p>
    <w:p w14:paraId="1EA045D5">
      <w:pPr>
        <w:pStyle w:val="35"/>
        <w:ind w:firstLine="240"/>
        <w:rPr>
          <w:rFonts w:hint="eastAsia" w:ascii="宋体" w:hAnsi="宋体" w:eastAsia="宋体" w:cs="宋体"/>
          <w:color w:val="auto"/>
          <w:sz w:val="24"/>
          <w:highlight w:val="none"/>
        </w:rPr>
      </w:pPr>
    </w:p>
    <w:p w14:paraId="76E29209">
      <w:pPr>
        <w:spacing w:line="360" w:lineRule="auto"/>
        <w:jc w:val="center"/>
        <w:rPr>
          <w:rFonts w:hint="eastAsia" w:ascii="宋体" w:hAnsi="宋体" w:eastAsia="宋体" w:cs="宋体"/>
          <w:color w:val="auto"/>
          <w:sz w:val="24"/>
          <w:highlight w:val="none"/>
        </w:rPr>
      </w:pPr>
    </w:p>
    <w:p w14:paraId="1B5DB8C8">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格式2-</w:t>
      </w:r>
      <w:r>
        <w:rPr>
          <w:rFonts w:hint="eastAsia" w:ascii="宋体" w:hAnsi="宋体" w:eastAsia="宋体" w:cs="宋体"/>
          <w:color w:val="auto"/>
          <w:sz w:val="24"/>
          <w:highlight w:val="none"/>
          <w:lang w:val="en-US" w:eastAsia="zh-CN"/>
        </w:rPr>
        <w:t>3</w:t>
      </w:r>
    </w:p>
    <w:p w14:paraId="7BE5D3F8">
      <w:pPr>
        <w:spacing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授权委托书</w:t>
      </w:r>
    </w:p>
    <w:p w14:paraId="4558142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（委托代理人参加竞争性磋商的，出具此证明书）</w:t>
      </w:r>
    </w:p>
    <w:p w14:paraId="3B5399C8">
      <w:pPr>
        <w:spacing w:line="360" w:lineRule="auto"/>
        <w:ind w:firstLine="480" w:firstLineChars="200"/>
        <w:rPr>
          <w:rFonts w:hint="eastAsia" w:ascii="宋体" w:hAnsi="宋体" w:eastAsia="宋体" w:cs="宋体"/>
          <w:color w:val="auto"/>
          <w:sz w:val="24"/>
          <w:highlight w:val="none"/>
        </w:rPr>
      </w:pPr>
    </w:p>
    <w:p w14:paraId="38A17D3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55ED87E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本授权书于年月日签字生效，特此声明。</w:t>
      </w:r>
    </w:p>
    <w:p w14:paraId="7A65FD3E">
      <w:pPr>
        <w:spacing w:line="360" w:lineRule="auto"/>
        <w:rPr>
          <w:rFonts w:hint="eastAsia" w:ascii="宋体" w:hAnsi="宋体" w:eastAsia="宋体" w:cs="宋体"/>
          <w:color w:val="auto"/>
          <w:sz w:val="24"/>
          <w:highlight w:val="none"/>
        </w:rPr>
      </w:pPr>
    </w:p>
    <w:p w14:paraId="4B179F3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w:t>
      </w:r>
    </w:p>
    <w:p w14:paraId="7769CB9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电子签章：       </w:t>
      </w:r>
    </w:p>
    <w:p w14:paraId="72DCACB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被委托人：</w:t>
      </w:r>
    </w:p>
    <w:p w14:paraId="65E6D16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43CA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FABBAAF">
            <w:pPr>
              <w:spacing w:line="480" w:lineRule="exact"/>
              <w:rPr>
                <w:rFonts w:hint="eastAsia" w:ascii="宋体" w:hAnsi="宋体" w:eastAsia="宋体" w:cs="宋体"/>
                <w:b/>
                <w:bCs/>
                <w:color w:val="auto"/>
                <w:sz w:val="24"/>
                <w:highlight w:val="none"/>
              </w:rPr>
            </w:pPr>
          </w:p>
          <w:p w14:paraId="33CC611E">
            <w:pPr>
              <w:spacing w:line="480" w:lineRule="exact"/>
              <w:rPr>
                <w:rFonts w:hint="eastAsia" w:ascii="宋体" w:hAnsi="宋体" w:eastAsia="宋体" w:cs="宋体"/>
                <w:b/>
                <w:bCs/>
                <w:color w:val="auto"/>
                <w:sz w:val="24"/>
                <w:highlight w:val="none"/>
              </w:rPr>
            </w:pPr>
          </w:p>
          <w:p w14:paraId="7154B2BA">
            <w:pPr>
              <w:spacing w:line="480" w:lineRule="exact"/>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（※附：被委托人身份证复印件※）</w:t>
            </w:r>
          </w:p>
        </w:tc>
      </w:tr>
    </w:tbl>
    <w:p w14:paraId="0D5BB408">
      <w:pPr>
        <w:spacing w:line="360" w:lineRule="auto"/>
        <w:ind w:firstLine="480" w:firstLineChars="200"/>
        <w:rPr>
          <w:rFonts w:hint="eastAsia" w:ascii="宋体" w:hAnsi="宋体" w:eastAsia="宋体" w:cs="宋体"/>
          <w:color w:val="auto"/>
          <w:sz w:val="24"/>
          <w:highlight w:val="none"/>
        </w:rPr>
      </w:pPr>
    </w:p>
    <w:p w14:paraId="77181CBA">
      <w:pPr>
        <w:spacing w:line="360" w:lineRule="auto"/>
        <w:ind w:firstLine="480" w:firstLineChars="200"/>
        <w:rPr>
          <w:rFonts w:hint="eastAsia" w:ascii="宋体" w:hAnsi="宋体" w:eastAsia="宋体" w:cs="宋体"/>
          <w:color w:val="auto"/>
          <w:sz w:val="24"/>
          <w:highlight w:val="none"/>
        </w:rPr>
      </w:pPr>
    </w:p>
    <w:p w14:paraId="0465FA64">
      <w:pPr>
        <w:spacing w:line="360" w:lineRule="auto"/>
        <w:ind w:firstLine="480" w:firstLineChars="200"/>
        <w:rPr>
          <w:rFonts w:hint="eastAsia" w:ascii="宋体" w:hAnsi="宋体" w:eastAsia="宋体" w:cs="宋体"/>
          <w:color w:val="auto"/>
          <w:sz w:val="24"/>
          <w:highlight w:val="none"/>
        </w:rPr>
      </w:pPr>
    </w:p>
    <w:p w14:paraId="08CF3E8A">
      <w:pPr>
        <w:spacing w:line="360" w:lineRule="auto"/>
        <w:ind w:firstLine="4920" w:firstLineChars="2050"/>
        <w:rPr>
          <w:rFonts w:hint="eastAsia" w:ascii="宋体" w:hAnsi="宋体" w:eastAsia="宋体" w:cs="宋体"/>
          <w:color w:val="auto"/>
          <w:sz w:val="24"/>
          <w:highlight w:val="none"/>
        </w:rPr>
      </w:pPr>
    </w:p>
    <w:p w14:paraId="15B0731E">
      <w:pPr>
        <w:spacing w:line="360" w:lineRule="auto"/>
        <w:jc w:val="center"/>
        <w:rPr>
          <w:rFonts w:hint="eastAsia" w:ascii="宋体" w:hAnsi="宋体" w:eastAsia="宋体" w:cs="宋体"/>
          <w:color w:val="auto"/>
          <w:sz w:val="24"/>
          <w:highlight w:val="none"/>
        </w:rPr>
      </w:pPr>
    </w:p>
    <w:p w14:paraId="473220FF">
      <w:pPr>
        <w:spacing w:line="360" w:lineRule="auto"/>
        <w:jc w:val="center"/>
        <w:rPr>
          <w:rFonts w:hint="eastAsia" w:ascii="宋体" w:hAnsi="宋体" w:eastAsia="宋体" w:cs="宋体"/>
          <w:color w:val="auto"/>
          <w:sz w:val="24"/>
          <w:highlight w:val="none"/>
        </w:rPr>
      </w:pPr>
    </w:p>
    <w:p w14:paraId="04B699D3">
      <w:pPr>
        <w:spacing w:line="360" w:lineRule="auto"/>
        <w:jc w:val="center"/>
        <w:rPr>
          <w:rFonts w:hint="eastAsia" w:ascii="宋体" w:hAnsi="宋体" w:eastAsia="宋体" w:cs="宋体"/>
          <w:color w:val="auto"/>
          <w:sz w:val="24"/>
          <w:highlight w:val="none"/>
        </w:rPr>
      </w:pPr>
    </w:p>
    <w:p w14:paraId="17EA9E3D">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344E944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05D8AFF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59472AD6">
      <w:pPr>
        <w:pStyle w:val="35"/>
        <w:rPr>
          <w:rFonts w:hint="eastAsia" w:ascii="宋体" w:hAnsi="宋体" w:eastAsia="宋体" w:cs="宋体"/>
          <w:color w:val="auto"/>
          <w:highlight w:val="none"/>
        </w:rPr>
      </w:pPr>
    </w:p>
    <w:p w14:paraId="176C29DD">
      <w:pPr>
        <w:pStyle w:val="35"/>
        <w:rPr>
          <w:rFonts w:hint="eastAsia" w:ascii="宋体" w:hAnsi="宋体" w:eastAsia="宋体" w:cs="宋体"/>
          <w:color w:val="auto"/>
          <w:highlight w:val="none"/>
        </w:rPr>
      </w:pPr>
    </w:p>
    <w:p w14:paraId="5815BF68">
      <w:pPr>
        <w:pStyle w:val="35"/>
        <w:rPr>
          <w:rFonts w:hint="eastAsia" w:ascii="宋体" w:hAnsi="宋体" w:eastAsia="宋体" w:cs="宋体"/>
          <w:color w:val="auto"/>
          <w:highlight w:val="none"/>
        </w:rPr>
      </w:pPr>
    </w:p>
    <w:p w14:paraId="495823A5">
      <w:pPr>
        <w:pStyle w:val="35"/>
        <w:rPr>
          <w:rFonts w:hint="eastAsia" w:ascii="宋体" w:hAnsi="宋体" w:eastAsia="宋体" w:cs="宋体"/>
          <w:color w:val="auto"/>
          <w:highlight w:val="none"/>
        </w:rPr>
      </w:pPr>
    </w:p>
    <w:p w14:paraId="40FA2C33">
      <w:pPr>
        <w:pStyle w:val="35"/>
        <w:rPr>
          <w:rFonts w:hint="eastAsia" w:ascii="宋体" w:hAnsi="宋体" w:eastAsia="宋体" w:cs="宋体"/>
          <w:color w:val="auto"/>
          <w:highlight w:val="none"/>
        </w:rPr>
      </w:pPr>
    </w:p>
    <w:p w14:paraId="514ABFB3">
      <w:pPr>
        <w:spacing w:line="360" w:lineRule="auto"/>
        <w:jc w:val="left"/>
        <w:rPr>
          <w:rFonts w:hint="eastAsia" w:ascii="宋体" w:hAnsi="宋体" w:eastAsia="宋体" w:cs="宋体"/>
          <w:color w:val="auto"/>
          <w:sz w:val="24"/>
          <w:highlight w:val="none"/>
        </w:rPr>
      </w:pPr>
    </w:p>
    <w:p w14:paraId="4B195753">
      <w:pPr>
        <w:spacing w:line="360" w:lineRule="auto"/>
        <w:jc w:val="left"/>
        <w:rPr>
          <w:rFonts w:hint="eastAsia" w:ascii="宋体" w:hAnsi="宋体" w:eastAsia="宋体" w:cs="宋体"/>
          <w:color w:val="auto"/>
          <w:sz w:val="24"/>
          <w:highlight w:val="none"/>
        </w:rPr>
      </w:pPr>
    </w:p>
    <w:p w14:paraId="04F8A3F2">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格式2-3政府采购法第二十二条及参加政府采购活动前三年内无重大违法记录的书面声明</w:t>
      </w:r>
    </w:p>
    <w:p w14:paraId="2BFBF3FF">
      <w:pPr>
        <w:spacing w:line="360" w:lineRule="auto"/>
        <w:jc w:val="left"/>
        <w:rPr>
          <w:rFonts w:hint="eastAsia" w:ascii="宋体" w:hAnsi="宋体" w:eastAsia="宋体" w:cs="宋体"/>
          <w:color w:val="auto"/>
          <w:sz w:val="24"/>
          <w:highlight w:val="none"/>
        </w:rPr>
      </w:pPr>
    </w:p>
    <w:p w14:paraId="589308D7">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51E771F0">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格式3</w:t>
      </w:r>
    </w:p>
    <w:p w14:paraId="6B65EBFB">
      <w:pPr>
        <w:spacing w:line="5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投标函</w:t>
      </w:r>
    </w:p>
    <w:p w14:paraId="697EA0B5">
      <w:pPr>
        <w:pStyle w:val="23"/>
        <w:shd w:val="clear" w:color="auto" w:fill="FFFFFF"/>
        <w:adjustRightInd w:val="0"/>
        <w:snapToGrid w:val="0"/>
        <w:spacing w:before="0" w:beforeAutospacing="0" w:after="0" w:afterAutospacing="0" w:line="360" w:lineRule="auto"/>
        <w:rPr>
          <w:rFonts w:hint="eastAsia" w:ascii="宋体" w:hAnsi="宋体" w:eastAsia="宋体" w:cs="宋体"/>
          <w:color w:val="auto"/>
          <w:kern w:val="0"/>
          <w:sz w:val="24"/>
          <w:highlight w:val="none"/>
        </w:rPr>
      </w:pPr>
      <w:r>
        <w:rPr>
          <w:rFonts w:hint="eastAsia" w:ascii="宋体" w:hAnsi="宋体" w:eastAsia="宋体" w:cs="宋体"/>
          <w:color w:val="auto"/>
          <w:szCs w:val="24"/>
          <w:highlight w:val="none"/>
        </w:rPr>
        <w:t>致：</w:t>
      </w:r>
    </w:p>
    <w:p w14:paraId="1CF7DE12">
      <w:pPr>
        <w:pStyle w:val="55"/>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w:t>
      </w:r>
      <w:r>
        <w:rPr>
          <w:rFonts w:hint="eastAsia" w:ascii="宋体" w:hAnsi="宋体" w:eastAsia="宋体" w:cs="宋体"/>
          <w:color w:val="auto"/>
          <w:sz w:val="24"/>
          <w:szCs w:val="24"/>
          <w:highlight w:val="none"/>
          <w:u w:val="single"/>
        </w:rPr>
        <w:t>（本项目名称）</w:t>
      </w:r>
      <w:r>
        <w:rPr>
          <w:rFonts w:hint="eastAsia" w:ascii="宋体" w:hAnsi="宋体" w:eastAsia="宋体" w:cs="宋体"/>
          <w:color w:val="auto"/>
          <w:sz w:val="24"/>
          <w:szCs w:val="24"/>
          <w:highlight w:val="none"/>
        </w:rPr>
        <w:t>项目的竞争性磋商邀请（项目编号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），委托代理人 (全名、职务)代表 供应商名称、地址)提交投标文件，报价为</w:t>
      </w:r>
      <w:r>
        <w:rPr>
          <w:rFonts w:hint="eastAsia" w:ascii="宋体" w:hAnsi="宋体" w:eastAsia="宋体" w:cs="宋体"/>
          <w:color w:val="auto"/>
          <w:sz w:val="24"/>
          <w:szCs w:val="24"/>
          <w:highlight w:val="none"/>
          <w:u w:val="single"/>
        </w:rPr>
        <w:t>：    元，</w:t>
      </w:r>
      <w:r>
        <w:rPr>
          <w:rFonts w:hint="eastAsia" w:ascii="宋体" w:hAnsi="宋体" w:eastAsia="宋体" w:cs="宋体"/>
          <w:color w:val="auto"/>
          <w:sz w:val="24"/>
          <w:szCs w:val="24"/>
          <w:highlight w:val="none"/>
        </w:rPr>
        <w:t>并对之负法律责任。</w:t>
      </w:r>
    </w:p>
    <w:p w14:paraId="50D6A817">
      <w:pPr>
        <w:ind w:firstLine="568" w:firstLineChars="237"/>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据此函，宣布同意如下：</w:t>
      </w:r>
    </w:p>
    <w:p w14:paraId="01C276D4">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(1)我们完全理解贵方不一定要接受最低报价，并同意本文件规定的响应性文件有效期</w:t>
      </w:r>
      <w:r>
        <w:rPr>
          <w:rFonts w:hint="eastAsia" w:ascii="宋体" w:hAnsi="宋体" w:eastAsia="宋体" w:cs="宋体"/>
          <w:color w:val="auto"/>
          <w:sz w:val="24"/>
          <w:highlight w:val="none"/>
          <w:lang w:val="en-US" w:eastAsia="zh-CN"/>
        </w:rPr>
        <w:t>天</w:t>
      </w:r>
      <w:r>
        <w:rPr>
          <w:rFonts w:hint="eastAsia" w:ascii="宋体" w:hAnsi="宋体" w:eastAsia="宋体" w:cs="宋体"/>
          <w:color w:val="auto"/>
          <w:sz w:val="24"/>
          <w:highlight w:val="none"/>
        </w:rPr>
        <w:t>。</w:t>
      </w:r>
    </w:p>
    <w:p w14:paraId="6E4D85CA">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(2)我们已详细审核全部竞争性磋商文件，我们知道必须放弃提出含糊不清或误解的问题的权利。</w:t>
      </w:r>
    </w:p>
    <w:p w14:paraId="0D06C00C">
      <w:pPr>
        <w:numPr>
          <w:ilvl w:val="0"/>
          <w:numId w:val="3"/>
        </w:num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同意向贵方提供贵方可能另外要求的与其竞争性磋商有关的任何证据和资料。</w:t>
      </w:r>
      <w:r>
        <w:rPr>
          <w:rFonts w:hint="eastAsia" w:ascii="宋体" w:hAnsi="宋体" w:eastAsia="宋体" w:cs="宋体"/>
          <w:color w:val="auto"/>
          <w:sz w:val="24"/>
          <w:highlight w:val="none"/>
          <w:lang w:val="en-US" w:eastAsia="zh-CN"/>
        </w:rPr>
        <w:t>投标函按统一格式填写，由供应商加盖公章，并由供应商法定代表人或其授权代表人签字和盖章。</w:t>
      </w:r>
    </w:p>
    <w:p w14:paraId="48817070">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(4)一旦我们成交，我们将严格履行合同责任和义务。</w:t>
      </w:r>
    </w:p>
    <w:p w14:paraId="41B3B2DF">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(5)我们完全理解不向未成交人解释未成交理由的义务。</w:t>
      </w:r>
    </w:p>
    <w:p w14:paraId="01C6A8EF">
      <w:pPr>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val="zh-CN"/>
        </w:rPr>
        <w:t>如果我们的谈判响应文件被接受，我们将履行谈判文件中规定的每一项要求，按期、按质、按量履行合同。</w:t>
      </w:r>
    </w:p>
    <w:p w14:paraId="1424C075">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zh-CN"/>
        </w:rPr>
        <w:t>我方愿按《中华人民共和国合同法》履行我方的全部责任。</w:t>
      </w:r>
    </w:p>
    <w:p w14:paraId="3F4C7E0F">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(8)与本次竞争性磋商有关的正式通讯地址为：</w:t>
      </w:r>
    </w:p>
    <w:p w14:paraId="022EFA6B">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                  邮 编：</w:t>
      </w:r>
    </w:p>
    <w:p w14:paraId="334DEFEF">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                  电子信箱：</w:t>
      </w:r>
    </w:p>
    <w:p w14:paraId="47FFBC86">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我们保证：</w:t>
      </w:r>
    </w:p>
    <w:p w14:paraId="677E7A74">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(1)不提供虚假材料谋取成交；</w:t>
      </w:r>
    </w:p>
    <w:p w14:paraId="19EA81C6">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(2)不以不正当手段抵毁、排挤其他供应商；</w:t>
      </w:r>
    </w:p>
    <w:p w14:paraId="3DE754BA">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(3)不与采购人和其它供应商恶意串通；</w:t>
      </w:r>
    </w:p>
    <w:p w14:paraId="4EF151E0">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(4)不向采购人和采购代理机构提供不正当利益；</w:t>
      </w:r>
    </w:p>
    <w:p w14:paraId="31ADB162">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(5)不拒绝有关部门监督检查或提供虚假情况。</w:t>
      </w:r>
    </w:p>
    <w:p w14:paraId="045EC204">
      <w:pPr>
        <w:spacing w:line="560" w:lineRule="exact"/>
        <w:jc w:val="left"/>
        <w:rPr>
          <w:rFonts w:hint="eastAsia" w:ascii="宋体" w:hAnsi="宋体" w:eastAsia="宋体" w:cs="宋体"/>
          <w:color w:val="auto"/>
          <w:sz w:val="24"/>
          <w:highlight w:val="none"/>
        </w:rPr>
      </w:pPr>
    </w:p>
    <w:p w14:paraId="17648972">
      <w:pPr>
        <w:spacing w:line="560" w:lineRule="exact"/>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     联系人：              联系电话：</w:t>
      </w:r>
    </w:p>
    <w:p w14:paraId="52EC44B6">
      <w:pPr>
        <w:spacing w:line="360" w:lineRule="auto"/>
        <w:jc w:val="left"/>
        <w:rPr>
          <w:rFonts w:hint="eastAsia" w:ascii="宋体" w:hAnsi="宋体" w:eastAsia="宋体" w:cs="宋体"/>
          <w:color w:val="auto"/>
          <w:sz w:val="24"/>
          <w:highlight w:val="none"/>
        </w:rPr>
      </w:pPr>
    </w:p>
    <w:p w14:paraId="5DFB5A00">
      <w:pPr>
        <w:spacing w:line="360" w:lineRule="auto"/>
        <w:jc w:val="left"/>
        <w:rPr>
          <w:rFonts w:hint="eastAsia" w:ascii="宋体" w:hAnsi="宋体" w:eastAsia="宋体" w:cs="宋体"/>
          <w:color w:val="auto"/>
          <w:sz w:val="24"/>
          <w:highlight w:val="none"/>
        </w:rPr>
      </w:pPr>
    </w:p>
    <w:p w14:paraId="66A85061">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42359AA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651CEF30">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格式4</w:t>
      </w:r>
    </w:p>
    <w:p w14:paraId="21D027FB">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hint="eastAsia" w:ascii="宋体" w:hAnsi="宋体" w:eastAsia="宋体" w:cs="宋体"/>
          <w:b w:val="0"/>
          <w:color w:val="auto"/>
          <w:sz w:val="24"/>
          <w:szCs w:val="24"/>
          <w:highlight w:val="none"/>
        </w:rPr>
      </w:pPr>
      <w:bookmarkStart w:id="38" w:name="_Toc495414231"/>
      <w:bookmarkStart w:id="39" w:name="_Toc197934561"/>
      <w:r>
        <w:rPr>
          <w:rFonts w:hint="eastAsia" w:ascii="宋体" w:hAnsi="宋体" w:eastAsia="宋体" w:cs="宋体"/>
          <w:b w:val="0"/>
          <w:color w:val="auto"/>
          <w:sz w:val="24"/>
          <w:szCs w:val="24"/>
          <w:highlight w:val="none"/>
        </w:rPr>
        <w:t>一．报价一览表</w:t>
      </w:r>
      <w:bookmarkEnd w:id="38"/>
      <w:bookmarkEnd w:id="39"/>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D12B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5D60029">
            <w:pPr>
              <w:widowControl/>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4647C74">
            <w:pPr>
              <w:spacing w:line="360" w:lineRule="exact"/>
              <w:jc w:val="center"/>
              <w:rPr>
                <w:rFonts w:hint="eastAsia" w:ascii="宋体" w:hAnsi="宋体" w:eastAsia="宋体" w:cs="宋体"/>
                <w:color w:val="auto"/>
                <w:sz w:val="24"/>
                <w:highlight w:val="none"/>
              </w:rPr>
            </w:pPr>
          </w:p>
        </w:tc>
      </w:tr>
      <w:tr w14:paraId="7E786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4BAF68B">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投标人全称</w:t>
            </w:r>
          </w:p>
        </w:tc>
        <w:tc>
          <w:tcPr>
            <w:tcW w:w="6667" w:type="dxa"/>
            <w:tcBorders>
              <w:top w:val="nil"/>
            </w:tcBorders>
            <w:vAlign w:val="center"/>
          </w:tcPr>
          <w:p w14:paraId="2CDEFF88">
            <w:pPr>
              <w:spacing w:line="360" w:lineRule="auto"/>
              <w:rPr>
                <w:rFonts w:hint="eastAsia" w:ascii="宋体" w:hAnsi="宋体" w:eastAsia="宋体" w:cs="宋体"/>
                <w:color w:val="auto"/>
                <w:sz w:val="24"/>
                <w:highlight w:val="none"/>
              </w:rPr>
            </w:pPr>
          </w:p>
        </w:tc>
      </w:tr>
      <w:tr w14:paraId="4F508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E55F32A">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最终投标报价（包：）</w:t>
            </w:r>
          </w:p>
          <w:p w14:paraId="25710FA5">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（人民币）</w:t>
            </w:r>
          </w:p>
        </w:tc>
        <w:tc>
          <w:tcPr>
            <w:tcW w:w="6667" w:type="dxa"/>
            <w:tcBorders>
              <w:top w:val="nil"/>
            </w:tcBorders>
            <w:vAlign w:val="center"/>
          </w:tcPr>
          <w:p w14:paraId="18D5F791">
            <w:pPr>
              <w:spacing w:line="360" w:lineRule="auto"/>
              <w:ind w:right="-67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投标总价：       大写：           </w:t>
            </w:r>
          </w:p>
        </w:tc>
      </w:tr>
      <w:tr w14:paraId="11CD7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84DE21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6667" w:type="dxa"/>
            <w:tcBorders>
              <w:top w:val="nil"/>
            </w:tcBorders>
            <w:vAlign w:val="center"/>
          </w:tcPr>
          <w:p w14:paraId="06D6E3EF">
            <w:pPr>
              <w:spacing w:line="360" w:lineRule="auto"/>
              <w:jc w:val="left"/>
              <w:rPr>
                <w:rFonts w:hint="eastAsia" w:ascii="宋体" w:hAnsi="宋体" w:eastAsia="宋体" w:cs="宋体"/>
                <w:color w:val="auto"/>
                <w:sz w:val="24"/>
                <w:highlight w:val="none"/>
              </w:rPr>
            </w:pPr>
          </w:p>
        </w:tc>
      </w:tr>
    </w:tbl>
    <w:p w14:paraId="6CF21447">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0BA9F47F">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备注：</w:t>
      </w:r>
    </w:p>
    <w:p w14:paraId="2E8E8F3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1、此表用于开标会唱标之用。</w:t>
      </w:r>
    </w:p>
    <w:p w14:paraId="7183D32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36309DF3">
      <w:pPr>
        <w:spacing w:line="360" w:lineRule="auto"/>
        <w:jc w:val="left"/>
        <w:rPr>
          <w:rFonts w:hint="eastAsia" w:ascii="宋体" w:hAnsi="宋体" w:eastAsia="宋体" w:cs="宋体"/>
          <w:color w:val="auto"/>
          <w:sz w:val="24"/>
          <w:highlight w:val="none"/>
        </w:rPr>
      </w:pPr>
      <w:bookmarkStart w:id="40" w:name="_Toc220232409"/>
      <w:bookmarkStart w:id="41" w:name="_Toc495414234"/>
    </w:p>
    <w:p w14:paraId="684F2478">
      <w:pPr>
        <w:pStyle w:val="35"/>
        <w:ind w:firstLine="240"/>
        <w:rPr>
          <w:rFonts w:hint="eastAsia" w:ascii="宋体" w:hAnsi="宋体" w:eastAsia="宋体" w:cs="宋体"/>
          <w:color w:val="auto"/>
          <w:sz w:val="24"/>
          <w:highlight w:val="none"/>
        </w:rPr>
      </w:pPr>
    </w:p>
    <w:p w14:paraId="23FBD5D9">
      <w:pPr>
        <w:pStyle w:val="35"/>
        <w:ind w:firstLine="240"/>
        <w:rPr>
          <w:rFonts w:hint="eastAsia" w:ascii="宋体" w:hAnsi="宋体" w:eastAsia="宋体" w:cs="宋体"/>
          <w:color w:val="auto"/>
          <w:sz w:val="24"/>
          <w:highlight w:val="none"/>
        </w:rPr>
      </w:pPr>
    </w:p>
    <w:p w14:paraId="0C4A365E">
      <w:pPr>
        <w:pStyle w:val="35"/>
        <w:ind w:firstLine="240"/>
        <w:rPr>
          <w:rFonts w:hint="eastAsia" w:ascii="宋体" w:hAnsi="宋体" w:eastAsia="宋体" w:cs="宋体"/>
          <w:color w:val="auto"/>
          <w:sz w:val="24"/>
          <w:highlight w:val="none"/>
        </w:rPr>
      </w:pPr>
    </w:p>
    <w:p w14:paraId="47891AC1">
      <w:pPr>
        <w:pStyle w:val="35"/>
        <w:ind w:firstLine="240"/>
        <w:rPr>
          <w:rFonts w:hint="eastAsia" w:ascii="宋体" w:hAnsi="宋体" w:eastAsia="宋体" w:cs="宋体"/>
          <w:color w:val="auto"/>
          <w:sz w:val="24"/>
          <w:highlight w:val="none"/>
        </w:rPr>
      </w:pPr>
    </w:p>
    <w:p w14:paraId="251D7FEF">
      <w:pPr>
        <w:pStyle w:val="35"/>
        <w:ind w:firstLine="240"/>
        <w:rPr>
          <w:rFonts w:hint="eastAsia" w:ascii="宋体" w:hAnsi="宋体" w:eastAsia="宋体" w:cs="宋体"/>
          <w:color w:val="auto"/>
          <w:sz w:val="24"/>
          <w:highlight w:val="none"/>
        </w:rPr>
      </w:pPr>
    </w:p>
    <w:p w14:paraId="5DF1713A">
      <w:pPr>
        <w:pStyle w:val="35"/>
        <w:ind w:firstLine="240"/>
        <w:rPr>
          <w:rFonts w:hint="eastAsia" w:ascii="宋体" w:hAnsi="宋体" w:eastAsia="宋体" w:cs="宋体"/>
          <w:color w:val="auto"/>
          <w:sz w:val="24"/>
          <w:highlight w:val="none"/>
        </w:rPr>
      </w:pPr>
    </w:p>
    <w:p w14:paraId="56824066">
      <w:pPr>
        <w:spacing w:line="360" w:lineRule="auto"/>
        <w:jc w:val="left"/>
        <w:rPr>
          <w:rFonts w:hint="eastAsia" w:ascii="宋体" w:hAnsi="宋体" w:eastAsia="宋体" w:cs="宋体"/>
          <w:color w:val="auto"/>
          <w:sz w:val="24"/>
          <w:highlight w:val="none"/>
        </w:rPr>
      </w:pPr>
    </w:p>
    <w:p w14:paraId="52090AB6">
      <w:pPr>
        <w:spacing w:line="360" w:lineRule="auto"/>
        <w:jc w:val="left"/>
        <w:rPr>
          <w:rFonts w:hint="eastAsia" w:ascii="宋体" w:hAnsi="宋体" w:eastAsia="宋体" w:cs="宋体"/>
          <w:color w:val="auto"/>
          <w:sz w:val="24"/>
          <w:highlight w:val="none"/>
        </w:rPr>
      </w:pPr>
    </w:p>
    <w:p w14:paraId="48282D64">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格式5</w:t>
      </w:r>
    </w:p>
    <w:p w14:paraId="38A01E4D">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投标分项报价表</w:t>
      </w:r>
      <w:bookmarkEnd w:id="40"/>
      <w:bookmarkEnd w:id="41"/>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5561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3C1BE2C">
            <w:pPr>
              <w:pStyle w:val="59"/>
              <w:widowControl w:val="0"/>
              <w:spacing w:before="0" w:beforeAutospacing="0" w:after="0" w:afterAutospacing="0" w:line="340" w:lineRule="exact"/>
              <w:rPr>
                <w:rFonts w:hint="eastAsia" w:ascii="宋体" w:hAnsi="宋体" w:eastAsia="宋体" w:cs="宋体"/>
                <w:b w:val="0"/>
                <w:bCs w:val="0"/>
                <w:color w:val="auto"/>
                <w:kern w:val="2"/>
                <w:sz w:val="24"/>
                <w:szCs w:val="24"/>
                <w:highlight w:val="none"/>
              </w:rPr>
            </w:pPr>
            <w:r>
              <w:rPr>
                <w:rFonts w:hint="eastAsia" w:ascii="宋体" w:hAnsi="宋体" w:eastAsia="宋体" w:cs="宋体"/>
                <w:b w:val="0"/>
                <w:bCs w:val="0"/>
                <w:color w:val="auto"/>
                <w:kern w:val="2"/>
                <w:sz w:val="24"/>
                <w:szCs w:val="24"/>
                <w:highlight w:val="none"/>
              </w:rPr>
              <w:t>序号</w:t>
            </w:r>
          </w:p>
        </w:tc>
        <w:tc>
          <w:tcPr>
            <w:tcW w:w="2205" w:type="dxa"/>
            <w:vAlign w:val="center"/>
          </w:tcPr>
          <w:p w14:paraId="7E4BA181">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服务项目名称</w:t>
            </w:r>
          </w:p>
        </w:tc>
        <w:tc>
          <w:tcPr>
            <w:tcW w:w="957" w:type="dxa"/>
            <w:vAlign w:val="center"/>
          </w:tcPr>
          <w:p w14:paraId="6A4478C5">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单位</w:t>
            </w:r>
          </w:p>
        </w:tc>
        <w:tc>
          <w:tcPr>
            <w:tcW w:w="840" w:type="dxa"/>
            <w:vAlign w:val="center"/>
          </w:tcPr>
          <w:p w14:paraId="79D92B95">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1260" w:type="dxa"/>
            <w:vAlign w:val="center"/>
          </w:tcPr>
          <w:p w14:paraId="270C053F">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单价</w:t>
            </w:r>
          </w:p>
        </w:tc>
        <w:tc>
          <w:tcPr>
            <w:tcW w:w="1340" w:type="dxa"/>
            <w:vAlign w:val="center"/>
          </w:tcPr>
          <w:p w14:paraId="07A6B3DA">
            <w:pPr>
              <w:spacing w:line="340" w:lineRule="exact"/>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小计</w:t>
            </w:r>
          </w:p>
        </w:tc>
        <w:tc>
          <w:tcPr>
            <w:tcW w:w="1347" w:type="dxa"/>
            <w:vAlign w:val="center"/>
          </w:tcPr>
          <w:p w14:paraId="4C4B7C8B">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2E7B9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4E1095B">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205" w:type="dxa"/>
          </w:tcPr>
          <w:p w14:paraId="3B683CE4">
            <w:pPr>
              <w:spacing w:line="340" w:lineRule="exact"/>
              <w:rPr>
                <w:rFonts w:hint="eastAsia" w:ascii="宋体" w:hAnsi="宋体" w:eastAsia="宋体" w:cs="宋体"/>
                <w:color w:val="auto"/>
                <w:sz w:val="24"/>
                <w:highlight w:val="none"/>
              </w:rPr>
            </w:pPr>
          </w:p>
        </w:tc>
        <w:tc>
          <w:tcPr>
            <w:tcW w:w="957" w:type="dxa"/>
          </w:tcPr>
          <w:p w14:paraId="43A9100C">
            <w:pPr>
              <w:spacing w:line="340" w:lineRule="exact"/>
              <w:rPr>
                <w:rFonts w:hint="eastAsia" w:ascii="宋体" w:hAnsi="宋体" w:eastAsia="宋体" w:cs="宋体"/>
                <w:color w:val="auto"/>
                <w:sz w:val="24"/>
                <w:highlight w:val="none"/>
              </w:rPr>
            </w:pPr>
          </w:p>
        </w:tc>
        <w:tc>
          <w:tcPr>
            <w:tcW w:w="840" w:type="dxa"/>
          </w:tcPr>
          <w:p w14:paraId="093BFDF4">
            <w:pPr>
              <w:spacing w:line="340" w:lineRule="exact"/>
              <w:rPr>
                <w:rFonts w:hint="eastAsia" w:ascii="宋体" w:hAnsi="宋体" w:eastAsia="宋体" w:cs="宋体"/>
                <w:color w:val="auto"/>
                <w:sz w:val="24"/>
                <w:highlight w:val="none"/>
              </w:rPr>
            </w:pPr>
          </w:p>
        </w:tc>
        <w:tc>
          <w:tcPr>
            <w:tcW w:w="1260" w:type="dxa"/>
          </w:tcPr>
          <w:p w14:paraId="7FFCBF3C">
            <w:pPr>
              <w:spacing w:line="340" w:lineRule="exact"/>
              <w:rPr>
                <w:rFonts w:hint="eastAsia" w:ascii="宋体" w:hAnsi="宋体" w:eastAsia="宋体" w:cs="宋体"/>
                <w:color w:val="auto"/>
                <w:sz w:val="24"/>
                <w:highlight w:val="none"/>
              </w:rPr>
            </w:pPr>
          </w:p>
        </w:tc>
        <w:tc>
          <w:tcPr>
            <w:tcW w:w="1340" w:type="dxa"/>
          </w:tcPr>
          <w:p w14:paraId="590D9658">
            <w:pPr>
              <w:spacing w:line="340" w:lineRule="exact"/>
              <w:rPr>
                <w:rFonts w:hint="eastAsia" w:ascii="宋体" w:hAnsi="宋体" w:eastAsia="宋体" w:cs="宋体"/>
                <w:color w:val="auto"/>
                <w:sz w:val="24"/>
                <w:highlight w:val="none"/>
              </w:rPr>
            </w:pPr>
          </w:p>
        </w:tc>
        <w:tc>
          <w:tcPr>
            <w:tcW w:w="1347" w:type="dxa"/>
          </w:tcPr>
          <w:p w14:paraId="1DDF5980">
            <w:pPr>
              <w:spacing w:line="340" w:lineRule="exact"/>
              <w:rPr>
                <w:rFonts w:hint="eastAsia" w:ascii="宋体" w:hAnsi="宋体" w:eastAsia="宋体" w:cs="宋体"/>
                <w:color w:val="auto"/>
                <w:sz w:val="24"/>
                <w:highlight w:val="none"/>
              </w:rPr>
            </w:pPr>
          </w:p>
        </w:tc>
      </w:tr>
      <w:tr w14:paraId="43517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0E6943E">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205" w:type="dxa"/>
          </w:tcPr>
          <w:p w14:paraId="7D9507B6">
            <w:pPr>
              <w:spacing w:line="340" w:lineRule="exact"/>
              <w:rPr>
                <w:rFonts w:hint="eastAsia" w:ascii="宋体" w:hAnsi="宋体" w:eastAsia="宋体" w:cs="宋体"/>
                <w:color w:val="auto"/>
                <w:sz w:val="24"/>
                <w:highlight w:val="none"/>
              </w:rPr>
            </w:pPr>
          </w:p>
        </w:tc>
        <w:tc>
          <w:tcPr>
            <w:tcW w:w="957" w:type="dxa"/>
          </w:tcPr>
          <w:p w14:paraId="24FF8448">
            <w:pPr>
              <w:spacing w:line="340" w:lineRule="exact"/>
              <w:rPr>
                <w:rFonts w:hint="eastAsia" w:ascii="宋体" w:hAnsi="宋体" w:eastAsia="宋体" w:cs="宋体"/>
                <w:color w:val="auto"/>
                <w:sz w:val="24"/>
                <w:highlight w:val="none"/>
              </w:rPr>
            </w:pPr>
          </w:p>
        </w:tc>
        <w:tc>
          <w:tcPr>
            <w:tcW w:w="840" w:type="dxa"/>
          </w:tcPr>
          <w:p w14:paraId="354638D6">
            <w:pPr>
              <w:spacing w:line="340" w:lineRule="exact"/>
              <w:rPr>
                <w:rFonts w:hint="eastAsia" w:ascii="宋体" w:hAnsi="宋体" w:eastAsia="宋体" w:cs="宋体"/>
                <w:color w:val="auto"/>
                <w:sz w:val="24"/>
                <w:highlight w:val="none"/>
              </w:rPr>
            </w:pPr>
          </w:p>
        </w:tc>
        <w:tc>
          <w:tcPr>
            <w:tcW w:w="1260" w:type="dxa"/>
          </w:tcPr>
          <w:p w14:paraId="7D5C82DA">
            <w:pPr>
              <w:spacing w:line="340" w:lineRule="exact"/>
              <w:rPr>
                <w:rFonts w:hint="eastAsia" w:ascii="宋体" w:hAnsi="宋体" w:eastAsia="宋体" w:cs="宋体"/>
                <w:color w:val="auto"/>
                <w:sz w:val="24"/>
                <w:highlight w:val="none"/>
              </w:rPr>
            </w:pPr>
          </w:p>
        </w:tc>
        <w:tc>
          <w:tcPr>
            <w:tcW w:w="1340" w:type="dxa"/>
          </w:tcPr>
          <w:p w14:paraId="6219434C">
            <w:pPr>
              <w:spacing w:line="340" w:lineRule="exact"/>
              <w:rPr>
                <w:rFonts w:hint="eastAsia" w:ascii="宋体" w:hAnsi="宋体" w:eastAsia="宋体" w:cs="宋体"/>
                <w:color w:val="auto"/>
                <w:sz w:val="24"/>
                <w:highlight w:val="none"/>
              </w:rPr>
            </w:pPr>
          </w:p>
        </w:tc>
        <w:tc>
          <w:tcPr>
            <w:tcW w:w="1347" w:type="dxa"/>
          </w:tcPr>
          <w:p w14:paraId="5267B295">
            <w:pPr>
              <w:spacing w:line="340" w:lineRule="exact"/>
              <w:rPr>
                <w:rFonts w:hint="eastAsia" w:ascii="宋体" w:hAnsi="宋体" w:eastAsia="宋体" w:cs="宋体"/>
                <w:color w:val="auto"/>
                <w:sz w:val="24"/>
                <w:highlight w:val="none"/>
              </w:rPr>
            </w:pPr>
          </w:p>
        </w:tc>
      </w:tr>
      <w:tr w14:paraId="7C9E7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F7396D">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205" w:type="dxa"/>
          </w:tcPr>
          <w:p w14:paraId="45B6A3D2">
            <w:pPr>
              <w:spacing w:line="340" w:lineRule="exact"/>
              <w:rPr>
                <w:rFonts w:hint="eastAsia" w:ascii="宋体" w:hAnsi="宋体" w:eastAsia="宋体" w:cs="宋体"/>
                <w:color w:val="auto"/>
                <w:sz w:val="24"/>
                <w:highlight w:val="none"/>
              </w:rPr>
            </w:pPr>
          </w:p>
        </w:tc>
        <w:tc>
          <w:tcPr>
            <w:tcW w:w="957" w:type="dxa"/>
          </w:tcPr>
          <w:p w14:paraId="2C41A273">
            <w:pPr>
              <w:spacing w:line="340" w:lineRule="exact"/>
              <w:rPr>
                <w:rFonts w:hint="eastAsia" w:ascii="宋体" w:hAnsi="宋体" w:eastAsia="宋体" w:cs="宋体"/>
                <w:color w:val="auto"/>
                <w:sz w:val="24"/>
                <w:highlight w:val="none"/>
              </w:rPr>
            </w:pPr>
          </w:p>
        </w:tc>
        <w:tc>
          <w:tcPr>
            <w:tcW w:w="840" w:type="dxa"/>
          </w:tcPr>
          <w:p w14:paraId="6E0BA3C5">
            <w:pPr>
              <w:spacing w:line="340" w:lineRule="exact"/>
              <w:rPr>
                <w:rFonts w:hint="eastAsia" w:ascii="宋体" w:hAnsi="宋体" w:eastAsia="宋体" w:cs="宋体"/>
                <w:color w:val="auto"/>
                <w:sz w:val="24"/>
                <w:highlight w:val="none"/>
              </w:rPr>
            </w:pPr>
          </w:p>
        </w:tc>
        <w:tc>
          <w:tcPr>
            <w:tcW w:w="1260" w:type="dxa"/>
          </w:tcPr>
          <w:p w14:paraId="207A6959">
            <w:pPr>
              <w:spacing w:line="340" w:lineRule="exact"/>
              <w:rPr>
                <w:rFonts w:hint="eastAsia" w:ascii="宋体" w:hAnsi="宋体" w:eastAsia="宋体" w:cs="宋体"/>
                <w:color w:val="auto"/>
                <w:sz w:val="24"/>
                <w:highlight w:val="none"/>
              </w:rPr>
            </w:pPr>
          </w:p>
        </w:tc>
        <w:tc>
          <w:tcPr>
            <w:tcW w:w="1340" w:type="dxa"/>
          </w:tcPr>
          <w:p w14:paraId="77B8E7B0">
            <w:pPr>
              <w:spacing w:line="340" w:lineRule="exact"/>
              <w:rPr>
                <w:rFonts w:hint="eastAsia" w:ascii="宋体" w:hAnsi="宋体" w:eastAsia="宋体" w:cs="宋体"/>
                <w:color w:val="auto"/>
                <w:sz w:val="24"/>
                <w:highlight w:val="none"/>
              </w:rPr>
            </w:pPr>
          </w:p>
        </w:tc>
        <w:tc>
          <w:tcPr>
            <w:tcW w:w="1347" w:type="dxa"/>
          </w:tcPr>
          <w:p w14:paraId="18A7F2C0">
            <w:pPr>
              <w:spacing w:line="340" w:lineRule="exact"/>
              <w:rPr>
                <w:rFonts w:hint="eastAsia" w:ascii="宋体" w:hAnsi="宋体" w:eastAsia="宋体" w:cs="宋体"/>
                <w:color w:val="auto"/>
                <w:sz w:val="24"/>
                <w:highlight w:val="none"/>
              </w:rPr>
            </w:pPr>
          </w:p>
        </w:tc>
      </w:tr>
      <w:tr w14:paraId="78106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13C3A9D">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205" w:type="dxa"/>
          </w:tcPr>
          <w:p w14:paraId="7006CEA2">
            <w:pPr>
              <w:spacing w:line="340" w:lineRule="exact"/>
              <w:rPr>
                <w:rFonts w:hint="eastAsia" w:ascii="宋体" w:hAnsi="宋体" w:eastAsia="宋体" w:cs="宋体"/>
                <w:color w:val="auto"/>
                <w:sz w:val="24"/>
                <w:highlight w:val="none"/>
              </w:rPr>
            </w:pPr>
          </w:p>
        </w:tc>
        <w:tc>
          <w:tcPr>
            <w:tcW w:w="957" w:type="dxa"/>
          </w:tcPr>
          <w:p w14:paraId="3AC09523">
            <w:pPr>
              <w:spacing w:line="340" w:lineRule="exact"/>
              <w:rPr>
                <w:rFonts w:hint="eastAsia" w:ascii="宋体" w:hAnsi="宋体" w:eastAsia="宋体" w:cs="宋体"/>
                <w:color w:val="auto"/>
                <w:sz w:val="24"/>
                <w:highlight w:val="none"/>
              </w:rPr>
            </w:pPr>
          </w:p>
        </w:tc>
        <w:tc>
          <w:tcPr>
            <w:tcW w:w="840" w:type="dxa"/>
          </w:tcPr>
          <w:p w14:paraId="149F6D13">
            <w:pPr>
              <w:spacing w:line="340" w:lineRule="exact"/>
              <w:rPr>
                <w:rFonts w:hint="eastAsia" w:ascii="宋体" w:hAnsi="宋体" w:eastAsia="宋体" w:cs="宋体"/>
                <w:color w:val="auto"/>
                <w:sz w:val="24"/>
                <w:highlight w:val="none"/>
              </w:rPr>
            </w:pPr>
          </w:p>
        </w:tc>
        <w:tc>
          <w:tcPr>
            <w:tcW w:w="1260" w:type="dxa"/>
          </w:tcPr>
          <w:p w14:paraId="62B55709">
            <w:pPr>
              <w:spacing w:line="340" w:lineRule="exact"/>
              <w:rPr>
                <w:rFonts w:hint="eastAsia" w:ascii="宋体" w:hAnsi="宋体" w:eastAsia="宋体" w:cs="宋体"/>
                <w:color w:val="auto"/>
                <w:sz w:val="24"/>
                <w:highlight w:val="none"/>
              </w:rPr>
            </w:pPr>
          </w:p>
        </w:tc>
        <w:tc>
          <w:tcPr>
            <w:tcW w:w="1340" w:type="dxa"/>
          </w:tcPr>
          <w:p w14:paraId="5EFB3262">
            <w:pPr>
              <w:spacing w:line="340" w:lineRule="exact"/>
              <w:rPr>
                <w:rFonts w:hint="eastAsia" w:ascii="宋体" w:hAnsi="宋体" w:eastAsia="宋体" w:cs="宋体"/>
                <w:color w:val="auto"/>
                <w:sz w:val="24"/>
                <w:highlight w:val="none"/>
              </w:rPr>
            </w:pPr>
          </w:p>
        </w:tc>
        <w:tc>
          <w:tcPr>
            <w:tcW w:w="1347" w:type="dxa"/>
          </w:tcPr>
          <w:p w14:paraId="30352289">
            <w:pPr>
              <w:spacing w:line="340" w:lineRule="exact"/>
              <w:rPr>
                <w:rFonts w:hint="eastAsia" w:ascii="宋体" w:hAnsi="宋体" w:eastAsia="宋体" w:cs="宋体"/>
                <w:color w:val="auto"/>
                <w:sz w:val="24"/>
                <w:highlight w:val="none"/>
              </w:rPr>
            </w:pPr>
          </w:p>
        </w:tc>
      </w:tr>
      <w:tr w14:paraId="6083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63A78F">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205" w:type="dxa"/>
          </w:tcPr>
          <w:p w14:paraId="309C2B09">
            <w:pPr>
              <w:spacing w:line="340" w:lineRule="exact"/>
              <w:rPr>
                <w:rFonts w:hint="eastAsia" w:ascii="宋体" w:hAnsi="宋体" w:eastAsia="宋体" w:cs="宋体"/>
                <w:color w:val="auto"/>
                <w:sz w:val="24"/>
                <w:highlight w:val="none"/>
              </w:rPr>
            </w:pPr>
          </w:p>
        </w:tc>
        <w:tc>
          <w:tcPr>
            <w:tcW w:w="957" w:type="dxa"/>
          </w:tcPr>
          <w:p w14:paraId="49EBAD1D">
            <w:pPr>
              <w:spacing w:line="340" w:lineRule="exact"/>
              <w:rPr>
                <w:rFonts w:hint="eastAsia" w:ascii="宋体" w:hAnsi="宋体" w:eastAsia="宋体" w:cs="宋体"/>
                <w:color w:val="auto"/>
                <w:sz w:val="24"/>
                <w:highlight w:val="none"/>
              </w:rPr>
            </w:pPr>
          </w:p>
        </w:tc>
        <w:tc>
          <w:tcPr>
            <w:tcW w:w="840" w:type="dxa"/>
          </w:tcPr>
          <w:p w14:paraId="23D0D767">
            <w:pPr>
              <w:spacing w:line="340" w:lineRule="exact"/>
              <w:rPr>
                <w:rFonts w:hint="eastAsia" w:ascii="宋体" w:hAnsi="宋体" w:eastAsia="宋体" w:cs="宋体"/>
                <w:color w:val="auto"/>
                <w:sz w:val="24"/>
                <w:highlight w:val="none"/>
              </w:rPr>
            </w:pPr>
          </w:p>
        </w:tc>
        <w:tc>
          <w:tcPr>
            <w:tcW w:w="1260" w:type="dxa"/>
          </w:tcPr>
          <w:p w14:paraId="7FB9A7EC">
            <w:pPr>
              <w:spacing w:line="340" w:lineRule="exact"/>
              <w:rPr>
                <w:rFonts w:hint="eastAsia" w:ascii="宋体" w:hAnsi="宋体" w:eastAsia="宋体" w:cs="宋体"/>
                <w:color w:val="auto"/>
                <w:sz w:val="24"/>
                <w:highlight w:val="none"/>
              </w:rPr>
            </w:pPr>
          </w:p>
        </w:tc>
        <w:tc>
          <w:tcPr>
            <w:tcW w:w="1340" w:type="dxa"/>
          </w:tcPr>
          <w:p w14:paraId="2A61BEB7">
            <w:pPr>
              <w:spacing w:line="340" w:lineRule="exact"/>
              <w:rPr>
                <w:rFonts w:hint="eastAsia" w:ascii="宋体" w:hAnsi="宋体" w:eastAsia="宋体" w:cs="宋体"/>
                <w:color w:val="auto"/>
                <w:sz w:val="24"/>
                <w:highlight w:val="none"/>
              </w:rPr>
            </w:pPr>
          </w:p>
        </w:tc>
        <w:tc>
          <w:tcPr>
            <w:tcW w:w="1347" w:type="dxa"/>
          </w:tcPr>
          <w:p w14:paraId="0BACEED1">
            <w:pPr>
              <w:spacing w:line="340" w:lineRule="exact"/>
              <w:rPr>
                <w:rFonts w:hint="eastAsia" w:ascii="宋体" w:hAnsi="宋体" w:eastAsia="宋体" w:cs="宋体"/>
                <w:color w:val="auto"/>
                <w:sz w:val="24"/>
                <w:highlight w:val="none"/>
              </w:rPr>
            </w:pPr>
          </w:p>
        </w:tc>
      </w:tr>
      <w:tr w14:paraId="334C1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164DD6B">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205" w:type="dxa"/>
          </w:tcPr>
          <w:p w14:paraId="52BA927C">
            <w:pPr>
              <w:spacing w:line="340" w:lineRule="exact"/>
              <w:rPr>
                <w:rFonts w:hint="eastAsia" w:ascii="宋体" w:hAnsi="宋体" w:eastAsia="宋体" w:cs="宋体"/>
                <w:color w:val="auto"/>
                <w:sz w:val="24"/>
                <w:highlight w:val="none"/>
              </w:rPr>
            </w:pPr>
          </w:p>
        </w:tc>
        <w:tc>
          <w:tcPr>
            <w:tcW w:w="957" w:type="dxa"/>
          </w:tcPr>
          <w:p w14:paraId="6488CDA5">
            <w:pPr>
              <w:spacing w:line="340" w:lineRule="exact"/>
              <w:rPr>
                <w:rFonts w:hint="eastAsia" w:ascii="宋体" w:hAnsi="宋体" w:eastAsia="宋体" w:cs="宋体"/>
                <w:color w:val="auto"/>
                <w:sz w:val="24"/>
                <w:highlight w:val="none"/>
              </w:rPr>
            </w:pPr>
          </w:p>
        </w:tc>
        <w:tc>
          <w:tcPr>
            <w:tcW w:w="840" w:type="dxa"/>
          </w:tcPr>
          <w:p w14:paraId="2247BC86">
            <w:pPr>
              <w:spacing w:line="340" w:lineRule="exact"/>
              <w:rPr>
                <w:rFonts w:hint="eastAsia" w:ascii="宋体" w:hAnsi="宋体" w:eastAsia="宋体" w:cs="宋体"/>
                <w:color w:val="auto"/>
                <w:sz w:val="24"/>
                <w:highlight w:val="none"/>
              </w:rPr>
            </w:pPr>
          </w:p>
        </w:tc>
        <w:tc>
          <w:tcPr>
            <w:tcW w:w="1260" w:type="dxa"/>
          </w:tcPr>
          <w:p w14:paraId="4BBE5349">
            <w:pPr>
              <w:spacing w:line="340" w:lineRule="exact"/>
              <w:rPr>
                <w:rFonts w:hint="eastAsia" w:ascii="宋体" w:hAnsi="宋体" w:eastAsia="宋体" w:cs="宋体"/>
                <w:color w:val="auto"/>
                <w:sz w:val="24"/>
                <w:highlight w:val="none"/>
              </w:rPr>
            </w:pPr>
          </w:p>
        </w:tc>
        <w:tc>
          <w:tcPr>
            <w:tcW w:w="1340" w:type="dxa"/>
          </w:tcPr>
          <w:p w14:paraId="0AAB26C4">
            <w:pPr>
              <w:spacing w:line="340" w:lineRule="exact"/>
              <w:rPr>
                <w:rFonts w:hint="eastAsia" w:ascii="宋体" w:hAnsi="宋体" w:eastAsia="宋体" w:cs="宋体"/>
                <w:color w:val="auto"/>
                <w:sz w:val="24"/>
                <w:highlight w:val="none"/>
              </w:rPr>
            </w:pPr>
          </w:p>
        </w:tc>
        <w:tc>
          <w:tcPr>
            <w:tcW w:w="1347" w:type="dxa"/>
          </w:tcPr>
          <w:p w14:paraId="710D6BCC">
            <w:pPr>
              <w:spacing w:line="340" w:lineRule="exact"/>
              <w:rPr>
                <w:rFonts w:hint="eastAsia" w:ascii="宋体" w:hAnsi="宋体" w:eastAsia="宋体" w:cs="宋体"/>
                <w:color w:val="auto"/>
                <w:sz w:val="24"/>
                <w:highlight w:val="none"/>
              </w:rPr>
            </w:pPr>
          </w:p>
        </w:tc>
      </w:tr>
      <w:tr w14:paraId="1FF99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3D8ADF">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205" w:type="dxa"/>
          </w:tcPr>
          <w:p w14:paraId="620CADCE">
            <w:pPr>
              <w:spacing w:line="340" w:lineRule="exact"/>
              <w:rPr>
                <w:rFonts w:hint="eastAsia" w:ascii="宋体" w:hAnsi="宋体" w:eastAsia="宋体" w:cs="宋体"/>
                <w:color w:val="auto"/>
                <w:sz w:val="24"/>
                <w:highlight w:val="none"/>
              </w:rPr>
            </w:pPr>
          </w:p>
        </w:tc>
        <w:tc>
          <w:tcPr>
            <w:tcW w:w="957" w:type="dxa"/>
          </w:tcPr>
          <w:p w14:paraId="61D4DC51">
            <w:pPr>
              <w:spacing w:line="340" w:lineRule="exact"/>
              <w:rPr>
                <w:rFonts w:hint="eastAsia" w:ascii="宋体" w:hAnsi="宋体" w:eastAsia="宋体" w:cs="宋体"/>
                <w:color w:val="auto"/>
                <w:sz w:val="24"/>
                <w:highlight w:val="none"/>
              </w:rPr>
            </w:pPr>
          </w:p>
        </w:tc>
        <w:tc>
          <w:tcPr>
            <w:tcW w:w="840" w:type="dxa"/>
          </w:tcPr>
          <w:p w14:paraId="1944A086">
            <w:pPr>
              <w:spacing w:line="340" w:lineRule="exact"/>
              <w:rPr>
                <w:rFonts w:hint="eastAsia" w:ascii="宋体" w:hAnsi="宋体" w:eastAsia="宋体" w:cs="宋体"/>
                <w:color w:val="auto"/>
                <w:sz w:val="24"/>
                <w:highlight w:val="none"/>
              </w:rPr>
            </w:pPr>
          </w:p>
        </w:tc>
        <w:tc>
          <w:tcPr>
            <w:tcW w:w="1260" w:type="dxa"/>
          </w:tcPr>
          <w:p w14:paraId="68D75628">
            <w:pPr>
              <w:spacing w:line="340" w:lineRule="exact"/>
              <w:rPr>
                <w:rFonts w:hint="eastAsia" w:ascii="宋体" w:hAnsi="宋体" w:eastAsia="宋体" w:cs="宋体"/>
                <w:color w:val="auto"/>
                <w:sz w:val="24"/>
                <w:highlight w:val="none"/>
              </w:rPr>
            </w:pPr>
          </w:p>
        </w:tc>
        <w:tc>
          <w:tcPr>
            <w:tcW w:w="1340" w:type="dxa"/>
          </w:tcPr>
          <w:p w14:paraId="5C68D733">
            <w:pPr>
              <w:spacing w:line="340" w:lineRule="exact"/>
              <w:rPr>
                <w:rFonts w:hint="eastAsia" w:ascii="宋体" w:hAnsi="宋体" w:eastAsia="宋体" w:cs="宋体"/>
                <w:color w:val="auto"/>
                <w:sz w:val="24"/>
                <w:highlight w:val="none"/>
              </w:rPr>
            </w:pPr>
          </w:p>
        </w:tc>
        <w:tc>
          <w:tcPr>
            <w:tcW w:w="1347" w:type="dxa"/>
          </w:tcPr>
          <w:p w14:paraId="74649901">
            <w:pPr>
              <w:spacing w:line="340" w:lineRule="exact"/>
              <w:rPr>
                <w:rFonts w:hint="eastAsia" w:ascii="宋体" w:hAnsi="宋体" w:eastAsia="宋体" w:cs="宋体"/>
                <w:color w:val="auto"/>
                <w:sz w:val="24"/>
                <w:highlight w:val="none"/>
              </w:rPr>
            </w:pPr>
          </w:p>
        </w:tc>
      </w:tr>
      <w:tr w14:paraId="08ECA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03A2C25">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205" w:type="dxa"/>
          </w:tcPr>
          <w:p w14:paraId="2339CA8A">
            <w:pPr>
              <w:spacing w:line="340" w:lineRule="exact"/>
              <w:rPr>
                <w:rFonts w:hint="eastAsia" w:ascii="宋体" w:hAnsi="宋体" w:eastAsia="宋体" w:cs="宋体"/>
                <w:color w:val="auto"/>
                <w:sz w:val="24"/>
                <w:highlight w:val="none"/>
              </w:rPr>
            </w:pPr>
          </w:p>
        </w:tc>
        <w:tc>
          <w:tcPr>
            <w:tcW w:w="957" w:type="dxa"/>
          </w:tcPr>
          <w:p w14:paraId="1F173684">
            <w:pPr>
              <w:spacing w:line="340" w:lineRule="exact"/>
              <w:rPr>
                <w:rFonts w:hint="eastAsia" w:ascii="宋体" w:hAnsi="宋体" w:eastAsia="宋体" w:cs="宋体"/>
                <w:color w:val="auto"/>
                <w:sz w:val="24"/>
                <w:highlight w:val="none"/>
              </w:rPr>
            </w:pPr>
          </w:p>
        </w:tc>
        <w:tc>
          <w:tcPr>
            <w:tcW w:w="840" w:type="dxa"/>
          </w:tcPr>
          <w:p w14:paraId="05DF98ED">
            <w:pPr>
              <w:spacing w:line="340" w:lineRule="exact"/>
              <w:rPr>
                <w:rFonts w:hint="eastAsia" w:ascii="宋体" w:hAnsi="宋体" w:eastAsia="宋体" w:cs="宋体"/>
                <w:color w:val="auto"/>
                <w:sz w:val="24"/>
                <w:highlight w:val="none"/>
              </w:rPr>
            </w:pPr>
          </w:p>
        </w:tc>
        <w:tc>
          <w:tcPr>
            <w:tcW w:w="1260" w:type="dxa"/>
          </w:tcPr>
          <w:p w14:paraId="2FDF8913">
            <w:pPr>
              <w:spacing w:line="340" w:lineRule="exact"/>
              <w:rPr>
                <w:rFonts w:hint="eastAsia" w:ascii="宋体" w:hAnsi="宋体" w:eastAsia="宋体" w:cs="宋体"/>
                <w:color w:val="auto"/>
                <w:sz w:val="24"/>
                <w:highlight w:val="none"/>
              </w:rPr>
            </w:pPr>
          </w:p>
        </w:tc>
        <w:tc>
          <w:tcPr>
            <w:tcW w:w="1340" w:type="dxa"/>
          </w:tcPr>
          <w:p w14:paraId="05700317">
            <w:pPr>
              <w:spacing w:line="340" w:lineRule="exact"/>
              <w:rPr>
                <w:rFonts w:hint="eastAsia" w:ascii="宋体" w:hAnsi="宋体" w:eastAsia="宋体" w:cs="宋体"/>
                <w:color w:val="auto"/>
                <w:sz w:val="24"/>
                <w:highlight w:val="none"/>
              </w:rPr>
            </w:pPr>
          </w:p>
        </w:tc>
        <w:tc>
          <w:tcPr>
            <w:tcW w:w="1347" w:type="dxa"/>
          </w:tcPr>
          <w:p w14:paraId="1CB5BAF7">
            <w:pPr>
              <w:spacing w:line="340" w:lineRule="exact"/>
              <w:rPr>
                <w:rFonts w:hint="eastAsia" w:ascii="宋体" w:hAnsi="宋体" w:eastAsia="宋体" w:cs="宋体"/>
                <w:color w:val="auto"/>
                <w:sz w:val="24"/>
                <w:highlight w:val="none"/>
              </w:rPr>
            </w:pPr>
          </w:p>
        </w:tc>
      </w:tr>
      <w:tr w14:paraId="4A65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5DAE4F">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205" w:type="dxa"/>
          </w:tcPr>
          <w:p w14:paraId="7F799D62">
            <w:pPr>
              <w:spacing w:line="340" w:lineRule="exact"/>
              <w:rPr>
                <w:rFonts w:hint="eastAsia" w:ascii="宋体" w:hAnsi="宋体" w:eastAsia="宋体" w:cs="宋体"/>
                <w:color w:val="auto"/>
                <w:sz w:val="24"/>
                <w:highlight w:val="none"/>
              </w:rPr>
            </w:pPr>
          </w:p>
        </w:tc>
        <w:tc>
          <w:tcPr>
            <w:tcW w:w="957" w:type="dxa"/>
          </w:tcPr>
          <w:p w14:paraId="3F7FC924">
            <w:pPr>
              <w:spacing w:line="340" w:lineRule="exact"/>
              <w:rPr>
                <w:rFonts w:hint="eastAsia" w:ascii="宋体" w:hAnsi="宋体" w:eastAsia="宋体" w:cs="宋体"/>
                <w:color w:val="auto"/>
                <w:sz w:val="24"/>
                <w:highlight w:val="none"/>
              </w:rPr>
            </w:pPr>
          </w:p>
        </w:tc>
        <w:tc>
          <w:tcPr>
            <w:tcW w:w="840" w:type="dxa"/>
          </w:tcPr>
          <w:p w14:paraId="7DF011E7">
            <w:pPr>
              <w:spacing w:line="340" w:lineRule="exact"/>
              <w:rPr>
                <w:rFonts w:hint="eastAsia" w:ascii="宋体" w:hAnsi="宋体" w:eastAsia="宋体" w:cs="宋体"/>
                <w:color w:val="auto"/>
                <w:sz w:val="24"/>
                <w:highlight w:val="none"/>
              </w:rPr>
            </w:pPr>
          </w:p>
        </w:tc>
        <w:tc>
          <w:tcPr>
            <w:tcW w:w="1260" w:type="dxa"/>
          </w:tcPr>
          <w:p w14:paraId="5CEF9BA2">
            <w:pPr>
              <w:spacing w:line="340" w:lineRule="exact"/>
              <w:rPr>
                <w:rFonts w:hint="eastAsia" w:ascii="宋体" w:hAnsi="宋体" w:eastAsia="宋体" w:cs="宋体"/>
                <w:color w:val="auto"/>
                <w:sz w:val="24"/>
                <w:highlight w:val="none"/>
              </w:rPr>
            </w:pPr>
          </w:p>
        </w:tc>
        <w:tc>
          <w:tcPr>
            <w:tcW w:w="1340" w:type="dxa"/>
          </w:tcPr>
          <w:p w14:paraId="7129A38C">
            <w:pPr>
              <w:spacing w:line="340" w:lineRule="exact"/>
              <w:rPr>
                <w:rFonts w:hint="eastAsia" w:ascii="宋体" w:hAnsi="宋体" w:eastAsia="宋体" w:cs="宋体"/>
                <w:color w:val="auto"/>
                <w:sz w:val="24"/>
                <w:highlight w:val="none"/>
              </w:rPr>
            </w:pPr>
          </w:p>
        </w:tc>
        <w:tc>
          <w:tcPr>
            <w:tcW w:w="1347" w:type="dxa"/>
          </w:tcPr>
          <w:p w14:paraId="705F09B6">
            <w:pPr>
              <w:spacing w:line="340" w:lineRule="exact"/>
              <w:rPr>
                <w:rFonts w:hint="eastAsia" w:ascii="宋体" w:hAnsi="宋体" w:eastAsia="宋体" w:cs="宋体"/>
                <w:color w:val="auto"/>
                <w:sz w:val="24"/>
                <w:highlight w:val="none"/>
              </w:rPr>
            </w:pPr>
          </w:p>
        </w:tc>
      </w:tr>
      <w:tr w14:paraId="1B2C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1C4424E">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205" w:type="dxa"/>
          </w:tcPr>
          <w:p w14:paraId="7D50B998">
            <w:pPr>
              <w:spacing w:line="340" w:lineRule="exact"/>
              <w:rPr>
                <w:rFonts w:hint="eastAsia" w:ascii="宋体" w:hAnsi="宋体" w:eastAsia="宋体" w:cs="宋体"/>
                <w:color w:val="auto"/>
                <w:sz w:val="24"/>
                <w:highlight w:val="none"/>
              </w:rPr>
            </w:pPr>
          </w:p>
        </w:tc>
        <w:tc>
          <w:tcPr>
            <w:tcW w:w="957" w:type="dxa"/>
          </w:tcPr>
          <w:p w14:paraId="3935BB2A">
            <w:pPr>
              <w:spacing w:line="340" w:lineRule="exact"/>
              <w:rPr>
                <w:rFonts w:hint="eastAsia" w:ascii="宋体" w:hAnsi="宋体" w:eastAsia="宋体" w:cs="宋体"/>
                <w:color w:val="auto"/>
                <w:sz w:val="24"/>
                <w:highlight w:val="none"/>
              </w:rPr>
            </w:pPr>
          </w:p>
        </w:tc>
        <w:tc>
          <w:tcPr>
            <w:tcW w:w="840" w:type="dxa"/>
          </w:tcPr>
          <w:p w14:paraId="37F365F6">
            <w:pPr>
              <w:spacing w:line="340" w:lineRule="exact"/>
              <w:rPr>
                <w:rFonts w:hint="eastAsia" w:ascii="宋体" w:hAnsi="宋体" w:eastAsia="宋体" w:cs="宋体"/>
                <w:color w:val="auto"/>
                <w:sz w:val="24"/>
                <w:highlight w:val="none"/>
              </w:rPr>
            </w:pPr>
          </w:p>
        </w:tc>
        <w:tc>
          <w:tcPr>
            <w:tcW w:w="1260" w:type="dxa"/>
          </w:tcPr>
          <w:p w14:paraId="15075013">
            <w:pPr>
              <w:spacing w:line="340" w:lineRule="exact"/>
              <w:rPr>
                <w:rFonts w:hint="eastAsia" w:ascii="宋体" w:hAnsi="宋体" w:eastAsia="宋体" w:cs="宋体"/>
                <w:color w:val="auto"/>
                <w:sz w:val="24"/>
                <w:highlight w:val="none"/>
              </w:rPr>
            </w:pPr>
          </w:p>
        </w:tc>
        <w:tc>
          <w:tcPr>
            <w:tcW w:w="1340" w:type="dxa"/>
          </w:tcPr>
          <w:p w14:paraId="57EC50CA">
            <w:pPr>
              <w:spacing w:line="340" w:lineRule="exact"/>
              <w:rPr>
                <w:rFonts w:hint="eastAsia" w:ascii="宋体" w:hAnsi="宋体" w:eastAsia="宋体" w:cs="宋体"/>
                <w:color w:val="auto"/>
                <w:sz w:val="24"/>
                <w:highlight w:val="none"/>
              </w:rPr>
            </w:pPr>
          </w:p>
        </w:tc>
        <w:tc>
          <w:tcPr>
            <w:tcW w:w="1347" w:type="dxa"/>
          </w:tcPr>
          <w:p w14:paraId="4299CDFF">
            <w:pPr>
              <w:spacing w:line="340" w:lineRule="exact"/>
              <w:rPr>
                <w:rFonts w:hint="eastAsia" w:ascii="宋体" w:hAnsi="宋体" w:eastAsia="宋体" w:cs="宋体"/>
                <w:color w:val="auto"/>
                <w:sz w:val="24"/>
                <w:highlight w:val="none"/>
              </w:rPr>
            </w:pPr>
          </w:p>
        </w:tc>
      </w:tr>
      <w:tr w14:paraId="18DF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4B292C4">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205" w:type="dxa"/>
          </w:tcPr>
          <w:p w14:paraId="534B315E">
            <w:pPr>
              <w:spacing w:line="340" w:lineRule="exact"/>
              <w:rPr>
                <w:rFonts w:hint="eastAsia" w:ascii="宋体" w:hAnsi="宋体" w:eastAsia="宋体" w:cs="宋体"/>
                <w:color w:val="auto"/>
                <w:sz w:val="24"/>
                <w:highlight w:val="none"/>
              </w:rPr>
            </w:pPr>
          </w:p>
        </w:tc>
        <w:tc>
          <w:tcPr>
            <w:tcW w:w="957" w:type="dxa"/>
          </w:tcPr>
          <w:p w14:paraId="0A58B872">
            <w:pPr>
              <w:spacing w:line="340" w:lineRule="exact"/>
              <w:rPr>
                <w:rFonts w:hint="eastAsia" w:ascii="宋体" w:hAnsi="宋体" w:eastAsia="宋体" w:cs="宋体"/>
                <w:color w:val="auto"/>
                <w:sz w:val="24"/>
                <w:highlight w:val="none"/>
              </w:rPr>
            </w:pPr>
          </w:p>
        </w:tc>
        <w:tc>
          <w:tcPr>
            <w:tcW w:w="840" w:type="dxa"/>
          </w:tcPr>
          <w:p w14:paraId="424BF277">
            <w:pPr>
              <w:spacing w:line="340" w:lineRule="exact"/>
              <w:rPr>
                <w:rFonts w:hint="eastAsia" w:ascii="宋体" w:hAnsi="宋体" w:eastAsia="宋体" w:cs="宋体"/>
                <w:color w:val="auto"/>
                <w:sz w:val="24"/>
                <w:highlight w:val="none"/>
              </w:rPr>
            </w:pPr>
          </w:p>
        </w:tc>
        <w:tc>
          <w:tcPr>
            <w:tcW w:w="1260" w:type="dxa"/>
          </w:tcPr>
          <w:p w14:paraId="645A1BD4">
            <w:pPr>
              <w:spacing w:line="340" w:lineRule="exact"/>
              <w:rPr>
                <w:rFonts w:hint="eastAsia" w:ascii="宋体" w:hAnsi="宋体" w:eastAsia="宋体" w:cs="宋体"/>
                <w:color w:val="auto"/>
                <w:sz w:val="24"/>
                <w:highlight w:val="none"/>
              </w:rPr>
            </w:pPr>
          </w:p>
        </w:tc>
        <w:tc>
          <w:tcPr>
            <w:tcW w:w="1340" w:type="dxa"/>
          </w:tcPr>
          <w:p w14:paraId="13846524">
            <w:pPr>
              <w:spacing w:line="340" w:lineRule="exact"/>
              <w:rPr>
                <w:rFonts w:hint="eastAsia" w:ascii="宋体" w:hAnsi="宋体" w:eastAsia="宋体" w:cs="宋体"/>
                <w:color w:val="auto"/>
                <w:sz w:val="24"/>
                <w:highlight w:val="none"/>
              </w:rPr>
            </w:pPr>
          </w:p>
        </w:tc>
        <w:tc>
          <w:tcPr>
            <w:tcW w:w="1347" w:type="dxa"/>
          </w:tcPr>
          <w:p w14:paraId="57FB3FB0">
            <w:pPr>
              <w:spacing w:line="340" w:lineRule="exact"/>
              <w:rPr>
                <w:rFonts w:hint="eastAsia" w:ascii="宋体" w:hAnsi="宋体" w:eastAsia="宋体" w:cs="宋体"/>
                <w:color w:val="auto"/>
                <w:sz w:val="24"/>
                <w:highlight w:val="none"/>
              </w:rPr>
            </w:pPr>
          </w:p>
        </w:tc>
      </w:tr>
      <w:tr w14:paraId="42B81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C07F2D5">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2205" w:type="dxa"/>
          </w:tcPr>
          <w:p w14:paraId="231114ED">
            <w:pPr>
              <w:spacing w:line="340" w:lineRule="exact"/>
              <w:rPr>
                <w:rFonts w:hint="eastAsia" w:ascii="宋体" w:hAnsi="宋体" w:eastAsia="宋体" w:cs="宋体"/>
                <w:color w:val="auto"/>
                <w:sz w:val="24"/>
                <w:highlight w:val="none"/>
              </w:rPr>
            </w:pPr>
          </w:p>
        </w:tc>
        <w:tc>
          <w:tcPr>
            <w:tcW w:w="957" w:type="dxa"/>
          </w:tcPr>
          <w:p w14:paraId="1F621192">
            <w:pPr>
              <w:spacing w:line="340" w:lineRule="exact"/>
              <w:rPr>
                <w:rFonts w:hint="eastAsia" w:ascii="宋体" w:hAnsi="宋体" w:eastAsia="宋体" w:cs="宋体"/>
                <w:color w:val="auto"/>
                <w:sz w:val="24"/>
                <w:highlight w:val="none"/>
              </w:rPr>
            </w:pPr>
          </w:p>
        </w:tc>
        <w:tc>
          <w:tcPr>
            <w:tcW w:w="840" w:type="dxa"/>
          </w:tcPr>
          <w:p w14:paraId="3A8CB8F1">
            <w:pPr>
              <w:spacing w:line="340" w:lineRule="exact"/>
              <w:rPr>
                <w:rFonts w:hint="eastAsia" w:ascii="宋体" w:hAnsi="宋体" w:eastAsia="宋体" w:cs="宋体"/>
                <w:color w:val="auto"/>
                <w:sz w:val="24"/>
                <w:highlight w:val="none"/>
              </w:rPr>
            </w:pPr>
          </w:p>
        </w:tc>
        <w:tc>
          <w:tcPr>
            <w:tcW w:w="1260" w:type="dxa"/>
          </w:tcPr>
          <w:p w14:paraId="069D2F08">
            <w:pPr>
              <w:spacing w:line="340" w:lineRule="exact"/>
              <w:rPr>
                <w:rFonts w:hint="eastAsia" w:ascii="宋体" w:hAnsi="宋体" w:eastAsia="宋体" w:cs="宋体"/>
                <w:color w:val="auto"/>
                <w:sz w:val="24"/>
                <w:highlight w:val="none"/>
              </w:rPr>
            </w:pPr>
          </w:p>
        </w:tc>
        <w:tc>
          <w:tcPr>
            <w:tcW w:w="1340" w:type="dxa"/>
          </w:tcPr>
          <w:p w14:paraId="1C23E2F1">
            <w:pPr>
              <w:spacing w:line="340" w:lineRule="exact"/>
              <w:rPr>
                <w:rFonts w:hint="eastAsia" w:ascii="宋体" w:hAnsi="宋体" w:eastAsia="宋体" w:cs="宋体"/>
                <w:color w:val="auto"/>
                <w:sz w:val="24"/>
                <w:highlight w:val="none"/>
              </w:rPr>
            </w:pPr>
          </w:p>
        </w:tc>
        <w:tc>
          <w:tcPr>
            <w:tcW w:w="1347" w:type="dxa"/>
          </w:tcPr>
          <w:p w14:paraId="6F500AD8">
            <w:pPr>
              <w:spacing w:line="340" w:lineRule="exact"/>
              <w:rPr>
                <w:rFonts w:hint="eastAsia" w:ascii="宋体" w:hAnsi="宋体" w:eastAsia="宋体" w:cs="宋体"/>
                <w:color w:val="auto"/>
                <w:sz w:val="24"/>
                <w:highlight w:val="none"/>
              </w:rPr>
            </w:pPr>
          </w:p>
        </w:tc>
      </w:tr>
      <w:tr w14:paraId="0352D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5ED25C">
            <w:pPr>
              <w:spacing w:line="3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2205" w:type="dxa"/>
          </w:tcPr>
          <w:p w14:paraId="76B956F5">
            <w:pPr>
              <w:spacing w:line="340" w:lineRule="exact"/>
              <w:rPr>
                <w:rFonts w:hint="eastAsia" w:ascii="宋体" w:hAnsi="宋体" w:eastAsia="宋体" w:cs="宋体"/>
                <w:color w:val="auto"/>
                <w:sz w:val="24"/>
                <w:highlight w:val="none"/>
              </w:rPr>
            </w:pPr>
          </w:p>
        </w:tc>
        <w:tc>
          <w:tcPr>
            <w:tcW w:w="957" w:type="dxa"/>
          </w:tcPr>
          <w:p w14:paraId="144D8BC3">
            <w:pPr>
              <w:spacing w:line="340" w:lineRule="exact"/>
              <w:rPr>
                <w:rFonts w:hint="eastAsia" w:ascii="宋体" w:hAnsi="宋体" w:eastAsia="宋体" w:cs="宋体"/>
                <w:color w:val="auto"/>
                <w:sz w:val="24"/>
                <w:highlight w:val="none"/>
              </w:rPr>
            </w:pPr>
          </w:p>
        </w:tc>
        <w:tc>
          <w:tcPr>
            <w:tcW w:w="840" w:type="dxa"/>
          </w:tcPr>
          <w:p w14:paraId="339F4961">
            <w:pPr>
              <w:spacing w:line="340" w:lineRule="exact"/>
              <w:rPr>
                <w:rFonts w:hint="eastAsia" w:ascii="宋体" w:hAnsi="宋体" w:eastAsia="宋体" w:cs="宋体"/>
                <w:color w:val="auto"/>
                <w:sz w:val="24"/>
                <w:highlight w:val="none"/>
              </w:rPr>
            </w:pPr>
          </w:p>
        </w:tc>
        <w:tc>
          <w:tcPr>
            <w:tcW w:w="1260" w:type="dxa"/>
          </w:tcPr>
          <w:p w14:paraId="1D0B84F9">
            <w:pPr>
              <w:spacing w:line="340" w:lineRule="exact"/>
              <w:rPr>
                <w:rFonts w:hint="eastAsia" w:ascii="宋体" w:hAnsi="宋体" w:eastAsia="宋体" w:cs="宋体"/>
                <w:color w:val="auto"/>
                <w:sz w:val="24"/>
                <w:highlight w:val="none"/>
              </w:rPr>
            </w:pPr>
          </w:p>
        </w:tc>
        <w:tc>
          <w:tcPr>
            <w:tcW w:w="1340" w:type="dxa"/>
          </w:tcPr>
          <w:p w14:paraId="3283A74A">
            <w:pPr>
              <w:spacing w:line="340" w:lineRule="exact"/>
              <w:rPr>
                <w:rFonts w:hint="eastAsia" w:ascii="宋体" w:hAnsi="宋体" w:eastAsia="宋体" w:cs="宋体"/>
                <w:color w:val="auto"/>
                <w:sz w:val="24"/>
                <w:highlight w:val="none"/>
              </w:rPr>
            </w:pPr>
          </w:p>
        </w:tc>
        <w:tc>
          <w:tcPr>
            <w:tcW w:w="1347" w:type="dxa"/>
          </w:tcPr>
          <w:p w14:paraId="60E96BF2">
            <w:pPr>
              <w:spacing w:line="340" w:lineRule="exact"/>
              <w:rPr>
                <w:rFonts w:hint="eastAsia" w:ascii="宋体" w:hAnsi="宋体" w:eastAsia="宋体" w:cs="宋体"/>
                <w:color w:val="auto"/>
                <w:sz w:val="24"/>
                <w:highlight w:val="none"/>
              </w:rPr>
            </w:pPr>
          </w:p>
        </w:tc>
      </w:tr>
      <w:tr w14:paraId="563B1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A3F8A6E">
            <w:pPr>
              <w:spacing w:line="340" w:lineRule="exact"/>
              <w:jc w:val="center"/>
              <w:rPr>
                <w:rFonts w:hint="eastAsia" w:ascii="宋体" w:hAnsi="宋体" w:eastAsia="宋体" w:cs="宋体"/>
                <w:color w:val="auto"/>
                <w:sz w:val="24"/>
                <w:highlight w:val="none"/>
              </w:rPr>
            </w:pPr>
          </w:p>
        </w:tc>
        <w:tc>
          <w:tcPr>
            <w:tcW w:w="2205" w:type="dxa"/>
            <w:vAlign w:val="center"/>
          </w:tcPr>
          <w:p w14:paraId="43A93AFA">
            <w:pPr>
              <w:pStyle w:val="60"/>
              <w:spacing w:line="340" w:lineRule="exact"/>
              <w:rPr>
                <w:rFonts w:hint="eastAsia" w:ascii="宋体" w:hAnsi="宋体" w:eastAsia="宋体" w:cs="宋体"/>
                <w:color w:val="auto"/>
                <w:szCs w:val="24"/>
                <w:highlight w:val="none"/>
              </w:rPr>
            </w:pPr>
            <w:r>
              <w:rPr>
                <w:rFonts w:hint="eastAsia" w:ascii="宋体" w:hAnsi="宋体" w:eastAsia="宋体" w:cs="宋体"/>
                <w:color w:val="auto"/>
                <w:szCs w:val="24"/>
                <w:highlight w:val="none"/>
              </w:rPr>
              <w:t>其他费用</w:t>
            </w:r>
          </w:p>
        </w:tc>
        <w:tc>
          <w:tcPr>
            <w:tcW w:w="957" w:type="dxa"/>
          </w:tcPr>
          <w:p w14:paraId="41CBF3C2">
            <w:pPr>
              <w:spacing w:line="340" w:lineRule="exact"/>
              <w:rPr>
                <w:rFonts w:hint="eastAsia" w:ascii="宋体" w:hAnsi="宋体" w:eastAsia="宋体" w:cs="宋体"/>
                <w:color w:val="auto"/>
                <w:sz w:val="24"/>
                <w:highlight w:val="none"/>
              </w:rPr>
            </w:pPr>
          </w:p>
        </w:tc>
        <w:tc>
          <w:tcPr>
            <w:tcW w:w="840" w:type="dxa"/>
          </w:tcPr>
          <w:p w14:paraId="348513EE">
            <w:pPr>
              <w:spacing w:line="340" w:lineRule="exact"/>
              <w:rPr>
                <w:rFonts w:hint="eastAsia" w:ascii="宋体" w:hAnsi="宋体" w:eastAsia="宋体" w:cs="宋体"/>
                <w:color w:val="auto"/>
                <w:sz w:val="24"/>
                <w:highlight w:val="none"/>
              </w:rPr>
            </w:pPr>
          </w:p>
        </w:tc>
        <w:tc>
          <w:tcPr>
            <w:tcW w:w="1260" w:type="dxa"/>
          </w:tcPr>
          <w:p w14:paraId="0F2E1E29">
            <w:pPr>
              <w:spacing w:line="340" w:lineRule="exact"/>
              <w:rPr>
                <w:rFonts w:hint="eastAsia" w:ascii="宋体" w:hAnsi="宋体" w:eastAsia="宋体" w:cs="宋体"/>
                <w:color w:val="auto"/>
                <w:sz w:val="24"/>
                <w:highlight w:val="none"/>
              </w:rPr>
            </w:pPr>
          </w:p>
        </w:tc>
        <w:tc>
          <w:tcPr>
            <w:tcW w:w="1340" w:type="dxa"/>
          </w:tcPr>
          <w:p w14:paraId="7D00B106">
            <w:pPr>
              <w:spacing w:line="340" w:lineRule="exact"/>
              <w:rPr>
                <w:rFonts w:hint="eastAsia" w:ascii="宋体" w:hAnsi="宋体" w:eastAsia="宋体" w:cs="宋体"/>
                <w:color w:val="auto"/>
                <w:sz w:val="24"/>
                <w:highlight w:val="none"/>
              </w:rPr>
            </w:pPr>
          </w:p>
        </w:tc>
        <w:tc>
          <w:tcPr>
            <w:tcW w:w="1347" w:type="dxa"/>
          </w:tcPr>
          <w:p w14:paraId="125D091C">
            <w:pPr>
              <w:spacing w:line="340" w:lineRule="exact"/>
              <w:rPr>
                <w:rFonts w:hint="eastAsia" w:ascii="宋体" w:hAnsi="宋体" w:eastAsia="宋体" w:cs="宋体"/>
                <w:color w:val="auto"/>
                <w:sz w:val="24"/>
                <w:highlight w:val="none"/>
              </w:rPr>
            </w:pPr>
          </w:p>
        </w:tc>
      </w:tr>
      <w:tr w14:paraId="6C15F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A76D18">
            <w:pPr>
              <w:spacing w:line="340" w:lineRule="exact"/>
              <w:jc w:val="center"/>
              <w:rPr>
                <w:rFonts w:hint="eastAsia" w:ascii="宋体" w:hAnsi="宋体" w:eastAsia="宋体" w:cs="宋体"/>
                <w:color w:val="auto"/>
                <w:sz w:val="24"/>
                <w:highlight w:val="none"/>
              </w:rPr>
            </w:pPr>
          </w:p>
        </w:tc>
        <w:tc>
          <w:tcPr>
            <w:tcW w:w="2205" w:type="dxa"/>
          </w:tcPr>
          <w:p w14:paraId="41EEF086">
            <w:pPr>
              <w:spacing w:line="3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957" w:type="dxa"/>
          </w:tcPr>
          <w:p w14:paraId="18D6582B">
            <w:pPr>
              <w:spacing w:line="340" w:lineRule="exact"/>
              <w:rPr>
                <w:rFonts w:hint="eastAsia" w:ascii="宋体" w:hAnsi="宋体" w:eastAsia="宋体" w:cs="宋体"/>
                <w:color w:val="auto"/>
                <w:sz w:val="24"/>
                <w:highlight w:val="none"/>
              </w:rPr>
            </w:pPr>
          </w:p>
        </w:tc>
        <w:tc>
          <w:tcPr>
            <w:tcW w:w="840" w:type="dxa"/>
          </w:tcPr>
          <w:p w14:paraId="1BB3E862">
            <w:pPr>
              <w:spacing w:line="340" w:lineRule="exact"/>
              <w:rPr>
                <w:rFonts w:hint="eastAsia" w:ascii="宋体" w:hAnsi="宋体" w:eastAsia="宋体" w:cs="宋体"/>
                <w:color w:val="auto"/>
                <w:sz w:val="24"/>
                <w:highlight w:val="none"/>
              </w:rPr>
            </w:pPr>
          </w:p>
        </w:tc>
        <w:tc>
          <w:tcPr>
            <w:tcW w:w="1260" w:type="dxa"/>
          </w:tcPr>
          <w:p w14:paraId="3C52B36E">
            <w:pPr>
              <w:spacing w:line="340" w:lineRule="exact"/>
              <w:rPr>
                <w:rFonts w:hint="eastAsia" w:ascii="宋体" w:hAnsi="宋体" w:eastAsia="宋体" w:cs="宋体"/>
                <w:color w:val="auto"/>
                <w:sz w:val="24"/>
                <w:highlight w:val="none"/>
              </w:rPr>
            </w:pPr>
          </w:p>
        </w:tc>
        <w:tc>
          <w:tcPr>
            <w:tcW w:w="1340" w:type="dxa"/>
          </w:tcPr>
          <w:p w14:paraId="3C254FEB">
            <w:pPr>
              <w:spacing w:line="340" w:lineRule="exact"/>
              <w:rPr>
                <w:rFonts w:hint="eastAsia" w:ascii="宋体" w:hAnsi="宋体" w:eastAsia="宋体" w:cs="宋体"/>
                <w:color w:val="auto"/>
                <w:sz w:val="24"/>
                <w:highlight w:val="none"/>
              </w:rPr>
            </w:pPr>
          </w:p>
        </w:tc>
        <w:tc>
          <w:tcPr>
            <w:tcW w:w="1347" w:type="dxa"/>
          </w:tcPr>
          <w:p w14:paraId="389FA0FA">
            <w:pPr>
              <w:spacing w:line="340" w:lineRule="exact"/>
              <w:rPr>
                <w:rFonts w:hint="eastAsia" w:ascii="宋体" w:hAnsi="宋体" w:eastAsia="宋体" w:cs="宋体"/>
                <w:color w:val="auto"/>
                <w:sz w:val="24"/>
                <w:highlight w:val="none"/>
              </w:rPr>
            </w:pPr>
          </w:p>
        </w:tc>
      </w:tr>
      <w:tr w14:paraId="72A3A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FA5E74B">
            <w:pPr>
              <w:spacing w:line="340" w:lineRule="exact"/>
              <w:jc w:val="center"/>
              <w:rPr>
                <w:rFonts w:hint="eastAsia" w:ascii="宋体" w:hAnsi="宋体" w:eastAsia="宋体" w:cs="宋体"/>
                <w:color w:val="auto"/>
                <w:sz w:val="24"/>
                <w:highlight w:val="none"/>
              </w:rPr>
            </w:pPr>
          </w:p>
        </w:tc>
        <w:tc>
          <w:tcPr>
            <w:tcW w:w="2205" w:type="dxa"/>
          </w:tcPr>
          <w:p w14:paraId="180F50B9">
            <w:pPr>
              <w:pStyle w:val="60"/>
              <w:spacing w:line="340" w:lineRule="exact"/>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p>
        </w:tc>
        <w:tc>
          <w:tcPr>
            <w:tcW w:w="957" w:type="dxa"/>
          </w:tcPr>
          <w:p w14:paraId="307F2EFA">
            <w:pPr>
              <w:spacing w:line="340" w:lineRule="exact"/>
              <w:rPr>
                <w:rFonts w:hint="eastAsia" w:ascii="宋体" w:hAnsi="宋体" w:eastAsia="宋体" w:cs="宋体"/>
                <w:color w:val="auto"/>
                <w:sz w:val="24"/>
                <w:highlight w:val="none"/>
              </w:rPr>
            </w:pPr>
          </w:p>
        </w:tc>
        <w:tc>
          <w:tcPr>
            <w:tcW w:w="840" w:type="dxa"/>
          </w:tcPr>
          <w:p w14:paraId="78E90DCA">
            <w:pPr>
              <w:spacing w:line="340" w:lineRule="exact"/>
              <w:rPr>
                <w:rFonts w:hint="eastAsia" w:ascii="宋体" w:hAnsi="宋体" w:eastAsia="宋体" w:cs="宋体"/>
                <w:color w:val="auto"/>
                <w:sz w:val="24"/>
                <w:highlight w:val="none"/>
              </w:rPr>
            </w:pPr>
          </w:p>
        </w:tc>
        <w:tc>
          <w:tcPr>
            <w:tcW w:w="1260" w:type="dxa"/>
          </w:tcPr>
          <w:p w14:paraId="76812274">
            <w:pPr>
              <w:spacing w:line="340" w:lineRule="exact"/>
              <w:rPr>
                <w:rFonts w:hint="eastAsia" w:ascii="宋体" w:hAnsi="宋体" w:eastAsia="宋体" w:cs="宋体"/>
                <w:color w:val="auto"/>
                <w:sz w:val="24"/>
                <w:highlight w:val="none"/>
              </w:rPr>
            </w:pPr>
          </w:p>
        </w:tc>
        <w:tc>
          <w:tcPr>
            <w:tcW w:w="1340" w:type="dxa"/>
          </w:tcPr>
          <w:p w14:paraId="5FFDB59D">
            <w:pPr>
              <w:spacing w:line="340" w:lineRule="exact"/>
              <w:rPr>
                <w:rFonts w:hint="eastAsia" w:ascii="宋体" w:hAnsi="宋体" w:eastAsia="宋体" w:cs="宋体"/>
                <w:color w:val="auto"/>
                <w:sz w:val="24"/>
                <w:highlight w:val="none"/>
              </w:rPr>
            </w:pPr>
          </w:p>
        </w:tc>
        <w:tc>
          <w:tcPr>
            <w:tcW w:w="1347" w:type="dxa"/>
          </w:tcPr>
          <w:p w14:paraId="69EFF161">
            <w:pPr>
              <w:spacing w:line="340" w:lineRule="exact"/>
              <w:rPr>
                <w:rFonts w:hint="eastAsia" w:ascii="宋体" w:hAnsi="宋体" w:eastAsia="宋体" w:cs="宋体"/>
                <w:color w:val="auto"/>
                <w:sz w:val="24"/>
                <w:highlight w:val="none"/>
              </w:rPr>
            </w:pPr>
          </w:p>
        </w:tc>
      </w:tr>
      <w:tr w14:paraId="04E77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64705D">
            <w:pPr>
              <w:spacing w:line="340" w:lineRule="exact"/>
              <w:jc w:val="center"/>
              <w:rPr>
                <w:rFonts w:hint="eastAsia" w:ascii="宋体" w:hAnsi="宋体" w:eastAsia="宋体" w:cs="宋体"/>
                <w:color w:val="auto"/>
                <w:sz w:val="24"/>
                <w:highlight w:val="none"/>
              </w:rPr>
            </w:pPr>
          </w:p>
        </w:tc>
        <w:tc>
          <w:tcPr>
            <w:tcW w:w="2205" w:type="dxa"/>
          </w:tcPr>
          <w:p w14:paraId="2B901A2C">
            <w:pPr>
              <w:spacing w:line="3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957" w:type="dxa"/>
          </w:tcPr>
          <w:p w14:paraId="0A64FAA4">
            <w:pPr>
              <w:spacing w:line="340" w:lineRule="exact"/>
              <w:rPr>
                <w:rFonts w:hint="eastAsia" w:ascii="宋体" w:hAnsi="宋体" w:eastAsia="宋体" w:cs="宋体"/>
                <w:color w:val="auto"/>
                <w:sz w:val="24"/>
                <w:highlight w:val="none"/>
              </w:rPr>
            </w:pPr>
          </w:p>
        </w:tc>
        <w:tc>
          <w:tcPr>
            <w:tcW w:w="840" w:type="dxa"/>
          </w:tcPr>
          <w:p w14:paraId="15AA0A37">
            <w:pPr>
              <w:spacing w:line="340" w:lineRule="exact"/>
              <w:rPr>
                <w:rFonts w:hint="eastAsia" w:ascii="宋体" w:hAnsi="宋体" w:eastAsia="宋体" w:cs="宋体"/>
                <w:color w:val="auto"/>
                <w:sz w:val="24"/>
                <w:highlight w:val="none"/>
              </w:rPr>
            </w:pPr>
          </w:p>
        </w:tc>
        <w:tc>
          <w:tcPr>
            <w:tcW w:w="1260" w:type="dxa"/>
          </w:tcPr>
          <w:p w14:paraId="3EA744FA">
            <w:pPr>
              <w:spacing w:line="340" w:lineRule="exact"/>
              <w:rPr>
                <w:rFonts w:hint="eastAsia" w:ascii="宋体" w:hAnsi="宋体" w:eastAsia="宋体" w:cs="宋体"/>
                <w:color w:val="auto"/>
                <w:sz w:val="24"/>
                <w:highlight w:val="none"/>
              </w:rPr>
            </w:pPr>
          </w:p>
        </w:tc>
        <w:tc>
          <w:tcPr>
            <w:tcW w:w="1340" w:type="dxa"/>
          </w:tcPr>
          <w:p w14:paraId="52A76148">
            <w:pPr>
              <w:spacing w:line="340" w:lineRule="exact"/>
              <w:rPr>
                <w:rFonts w:hint="eastAsia" w:ascii="宋体" w:hAnsi="宋体" w:eastAsia="宋体" w:cs="宋体"/>
                <w:color w:val="auto"/>
                <w:sz w:val="24"/>
                <w:highlight w:val="none"/>
              </w:rPr>
            </w:pPr>
          </w:p>
        </w:tc>
        <w:tc>
          <w:tcPr>
            <w:tcW w:w="1347" w:type="dxa"/>
          </w:tcPr>
          <w:p w14:paraId="2BAA87B1">
            <w:pPr>
              <w:spacing w:line="340" w:lineRule="exact"/>
              <w:rPr>
                <w:rFonts w:hint="eastAsia" w:ascii="宋体" w:hAnsi="宋体" w:eastAsia="宋体" w:cs="宋体"/>
                <w:color w:val="auto"/>
                <w:sz w:val="24"/>
                <w:highlight w:val="none"/>
              </w:rPr>
            </w:pPr>
          </w:p>
        </w:tc>
      </w:tr>
      <w:tr w14:paraId="21E72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3643D1">
            <w:pPr>
              <w:spacing w:line="340" w:lineRule="exact"/>
              <w:jc w:val="center"/>
              <w:rPr>
                <w:rFonts w:hint="eastAsia" w:ascii="宋体" w:hAnsi="宋体" w:eastAsia="宋体" w:cs="宋体"/>
                <w:color w:val="auto"/>
                <w:sz w:val="24"/>
                <w:highlight w:val="none"/>
              </w:rPr>
            </w:pPr>
          </w:p>
        </w:tc>
        <w:tc>
          <w:tcPr>
            <w:tcW w:w="2205" w:type="dxa"/>
            <w:vAlign w:val="center"/>
          </w:tcPr>
          <w:p w14:paraId="61D7929E">
            <w:pPr>
              <w:pStyle w:val="60"/>
              <w:spacing w:line="340" w:lineRule="exact"/>
              <w:rPr>
                <w:rFonts w:hint="eastAsia" w:ascii="宋体" w:hAnsi="宋体" w:eastAsia="宋体" w:cs="宋体"/>
                <w:color w:val="auto"/>
                <w:szCs w:val="24"/>
                <w:highlight w:val="none"/>
              </w:rPr>
            </w:pPr>
            <w:r>
              <w:rPr>
                <w:rFonts w:hint="eastAsia" w:ascii="宋体" w:hAnsi="宋体" w:eastAsia="宋体" w:cs="宋体"/>
                <w:color w:val="auto"/>
                <w:szCs w:val="24"/>
                <w:highlight w:val="none"/>
              </w:rPr>
              <w:t>合计</w:t>
            </w:r>
          </w:p>
        </w:tc>
        <w:tc>
          <w:tcPr>
            <w:tcW w:w="957" w:type="dxa"/>
          </w:tcPr>
          <w:p w14:paraId="1772CDAE">
            <w:pPr>
              <w:spacing w:line="340" w:lineRule="exact"/>
              <w:rPr>
                <w:rFonts w:hint="eastAsia" w:ascii="宋体" w:hAnsi="宋体" w:eastAsia="宋体" w:cs="宋体"/>
                <w:color w:val="auto"/>
                <w:sz w:val="24"/>
                <w:highlight w:val="none"/>
              </w:rPr>
            </w:pPr>
          </w:p>
        </w:tc>
        <w:tc>
          <w:tcPr>
            <w:tcW w:w="840" w:type="dxa"/>
          </w:tcPr>
          <w:p w14:paraId="3AEDDBAC">
            <w:pPr>
              <w:spacing w:line="340" w:lineRule="exact"/>
              <w:rPr>
                <w:rFonts w:hint="eastAsia" w:ascii="宋体" w:hAnsi="宋体" w:eastAsia="宋体" w:cs="宋体"/>
                <w:color w:val="auto"/>
                <w:sz w:val="24"/>
                <w:highlight w:val="none"/>
              </w:rPr>
            </w:pPr>
          </w:p>
        </w:tc>
        <w:tc>
          <w:tcPr>
            <w:tcW w:w="1260" w:type="dxa"/>
          </w:tcPr>
          <w:p w14:paraId="30517EA8">
            <w:pPr>
              <w:spacing w:line="340" w:lineRule="exact"/>
              <w:rPr>
                <w:rFonts w:hint="eastAsia" w:ascii="宋体" w:hAnsi="宋体" w:eastAsia="宋体" w:cs="宋体"/>
                <w:color w:val="auto"/>
                <w:sz w:val="24"/>
                <w:highlight w:val="none"/>
              </w:rPr>
            </w:pPr>
          </w:p>
        </w:tc>
        <w:tc>
          <w:tcPr>
            <w:tcW w:w="1340" w:type="dxa"/>
          </w:tcPr>
          <w:p w14:paraId="1F83C1B3">
            <w:pPr>
              <w:spacing w:line="340" w:lineRule="exact"/>
              <w:rPr>
                <w:rFonts w:hint="eastAsia" w:ascii="宋体" w:hAnsi="宋体" w:eastAsia="宋体" w:cs="宋体"/>
                <w:color w:val="auto"/>
                <w:sz w:val="24"/>
                <w:highlight w:val="none"/>
              </w:rPr>
            </w:pPr>
          </w:p>
        </w:tc>
        <w:tc>
          <w:tcPr>
            <w:tcW w:w="1347" w:type="dxa"/>
          </w:tcPr>
          <w:p w14:paraId="334EFCA9">
            <w:pPr>
              <w:spacing w:line="340" w:lineRule="exact"/>
              <w:rPr>
                <w:rFonts w:hint="eastAsia" w:ascii="宋体" w:hAnsi="宋体" w:eastAsia="宋体" w:cs="宋体"/>
                <w:color w:val="auto"/>
                <w:sz w:val="24"/>
                <w:highlight w:val="none"/>
              </w:rPr>
            </w:pPr>
          </w:p>
        </w:tc>
      </w:tr>
    </w:tbl>
    <w:p w14:paraId="71E6588D">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3E09A186">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39ABDCF5">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p w14:paraId="26A5398B">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表中所列内容为对应本项目需求的全部要求。如有漏项或缺项，投标人承担全部责任。</w:t>
      </w:r>
    </w:p>
    <w:p w14:paraId="05DE9044">
      <w:pPr>
        <w:spacing w:line="360" w:lineRule="auto"/>
        <w:jc w:val="center"/>
        <w:rPr>
          <w:rFonts w:hint="eastAsia" w:ascii="宋体" w:hAnsi="宋体" w:eastAsia="宋体" w:cs="宋体"/>
          <w:b/>
          <w:color w:val="auto"/>
          <w:sz w:val="24"/>
          <w:highlight w:val="none"/>
        </w:rPr>
      </w:pPr>
    </w:p>
    <w:p w14:paraId="6DC37BF5">
      <w:pPr>
        <w:spacing w:line="360" w:lineRule="auto"/>
        <w:jc w:val="center"/>
        <w:rPr>
          <w:rFonts w:hint="eastAsia" w:ascii="宋体" w:hAnsi="宋体" w:eastAsia="宋体" w:cs="宋体"/>
          <w:b/>
          <w:color w:val="auto"/>
          <w:sz w:val="24"/>
          <w:highlight w:val="none"/>
        </w:rPr>
      </w:pPr>
    </w:p>
    <w:p w14:paraId="03CEF63A">
      <w:pPr>
        <w:pStyle w:val="35"/>
        <w:ind w:firstLine="241"/>
        <w:rPr>
          <w:rFonts w:hint="eastAsia" w:ascii="宋体" w:hAnsi="宋体" w:eastAsia="宋体" w:cs="宋体"/>
          <w:b/>
          <w:color w:val="auto"/>
          <w:sz w:val="24"/>
          <w:highlight w:val="none"/>
        </w:rPr>
      </w:pPr>
    </w:p>
    <w:p w14:paraId="7C09BBF0">
      <w:pPr>
        <w:pStyle w:val="35"/>
        <w:ind w:firstLine="241"/>
        <w:rPr>
          <w:rFonts w:hint="eastAsia" w:ascii="宋体" w:hAnsi="宋体" w:eastAsia="宋体" w:cs="宋体"/>
          <w:b/>
          <w:color w:val="auto"/>
          <w:sz w:val="24"/>
          <w:highlight w:val="none"/>
        </w:rPr>
      </w:pPr>
    </w:p>
    <w:p w14:paraId="3CC18962">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36F81D0B">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格式6                     </w:t>
      </w:r>
      <w:r>
        <w:rPr>
          <w:rFonts w:hint="eastAsia" w:ascii="宋体" w:hAnsi="宋体" w:eastAsia="宋体" w:cs="宋体"/>
          <w:b/>
          <w:color w:val="auto"/>
          <w:sz w:val="24"/>
          <w:highlight w:val="none"/>
        </w:rPr>
        <w:t>技术参数响应表</w:t>
      </w:r>
    </w:p>
    <w:p w14:paraId="17C64A30">
      <w:pPr>
        <w:rPr>
          <w:rFonts w:hint="eastAsia" w:ascii="宋体" w:hAnsi="宋体" w:eastAsia="宋体" w:cs="宋体"/>
          <w:color w:val="auto"/>
          <w:sz w:val="24"/>
          <w:highlight w:val="none"/>
        </w:rPr>
      </w:pPr>
    </w:p>
    <w:p w14:paraId="7DD3E945">
      <w:pPr>
        <w:rPr>
          <w:rFonts w:hint="eastAsia" w:ascii="宋体" w:hAnsi="宋体" w:eastAsia="宋体" w:cs="宋体"/>
          <w:color w:val="auto"/>
          <w:sz w:val="24"/>
          <w:highlight w:val="none"/>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6BEE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387345E">
            <w:pPr>
              <w:pStyle w:val="13"/>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803B2F5">
            <w:pPr>
              <w:pStyle w:val="13"/>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按投标人所投内容填写</w:t>
            </w:r>
          </w:p>
        </w:tc>
      </w:tr>
      <w:tr w14:paraId="2088C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2F61DB9">
            <w:pPr>
              <w:pStyle w:val="13"/>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2F25B447">
            <w:pPr>
              <w:pStyle w:val="13"/>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4CE0F46E">
            <w:pPr>
              <w:pStyle w:val="13"/>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7C7AA3E">
            <w:pPr>
              <w:pStyle w:val="13"/>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9DAAA8B">
            <w:pPr>
              <w:pStyle w:val="13"/>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偏离说明</w:t>
            </w:r>
          </w:p>
        </w:tc>
      </w:tr>
      <w:tr w14:paraId="49E7E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275088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03D4ABE">
            <w:pPr>
              <w:widowControl/>
              <w:jc w:val="left"/>
              <w:rPr>
                <w:rFonts w:hint="eastAsia" w:ascii="宋体" w:hAnsi="宋体" w:eastAsia="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4E095328">
            <w:pPr>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7D71954E">
            <w:pPr>
              <w:widowControl/>
              <w:rPr>
                <w:rFonts w:hint="eastAsia" w:ascii="宋体" w:hAnsi="宋体" w:eastAsia="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28EAAFAA">
            <w:pPr>
              <w:jc w:val="center"/>
              <w:rPr>
                <w:rFonts w:hint="eastAsia" w:ascii="宋体" w:hAnsi="宋体" w:eastAsia="宋体" w:cs="宋体"/>
                <w:color w:val="auto"/>
                <w:sz w:val="24"/>
                <w:highlight w:val="none"/>
              </w:rPr>
            </w:pPr>
          </w:p>
        </w:tc>
      </w:tr>
      <w:tr w14:paraId="44D2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4B1350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44D3C116">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F48B260">
            <w:pPr>
              <w:ind w:left="240" w:hanging="240" w:hangingChars="100"/>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49C9165D">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52020E">
            <w:pPr>
              <w:jc w:val="center"/>
              <w:rPr>
                <w:rFonts w:hint="eastAsia" w:ascii="宋体" w:hAnsi="宋体" w:eastAsia="宋体" w:cs="宋体"/>
                <w:color w:val="auto"/>
                <w:sz w:val="24"/>
                <w:highlight w:val="none"/>
              </w:rPr>
            </w:pPr>
          </w:p>
        </w:tc>
      </w:tr>
      <w:tr w14:paraId="3C973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0809940">
            <w:pPr>
              <w:rPr>
                <w:rFonts w:hint="eastAsia" w:ascii="宋体" w:hAnsi="宋体" w:eastAsia="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11FD3FF7">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BBD2D10">
            <w:pPr>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C536D92">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C86BD2A">
            <w:pPr>
              <w:jc w:val="center"/>
              <w:rPr>
                <w:rFonts w:hint="eastAsia" w:ascii="宋体" w:hAnsi="宋体" w:eastAsia="宋体" w:cs="宋体"/>
                <w:color w:val="auto"/>
                <w:sz w:val="24"/>
                <w:highlight w:val="none"/>
              </w:rPr>
            </w:pPr>
          </w:p>
        </w:tc>
      </w:tr>
      <w:tr w14:paraId="721C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83A128F">
            <w:pPr>
              <w:rPr>
                <w:rFonts w:hint="eastAsia" w:ascii="宋体" w:hAnsi="宋体" w:eastAsia="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3A17DAC2">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BF71046">
            <w:pPr>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539AF2C">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33FC62C">
            <w:pPr>
              <w:jc w:val="center"/>
              <w:rPr>
                <w:rFonts w:hint="eastAsia" w:ascii="宋体" w:hAnsi="宋体" w:eastAsia="宋体" w:cs="宋体"/>
                <w:color w:val="auto"/>
                <w:sz w:val="24"/>
                <w:highlight w:val="none"/>
              </w:rPr>
            </w:pPr>
          </w:p>
        </w:tc>
      </w:tr>
      <w:tr w14:paraId="12B2D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FCA1433">
            <w:pPr>
              <w:rPr>
                <w:rFonts w:hint="eastAsia" w:ascii="宋体" w:hAnsi="宋体" w:eastAsia="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5463E13">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EE86304">
            <w:pPr>
              <w:ind w:left="240" w:hanging="240" w:hangingChars="100"/>
              <w:jc w:val="left"/>
              <w:rPr>
                <w:rFonts w:hint="eastAsia" w:ascii="宋体" w:hAnsi="宋体" w:eastAsia="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34EBDB4">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1C841E2">
            <w:pPr>
              <w:jc w:val="center"/>
              <w:rPr>
                <w:rFonts w:hint="eastAsia" w:ascii="宋体" w:hAnsi="宋体" w:eastAsia="宋体" w:cs="宋体"/>
                <w:color w:val="auto"/>
                <w:sz w:val="24"/>
                <w:highlight w:val="none"/>
              </w:rPr>
            </w:pPr>
          </w:p>
        </w:tc>
      </w:tr>
      <w:tr w14:paraId="152DF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12F4AE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047EA3EF">
            <w:pPr>
              <w:jc w:val="center"/>
              <w:rPr>
                <w:rFonts w:hint="eastAsia" w:ascii="宋体" w:hAnsi="宋体" w:eastAsia="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A305638">
            <w:pPr>
              <w:ind w:left="240" w:hanging="240" w:hanging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44F770B4">
            <w:pPr>
              <w:ind w:left="240" w:hanging="240" w:hangingChars="100"/>
              <w:jc w:val="left"/>
              <w:rPr>
                <w:rFonts w:hint="eastAsia" w:ascii="宋体" w:hAnsi="宋体" w:eastAsia="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958C634">
            <w:pPr>
              <w:jc w:val="center"/>
              <w:rPr>
                <w:rFonts w:hint="eastAsia" w:ascii="宋体" w:hAnsi="宋体" w:eastAsia="宋体" w:cs="宋体"/>
                <w:color w:val="auto"/>
                <w:sz w:val="24"/>
                <w:highlight w:val="none"/>
              </w:rPr>
            </w:pPr>
          </w:p>
        </w:tc>
      </w:tr>
    </w:tbl>
    <w:p w14:paraId="760C84E1">
      <w:pPr>
        <w:rPr>
          <w:rFonts w:hint="eastAsia" w:ascii="宋体" w:hAnsi="宋体" w:eastAsia="宋体" w:cs="宋体"/>
          <w:color w:val="auto"/>
          <w:sz w:val="24"/>
          <w:highlight w:val="none"/>
        </w:rPr>
      </w:pPr>
    </w:p>
    <w:p w14:paraId="7D10D42B">
      <w:pPr>
        <w:rPr>
          <w:rFonts w:hint="eastAsia" w:ascii="宋体" w:hAnsi="宋体" w:eastAsia="宋体" w:cs="宋体"/>
          <w:color w:val="auto"/>
          <w:sz w:val="24"/>
          <w:highlight w:val="none"/>
        </w:rPr>
      </w:pPr>
      <w:r>
        <w:rPr>
          <w:rFonts w:hint="eastAsia" w:ascii="宋体" w:hAnsi="宋体" w:eastAsia="宋体" w:cs="宋体"/>
          <w:color w:val="auto"/>
          <w:sz w:val="24"/>
          <w:highlight w:val="none"/>
        </w:rPr>
        <w:t>(可根据需求自行更改)</w:t>
      </w:r>
    </w:p>
    <w:p w14:paraId="099921D4">
      <w:pPr>
        <w:rPr>
          <w:rFonts w:hint="eastAsia" w:ascii="宋体" w:hAnsi="宋体" w:eastAsia="宋体" w:cs="宋体"/>
          <w:color w:val="auto"/>
          <w:sz w:val="24"/>
          <w:highlight w:val="none"/>
        </w:rPr>
      </w:pPr>
    </w:p>
    <w:p w14:paraId="060E8BC1">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13B06BD8">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25188DD9">
      <w:pPr>
        <w:spacing w:line="360" w:lineRule="auto"/>
        <w:rPr>
          <w:rFonts w:hint="eastAsia" w:ascii="宋体" w:hAnsi="宋体" w:eastAsia="宋体" w:cs="宋体"/>
          <w:b/>
          <w:color w:val="auto"/>
          <w:sz w:val="24"/>
          <w:highlight w:val="none"/>
        </w:rPr>
      </w:pPr>
    </w:p>
    <w:p w14:paraId="719F8563">
      <w:pPr>
        <w:spacing w:line="360" w:lineRule="auto"/>
        <w:rPr>
          <w:rFonts w:hint="eastAsia" w:ascii="宋体" w:hAnsi="宋体" w:eastAsia="宋体" w:cs="宋体"/>
          <w:b/>
          <w:color w:val="auto"/>
          <w:sz w:val="24"/>
          <w:highlight w:val="none"/>
        </w:rPr>
      </w:pPr>
    </w:p>
    <w:p w14:paraId="6BA227EB">
      <w:pPr>
        <w:spacing w:line="360" w:lineRule="auto"/>
        <w:rPr>
          <w:rFonts w:hint="eastAsia" w:ascii="宋体" w:hAnsi="宋体" w:eastAsia="宋体" w:cs="宋体"/>
          <w:b/>
          <w:color w:val="auto"/>
          <w:sz w:val="24"/>
          <w:highlight w:val="none"/>
        </w:rPr>
      </w:pPr>
    </w:p>
    <w:p w14:paraId="34F11A35">
      <w:pPr>
        <w:spacing w:line="360" w:lineRule="auto"/>
        <w:rPr>
          <w:rFonts w:hint="eastAsia" w:ascii="宋体" w:hAnsi="宋体" w:eastAsia="宋体" w:cs="宋体"/>
          <w:b/>
          <w:color w:val="auto"/>
          <w:sz w:val="24"/>
          <w:highlight w:val="none"/>
        </w:rPr>
      </w:pPr>
    </w:p>
    <w:p w14:paraId="702EABA4">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格式7</w:t>
      </w:r>
    </w:p>
    <w:p w14:paraId="71B4B969">
      <w:pPr>
        <w:pStyle w:val="25"/>
        <w:ind w:firstLine="480"/>
        <w:rPr>
          <w:rFonts w:hint="eastAsia" w:ascii="宋体" w:hAnsi="宋体" w:eastAsia="宋体" w:cs="宋体"/>
          <w:color w:val="auto"/>
          <w:sz w:val="24"/>
          <w:highlight w:val="none"/>
        </w:rPr>
      </w:pPr>
    </w:p>
    <w:p w14:paraId="64568130">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服务方案及服务承诺</w:t>
      </w:r>
    </w:p>
    <w:p w14:paraId="1099D12C">
      <w:pPr>
        <w:spacing w:line="380" w:lineRule="exact"/>
        <w:jc w:val="center"/>
        <w:rPr>
          <w:rFonts w:hint="eastAsia" w:ascii="宋体" w:hAnsi="宋体" w:eastAsia="宋体" w:cs="宋体"/>
          <w:color w:val="auto"/>
          <w:sz w:val="24"/>
          <w:highlight w:val="none"/>
        </w:rPr>
      </w:pPr>
    </w:p>
    <w:p w14:paraId="029A6EC9">
      <w:pPr>
        <w:spacing w:line="380" w:lineRule="exact"/>
        <w:ind w:firstLine="360" w:firstLineChars="150"/>
        <w:rPr>
          <w:rFonts w:hint="eastAsia" w:ascii="宋体" w:hAnsi="宋体" w:eastAsia="宋体" w:cs="宋体"/>
          <w:color w:val="auto"/>
          <w:sz w:val="24"/>
          <w:highlight w:val="none"/>
        </w:rPr>
      </w:pPr>
    </w:p>
    <w:p w14:paraId="425147F0">
      <w:pPr>
        <w:pStyle w:val="37"/>
        <w:rPr>
          <w:rFonts w:hint="eastAsia" w:ascii="宋体" w:hAnsi="宋体" w:eastAsia="宋体" w:cs="宋体"/>
          <w:color w:val="auto"/>
          <w:sz w:val="24"/>
          <w:szCs w:val="24"/>
          <w:highlight w:val="none"/>
        </w:rPr>
      </w:pPr>
    </w:p>
    <w:p w14:paraId="18237DFD">
      <w:pPr>
        <w:pStyle w:val="37"/>
        <w:rPr>
          <w:rFonts w:hint="eastAsia" w:ascii="宋体" w:hAnsi="宋体" w:eastAsia="宋体" w:cs="宋体"/>
          <w:color w:val="auto"/>
          <w:sz w:val="24"/>
          <w:szCs w:val="24"/>
          <w:highlight w:val="none"/>
        </w:rPr>
      </w:pPr>
    </w:p>
    <w:p w14:paraId="7C952653">
      <w:pPr>
        <w:pStyle w:val="37"/>
        <w:rPr>
          <w:rFonts w:hint="eastAsia" w:ascii="宋体" w:hAnsi="宋体" w:eastAsia="宋体" w:cs="宋体"/>
          <w:color w:val="auto"/>
          <w:sz w:val="24"/>
          <w:szCs w:val="24"/>
          <w:highlight w:val="none"/>
        </w:rPr>
      </w:pPr>
    </w:p>
    <w:p w14:paraId="1315F80E">
      <w:pPr>
        <w:pStyle w:val="37"/>
        <w:rPr>
          <w:rFonts w:hint="eastAsia" w:ascii="宋体" w:hAnsi="宋体" w:eastAsia="宋体" w:cs="宋体"/>
          <w:color w:val="auto"/>
          <w:sz w:val="24"/>
          <w:szCs w:val="24"/>
          <w:highlight w:val="none"/>
        </w:rPr>
      </w:pPr>
    </w:p>
    <w:p w14:paraId="69C6A6FD">
      <w:pPr>
        <w:pStyle w:val="37"/>
        <w:rPr>
          <w:rFonts w:hint="eastAsia" w:ascii="宋体" w:hAnsi="宋体" w:eastAsia="宋体" w:cs="宋体"/>
          <w:color w:val="auto"/>
          <w:sz w:val="24"/>
          <w:szCs w:val="24"/>
          <w:highlight w:val="none"/>
        </w:rPr>
      </w:pPr>
    </w:p>
    <w:p w14:paraId="68094299">
      <w:pPr>
        <w:pStyle w:val="37"/>
        <w:rPr>
          <w:rFonts w:hint="eastAsia" w:ascii="宋体" w:hAnsi="宋体" w:eastAsia="宋体" w:cs="宋体"/>
          <w:color w:val="auto"/>
          <w:sz w:val="24"/>
          <w:szCs w:val="24"/>
          <w:highlight w:val="none"/>
        </w:rPr>
      </w:pPr>
    </w:p>
    <w:p w14:paraId="3D9FE1D2">
      <w:pPr>
        <w:spacing w:line="380" w:lineRule="exact"/>
        <w:rPr>
          <w:rFonts w:hint="eastAsia" w:ascii="宋体" w:hAnsi="宋体" w:eastAsia="宋体" w:cs="宋体"/>
          <w:color w:val="auto"/>
          <w:sz w:val="24"/>
          <w:highlight w:val="none"/>
        </w:rPr>
      </w:pPr>
    </w:p>
    <w:p w14:paraId="7AC1F696">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72467B76">
      <w:pPr>
        <w:spacing w:line="380" w:lineRule="exact"/>
        <w:ind w:right="640" w:firstLine="1560" w:firstLineChars="650"/>
        <w:rPr>
          <w:rFonts w:hint="eastAsia" w:ascii="宋体" w:hAnsi="宋体" w:eastAsia="宋体" w:cs="宋体"/>
          <w:color w:val="auto"/>
          <w:sz w:val="24"/>
          <w:highlight w:val="none"/>
        </w:rPr>
      </w:pPr>
    </w:p>
    <w:p w14:paraId="51A9E505">
      <w:pPr>
        <w:spacing w:line="380" w:lineRule="exact"/>
        <w:ind w:right="640" w:firstLine="4680" w:firstLineChars="1950"/>
        <w:rPr>
          <w:rFonts w:hint="eastAsia" w:ascii="宋体" w:hAnsi="宋体" w:eastAsia="宋体" w:cs="宋体"/>
          <w:color w:val="auto"/>
          <w:sz w:val="24"/>
          <w:highlight w:val="none"/>
        </w:rPr>
      </w:pPr>
    </w:p>
    <w:p w14:paraId="5CEA5ABB">
      <w:pPr>
        <w:spacing w:line="380" w:lineRule="exact"/>
        <w:jc w:val="center"/>
        <w:rPr>
          <w:rFonts w:hint="eastAsia" w:ascii="宋体" w:hAnsi="宋体" w:eastAsia="宋体" w:cs="宋体"/>
          <w:color w:val="auto"/>
          <w:sz w:val="24"/>
          <w:highlight w:val="none"/>
        </w:rPr>
      </w:pPr>
    </w:p>
    <w:p w14:paraId="0B241DA5">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384BF36D">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p>
    <w:p w14:paraId="3CCCE35C">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格式8合格供应商的声明函和承诺书</w:t>
      </w:r>
    </w:p>
    <w:p w14:paraId="494948E6">
      <w:pPr>
        <w:spacing w:line="360" w:lineRule="auto"/>
        <w:rPr>
          <w:rFonts w:hint="eastAsia" w:ascii="宋体" w:hAnsi="宋体" w:eastAsia="宋体" w:cs="宋体"/>
          <w:color w:val="auto"/>
          <w:sz w:val="24"/>
          <w:highlight w:val="none"/>
        </w:rPr>
      </w:pPr>
    </w:p>
    <w:p w14:paraId="33E8860E">
      <w:pPr>
        <w:spacing w:line="360" w:lineRule="auto"/>
        <w:jc w:val="center"/>
        <w:rPr>
          <w:rFonts w:hint="eastAsia" w:ascii="宋体" w:hAnsi="宋体" w:eastAsia="宋体" w:cs="宋体"/>
          <w:b/>
          <w:bCs/>
          <w:color w:val="auto"/>
          <w:sz w:val="24"/>
          <w:highlight w:val="none"/>
        </w:rPr>
      </w:pPr>
    </w:p>
    <w:p w14:paraId="45A3113E">
      <w:pPr>
        <w:pStyle w:val="37"/>
        <w:rPr>
          <w:rFonts w:hint="eastAsia" w:ascii="宋体" w:hAnsi="宋体" w:eastAsia="宋体" w:cs="宋体"/>
          <w:color w:val="auto"/>
          <w:highlight w:val="none"/>
        </w:rPr>
      </w:pPr>
    </w:p>
    <w:p w14:paraId="2F7778E7">
      <w:pPr>
        <w:spacing w:line="360" w:lineRule="auto"/>
        <w:jc w:val="center"/>
        <w:rPr>
          <w:rFonts w:hint="eastAsia" w:ascii="宋体" w:hAnsi="宋体" w:eastAsia="宋体" w:cs="宋体"/>
          <w:b/>
          <w:color w:val="auto"/>
          <w:sz w:val="24"/>
          <w:highlight w:val="none"/>
        </w:rPr>
      </w:pPr>
    </w:p>
    <w:p w14:paraId="0530399F">
      <w:pPr>
        <w:spacing w:line="360" w:lineRule="auto"/>
        <w:jc w:val="center"/>
        <w:rPr>
          <w:rFonts w:hint="eastAsia" w:ascii="宋体" w:hAnsi="宋体" w:eastAsia="宋体" w:cs="宋体"/>
          <w:b/>
          <w:color w:val="auto"/>
          <w:sz w:val="24"/>
          <w:highlight w:val="none"/>
        </w:rPr>
      </w:pPr>
    </w:p>
    <w:p w14:paraId="7B21C249">
      <w:pPr>
        <w:spacing w:line="360" w:lineRule="auto"/>
        <w:jc w:val="center"/>
        <w:rPr>
          <w:rFonts w:hint="eastAsia" w:ascii="宋体" w:hAnsi="宋体" w:eastAsia="宋体" w:cs="宋体"/>
          <w:b/>
          <w:color w:val="auto"/>
          <w:sz w:val="24"/>
          <w:highlight w:val="none"/>
        </w:rPr>
      </w:pPr>
    </w:p>
    <w:p w14:paraId="76455238">
      <w:pPr>
        <w:spacing w:line="360" w:lineRule="auto"/>
        <w:jc w:val="center"/>
        <w:rPr>
          <w:rFonts w:hint="eastAsia" w:ascii="宋体" w:hAnsi="宋体" w:eastAsia="宋体" w:cs="宋体"/>
          <w:b/>
          <w:color w:val="auto"/>
          <w:sz w:val="24"/>
          <w:highlight w:val="none"/>
        </w:rPr>
      </w:pPr>
    </w:p>
    <w:p w14:paraId="17E13355">
      <w:pPr>
        <w:spacing w:line="360" w:lineRule="auto"/>
        <w:jc w:val="center"/>
        <w:rPr>
          <w:rFonts w:hint="eastAsia" w:ascii="宋体" w:hAnsi="宋体" w:eastAsia="宋体" w:cs="宋体"/>
          <w:b/>
          <w:color w:val="auto"/>
          <w:sz w:val="24"/>
          <w:highlight w:val="none"/>
        </w:rPr>
      </w:pPr>
    </w:p>
    <w:p w14:paraId="4B745476">
      <w:pPr>
        <w:spacing w:line="360" w:lineRule="auto"/>
        <w:jc w:val="center"/>
        <w:rPr>
          <w:rFonts w:hint="eastAsia" w:ascii="宋体" w:hAnsi="宋体" w:eastAsia="宋体" w:cs="宋体"/>
          <w:b/>
          <w:color w:val="auto"/>
          <w:sz w:val="24"/>
          <w:highlight w:val="none"/>
        </w:rPr>
      </w:pPr>
    </w:p>
    <w:p w14:paraId="4FB99F89">
      <w:pPr>
        <w:spacing w:line="360" w:lineRule="auto"/>
        <w:jc w:val="center"/>
        <w:rPr>
          <w:rFonts w:hint="eastAsia" w:ascii="宋体" w:hAnsi="宋体" w:eastAsia="宋体" w:cs="宋体"/>
          <w:b/>
          <w:color w:val="auto"/>
          <w:sz w:val="24"/>
          <w:highlight w:val="none"/>
        </w:rPr>
      </w:pPr>
    </w:p>
    <w:p w14:paraId="381187F4">
      <w:pPr>
        <w:spacing w:line="360" w:lineRule="auto"/>
        <w:jc w:val="center"/>
        <w:rPr>
          <w:rFonts w:hint="eastAsia" w:ascii="宋体" w:hAnsi="宋体" w:eastAsia="宋体" w:cs="宋体"/>
          <w:b/>
          <w:color w:val="auto"/>
          <w:sz w:val="24"/>
          <w:highlight w:val="none"/>
        </w:rPr>
      </w:pPr>
    </w:p>
    <w:p w14:paraId="3F7E16FE">
      <w:pPr>
        <w:spacing w:line="360" w:lineRule="auto"/>
        <w:jc w:val="center"/>
        <w:rPr>
          <w:rFonts w:hint="eastAsia" w:ascii="宋体" w:hAnsi="宋体" w:eastAsia="宋体" w:cs="宋体"/>
          <w:b/>
          <w:color w:val="auto"/>
          <w:sz w:val="24"/>
          <w:highlight w:val="none"/>
        </w:rPr>
      </w:pPr>
    </w:p>
    <w:p w14:paraId="68139AF5">
      <w:pPr>
        <w:spacing w:line="360" w:lineRule="auto"/>
        <w:jc w:val="center"/>
        <w:rPr>
          <w:rFonts w:hint="eastAsia" w:ascii="宋体" w:hAnsi="宋体" w:eastAsia="宋体" w:cs="宋体"/>
          <w:b/>
          <w:color w:val="auto"/>
          <w:sz w:val="24"/>
          <w:highlight w:val="none"/>
        </w:rPr>
      </w:pPr>
    </w:p>
    <w:p w14:paraId="5874C211">
      <w:pPr>
        <w:spacing w:line="360" w:lineRule="auto"/>
        <w:jc w:val="center"/>
        <w:rPr>
          <w:rFonts w:hint="eastAsia" w:ascii="宋体" w:hAnsi="宋体" w:eastAsia="宋体" w:cs="宋体"/>
          <w:b/>
          <w:color w:val="auto"/>
          <w:sz w:val="24"/>
          <w:highlight w:val="none"/>
        </w:rPr>
      </w:pPr>
    </w:p>
    <w:p w14:paraId="4E45A347">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 xml:space="preserve">章： </w:t>
      </w:r>
    </w:p>
    <w:p w14:paraId="23291424">
      <w:pPr>
        <w:spacing w:line="380" w:lineRule="exact"/>
        <w:ind w:right="640" w:firstLine="1560" w:firstLineChars="650"/>
        <w:rPr>
          <w:rFonts w:hint="eastAsia" w:ascii="宋体" w:hAnsi="宋体" w:eastAsia="宋体" w:cs="宋体"/>
          <w:color w:val="auto"/>
          <w:sz w:val="24"/>
          <w:highlight w:val="none"/>
        </w:rPr>
      </w:pPr>
    </w:p>
    <w:p w14:paraId="551A516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35FC92EC">
      <w:pPr>
        <w:spacing w:line="360" w:lineRule="auto"/>
        <w:rPr>
          <w:rFonts w:hint="eastAsia" w:ascii="宋体" w:hAnsi="宋体" w:eastAsia="宋体" w:cs="宋体"/>
          <w:color w:val="auto"/>
          <w:sz w:val="24"/>
          <w:highlight w:val="none"/>
        </w:rPr>
      </w:pPr>
    </w:p>
    <w:p w14:paraId="1DB5E03D">
      <w:pPr>
        <w:spacing w:line="360" w:lineRule="auto"/>
        <w:rPr>
          <w:rFonts w:hint="eastAsia" w:ascii="宋体" w:hAnsi="宋体" w:eastAsia="宋体" w:cs="宋体"/>
          <w:color w:val="auto"/>
          <w:sz w:val="24"/>
          <w:highlight w:val="none"/>
        </w:rPr>
      </w:pPr>
    </w:p>
    <w:p w14:paraId="0431A5F6">
      <w:pPr>
        <w:spacing w:line="360" w:lineRule="auto"/>
        <w:rPr>
          <w:rFonts w:hint="eastAsia" w:ascii="宋体" w:hAnsi="宋体" w:eastAsia="宋体" w:cs="宋体"/>
          <w:color w:val="auto"/>
          <w:sz w:val="24"/>
          <w:highlight w:val="none"/>
        </w:rPr>
      </w:pPr>
    </w:p>
    <w:p w14:paraId="76A0CB0B">
      <w:pPr>
        <w:spacing w:line="360" w:lineRule="auto"/>
        <w:rPr>
          <w:rFonts w:hint="eastAsia" w:ascii="宋体" w:hAnsi="宋体" w:eastAsia="宋体" w:cs="宋体"/>
          <w:color w:val="auto"/>
          <w:sz w:val="24"/>
          <w:highlight w:val="none"/>
        </w:rPr>
      </w:pPr>
    </w:p>
    <w:p w14:paraId="1378D332">
      <w:pPr>
        <w:spacing w:line="380" w:lineRule="exact"/>
        <w:jc w:val="center"/>
        <w:rPr>
          <w:rFonts w:hint="eastAsia" w:ascii="宋体" w:hAnsi="宋体" w:eastAsia="宋体" w:cs="宋体"/>
          <w:color w:val="auto"/>
          <w:sz w:val="24"/>
          <w:highlight w:val="none"/>
        </w:rPr>
      </w:pPr>
    </w:p>
    <w:p w14:paraId="1C51D0E1">
      <w:pPr>
        <w:spacing w:line="380" w:lineRule="exact"/>
        <w:jc w:val="center"/>
        <w:rPr>
          <w:rFonts w:hint="eastAsia" w:ascii="宋体" w:hAnsi="宋体" w:eastAsia="宋体" w:cs="宋体"/>
          <w:color w:val="auto"/>
          <w:sz w:val="24"/>
          <w:highlight w:val="none"/>
        </w:rPr>
      </w:pPr>
    </w:p>
    <w:p w14:paraId="77C1B333">
      <w:pPr>
        <w:spacing w:line="380" w:lineRule="exact"/>
        <w:jc w:val="center"/>
        <w:rPr>
          <w:rFonts w:hint="eastAsia" w:ascii="宋体" w:hAnsi="宋体" w:eastAsia="宋体" w:cs="宋体"/>
          <w:color w:val="auto"/>
          <w:sz w:val="24"/>
          <w:highlight w:val="none"/>
        </w:rPr>
      </w:pPr>
    </w:p>
    <w:p w14:paraId="469939C7">
      <w:pPr>
        <w:spacing w:line="380" w:lineRule="exact"/>
        <w:jc w:val="center"/>
        <w:rPr>
          <w:rFonts w:hint="eastAsia" w:ascii="宋体" w:hAnsi="宋体" w:eastAsia="宋体" w:cs="宋体"/>
          <w:color w:val="auto"/>
          <w:sz w:val="24"/>
          <w:highlight w:val="none"/>
        </w:rPr>
      </w:pPr>
    </w:p>
    <w:p w14:paraId="10DB4F23">
      <w:pPr>
        <w:spacing w:line="380" w:lineRule="exact"/>
        <w:jc w:val="center"/>
        <w:rPr>
          <w:rFonts w:hint="eastAsia" w:ascii="宋体" w:hAnsi="宋体" w:eastAsia="宋体" w:cs="宋体"/>
          <w:color w:val="auto"/>
          <w:sz w:val="24"/>
          <w:highlight w:val="none"/>
        </w:rPr>
      </w:pPr>
    </w:p>
    <w:p w14:paraId="2CA50567">
      <w:pPr>
        <w:spacing w:line="380" w:lineRule="exact"/>
        <w:jc w:val="center"/>
        <w:rPr>
          <w:rFonts w:hint="eastAsia" w:ascii="宋体" w:hAnsi="宋体" w:eastAsia="宋体" w:cs="宋体"/>
          <w:color w:val="auto"/>
          <w:sz w:val="24"/>
          <w:highlight w:val="none"/>
        </w:rPr>
      </w:pPr>
    </w:p>
    <w:p w14:paraId="73AB5BFF">
      <w:pPr>
        <w:spacing w:line="380" w:lineRule="exact"/>
        <w:jc w:val="center"/>
        <w:rPr>
          <w:rFonts w:hint="eastAsia" w:ascii="宋体" w:hAnsi="宋体" w:eastAsia="宋体" w:cs="宋体"/>
          <w:color w:val="auto"/>
          <w:sz w:val="24"/>
          <w:highlight w:val="none"/>
        </w:rPr>
      </w:pPr>
    </w:p>
    <w:p w14:paraId="6BA92995">
      <w:pPr>
        <w:spacing w:line="380" w:lineRule="exact"/>
        <w:jc w:val="center"/>
        <w:rPr>
          <w:rFonts w:hint="eastAsia" w:ascii="宋体" w:hAnsi="宋体" w:eastAsia="宋体" w:cs="宋体"/>
          <w:color w:val="auto"/>
          <w:sz w:val="24"/>
          <w:highlight w:val="none"/>
        </w:rPr>
      </w:pPr>
    </w:p>
    <w:p w14:paraId="64FB573B">
      <w:pPr>
        <w:spacing w:line="380" w:lineRule="exact"/>
        <w:jc w:val="center"/>
        <w:rPr>
          <w:rFonts w:hint="eastAsia" w:ascii="宋体" w:hAnsi="宋体" w:eastAsia="宋体" w:cs="宋体"/>
          <w:color w:val="auto"/>
          <w:sz w:val="24"/>
          <w:highlight w:val="none"/>
        </w:rPr>
      </w:pPr>
    </w:p>
    <w:p w14:paraId="277BEFA3">
      <w:pPr>
        <w:spacing w:line="380" w:lineRule="exact"/>
        <w:jc w:val="center"/>
        <w:rPr>
          <w:rFonts w:hint="eastAsia" w:ascii="宋体" w:hAnsi="宋体" w:eastAsia="宋体" w:cs="宋体"/>
          <w:color w:val="auto"/>
          <w:sz w:val="24"/>
          <w:highlight w:val="none"/>
        </w:rPr>
      </w:pPr>
    </w:p>
    <w:p w14:paraId="1B4E058B">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527B0E8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32"/>
          <w:szCs w:val="32"/>
          <w:highlight w:val="none"/>
        </w:rPr>
      </w:pPr>
    </w:p>
    <w:p w14:paraId="4BFCF7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01353F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1F90AA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5016B6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80716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4E76C4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456A51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710DC6DD">
      <w:pPr>
        <w:pStyle w:val="37"/>
        <w:rPr>
          <w:rFonts w:hint="eastAsia" w:ascii="宋体" w:hAnsi="宋体" w:eastAsia="宋体" w:cs="宋体"/>
          <w:color w:val="auto"/>
          <w:sz w:val="24"/>
          <w:szCs w:val="24"/>
          <w:highlight w:val="none"/>
        </w:rPr>
      </w:pPr>
    </w:p>
    <w:p w14:paraId="75435DEA">
      <w:pPr>
        <w:pStyle w:val="5"/>
        <w:rPr>
          <w:rFonts w:hint="eastAsia" w:ascii="宋体" w:hAnsi="宋体" w:eastAsia="宋体" w:cs="宋体"/>
          <w:color w:val="auto"/>
          <w:sz w:val="24"/>
          <w:szCs w:val="24"/>
          <w:highlight w:val="none"/>
        </w:rPr>
      </w:pPr>
    </w:p>
    <w:p w14:paraId="5803BE56">
      <w:pPr>
        <w:rPr>
          <w:rFonts w:hint="eastAsia" w:ascii="宋体" w:hAnsi="宋体" w:eastAsia="宋体" w:cs="宋体"/>
          <w:color w:val="auto"/>
          <w:sz w:val="24"/>
          <w:szCs w:val="24"/>
          <w:highlight w:val="none"/>
        </w:rPr>
      </w:pPr>
    </w:p>
    <w:p w14:paraId="6E73A5AB">
      <w:pPr>
        <w:pStyle w:val="37"/>
        <w:rPr>
          <w:rFonts w:hint="eastAsia" w:ascii="宋体" w:hAnsi="宋体" w:eastAsia="宋体" w:cs="宋体"/>
          <w:color w:val="auto"/>
          <w:sz w:val="24"/>
          <w:szCs w:val="24"/>
          <w:highlight w:val="none"/>
        </w:rPr>
      </w:pPr>
    </w:p>
    <w:p w14:paraId="0D9452DC">
      <w:pPr>
        <w:pStyle w:val="5"/>
        <w:rPr>
          <w:rFonts w:hint="eastAsia" w:ascii="宋体" w:hAnsi="宋体" w:eastAsia="宋体" w:cs="宋体"/>
          <w:color w:val="auto"/>
          <w:highlight w:val="none"/>
        </w:rPr>
      </w:pPr>
    </w:p>
    <w:p w14:paraId="303848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注：1.从业人员、营业收入、资产总额填报上一年度数据，无上一年度数据的新成立企业可不填报。</w:t>
      </w:r>
    </w:p>
    <w:p w14:paraId="7A915DC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2.本项目如是只面向中小企业采购的应当必须提供。</w:t>
      </w:r>
    </w:p>
    <w:p w14:paraId="550C96D7">
      <w:pPr>
        <w:spacing w:line="360" w:lineRule="auto"/>
        <w:jc w:val="center"/>
        <w:rPr>
          <w:rFonts w:hint="eastAsia" w:ascii="宋体" w:hAnsi="宋体" w:eastAsia="宋体" w:cs="宋体"/>
          <w:b/>
          <w:bCs/>
          <w:color w:val="auto"/>
          <w:sz w:val="24"/>
          <w:highlight w:val="none"/>
        </w:rPr>
      </w:pPr>
    </w:p>
    <w:p w14:paraId="7719267C">
      <w:pPr>
        <w:spacing w:line="360" w:lineRule="auto"/>
        <w:jc w:val="center"/>
        <w:rPr>
          <w:rFonts w:hint="eastAsia" w:ascii="宋体" w:hAnsi="宋体" w:eastAsia="宋体" w:cs="宋体"/>
          <w:b/>
          <w:bCs/>
          <w:color w:val="auto"/>
          <w:sz w:val="24"/>
          <w:highlight w:val="none"/>
        </w:rPr>
      </w:pPr>
    </w:p>
    <w:p w14:paraId="6F1AA4A7">
      <w:pPr>
        <w:pStyle w:val="37"/>
        <w:rPr>
          <w:rFonts w:hint="eastAsia" w:ascii="宋体" w:hAnsi="宋体" w:eastAsia="宋体" w:cs="宋体"/>
          <w:b/>
          <w:bCs/>
          <w:color w:val="auto"/>
          <w:sz w:val="24"/>
          <w:highlight w:val="none"/>
        </w:rPr>
      </w:pPr>
    </w:p>
    <w:p w14:paraId="7C88251B">
      <w:pPr>
        <w:pStyle w:val="5"/>
        <w:rPr>
          <w:rFonts w:hint="eastAsia" w:ascii="宋体" w:hAnsi="宋体" w:eastAsia="宋体" w:cs="宋体"/>
          <w:color w:val="auto"/>
          <w:highlight w:val="none"/>
        </w:rPr>
      </w:pPr>
    </w:p>
    <w:p w14:paraId="03953676">
      <w:pPr>
        <w:spacing w:line="360" w:lineRule="auto"/>
        <w:rPr>
          <w:rFonts w:hint="eastAsia" w:ascii="宋体" w:hAnsi="宋体" w:eastAsia="宋体" w:cs="宋体"/>
          <w:color w:val="auto"/>
          <w:sz w:val="24"/>
          <w:highlight w:val="none"/>
        </w:rPr>
      </w:pPr>
    </w:p>
    <w:p w14:paraId="422C9513">
      <w:pPr>
        <w:spacing w:line="360" w:lineRule="auto"/>
        <w:rPr>
          <w:rFonts w:hint="eastAsia" w:ascii="宋体" w:hAnsi="宋体" w:eastAsia="宋体" w:cs="宋体"/>
          <w:color w:val="auto"/>
          <w:sz w:val="24"/>
          <w:highlight w:val="none"/>
        </w:rPr>
      </w:pPr>
    </w:p>
    <w:p w14:paraId="66DD648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格式</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其他资料</w:t>
      </w:r>
    </w:p>
    <w:p w14:paraId="1FC0681E">
      <w:pPr>
        <w:pStyle w:val="35"/>
        <w:ind w:firstLine="240"/>
        <w:rPr>
          <w:rFonts w:hint="eastAsia" w:ascii="宋体" w:hAnsi="宋体" w:eastAsia="宋体" w:cs="宋体"/>
          <w:color w:val="auto"/>
          <w:sz w:val="24"/>
          <w:highlight w:val="none"/>
        </w:rPr>
      </w:pPr>
    </w:p>
    <w:p w14:paraId="1F5B075A">
      <w:pPr>
        <w:pStyle w:val="35"/>
        <w:ind w:firstLine="240"/>
        <w:rPr>
          <w:rFonts w:hint="eastAsia" w:ascii="宋体" w:hAnsi="宋体" w:eastAsia="宋体" w:cs="宋体"/>
          <w:color w:val="auto"/>
          <w:sz w:val="24"/>
          <w:highlight w:val="none"/>
        </w:rPr>
      </w:pPr>
    </w:p>
    <w:p w14:paraId="16CCD115">
      <w:pPr>
        <w:pStyle w:val="35"/>
        <w:ind w:firstLine="240"/>
        <w:rPr>
          <w:rFonts w:hint="eastAsia" w:ascii="宋体" w:hAnsi="宋体" w:eastAsia="宋体" w:cs="宋体"/>
          <w:color w:val="auto"/>
          <w:sz w:val="24"/>
          <w:highlight w:val="none"/>
        </w:rPr>
      </w:pPr>
    </w:p>
    <w:p w14:paraId="5A51FB83">
      <w:pPr>
        <w:pStyle w:val="35"/>
        <w:ind w:firstLine="240"/>
        <w:rPr>
          <w:rFonts w:hint="eastAsia" w:ascii="宋体" w:hAnsi="宋体" w:eastAsia="宋体" w:cs="宋体"/>
          <w:color w:val="auto"/>
          <w:sz w:val="24"/>
          <w:highlight w:val="none"/>
        </w:rPr>
      </w:pPr>
    </w:p>
    <w:p w14:paraId="1AF9A85C">
      <w:pPr>
        <w:pStyle w:val="35"/>
        <w:ind w:firstLine="240"/>
        <w:rPr>
          <w:rFonts w:hint="eastAsia" w:ascii="宋体" w:hAnsi="宋体" w:eastAsia="宋体" w:cs="宋体"/>
          <w:color w:val="auto"/>
          <w:sz w:val="24"/>
          <w:highlight w:val="none"/>
        </w:rPr>
      </w:pPr>
    </w:p>
    <w:p w14:paraId="79D73F8D">
      <w:pPr>
        <w:pStyle w:val="35"/>
        <w:ind w:firstLine="240"/>
        <w:rPr>
          <w:rFonts w:hint="eastAsia" w:ascii="宋体" w:hAnsi="宋体" w:eastAsia="宋体" w:cs="宋体"/>
          <w:color w:val="auto"/>
          <w:sz w:val="24"/>
          <w:highlight w:val="none"/>
        </w:rPr>
      </w:pPr>
    </w:p>
    <w:p w14:paraId="4F5F9D70">
      <w:pPr>
        <w:pStyle w:val="35"/>
        <w:ind w:firstLine="240"/>
        <w:rPr>
          <w:rFonts w:hint="eastAsia" w:ascii="宋体" w:hAnsi="宋体" w:eastAsia="宋体" w:cs="宋体"/>
          <w:color w:val="auto"/>
          <w:sz w:val="24"/>
          <w:highlight w:val="none"/>
        </w:rPr>
      </w:pPr>
    </w:p>
    <w:p w14:paraId="66840DE7">
      <w:pPr>
        <w:pStyle w:val="35"/>
        <w:ind w:firstLine="240"/>
        <w:rPr>
          <w:rFonts w:hint="eastAsia" w:ascii="宋体" w:hAnsi="宋体" w:eastAsia="宋体" w:cs="宋体"/>
          <w:color w:val="auto"/>
          <w:sz w:val="24"/>
          <w:highlight w:val="none"/>
        </w:rPr>
      </w:pPr>
    </w:p>
    <w:p w14:paraId="64DD0F91">
      <w:pPr>
        <w:pStyle w:val="35"/>
        <w:ind w:firstLine="240"/>
        <w:rPr>
          <w:rFonts w:hint="eastAsia" w:ascii="宋体" w:hAnsi="宋体" w:eastAsia="宋体" w:cs="宋体"/>
          <w:color w:val="auto"/>
          <w:sz w:val="24"/>
          <w:highlight w:val="none"/>
        </w:rPr>
      </w:pPr>
    </w:p>
    <w:p w14:paraId="4AE2CDDA">
      <w:pPr>
        <w:pStyle w:val="35"/>
        <w:ind w:firstLine="240"/>
        <w:rPr>
          <w:rFonts w:hint="eastAsia" w:ascii="宋体" w:hAnsi="宋体" w:eastAsia="宋体" w:cs="宋体"/>
          <w:color w:val="auto"/>
          <w:sz w:val="24"/>
          <w:highlight w:val="none"/>
        </w:rPr>
      </w:pPr>
    </w:p>
    <w:p w14:paraId="59732C52">
      <w:pPr>
        <w:pStyle w:val="35"/>
        <w:ind w:firstLine="240"/>
        <w:rPr>
          <w:rFonts w:hint="eastAsia" w:ascii="宋体" w:hAnsi="宋体" w:eastAsia="宋体" w:cs="宋体"/>
          <w:color w:val="auto"/>
          <w:sz w:val="24"/>
          <w:highlight w:val="none"/>
        </w:rPr>
      </w:pPr>
    </w:p>
    <w:p w14:paraId="4B4C30EA">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59EA6076">
      <w:pPr>
        <w:spacing w:line="360" w:lineRule="auto"/>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格式</w:t>
      </w:r>
      <w:r>
        <w:rPr>
          <w:rFonts w:hint="eastAsia" w:ascii="宋体" w:hAnsi="宋体" w:eastAsia="宋体" w:cs="宋体"/>
          <w:color w:val="auto"/>
          <w:sz w:val="24"/>
          <w:highlight w:val="none"/>
          <w:lang w:val="en-US" w:eastAsia="zh-CN"/>
        </w:rPr>
        <w:t>11</w:t>
      </w:r>
    </w:p>
    <w:p w14:paraId="0BD4EE8D">
      <w:pPr>
        <w:spacing w:line="380" w:lineRule="exact"/>
        <w:jc w:val="center"/>
        <w:rPr>
          <w:rStyle w:val="66"/>
          <w:rFonts w:hint="eastAsia" w:ascii="宋体" w:hAnsi="宋体" w:eastAsia="宋体" w:cs="宋体"/>
          <w:b/>
          <w:bCs/>
          <w:color w:val="auto"/>
          <w:sz w:val="28"/>
          <w:szCs w:val="28"/>
          <w:highlight w:val="none"/>
        </w:rPr>
      </w:pPr>
      <w:r>
        <w:rPr>
          <w:rStyle w:val="66"/>
          <w:rFonts w:hint="eastAsia" w:ascii="宋体" w:hAnsi="宋体" w:eastAsia="宋体" w:cs="宋体"/>
          <w:b/>
          <w:bCs/>
          <w:color w:val="auto"/>
          <w:sz w:val="28"/>
          <w:szCs w:val="28"/>
          <w:highlight w:val="none"/>
        </w:rPr>
        <w:t>政府采购供应商诚信承诺书</w:t>
      </w:r>
    </w:p>
    <w:p w14:paraId="7D797029">
      <w:pPr>
        <w:spacing w:line="380" w:lineRule="exact"/>
        <w:jc w:val="center"/>
        <w:rPr>
          <w:rStyle w:val="66"/>
          <w:rFonts w:hint="eastAsia" w:ascii="宋体" w:hAnsi="宋体" w:eastAsia="宋体" w:cs="宋体"/>
          <w:b/>
          <w:bCs/>
          <w:color w:val="auto"/>
          <w:sz w:val="24"/>
          <w:highlight w:val="none"/>
        </w:rPr>
      </w:pPr>
    </w:p>
    <w:p w14:paraId="367D1FCB">
      <w:pPr>
        <w:spacing w:line="380" w:lineRule="exact"/>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D147F2E">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（一）提供虚假材料谋取中标;</w:t>
      </w:r>
    </w:p>
    <w:p w14:paraId="22BA6FED">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（二）采取不正当手段诋毁、排挤其他供应商;</w:t>
      </w:r>
    </w:p>
    <w:p w14:paraId="7DE93DE3">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（三）与招标采购单位、其他投标人恶意串通;</w:t>
      </w:r>
    </w:p>
    <w:p w14:paraId="15A824C8">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（四）向招标采购单位或提供其他不正当利益;</w:t>
      </w:r>
    </w:p>
    <w:p w14:paraId="314B7A2F">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（五）在招标过程中与招标采购单位进行协商谈判、不按照招标文件和投标文件订立合同，或者与采购人另立背离合同实质性内容协议;</w:t>
      </w:r>
    </w:p>
    <w:p w14:paraId="2DA732BE">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（六）开标后擅自撤销投标，影响招标继续进行的或领取招标文件纳投标保证金后不投标导致废标;</w:t>
      </w:r>
    </w:p>
    <w:p w14:paraId="4E5358D9">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（七）中标后无正当理由，在规定时间内不与采购单位签订合同;</w:t>
      </w:r>
    </w:p>
    <w:p w14:paraId="2A41F5FA">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（八）将中标项目转让给他人或非法分包他人;</w:t>
      </w:r>
    </w:p>
    <w:p w14:paraId="59886884">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（九）无正当理由，拒绝履行合同义务;</w:t>
      </w:r>
    </w:p>
    <w:p w14:paraId="5D9DF0B3">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（十）无正当理由放弃中标（成交）项目;</w:t>
      </w:r>
    </w:p>
    <w:p w14:paraId="28EF60A6">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01EBD010">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（十二）与采购人串通，对尚未履约完毕的采购项目出具虚假验收报告；</w:t>
      </w:r>
    </w:p>
    <w:p w14:paraId="14D473AC">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（十三）无不可抗力因素，拒绝提供售后服务、售后服务态度恶劣、故意提高维修配件价格（高于市场平均价）；</w:t>
      </w:r>
    </w:p>
    <w:p w14:paraId="1D1518AD">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（十四）开标后对招标文件的相关内容再进行质疑；</w:t>
      </w:r>
    </w:p>
    <w:p w14:paraId="11B68C2B">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（十五）恶意投诉的行为：投诉经查无实据的、捏造事实或者提供虚假设诉材料；</w:t>
      </w:r>
    </w:p>
    <w:p w14:paraId="213FDA37">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（十六）拒绝有关部门监督检查或者提供虚假情况；</w:t>
      </w:r>
    </w:p>
    <w:p w14:paraId="38D247DB">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（十七）政府采购监管部门认定的其他政府采购活动中的不诚信行为。</w:t>
      </w:r>
    </w:p>
    <w:p w14:paraId="692ED5E9">
      <w:pPr>
        <w:spacing w:line="380" w:lineRule="exact"/>
        <w:ind w:firstLine="3360" w:firstLineChars="1400"/>
        <w:rPr>
          <w:rFonts w:hint="eastAsia" w:ascii="宋体" w:hAnsi="宋体" w:eastAsia="宋体" w:cs="宋体"/>
          <w:color w:val="auto"/>
          <w:sz w:val="24"/>
          <w:highlight w:val="none"/>
        </w:rPr>
      </w:pPr>
    </w:p>
    <w:p w14:paraId="641AC615">
      <w:pPr>
        <w:spacing w:line="380" w:lineRule="exact"/>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供应商名称：（盖章）</w:t>
      </w:r>
    </w:p>
    <w:p w14:paraId="2040487D">
      <w:pPr>
        <w:spacing w:line="380" w:lineRule="exact"/>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法定代表人：（签章）</w:t>
      </w:r>
    </w:p>
    <w:p w14:paraId="5474650A">
      <w:pPr>
        <w:spacing w:line="380" w:lineRule="exact"/>
        <w:ind w:firstLine="3360" w:firstLineChars="1400"/>
        <w:rPr>
          <w:rFonts w:hint="eastAsia" w:ascii="宋体" w:hAnsi="宋体" w:eastAsia="宋体" w:cs="宋体"/>
          <w:color w:val="auto"/>
          <w:sz w:val="24"/>
          <w:highlight w:val="none"/>
        </w:rPr>
      </w:pPr>
    </w:p>
    <w:p w14:paraId="2D7E6B28">
      <w:pPr>
        <w:spacing w:line="380" w:lineRule="exact"/>
        <w:ind w:firstLine="3360" w:firstLineChars="1400"/>
        <w:rPr>
          <w:rFonts w:hint="eastAsia" w:ascii="宋体" w:hAnsi="宋体" w:eastAsia="宋体" w:cs="宋体"/>
          <w:b/>
          <w:color w:val="auto"/>
          <w:sz w:val="24"/>
          <w:highlight w:val="none"/>
        </w:rPr>
      </w:pPr>
      <w:r>
        <w:rPr>
          <w:rFonts w:hint="eastAsia" w:ascii="宋体" w:hAnsi="宋体" w:eastAsia="宋体" w:cs="宋体"/>
          <w:color w:val="auto"/>
          <w:sz w:val="24"/>
          <w:highlight w:val="none"/>
        </w:rPr>
        <w:t>日期：年月日</w:t>
      </w:r>
    </w:p>
    <w:p w14:paraId="582C2037">
      <w:pPr>
        <w:pStyle w:val="35"/>
        <w:ind w:firstLine="0" w:firstLineChars="0"/>
        <w:rPr>
          <w:rFonts w:hint="eastAsia" w:ascii="宋体" w:hAnsi="宋体" w:eastAsia="宋体" w:cs="宋体"/>
          <w:b/>
          <w:color w:val="auto"/>
          <w:sz w:val="24"/>
          <w:highlight w:val="none"/>
        </w:rPr>
      </w:pPr>
    </w:p>
    <w:p w14:paraId="3BEB6D30">
      <w:pPr>
        <w:spacing w:line="360" w:lineRule="auto"/>
        <w:rPr>
          <w:rFonts w:hint="eastAsia" w:ascii="宋体" w:hAnsi="宋体" w:eastAsia="宋体" w:cs="宋体"/>
          <w:b/>
          <w:bCs/>
          <w:color w:val="auto"/>
          <w:sz w:val="24"/>
          <w:highlight w:val="none"/>
        </w:rPr>
      </w:pPr>
    </w:p>
    <w:p w14:paraId="55B0C2C6">
      <w:pPr>
        <w:pStyle w:val="2"/>
        <w:spacing w:before="0" w:after="0" w:line="500" w:lineRule="exact"/>
        <w:ind w:firstLine="0"/>
        <w:outlineLvl w:val="0"/>
        <w:rPr>
          <w:rFonts w:hint="eastAsia" w:ascii="宋体" w:hAnsi="宋体" w:eastAsia="宋体" w:cs="宋体"/>
          <w:b/>
          <w:bCs w:val="0"/>
          <w:color w:val="auto"/>
          <w:sz w:val="32"/>
          <w:szCs w:val="32"/>
          <w:highlight w:val="none"/>
          <w:lang w:val="en-US"/>
        </w:rPr>
      </w:pPr>
      <w:bookmarkStart w:id="42" w:name="_Toc7046"/>
      <w:r>
        <w:rPr>
          <w:rFonts w:hint="eastAsia" w:ascii="宋体" w:hAnsi="宋体" w:eastAsia="宋体" w:cs="宋体"/>
          <w:b/>
          <w:bCs w:val="0"/>
          <w:color w:val="auto"/>
          <w:sz w:val="32"/>
          <w:szCs w:val="32"/>
          <w:highlight w:val="none"/>
        </w:rPr>
        <w:t xml:space="preserve">第五章  </w:t>
      </w:r>
      <w:r>
        <w:rPr>
          <w:rFonts w:hint="eastAsia" w:ascii="宋体" w:hAnsi="宋体" w:eastAsia="宋体" w:cs="宋体"/>
          <w:b/>
          <w:bCs w:val="0"/>
          <w:color w:val="auto"/>
          <w:w w:val="92"/>
          <w:sz w:val="32"/>
          <w:szCs w:val="32"/>
          <w:highlight w:val="none"/>
          <w:lang w:val="en-US"/>
        </w:rPr>
        <w:t>周口市</w:t>
      </w:r>
      <w:r>
        <w:rPr>
          <w:rFonts w:hint="eastAsia" w:ascii="宋体" w:hAnsi="宋体" w:eastAsia="宋体" w:cs="宋体"/>
          <w:b/>
          <w:bCs w:val="0"/>
          <w:color w:val="auto"/>
          <w:sz w:val="32"/>
          <w:szCs w:val="32"/>
          <w:highlight w:val="none"/>
          <w:lang w:val="en-US"/>
        </w:rPr>
        <w:t>政府采购合同（服务类）标准文本</w:t>
      </w:r>
      <w:bookmarkEnd w:id="42"/>
    </w:p>
    <w:p w14:paraId="64990646">
      <w:pPr>
        <w:ind w:firstLine="640" w:firstLineChars="200"/>
        <w:jc w:val="both"/>
        <w:rPr>
          <w:rFonts w:hint="eastAsia" w:ascii="宋体" w:hAnsi="宋体" w:eastAsia="宋体" w:cs="宋体"/>
          <w:color w:val="auto"/>
          <w:sz w:val="32"/>
          <w:szCs w:val="32"/>
          <w:highlight w:val="none"/>
          <w:lang w:val="en-US"/>
        </w:rPr>
      </w:pPr>
    </w:p>
    <w:p w14:paraId="5ABA15B6">
      <w:pPr>
        <w:pStyle w:val="79"/>
        <w:spacing w:beforeLines="0" w:afterLines="0"/>
        <w:ind w:left="0" w:firstLine="640" w:firstLineChars="200"/>
        <w:jc w:val="both"/>
        <w:rPr>
          <w:rFonts w:hint="eastAsia" w:ascii="宋体" w:hAnsi="宋体" w:eastAsia="宋体" w:cs="宋体"/>
          <w:color w:val="auto"/>
          <w:sz w:val="32"/>
          <w:szCs w:val="32"/>
          <w:highlight w:val="none"/>
          <w:lang w:val="en-US"/>
        </w:rPr>
      </w:pPr>
    </w:p>
    <w:p w14:paraId="4C5B0D80">
      <w:pPr>
        <w:pStyle w:val="79"/>
        <w:spacing w:beforeLines="0" w:afterLines="0"/>
        <w:ind w:left="0" w:firstLine="640" w:firstLineChars="200"/>
        <w:jc w:val="both"/>
        <w:rPr>
          <w:rFonts w:hint="eastAsia" w:ascii="宋体" w:hAnsi="宋体" w:eastAsia="宋体" w:cs="宋体"/>
          <w:color w:val="auto"/>
          <w:sz w:val="32"/>
          <w:szCs w:val="32"/>
          <w:highlight w:val="none"/>
          <w:lang w:val="en-US"/>
        </w:rPr>
      </w:pPr>
    </w:p>
    <w:p w14:paraId="71D6DE88">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11A12442">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0D37CF44">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784BD6B8">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2C976FC7">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34D1F428">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02E38368">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664F45D6">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753E5C8B">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65056465">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509E1443">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13EFAABA">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013DB265">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08E50B38">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6AB5EE18">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6C5E3F93">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64D5FAFF">
      <w:pPr>
        <w:pStyle w:val="7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1D352CA0">
      <w:pPr>
        <w:pStyle w:val="79"/>
        <w:spacing w:beforeLines="0" w:afterLines="0" w:line="440" w:lineRule="exact"/>
        <w:ind w:left="0"/>
        <w:jc w:val="both"/>
        <w:rPr>
          <w:rFonts w:hint="eastAsia" w:ascii="宋体" w:hAnsi="宋体" w:eastAsia="宋体" w:cs="宋体"/>
          <w:color w:val="auto"/>
          <w:sz w:val="30"/>
          <w:szCs w:val="30"/>
          <w:highlight w:val="none"/>
        </w:rPr>
      </w:pPr>
    </w:p>
    <w:p w14:paraId="43D95B79">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03AFE2EF">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38E2D5F7">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49BDA760">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061F2712">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1BEEC215">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56F2A23B">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29837412">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082CED76">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00E5F2A3">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07809E79">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72C274C8">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77B9A9B2">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5CA131B1">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3063DF29">
      <w:pPr>
        <w:pStyle w:val="79"/>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5ECA7F55">
      <w:pPr>
        <w:pStyle w:val="79"/>
        <w:spacing w:beforeLines="0" w:afterLines="0" w:line="440" w:lineRule="exact"/>
        <w:ind w:left="0"/>
        <w:jc w:val="center"/>
        <w:rPr>
          <w:rFonts w:hint="eastAsia" w:ascii="宋体" w:hAnsi="宋体" w:eastAsia="宋体" w:cs="宋体"/>
          <w:bCs/>
          <w:color w:val="auto"/>
          <w:sz w:val="32"/>
          <w:szCs w:val="32"/>
          <w:highlight w:val="none"/>
        </w:rPr>
      </w:pPr>
    </w:p>
    <w:p w14:paraId="15D0F724">
      <w:pPr>
        <w:pStyle w:val="7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10697B08">
      <w:pPr>
        <w:pStyle w:val="79"/>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5CA17271">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3743CCB1">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24816A05">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4327DC1A">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4DFD7DA5">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7863CE23">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728B2F44">
      <w:pPr>
        <w:bidi w:val="0"/>
        <w:rPr>
          <w:rFonts w:hint="eastAsia" w:ascii="宋体" w:hAnsi="宋体" w:eastAsia="宋体" w:cs="宋体"/>
          <w:color w:val="auto"/>
          <w:highlight w:val="none"/>
        </w:rPr>
      </w:pPr>
    </w:p>
    <w:p w14:paraId="60217F21">
      <w:pPr>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br w:type="page"/>
      </w:r>
    </w:p>
    <w:p w14:paraId="36E325B8">
      <w:pPr>
        <w:pageBreakBefore w:val="0"/>
        <w:widowControl w:val="0"/>
        <w:wordWrap/>
        <w:topLinePunct w:val="0"/>
        <w:autoSpaceDE/>
        <w:autoSpaceDN/>
        <w:bidi w:val="0"/>
        <w:adjustRightInd/>
        <w:snapToGrid/>
        <w:spacing w:before="0" w:after="0" w:line="500" w:lineRule="exact"/>
        <w:ind w:firstLine="0"/>
        <w:jc w:val="center"/>
        <w:textAlignment w:val="auto"/>
        <w:outlineLvl w:val="9"/>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6320BFE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3D9C825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2462738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05E4449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68E475C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6760A96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74A7F5D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50ABAA8">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FC1A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37942F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4C40E50D">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089586E2">
            <w:pPr>
              <w:pageBreakBefore w:val="0"/>
              <w:widowControl w:val="0"/>
              <w:wordWrap/>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59AA768F">
            <w:pPr>
              <w:pageBreakBefore w:val="0"/>
              <w:widowControl w:val="0"/>
              <w:wordWrap/>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34010A7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72E5D50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7A91B5A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329CB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30B1BA2">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623" w:type="dxa"/>
            <w:noWrap w:val="0"/>
            <w:vAlign w:val="top"/>
          </w:tcPr>
          <w:p w14:paraId="311617DA">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902" w:type="dxa"/>
            <w:noWrap w:val="0"/>
            <w:vAlign w:val="top"/>
          </w:tcPr>
          <w:p w14:paraId="47B56F1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902" w:type="dxa"/>
            <w:noWrap w:val="0"/>
            <w:vAlign w:val="top"/>
          </w:tcPr>
          <w:p w14:paraId="7961A7D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071" w:type="dxa"/>
            <w:noWrap w:val="0"/>
            <w:vAlign w:val="top"/>
          </w:tcPr>
          <w:p w14:paraId="0D703BA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250" w:type="dxa"/>
            <w:noWrap w:val="0"/>
            <w:vAlign w:val="top"/>
          </w:tcPr>
          <w:p w14:paraId="6F818AE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106" w:type="dxa"/>
            <w:noWrap w:val="0"/>
            <w:vAlign w:val="top"/>
          </w:tcPr>
          <w:p w14:paraId="5F085A0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r>
      <w:tr w14:paraId="44451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FA115D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623" w:type="dxa"/>
            <w:noWrap w:val="0"/>
            <w:vAlign w:val="top"/>
          </w:tcPr>
          <w:p w14:paraId="57BF752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902" w:type="dxa"/>
            <w:noWrap w:val="0"/>
            <w:vAlign w:val="top"/>
          </w:tcPr>
          <w:p w14:paraId="5150E86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902" w:type="dxa"/>
            <w:noWrap w:val="0"/>
            <w:vAlign w:val="top"/>
          </w:tcPr>
          <w:p w14:paraId="34480A4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071" w:type="dxa"/>
            <w:noWrap w:val="0"/>
            <w:vAlign w:val="top"/>
          </w:tcPr>
          <w:p w14:paraId="5F9ACEA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250" w:type="dxa"/>
            <w:noWrap w:val="0"/>
            <w:vAlign w:val="top"/>
          </w:tcPr>
          <w:p w14:paraId="2B6C880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106" w:type="dxa"/>
            <w:noWrap w:val="0"/>
            <w:vAlign w:val="top"/>
          </w:tcPr>
          <w:p w14:paraId="1473E13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r>
      <w:tr w14:paraId="677B1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86C792D">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623" w:type="dxa"/>
            <w:noWrap w:val="0"/>
            <w:vAlign w:val="top"/>
          </w:tcPr>
          <w:p w14:paraId="05282E4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902" w:type="dxa"/>
            <w:noWrap w:val="0"/>
            <w:vAlign w:val="top"/>
          </w:tcPr>
          <w:p w14:paraId="3939E97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902" w:type="dxa"/>
            <w:noWrap w:val="0"/>
            <w:vAlign w:val="top"/>
          </w:tcPr>
          <w:p w14:paraId="1F5914C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071" w:type="dxa"/>
            <w:noWrap w:val="0"/>
            <w:vAlign w:val="top"/>
          </w:tcPr>
          <w:p w14:paraId="540A2E7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250" w:type="dxa"/>
            <w:noWrap w:val="0"/>
            <w:vAlign w:val="top"/>
          </w:tcPr>
          <w:p w14:paraId="6ADB579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c>
          <w:tcPr>
            <w:tcW w:w="1106" w:type="dxa"/>
            <w:noWrap w:val="0"/>
            <w:vAlign w:val="top"/>
          </w:tcPr>
          <w:p w14:paraId="0B4E64EA">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p>
        </w:tc>
      </w:tr>
      <w:tr w14:paraId="412B9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278C1A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3E7C2A3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16B184F4">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685AA2E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7A4C7EFA">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3D3EA7AA">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2FA7F74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3C9F221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429D936A">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1ED01F0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3B599F8D">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5FE4CFB1">
      <w:pPr>
        <w:pStyle w:val="9"/>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55009E30">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39F3F65C">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421DFEBB">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55689E29">
      <w:pPr>
        <w:pStyle w:val="9"/>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45F92698">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088E06B8">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63CF968F">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261E3535">
      <w:pPr>
        <w:pStyle w:val="9"/>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6D4A957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01A0816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561CC02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006931F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36ABB82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47106F54">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第六条  验收方法</w:t>
      </w:r>
    </w:p>
    <w:p w14:paraId="1CD0972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8AE5CB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19BD91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0027F002">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6BA496A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621D111A">
      <w:pPr>
        <w:pStyle w:val="9"/>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76F49EB4">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2A2974FD">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第八条 无产权瑕疵条款</w:t>
      </w:r>
    </w:p>
    <w:p w14:paraId="1EC06300">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40591BF2">
      <w:pPr>
        <w:pageBreakBefore w:val="0"/>
        <w:widowControl w:val="0"/>
        <w:wordWrap/>
        <w:topLinePunct w:val="0"/>
        <w:autoSpaceDE/>
        <w:autoSpaceDN/>
        <w:bidi w:val="0"/>
        <w:adjustRightInd/>
        <w:snapToGrid/>
        <w:spacing w:line="400" w:lineRule="exact"/>
        <w:ind w:firstLine="422" w:firstLineChars="200"/>
        <w:jc w:val="both"/>
        <w:textAlignment w:val="auto"/>
        <w:outlineLvl w:val="9"/>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2A6F2B47">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65F33D9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2D87210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5CEDBC05">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第十条 甲方的权利和义务</w:t>
      </w:r>
    </w:p>
    <w:p w14:paraId="320A0B1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2D5C2BD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4F109D2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09A3905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2AE034B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6D862B00">
      <w:pPr>
        <w:pStyle w:val="9"/>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7222B4D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177B47E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106B2A5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2566C82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32E39E0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36D23574">
      <w:pPr>
        <w:pStyle w:val="9"/>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5E542710">
      <w:pPr>
        <w:pStyle w:val="9"/>
        <w:pageBreakBefore w:val="0"/>
        <w:widowControl w:val="0"/>
        <w:kinsoku w:val="0"/>
        <w:wordWrap/>
        <w:overflowPunct w:val="0"/>
        <w:topLinePunct w:val="0"/>
        <w:autoSpaceDE/>
        <w:autoSpaceDN/>
        <w:bidi w:val="0"/>
        <w:adjustRightInd/>
        <w:snapToGrid/>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29586A67">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2FCF0984">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494B4D9">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30E0D2E3">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75514BA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2CE5B40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0DAAF031">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443B1C0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6CCF460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279A63DC">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第十五条 不可抗力事件处理</w:t>
      </w:r>
    </w:p>
    <w:p w14:paraId="50A3E81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FAD189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BCFA8EE">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第十六条 合同纠纷调处</w:t>
      </w:r>
    </w:p>
    <w:p w14:paraId="34CC816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1C6C1E4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41D59D8B">
      <w:pPr>
        <w:pageBreakBefore w:val="0"/>
        <w:widowControl w:val="0"/>
        <w:kinsoku w:val="0"/>
        <w:wordWrap/>
        <w:overflowPunct w:val="0"/>
        <w:topLinePunct w:val="0"/>
        <w:autoSpaceDE/>
        <w:autoSpaceDN/>
        <w:bidi w:val="0"/>
        <w:adjustRightInd/>
        <w:snapToGrid/>
        <w:ind w:left="0" w:firstLine="420" w:firstLineChars="200"/>
        <w:jc w:val="both"/>
        <w:textAlignment w:val="auto"/>
        <w:outlineLvl w:val="9"/>
        <w:rPr>
          <w:rFonts w:hint="eastAsia" w:ascii="宋体" w:hAnsi="宋体" w:eastAsia="宋体" w:cs="宋体"/>
          <w:b w:val="0"/>
          <w:bCs w:val="0"/>
          <w:color w:val="auto"/>
          <w:kern w:val="2"/>
          <w:sz w:val="21"/>
          <w:szCs w:val="27"/>
          <w:highlight w:val="none"/>
          <w:lang w:val="en-US" w:eastAsia="zh-CN" w:bidi="ar-SA"/>
        </w:rPr>
      </w:pPr>
      <w:r>
        <w:rPr>
          <w:rFonts w:hint="eastAsia" w:ascii="宋体" w:hAnsi="宋体" w:eastAsia="宋体" w:cs="宋体"/>
          <w:b w:val="0"/>
          <w:bCs w:val="0"/>
          <w:color w:val="auto"/>
          <w:kern w:val="2"/>
          <w:sz w:val="21"/>
          <w:szCs w:val="27"/>
          <w:highlight w:val="none"/>
          <w:lang w:val="en-US" w:eastAsia="zh-CN" w:bidi="ar-SA"/>
        </w:rPr>
        <w:t>3、甲、乙双方均有权利向本项目具有监管职能的政府采购监督管理部门举报反映对方在合同履约中的违法违纪行为。</w:t>
      </w:r>
    </w:p>
    <w:p w14:paraId="160DAE2B">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6E492866">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3C0BBE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自双方当事人签字盖章之日起生效。</w:t>
      </w:r>
    </w:p>
    <w:p w14:paraId="030DF652">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p>
    <w:p w14:paraId="56E93501">
      <w:pPr>
        <w:pStyle w:val="35"/>
        <w:pageBreakBefore w:val="0"/>
        <w:widowControl w:val="0"/>
        <w:wordWrap/>
        <w:topLinePunct w:val="0"/>
        <w:autoSpaceDE/>
        <w:autoSpaceDN/>
        <w:bidi w:val="0"/>
        <w:adjustRightInd/>
        <w:snapToGrid/>
        <w:ind w:firstLine="240"/>
        <w:textAlignment w:val="auto"/>
        <w:outlineLvl w:val="9"/>
        <w:rPr>
          <w:rFonts w:hint="eastAsia" w:ascii="宋体" w:hAnsi="宋体" w:eastAsia="宋体" w:cs="宋体"/>
          <w:color w:val="auto"/>
          <w:highlight w:val="none"/>
        </w:rPr>
      </w:pPr>
    </w:p>
    <w:p w14:paraId="2A2FD0D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76E0765A">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6FA4FC0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5F2D96CD">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32B131A2">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5E5B67E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689FF1D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001F263F">
      <w:pPr>
        <w:pageBreakBefore w:val="0"/>
        <w:widowControl w:val="0"/>
        <w:wordWrap/>
        <w:topLinePunct w:val="0"/>
        <w:autoSpaceDE/>
        <w:autoSpaceDN/>
        <w:bidi w:val="0"/>
        <w:adjustRightInd/>
        <w:snapToGrid/>
        <w:spacing w:line="640" w:lineRule="exact"/>
        <w:ind w:firstLine="420" w:firstLineChars="200"/>
        <w:jc w:val="both"/>
        <w:textAlignment w:val="auto"/>
        <w:outlineLvl w:val="9"/>
        <w:rPr>
          <w:rFonts w:hint="eastAsia" w:ascii="宋体" w:hAnsi="宋体" w:eastAsia="宋体" w:cs="宋体"/>
          <w:color w:val="auto"/>
          <w:szCs w:val="27"/>
          <w:highlight w:val="none"/>
          <w:u w:val="single"/>
        </w:rPr>
      </w:pPr>
    </w:p>
    <w:p w14:paraId="4E0AC1B8">
      <w:pPr>
        <w:pStyle w:val="35"/>
        <w:pageBreakBefore w:val="0"/>
        <w:widowControl w:val="0"/>
        <w:wordWrap/>
        <w:topLinePunct w:val="0"/>
        <w:autoSpaceDE/>
        <w:autoSpaceDN/>
        <w:bidi w:val="0"/>
        <w:adjustRightInd/>
        <w:snapToGrid/>
        <w:ind w:firstLine="321"/>
        <w:jc w:val="center"/>
        <w:textAlignment w:val="auto"/>
        <w:outlineLvl w:val="9"/>
        <w:rPr>
          <w:rFonts w:hint="eastAsia" w:ascii="宋体" w:hAnsi="宋体" w:eastAsia="宋体" w:cs="宋体"/>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539231B2">
      <w:pPr>
        <w:pStyle w:val="35"/>
        <w:pageBreakBefore w:val="0"/>
        <w:widowControl w:val="0"/>
        <w:wordWrap/>
        <w:topLinePunct w:val="0"/>
        <w:autoSpaceDE/>
        <w:autoSpaceDN/>
        <w:bidi w:val="0"/>
        <w:adjustRightInd/>
        <w:snapToGrid/>
        <w:ind w:firstLine="321"/>
        <w:jc w:val="center"/>
        <w:textAlignment w:val="auto"/>
        <w:outlineLvl w:val="9"/>
        <w:rPr>
          <w:rFonts w:hint="eastAsia" w:ascii="宋体" w:hAnsi="宋体" w:eastAsia="宋体" w:cs="宋体"/>
          <w:b/>
          <w:color w:val="auto"/>
          <w:sz w:val="32"/>
          <w:szCs w:val="32"/>
          <w:highlight w:val="none"/>
        </w:rPr>
      </w:pPr>
    </w:p>
    <w:p w14:paraId="338D7F95">
      <w:pPr>
        <w:pStyle w:val="35"/>
        <w:ind w:firstLine="321"/>
        <w:jc w:val="center"/>
        <w:rPr>
          <w:rFonts w:hint="eastAsia" w:ascii="宋体" w:hAnsi="宋体" w:eastAsia="宋体" w:cs="宋体"/>
          <w:b/>
          <w:color w:val="auto"/>
          <w:sz w:val="32"/>
          <w:szCs w:val="32"/>
          <w:highlight w:val="none"/>
        </w:rPr>
      </w:pPr>
    </w:p>
    <w:p w14:paraId="04FD0B48">
      <w:pPr>
        <w:pStyle w:val="35"/>
        <w:ind w:firstLine="321"/>
        <w:jc w:val="center"/>
        <w:rPr>
          <w:rFonts w:hint="eastAsia" w:ascii="宋体" w:hAnsi="宋体" w:eastAsia="宋体" w:cs="宋体"/>
          <w:b/>
          <w:color w:val="auto"/>
          <w:sz w:val="32"/>
          <w:szCs w:val="32"/>
          <w:highlight w:val="none"/>
        </w:rPr>
      </w:pPr>
    </w:p>
    <w:p w14:paraId="08A4875E">
      <w:pPr>
        <w:pStyle w:val="35"/>
        <w:ind w:firstLine="321"/>
        <w:jc w:val="center"/>
        <w:rPr>
          <w:rFonts w:hint="eastAsia" w:ascii="宋体" w:hAnsi="宋体" w:eastAsia="宋体" w:cs="宋体"/>
          <w:b/>
          <w:color w:val="auto"/>
          <w:sz w:val="32"/>
          <w:szCs w:val="32"/>
          <w:highlight w:val="none"/>
        </w:rPr>
      </w:pPr>
    </w:p>
    <w:p w14:paraId="084DA9D8">
      <w:pPr>
        <w:pStyle w:val="35"/>
        <w:ind w:firstLine="321"/>
        <w:jc w:val="center"/>
        <w:rPr>
          <w:rFonts w:hint="eastAsia" w:ascii="宋体" w:hAnsi="宋体" w:eastAsia="宋体" w:cs="宋体"/>
          <w:b/>
          <w:color w:val="auto"/>
          <w:sz w:val="32"/>
          <w:szCs w:val="32"/>
          <w:highlight w:val="none"/>
        </w:rPr>
      </w:pPr>
    </w:p>
    <w:p w14:paraId="1AAD18C9">
      <w:pPr>
        <w:pStyle w:val="35"/>
        <w:ind w:firstLine="321"/>
        <w:jc w:val="center"/>
        <w:rPr>
          <w:rFonts w:hint="eastAsia" w:ascii="宋体" w:hAnsi="宋体" w:eastAsia="宋体" w:cs="宋体"/>
          <w:b/>
          <w:color w:val="auto"/>
          <w:sz w:val="32"/>
          <w:szCs w:val="32"/>
          <w:highlight w:val="none"/>
        </w:rPr>
      </w:pPr>
    </w:p>
    <w:p w14:paraId="6B923472">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5542118A">
      <w:pPr>
        <w:pStyle w:val="35"/>
        <w:ind w:firstLine="32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14:paraId="5B4FE85F">
      <w:pPr>
        <w:pStyle w:val="35"/>
        <w:ind w:firstLine="240"/>
        <w:rPr>
          <w:rFonts w:hint="eastAsia" w:ascii="宋体" w:hAnsi="宋体" w:eastAsia="宋体" w:cs="宋体"/>
          <w:color w:val="auto"/>
          <w:sz w:val="24"/>
          <w:highlight w:val="none"/>
        </w:rPr>
      </w:pPr>
    </w:p>
    <w:p w14:paraId="31B679EB">
      <w:pPr>
        <w:pStyle w:val="35"/>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67302A14">
      <w:pPr>
        <w:pStyle w:val="35"/>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43462ACB">
      <w:pPr>
        <w:pStyle w:val="35"/>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0A10EE6">
      <w:pPr>
        <w:pStyle w:val="35"/>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贷款渠道和提供贷款的金融机构，可在河南省政府采购网“河南省政府采购合同融资平台”查询联系。供应商须将此函附于响应文件中，否则文件视为不响应。</w:t>
      </w:r>
    </w:p>
    <w:p w14:paraId="4BF84B95">
      <w:pPr>
        <w:pStyle w:val="35"/>
        <w:ind w:left="0" w:leftChars="0" w:firstLine="0" w:firstLineChars="0"/>
        <w:rPr>
          <w:rFonts w:hint="eastAsia" w:ascii="宋体" w:hAnsi="宋体" w:eastAsia="宋体" w:cs="宋体"/>
          <w:color w:val="auto"/>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82428">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3A603">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7D04DD"/>
    <w:rsid w:val="02B07FF7"/>
    <w:rsid w:val="03733BDF"/>
    <w:rsid w:val="03A308DC"/>
    <w:rsid w:val="040532BA"/>
    <w:rsid w:val="04176582"/>
    <w:rsid w:val="04303987"/>
    <w:rsid w:val="051259ED"/>
    <w:rsid w:val="07041580"/>
    <w:rsid w:val="075873F6"/>
    <w:rsid w:val="07932A4C"/>
    <w:rsid w:val="08B508B7"/>
    <w:rsid w:val="08DB1CFF"/>
    <w:rsid w:val="0A9E30AD"/>
    <w:rsid w:val="0BEB3B44"/>
    <w:rsid w:val="0C0644C0"/>
    <w:rsid w:val="0CDA3846"/>
    <w:rsid w:val="0E5A03B6"/>
    <w:rsid w:val="0F967D7F"/>
    <w:rsid w:val="0FA8775F"/>
    <w:rsid w:val="10D62AA4"/>
    <w:rsid w:val="13552B79"/>
    <w:rsid w:val="13793DF7"/>
    <w:rsid w:val="141C4A83"/>
    <w:rsid w:val="14354A58"/>
    <w:rsid w:val="14677422"/>
    <w:rsid w:val="152E6B10"/>
    <w:rsid w:val="15BF1042"/>
    <w:rsid w:val="16451988"/>
    <w:rsid w:val="164D66E9"/>
    <w:rsid w:val="1656732A"/>
    <w:rsid w:val="181939B9"/>
    <w:rsid w:val="18567E5D"/>
    <w:rsid w:val="18D74DC1"/>
    <w:rsid w:val="198D7236"/>
    <w:rsid w:val="1AED58EF"/>
    <w:rsid w:val="1F397F3B"/>
    <w:rsid w:val="1F3A0BB5"/>
    <w:rsid w:val="1FA92FCB"/>
    <w:rsid w:val="20193BC8"/>
    <w:rsid w:val="219708DE"/>
    <w:rsid w:val="220D398C"/>
    <w:rsid w:val="2301566F"/>
    <w:rsid w:val="24165293"/>
    <w:rsid w:val="2482721D"/>
    <w:rsid w:val="24A10BF5"/>
    <w:rsid w:val="24D70B68"/>
    <w:rsid w:val="25676AE1"/>
    <w:rsid w:val="25D57EBC"/>
    <w:rsid w:val="26311E11"/>
    <w:rsid w:val="265C4C84"/>
    <w:rsid w:val="26AB07CC"/>
    <w:rsid w:val="27B85D13"/>
    <w:rsid w:val="287B63A6"/>
    <w:rsid w:val="29246BFA"/>
    <w:rsid w:val="29613C02"/>
    <w:rsid w:val="29F279E1"/>
    <w:rsid w:val="2A397C18"/>
    <w:rsid w:val="2A5015D5"/>
    <w:rsid w:val="2AF63392"/>
    <w:rsid w:val="2BA67492"/>
    <w:rsid w:val="2C66791C"/>
    <w:rsid w:val="2CD47877"/>
    <w:rsid w:val="2D221D01"/>
    <w:rsid w:val="2D676A80"/>
    <w:rsid w:val="2D7A3266"/>
    <w:rsid w:val="2F5F2B72"/>
    <w:rsid w:val="312513B2"/>
    <w:rsid w:val="3163179E"/>
    <w:rsid w:val="31B042BF"/>
    <w:rsid w:val="31F12401"/>
    <w:rsid w:val="31FF5F72"/>
    <w:rsid w:val="32035D60"/>
    <w:rsid w:val="3207249C"/>
    <w:rsid w:val="326E6953"/>
    <w:rsid w:val="33523A32"/>
    <w:rsid w:val="35636A36"/>
    <w:rsid w:val="35F86203"/>
    <w:rsid w:val="36606254"/>
    <w:rsid w:val="36D23A94"/>
    <w:rsid w:val="376940D0"/>
    <w:rsid w:val="37FB0F89"/>
    <w:rsid w:val="38204506"/>
    <w:rsid w:val="38F73F93"/>
    <w:rsid w:val="39321D68"/>
    <w:rsid w:val="3A577D39"/>
    <w:rsid w:val="3BAE6CD9"/>
    <w:rsid w:val="3BBF5F54"/>
    <w:rsid w:val="3BCD02B3"/>
    <w:rsid w:val="3C3000ED"/>
    <w:rsid w:val="3D232399"/>
    <w:rsid w:val="3D2E2D19"/>
    <w:rsid w:val="3D31181A"/>
    <w:rsid w:val="3DC87CB2"/>
    <w:rsid w:val="3E3839DE"/>
    <w:rsid w:val="3F1749BD"/>
    <w:rsid w:val="3F4F365B"/>
    <w:rsid w:val="3F9A5B70"/>
    <w:rsid w:val="41093759"/>
    <w:rsid w:val="41380196"/>
    <w:rsid w:val="41415EFF"/>
    <w:rsid w:val="41D026B4"/>
    <w:rsid w:val="452567EA"/>
    <w:rsid w:val="45594965"/>
    <w:rsid w:val="464B34FB"/>
    <w:rsid w:val="464F12B6"/>
    <w:rsid w:val="46886BA6"/>
    <w:rsid w:val="481029EC"/>
    <w:rsid w:val="48524AAD"/>
    <w:rsid w:val="490552AA"/>
    <w:rsid w:val="4B7A4CDC"/>
    <w:rsid w:val="4D3D41AD"/>
    <w:rsid w:val="4D844549"/>
    <w:rsid w:val="4DF17AFF"/>
    <w:rsid w:val="4EFF23EC"/>
    <w:rsid w:val="4FFA680C"/>
    <w:rsid w:val="50981A4B"/>
    <w:rsid w:val="50E76780"/>
    <w:rsid w:val="52390069"/>
    <w:rsid w:val="528D1696"/>
    <w:rsid w:val="52CB2821"/>
    <w:rsid w:val="542F765C"/>
    <w:rsid w:val="54914939"/>
    <w:rsid w:val="54EB5EC1"/>
    <w:rsid w:val="554D13F6"/>
    <w:rsid w:val="57580486"/>
    <w:rsid w:val="591E1CF6"/>
    <w:rsid w:val="59655FDE"/>
    <w:rsid w:val="59DA41E0"/>
    <w:rsid w:val="5A2424B3"/>
    <w:rsid w:val="5A3906A0"/>
    <w:rsid w:val="5A9919E3"/>
    <w:rsid w:val="5B2A7B0A"/>
    <w:rsid w:val="5B417B6B"/>
    <w:rsid w:val="5B54373E"/>
    <w:rsid w:val="5BC745F2"/>
    <w:rsid w:val="5CA161B2"/>
    <w:rsid w:val="5D195334"/>
    <w:rsid w:val="5EE21916"/>
    <w:rsid w:val="5F066A42"/>
    <w:rsid w:val="5F4417E0"/>
    <w:rsid w:val="5F88669E"/>
    <w:rsid w:val="5F8E2E8E"/>
    <w:rsid w:val="622F04A1"/>
    <w:rsid w:val="62707B3A"/>
    <w:rsid w:val="643205A7"/>
    <w:rsid w:val="645C0879"/>
    <w:rsid w:val="64741C1C"/>
    <w:rsid w:val="647A07CD"/>
    <w:rsid w:val="648C064A"/>
    <w:rsid w:val="656B3097"/>
    <w:rsid w:val="66AB4942"/>
    <w:rsid w:val="687951D6"/>
    <w:rsid w:val="68AB69AF"/>
    <w:rsid w:val="68D653C8"/>
    <w:rsid w:val="68D85250"/>
    <w:rsid w:val="698D4180"/>
    <w:rsid w:val="69E00860"/>
    <w:rsid w:val="6BF608B1"/>
    <w:rsid w:val="6D1501A8"/>
    <w:rsid w:val="6D1F0B58"/>
    <w:rsid w:val="6D3654A5"/>
    <w:rsid w:val="6EB24C26"/>
    <w:rsid w:val="6EBA3200"/>
    <w:rsid w:val="70270861"/>
    <w:rsid w:val="7047382A"/>
    <w:rsid w:val="74170E85"/>
    <w:rsid w:val="750742F0"/>
    <w:rsid w:val="75DC35E9"/>
    <w:rsid w:val="77556A5E"/>
    <w:rsid w:val="77641E07"/>
    <w:rsid w:val="77FA11D3"/>
    <w:rsid w:val="789E6834"/>
    <w:rsid w:val="796B6CDE"/>
    <w:rsid w:val="79DD67E6"/>
    <w:rsid w:val="7A710C5C"/>
    <w:rsid w:val="7BCF79D9"/>
    <w:rsid w:val="7C1A4C7A"/>
    <w:rsid w:val="7C444892"/>
    <w:rsid w:val="7CAE7448"/>
    <w:rsid w:val="7DF34DBD"/>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link w:val="43"/>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1"/>
    <w:qFormat/>
    <w:uiPriority w:val="99"/>
    <w:rPr>
      <w:rFonts w:ascii="宋体" w:hAnsi="Courier New"/>
      <w:szCs w:val="20"/>
    </w:rPr>
  </w:style>
  <w:style w:type="paragraph" w:styleId="14">
    <w:name w:val="Date"/>
    <w:basedOn w:val="1"/>
    <w:next w:val="1"/>
    <w:link w:val="4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42"/>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4"/>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3"/>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Char"/>
    <w:link w:val="21"/>
    <w:qFormat/>
    <w:uiPriority w:val="0"/>
    <w:rPr>
      <w:kern w:val="2"/>
      <w:sz w:val="21"/>
      <w:szCs w:val="24"/>
    </w:rPr>
  </w:style>
  <w:style w:type="character" w:customStyle="1" w:styleId="66">
    <w:name w:val="NormalCharacter"/>
    <w:qFormat/>
    <w:uiPriority w:val="0"/>
  </w:style>
  <w:style w:type="character" w:customStyle="1" w:styleId="67">
    <w:name w:val="页眉 Char"/>
    <w:link w:val="18"/>
    <w:qFormat/>
    <w:uiPriority w:val="99"/>
    <w:rPr>
      <w:kern w:val="2"/>
      <w:sz w:val="18"/>
      <w:szCs w:val="18"/>
    </w:rPr>
  </w:style>
  <w:style w:type="character" w:customStyle="1" w:styleId="68">
    <w:name w:val="页脚 Char"/>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51</Pages>
  <Words>11945</Words>
  <Characters>12845</Characters>
  <Lines>123</Lines>
  <Paragraphs>34</Paragraphs>
  <TotalTime>8</TotalTime>
  <ScaleCrop>false</ScaleCrop>
  <LinksUpToDate>false</LinksUpToDate>
  <CharactersWithSpaces>12973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2026-08-03T07:52:17Z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